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6A83" w14:textId="77777777" w:rsidR="00D132F2" w:rsidRDefault="00D132F2" w:rsidP="00DE327F">
      <w:pPr>
        <w:pStyle w:val="Nadpis1"/>
      </w:pPr>
    </w:p>
    <w:p w14:paraId="0AFC9466" w14:textId="77777777" w:rsidR="00D132F2" w:rsidRDefault="00D132F2" w:rsidP="00D132F2">
      <w:pPr>
        <w:pStyle w:val="Nadpis1"/>
      </w:pPr>
    </w:p>
    <w:p w14:paraId="21E60BF8" w14:textId="77777777" w:rsidR="00D132F2" w:rsidRDefault="00D132F2" w:rsidP="00D132F2">
      <w:pPr>
        <w:pStyle w:val="Nadpis1"/>
      </w:pPr>
    </w:p>
    <w:p w14:paraId="0C417969" w14:textId="77777777" w:rsidR="00D132F2" w:rsidRDefault="00D132F2" w:rsidP="00D132F2">
      <w:pPr>
        <w:pStyle w:val="Nadpis1"/>
      </w:pPr>
    </w:p>
    <w:p w14:paraId="231DF894" w14:textId="7D766D79" w:rsidR="00D132F2" w:rsidRDefault="001702DF" w:rsidP="00D51A71">
      <w:pPr>
        <w:jc w:val="center"/>
        <w:rPr>
          <w:b/>
          <w:color w:val="215E99" w:themeColor="text2" w:themeTint="BF"/>
          <w:sz w:val="40"/>
          <w:szCs w:val="40"/>
        </w:rPr>
      </w:pPr>
      <w:r>
        <w:rPr>
          <w:b/>
          <w:color w:val="215E99" w:themeColor="text2" w:themeTint="BF"/>
          <w:sz w:val="40"/>
          <w:szCs w:val="40"/>
        </w:rPr>
        <w:t xml:space="preserve">Závazný metodický pokyn </w:t>
      </w:r>
      <w:r w:rsidR="00240A88">
        <w:rPr>
          <w:b/>
          <w:color w:val="215E99" w:themeColor="text2" w:themeTint="BF"/>
          <w:sz w:val="40"/>
          <w:szCs w:val="40"/>
        </w:rPr>
        <w:t>pro tvorbu Integrovaného plánu udržitelné mobility městských uzlů TEN-T</w:t>
      </w:r>
    </w:p>
    <w:p w14:paraId="7E3A4501" w14:textId="77777777" w:rsidR="00705CDF" w:rsidRDefault="00705CDF" w:rsidP="00D51A71">
      <w:pPr>
        <w:jc w:val="center"/>
        <w:rPr>
          <w:b/>
          <w:color w:val="215E99" w:themeColor="text2" w:themeTint="BF"/>
          <w:sz w:val="40"/>
          <w:szCs w:val="40"/>
        </w:rPr>
      </w:pPr>
    </w:p>
    <w:p w14:paraId="7D83AFE6" w14:textId="5BC14537" w:rsidR="00705CDF" w:rsidRPr="008D4124" w:rsidRDefault="003217AA" w:rsidP="00D51A71">
      <w:pPr>
        <w:jc w:val="center"/>
        <w:rPr>
          <w:bCs/>
          <w:color w:val="215E99" w:themeColor="text2" w:themeTint="BF"/>
          <w:sz w:val="28"/>
          <w:szCs w:val="28"/>
        </w:rPr>
      </w:pPr>
      <w:r>
        <w:rPr>
          <w:bCs/>
          <w:color w:val="215E99" w:themeColor="text2" w:themeTint="BF"/>
          <w:sz w:val="28"/>
          <w:szCs w:val="28"/>
        </w:rPr>
        <w:t>Březen</w:t>
      </w:r>
      <w:r w:rsidR="008D4124" w:rsidRPr="008D4124">
        <w:rPr>
          <w:bCs/>
          <w:color w:val="215E99" w:themeColor="text2" w:themeTint="BF"/>
          <w:sz w:val="28"/>
          <w:szCs w:val="28"/>
        </w:rPr>
        <w:t xml:space="preserve"> 2026</w:t>
      </w:r>
    </w:p>
    <w:p w14:paraId="518BAACA" w14:textId="77777777" w:rsidR="00D132F2" w:rsidRDefault="00D132F2">
      <w:pPr>
        <w:rPr>
          <w:rFonts w:asciiTheme="majorHAnsi" w:eastAsiaTheme="majorEastAsia" w:hAnsiTheme="majorHAnsi" w:cstheme="majorBidi"/>
          <w:color w:val="0F4761" w:themeColor="accent1" w:themeShade="BF"/>
          <w:sz w:val="40"/>
          <w:szCs w:val="40"/>
        </w:rPr>
      </w:pPr>
      <w:r>
        <w:br w:type="page"/>
      </w:r>
    </w:p>
    <w:sdt>
      <w:sdtPr>
        <w:rPr>
          <w:rFonts w:asciiTheme="minorHAnsi" w:eastAsiaTheme="minorHAnsi" w:hAnsiTheme="minorHAnsi" w:cstheme="minorBidi"/>
          <w:color w:val="auto"/>
          <w:kern w:val="2"/>
          <w:sz w:val="22"/>
          <w:szCs w:val="22"/>
          <w:lang w:eastAsia="en-US"/>
          <w14:ligatures w14:val="standardContextual"/>
        </w:rPr>
        <w:id w:val="1842727684"/>
        <w:docPartObj>
          <w:docPartGallery w:val="Table of Contents"/>
          <w:docPartUnique/>
        </w:docPartObj>
      </w:sdtPr>
      <w:sdtContent>
        <w:p w14:paraId="50482058" w14:textId="14215E04" w:rsidR="00ED1BDB" w:rsidRDefault="00ED1BDB">
          <w:pPr>
            <w:pStyle w:val="Nadpisobsahu"/>
          </w:pPr>
          <w:r>
            <w:t>Obsah</w:t>
          </w:r>
        </w:p>
        <w:p w14:paraId="7B303543" w14:textId="6ACF35FD" w:rsidR="004F2482" w:rsidRDefault="00EA7CB3">
          <w:pPr>
            <w:pStyle w:val="Obsah1"/>
            <w:tabs>
              <w:tab w:val="left" w:pos="426"/>
              <w:tab w:val="right" w:leader="dot" w:pos="9062"/>
            </w:tabs>
            <w:rPr>
              <w:rFonts w:eastAsiaTheme="minorEastAsia"/>
              <w:noProof/>
              <w:sz w:val="24"/>
              <w:szCs w:val="24"/>
              <w:lang w:eastAsia="cs-CZ"/>
            </w:rPr>
          </w:pPr>
          <w:r>
            <w:fldChar w:fldCharType="begin"/>
          </w:r>
          <w:r w:rsidR="00ED1BDB">
            <w:instrText>TOC \o "1-3" \z \u \h</w:instrText>
          </w:r>
          <w:r>
            <w:fldChar w:fldCharType="separate"/>
          </w:r>
          <w:hyperlink w:anchor="_Toc223424914" w:history="1">
            <w:r w:rsidR="004F2482" w:rsidRPr="00304837">
              <w:rPr>
                <w:rStyle w:val="Hypertextovodkaz"/>
                <w:noProof/>
              </w:rPr>
              <w:t>1.</w:t>
            </w:r>
            <w:r w:rsidR="004F2482">
              <w:rPr>
                <w:rFonts w:eastAsiaTheme="minorEastAsia"/>
                <w:noProof/>
                <w:sz w:val="24"/>
                <w:szCs w:val="24"/>
                <w:lang w:eastAsia="cs-CZ"/>
              </w:rPr>
              <w:tab/>
            </w:r>
            <w:r w:rsidR="004F2482" w:rsidRPr="00304837">
              <w:rPr>
                <w:rStyle w:val="Hypertextovodkaz"/>
                <w:noProof/>
              </w:rPr>
              <w:t>Úvod</w:t>
            </w:r>
            <w:r w:rsidR="004F2482">
              <w:rPr>
                <w:noProof/>
                <w:webHidden/>
              </w:rPr>
              <w:tab/>
            </w:r>
            <w:r w:rsidR="004F2482">
              <w:rPr>
                <w:noProof/>
                <w:webHidden/>
              </w:rPr>
              <w:fldChar w:fldCharType="begin"/>
            </w:r>
            <w:r w:rsidR="004F2482">
              <w:rPr>
                <w:noProof/>
                <w:webHidden/>
              </w:rPr>
              <w:instrText xml:space="preserve"> PAGEREF _Toc223424914 \h </w:instrText>
            </w:r>
            <w:r w:rsidR="004F2482">
              <w:rPr>
                <w:noProof/>
                <w:webHidden/>
              </w:rPr>
            </w:r>
            <w:r w:rsidR="004F2482">
              <w:rPr>
                <w:noProof/>
                <w:webHidden/>
              </w:rPr>
              <w:fldChar w:fldCharType="separate"/>
            </w:r>
            <w:r w:rsidR="004F2482">
              <w:rPr>
                <w:noProof/>
                <w:webHidden/>
              </w:rPr>
              <w:t>2</w:t>
            </w:r>
            <w:r w:rsidR="004F2482">
              <w:rPr>
                <w:noProof/>
                <w:webHidden/>
              </w:rPr>
              <w:fldChar w:fldCharType="end"/>
            </w:r>
          </w:hyperlink>
        </w:p>
        <w:p w14:paraId="037843AE" w14:textId="69FBCD49" w:rsidR="004F2482" w:rsidRDefault="004F2482">
          <w:pPr>
            <w:pStyle w:val="Obsah1"/>
            <w:tabs>
              <w:tab w:val="left" w:pos="426"/>
              <w:tab w:val="right" w:leader="dot" w:pos="9062"/>
            </w:tabs>
            <w:rPr>
              <w:rFonts w:eastAsiaTheme="minorEastAsia"/>
              <w:noProof/>
              <w:sz w:val="24"/>
              <w:szCs w:val="24"/>
              <w:lang w:eastAsia="cs-CZ"/>
            </w:rPr>
          </w:pPr>
          <w:hyperlink w:anchor="_Toc223424915" w:history="1">
            <w:r w:rsidRPr="00304837">
              <w:rPr>
                <w:rStyle w:val="Hypertextovodkaz"/>
                <w:noProof/>
              </w:rPr>
              <w:t>2.</w:t>
            </w:r>
            <w:r>
              <w:rPr>
                <w:rFonts w:eastAsiaTheme="minorEastAsia"/>
                <w:noProof/>
                <w:sz w:val="24"/>
                <w:szCs w:val="24"/>
                <w:lang w:eastAsia="cs-CZ"/>
              </w:rPr>
              <w:tab/>
            </w:r>
            <w:r w:rsidRPr="00304837">
              <w:rPr>
                <w:rStyle w:val="Hypertextovodkaz"/>
                <w:noProof/>
              </w:rPr>
              <w:t>Evropská východiska</w:t>
            </w:r>
            <w:r>
              <w:rPr>
                <w:noProof/>
                <w:webHidden/>
              </w:rPr>
              <w:tab/>
            </w:r>
            <w:r>
              <w:rPr>
                <w:noProof/>
                <w:webHidden/>
              </w:rPr>
              <w:fldChar w:fldCharType="begin"/>
            </w:r>
            <w:r>
              <w:rPr>
                <w:noProof/>
                <w:webHidden/>
              </w:rPr>
              <w:instrText xml:space="preserve"> PAGEREF _Toc223424915 \h </w:instrText>
            </w:r>
            <w:r>
              <w:rPr>
                <w:noProof/>
                <w:webHidden/>
              </w:rPr>
            </w:r>
            <w:r>
              <w:rPr>
                <w:noProof/>
                <w:webHidden/>
              </w:rPr>
              <w:fldChar w:fldCharType="separate"/>
            </w:r>
            <w:r>
              <w:rPr>
                <w:noProof/>
                <w:webHidden/>
              </w:rPr>
              <w:t>4</w:t>
            </w:r>
            <w:r>
              <w:rPr>
                <w:noProof/>
                <w:webHidden/>
              </w:rPr>
              <w:fldChar w:fldCharType="end"/>
            </w:r>
          </w:hyperlink>
        </w:p>
        <w:p w14:paraId="37C912E6" w14:textId="104B5299" w:rsidR="004F2482" w:rsidRDefault="004F2482">
          <w:pPr>
            <w:pStyle w:val="Obsah2"/>
            <w:rPr>
              <w:rFonts w:eastAsiaTheme="minorEastAsia"/>
              <w:noProof/>
              <w:sz w:val="24"/>
              <w:szCs w:val="24"/>
              <w:lang w:eastAsia="cs-CZ"/>
            </w:rPr>
          </w:pPr>
          <w:hyperlink w:anchor="_Toc223424916" w:history="1">
            <w:r w:rsidRPr="00304837">
              <w:rPr>
                <w:rStyle w:val="Hypertextovodkaz"/>
                <w:noProof/>
              </w:rPr>
              <w:t>Nařízení TEN-T č. 2024/1679</w:t>
            </w:r>
            <w:r>
              <w:rPr>
                <w:noProof/>
                <w:webHidden/>
              </w:rPr>
              <w:tab/>
            </w:r>
            <w:r>
              <w:rPr>
                <w:noProof/>
                <w:webHidden/>
              </w:rPr>
              <w:fldChar w:fldCharType="begin"/>
            </w:r>
            <w:r>
              <w:rPr>
                <w:noProof/>
                <w:webHidden/>
              </w:rPr>
              <w:instrText xml:space="preserve"> PAGEREF _Toc223424916 \h </w:instrText>
            </w:r>
            <w:r>
              <w:rPr>
                <w:noProof/>
                <w:webHidden/>
              </w:rPr>
            </w:r>
            <w:r>
              <w:rPr>
                <w:noProof/>
                <w:webHidden/>
              </w:rPr>
              <w:fldChar w:fldCharType="separate"/>
            </w:r>
            <w:r>
              <w:rPr>
                <w:noProof/>
                <w:webHidden/>
              </w:rPr>
              <w:t>4</w:t>
            </w:r>
            <w:r>
              <w:rPr>
                <w:noProof/>
                <w:webHidden/>
              </w:rPr>
              <w:fldChar w:fldCharType="end"/>
            </w:r>
          </w:hyperlink>
        </w:p>
        <w:p w14:paraId="37E6CD3C" w14:textId="56FE1FD3" w:rsidR="004F2482" w:rsidRDefault="004F2482">
          <w:pPr>
            <w:pStyle w:val="Obsah2"/>
            <w:rPr>
              <w:rFonts w:eastAsiaTheme="minorEastAsia"/>
              <w:noProof/>
              <w:sz w:val="24"/>
              <w:szCs w:val="24"/>
              <w:lang w:eastAsia="cs-CZ"/>
            </w:rPr>
          </w:pPr>
          <w:hyperlink w:anchor="_Toc223424917" w:history="1">
            <w:r w:rsidRPr="00304837">
              <w:rPr>
                <w:rStyle w:val="Hypertextovodkaz"/>
                <w:noProof/>
              </w:rPr>
              <w:t>Evropská cyklistická deklarace</w:t>
            </w:r>
            <w:r>
              <w:rPr>
                <w:noProof/>
                <w:webHidden/>
              </w:rPr>
              <w:tab/>
            </w:r>
            <w:r>
              <w:rPr>
                <w:noProof/>
                <w:webHidden/>
              </w:rPr>
              <w:fldChar w:fldCharType="begin"/>
            </w:r>
            <w:r>
              <w:rPr>
                <w:noProof/>
                <w:webHidden/>
              </w:rPr>
              <w:instrText xml:space="preserve"> PAGEREF _Toc223424917 \h </w:instrText>
            </w:r>
            <w:r>
              <w:rPr>
                <w:noProof/>
                <w:webHidden/>
              </w:rPr>
            </w:r>
            <w:r>
              <w:rPr>
                <w:noProof/>
                <w:webHidden/>
              </w:rPr>
              <w:fldChar w:fldCharType="separate"/>
            </w:r>
            <w:r>
              <w:rPr>
                <w:noProof/>
                <w:webHidden/>
              </w:rPr>
              <w:t>7</w:t>
            </w:r>
            <w:r>
              <w:rPr>
                <w:noProof/>
                <w:webHidden/>
              </w:rPr>
              <w:fldChar w:fldCharType="end"/>
            </w:r>
          </w:hyperlink>
        </w:p>
        <w:p w14:paraId="2C5C3BCF" w14:textId="221B8472" w:rsidR="004F2482" w:rsidRDefault="004F2482">
          <w:pPr>
            <w:pStyle w:val="Obsah2"/>
            <w:rPr>
              <w:rFonts w:eastAsiaTheme="minorEastAsia"/>
              <w:noProof/>
              <w:sz w:val="24"/>
              <w:szCs w:val="24"/>
              <w:lang w:eastAsia="cs-CZ"/>
            </w:rPr>
          </w:pPr>
          <w:hyperlink w:anchor="_Toc223424918" w:history="1">
            <w:r w:rsidRPr="00304837">
              <w:rPr>
                <w:rStyle w:val="Hypertextovodkaz"/>
                <w:noProof/>
              </w:rPr>
              <w:t>Guidelines for developing and implementing a sustainable urban mobility plan 2.0</w:t>
            </w:r>
            <w:r>
              <w:rPr>
                <w:noProof/>
                <w:webHidden/>
              </w:rPr>
              <w:tab/>
            </w:r>
            <w:r>
              <w:rPr>
                <w:noProof/>
                <w:webHidden/>
              </w:rPr>
              <w:fldChar w:fldCharType="begin"/>
            </w:r>
            <w:r>
              <w:rPr>
                <w:noProof/>
                <w:webHidden/>
              </w:rPr>
              <w:instrText xml:space="preserve"> PAGEREF _Toc223424918 \h </w:instrText>
            </w:r>
            <w:r>
              <w:rPr>
                <w:noProof/>
                <w:webHidden/>
              </w:rPr>
            </w:r>
            <w:r>
              <w:rPr>
                <w:noProof/>
                <w:webHidden/>
              </w:rPr>
              <w:fldChar w:fldCharType="separate"/>
            </w:r>
            <w:r>
              <w:rPr>
                <w:noProof/>
                <w:webHidden/>
              </w:rPr>
              <w:t>9</w:t>
            </w:r>
            <w:r>
              <w:rPr>
                <w:noProof/>
                <w:webHidden/>
              </w:rPr>
              <w:fldChar w:fldCharType="end"/>
            </w:r>
          </w:hyperlink>
        </w:p>
        <w:p w14:paraId="696F32D6" w14:textId="7526C3D7" w:rsidR="004F2482" w:rsidRDefault="004F2482">
          <w:pPr>
            <w:pStyle w:val="Obsah3"/>
            <w:tabs>
              <w:tab w:val="right" w:leader="dot" w:pos="9062"/>
            </w:tabs>
            <w:rPr>
              <w:rFonts w:eastAsiaTheme="minorEastAsia"/>
              <w:noProof/>
              <w:sz w:val="24"/>
              <w:szCs w:val="24"/>
              <w:lang w:eastAsia="cs-CZ"/>
            </w:rPr>
          </w:pPr>
          <w:hyperlink w:anchor="_Toc223424919" w:history="1">
            <w:r w:rsidRPr="00304837">
              <w:rPr>
                <w:rStyle w:val="Hypertextovodkaz"/>
                <w:rFonts w:asciiTheme="majorHAnsi" w:hAnsiTheme="majorHAnsi"/>
                <w:noProof/>
              </w:rPr>
              <w:t>Integrovaný SUMP pro městské uzly TEN-T (ISUMP)</w:t>
            </w:r>
            <w:r>
              <w:rPr>
                <w:noProof/>
                <w:webHidden/>
              </w:rPr>
              <w:tab/>
            </w:r>
            <w:r>
              <w:rPr>
                <w:noProof/>
                <w:webHidden/>
              </w:rPr>
              <w:fldChar w:fldCharType="begin"/>
            </w:r>
            <w:r>
              <w:rPr>
                <w:noProof/>
                <w:webHidden/>
              </w:rPr>
              <w:instrText xml:space="preserve"> PAGEREF _Toc223424919 \h </w:instrText>
            </w:r>
            <w:r>
              <w:rPr>
                <w:noProof/>
                <w:webHidden/>
              </w:rPr>
            </w:r>
            <w:r>
              <w:rPr>
                <w:noProof/>
                <w:webHidden/>
              </w:rPr>
              <w:fldChar w:fldCharType="separate"/>
            </w:r>
            <w:r>
              <w:rPr>
                <w:noProof/>
                <w:webHidden/>
              </w:rPr>
              <w:t>10</w:t>
            </w:r>
            <w:r>
              <w:rPr>
                <w:noProof/>
                <w:webHidden/>
              </w:rPr>
              <w:fldChar w:fldCharType="end"/>
            </w:r>
          </w:hyperlink>
        </w:p>
        <w:p w14:paraId="69FE363F" w14:textId="47EE536D" w:rsidR="004F2482" w:rsidRDefault="004F2482">
          <w:pPr>
            <w:pStyle w:val="Obsah3"/>
            <w:tabs>
              <w:tab w:val="right" w:leader="dot" w:pos="9062"/>
            </w:tabs>
            <w:rPr>
              <w:rFonts w:eastAsiaTheme="minorEastAsia"/>
              <w:noProof/>
              <w:sz w:val="24"/>
              <w:szCs w:val="24"/>
              <w:lang w:eastAsia="cs-CZ"/>
            </w:rPr>
          </w:pPr>
          <w:hyperlink w:anchor="_Toc223424920" w:history="1">
            <w:r w:rsidRPr="00304837">
              <w:rPr>
                <w:rStyle w:val="Hypertextovodkaz"/>
                <w:noProof/>
              </w:rPr>
              <w:t>Ukazatelé udržitelné městské mobility (SUMi)</w:t>
            </w:r>
            <w:r>
              <w:rPr>
                <w:noProof/>
                <w:webHidden/>
              </w:rPr>
              <w:tab/>
            </w:r>
            <w:r>
              <w:rPr>
                <w:noProof/>
                <w:webHidden/>
              </w:rPr>
              <w:fldChar w:fldCharType="begin"/>
            </w:r>
            <w:r>
              <w:rPr>
                <w:noProof/>
                <w:webHidden/>
              </w:rPr>
              <w:instrText xml:space="preserve"> PAGEREF _Toc223424920 \h </w:instrText>
            </w:r>
            <w:r>
              <w:rPr>
                <w:noProof/>
                <w:webHidden/>
              </w:rPr>
            </w:r>
            <w:r>
              <w:rPr>
                <w:noProof/>
                <w:webHidden/>
              </w:rPr>
              <w:fldChar w:fldCharType="separate"/>
            </w:r>
            <w:r>
              <w:rPr>
                <w:noProof/>
                <w:webHidden/>
              </w:rPr>
              <w:t>12</w:t>
            </w:r>
            <w:r>
              <w:rPr>
                <w:noProof/>
                <w:webHidden/>
              </w:rPr>
              <w:fldChar w:fldCharType="end"/>
            </w:r>
          </w:hyperlink>
        </w:p>
        <w:p w14:paraId="58740E6A" w14:textId="2708F67A" w:rsidR="004F2482" w:rsidRDefault="004F2482">
          <w:pPr>
            <w:pStyle w:val="Obsah2"/>
            <w:rPr>
              <w:rFonts w:eastAsiaTheme="minorEastAsia"/>
              <w:noProof/>
              <w:sz w:val="24"/>
              <w:szCs w:val="24"/>
              <w:lang w:eastAsia="cs-CZ"/>
            </w:rPr>
          </w:pPr>
          <w:hyperlink w:anchor="_Toc223424921" w:history="1">
            <w:r w:rsidRPr="00304837">
              <w:rPr>
                <w:rStyle w:val="Hypertextovodkaz"/>
                <w:noProof/>
              </w:rPr>
              <w:t>Národní program SUMP</w:t>
            </w:r>
            <w:r>
              <w:rPr>
                <w:noProof/>
                <w:webHidden/>
              </w:rPr>
              <w:tab/>
            </w:r>
            <w:r>
              <w:rPr>
                <w:noProof/>
                <w:webHidden/>
              </w:rPr>
              <w:fldChar w:fldCharType="begin"/>
            </w:r>
            <w:r>
              <w:rPr>
                <w:noProof/>
                <w:webHidden/>
              </w:rPr>
              <w:instrText xml:space="preserve"> PAGEREF _Toc223424921 \h </w:instrText>
            </w:r>
            <w:r>
              <w:rPr>
                <w:noProof/>
                <w:webHidden/>
              </w:rPr>
            </w:r>
            <w:r>
              <w:rPr>
                <w:noProof/>
                <w:webHidden/>
              </w:rPr>
              <w:fldChar w:fldCharType="separate"/>
            </w:r>
            <w:r>
              <w:rPr>
                <w:noProof/>
                <w:webHidden/>
              </w:rPr>
              <w:t>14</w:t>
            </w:r>
            <w:r>
              <w:rPr>
                <w:noProof/>
                <w:webHidden/>
              </w:rPr>
              <w:fldChar w:fldCharType="end"/>
            </w:r>
          </w:hyperlink>
        </w:p>
        <w:p w14:paraId="7759D830" w14:textId="612F80E9" w:rsidR="004F2482" w:rsidRDefault="004F2482">
          <w:pPr>
            <w:pStyle w:val="Obsah3"/>
            <w:tabs>
              <w:tab w:val="right" w:leader="dot" w:pos="9062"/>
            </w:tabs>
            <w:rPr>
              <w:rFonts w:eastAsiaTheme="minorEastAsia"/>
              <w:noProof/>
              <w:sz w:val="24"/>
              <w:szCs w:val="24"/>
              <w:lang w:eastAsia="cs-CZ"/>
            </w:rPr>
          </w:pPr>
          <w:hyperlink w:anchor="_Toc223424922" w:history="1">
            <w:r w:rsidRPr="00304837">
              <w:rPr>
                <w:rStyle w:val="Hypertextovodkaz"/>
                <w:rFonts w:asciiTheme="majorHAnsi" w:hAnsiTheme="majorHAnsi"/>
                <w:noProof/>
              </w:rPr>
              <w:t>Postup schválení ISUMP</w:t>
            </w:r>
            <w:r>
              <w:rPr>
                <w:noProof/>
                <w:webHidden/>
              </w:rPr>
              <w:tab/>
            </w:r>
            <w:r>
              <w:rPr>
                <w:noProof/>
                <w:webHidden/>
              </w:rPr>
              <w:fldChar w:fldCharType="begin"/>
            </w:r>
            <w:r>
              <w:rPr>
                <w:noProof/>
                <w:webHidden/>
              </w:rPr>
              <w:instrText xml:space="preserve"> PAGEREF _Toc223424922 \h </w:instrText>
            </w:r>
            <w:r>
              <w:rPr>
                <w:noProof/>
                <w:webHidden/>
              </w:rPr>
            </w:r>
            <w:r>
              <w:rPr>
                <w:noProof/>
                <w:webHidden/>
              </w:rPr>
              <w:fldChar w:fldCharType="separate"/>
            </w:r>
            <w:r>
              <w:rPr>
                <w:noProof/>
                <w:webHidden/>
              </w:rPr>
              <w:t>14</w:t>
            </w:r>
            <w:r>
              <w:rPr>
                <w:noProof/>
                <w:webHidden/>
              </w:rPr>
              <w:fldChar w:fldCharType="end"/>
            </w:r>
          </w:hyperlink>
        </w:p>
        <w:p w14:paraId="4CC7A7EA" w14:textId="75B5B42D" w:rsidR="004F2482" w:rsidRDefault="004F2482">
          <w:pPr>
            <w:pStyle w:val="Obsah3"/>
            <w:tabs>
              <w:tab w:val="right" w:leader="dot" w:pos="9062"/>
            </w:tabs>
            <w:rPr>
              <w:rFonts w:eastAsiaTheme="minorEastAsia"/>
              <w:noProof/>
              <w:sz w:val="24"/>
              <w:szCs w:val="24"/>
              <w:lang w:eastAsia="cs-CZ"/>
            </w:rPr>
          </w:pPr>
          <w:hyperlink w:anchor="_Toc223424923" w:history="1">
            <w:r w:rsidRPr="00304837">
              <w:rPr>
                <w:rStyle w:val="Hypertextovodkaz"/>
                <w:rFonts w:eastAsia="Times New Roman" w:cs="Arial"/>
                <w:noProof/>
                <w:lang w:eastAsia="cs-CZ"/>
              </w:rPr>
              <w:t>Příloha</w:t>
            </w:r>
            <w:r>
              <w:rPr>
                <w:noProof/>
                <w:webHidden/>
              </w:rPr>
              <w:tab/>
            </w:r>
            <w:r>
              <w:rPr>
                <w:noProof/>
                <w:webHidden/>
              </w:rPr>
              <w:fldChar w:fldCharType="begin"/>
            </w:r>
            <w:r>
              <w:rPr>
                <w:noProof/>
                <w:webHidden/>
              </w:rPr>
              <w:instrText xml:space="preserve"> PAGEREF _Toc223424923 \h </w:instrText>
            </w:r>
            <w:r>
              <w:rPr>
                <w:noProof/>
                <w:webHidden/>
              </w:rPr>
            </w:r>
            <w:r>
              <w:rPr>
                <w:noProof/>
                <w:webHidden/>
              </w:rPr>
              <w:fldChar w:fldCharType="separate"/>
            </w:r>
            <w:r>
              <w:rPr>
                <w:noProof/>
                <w:webHidden/>
              </w:rPr>
              <w:t>15</w:t>
            </w:r>
            <w:r>
              <w:rPr>
                <w:noProof/>
                <w:webHidden/>
              </w:rPr>
              <w:fldChar w:fldCharType="end"/>
            </w:r>
          </w:hyperlink>
        </w:p>
        <w:p w14:paraId="22CFD0EB" w14:textId="2281AD3A" w:rsidR="00EA7CB3" w:rsidRDefault="00EA7CB3" w:rsidP="414D2D82">
          <w:pPr>
            <w:pStyle w:val="Obsah3"/>
            <w:tabs>
              <w:tab w:val="right" w:leader="dot" w:pos="9060"/>
            </w:tabs>
            <w:rPr>
              <w:rStyle w:val="Hypertextovodkaz"/>
              <w:noProof/>
              <w:lang w:eastAsia="cs-CZ"/>
            </w:rPr>
          </w:pPr>
          <w:r>
            <w:fldChar w:fldCharType="end"/>
          </w:r>
        </w:p>
      </w:sdtContent>
    </w:sdt>
    <w:p w14:paraId="7A0DAD7A" w14:textId="198E833E" w:rsidR="00ED1BDB" w:rsidRDefault="00ED1BDB"/>
    <w:p w14:paraId="66300A5E" w14:textId="77777777" w:rsidR="00D132F2" w:rsidRDefault="00D132F2">
      <w:pPr>
        <w:rPr>
          <w:rFonts w:asciiTheme="majorHAnsi" w:eastAsiaTheme="majorEastAsia" w:hAnsiTheme="majorHAnsi" w:cstheme="majorBidi"/>
          <w:color w:val="0F4761" w:themeColor="accent1" w:themeShade="BF"/>
          <w:sz w:val="40"/>
          <w:szCs w:val="40"/>
        </w:rPr>
      </w:pPr>
      <w:r>
        <w:br w:type="page"/>
      </w:r>
    </w:p>
    <w:p w14:paraId="17026308" w14:textId="037F2853" w:rsidR="0056737D" w:rsidRDefault="0056737D" w:rsidP="00773181">
      <w:pPr>
        <w:pStyle w:val="Nadpis1"/>
        <w:numPr>
          <w:ilvl w:val="0"/>
          <w:numId w:val="19"/>
        </w:numPr>
        <w:ind w:left="567" w:hanging="567"/>
      </w:pPr>
      <w:bookmarkStart w:id="0" w:name="_Toc223424914"/>
      <w:r>
        <w:lastRenderedPageBreak/>
        <w:t>Úvod</w:t>
      </w:r>
      <w:bookmarkEnd w:id="0"/>
    </w:p>
    <w:p w14:paraId="0F26CE72" w14:textId="2FA8DA3B" w:rsidR="002831F2" w:rsidRPr="0029058E" w:rsidRDefault="00575C92" w:rsidP="0056737D">
      <w:pPr>
        <w:jc w:val="both"/>
        <w:rPr>
          <w:sz w:val="24"/>
          <w:szCs w:val="24"/>
        </w:rPr>
      </w:pPr>
      <w:r w:rsidRPr="00DE6D93">
        <w:rPr>
          <w:sz w:val="24"/>
          <w:szCs w:val="24"/>
        </w:rPr>
        <w:t>Závazný metodický pokyn pro tvorbu Integrovaného plánu udržitelné mobility městských uzlů TEN-T</w:t>
      </w:r>
      <w:r w:rsidR="002F325F" w:rsidRPr="00DE6D93">
        <w:rPr>
          <w:sz w:val="24"/>
          <w:szCs w:val="24"/>
        </w:rPr>
        <w:t xml:space="preserve"> (dále jen Metodický pokyn)</w:t>
      </w:r>
      <w:r w:rsidRPr="00DE6D93">
        <w:rPr>
          <w:sz w:val="24"/>
          <w:szCs w:val="24"/>
        </w:rPr>
        <w:t xml:space="preserve"> je </w:t>
      </w:r>
      <w:r w:rsidR="00AA79AE" w:rsidRPr="00DE6D93">
        <w:rPr>
          <w:sz w:val="24"/>
          <w:szCs w:val="24"/>
        </w:rPr>
        <w:t xml:space="preserve">koncipován jako návazný dokument na </w:t>
      </w:r>
      <w:r w:rsidR="002831F2" w:rsidRPr="00DE6D93">
        <w:rPr>
          <w:i/>
          <w:iCs/>
          <w:sz w:val="24"/>
          <w:szCs w:val="24"/>
        </w:rPr>
        <w:t>Koncepc</w:t>
      </w:r>
      <w:r w:rsidR="005F546C" w:rsidRPr="00DE6D93">
        <w:rPr>
          <w:i/>
          <w:iCs/>
          <w:sz w:val="24"/>
          <w:szCs w:val="24"/>
        </w:rPr>
        <w:t>i</w:t>
      </w:r>
      <w:r w:rsidR="002831F2" w:rsidRPr="00DE6D93">
        <w:rPr>
          <w:i/>
          <w:iCs/>
          <w:sz w:val="24"/>
          <w:szCs w:val="24"/>
        </w:rPr>
        <w:t xml:space="preserve"> městské a aktivní mobility</w:t>
      </w:r>
      <w:r w:rsidR="00AA79AE" w:rsidRPr="00DE6D93">
        <w:rPr>
          <w:i/>
          <w:iCs/>
          <w:sz w:val="24"/>
          <w:szCs w:val="24"/>
        </w:rPr>
        <w:t xml:space="preserve"> pro období 2021-2030</w:t>
      </w:r>
      <w:r w:rsidR="00FC33FF" w:rsidRPr="00DE6D93">
        <w:rPr>
          <w:sz w:val="24"/>
          <w:szCs w:val="24"/>
        </w:rPr>
        <w:t xml:space="preserve"> (dále jen Koncepce)</w:t>
      </w:r>
      <w:r w:rsidR="005F546C" w:rsidRPr="00DE6D93">
        <w:rPr>
          <w:sz w:val="24"/>
          <w:szCs w:val="24"/>
        </w:rPr>
        <w:t xml:space="preserve">, která vychází z </w:t>
      </w:r>
      <w:r w:rsidR="002831F2" w:rsidRPr="00DE6D93">
        <w:rPr>
          <w:sz w:val="24"/>
          <w:szCs w:val="24"/>
        </w:rPr>
        <w:t>dokument</w:t>
      </w:r>
      <w:r w:rsidR="005F546C" w:rsidRPr="00DE6D93">
        <w:rPr>
          <w:sz w:val="24"/>
          <w:szCs w:val="24"/>
        </w:rPr>
        <w:t>u</w:t>
      </w:r>
      <w:r w:rsidR="002831F2" w:rsidRPr="00DE6D93">
        <w:rPr>
          <w:sz w:val="24"/>
          <w:szCs w:val="24"/>
        </w:rPr>
        <w:t xml:space="preserve"> </w:t>
      </w:r>
      <w:r w:rsidR="002831F2" w:rsidRPr="00DE6D93">
        <w:rPr>
          <w:i/>
          <w:iCs/>
          <w:sz w:val="24"/>
          <w:szCs w:val="24"/>
        </w:rPr>
        <w:t>Dopravní politik</w:t>
      </w:r>
      <w:r w:rsidR="002F325F" w:rsidRPr="00DE6D93">
        <w:rPr>
          <w:i/>
          <w:iCs/>
          <w:sz w:val="24"/>
          <w:szCs w:val="24"/>
        </w:rPr>
        <w:t>a</w:t>
      </w:r>
      <w:r w:rsidR="002831F2" w:rsidRPr="00DE6D93">
        <w:rPr>
          <w:i/>
          <w:iCs/>
          <w:sz w:val="24"/>
          <w:szCs w:val="24"/>
        </w:rPr>
        <w:t xml:space="preserve"> České republiky pro období 2021–2027 s výhledem do roku 2050</w:t>
      </w:r>
      <w:r w:rsidR="002F325F" w:rsidRPr="00DE6D93">
        <w:rPr>
          <w:i/>
          <w:iCs/>
          <w:sz w:val="24"/>
          <w:szCs w:val="24"/>
        </w:rPr>
        <w:t>.</w:t>
      </w:r>
      <w:r w:rsidR="0029058E">
        <w:rPr>
          <w:i/>
          <w:iCs/>
          <w:sz w:val="24"/>
          <w:szCs w:val="24"/>
        </w:rPr>
        <w:t xml:space="preserve"> </w:t>
      </w:r>
      <w:r w:rsidR="0029058E" w:rsidRPr="0029058E">
        <w:rPr>
          <w:sz w:val="24"/>
          <w:szCs w:val="24"/>
        </w:rPr>
        <w:t>Tento dokument má za cíl zajistit efektivní přenesení evropských zásad v dané oblasti na národní úroveň a zároveň zajištění souladu se stávajícími základními strategickými dokumenty v oblasti dopravy a plánování udržitelné městské mobility na území České republiky</w:t>
      </w:r>
      <w:r w:rsidR="0029058E">
        <w:rPr>
          <w:sz w:val="24"/>
          <w:szCs w:val="24"/>
        </w:rPr>
        <w:t>.</w:t>
      </w:r>
    </w:p>
    <w:p w14:paraId="30D390CC" w14:textId="7CF78007" w:rsidR="00534DE3" w:rsidRPr="00DE6D93" w:rsidRDefault="00534DE3" w:rsidP="00DF1078">
      <w:pPr>
        <w:jc w:val="both"/>
        <w:rPr>
          <w:sz w:val="24"/>
          <w:szCs w:val="24"/>
        </w:rPr>
      </w:pPr>
      <w:r w:rsidRPr="00DE6D93">
        <w:rPr>
          <w:sz w:val="24"/>
          <w:szCs w:val="24"/>
          <w:lang w:bidi="cs-CZ"/>
        </w:rPr>
        <w:t>Problematika plánování udržitelné městské mobility i nadále patří do samostatné působnosti jednotlivých měst.</w:t>
      </w:r>
      <w:r w:rsidR="00B9676B" w:rsidRPr="00DE6D93">
        <w:rPr>
          <w:sz w:val="24"/>
          <w:szCs w:val="24"/>
          <w:lang w:bidi="cs-CZ"/>
        </w:rPr>
        <w:t xml:space="preserve"> Podpora krajů a obcí je zásadní pro sídelní a regionální mobilitu. Princip SUMP se stane společným plánovacím nástrojem na všech úrovních: EU, ČR, krajské, městské i přípravy samostatných staveb.  </w:t>
      </w:r>
      <w:r w:rsidR="00B9555A" w:rsidRPr="00DE6D93">
        <w:rPr>
          <w:sz w:val="24"/>
          <w:szCs w:val="24"/>
          <w:lang w:bidi="cs-CZ"/>
        </w:rPr>
        <w:t xml:space="preserve">V podmínkách České </w:t>
      </w:r>
      <w:r w:rsidR="00DF1078" w:rsidRPr="00DE6D93">
        <w:rPr>
          <w:sz w:val="24"/>
          <w:szCs w:val="24"/>
          <w:lang w:bidi="cs-CZ"/>
        </w:rPr>
        <w:t xml:space="preserve">republiky </w:t>
      </w:r>
      <w:r w:rsidR="00525408" w:rsidRPr="00DE6D93">
        <w:rPr>
          <w:sz w:val="24"/>
          <w:szCs w:val="24"/>
          <w:lang w:bidi="cs-CZ"/>
        </w:rPr>
        <w:t>ř</w:t>
      </w:r>
      <w:r w:rsidR="00525408" w:rsidRPr="00DE6D93">
        <w:rPr>
          <w:sz w:val="24"/>
          <w:szCs w:val="24"/>
        </w:rPr>
        <w:t>ešení SUMP ale vyžaduje jiné zaměření ve městech velkých a jiné ve městech menších, a to se</w:t>
      </w:r>
      <w:r w:rsidR="00525408" w:rsidRPr="00DE6D93">
        <w:rPr>
          <w:sz w:val="24"/>
          <w:szCs w:val="24"/>
          <w:lang w:bidi="cs-CZ"/>
        </w:rPr>
        <w:t xml:space="preserve"> zohledněním</w:t>
      </w:r>
      <w:r w:rsidR="00DF1078" w:rsidRPr="00DE6D93">
        <w:rPr>
          <w:sz w:val="24"/>
          <w:szCs w:val="24"/>
          <w:lang w:bidi="cs-CZ"/>
        </w:rPr>
        <w:t xml:space="preserve"> velikost</w:t>
      </w:r>
      <w:r w:rsidR="004B327A" w:rsidRPr="00DE6D93">
        <w:rPr>
          <w:sz w:val="24"/>
          <w:szCs w:val="24"/>
          <w:lang w:bidi="cs-CZ"/>
        </w:rPr>
        <w:t>i</w:t>
      </w:r>
      <w:r w:rsidR="00DF1078" w:rsidRPr="00DE6D93">
        <w:rPr>
          <w:sz w:val="24"/>
          <w:szCs w:val="24"/>
          <w:lang w:bidi="cs-CZ"/>
        </w:rPr>
        <w:t xml:space="preserve"> města,</w:t>
      </w:r>
      <w:r w:rsidR="00182EB5" w:rsidRPr="00DE6D93">
        <w:rPr>
          <w:sz w:val="24"/>
          <w:szCs w:val="24"/>
          <w:lang w:bidi="cs-CZ"/>
        </w:rPr>
        <w:t xml:space="preserve"> </w:t>
      </w:r>
      <w:r w:rsidR="00DF1078" w:rsidRPr="00DE6D93">
        <w:rPr>
          <w:sz w:val="24"/>
          <w:szCs w:val="24"/>
          <w:lang w:bidi="cs-CZ"/>
        </w:rPr>
        <w:t>velikost</w:t>
      </w:r>
      <w:r w:rsidR="004B327A" w:rsidRPr="00DE6D93">
        <w:rPr>
          <w:sz w:val="24"/>
          <w:szCs w:val="24"/>
          <w:lang w:bidi="cs-CZ"/>
        </w:rPr>
        <w:t>i</w:t>
      </w:r>
      <w:r w:rsidR="00DF1078" w:rsidRPr="00DE6D93">
        <w:rPr>
          <w:sz w:val="24"/>
          <w:szCs w:val="24"/>
          <w:lang w:bidi="cs-CZ"/>
        </w:rPr>
        <w:t xml:space="preserve"> a</w:t>
      </w:r>
      <w:r w:rsidR="00182EB5" w:rsidRPr="00DE6D93">
        <w:rPr>
          <w:sz w:val="24"/>
          <w:szCs w:val="24"/>
          <w:lang w:bidi="cs-CZ"/>
        </w:rPr>
        <w:t xml:space="preserve"> t</w:t>
      </w:r>
      <w:r w:rsidR="00DF1078" w:rsidRPr="00DE6D93">
        <w:rPr>
          <w:sz w:val="24"/>
          <w:szCs w:val="24"/>
          <w:lang w:bidi="cs-CZ"/>
        </w:rPr>
        <w:t>yp</w:t>
      </w:r>
      <w:r w:rsidR="004B327A" w:rsidRPr="00DE6D93">
        <w:rPr>
          <w:sz w:val="24"/>
          <w:szCs w:val="24"/>
          <w:lang w:bidi="cs-CZ"/>
        </w:rPr>
        <w:t>u</w:t>
      </w:r>
      <w:r w:rsidR="00DF1078" w:rsidRPr="00DE6D93">
        <w:rPr>
          <w:sz w:val="24"/>
          <w:szCs w:val="24"/>
          <w:lang w:bidi="cs-CZ"/>
        </w:rPr>
        <w:t xml:space="preserve"> aglomerace </w:t>
      </w:r>
      <w:r w:rsidR="004B327A" w:rsidRPr="00DE6D93">
        <w:rPr>
          <w:sz w:val="24"/>
          <w:szCs w:val="24"/>
          <w:lang w:bidi="cs-CZ"/>
        </w:rPr>
        <w:t>včetně</w:t>
      </w:r>
      <w:r w:rsidR="00DF1078" w:rsidRPr="00DE6D93">
        <w:rPr>
          <w:sz w:val="24"/>
          <w:szCs w:val="24"/>
          <w:lang w:bidi="cs-CZ"/>
        </w:rPr>
        <w:t xml:space="preserve"> míry suburbanizace,</w:t>
      </w:r>
      <w:r w:rsidR="004B327A" w:rsidRPr="00DE6D93">
        <w:rPr>
          <w:sz w:val="24"/>
          <w:szCs w:val="24"/>
          <w:lang w:bidi="cs-CZ"/>
        </w:rPr>
        <w:t xml:space="preserve"> </w:t>
      </w:r>
      <w:r w:rsidR="00DF1078" w:rsidRPr="00DE6D93">
        <w:rPr>
          <w:sz w:val="24"/>
          <w:szCs w:val="24"/>
          <w:lang w:bidi="cs-CZ"/>
        </w:rPr>
        <w:t>geomorfologie města,</w:t>
      </w:r>
      <w:r w:rsidR="00182EB5" w:rsidRPr="00DE6D93">
        <w:rPr>
          <w:sz w:val="24"/>
          <w:szCs w:val="24"/>
          <w:lang w:bidi="cs-CZ"/>
        </w:rPr>
        <w:t xml:space="preserve"> </w:t>
      </w:r>
      <w:r w:rsidR="00DF1078" w:rsidRPr="00DE6D93">
        <w:rPr>
          <w:sz w:val="24"/>
          <w:szCs w:val="24"/>
          <w:lang w:bidi="cs-CZ"/>
        </w:rPr>
        <w:t>typ</w:t>
      </w:r>
      <w:r w:rsidR="00182EB5" w:rsidRPr="00DE6D93">
        <w:rPr>
          <w:sz w:val="24"/>
          <w:szCs w:val="24"/>
          <w:lang w:bidi="cs-CZ"/>
        </w:rPr>
        <w:t xml:space="preserve">u </w:t>
      </w:r>
      <w:r w:rsidR="00DF1078" w:rsidRPr="00DE6D93">
        <w:rPr>
          <w:sz w:val="24"/>
          <w:szCs w:val="24"/>
          <w:lang w:bidi="cs-CZ"/>
        </w:rPr>
        <w:t xml:space="preserve">zástavby a </w:t>
      </w:r>
      <w:r w:rsidR="00182EB5" w:rsidRPr="00DE6D93">
        <w:rPr>
          <w:sz w:val="24"/>
          <w:szCs w:val="24"/>
          <w:lang w:bidi="cs-CZ"/>
        </w:rPr>
        <w:t>k</w:t>
      </w:r>
      <w:r w:rsidR="00DF1078" w:rsidRPr="00DE6D93">
        <w:rPr>
          <w:sz w:val="24"/>
          <w:szCs w:val="24"/>
          <w:lang w:bidi="cs-CZ"/>
        </w:rPr>
        <w:t>oncentrace osídlení města.</w:t>
      </w:r>
    </w:p>
    <w:p w14:paraId="05E3869D" w14:textId="2E9E6F76" w:rsidR="0056737D" w:rsidRPr="00DE6D93" w:rsidRDefault="0056737D" w:rsidP="0056737D">
      <w:pPr>
        <w:jc w:val="both"/>
        <w:rPr>
          <w:sz w:val="24"/>
          <w:szCs w:val="24"/>
        </w:rPr>
      </w:pPr>
      <w:r w:rsidRPr="00DE6D93">
        <w:rPr>
          <w:sz w:val="24"/>
          <w:szCs w:val="24"/>
        </w:rPr>
        <w:t>V rámci balíčku pro městskou mobilitu z roku 2013</w:t>
      </w:r>
      <w:r w:rsidRPr="00DE6D93">
        <w:rPr>
          <w:rStyle w:val="Znakapoznpodarou"/>
          <w:sz w:val="24"/>
          <w:szCs w:val="24"/>
        </w:rPr>
        <w:footnoteReference w:id="1"/>
      </w:r>
      <w:r w:rsidRPr="00DE6D93">
        <w:rPr>
          <w:sz w:val="24"/>
          <w:szCs w:val="24"/>
        </w:rPr>
        <w:t xml:space="preserve"> byla představena koncepce plánů udržitelné městské mobility jakožto základní kámen rámce pro obce, města a regiony k řešení problémů politiky městské mobility. V roce 2023 Evropská komise vydala aktualizovaná doporučení pro plánování udržitelné městské mobility</w:t>
      </w:r>
      <w:r w:rsidRPr="00DE6D93">
        <w:rPr>
          <w:rStyle w:val="Znakapoznpodarou"/>
          <w:sz w:val="24"/>
          <w:szCs w:val="24"/>
        </w:rPr>
        <w:footnoteReference w:id="2"/>
      </w:r>
      <w:r w:rsidRPr="00DE6D93">
        <w:rPr>
          <w:sz w:val="24"/>
          <w:szCs w:val="24"/>
        </w:rPr>
        <w:t>. </w:t>
      </w:r>
    </w:p>
    <w:p w14:paraId="04AFEBA9" w14:textId="114EC4E6" w:rsidR="0056737D" w:rsidRPr="00DE6D93" w:rsidRDefault="0056737D" w:rsidP="0056737D">
      <w:pPr>
        <w:jc w:val="both"/>
        <w:rPr>
          <w:sz w:val="24"/>
          <w:szCs w:val="24"/>
        </w:rPr>
      </w:pPr>
      <w:r w:rsidRPr="00DE6D93">
        <w:rPr>
          <w:sz w:val="24"/>
          <w:szCs w:val="24"/>
        </w:rPr>
        <w:t>Návrh revidovaného nařízení o TEN-T č. 1679/2024</w:t>
      </w:r>
      <w:r w:rsidRPr="00DE6D93">
        <w:rPr>
          <w:rStyle w:val="Znakapoznpodarou"/>
          <w:sz w:val="24"/>
          <w:szCs w:val="24"/>
        </w:rPr>
        <w:footnoteReference w:id="3"/>
      </w:r>
      <w:r w:rsidRPr="00DE6D93">
        <w:rPr>
          <w:sz w:val="24"/>
          <w:szCs w:val="24"/>
        </w:rPr>
        <w:t xml:space="preserve"> (dále jen Nařízení) zahrnuje posílení role měst jako důležitých uzlů pro udržitelnou, bezpečnou, efektivní a multimodální dopravu v celé Evropě i mimo ni, aby bylo možné zajistit účinné fungování sítě TEN-T. Nařízení vymezuje novou kategorii měst – tzv. městské uzly TEN-T (</w:t>
      </w:r>
      <w:proofErr w:type="spellStart"/>
      <w:r w:rsidRPr="00DE6D93">
        <w:rPr>
          <w:sz w:val="24"/>
          <w:szCs w:val="24"/>
        </w:rPr>
        <w:t>urban</w:t>
      </w:r>
      <w:proofErr w:type="spellEnd"/>
      <w:r w:rsidRPr="00DE6D93">
        <w:rPr>
          <w:sz w:val="24"/>
          <w:szCs w:val="24"/>
        </w:rPr>
        <w:t xml:space="preserve"> </w:t>
      </w:r>
      <w:proofErr w:type="spellStart"/>
      <w:r w:rsidRPr="00DE6D93">
        <w:rPr>
          <w:sz w:val="24"/>
          <w:szCs w:val="24"/>
        </w:rPr>
        <w:t>nodes</w:t>
      </w:r>
      <w:proofErr w:type="spellEnd"/>
      <w:r w:rsidRPr="00DE6D93">
        <w:rPr>
          <w:sz w:val="24"/>
          <w:szCs w:val="24"/>
        </w:rPr>
        <w:t>) a stanovuje pro ně konkrétní požadavky a priority. Nařízení definuje celkem 10 městských uzlů na území České republiky</w:t>
      </w:r>
      <w:r w:rsidR="00BD33FB" w:rsidRPr="00DE6D93">
        <w:rPr>
          <w:sz w:val="24"/>
          <w:szCs w:val="24"/>
        </w:rPr>
        <w:t xml:space="preserve">, </w:t>
      </w:r>
      <w:r w:rsidR="003468A4" w:rsidRPr="00DE6D93">
        <w:rPr>
          <w:sz w:val="24"/>
          <w:szCs w:val="24"/>
        </w:rPr>
        <w:t>které nově budou řešit v rámci SUMP národní, regionální a městskou úroveň tzv. Integrovaný SUMP (ISUMP)</w:t>
      </w:r>
      <w:r w:rsidRPr="00DE6D93">
        <w:rPr>
          <w:sz w:val="24"/>
          <w:szCs w:val="24"/>
        </w:rPr>
        <w:t xml:space="preserve">. </w:t>
      </w:r>
    </w:p>
    <w:p w14:paraId="6BF075D4" w14:textId="250C7753" w:rsidR="0056737D" w:rsidRDefault="0056737D" w:rsidP="0056737D">
      <w:pPr>
        <w:jc w:val="both"/>
        <w:rPr>
          <w:sz w:val="24"/>
          <w:szCs w:val="24"/>
        </w:rPr>
      </w:pPr>
      <w:r w:rsidRPr="00DE6D93">
        <w:rPr>
          <w:sz w:val="24"/>
          <w:szCs w:val="24"/>
        </w:rPr>
        <w:t>Plánování udržitelné městské mobility (SUMP) je strategický a integrovaný přístup k řešení složitosti městské dopravy v širších souvislostech. Jeho hlavním cílem je zlepšit dostupnost a kvalitu života dosažením přechodu k udržitelné mobilitě. SUMP se zasazuje o rozhodování založené na faktech a vedené dlouhodobou vizí udržitelné mobility. Klíčovými prvky jsou důkladné posouzení současné situace a budoucích trendů, široce podporovaná společná vize se strategickými cíli a integrovaný soubor regulačních, propagačních, finančních, technických a infrastrukturních opatření k dosažení těchto cílů, jejichž realizace by měla být doprovázena spolehlivým monitorováním a hodnocením.</w:t>
      </w:r>
    </w:p>
    <w:p w14:paraId="39E9ABBD" w14:textId="3B179AF8" w:rsidR="00875B5B" w:rsidRDefault="00875B5B" w:rsidP="00875B5B">
      <w:pPr>
        <w:jc w:val="both"/>
        <w:rPr>
          <w:sz w:val="24"/>
          <w:szCs w:val="24"/>
        </w:rPr>
      </w:pPr>
      <w:r>
        <w:rPr>
          <w:sz w:val="24"/>
          <w:szCs w:val="24"/>
        </w:rPr>
        <w:lastRenderedPageBreak/>
        <w:t>Cílem</w:t>
      </w:r>
      <w:r w:rsidRPr="00875B5B">
        <w:rPr>
          <w:bCs/>
          <w:sz w:val="24"/>
          <w:szCs w:val="24"/>
        </w:rPr>
        <w:t xml:space="preserve"> dokumentu je poskytnout </w:t>
      </w:r>
      <w:r w:rsidR="002F41A3">
        <w:rPr>
          <w:b/>
          <w:sz w:val="24"/>
          <w:szCs w:val="24"/>
        </w:rPr>
        <w:t>metodický</w:t>
      </w:r>
      <w:r w:rsidRPr="00875B5B">
        <w:rPr>
          <w:b/>
          <w:sz w:val="24"/>
          <w:szCs w:val="24"/>
        </w:rPr>
        <w:t xml:space="preserve"> rámec</w:t>
      </w:r>
      <w:r w:rsidRPr="00875B5B">
        <w:rPr>
          <w:bCs/>
          <w:sz w:val="24"/>
          <w:szCs w:val="24"/>
        </w:rPr>
        <w:t xml:space="preserve">, který umožní vytvořit podmínky </w:t>
      </w:r>
      <w:r w:rsidRPr="00875B5B">
        <w:rPr>
          <w:b/>
          <w:sz w:val="24"/>
          <w:szCs w:val="24"/>
        </w:rPr>
        <w:t xml:space="preserve">funkčního </w:t>
      </w:r>
      <w:bookmarkStart w:id="1" w:name="_Hlk200111532"/>
      <w:r w:rsidRPr="00875B5B">
        <w:rPr>
          <w:b/>
          <w:sz w:val="24"/>
          <w:szCs w:val="24"/>
        </w:rPr>
        <w:t xml:space="preserve">plánování udržitelné městské mobility </w:t>
      </w:r>
      <w:bookmarkEnd w:id="1"/>
      <w:r w:rsidRPr="00875B5B">
        <w:rPr>
          <w:b/>
          <w:sz w:val="24"/>
          <w:szCs w:val="24"/>
        </w:rPr>
        <w:t>na úrovni městských uzlů České republiky</w:t>
      </w:r>
      <w:r w:rsidR="00E31F65">
        <w:rPr>
          <w:b/>
          <w:sz w:val="24"/>
          <w:szCs w:val="24"/>
        </w:rPr>
        <w:t>.</w:t>
      </w:r>
      <w:r w:rsidRPr="00875B5B">
        <w:rPr>
          <w:b/>
          <w:sz w:val="24"/>
          <w:szCs w:val="24"/>
        </w:rPr>
        <w:t xml:space="preserve"> </w:t>
      </w:r>
      <w:r w:rsidR="00A611C9">
        <w:rPr>
          <w:sz w:val="24"/>
          <w:szCs w:val="24"/>
        </w:rPr>
        <w:t xml:space="preserve">Účelem je </w:t>
      </w:r>
      <w:r w:rsidRPr="00875B5B">
        <w:rPr>
          <w:sz w:val="24"/>
          <w:szCs w:val="24"/>
        </w:rPr>
        <w:t>vytvoř</w:t>
      </w:r>
      <w:r w:rsidR="00457CB3">
        <w:rPr>
          <w:sz w:val="24"/>
          <w:szCs w:val="24"/>
        </w:rPr>
        <w:t>it</w:t>
      </w:r>
      <w:r w:rsidRPr="00875B5B">
        <w:rPr>
          <w:sz w:val="24"/>
          <w:szCs w:val="24"/>
        </w:rPr>
        <w:t xml:space="preserve"> prostor vzájemné spolupráce a společného dialogu všech relevantních aktérů tak, aby s ohledem na zajištění principu subsidiarity a souladu evropského právního rámce a národních specifik bylo</w:t>
      </w:r>
      <w:r w:rsidRPr="00875B5B">
        <w:rPr>
          <w:b/>
          <w:bCs/>
          <w:sz w:val="24"/>
          <w:szCs w:val="24"/>
        </w:rPr>
        <w:t xml:space="preserve"> </w:t>
      </w:r>
      <w:r w:rsidRPr="00875B5B">
        <w:rPr>
          <w:sz w:val="24"/>
          <w:szCs w:val="24"/>
        </w:rPr>
        <w:t xml:space="preserve">plánování udržitelné městské mobility v podmínkách městských uzlů ČR efektivní. </w:t>
      </w:r>
      <w:r w:rsidR="00D85954">
        <w:rPr>
          <w:sz w:val="24"/>
          <w:szCs w:val="24"/>
        </w:rPr>
        <w:t>M</w:t>
      </w:r>
      <w:r w:rsidR="00E5145D" w:rsidRPr="00E5145D">
        <w:rPr>
          <w:bCs/>
          <w:sz w:val="24"/>
          <w:szCs w:val="24"/>
        </w:rPr>
        <w:t>etodik</w:t>
      </w:r>
      <w:r w:rsidR="00D85954">
        <w:rPr>
          <w:bCs/>
          <w:sz w:val="24"/>
          <w:szCs w:val="24"/>
        </w:rPr>
        <w:t>a</w:t>
      </w:r>
      <w:r w:rsidR="00E5145D" w:rsidRPr="00E5145D">
        <w:rPr>
          <w:bCs/>
          <w:sz w:val="24"/>
          <w:szCs w:val="24"/>
        </w:rPr>
        <w:t xml:space="preserve"> rovněž zohled</w:t>
      </w:r>
      <w:r w:rsidR="00387871">
        <w:rPr>
          <w:bCs/>
          <w:sz w:val="24"/>
          <w:szCs w:val="24"/>
        </w:rPr>
        <w:t xml:space="preserve">ňuje </w:t>
      </w:r>
      <w:r w:rsidR="00E5145D" w:rsidRPr="00E5145D">
        <w:rPr>
          <w:bCs/>
          <w:sz w:val="24"/>
          <w:szCs w:val="24"/>
        </w:rPr>
        <w:t>specifika České republiky, tzn. dosavadní dlouhodobé trendy v oblasti městské mobility, struktur</w:t>
      </w:r>
      <w:r w:rsidR="00387871">
        <w:rPr>
          <w:bCs/>
          <w:sz w:val="24"/>
          <w:szCs w:val="24"/>
        </w:rPr>
        <w:t>u</w:t>
      </w:r>
      <w:r w:rsidR="00E5145D" w:rsidRPr="00E5145D">
        <w:rPr>
          <w:bCs/>
          <w:sz w:val="24"/>
          <w:szCs w:val="24"/>
        </w:rPr>
        <w:t xml:space="preserve"> kompetencí mezi státní správou, krajskou samosprávou a samosprávou obecní úrovně.</w:t>
      </w:r>
    </w:p>
    <w:p w14:paraId="521DD98E" w14:textId="77777777" w:rsidR="00887FB7" w:rsidRDefault="00887FB7" w:rsidP="00887FB7">
      <w:pPr>
        <w:jc w:val="both"/>
        <w:rPr>
          <w:bCs/>
          <w:sz w:val="24"/>
          <w:szCs w:val="24"/>
        </w:rPr>
      </w:pPr>
      <w:r w:rsidRPr="00887FB7">
        <w:rPr>
          <w:bCs/>
          <w:sz w:val="24"/>
          <w:szCs w:val="24"/>
        </w:rPr>
        <w:t>Téma udržitelné městské mobility představuje nejen z evropského pohledu dlouhodobě vysokou prioritu. Tato problematika je silně akcentována při plánování hlavních dlouhodobých strategií rozvoje Evropské unie</w:t>
      </w:r>
      <w:r w:rsidRPr="00887FB7">
        <w:rPr>
          <w:bCs/>
          <w:sz w:val="24"/>
          <w:szCs w:val="24"/>
          <w:vertAlign w:val="superscript"/>
        </w:rPr>
        <w:footnoteReference w:id="4"/>
      </w:r>
      <w:r w:rsidRPr="00887FB7">
        <w:rPr>
          <w:bCs/>
          <w:sz w:val="24"/>
          <w:szCs w:val="24"/>
        </w:rPr>
        <w:t>, stejně jako je její význam pevně zakotven v rámci celosvětově definovaných cílů udržitelného rozvoje (</w:t>
      </w:r>
      <w:proofErr w:type="spellStart"/>
      <w:r w:rsidRPr="00887FB7">
        <w:rPr>
          <w:bCs/>
          <w:sz w:val="24"/>
          <w:szCs w:val="24"/>
        </w:rPr>
        <w:t>SDGs</w:t>
      </w:r>
      <w:proofErr w:type="spellEnd"/>
      <w:r w:rsidRPr="00887FB7">
        <w:rPr>
          <w:bCs/>
          <w:sz w:val="24"/>
          <w:szCs w:val="24"/>
        </w:rPr>
        <w:t>) OSN pro období 2015–2030, na jejichž formulaci se podílely všechny členské státy OSN včetně ČR</w:t>
      </w:r>
      <w:r w:rsidRPr="00887FB7">
        <w:rPr>
          <w:bCs/>
          <w:sz w:val="24"/>
          <w:szCs w:val="24"/>
          <w:vertAlign w:val="superscript"/>
        </w:rPr>
        <w:footnoteReference w:id="5"/>
      </w:r>
      <w:r w:rsidRPr="00887FB7">
        <w:rPr>
          <w:bCs/>
          <w:sz w:val="24"/>
          <w:szCs w:val="24"/>
        </w:rPr>
        <w:t>.</w:t>
      </w:r>
    </w:p>
    <w:p w14:paraId="437AE26C" w14:textId="77777777" w:rsidR="000F3EB5" w:rsidRPr="000F3EB5" w:rsidRDefault="000F3EB5" w:rsidP="00D77BB6">
      <w:pPr>
        <w:spacing w:before="60"/>
        <w:jc w:val="both"/>
        <w:rPr>
          <w:sz w:val="24"/>
          <w:szCs w:val="24"/>
        </w:rPr>
      </w:pPr>
      <w:r w:rsidRPr="000F3EB5">
        <w:rPr>
          <w:sz w:val="24"/>
          <w:szCs w:val="24"/>
        </w:rPr>
        <w:t>Hodnocení balíčku</w:t>
      </w:r>
      <w:r w:rsidRPr="000F3EB5">
        <w:rPr>
          <w:rStyle w:val="Znakapoznpodarou"/>
          <w:sz w:val="24"/>
          <w:szCs w:val="24"/>
        </w:rPr>
        <w:footnoteReference w:id="6"/>
      </w:r>
      <w:r w:rsidRPr="000F3EB5">
        <w:rPr>
          <w:sz w:val="24"/>
          <w:szCs w:val="24"/>
        </w:rPr>
        <w:t xml:space="preserve"> poukázalo na několik problémů, zejména na nedostatečné zavádění plánů v rámci celé Unie – což potvrzuje také </w:t>
      </w:r>
      <w:r w:rsidRPr="000F3EB5">
        <w:rPr>
          <w:i/>
          <w:iCs/>
          <w:sz w:val="24"/>
          <w:szCs w:val="24"/>
        </w:rPr>
        <w:t>Koncepce městské a aktivní mobility pro období 2021</w:t>
      </w:r>
      <w:r w:rsidRPr="000F3EB5">
        <w:rPr>
          <w:rFonts w:cs="Arial"/>
          <w:bCs/>
          <w:sz w:val="24"/>
          <w:szCs w:val="24"/>
        </w:rPr>
        <w:t>–</w:t>
      </w:r>
      <w:r w:rsidRPr="000F3EB5">
        <w:rPr>
          <w:i/>
          <w:iCs/>
          <w:sz w:val="24"/>
          <w:szCs w:val="24"/>
        </w:rPr>
        <w:t>2030</w:t>
      </w:r>
      <w:r w:rsidRPr="000F3EB5">
        <w:rPr>
          <w:sz w:val="24"/>
          <w:szCs w:val="24"/>
        </w:rPr>
        <w:t>, která uvádí, že v současné době není plán udržitelné městské mobility (dále také jen „</w:t>
      </w:r>
      <w:r w:rsidRPr="000F3EB5">
        <w:rPr>
          <w:i/>
          <w:iCs/>
          <w:sz w:val="24"/>
          <w:szCs w:val="24"/>
        </w:rPr>
        <w:t>SUMP</w:t>
      </w:r>
      <w:r w:rsidRPr="000F3EB5">
        <w:rPr>
          <w:sz w:val="24"/>
          <w:szCs w:val="24"/>
        </w:rPr>
        <w:t>“ – z angl. termínu „</w:t>
      </w:r>
      <w:proofErr w:type="spellStart"/>
      <w:r w:rsidRPr="000F3EB5">
        <w:rPr>
          <w:i/>
          <w:iCs/>
          <w:sz w:val="24"/>
          <w:szCs w:val="24"/>
        </w:rPr>
        <w:t>Sustainable</w:t>
      </w:r>
      <w:proofErr w:type="spellEnd"/>
      <w:r w:rsidRPr="000F3EB5">
        <w:rPr>
          <w:i/>
          <w:iCs/>
          <w:sz w:val="24"/>
          <w:szCs w:val="24"/>
        </w:rPr>
        <w:t xml:space="preserve"> Urban Mobility</w:t>
      </w:r>
      <w:r w:rsidRPr="000F3EB5">
        <w:rPr>
          <w:sz w:val="24"/>
          <w:szCs w:val="24"/>
        </w:rPr>
        <w:t xml:space="preserve"> </w:t>
      </w:r>
      <w:proofErr w:type="spellStart"/>
      <w:r w:rsidRPr="000F3EB5">
        <w:rPr>
          <w:i/>
          <w:iCs/>
          <w:sz w:val="24"/>
          <w:szCs w:val="24"/>
        </w:rPr>
        <w:t>Plan</w:t>
      </w:r>
      <w:proofErr w:type="spellEnd"/>
      <w:r w:rsidRPr="000F3EB5">
        <w:rPr>
          <w:sz w:val="24"/>
          <w:szCs w:val="24"/>
        </w:rPr>
        <w:t xml:space="preserve">“) v českém plánovacím procesu nijak legislativně ukotven.  </w:t>
      </w:r>
    </w:p>
    <w:p w14:paraId="5C4D15CF" w14:textId="33DABA21" w:rsidR="000F3EB5" w:rsidRPr="000F3EB5" w:rsidRDefault="000F3EB5" w:rsidP="00D77BB6">
      <w:pPr>
        <w:jc w:val="both"/>
        <w:rPr>
          <w:sz w:val="24"/>
          <w:szCs w:val="24"/>
        </w:rPr>
      </w:pPr>
      <w:r w:rsidRPr="000F3EB5">
        <w:rPr>
          <w:sz w:val="24"/>
          <w:szCs w:val="24"/>
        </w:rPr>
        <w:t>Česká města však byla (a i nadále jsou) významně motivována k jeho pořízení – zejména prostřednictvím přímé vazby na využití podpory z Operačního programu Doprava (OPD2) a Integrovaného regionálního operačního programu (IROP). Zpracování SUMP je v současné době pro česká města povinné pro účely čerpání prostředků na dopravní opatření z programů implementovaných v rámci kohezní politiky programového období 2021</w:t>
      </w:r>
      <w:r w:rsidRPr="000F3EB5">
        <w:rPr>
          <w:rFonts w:cs="Arial"/>
          <w:bCs/>
          <w:sz w:val="24"/>
          <w:szCs w:val="24"/>
        </w:rPr>
        <w:t>–</w:t>
      </w:r>
      <w:r w:rsidRPr="000F3EB5">
        <w:rPr>
          <w:sz w:val="24"/>
          <w:szCs w:val="24"/>
        </w:rPr>
        <w:t>2027 (Program Doprava 2021</w:t>
      </w:r>
      <w:r w:rsidRPr="000F3EB5">
        <w:rPr>
          <w:rFonts w:cs="Arial"/>
          <w:bCs/>
          <w:sz w:val="24"/>
          <w:szCs w:val="24"/>
        </w:rPr>
        <w:t>–</w:t>
      </w:r>
      <w:r w:rsidRPr="000F3EB5">
        <w:rPr>
          <w:sz w:val="24"/>
          <w:szCs w:val="24"/>
        </w:rPr>
        <w:t>2027 a Integrovaný regionální program 2021</w:t>
      </w:r>
      <w:r w:rsidRPr="000F3EB5">
        <w:rPr>
          <w:rFonts w:cs="Arial"/>
          <w:bCs/>
          <w:sz w:val="24"/>
          <w:szCs w:val="24"/>
        </w:rPr>
        <w:t>–</w:t>
      </w:r>
      <w:r w:rsidRPr="000F3EB5">
        <w:rPr>
          <w:sz w:val="24"/>
          <w:szCs w:val="24"/>
        </w:rPr>
        <w:t>2027), v důsledku čehož m</w:t>
      </w:r>
      <w:r w:rsidR="00A50662">
        <w:rPr>
          <w:sz w:val="24"/>
          <w:szCs w:val="24"/>
        </w:rPr>
        <w:t>ají všechna</w:t>
      </w:r>
      <w:r w:rsidRPr="000F3EB5">
        <w:rPr>
          <w:sz w:val="24"/>
          <w:szCs w:val="24"/>
        </w:rPr>
        <w:t xml:space="preserve"> měst</w:t>
      </w:r>
      <w:r w:rsidR="00A50662">
        <w:rPr>
          <w:sz w:val="24"/>
          <w:szCs w:val="24"/>
        </w:rPr>
        <w:t>a</w:t>
      </w:r>
      <w:r w:rsidRPr="000F3EB5">
        <w:rPr>
          <w:sz w:val="24"/>
          <w:szCs w:val="24"/>
        </w:rPr>
        <w:t xml:space="preserve"> ČR o velikosti nad 40 tis. obyvatel zpracovaný a schválený SUMP, aniž by k tomu byla nucena legislativou. Rovněž pro budoucí programové období po roce 2028 se předpokládá, že dopravní projekty v městských oblastech budou muset být podloženy strategickými dokumenty typu ISUMP (viz dále).</w:t>
      </w:r>
    </w:p>
    <w:p w14:paraId="144A9878" w14:textId="77777777" w:rsidR="000F3EB5" w:rsidRPr="000F3EB5" w:rsidRDefault="000F3EB5" w:rsidP="00D77BB6">
      <w:pPr>
        <w:tabs>
          <w:tab w:val="left" w:pos="567"/>
        </w:tabs>
        <w:spacing w:before="60"/>
        <w:jc w:val="both"/>
        <w:rPr>
          <w:sz w:val="24"/>
          <w:szCs w:val="24"/>
        </w:rPr>
      </w:pPr>
      <w:r w:rsidRPr="000F3EB5">
        <w:rPr>
          <w:sz w:val="24"/>
          <w:szCs w:val="24"/>
        </w:rPr>
        <w:t xml:space="preserve">Mezi další zjištěné problémy patřil nedostatek důsledného shromažďování údajů o městské mobilitě a potřeba lepšího správního rámce EU, do něhož by byly členské státy a regionální a místní orgány více zapojeny. Ve své zprávě </w:t>
      </w:r>
      <w:r w:rsidRPr="000F3EB5">
        <w:rPr>
          <w:i/>
          <w:iCs/>
          <w:sz w:val="24"/>
          <w:szCs w:val="24"/>
        </w:rPr>
        <w:t>06/2020: Udržitelná městská mobilita v EU</w:t>
      </w:r>
      <w:r w:rsidRPr="000F3EB5">
        <w:rPr>
          <w:rStyle w:val="Znakapoznpodarou"/>
          <w:i/>
          <w:iCs/>
          <w:sz w:val="24"/>
          <w:szCs w:val="24"/>
        </w:rPr>
        <w:footnoteReference w:id="7"/>
      </w:r>
      <w:r w:rsidRPr="000F3EB5">
        <w:rPr>
          <w:sz w:val="24"/>
          <w:szCs w:val="24"/>
        </w:rPr>
        <w:t xml:space="preserve"> Evropský účetní dvůr zdůraznil, že členské státy a jejich města mají v souladu se zásadou subsidiarity odpovědnost za řízení politik městské mobility. Účetní </w:t>
      </w:r>
      <w:r w:rsidRPr="000F3EB5">
        <w:rPr>
          <w:sz w:val="24"/>
          <w:szCs w:val="24"/>
        </w:rPr>
        <w:lastRenderedPageBreak/>
        <w:t>dvůr zde poukázal na fakt, že vnitrostátní programy na podporu plánů udržitelné městské mobility by významně přispěly ke zlepšení vazeb mezi koncepcí plánů udržitelné městské mobility a místními plány udržitelné městské mobility.</w:t>
      </w:r>
    </w:p>
    <w:p w14:paraId="5CC7286F" w14:textId="77777777" w:rsidR="006D2040" w:rsidRPr="006D2040" w:rsidRDefault="006D2040" w:rsidP="008574A6">
      <w:pPr>
        <w:tabs>
          <w:tab w:val="left" w:pos="567"/>
        </w:tabs>
        <w:spacing w:before="60"/>
        <w:jc w:val="both"/>
        <w:rPr>
          <w:rFonts w:cs="Arial"/>
          <w:bCs/>
          <w:sz w:val="24"/>
          <w:szCs w:val="24"/>
        </w:rPr>
      </w:pPr>
      <w:r w:rsidRPr="006D2040">
        <w:rPr>
          <w:rFonts w:eastAsia="Calibri" w:cs="Arial"/>
          <w:bCs/>
          <w:sz w:val="24"/>
          <w:szCs w:val="24"/>
          <w:lang w:eastAsia="en-GB"/>
        </w:rPr>
        <w:t xml:space="preserve">V souvislosti s řešením udržitelné městské mobility v kontextu politiky TEN-T se ukázalo, že dosáhnout skutečně efektivního fungování společného celoevropského dopravního prostoru lze zabezpečením zesíleného zapojení prvku městských uzlů do řízení sítě TEN-T. </w:t>
      </w:r>
      <w:r w:rsidRPr="006D2040">
        <w:rPr>
          <w:rFonts w:cs="Arial"/>
          <w:bCs/>
          <w:sz w:val="24"/>
          <w:szCs w:val="24"/>
        </w:rPr>
        <w:t>V návaznosti na uvedená zjištění proto Evropský parlament a Rada EU potvrdily návrh Evropské komise týkající se revize evropské legislativy a tím došlo ke schválení Nařízení Evropského parlamentu a Rady (EU) 2024/1679 ze dne 13. června 2024 o hlavních směrech Unie pro rozvoj transevropské dopravní sítě, kde jsou prostřednictvím čl. 40–42 závazně zakotveny konkrétní aspekty řešení udržitelné městské mobility specificky pro městské uzly.</w:t>
      </w:r>
    </w:p>
    <w:p w14:paraId="5F670E80" w14:textId="77777777" w:rsidR="006D2040" w:rsidRPr="003036A1" w:rsidRDefault="006D2040" w:rsidP="008574A6">
      <w:pPr>
        <w:spacing w:before="60"/>
        <w:jc w:val="both"/>
        <w:rPr>
          <w:rFonts w:eastAsia="Calibri" w:cs="Arial"/>
          <w:b/>
          <w:sz w:val="24"/>
          <w:szCs w:val="24"/>
          <w:lang w:eastAsia="en-GB"/>
        </w:rPr>
      </w:pPr>
      <w:r w:rsidRPr="006D2040">
        <w:rPr>
          <w:rFonts w:eastAsia="Calibri" w:cs="Arial"/>
          <w:bCs/>
          <w:sz w:val="24"/>
          <w:szCs w:val="24"/>
          <w:lang w:eastAsia="en-GB"/>
        </w:rPr>
        <w:t>Vzhledem k tomu, že společný právní rámec stanovuje, že propojením sítí v rámci městských uzlů by se měly zabývat příslušné místní, regionální nebo celostátní orgány, zejména prostřednictvím příslušných opatření plánů udržitelné městské mobility</w:t>
      </w:r>
      <w:r w:rsidRPr="006D2040">
        <w:rPr>
          <w:rStyle w:val="Znakapoznpodarou"/>
          <w:rFonts w:eastAsia="Calibri" w:cs="Arial"/>
          <w:bCs/>
          <w:sz w:val="24"/>
          <w:szCs w:val="24"/>
          <w:lang w:eastAsia="en-GB"/>
        </w:rPr>
        <w:footnoteReference w:id="8"/>
      </w:r>
      <w:r w:rsidRPr="006D2040">
        <w:rPr>
          <w:rFonts w:eastAsia="Calibri" w:cs="Arial"/>
          <w:bCs/>
          <w:sz w:val="24"/>
          <w:szCs w:val="24"/>
          <w:lang w:eastAsia="en-GB"/>
        </w:rPr>
        <w:t xml:space="preserve">, představuje tento dokument transpozici právních povinností vyplývajících z evropské legislativy na národní úroveň. Zároveň je však nutné zdůraznit, že právní rámec na evropské úrovni stanovuje pouze minimální požadavky, které jsou na městské uzly kladeny. Bez ohledu na tyto požadavky </w:t>
      </w:r>
      <w:r w:rsidRPr="003036A1">
        <w:rPr>
          <w:rFonts w:eastAsia="Calibri" w:cs="Arial"/>
          <w:b/>
          <w:sz w:val="24"/>
          <w:szCs w:val="24"/>
          <w:lang w:eastAsia="en-GB"/>
        </w:rPr>
        <w:t>by měly všechny městské uzly v ČR pokračovat ve strategickém plánování udržitelné mobility v souladu s vlastními definovanými potřebami.</w:t>
      </w:r>
    </w:p>
    <w:p w14:paraId="62C264EC" w14:textId="60463F65" w:rsidR="00A82FBA" w:rsidRPr="003036A1" w:rsidRDefault="006D2040" w:rsidP="008574A6">
      <w:pPr>
        <w:jc w:val="both"/>
        <w:rPr>
          <w:bCs/>
          <w:sz w:val="24"/>
          <w:szCs w:val="24"/>
        </w:rPr>
      </w:pPr>
      <w:r w:rsidRPr="003036A1">
        <w:rPr>
          <w:rFonts w:eastAsia="Calibri" w:cs="Arial"/>
          <w:bCs/>
          <w:sz w:val="24"/>
          <w:szCs w:val="24"/>
          <w:lang w:eastAsia="en-GB"/>
        </w:rPr>
        <w:t xml:space="preserve">Cílem </w:t>
      </w:r>
      <w:r w:rsidR="000A7B7D">
        <w:rPr>
          <w:rFonts w:eastAsia="Calibri" w:cs="Arial"/>
          <w:bCs/>
          <w:sz w:val="24"/>
          <w:szCs w:val="24"/>
          <w:lang w:eastAsia="en-GB"/>
        </w:rPr>
        <w:t xml:space="preserve">tohoto metodického pokynu </w:t>
      </w:r>
      <w:r w:rsidRPr="003036A1">
        <w:rPr>
          <w:rFonts w:eastAsia="Calibri" w:cs="Arial"/>
          <w:bCs/>
          <w:sz w:val="24"/>
          <w:szCs w:val="24"/>
          <w:lang w:eastAsia="en-GB"/>
        </w:rPr>
        <w:t>je poskytnout metodický výklad klíčových aspektů a vymezit odpovědnost na dotčených úrovních v procesu strategického plánování udržitelné městské mobility městských uzlů v ČR.</w:t>
      </w:r>
    </w:p>
    <w:p w14:paraId="19DDBC6E" w14:textId="2D8D542A" w:rsidR="00F0749F" w:rsidRPr="00773181" w:rsidRDefault="0067149A" w:rsidP="00773181">
      <w:pPr>
        <w:pStyle w:val="Nadpis1"/>
        <w:numPr>
          <w:ilvl w:val="0"/>
          <w:numId w:val="19"/>
        </w:numPr>
        <w:ind w:left="567" w:hanging="567"/>
      </w:pPr>
      <w:bookmarkStart w:id="2" w:name="_Toc223424915"/>
      <w:r>
        <w:t>Evropská východiska</w:t>
      </w:r>
      <w:bookmarkEnd w:id="2"/>
    </w:p>
    <w:p w14:paraId="4CE1FB4B" w14:textId="435872E5" w:rsidR="007271A9" w:rsidRDefault="007271A9" w:rsidP="0067149A">
      <w:pPr>
        <w:pStyle w:val="Nadpis2"/>
      </w:pPr>
      <w:bookmarkStart w:id="3" w:name="_Toc223424916"/>
      <w:r w:rsidRPr="0067149A">
        <w:t>Nařízení TEN-T č. 2024/1679</w:t>
      </w:r>
      <w:bookmarkEnd w:id="3"/>
    </w:p>
    <w:p w14:paraId="50022579" w14:textId="14B8BB1E" w:rsidR="00216525" w:rsidRDefault="416C73B6" w:rsidP="001772C4">
      <w:pPr>
        <w:jc w:val="both"/>
        <w:rPr>
          <w:rFonts w:cs="Arial"/>
          <w:sz w:val="24"/>
          <w:szCs w:val="24"/>
          <w:lang w:eastAsia="cs-CZ"/>
        </w:rPr>
      </w:pPr>
      <w:r w:rsidRPr="0020650E">
        <w:rPr>
          <w:sz w:val="24"/>
          <w:szCs w:val="24"/>
        </w:rPr>
        <w:t>Nové nařízení Evropského parlamentu a Rady (EU) č. 2024/1679</w:t>
      </w:r>
      <w:r w:rsidR="00BE06A8">
        <w:rPr>
          <w:sz w:val="24"/>
          <w:szCs w:val="24"/>
        </w:rPr>
        <w:t xml:space="preserve"> (dále jen Nařízení TEN-T)</w:t>
      </w:r>
      <w:r w:rsidRPr="0020650E">
        <w:rPr>
          <w:sz w:val="24"/>
          <w:szCs w:val="24"/>
        </w:rPr>
        <w:t>, které vstoupilo v platnost 18. července 2024</w:t>
      </w:r>
      <w:r w:rsidR="004C5F6E">
        <w:rPr>
          <w:sz w:val="24"/>
          <w:szCs w:val="24"/>
        </w:rPr>
        <w:t>, p</w:t>
      </w:r>
      <w:r w:rsidR="61359AAD" w:rsidRPr="00062D9C">
        <w:rPr>
          <w:rFonts w:cs="Arial"/>
          <w:sz w:val="24"/>
          <w:szCs w:val="24"/>
          <w:lang w:eastAsia="cs-CZ"/>
        </w:rPr>
        <w:t xml:space="preserve">osiluje úlohu měst jako důležitých subjektů, které umožňují udržitelnou, efektivní a multimodální dopravu. Nařízení označuje 431 </w:t>
      </w:r>
      <w:r w:rsidR="00060995">
        <w:rPr>
          <w:rFonts w:cs="Arial"/>
          <w:sz w:val="24"/>
          <w:szCs w:val="24"/>
          <w:lang w:eastAsia="cs-CZ"/>
        </w:rPr>
        <w:t xml:space="preserve">evropských </w:t>
      </w:r>
      <w:r w:rsidR="61359AAD" w:rsidRPr="00062D9C">
        <w:rPr>
          <w:rFonts w:cs="Arial"/>
          <w:sz w:val="24"/>
          <w:szCs w:val="24"/>
          <w:lang w:eastAsia="cs-CZ"/>
        </w:rPr>
        <w:t>měst jako městské uzly a stanov</w:t>
      </w:r>
      <w:r w:rsidR="004C5F6E">
        <w:rPr>
          <w:rFonts w:cs="Arial"/>
          <w:sz w:val="24"/>
          <w:szCs w:val="24"/>
          <w:lang w:eastAsia="cs-CZ"/>
        </w:rPr>
        <w:t xml:space="preserve">uje </w:t>
      </w:r>
      <w:r w:rsidR="61359AAD" w:rsidRPr="00062D9C">
        <w:rPr>
          <w:rFonts w:cs="Arial"/>
          <w:sz w:val="24"/>
          <w:szCs w:val="24"/>
          <w:lang w:eastAsia="cs-CZ"/>
        </w:rPr>
        <w:t xml:space="preserve">pro ně konkrétní požadavky s cílem podpořit plynulé dopravní toky z městských uzlů, do nich a přes ně v síti TEN-T. </w:t>
      </w:r>
    </w:p>
    <w:p w14:paraId="32273104" w14:textId="3EFC9574" w:rsidR="003F3F58" w:rsidRDefault="2D8F19BA" w:rsidP="003F3F58">
      <w:pPr>
        <w:jc w:val="both"/>
        <w:rPr>
          <w:rFonts w:cs="Arial"/>
          <w:sz w:val="24"/>
          <w:szCs w:val="24"/>
          <w:lang w:eastAsia="cs-CZ"/>
        </w:rPr>
      </w:pPr>
      <w:r w:rsidRPr="00A865E2">
        <w:rPr>
          <w:rFonts w:cs="Arial"/>
          <w:sz w:val="24"/>
          <w:szCs w:val="24"/>
          <w:lang w:eastAsia="cs-CZ"/>
        </w:rPr>
        <w:t>Současné Nařízení TEN-T oproti předchozí platné legislativě</w:t>
      </w:r>
      <w:r w:rsidR="00066F0B" w:rsidRPr="00A865E2">
        <w:rPr>
          <w:rStyle w:val="Znakapoznpodarou"/>
          <w:rFonts w:cs="Arial"/>
          <w:sz w:val="24"/>
          <w:szCs w:val="24"/>
          <w:lang w:eastAsia="cs-CZ"/>
        </w:rPr>
        <w:footnoteReference w:id="9"/>
      </w:r>
      <w:r w:rsidRPr="00A865E2">
        <w:rPr>
          <w:rFonts w:cs="Arial"/>
          <w:sz w:val="24"/>
          <w:szCs w:val="24"/>
          <w:lang w:eastAsia="cs-CZ"/>
        </w:rPr>
        <w:t xml:space="preserve"> nyní závazně vymezuje problematiku městských uzlů v rámci vlastní legislativní části </w:t>
      </w:r>
      <w:r w:rsidR="00665DBD">
        <w:rPr>
          <w:rFonts w:cs="Arial"/>
          <w:sz w:val="24"/>
          <w:szCs w:val="24"/>
          <w:lang w:eastAsia="cs-CZ"/>
        </w:rPr>
        <w:t>v</w:t>
      </w:r>
      <w:r w:rsidRPr="00A865E2">
        <w:rPr>
          <w:rFonts w:cs="Arial"/>
          <w:sz w:val="24"/>
          <w:szCs w:val="24"/>
          <w:lang w:eastAsia="cs-CZ"/>
        </w:rPr>
        <w:t xml:space="preserve"> čl</w:t>
      </w:r>
      <w:r w:rsidR="00665DBD">
        <w:rPr>
          <w:rFonts w:cs="Arial"/>
          <w:sz w:val="24"/>
          <w:szCs w:val="24"/>
          <w:lang w:eastAsia="cs-CZ"/>
        </w:rPr>
        <w:t>áncích</w:t>
      </w:r>
      <w:r w:rsidRPr="00A865E2">
        <w:rPr>
          <w:rFonts w:cs="Arial"/>
          <w:sz w:val="24"/>
          <w:szCs w:val="24"/>
          <w:lang w:eastAsia="cs-CZ"/>
        </w:rPr>
        <w:t xml:space="preserve"> </w:t>
      </w:r>
      <w:proofErr w:type="gramStart"/>
      <w:r w:rsidRPr="00A865E2">
        <w:rPr>
          <w:rFonts w:cs="Arial"/>
          <w:sz w:val="24"/>
          <w:szCs w:val="24"/>
          <w:lang w:eastAsia="cs-CZ"/>
        </w:rPr>
        <w:t>40 – 42</w:t>
      </w:r>
      <w:proofErr w:type="gramEnd"/>
      <w:r w:rsidRPr="00A865E2">
        <w:rPr>
          <w:rFonts w:cs="Arial"/>
          <w:sz w:val="24"/>
          <w:szCs w:val="24"/>
          <w:lang w:eastAsia="cs-CZ"/>
        </w:rPr>
        <w:t>.</w:t>
      </w:r>
      <w:r w:rsidR="003F3F58" w:rsidRPr="003F3F58">
        <w:rPr>
          <w:rFonts w:cs="Arial"/>
          <w:sz w:val="24"/>
          <w:szCs w:val="24"/>
          <w:lang w:eastAsia="cs-CZ"/>
        </w:rPr>
        <w:t xml:space="preserve"> </w:t>
      </w:r>
      <w:r w:rsidR="003F3F58" w:rsidRPr="00062D9C">
        <w:rPr>
          <w:rFonts w:cs="Arial"/>
          <w:sz w:val="24"/>
          <w:szCs w:val="24"/>
          <w:lang w:eastAsia="cs-CZ"/>
        </w:rPr>
        <w:t>Mezi</w:t>
      </w:r>
      <w:r w:rsidR="003F3F58">
        <w:rPr>
          <w:rFonts w:cs="Arial"/>
          <w:sz w:val="24"/>
          <w:szCs w:val="24"/>
          <w:lang w:eastAsia="cs-CZ"/>
        </w:rPr>
        <w:t xml:space="preserve"> požadavky Nařízení TEN-T</w:t>
      </w:r>
      <w:r w:rsidR="003F3F58" w:rsidRPr="00062D9C">
        <w:rPr>
          <w:rFonts w:cs="Arial"/>
          <w:sz w:val="24"/>
          <w:szCs w:val="24"/>
          <w:lang w:eastAsia="cs-CZ"/>
        </w:rPr>
        <w:t xml:space="preserve"> patří, že městské uzly by měly přijmout plán udržitelné městské mobility </w:t>
      </w:r>
      <w:r w:rsidR="003F3F58">
        <w:rPr>
          <w:rFonts w:cs="Arial"/>
          <w:sz w:val="24"/>
          <w:szCs w:val="24"/>
          <w:lang w:eastAsia="cs-CZ"/>
        </w:rPr>
        <w:t xml:space="preserve">s cílem </w:t>
      </w:r>
      <w:r w:rsidR="003F3F58" w:rsidRPr="00062D9C">
        <w:rPr>
          <w:rFonts w:cs="Arial"/>
          <w:sz w:val="24"/>
          <w:szCs w:val="24"/>
          <w:lang w:eastAsia="cs-CZ"/>
        </w:rPr>
        <w:t xml:space="preserve">propojit politiky městské mobility a </w:t>
      </w:r>
      <w:r w:rsidR="003F3F58">
        <w:rPr>
          <w:rFonts w:cs="Arial"/>
          <w:sz w:val="24"/>
          <w:szCs w:val="24"/>
          <w:lang w:eastAsia="cs-CZ"/>
        </w:rPr>
        <w:t xml:space="preserve">sítě </w:t>
      </w:r>
      <w:r w:rsidR="003F3F58" w:rsidRPr="00062D9C">
        <w:rPr>
          <w:rFonts w:cs="Arial"/>
          <w:sz w:val="24"/>
          <w:szCs w:val="24"/>
          <w:lang w:eastAsia="cs-CZ"/>
        </w:rPr>
        <w:t xml:space="preserve">TEN-T, aby bylo zajištěno účinné </w:t>
      </w:r>
      <w:r w:rsidR="003F3F58" w:rsidRPr="00062D9C">
        <w:rPr>
          <w:rFonts w:cs="Arial"/>
          <w:sz w:val="24"/>
          <w:szCs w:val="24"/>
          <w:lang w:eastAsia="cs-CZ"/>
        </w:rPr>
        <w:lastRenderedPageBreak/>
        <w:t>fungování TEN-T jako celku</w:t>
      </w:r>
      <w:r w:rsidR="003F3F58">
        <w:rPr>
          <w:rFonts w:cs="Arial"/>
          <w:sz w:val="24"/>
          <w:szCs w:val="24"/>
          <w:lang w:eastAsia="cs-CZ"/>
        </w:rPr>
        <w:t xml:space="preserve">. Dále </w:t>
      </w:r>
      <w:r w:rsidR="003F3F58" w:rsidRPr="00062D9C">
        <w:rPr>
          <w:rFonts w:cs="Arial"/>
          <w:sz w:val="24"/>
          <w:szCs w:val="24"/>
          <w:lang w:eastAsia="cs-CZ"/>
        </w:rPr>
        <w:t xml:space="preserve">shromažďovat a pravidelně předkládat </w:t>
      </w:r>
      <w:r w:rsidR="003F3F58">
        <w:rPr>
          <w:rFonts w:cs="Arial"/>
          <w:sz w:val="24"/>
          <w:szCs w:val="24"/>
          <w:lang w:eastAsia="cs-CZ"/>
        </w:rPr>
        <w:t>Evropské k</w:t>
      </w:r>
      <w:r w:rsidR="003F3F58" w:rsidRPr="00062D9C">
        <w:rPr>
          <w:rFonts w:cs="Arial"/>
          <w:sz w:val="24"/>
          <w:szCs w:val="24"/>
          <w:lang w:eastAsia="cs-CZ"/>
        </w:rPr>
        <w:t xml:space="preserve">omisi údaje o ukazatelích městské mobility. </w:t>
      </w:r>
      <w:r w:rsidR="003F3F58" w:rsidRPr="00645B7A">
        <w:rPr>
          <w:rFonts w:cs="Arial"/>
          <w:sz w:val="24"/>
          <w:szCs w:val="24"/>
          <w:lang w:eastAsia="cs-CZ"/>
        </w:rPr>
        <w:t>Pro všechny městské uzly v</w:t>
      </w:r>
      <w:r w:rsidR="003F3F58" w:rsidRPr="00645B7A">
        <w:rPr>
          <w:rFonts w:ascii="Arial" w:hAnsi="Arial" w:cs="Arial"/>
          <w:sz w:val="24"/>
          <w:szCs w:val="24"/>
          <w:lang w:eastAsia="cs-CZ"/>
        </w:rPr>
        <w:t> </w:t>
      </w:r>
      <w:r w:rsidR="003F3F58" w:rsidRPr="00645B7A">
        <w:rPr>
          <w:rFonts w:cs="Arial"/>
          <w:sz w:val="24"/>
          <w:szCs w:val="24"/>
          <w:lang w:eastAsia="cs-CZ"/>
        </w:rPr>
        <w:t>ČR platí povinnost vypracovat do konce roku 2027 plán udržitelné městské mobility</w:t>
      </w:r>
      <w:r w:rsidR="003F3F58">
        <w:rPr>
          <w:rFonts w:cs="Arial"/>
          <w:sz w:val="24"/>
          <w:szCs w:val="24"/>
          <w:lang w:eastAsia="cs-CZ"/>
        </w:rPr>
        <w:t>,</w:t>
      </w:r>
      <w:r w:rsidR="003F3F58" w:rsidRPr="00645B7A">
        <w:rPr>
          <w:rFonts w:cs="Arial"/>
          <w:sz w:val="24"/>
          <w:szCs w:val="24"/>
          <w:lang w:eastAsia="cs-CZ"/>
        </w:rPr>
        <w:t xml:space="preserve"> což je dlouhodobý komplexní integrovaný plán nákladní a osobní mobility pro město </w:t>
      </w:r>
      <w:r w:rsidR="003F3F58">
        <w:rPr>
          <w:rFonts w:cs="Arial"/>
          <w:sz w:val="24"/>
          <w:szCs w:val="24"/>
          <w:lang w:eastAsia="cs-CZ"/>
        </w:rPr>
        <w:t xml:space="preserve">se zohledněním </w:t>
      </w:r>
      <w:r w:rsidR="003F3F58" w:rsidRPr="00645B7A">
        <w:rPr>
          <w:rFonts w:cs="Arial"/>
          <w:sz w:val="24"/>
          <w:szCs w:val="24"/>
          <w:lang w:eastAsia="cs-CZ"/>
        </w:rPr>
        <w:t>funkční příměstsk</w:t>
      </w:r>
      <w:r w:rsidR="003F3F58">
        <w:rPr>
          <w:rFonts w:cs="Arial"/>
          <w:sz w:val="24"/>
          <w:szCs w:val="24"/>
          <w:lang w:eastAsia="cs-CZ"/>
        </w:rPr>
        <w:t>é</w:t>
      </w:r>
      <w:r w:rsidR="003F3F58" w:rsidRPr="00645B7A">
        <w:rPr>
          <w:rFonts w:cs="Arial"/>
          <w:sz w:val="24"/>
          <w:szCs w:val="24"/>
          <w:lang w:eastAsia="cs-CZ"/>
        </w:rPr>
        <w:t xml:space="preserve"> oblast</w:t>
      </w:r>
      <w:r w:rsidR="003F3F58">
        <w:rPr>
          <w:rFonts w:cs="Arial"/>
          <w:sz w:val="24"/>
          <w:szCs w:val="24"/>
          <w:lang w:eastAsia="cs-CZ"/>
        </w:rPr>
        <w:t>i</w:t>
      </w:r>
      <w:r w:rsidR="003F3F58" w:rsidRPr="00645B7A">
        <w:rPr>
          <w:rFonts w:cs="Arial"/>
          <w:sz w:val="24"/>
          <w:szCs w:val="24"/>
          <w:lang w:eastAsia="cs-CZ"/>
        </w:rPr>
        <w:t xml:space="preserve">. </w:t>
      </w:r>
    </w:p>
    <w:p w14:paraId="35D961F7" w14:textId="5F0DF74A" w:rsidR="00664115" w:rsidRPr="00592808" w:rsidRDefault="00664115" w:rsidP="00C235F4">
      <w:pPr>
        <w:spacing w:before="100" w:beforeAutospacing="1"/>
        <w:jc w:val="both"/>
        <w:rPr>
          <w:sz w:val="24"/>
          <w:szCs w:val="24"/>
        </w:rPr>
      </w:pPr>
      <w:r w:rsidRPr="00592808">
        <w:rPr>
          <w:sz w:val="24"/>
          <w:szCs w:val="24"/>
        </w:rPr>
        <w:t>Nařízení</w:t>
      </w:r>
      <w:r w:rsidR="0091242B">
        <w:rPr>
          <w:sz w:val="24"/>
          <w:szCs w:val="24"/>
        </w:rPr>
        <w:t xml:space="preserve"> TEN-T</w:t>
      </w:r>
      <w:r w:rsidRPr="00592808">
        <w:rPr>
          <w:sz w:val="24"/>
          <w:szCs w:val="24"/>
        </w:rPr>
        <w:t xml:space="preserve"> nově definuje 10 městských uzlů v</w:t>
      </w:r>
      <w:r w:rsidR="000F1B8D">
        <w:rPr>
          <w:sz w:val="24"/>
          <w:szCs w:val="24"/>
        </w:rPr>
        <w:t> </w:t>
      </w:r>
      <w:r w:rsidRPr="00592808">
        <w:rPr>
          <w:sz w:val="24"/>
          <w:szCs w:val="24"/>
        </w:rPr>
        <w:t>ČR</w:t>
      </w:r>
      <w:r w:rsidR="000F1B8D">
        <w:rPr>
          <w:sz w:val="24"/>
          <w:szCs w:val="24"/>
        </w:rPr>
        <w:t xml:space="preserve"> </w:t>
      </w:r>
      <w:r w:rsidRPr="00592808">
        <w:rPr>
          <w:sz w:val="24"/>
          <w:szCs w:val="24"/>
        </w:rPr>
        <w:t xml:space="preserve">– tzv. Urban </w:t>
      </w:r>
      <w:proofErr w:type="spellStart"/>
      <w:r w:rsidRPr="00592808">
        <w:rPr>
          <w:sz w:val="24"/>
          <w:szCs w:val="24"/>
        </w:rPr>
        <w:t>Nodes</w:t>
      </w:r>
      <w:proofErr w:type="spellEnd"/>
      <w:r w:rsidRPr="00592808">
        <w:rPr>
          <w:sz w:val="24"/>
          <w:szCs w:val="24"/>
        </w:rPr>
        <w:t xml:space="preserve"> </w:t>
      </w:r>
      <w:r w:rsidR="001F74B5">
        <w:rPr>
          <w:sz w:val="24"/>
          <w:szCs w:val="24"/>
        </w:rPr>
        <w:t>(</w:t>
      </w:r>
      <w:r w:rsidR="001F74B5" w:rsidRPr="00995B0E">
        <w:rPr>
          <w:rFonts w:cs="Arial"/>
          <w:sz w:val="24"/>
          <w:szCs w:val="24"/>
          <w:lang w:eastAsia="cs-CZ"/>
        </w:rPr>
        <w:t>Praha, Brno, Ostrava, Plze</w:t>
      </w:r>
      <w:r w:rsidR="001F74B5" w:rsidRPr="00995B0E">
        <w:rPr>
          <w:rFonts w:ascii="Aptos" w:hAnsi="Aptos" w:cs="Aptos"/>
          <w:sz w:val="24"/>
          <w:szCs w:val="24"/>
          <w:lang w:eastAsia="cs-CZ"/>
        </w:rPr>
        <w:t>ň</w:t>
      </w:r>
      <w:r w:rsidR="001F74B5" w:rsidRPr="00995B0E">
        <w:rPr>
          <w:rFonts w:cs="Arial"/>
          <w:sz w:val="24"/>
          <w:szCs w:val="24"/>
          <w:lang w:eastAsia="cs-CZ"/>
        </w:rPr>
        <w:t xml:space="preserve">, Liberec, Olomouc, </w:t>
      </w:r>
      <w:r w:rsidR="001F74B5" w:rsidRPr="00995B0E">
        <w:rPr>
          <w:rFonts w:ascii="Aptos" w:hAnsi="Aptos" w:cs="Aptos"/>
          <w:sz w:val="24"/>
          <w:szCs w:val="24"/>
          <w:lang w:eastAsia="cs-CZ"/>
        </w:rPr>
        <w:t>Ú</w:t>
      </w:r>
      <w:r w:rsidR="001F74B5" w:rsidRPr="00995B0E">
        <w:rPr>
          <w:rFonts w:cs="Arial"/>
          <w:sz w:val="24"/>
          <w:szCs w:val="24"/>
          <w:lang w:eastAsia="cs-CZ"/>
        </w:rPr>
        <w:t>st</w:t>
      </w:r>
      <w:r w:rsidR="001F74B5" w:rsidRPr="00995B0E">
        <w:rPr>
          <w:rFonts w:ascii="Aptos" w:hAnsi="Aptos" w:cs="Aptos"/>
          <w:sz w:val="24"/>
          <w:szCs w:val="24"/>
          <w:lang w:eastAsia="cs-CZ"/>
        </w:rPr>
        <w:t>í</w:t>
      </w:r>
      <w:r w:rsidR="001F74B5" w:rsidRPr="00995B0E">
        <w:rPr>
          <w:rFonts w:cs="Arial"/>
          <w:sz w:val="24"/>
          <w:szCs w:val="24"/>
          <w:lang w:eastAsia="cs-CZ"/>
        </w:rPr>
        <w:t xml:space="preserve"> nad Labem, </w:t>
      </w:r>
      <w:r w:rsidR="001F74B5" w:rsidRPr="00995B0E">
        <w:rPr>
          <w:rFonts w:ascii="Aptos" w:hAnsi="Aptos" w:cs="Aptos"/>
          <w:sz w:val="24"/>
          <w:szCs w:val="24"/>
          <w:lang w:eastAsia="cs-CZ"/>
        </w:rPr>
        <w:t>Č</w:t>
      </w:r>
      <w:r w:rsidR="001F74B5" w:rsidRPr="00995B0E">
        <w:rPr>
          <w:rFonts w:cs="Arial"/>
          <w:sz w:val="24"/>
          <w:szCs w:val="24"/>
          <w:lang w:eastAsia="cs-CZ"/>
        </w:rPr>
        <w:t>esk</w:t>
      </w:r>
      <w:r w:rsidR="001F74B5" w:rsidRPr="00995B0E">
        <w:rPr>
          <w:rFonts w:ascii="Aptos" w:hAnsi="Aptos" w:cs="Aptos"/>
          <w:sz w:val="24"/>
          <w:szCs w:val="24"/>
          <w:lang w:eastAsia="cs-CZ"/>
        </w:rPr>
        <w:t>é</w:t>
      </w:r>
      <w:r w:rsidR="001F74B5" w:rsidRPr="00995B0E">
        <w:rPr>
          <w:rFonts w:cs="Arial"/>
          <w:sz w:val="24"/>
          <w:szCs w:val="24"/>
          <w:lang w:eastAsia="cs-CZ"/>
        </w:rPr>
        <w:t xml:space="preserve"> Bud</w:t>
      </w:r>
      <w:r w:rsidR="001F74B5" w:rsidRPr="00995B0E">
        <w:rPr>
          <w:rFonts w:ascii="Aptos" w:hAnsi="Aptos" w:cs="Aptos"/>
          <w:sz w:val="24"/>
          <w:szCs w:val="24"/>
          <w:lang w:eastAsia="cs-CZ"/>
        </w:rPr>
        <w:t>ě</w:t>
      </w:r>
      <w:r w:rsidR="001F74B5" w:rsidRPr="00995B0E">
        <w:rPr>
          <w:rFonts w:cs="Arial"/>
          <w:sz w:val="24"/>
          <w:szCs w:val="24"/>
          <w:lang w:eastAsia="cs-CZ"/>
        </w:rPr>
        <w:t>jovice, Hradec Kr</w:t>
      </w:r>
      <w:r w:rsidR="001F74B5" w:rsidRPr="00995B0E">
        <w:rPr>
          <w:rFonts w:ascii="Aptos" w:hAnsi="Aptos" w:cs="Aptos"/>
          <w:sz w:val="24"/>
          <w:szCs w:val="24"/>
          <w:lang w:eastAsia="cs-CZ"/>
        </w:rPr>
        <w:t>á</w:t>
      </w:r>
      <w:r w:rsidR="001F74B5" w:rsidRPr="00995B0E">
        <w:rPr>
          <w:rFonts w:cs="Arial"/>
          <w:sz w:val="24"/>
          <w:szCs w:val="24"/>
          <w:lang w:eastAsia="cs-CZ"/>
        </w:rPr>
        <w:t>lov</w:t>
      </w:r>
      <w:r w:rsidR="001F74B5" w:rsidRPr="00995B0E">
        <w:rPr>
          <w:rFonts w:ascii="Aptos" w:hAnsi="Aptos" w:cs="Aptos"/>
          <w:sz w:val="24"/>
          <w:szCs w:val="24"/>
          <w:lang w:eastAsia="cs-CZ"/>
        </w:rPr>
        <w:t>é</w:t>
      </w:r>
      <w:r w:rsidR="001F74B5" w:rsidRPr="00995B0E">
        <w:rPr>
          <w:rFonts w:cs="Arial"/>
          <w:sz w:val="24"/>
          <w:szCs w:val="24"/>
          <w:lang w:eastAsia="cs-CZ"/>
        </w:rPr>
        <w:t>, Pardubice)</w:t>
      </w:r>
      <w:r w:rsidR="001F74B5">
        <w:rPr>
          <w:rFonts w:cs="Arial"/>
          <w:sz w:val="24"/>
          <w:szCs w:val="24"/>
          <w:lang w:eastAsia="cs-CZ"/>
        </w:rPr>
        <w:t xml:space="preserve"> </w:t>
      </w:r>
      <w:r w:rsidRPr="00592808">
        <w:rPr>
          <w:sz w:val="24"/>
          <w:szCs w:val="24"/>
        </w:rPr>
        <w:t xml:space="preserve">a současně definuje nové požadavky a priority pro tato města, pro kraje i pro stát, protože současný SUMP nestačí, nově se bude přistupovat k SUMP Urban </w:t>
      </w:r>
      <w:proofErr w:type="spellStart"/>
      <w:r w:rsidRPr="00592808">
        <w:rPr>
          <w:sz w:val="24"/>
          <w:szCs w:val="24"/>
        </w:rPr>
        <w:t>Nodes</w:t>
      </w:r>
      <w:proofErr w:type="spellEnd"/>
      <w:r w:rsidRPr="00592808">
        <w:rPr>
          <w:sz w:val="24"/>
          <w:szCs w:val="24"/>
        </w:rPr>
        <w:t xml:space="preserve"> jako k integrovanému SUMP, který bude zajišťovat plnění následujících úkolů:</w:t>
      </w:r>
    </w:p>
    <w:p w14:paraId="6F902009" w14:textId="49AE1EF2" w:rsidR="00664115" w:rsidRPr="00592808" w:rsidRDefault="00664115" w:rsidP="00C235F4">
      <w:pPr>
        <w:pStyle w:val="Odstavecseseznamem"/>
        <w:numPr>
          <w:ilvl w:val="0"/>
          <w:numId w:val="3"/>
        </w:numPr>
        <w:ind w:left="714" w:hanging="357"/>
        <w:contextualSpacing w:val="0"/>
        <w:jc w:val="both"/>
        <w:rPr>
          <w:sz w:val="24"/>
          <w:szCs w:val="24"/>
        </w:rPr>
      </w:pPr>
      <w:r w:rsidRPr="00592808">
        <w:rPr>
          <w:sz w:val="24"/>
          <w:szCs w:val="24"/>
        </w:rPr>
        <w:t xml:space="preserve">Úkoly pro stát (území města i FUA): Železniční, silniční a vodní infrastruktura ve vlastnictví státu, podpora terminálů multimodální dopravy; </w:t>
      </w:r>
      <w:r w:rsidR="00C47803">
        <w:rPr>
          <w:sz w:val="24"/>
          <w:szCs w:val="24"/>
        </w:rPr>
        <w:t xml:space="preserve">podpora </w:t>
      </w:r>
      <w:r w:rsidR="000E3D10">
        <w:rPr>
          <w:sz w:val="24"/>
          <w:szCs w:val="24"/>
        </w:rPr>
        <w:t>budování b</w:t>
      </w:r>
      <w:r w:rsidRPr="00592808">
        <w:rPr>
          <w:sz w:val="24"/>
          <w:szCs w:val="24"/>
        </w:rPr>
        <w:t>ezbariérov</w:t>
      </w:r>
      <w:r w:rsidR="000E3D10">
        <w:rPr>
          <w:sz w:val="24"/>
          <w:szCs w:val="24"/>
        </w:rPr>
        <w:t>ých tras</w:t>
      </w:r>
      <w:r w:rsidRPr="00592808">
        <w:rPr>
          <w:sz w:val="24"/>
          <w:szCs w:val="24"/>
        </w:rPr>
        <w:t xml:space="preserve"> a cyklostez</w:t>
      </w:r>
      <w:r w:rsidR="000E3D10">
        <w:rPr>
          <w:sz w:val="24"/>
          <w:szCs w:val="24"/>
        </w:rPr>
        <w:t>e</w:t>
      </w:r>
      <w:r w:rsidRPr="00592808">
        <w:rPr>
          <w:sz w:val="24"/>
          <w:szCs w:val="24"/>
        </w:rPr>
        <w:t>k (SFDI, IROP), podpora infrastruktury MHD v elektrické trakci</w:t>
      </w:r>
      <w:r w:rsidR="000B3CF1">
        <w:rPr>
          <w:sz w:val="24"/>
          <w:szCs w:val="24"/>
        </w:rPr>
        <w:t xml:space="preserve"> (OPD)</w:t>
      </w:r>
      <w:r w:rsidRPr="00592808">
        <w:rPr>
          <w:sz w:val="24"/>
          <w:szCs w:val="24"/>
        </w:rPr>
        <w:t>.</w:t>
      </w:r>
    </w:p>
    <w:p w14:paraId="0729FB46" w14:textId="1C82864E" w:rsidR="00664115" w:rsidRPr="00592808" w:rsidRDefault="00664115" w:rsidP="00C235F4">
      <w:pPr>
        <w:pStyle w:val="Odstavecseseznamem"/>
        <w:numPr>
          <w:ilvl w:val="0"/>
          <w:numId w:val="3"/>
        </w:numPr>
        <w:ind w:left="714" w:hanging="357"/>
        <w:contextualSpacing w:val="0"/>
        <w:jc w:val="both"/>
        <w:rPr>
          <w:sz w:val="24"/>
          <w:szCs w:val="24"/>
        </w:rPr>
      </w:pPr>
      <w:r w:rsidRPr="00592808">
        <w:rPr>
          <w:sz w:val="24"/>
          <w:szCs w:val="24"/>
        </w:rPr>
        <w:t xml:space="preserve">Úkoly pro města (území města): SUMP, </w:t>
      </w:r>
      <w:r w:rsidR="000B3CF1">
        <w:rPr>
          <w:sz w:val="24"/>
          <w:szCs w:val="24"/>
        </w:rPr>
        <w:t>plán dopravní obslužnosti</w:t>
      </w:r>
      <w:r w:rsidRPr="00592808">
        <w:rPr>
          <w:sz w:val="24"/>
          <w:szCs w:val="24"/>
        </w:rPr>
        <w:t xml:space="preserve"> </w:t>
      </w:r>
      <w:r w:rsidR="000B3CF1">
        <w:rPr>
          <w:sz w:val="24"/>
          <w:szCs w:val="24"/>
        </w:rPr>
        <w:t>(PDO</w:t>
      </w:r>
      <w:r w:rsidR="00013BBC">
        <w:rPr>
          <w:sz w:val="24"/>
          <w:szCs w:val="24"/>
        </w:rPr>
        <w:t>)</w:t>
      </w:r>
      <w:r w:rsidR="00013BBC" w:rsidRPr="00013BBC">
        <w:rPr>
          <w:sz w:val="24"/>
          <w:szCs w:val="24"/>
        </w:rPr>
        <w:t xml:space="preserve"> </w:t>
      </w:r>
      <w:r w:rsidR="00013BBC" w:rsidRPr="00592808">
        <w:rPr>
          <w:sz w:val="24"/>
          <w:szCs w:val="24"/>
        </w:rPr>
        <w:t>města</w:t>
      </w:r>
      <w:r w:rsidRPr="00592808">
        <w:rPr>
          <w:sz w:val="24"/>
          <w:szCs w:val="24"/>
        </w:rPr>
        <w:t>,</w:t>
      </w:r>
      <w:r>
        <w:rPr>
          <w:sz w:val="24"/>
          <w:szCs w:val="24"/>
        </w:rPr>
        <w:t xml:space="preserve"> </w:t>
      </w:r>
      <w:r w:rsidR="00013BBC">
        <w:rPr>
          <w:sz w:val="24"/>
          <w:szCs w:val="24"/>
        </w:rPr>
        <w:t>dopravní i</w:t>
      </w:r>
      <w:r w:rsidRPr="00592808">
        <w:rPr>
          <w:sz w:val="24"/>
          <w:szCs w:val="24"/>
        </w:rPr>
        <w:t xml:space="preserve">nfrastruktura města, včetně </w:t>
      </w:r>
      <w:proofErr w:type="spellStart"/>
      <w:r w:rsidRPr="00592808">
        <w:rPr>
          <w:sz w:val="24"/>
          <w:szCs w:val="24"/>
        </w:rPr>
        <w:t>cykloinfrastruktury</w:t>
      </w:r>
      <w:proofErr w:type="spellEnd"/>
      <w:r w:rsidR="00013BBC">
        <w:rPr>
          <w:sz w:val="24"/>
          <w:szCs w:val="24"/>
        </w:rPr>
        <w:t>.</w:t>
      </w:r>
    </w:p>
    <w:p w14:paraId="70996599" w14:textId="56672DC2" w:rsidR="00664115" w:rsidRPr="00592808" w:rsidRDefault="00664115" w:rsidP="00C235F4">
      <w:pPr>
        <w:pStyle w:val="Odstavecseseznamem"/>
        <w:numPr>
          <w:ilvl w:val="0"/>
          <w:numId w:val="3"/>
        </w:numPr>
        <w:ind w:left="714" w:hanging="357"/>
        <w:contextualSpacing w:val="0"/>
        <w:jc w:val="both"/>
        <w:rPr>
          <w:sz w:val="24"/>
          <w:szCs w:val="24"/>
        </w:rPr>
      </w:pPr>
      <w:r w:rsidRPr="00592808">
        <w:rPr>
          <w:sz w:val="24"/>
          <w:szCs w:val="24"/>
        </w:rPr>
        <w:t xml:space="preserve">Úkoly pro kraje ((nejen) území FUA): PDO kraje, Infrastruktura kraje, včetně </w:t>
      </w:r>
      <w:proofErr w:type="spellStart"/>
      <w:r w:rsidRPr="00592808">
        <w:rPr>
          <w:sz w:val="24"/>
          <w:szCs w:val="24"/>
        </w:rPr>
        <w:t>cykloinfrastruktury</w:t>
      </w:r>
      <w:proofErr w:type="spellEnd"/>
      <w:r w:rsidR="00013BBC">
        <w:rPr>
          <w:sz w:val="24"/>
          <w:szCs w:val="24"/>
        </w:rPr>
        <w:t>.</w:t>
      </w:r>
    </w:p>
    <w:p w14:paraId="47DB8F20" w14:textId="351D9C59" w:rsidR="00664115" w:rsidRPr="00062D9C" w:rsidRDefault="00664115" w:rsidP="00062D9C">
      <w:pPr>
        <w:spacing w:before="160"/>
        <w:jc w:val="both"/>
        <w:rPr>
          <w:rFonts w:cs="Arial"/>
          <w:sz w:val="24"/>
          <w:szCs w:val="24"/>
          <w:lang w:eastAsia="cs-CZ"/>
        </w:rPr>
      </w:pPr>
      <w:r w:rsidRPr="00062D9C">
        <w:rPr>
          <w:rFonts w:cs="Arial"/>
          <w:sz w:val="24"/>
          <w:szCs w:val="24"/>
          <w:lang w:eastAsia="cs-CZ"/>
        </w:rPr>
        <w:t xml:space="preserve">Městský uzel zahrnuje zejména dopravní infrastrukturu městského uzlu, který je součástí TEN-T </w:t>
      </w:r>
      <w:r w:rsidR="0038627A">
        <w:rPr>
          <w:rFonts w:cs="Arial"/>
          <w:sz w:val="24"/>
          <w:szCs w:val="24"/>
          <w:lang w:eastAsia="cs-CZ"/>
        </w:rPr>
        <w:t>–</w:t>
      </w:r>
      <w:r w:rsidRPr="00062D9C">
        <w:rPr>
          <w:rFonts w:cs="Arial"/>
          <w:sz w:val="24"/>
          <w:szCs w:val="24"/>
          <w:lang w:eastAsia="cs-CZ"/>
        </w:rPr>
        <w:t xml:space="preserve"> vč. obchvatů, přístupové body k TEN-T přístupné všem provozovatelům a uživatelům nediskriminačním způsobem </w:t>
      </w:r>
      <w:r w:rsidR="0038627A">
        <w:rPr>
          <w:rFonts w:cs="Arial"/>
          <w:sz w:val="24"/>
          <w:szCs w:val="24"/>
          <w:lang w:eastAsia="cs-CZ"/>
        </w:rPr>
        <w:t>–</w:t>
      </w:r>
      <w:r w:rsidRPr="00062D9C">
        <w:rPr>
          <w:rFonts w:cs="Arial"/>
          <w:sz w:val="24"/>
          <w:szCs w:val="24"/>
          <w:lang w:eastAsia="cs-CZ"/>
        </w:rPr>
        <w:t xml:space="preserve"> zejm</w:t>
      </w:r>
      <w:r w:rsidR="0038627A">
        <w:rPr>
          <w:rFonts w:cs="Arial"/>
          <w:sz w:val="24"/>
          <w:szCs w:val="24"/>
          <w:lang w:eastAsia="cs-CZ"/>
        </w:rPr>
        <w:t>éna</w:t>
      </w:r>
      <w:r w:rsidRPr="00062D9C">
        <w:rPr>
          <w:rFonts w:cs="Arial"/>
          <w:sz w:val="24"/>
          <w:szCs w:val="24"/>
          <w:lang w:eastAsia="cs-CZ"/>
        </w:rPr>
        <w:t xml:space="preserve"> přístavy, letiště, železniční </w:t>
      </w:r>
      <w:r w:rsidR="0038627A">
        <w:rPr>
          <w:rFonts w:cs="Arial"/>
          <w:sz w:val="24"/>
          <w:szCs w:val="24"/>
          <w:lang w:eastAsia="cs-CZ"/>
        </w:rPr>
        <w:t>stanice</w:t>
      </w:r>
      <w:r w:rsidRPr="00062D9C">
        <w:rPr>
          <w:rFonts w:cs="Arial"/>
          <w:sz w:val="24"/>
          <w:szCs w:val="24"/>
          <w:lang w:eastAsia="cs-CZ"/>
        </w:rPr>
        <w:t>, autobusové terminály, terminály multimodální nákladní dopravy</w:t>
      </w:r>
      <w:r w:rsidR="00731132">
        <w:rPr>
          <w:rFonts w:cs="Arial"/>
          <w:sz w:val="24"/>
          <w:szCs w:val="24"/>
          <w:lang w:eastAsia="cs-CZ"/>
        </w:rPr>
        <w:t>,</w:t>
      </w:r>
      <w:r w:rsidRPr="00062D9C">
        <w:rPr>
          <w:rFonts w:cs="Arial"/>
          <w:sz w:val="24"/>
          <w:szCs w:val="24"/>
          <w:lang w:eastAsia="cs-CZ"/>
        </w:rPr>
        <w:t xml:space="preserve"> výchozí nebo cílová místa („poslední kilometr“) pro cestující a náklad přepravovaný v rámci TEN-T; přestupní body v rámci jednotlivých druhů dopravy nebo mezi nimi.</w:t>
      </w:r>
    </w:p>
    <w:p w14:paraId="4D0E91DF" w14:textId="666E5A35" w:rsidR="00664115" w:rsidRPr="00592808" w:rsidRDefault="00664115" w:rsidP="00664115">
      <w:pPr>
        <w:jc w:val="both"/>
        <w:rPr>
          <w:b/>
          <w:bCs/>
          <w:sz w:val="24"/>
          <w:szCs w:val="24"/>
        </w:rPr>
      </w:pPr>
      <w:r w:rsidRPr="00592808">
        <w:rPr>
          <w:b/>
          <w:bCs/>
          <w:sz w:val="24"/>
          <w:szCs w:val="24"/>
        </w:rPr>
        <w:t>Požadavky na městské uzly</w:t>
      </w:r>
    </w:p>
    <w:p w14:paraId="27E85CDA" w14:textId="77777777" w:rsidR="00CC5798" w:rsidRPr="00CC5798" w:rsidRDefault="00664115" w:rsidP="00396F32">
      <w:pPr>
        <w:pStyle w:val="Odstavecseseznamem"/>
        <w:numPr>
          <w:ilvl w:val="0"/>
          <w:numId w:val="46"/>
        </w:numPr>
        <w:spacing w:before="160"/>
        <w:ind w:left="714" w:hanging="357"/>
        <w:contextualSpacing w:val="0"/>
        <w:jc w:val="both"/>
        <w:rPr>
          <w:rFonts w:cs="Arial"/>
          <w:bCs/>
          <w:sz w:val="24"/>
          <w:szCs w:val="24"/>
          <w:lang w:eastAsia="cs-CZ"/>
        </w:rPr>
      </w:pPr>
      <w:r w:rsidRPr="00DE6D93">
        <w:rPr>
          <w:rFonts w:cs="Arial"/>
          <w:sz w:val="24"/>
          <w:szCs w:val="24"/>
          <w:lang w:eastAsia="cs-CZ"/>
        </w:rPr>
        <w:t>Přijetí a monitorování plánu udržitelné městské mobility (SUMP) pro každý městský uzel do 31. prosince 2027.</w:t>
      </w:r>
      <w:r w:rsidR="00BB5CF6">
        <w:rPr>
          <w:rFonts w:cs="Arial"/>
          <w:sz w:val="24"/>
          <w:szCs w:val="24"/>
          <w:lang w:eastAsia="cs-CZ"/>
        </w:rPr>
        <w:t xml:space="preserve"> </w:t>
      </w:r>
    </w:p>
    <w:p w14:paraId="486EB6EE" w14:textId="2568288D" w:rsidR="00664115" w:rsidRPr="00CC5798" w:rsidRDefault="00082BDC" w:rsidP="00CC5798">
      <w:pPr>
        <w:spacing w:before="160"/>
        <w:ind w:left="709"/>
        <w:jc w:val="both"/>
        <w:rPr>
          <w:rFonts w:cs="Arial"/>
          <w:bCs/>
          <w:sz w:val="24"/>
          <w:szCs w:val="24"/>
          <w:lang w:eastAsia="cs-CZ"/>
        </w:rPr>
      </w:pPr>
      <w:r w:rsidRPr="00CC5798">
        <w:rPr>
          <w:rFonts w:cs="Arial"/>
          <w:bCs/>
          <w:sz w:val="24"/>
          <w:szCs w:val="24"/>
          <w:lang w:eastAsia="cs-CZ"/>
        </w:rPr>
        <w:t xml:space="preserve">Každý z městských uzlů v ČR v současné době disponuje plánem udržitelné městské mobility, který byl ze strany </w:t>
      </w:r>
      <w:r w:rsidRPr="00CC5798">
        <w:rPr>
          <w:rFonts w:cs="Arial"/>
          <w:bCs/>
          <w:i/>
          <w:iCs/>
          <w:sz w:val="24"/>
          <w:szCs w:val="24"/>
          <w:lang w:eastAsia="cs-CZ"/>
        </w:rPr>
        <w:t>Komise pro posuzování dokumentů městské mobility</w:t>
      </w:r>
      <w:r w:rsidRPr="00CC5798">
        <w:rPr>
          <w:rFonts w:cs="Arial"/>
          <w:bCs/>
          <w:sz w:val="24"/>
          <w:szCs w:val="24"/>
          <w:lang w:eastAsia="cs-CZ"/>
        </w:rPr>
        <w:t xml:space="preserve"> (KPDMM, expertní meziinstitucionální subjekt ustanovený pod vedením Ministerstva dopravy ČR) vyhodnocen jako splňující minimální nároky kladené na tento typ dokumentů. Vzhledem k tomu, že tyto minimální nároky se shodují s požadavky stanovenými Nařízením TEN-T, lze stávající plány udržitelné městské mobility (</w:t>
      </w:r>
      <w:proofErr w:type="spellStart"/>
      <w:r w:rsidRPr="00CC5798">
        <w:rPr>
          <w:rFonts w:cs="Arial"/>
          <w:bCs/>
          <w:sz w:val="24"/>
          <w:szCs w:val="24"/>
          <w:lang w:eastAsia="cs-CZ"/>
        </w:rPr>
        <w:t>SUMPy</w:t>
      </w:r>
      <w:proofErr w:type="spellEnd"/>
      <w:r w:rsidRPr="00CC5798">
        <w:rPr>
          <w:rFonts w:cs="Arial"/>
          <w:bCs/>
          <w:sz w:val="24"/>
          <w:szCs w:val="24"/>
          <w:lang w:eastAsia="cs-CZ"/>
        </w:rPr>
        <w:t>) českých městských použít jako základ pro plnění požadavků kladených evropskou legislativou.</w:t>
      </w:r>
    </w:p>
    <w:p w14:paraId="71E1F326" w14:textId="77777777" w:rsidR="0072735A" w:rsidRPr="0072735A" w:rsidRDefault="00FB3895" w:rsidP="00396F32">
      <w:pPr>
        <w:pStyle w:val="Odstavecseseznamem"/>
        <w:numPr>
          <w:ilvl w:val="0"/>
          <w:numId w:val="46"/>
        </w:numPr>
        <w:spacing w:before="160"/>
        <w:ind w:left="714" w:hanging="357"/>
        <w:contextualSpacing w:val="0"/>
        <w:jc w:val="both"/>
        <w:rPr>
          <w:rFonts w:cs="Arial"/>
          <w:bCs/>
          <w:sz w:val="24"/>
          <w:szCs w:val="24"/>
          <w:lang w:eastAsia="cs-CZ"/>
        </w:rPr>
      </w:pPr>
      <w:proofErr w:type="spellStart"/>
      <w:r w:rsidRPr="008500A2">
        <w:rPr>
          <w:rFonts w:cs="Arial"/>
          <w:bCs/>
          <w:i/>
          <w:iCs/>
          <w:sz w:val="24"/>
          <w:szCs w:val="24"/>
          <w:lang w:eastAsia="cs-CZ"/>
        </w:rPr>
        <w:t>Functional</w:t>
      </w:r>
      <w:proofErr w:type="spellEnd"/>
      <w:r w:rsidRPr="008500A2">
        <w:rPr>
          <w:rFonts w:cs="Arial"/>
          <w:bCs/>
          <w:i/>
          <w:iCs/>
          <w:sz w:val="24"/>
          <w:szCs w:val="24"/>
          <w:lang w:eastAsia="cs-CZ"/>
        </w:rPr>
        <w:t xml:space="preserve"> Urban </w:t>
      </w:r>
      <w:proofErr w:type="spellStart"/>
      <w:r w:rsidRPr="008500A2">
        <w:rPr>
          <w:rFonts w:cs="Arial"/>
          <w:bCs/>
          <w:i/>
          <w:iCs/>
          <w:sz w:val="24"/>
          <w:szCs w:val="24"/>
          <w:lang w:eastAsia="cs-CZ"/>
        </w:rPr>
        <w:t>Areas</w:t>
      </w:r>
      <w:proofErr w:type="spellEnd"/>
      <w:r w:rsidRPr="008500A2">
        <w:rPr>
          <w:rFonts w:cs="Arial"/>
          <w:bCs/>
          <w:sz w:val="24"/>
          <w:szCs w:val="24"/>
          <w:lang w:eastAsia="cs-CZ"/>
        </w:rPr>
        <w:t xml:space="preserve"> – </w:t>
      </w:r>
      <w:r w:rsidRPr="008500A2">
        <w:rPr>
          <w:rFonts w:cs="Arial"/>
          <w:bCs/>
          <w:i/>
          <w:iCs/>
          <w:sz w:val="24"/>
          <w:szCs w:val="24"/>
          <w:lang w:eastAsia="cs-CZ"/>
        </w:rPr>
        <w:t>FUA</w:t>
      </w:r>
      <w:r w:rsidR="008500A2" w:rsidRPr="008500A2">
        <w:rPr>
          <w:rFonts w:cs="Arial"/>
          <w:bCs/>
          <w:i/>
          <w:iCs/>
          <w:sz w:val="24"/>
          <w:szCs w:val="24"/>
          <w:lang w:eastAsia="cs-CZ"/>
        </w:rPr>
        <w:t xml:space="preserve"> Hlavním cílem zahrnutí FUA do </w:t>
      </w:r>
      <w:proofErr w:type="spellStart"/>
      <w:r w:rsidR="008500A2" w:rsidRPr="008500A2">
        <w:rPr>
          <w:rFonts w:cs="Arial"/>
          <w:bCs/>
          <w:i/>
          <w:iCs/>
          <w:sz w:val="24"/>
          <w:szCs w:val="24"/>
          <w:lang w:eastAsia="cs-CZ"/>
        </w:rPr>
        <w:t>SUMPu</w:t>
      </w:r>
      <w:proofErr w:type="spellEnd"/>
      <w:r w:rsidR="008500A2" w:rsidRPr="008500A2">
        <w:rPr>
          <w:rFonts w:cs="Arial"/>
          <w:bCs/>
          <w:i/>
          <w:iCs/>
          <w:sz w:val="24"/>
          <w:szCs w:val="24"/>
          <w:lang w:eastAsia="cs-CZ"/>
        </w:rPr>
        <w:t xml:space="preserve"> musí být </w:t>
      </w:r>
      <w:r w:rsidR="008500A2" w:rsidRPr="008500A2">
        <w:rPr>
          <w:rFonts w:cs="Arial"/>
          <w:b/>
          <w:bCs/>
          <w:i/>
          <w:iCs/>
          <w:sz w:val="24"/>
          <w:szCs w:val="24"/>
          <w:lang w:eastAsia="cs-CZ"/>
        </w:rPr>
        <w:t>rozšíření konceptu udržitelné mobility i do zázemí městského uzlu</w:t>
      </w:r>
      <w:r w:rsidR="008500A2" w:rsidRPr="008500A2">
        <w:rPr>
          <w:rFonts w:cs="Arial"/>
          <w:bCs/>
          <w:i/>
          <w:iCs/>
          <w:sz w:val="24"/>
          <w:szCs w:val="24"/>
          <w:lang w:eastAsia="cs-CZ"/>
        </w:rPr>
        <w:t xml:space="preserve">, </w:t>
      </w:r>
      <w:r w:rsidR="008500A2" w:rsidRPr="008500A2">
        <w:rPr>
          <w:rFonts w:cs="Arial"/>
          <w:b/>
          <w:bCs/>
          <w:i/>
          <w:iCs/>
          <w:sz w:val="24"/>
          <w:szCs w:val="24"/>
          <w:lang w:eastAsia="cs-CZ"/>
        </w:rPr>
        <w:t>které je s městským uzlem intenzivně provázáno</w:t>
      </w:r>
      <w:r w:rsidR="008500A2" w:rsidRPr="008500A2">
        <w:rPr>
          <w:rFonts w:cs="Arial"/>
          <w:bCs/>
          <w:i/>
          <w:iCs/>
          <w:sz w:val="24"/>
          <w:szCs w:val="24"/>
          <w:lang w:eastAsia="cs-CZ"/>
        </w:rPr>
        <w:t>.</w:t>
      </w:r>
      <w:r w:rsidR="00987E3E">
        <w:rPr>
          <w:rFonts w:cs="Arial"/>
          <w:bCs/>
          <w:i/>
          <w:iCs/>
          <w:sz w:val="24"/>
          <w:szCs w:val="24"/>
          <w:lang w:eastAsia="cs-CZ"/>
        </w:rPr>
        <w:t xml:space="preserve"> </w:t>
      </w:r>
    </w:p>
    <w:p w14:paraId="63CD888F" w14:textId="5E2D33A7" w:rsidR="00FB3895" w:rsidRPr="008500A2" w:rsidRDefault="00AC1479" w:rsidP="0072735A">
      <w:pPr>
        <w:spacing w:before="160"/>
        <w:ind w:left="709"/>
        <w:jc w:val="both"/>
        <w:rPr>
          <w:rFonts w:cs="Arial"/>
          <w:bCs/>
          <w:sz w:val="24"/>
          <w:szCs w:val="24"/>
          <w:lang w:eastAsia="cs-CZ"/>
        </w:rPr>
      </w:pPr>
      <w:r>
        <w:rPr>
          <w:rFonts w:cs="Arial"/>
          <w:bCs/>
          <w:sz w:val="24"/>
          <w:szCs w:val="24"/>
          <w:lang w:eastAsia="cs-CZ"/>
        </w:rPr>
        <w:lastRenderedPageBreak/>
        <w:t>Důvodem je zejména skutečnost, že pravidelná dojížďka zejména z příměstské oblasti významně ovlivňuje mobilitu ve městě</w:t>
      </w:r>
      <w:r w:rsidR="0072735A">
        <w:rPr>
          <w:rFonts w:cs="Arial"/>
          <w:bCs/>
          <w:sz w:val="24"/>
          <w:szCs w:val="24"/>
          <w:lang w:eastAsia="cs-CZ"/>
        </w:rPr>
        <w:t>,</w:t>
      </w:r>
      <w:r w:rsidR="000573A5">
        <w:rPr>
          <w:rFonts w:cs="Arial"/>
          <w:bCs/>
          <w:sz w:val="24"/>
          <w:szCs w:val="24"/>
          <w:lang w:eastAsia="cs-CZ"/>
        </w:rPr>
        <w:t xml:space="preserve"> a i pro tuto oblast je nutné vytvářet podmínky pro optimalizaci mobility a jejího způsobu</w:t>
      </w:r>
      <w:r w:rsidR="0072735A">
        <w:rPr>
          <w:rFonts w:cs="Arial"/>
          <w:bCs/>
          <w:sz w:val="24"/>
          <w:szCs w:val="24"/>
          <w:lang w:eastAsia="cs-CZ"/>
        </w:rPr>
        <w:t xml:space="preserve"> realizace. Současné plány</w:t>
      </w:r>
      <w:r w:rsidR="00590281">
        <w:rPr>
          <w:rFonts w:cs="Arial"/>
          <w:bCs/>
          <w:sz w:val="24"/>
          <w:szCs w:val="24"/>
          <w:lang w:eastAsia="cs-CZ"/>
        </w:rPr>
        <w:t xml:space="preserve"> řeší tuto oblast spíše formálně, byť reálně je</w:t>
      </w:r>
      <w:r w:rsidR="0010514E">
        <w:rPr>
          <w:rFonts w:cs="Arial"/>
          <w:bCs/>
          <w:sz w:val="24"/>
          <w:szCs w:val="24"/>
          <w:lang w:eastAsia="cs-CZ"/>
        </w:rPr>
        <w:t xml:space="preserve"> řešena zejména z úrovně kraje.</w:t>
      </w:r>
      <w:r w:rsidR="00F950F2">
        <w:rPr>
          <w:rFonts w:cs="Arial"/>
          <w:bCs/>
          <w:sz w:val="24"/>
          <w:szCs w:val="24"/>
          <w:lang w:eastAsia="cs-CZ"/>
        </w:rPr>
        <w:t xml:space="preserve"> Jedním z hlavních nástrojů je za</w:t>
      </w:r>
      <w:r w:rsidR="0078450D">
        <w:rPr>
          <w:rFonts w:cs="Arial"/>
          <w:bCs/>
          <w:sz w:val="24"/>
          <w:szCs w:val="24"/>
          <w:lang w:eastAsia="cs-CZ"/>
        </w:rPr>
        <w:t>vádění integrovaných dopravních systémů (IDS)</w:t>
      </w:r>
      <w:r w:rsidR="00925782">
        <w:rPr>
          <w:rFonts w:cs="Arial"/>
          <w:bCs/>
          <w:sz w:val="24"/>
          <w:szCs w:val="24"/>
          <w:lang w:eastAsia="cs-CZ"/>
        </w:rPr>
        <w:t xml:space="preserve"> a budování přestupních terminálů na území FUA.</w:t>
      </w:r>
      <w:r w:rsidR="0078450D">
        <w:rPr>
          <w:rFonts w:cs="Arial"/>
          <w:bCs/>
          <w:sz w:val="24"/>
          <w:szCs w:val="24"/>
          <w:lang w:eastAsia="cs-CZ"/>
        </w:rPr>
        <w:t xml:space="preserve"> </w:t>
      </w:r>
    </w:p>
    <w:p w14:paraId="5A6C9C14" w14:textId="6F458DF0" w:rsidR="00664115" w:rsidRPr="005442B7" w:rsidRDefault="00664115" w:rsidP="005442B7">
      <w:pPr>
        <w:pStyle w:val="Odstavecseseznamem"/>
        <w:numPr>
          <w:ilvl w:val="0"/>
          <w:numId w:val="46"/>
        </w:numPr>
        <w:spacing w:before="160"/>
        <w:ind w:left="714" w:hanging="357"/>
        <w:contextualSpacing w:val="0"/>
        <w:jc w:val="both"/>
        <w:rPr>
          <w:rFonts w:cs="Arial"/>
          <w:sz w:val="24"/>
          <w:szCs w:val="24"/>
          <w:lang w:eastAsia="cs-CZ"/>
        </w:rPr>
      </w:pPr>
      <w:r w:rsidRPr="00DE6D93">
        <w:rPr>
          <w:rFonts w:cs="Arial"/>
          <w:sz w:val="24"/>
          <w:szCs w:val="24"/>
          <w:lang w:eastAsia="cs-CZ"/>
        </w:rPr>
        <w:t>Shromažďování údajů o městské mobilitě podle městských uzlů a jejich předkládání Komisi v oblasti udržitelnosti, bezpečnosti a přístupnosti podle stanovených ukazatelů (indikátorů</w:t>
      </w:r>
      <w:r w:rsidR="002803B9">
        <w:rPr>
          <w:rFonts w:cs="Arial"/>
          <w:sz w:val="24"/>
          <w:szCs w:val="24"/>
          <w:lang w:eastAsia="cs-CZ"/>
        </w:rPr>
        <w:t xml:space="preserve"> SUM</w:t>
      </w:r>
      <w:r w:rsidR="00154A10">
        <w:rPr>
          <w:rFonts w:cs="Arial"/>
          <w:sz w:val="24"/>
          <w:szCs w:val="24"/>
          <w:lang w:eastAsia="cs-CZ"/>
        </w:rPr>
        <w:t>I</w:t>
      </w:r>
      <w:r w:rsidRPr="00DE6D93">
        <w:rPr>
          <w:rFonts w:cs="Arial"/>
          <w:sz w:val="24"/>
          <w:szCs w:val="24"/>
          <w:lang w:eastAsia="cs-CZ"/>
        </w:rPr>
        <w:t>)</w:t>
      </w:r>
      <w:r w:rsidR="002803B9">
        <w:rPr>
          <w:rFonts w:cs="Arial"/>
          <w:sz w:val="24"/>
          <w:szCs w:val="24"/>
          <w:lang w:eastAsia="cs-CZ"/>
        </w:rPr>
        <w:t>.</w:t>
      </w:r>
      <w:r w:rsidR="00084FA9" w:rsidRPr="005442B7">
        <w:rPr>
          <w:rFonts w:cs="Arial"/>
          <w:sz w:val="24"/>
          <w:szCs w:val="24"/>
          <w:lang w:eastAsia="cs-CZ"/>
        </w:rPr>
        <w:t xml:space="preserve"> </w:t>
      </w:r>
    </w:p>
    <w:p w14:paraId="13ACA062" w14:textId="77777777" w:rsidR="00664115" w:rsidRPr="00DE6D93" w:rsidRDefault="00664115" w:rsidP="00396F32">
      <w:pPr>
        <w:pStyle w:val="Odstavecseseznamem"/>
        <w:numPr>
          <w:ilvl w:val="0"/>
          <w:numId w:val="46"/>
        </w:numPr>
        <w:spacing w:before="160"/>
        <w:ind w:left="714" w:hanging="357"/>
        <w:contextualSpacing w:val="0"/>
        <w:jc w:val="both"/>
        <w:rPr>
          <w:rFonts w:cs="Arial"/>
          <w:sz w:val="24"/>
          <w:szCs w:val="24"/>
          <w:lang w:eastAsia="cs-CZ"/>
        </w:rPr>
      </w:pPr>
      <w:r w:rsidRPr="00DE6D93">
        <w:rPr>
          <w:rFonts w:cs="Arial"/>
          <w:sz w:val="24"/>
          <w:szCs w:val="24"/>
          <w:lang w:eastAsia="cs-CZ"/>
        </w:rPr>
        <w:t xml:space="preserve">Do 31. prosince 2030 Rozvoj multimodálních uzlů osobní dopravy s cílem usnadnit spojení prvního a posledního kilometru - vč. usnadnění přístupu k infrastruktuře veřejné dopravy a aktivní mobilitě a vybavených alespoň jednou dobíjecí stanicí určenou pro obsluhu autobusů a autokarů (čl. 2, odst. 52, nařízení (EU) 2023/1804) </w:t>
      </w:r>
    </w:p>
    <w:p w14:paraId="53F55DEB" w14:textId="77777777" w:rsidR="00FB3895" w:rsidRDefault="00664115" w:rsidP="00396F32">
      <w:pPr>
        <w:pStyle w:val="Odstavecseseznamem"/>
        <w:numPr>
          <w:ilvl w:val="0"/>
          <w:numId w:val="46"/>
        </w:numPr>
        <w:spacing w:before="160"/>
        <w:ind w:left="714" w:hanging="357"/>
        <w:contextualSpacing w:val="0"/>
        <w:jc w:val="both"/>
        <w:rPr>
          <w:rFonts w:cs="Arial"/>
          <w:sz w:val="24"/>
          <w:szCs w:val="24"/>
          <w:lang w:eastAsia="cs-CZ"/>
        </w:rPr>
      </w:pPr>
      <w:r w:rsidRPr="00DE6D93">
        <w:rPr>
          <w:rFonts w:cs="Arial"/>
          <w:sz w:val="24"/>
          <w:szCs w:val="24"/>
          <w:lang w:eastAsia="cs-CZ"/>
        </w:rPr>
        <w:t>Do 31. prosince 2040 rozvoj alespoň jednoho terminálu multimodální nákladní přepravy umožňujícího dostatečnou překládkovou kapacitu v rámci městského uzlu nebo v jeho okolí. Jeden terminál multimodální nákladní přepravy může obsluhovat několik městských uzlů a může být umístěn v městském uzlu samotném nebo v jeho blízkosti.</w:t>
      </w:r>
    </w:p>
    <w:p w14:paraId="30143599" w14:textId="66A98460" w:rsidR="00597DDD" w:rsidRDefault="00597DDD" w:rsidP="00597DDD">
      <w:pPr>
        <w:spacing w:before="160"/>
        <w:ind w:left="709"/>
        <w:jc w:val="both"/>
        <w:rPr>
          <w:rFonts w:cs="Arial"/>
          <w:sz w:val="24"/>
          <w:szCs w:val="24"/>
          <w:lang w:eastAsia="cs-CZ"/>
        </w:rPr>
      </w:pPr>
      <w:r>
        <w:rPr>
          <w:rFonts w:cs="Arial"/>
          <w:sz w:val="24"/>
          <w:szCs w:val="24"/>
          <w:lang w:eastAsia="cs-CZ"/>
        </w:rPr>
        <w:t>Tato problematika nebyla</w:t>
      </w:r>
      <w:r w:rsidR="00F84E19">
        <w:rPr>
          <w:rFonts w:cs="Arial"/>
          <w:sz w:val="24"/>
          <w:szCs w:val="24"/>
          <w:lang w:eastAsia="cs-CZ"/>
        </w:rPr>
        <w:t xml:space="preserve"> zatím ze strany Evropské komise podrobněji vyjasněna. </w:t>
      </w:r>
      <w:r w:rsidR="0060186D">
        <w:rPr>
          <w:rFonts w:cs="Arial"/>
          <w:sz w:val="24"/>
          <w:szCs w:val="24"/>
          <w:lang w:eastAsia="cs-CZ"/>
        </w:rPr>
        <w:t>Realizace terminálu je podmíněna</w:t>
      </w:r>
      <w:r w:rsidR="009A052C">
        <w:rPr>
          <w:rFonts w:cs="Arial"/>
          <w:sz w:val="24"/>
          <w:szCs w:val="24"/>
          <w:lang w:eastAsia="cs-CZ"/>
        </w:rPr>
        <w:t xml:space="preserve"> průkazem ekonomické efektivity takového záměru.</w:t>
      </w:r>
      <w:r w:rsidR="00DC5D62">
        <w:rPr>
          <w:rFonts w:cs="Arial"/>
          <w:sz w:val="24"/>
          <w:szCs w:val="24"/>
          <w:lang w:eastAsia="cs-CZ"/>
        </w:rPr>
        <w:t xml:space="preserve"> Vzhledem k</w:t>
      </w:r>
      <w:r w:rsidR="008A5224">
        <w:rPr>
          <w:rFonts w:cs="Arial"/>
          <w:sz w:val="24"/>
          <w:szCs w:val="24"/>
          <w:lang w:eastAsia="cs-CZ"/>
        </w:rPr>
        <w:t> </w:t>
      </w:r>
      <w:r w:rsidR="00DC5D62">
        <w:rPr>
          <w:rFonts w:cs="Arial"/>
          <w:sz w:val="24"/>
          <w:szCs w:val="24"/>
          <w:lang w:eastAsia="cs-CZ"/>
        </w:rPr>
        <w:t>termínu</w:t>
      </w:r>
      <w:r w:rsidR="008A5224">
        <w:rPr>
          <w:rFonts w:cs="Arial"/>
          <w:sz w:val="24"/>
          <w:szCs w:val="24"/>
          <w:lang w:eastAsia="cs-CZ"/>
        </w:rPr>
        <w:t xml:space="preserve"> realizace do roku 2040 bude problematice věnována pozornost v rámci konzultací</w:t>
      </w:r>
      <w:r w:rsidR="00793BB4">
        <w:rPr>
          <w:rFonts w:cs="Arial"/>
          <w:sz w:val="24"/>
          <w:szCs w:val="24"/>
          <w:lang w:eastAsia="cs-CZ"/>
        </w:rPr>
        <w:t xml:space="preserve"> a metodického vedení v nadcházejících letech.</w:t>
      </w:r>
    </w:p>
    <w:p w14:paraId="60917F67" w14:textId="35499337" w:rsidR="00664115" w:rsidRPr="00EB291D" w:rsidRDefault="00FB3895" w:rsidP="00396F32">
      <w:pPr>
        <w:pStyle w:val="Odstavecseseznamem"/>
        <w:numPr>
          <w:ilvl w:val="0"/>
          <w:numId w:val="46"/>
        </w:numPr>
        <w:spacing w:before="160"/>
        <w:ind w:left="714" w:hanging="357"/>
        <w:contextualSpacing w:val="0"/>
        <w:jc w:val="both"/>
        <w:rPr>
          <w:rFonts w:cs="Arial"/>
          <w:sz w:val="24"/>
          <w:szCs w:val="24"/>
          <w:lang w:eastAsia="cs-CZ"/>
        </w:rPr>
      </w:pPr>
      <w:r w:rsidRPr="00DE6D93">
        <w:rPr>
          <w:rFonts w:cs="Arial"/>
          <w:sz w:val="24"/>
          <w:szCs w:val="24"/>
          <w:lang w:eastAsia="cs-CZ"/>
        </w:rPr>
        <w:t>Dostupnost infrastruktury pro dobíjení a doplňování alternativních paliv.</w:t>
      </w:r>
    </w:p>
    <w:p w14:paraId="48D18E46" w14:textId="77777777" w:rsidR="00664115" w:rsidRDefault="00664115" w:rsidP="00664115">
      <w:pPr>
        <w:jc w:val="both"/>
        <w:rPr>
          <w:b/>
          <w:bCs/>
          <w:sz w:val="24"/>
          <w:szCs w:val="24"/>
        </w:rPr>
      </w:pPr>
      <w:r w:rsidRPr="00592808">
        <w:rPr>
          <w:b/>
          <w:bCs/>
          <w:sz w:val="24"/>
          <w:szCs w:val="24"/>
        </w:rPr>
        <w:t>Požadavek na úzkou spolupráci všech zainteresovaných subjektů národní úrovně</w:t>
      </w:r>
    </w:p>
    <w:p w14:paraId="7225CA3B" w14:textId="1AFA390E" w:rsidR="001A476B" w:rsidRPr="001A476B" w:rsidRDefault="001A476B" w:rsidP="00664115">
      <w:pPr>
        <w:jc w:val="both"/>
        <w:rPr>
          <w:sz w:val="24"/>
          <w:szCs w:val="24"/>
        </w:rPr>
      </w:pPr>
      <w:r w:rsidRPr="001A476B">
        <w:rPr>
          <w:sz w:val="24"/>
          <w:szCs w:val="24"/>
        </w:rPr>
        <w:t>Spolupráce je zajišťována následujícími procesy</w:t>
      </w:r>
      <w:r>
        <w:rPr>
          <w:sz w:val="24"/>
          <w:szCs w:val="24"/>
        </w:rPr>
        <w:t xml:space="preserve"> a jejich provázáním</w:t>
      </w:r>
      <w:r w:rsidRPr="001A476B">
        <w:rPr>
          <w:sz w:val="24"/>
          <w:szCs w:val="24"/>
        </w:rPr>
        <w:t>:</w:t>
      </w:r>
    </w:p>
    <w:p w14:paraId="2A4BF6F0" w14:textId="0B46F117" w:rsidR="00664115" w:rsidRPr="001A476B" w:rsidRDefault="00664115" w:rsidP="00A3156A">
      <w:pPr>
        <w:pStyle w:val="Odstavecseseznamem"/>
        <w:numPr>
          <w:ilvl w:val="0"/>
          <w:numId w:val="26"/>
        </w:numPr>
        <w:ind w:left="714" w:hanging="357"/>
        <w:jc w:val="both"/>
        <w:rPr>
          <w:sz w:val="24"/>
          <w:szCs w:val="24"/>
        </w:rPr>
      </w:pPr>
      <w:r w:rsidRPr="001A476B">
        <w:rPr>
          <w:sz w:val="24"/>
          <w:szCs w:val="24"/>
        </w:rPr>
        <w:t>SUMP města (</w:t>
      </w:r>
      <w:r w:rsidR="00A3156A" w:rsidRPr="001A476B">
        <w:rPr>
          <w:sz w:val="24"/>
          <w:szCs w:val="24"/>
        </w:rPr>
        <w:t>odpovědnost – města</w:t>
      </w:r>
      <w:r w:rsidRPr="001A476B">
        <w:rPr>
          <w:sz w:val="24"/>
          <w:szCs w:val="24"/>
        </w:rPr>
        <w:t>)</w:t>
      </w:r>
      <w:r w:rsidR="00F8276C">
        <w:rPr>
          <w:sz w:val="24"/>
          <w:szCs w:val="24"/>
        </w:rPr>
        <w:t>.</w:t>
      </w:r>
    </w:p>
    <w:p w14:paraId="3F4D110E" w14:textId="3C840425" w:rsidR="00664115" w:rsidRPr="001A476B" w:rsidRDefault="00664115" w:rsidP="00A3156A">
      <w:pPr>
        <w:pStyle w:val="Odstavecseseznamem"/>
        <w:numPr>
          <w:ilvl w:val="0"/>
          <w:numId w:val="26"/>
        </w:numPr>
        <w:ind w:left="714" w:hanging="357"/>
        <w:jc w:val="both"/>
        <w:rPr>
          <w:sz w:val="24"/>
          <w:szCs w:val="24"/>
        </w:rPr>
      </w:pPr>
      <w:r w:rsidRPr="001A476B">
        <w:rPr>
          <w:sz w:val="24"/>
          <w:szCs w:val="24"/>
        </w:rPr>
        <w:t>Dopravní sektorové strategie</w:t>
      </w:r>
      <w:r w:rsidR="00C33EBE">
        <w:rPr>
          <w:sz w:val="24"/>
          <w:szCs w:val="24"/>
        </w:rPr>
        <w:t xml:space="preserve">, tj. rozvoj železniční infrastruktury a </w:t>
      </w:r>
      <w:r w:rsidR="00D706D0">
        <w:rPr>
          <w:sz w:val="24"/>
          <w:szCs w:val="24"/>
        </w:rPr>
        <w:t>obchvaty a průtahy silnic I. třídy a budování dálnic</w:t>
      </w:r>
      <w:r w:rsidRPr="001A476B">
        <w:rPr>
          <w:sz w:val="24"/>
          <w:szCs w:val="24"/>
        </w:rPr>
        <w:t xml:space="preserve"> (</w:t>
      </w:r>
      <w:r w:rsidR="00A3156A" w:rsidRPr="001A476B">
        <w:rPr>
          <w:sz w:val="24"/>
          <w:szCs w:val="24"/>
        </w:rPr>
        <w:t>odpovědnost</w:t>
      </w:r>
      <w:r w:rsidR="00E257ED">
        <w:rPr>
          <w:sz w:val="24"/>
          <w:szCs w:val="24"/>
        </w:rPr>
        <w:t>:</w:t>
      </w:r>
      <w:r w:rsidR="00A3156A" w:rsidRPr="001A476B">
        <w:rPr>
          <w:sz w:val="24"/>
          <w:szCs w:val="24"/>
        </w:rPr>
        <w:t xml:space="preserve"> MD</w:t>
      </w:r>
      <w:r w:rsidRPr="001A476B">
        <w:rPr>
          <w:sz w:val="24"/>
          <w:szCs w:val="24"/>
        </w:rPr>
        <w:t>)</w:t>
      </w:r>
      <w:r w:rsidR="00F8276C">
        <w:rPr>
          <w:sz w:val="24"/>
          <w:szCs w:val="24"/>
        </w:rPr>
        <w:t>.</w:t>
      </w:r>
    </w:p>
    <w:p w14:paraId="0A9424F3" w14:textId="21E0F685" w:rsidR="00664115" w:rsidRPr="001A476B" w:rsidRDefault="00664115" w:rsidP="00A3156A">
      <w:pPr>
        <w:pStyle w:val="Odstavecseseznamem"/>
        <w:numPr>
          <w:ilvl w:val="0"/>
          <w:numId w:val="26"/>
        </w:numPr>
        <w:ind w:left="714" w:hanging="357"/>
        <w:jc w:val="both"/>
        <w:rPr>
          <w:sz w:val="24"/>
          <w:szCs w:val="24"/>
        </w:rPr>
      </w:pPr>
      <w:r w:rsidRPr="001A476B">
        <w:rPr>
          <w:sz w:val="24"/>
          <w:szCs w:val="24"/>
        </w:rPr>
        <w:t>Plán dopravní obslužnosti kraje (</w:t>
      </w:r>
      <w:r w:rsidR="00A3156A" w:rsidRPr="001A476B">
        <w:rPr>
          <w:sz w:val="24"/>
          <w:szCs w:val="24"/>
        </w:rPr>
        <w:t>odpovědnost</w:t>
      </w:r>
      <w:r w:rsidR="00E257ED">
        <w:rPr>
          <w:sz w:val="24"/>
          <w:szCs w:val="24"/>
        </w:rPr>
        <w:t>:</w:t>
      </w:r>
      <w:r w:rsidR="00A3156A" w:rsidRPr="001A476B">
        <w:rPr>
          <w:sz w:val="24"/>
          <w:szCs w:val="24"/>
        </w:rPr>
        <w:t xml:space="preserve"> kraje</w:t>
      </w:r>
      <w:r w:rsidRPr="001A476B">
        <w:rPr>
          <w:sz w:val="24"/>
          <w:szCs w:val="24"/>
        </w:rPr>
        <w:t>)</w:t>
      </w:r>
      <w:r w:rsidR="00F8276C">
        <w:rPr>
          <w:sz w:val="24"/>
          <w:szCs w:val="24"/>
        </w:rPr>
        <w:t>.</w:t>
      </w:r>
    </w:p>
    <w:p w14:paraId="705A301A" w14:textId="2F9FD5FC" w:rsidR="00664115" w:rsidRPr="001A476B" w:rsidRDefault="00664115" w:rsidP="00A3156A">
      <w:pPr>
        <w:pStyle w:val="Odstavecseseznamem"/>
        <w:numPr>
          <w:ilvl w:val="0"/>
          <w:numId w:val="26"/>
        </w:numPr>
        <w:ind w:left="714" w:hanging="357"/>
        <w:jc w:val="both"/>
        <w:rPr>
          <w:sz w:val="24"/>
          <w:szCs w:val="24"/>
        </w:rPr>
      </w:pPr>
      <w:r w:rsidRPr="001A476B">
        <w:rPr>
          <w:sz w:val="24"/>
          <w:szCs w:val="24"/>
        </w:rPr>
        <w:t>Plán dopravní obslužnosti města (</w:t>
      </w:r>
      <w:r w:rsidR="00A3156A" w:rsidRPr="001A476B">
        <w:rPr>
          <w:sz w:val="24"/>
          <w:szCs w:val="24"/>
        </w:rPr>
        <w:t>odpovědnost</w:t>
      </w:r>
      <w:r w:rsidR="00E257ED">
        <w:rPr>
          <w:sz w:val="24"/>
          <w:szCs w:val="24"/>
        </w:rPr>
        <w:t>:</w:t>
      </w:r>
      <w:r w:rsidR="00A3156A" w:rsidRPr="001A476B">
        <w:rPr>
          <w:sz w:val="24"/>
          <w:szCs w:val="24"/>
        </w:rPr>
        <w:t xml:space="preserve"> města</w:t>
      </w:r>
      <w:r w:rsidRPr="001A476B">
        <w:rPr>
          <w:sz w:val="24"/>
          <w:szCs w:val="24"/>
        </w:rPr>
        <w:t>)</w:t>
      </w:r>
      <w:r w:rsidR="00F8276C">
        <w:rPr>
          <w:sz w:val="24"/>
          <w:szCs w:val="24"/>
        </w:rPr>
        <w:t>.</w:t>
      </w:r>
    </w:p>
    <w:p w14:paraId="4EF44DA1" w14:textId="4E5E1B37" w:rsidR="00664115" w:rsidRPr="001A476B" w:rsidRDefault="00F8276C" w:rsidP="00A3156A">
      <w:pPr>
        <w:pStyle w:val="Odstavecseseznamem"/>
        <w:numPr>
          <w:ilvl w:val="0"/>
          <w:numId w:val="26"/>
        </w:numPr>
        <w:ind w:left="714" w:hanging="357"/>
        <w:jc w:val="both"/>
        <w:rPr>
          <w:sz w:val="24"/>
          <w:szCs w:val="24"/>
        </w:rPr>
      </w:pPr>
      <w:r>
        <w:rPr>
          <w:sz w:val="24"/>
          <w:szCs w:val="24"/>
        </w:rPr>
        <w:t>Č</w:t>
      </w:r>
      <w:r w:rsidR="00664115" w:rsidRPr="001A476B">
        <w:rPr>
          <w:sz w:val="24"/>
          <w:szCs w:val="24"/>
        </w:rPr>
        <w:t>ástečně Plán dopravní obslužnosti státu (dálkov</w:t>
      </w:r>
      <w:r w:rsidR="00C91CFB">
        <w:rPr>
          <w:sz w:val="24"/>
          <w:szCs w:val="24"/>
        </w:rPr>
        <w:t>é</w:t>
      </w:r>
      <w:r w:rsidR="00664115" w:rsidRPr="001A476B">
        <w:rPr>
          <w:sz w:val="24"/>
          <w:szCs w:val="24"/>
        </w:rPr>
        <w:t xml:space="preserve"> </w:t>
      </w:r>
      <w:r w:rsidR="00A3156A" w:rsidRPr="001A476B">
        <w:rPr>
          <w:sz w:val="24"/>
          <w:szCs w:val="24"/>
        </w:rPr>
        <w:t>železni</w:t>
      </w:r>
      <w:r w:rsidR="00C91CFB">
        <w:rPr>
          <w:sz w:val="24"/>
          <w:szCs w:val="24"/>
        </w:rPr>
        <w:t>ční linky</w:t>
      </w:r>
      <w:r w:rsidR="00E257ED">
        <w:rPr>
          <w:sz w:val="24"/>
          <w:szCs w:val="24"/>
        </w:rPr>
        <w:t xml:space="preserve"> v závazku veřejné služby</w:t>
      </w:r>
      <w:r w:rsidR="00A3156A" w:rsidRPr="001A476B">
        <w:rPr>
          <w:sz w:val="24"/>
          <w:szCs w:val="24"/>
        </w:rPr>
        <w:t xml:space="preserve"> – odpovědnost</w:t>
      </w:r>
      <w:r w:rsidR="00664115" w:rsidRPr="001A476B">
        <w:rPr>
          <w:sz w:val="24"/>
          <w:szCs w:val="24"/>
        </w:rPr>
        <w:t>: MD)</w:t>
      </w:r>
      <w:r>
        <w:rPr>
          <w:sz w:val="24"/>
          <w:szCs w:val="24"/>
        </w:rPr>
        <w:t>.</w:t>
      </w:r>
    </w:p>
    <w:p w14:paraId="0D5300D1" w14:textId="4CC4FF53" w:rsidR="00664115" w:rsidRDefault="00F8276C" w:rsidP="00A3156A">
      <w:pPr>
        <w:pStyle w:val="Odstavecseseznamem"/>
        <w:numPr>
          <w:ilvl w:val="0"/>
          <w:numId w:val="26"/>
        </w:numPr>
        <w:ind w:left="714" w:hanging="357"/>
        <w:jc w:val="both"/>
        <w:rPr>
          <w:sz w:val="24"/>
          <w:szCs w:val="24"/>
        </w:rPr>
      </w:pPr>
      <w:r>
        <w:rPr>
          <w:sz w:val="24"/>
          <w:szCs w:val="24"/>
        </w:rPr>
        <w:t xml:space="preserve">Plán </w:t>
      </w:r>
      <w:r w:rsidR="00664115" w:rsidRPr="001A476B">
        <w:rPr>
          <w:sz w:val="24"/>
          <w:szCs w:val="24"/>
        </w:rPr>
        <w:t>rozvoj</w:t>
      </w:r>
      <w:r>
        <w:rPr>
          <w:sz w:val="24"/>
          <w:szCs w:val="24"/>
        </w:rPr>
        <w:t>e a údržby</w:t>
      </w:r>
      <w:r w:rsidR="00664115" w:rsidRPr="001A476B">
        <w:rPr>
          <w:sz w:val="24"/>
          <w:szCs w:val="24"/>
        </w:rPr>
        <w:t xml:space="preserve"> silnic 2. a 3. třídy</w:t>
      </w:r>
      <w:r>
        <w:rPr>
          <w:sz w:val="24"/>
          <w:szCs w:val="24"/>
        </w:rPr>
        <w:t xml:space="preserve"> </w:t>
      </w:r>
      <w:r w:rsidRPr="001A476B">
        <w:rPr>
          <w:sz w:val="24"/>
          <w:szCs w:val="24"/>
        </w:rPr>
        <w:t>(odpovědnost</w:t>
      </w:r>
      <w:r>
        <w:rPr>
          <w:sz w:val="24"/>
          <w:szCs w:val="24"/>
        </w:rPr>
        <w:t>:</w:t>
      </w:r>
      <w:r w:rsidRPr="001A476B">
        <w:rPr>
          <w:sz w:val="24"/>
          <w:szCs w:val="24"/>
        </w:rPr>
        <w:t xml:space="preserve"> kraje)</w:t>
      </w:r>
      <w:r w:rsidR="0013326B">
        <w:rPr>
          <w:sz w:val="24"/>
          <w:szCs w:val="24"/>
        </w:rPr>
        <w:t>.</w:t>
      </w:r>
    </w:p>
    <w:p w14:paraId="4E6F75AF" w14:textId="3DDEBF29" w:rsidR="009B2F3F" w:rsidRPr="009B2F3F" w:rsidRDefault="00495339" w:rsidP="009B2F3F">
      <w:pPr>
        <w:jc w:val="both"/>
        <w:rPr>
          <w:sz w:val="24"/>
          <w:szCs w:val="24"/>
        </w:rPr>
      </w:pPr>
      <w:r>
        <w:rPr>
          <w:sz w:val="24"/>
          <w:szCs w:val="24"/>
        </w:rPr>
        <w:t>Splnění požadavku nařízení bude v minimálním rozsahu doloženo předložením</w:t>
      </w:r>
      <w:r w:rsidR="006F4BED">
        <w:rPr>
          <w:sz w:val="24"/>
          <w:szCs w:val="24"/>
        </w:rPr>
        <w:t xml:space="preserve"> těchto dokumentů, které budou součástí tzv. integrovaného plánu udržitelné městské mobility (ISUMP).</w:t>
      </w:r>
    </w:p>
    <w:p w14:paraId="445317E9" w14:textId="77777777" w:rsidR="00664115" w:rsidRPr="00592808" w:rsidRDefault="00664115" w:rsidP="00664115">
      <w:pPr>
        <w:jc w:val="both"/>
        <w:rPr>
          <w:b/>
          <w:bCs/>
          <w:sz w:val="24"/>
          <w:szCs w:val="24"/>
        </w:rPr>
      </w:pPr>
      <w:r w:rsidRPr="00592808">
        <w:rPr>
          <w:b/>
          <w:bCs/>
          <w:sz w:val="24"/>
          <w:szCs w:val="24"/>
        </w:rPr>
        <w:t>Priority pro městské uzly</w:t>
      </w:r>
    </w:p>
    <w:p w14:paraId="42C91225" w14:textId="77777777" w:rsidR="00664115" w:rsidRPr="00592808" w:rsidRDefault="00664115" w:rsidP="00664115">
      <w:pPr>
        <w:jc w:val="both"/>
        <w:rPr>
          <w:sz w:val="24"/>
          <w:szCs w:val="24"/>
        </w:rPr>
      </w:pPr>
      <w:r w:rsidRPr="00592808">
        <w:rPr>
          <w:sz w:val="24"/>
          <w:szCs w:val="24"/>
        </w:rPr>
        <w:t>Při podpoře projektů společného zájmu souvisejících s městskými uzly se upřednostní:</w:t>
      </w:r>
    </w:p>
    <w:p w14:paraId="36CA00BD" w14:textId="048D9021" w:rsidR="00664115" w:rsidRPr="00592808" w:rsidRDefault="00664115" w:rsidP="00664115">
      <w:pPr>
        <w:pStyle w:val="Odstavecseseznamem"/>
        <w:numPr>
          <w:ilvl w:val="0"/>
          <w:numId w:val="4"/>
        </w:numPr>
        <w:jc w:val="both"/>
        <w:rPr>
          <w:sz w:val="24"/>
          <w:szCs w:val="24"/>
        </w:rPr>
      </w:pPr>
      <w:r w:rsidRPr="00592808">
        <w:rPr>
          <w:sz w:val="24"/>
          <w:szCs w:val="24"/>
        </w:rPr>
        <w:lastRenderedPageBreak/>
        <w:t xml:space="preserve">spojení, jako jsou </w:t>
      </w:r>
      <w:r w:rsidR="00A34262">
        <w:rPr>
          <w:sz w:val="24"/>
          <w:szCs w:val="24"/>
        </w:rPr>
        <w:t xml:space="preserve">systémy </w:t>
      </w:r>
      <w:r w:rsidRPr="00592808">
        <w:rPr>
          <w:sz w:val="24"/>
          <w:szCs w:val="24"/>
        </w:rPr>
        <w:t xml:space="preserve">metra nebo tramvaje, prvního a posledního kilometru mezi přístupovými body k TEN-T a do </w:t>
      </w:r>
      <w:r w:rsidR="00A3156A" w:rsidRPr="00592808">
        <w:rPr>
          <w:sz w:val="24"/>
          <w:szCs w:val="24"/>
        </w:rPr>
        <w:t>nich – s</w:t>
      </w:r>
      <w:r w:rsidRPr="00592808">
        <w:rPr>
          <w:sz w:val="24"/>
          <w:szCs w:val="24"/>
        </w:rPr>
        <w:t xml:space="preserve"> cílem zvýšit výkonnost TEN-T</w:t>
      </w:r>
      <w:r w:rsidR="007068B0">
        <w:rPr>
          <w:sz w:val="24"/>
          <w:szCs w:val="24"/>
        </w:rPr>
        <w:t>,</w:t>
      </w:r>
    </w:p>
    <w:p w14:paraId="7E8B30B1" w14:textId="45DEE92D" w:rsidR="00664115" w:rsidRPr="00592808" w:rsidRDefault="00664115" w:rsidP="00664115">
      <w:pPr>
        <w:pStyle w:val="Odstavecseseznamem"/>
        <w:numPr>
          <w:ilvl w:val="0"/>
          <w:numId w:val="4"/>
        </w:numPr>
        <w:jc w:val="both"/>
        <w:rPr>
          <w:sz w:val="24"/>
          <w:szCs w:val="24"/>
        </w:rPr>
      </w:pPr>
      <w:r w:rsidRPr="00592808">
        <w:rPr>
          <w:sz w:val="24"/>
          <w:szCs w:val="24"/>
        </w:rPr>
        <w:t>plynulé propojení mezi infrastrukturou TEN-T a infrastrukturou regionální a místní udržitelné dopravy</w:t>
      </w:r>
      <w:r w:rsidR="007068B0">
        <w:rPr>
          <w:sz w:val="24"/>
          <w:szCs w:val="24"/>
        </w:rPr>
        <w:t>,</w:t>
      </w:r>
    </w:p>
    <w:p w14:paraId="3CD7F4EE" w14:textId="13A43D1D" w:rsidR="00664115" w:rsidRPr="00592808" w:rsidRDefault="00664115" w:rsidP="00664115">
      <w:pPr>
        <w:pStyle w:val="Odstavecseseznamem"/>
        <w:numPr>
          <w:ilvl w:val="0"/>
          <w:numId w:val="4"/>
        </w:numPr>
        <w:jc w:val="both"/>
        <w:rPr>
          <w:sz w:val="24"/>
          <w:szCs w:val="24"/>
        </w:rPr>
      </w:pPr>
      <w:r w:rsidRPr="00592808">
        <w:rPr>
          <w:sz w:val="24"/>
          <w:szCs w:val="24"/>
        </w:rPr>
        <w:t xml:space="preserve">pro </w:t>
      </w:r>
      <w:r w:rsidR="00A3156A" w:rsidRPr="00592808">
        <w:rPr>
          <w:sz w:val="24"/>
          <w:szCs w:val="24"/>
        </w:rPr>
        <w:t>cestující – možnost</w:t>
      </w:r>
      <w:r w:rsidRPr="00592808">
        <w:rPr>
          <w:sz w:val="24"/>
          <w:szCs w:val="24"/>
        </w:rPr>
        <w:t xml:space="preserve"> přístupu k informacím, rezervaci, placení jízd a získávání jízdenek prostřednictvím multimodálních digitálních služeb v oblasti mobility s cílem umožnit optimalizované trasy pro vozidla, zlepšení řízení dopravních toků, bezpečnosti silničního provozu a snížení kongesce a znečištění ovzduší</w:t>
      </w:r>
      <w:r w:rsidR="007068B0">
        <w:rPr>
          <w:sz w:val="24"/>
          <w:szCs w:val="24"/>
        </w:rPr>
        <w:t>,</w:t>
      </w:r>
    </w:p>
    <w:p w14:paraId="43DC2767" w14:textId="1EC94C3E" w:rsidR="00664115" w:rsidRPr="00592808" w:rsidRDefault="00664115" w:rsidP="00664115">
      <w:pPr>
        <w:pStyle w:val="Odstavecseseznamem"/>
        <w:numPr>
          <w:ilvl w:val="0"/>
          <w:numId w:val="4"/>
        </w:numPr>
        <w:jc w:val="both"/>
        <w:rPr>
          <w:sz w:val="24"/>
          <w:szCs w:val="24"/>
        </w:rPr>
      </w:pPr>
      <w:r w:rsidRPr="00592808">
        <w:rPr>
          <w:sz w:val="24"/>
          <w:szCs w:val="24"/>
        </w:rPr>
        <w:t xml:space="preserve">pro nákladní </w:t>
      </w:r>
      <w:r w:rsidR="00A3156A" w:rsidRPr="00592808">
        <w:rPr>
          <w:sz w:val="24"/>
          <w:szCs w:val="24"/>
        </w:rPr>
        <w:t>dopravu – městská</w:t>
      </w:r>
      <w:r w:rsidRPr="00592808">
        <w:rPr>
          <w:sz w:val="24"/>
          <w:szCs w:val="24"/>
        </w:rPr>
        <w:t xml:space="preserve"> logistická zařízení s cílem zlepšit konsolidaci dodávek v městských oblastech, jako jsou </w:t>
      </w:r>
      <w:proofErr w:type="spellStart"/>
      <w:r w:rsidRPr="00592808">
        <w:rPr>
          <w:sz w:val="24"/>
          <w:szCs w:val="24"/>
        </w:rPr>
        <w:t>mikrouzly</w:t>
      </w:r>
      <w:proofErr w:type="spellEnd"/>
      <w:r w:rsidRPr="00592808">
        <w:rPr>
          <w:sz w:val="24"/>
          <w:szCs w:val="24"/>
        </w:rPr>
        <w:t xml:space="preserve"> a cyklistické logistické uzly, zejm. s napojením na železniční a vodní dopravní infrastrukturu</w:t>
      </w:r>
      <w:r w:rsidR="007068B0">
        <w:rPr>
          <w:sz w:val="24"/>
          <w:szCs w:val="24"/>
        </w:rPr>
        <w:t>.</w:t>
      </w:r>
    </w:p>
    <w:p w14:paraId="6FE06532" w14:textId="77777777" w:rsidR="00664115" w:rsidRDefault="00664115" w:rsidP="00664115">
      <w:pPr>
        <w:jc w:val="both"/>
        <w:rPr>
          <w:b/>
          <w:bCs/>
          <w:sz w:val="24"/>
          <w:szCs w:val="24"/>
        </w:rPr>
      </w:pPr>
      <w:r w:rsidRPr="000E3EFD">
        <w:rPr>
          <w:b/>
          <w:bCs/>
          <w:sz w:val="24"/>
          <w:szCs w:val="24"/>
        </w:rPr>
        <w:t>Udržitelné, plynulé a bezpečné propojení infrastruktury</w:t>
      </w:r>
    </w:p>
    <w:p w14:paraId="5131D7C7" w14:textId="7ECCEF5C" w:rsidR="00E26E1A" w:rsidRPr="00E26E1A" w:rsidRDefault="002C17CB" w:rsidP="00664115">
      <w:pPr>
        <w:jc w:val="both"/>
        <w:rPr>
          <w:sz w:val="24"/>
          <w:szCs w:val="24"/>
        </w:rPr>
      </w:pPr>
      <w:r>
        <w:rPr>
          <w:sz w:val="24"/>
          <w:szCs w:val="24"/>
        </w:rPr>
        <w:t>V</w:t>
      </w:r>
      <w:r w:rsidR="00E26E1A" w:rsidRPr="00E26E1A">
        <w:rPr>
          <w:sz w:val="24"/>
          <w:szCs w:val="24"/>
        </w:rPr>
        <w:t>ýchodiskem pro dopravní plánování jsou multimodální dopravní modely</w:t>
      </w:r>
      <w:r w:rsidR="00DA69E0">
        <w:rPr>
          <w:sz w:val="24"/>
          <w:szCs w:val="24"/>
        </w:rPr>
        <w:t xml:space="preserve"> různých úrovní (národní model, krajské modely a městské modely </w:t>
      </w:r>
      <w:r w:rsidR="006D1F88">
        <w:rPr>
          <w:sz w:val="24"/>
          <w:szCs w:val="24"/>
        </w:rPr>
        <w:t>větších měst)</w:t>
      </w:r>
      <w:r w:rsidR="00E26E1A" w:rsidRPr="00E26E1A">
        <w:rPr>
          <w:sz w:val="24"/>
          <w:szCs w:val="24"/>
        </w:rPr>
        <w:t xml:space="preserve">, které jsou </w:t>
      </w:r>
      <w:r w:rsidR="000C6E18">
        <w:rPr>
          <w:sz w:val="24"/>
          <w:szCs w:val="24"/>
        </w:rPr>
        <w:t>důležité</w:t>
      </w:r>
      <w:r w:rsidR="00E26E1A" w:rsidRPr="00E26E1A">
        <w:rPr>
          <w:sz w:val="24"/>
          <w:szCs w:val="24"/>
        </w:rPr>
        <w:t xml:space="preserve"> zejména při stanovování cílů a predikování výsledků zamýšlených intervencí</w:t>
      </w:r>
      <w:r w:rsidR="00DD001B">
        <w:rPr>
          <w:sz w:val="24"/>
          <w:szCs w:val="24"/>
        </w:rPr>
        <w:t>:</w:t>
      </w:r>
    </w:p>
    <w:p w14:paraId="0E9713A5" w14:textId="313DEFEF" w:rsidR="00664115" w:rsidRPr="00592808" w:rsidRDefault="00664115" w:rsidP="00664115">
      <w:pPr>
        <w:pStyle w:val="Odstavecseseznamem"/>
        <w:numPr>
          <w:ilvl w:val="0"/>
          <w:numId w:val="5"/>
        </w:numPr>
        <w:jc w:val="both"/>
        <w:rPr>
          <w:sz w:val="24"/>
          <w:szCs w:val="24"/>
        </w:rPr>
      </w:pPr>
      <w:r w:rsidRPr="00592808">
        <w:rPr>
          <w:sz w:val="24"/>
          <w:szCs w:val="24"/>
        </w:rPr>
        <w:t>pro přepravu cestujících mezi železniční, silniční a příp. vnitrozemskou vodní, leteckou a námořní dopravou, včetně integrace infrastruktury pro aktivní druhy dopravy (zejména při budování nebo modernizaci dopravní infrastruktury)</w:t>
      </w:r>
      <w:r w:rsidR="00DD001B">
        <w:rPr>
          <w:sz w:val="24"/>
          <w:szCs w:val="24"/>
        </w:rPr>
        <w:t>,</w:t>
      </w:r>
    </w:p>
    <w:p w14:paraId="54D96ABF" w14:textId="302A6C48" w:rsidR="00664115" w:rsidRPr="00592808" w:rsidRDefault="00664115" w:rsidP="00664115">
      <w:pPr>
        <w:pStyle w:val="Odstavecseseznamem"/>
        <w:numPr>
          <w:ilvl w:val="0"/>
          <w:numId w:val="5"/>
        </w:numPr>
        <w:jc w:val="both"/>
        <w:rPr>
          <w:sz w:val="24"/>
          <w:szCs w:val="24"/>
        </w:rPr>
      </w:pPr>
      <w:r w:rsidRPr="00592808">
        <w:rPr>
          <w:sz w:val="24"/>
          <w:szCs w:val="24"/>
        </w:rPr>
        <w:t>pro nákladní dopravu mezi železniční, silniční a příp. vnitrozemskou vodní, leteckou a námořní dopravou, jakož i vhodné spojení s logistickými platformami a zařízeními</w:t>
      </w:r>
      <w:r w:rsidR="00DD001B">
        <w:rPr>
          <w:sz w:val="24"/>
          <w:szCs w:val="24"/>
        </w:rPr>
        <w:t>,</w:t>
      </w:r>
    </w:p>
    <w:p w14:paraId="33E0F801" w14:textId="29FDC2B8" w:rsidR="00664115" w:rsidRPr="000E3EFD" w:rsidRDefault="00DD001B" w:rsidP="000E3EFD">
      <w:pPr>
        <w:pStyle w:val="Odstavecseseznamem"/>
        <w:numPr>
          <w:ilvl w:val="0"/>
          <w:numId w:val="5"/>
        </w:numPr>
        <w:spacing w:before="160"/>
        <w:jc w:val="both"/>
        <w:rPr>
          <w:rFonts w:cs="Arial"/>
          <w:sz w:val="24"/>
          <w:szCs w:val="24"/>
          <w:lang w:eastAsia="cs-CZ"/>
        </w:rPr>
      </w:pPr>
      <w:r>
        <w:rPr>
          <w:rFonts w:cs="Arial"/>
          <w:sz w:val="24"/>
          <w:szCs w:val="24"/>
          <w:lang w:eastAsia="cs-CZ"/>
        </w:rPr>
        <w:t>pro z</w:t>
      </w:r>
      <w:r w:rsidR="00664115" w:rsidRPr="000E3EFD">
        <w:rPr>
          <w:rFonts w:cs="Arial"/>
          <w:sz w:val="24"/>
          <w:szCs w:val="24"/>
          <w:lang w:eastAsia="cs-CZ"/>
        </w:rPr>
        <w:t>mírnění vystavení městských oblastí nepříznivým účinkům tranzitní železniční a silniční dopravy</w:t>
      </w:r>
      <w:r>
        <w:rPr>
          <w:rFonts w:cs="Arial"/>
          <w:sz w:val="24"/>
          <w:szCs w:val="24"/>
          <w:lang w:eastAsia="cs-CZ"/>
        </w:rPr>
        <w:t>,</w:t>
      </w:r>
    </w:p>
    <w:p w14:paraId="5897174D" w14:textId="04111EE2" w:rsidR="00664115" w:rsidRPr="000E3EFD" w:rsidRDefault="00DD001B" w:rsidP="000E3EFD">
      <w:pPr>
        <w:pStyle w:val="Odstavecseseznamem"/>
        <w:numPr>
          <w:ilvl w:val="0"/>
          <w:numId w:val="5"/>
        </w:numPr>
        <w:spacing w:before="160"/>
        <w:jc w:val="both"/>
        <w:rPr>
          <w:rFonts w:cs="Arial"/>
          <w:sz w:val="24"/>
          <w:szCs w:val="24"/>
          <w:lang w:eastAsia="cs-CZ"/>
        </w:rPr>
      </w:pPr>
      <w:r>
        <w:rPr>
          <w:rFonts w:cs="Arial"/>
          <w:sz w:val="24"/>
          <w:szCs w:val="24"/>
          <w:lang w:eastAsia="cs-CZ"/>
        </w:rPr>
        <w:t>pro p</w:t>
      </w:r>
      <w:r w:rsidR="00664115" w:rsidRPr="000E3EFD">
        <w:rPr>
          <w:rFonts w:cs="Arial"/>
          <w:sz w:val="24"/>
          <w:szCs w:val="24"/>
          <w:lang w:eastAsia="cs-CZ"/>
        </w:rPr>
        <w:t>odpor</w:t>
      </w:r>
      <w:r>
        <w:rPr>
          <w:rFonts w:cs="Arial"/>
          <w:sz w:val="24"/>
          <w:szCs w:val="24"/>
          <w:lang w:eastAsia="cs-CZ"/>
        </w:rPr>
        <w:t>u</w:t>
      </w:r>
      <w:r w:rsidR="00664115" w:rsidRPr="000E3EFD">
        <w:rPr>
          <w:rFonts w:cs="Arial"/>
          <w:sz w:val="24"/>
          <w:szCs w:val="24"/>
          <w:lang w:eastAsia="cs-CZ"/>
        </w:rPr>
        <w:t xml:space="preserve"> efektivní dopravy a mobility s nízkou hlukovou zátěží a nulovými emisemi, včetně ekologizace městských vozových parků pro přepravu cestujících i zboží</w:t>
      </w:r>
      <w:r>
        <w:rPr>
          <w:rFonts w:cs="Arial"/>
          <w:sz w:val="24"/>
          <w:szCs w:val="24"/>
          <w:lang w:eastAsia="cs-CZ"/>
        </w:rPr>
        <w:t>,</w:t>
      </w:r>
    </w:p>
    <w:p w14:paraId="3765D61D" w14:textId="1FDB81BA" w:rsidR="00664115" w:rsidRPr="000E3EFD" w:rsidRDefault="00DD001B" w:rsidP="000E3EFD">
      <w:pPr>
        <w:pStyle w:val="Odstavecseseznamem"/>
        <w:numPr>
          <w:ilvl w:val="0"/>
          <w:numId w:val="5"/>
        </w:numPr>
        <w:spacing w:before="160"/>
        <w:jc w:val="both"/>
        <w:rPr>
          <w:rFonts w:cs="Arial"/>
          <w:sz w:val="24"/>
          <w:szCs w:val="24"/>
          <w:lang w:eastAsia="cs-CZ"/>
        </w:rPr>
      </w:pPr>
      <w:r>
        <w:rPr>
          <w:rFonts w:cs="Arial"/>
          <w:sz w:val="24"/>
          <w:szCs w:val="24"/>
          <w:lang w:eastAsia="cs-CZ"/>
        </w:rPr>
        <w:t>pro z</w:t>
      </w:r>
      <w:r w:rsidR="00664115" w:rsidRPr="000E3EFD">
        <w:rPr>
          <w:rFonts w:cs="Arial"/>
          <w:sz w:val="24"/>
          <w:szCs w:val="24"/>
          <w:lang w:eastAsia="cs-CZ"/>
        </w:rPr>
        <w:t>výšení podílu veřejné dopravy a aktivních druhů dopravy</w:t>
      </w:r>
      <w:r>
        <w:rPr>
          <w:rFonts w:cs="Arial"/>
          <w:sz w:val="24"/>
          <w:szCs w:val="24"/>
          <w:lang w:eastAsia="cs-CZ"/>
        </w:rPr>
        <w:t>,</w:t>
      </w:r>
      <w:r w:rsidR="00664115" w:rsidRPr="000E3EFD">
        <w:rPr>
          <w:rFonts w:cs="Arial"/>
          <w:sz w:val="24"/>
          <w:szCs w:val="24"/>
          <w:lang w:eastAsia="cs-CZ"/>
        </w:rPr>
        <w:t xml:space="preserve"> </w:t>
      </w:r>
    </w:p>
    <w:p w14:paraId="58D3FB03" w14:textId="17594D15" w:rsidR="00664115" w:rsidRPr="000E3EFD" w:rsidRDefault="00DD001B" w:rsidP="000E3EFD">
      <w:pPr>
        <w:pStyle w:val="Odstavecseseznamem"/>
        <w:numPr>
          <w:ilvl w:val="0"/>
          <w:numId w:val="5"/>
        </w:numPr>
        <w:spacing w:before="160"/>
        <w:jc w:val="both"/>
        <w:rPr>
          <w:rFonts w:cs="Arial"/>
          <w:sz w:val="24"/>
          <w:szCs w:val="24"/>
          <w:lang w:eastAsia="cs-CZ"/>
        </w:rPr>
      </w:pPr>
      <w:r>
        <w:rPr>
          <w:rFonts w:cs="Arial"/>
          <w:sz w:val="24"/>
          <w:szCs w:val="24"/>
          <w:lang w:eastAsia="cs-CZ"/>
        </w:rPr>
        <w:t>pro p</w:t>
      </w:r>
      <w:r w:rsidR="00664115" w:rsidRPr="000E3EFD">
        <w:rPr>
          <w:rFonts w:cs="Arial"/>
          <w:sz w:val="24"/>
          <w:szCs w:val="24"/>
          <w:lang w:eastAsia="cs-CZ"/>
        </w:rPr>
        <w:t>odpor</w:t>
      </w:r>
      <w:r>
        <w:rPr>
          <w:rFonts w:cs="Arial"/>
          <w:sz w:val="24"/>
          <w:szCs w:val="24"/>
          <w:lang w:eastAsia="cs-CZ"/>
        </w:rPr>
        <w:t>u</w:t>
      </w:r>
      <w:r w:rsidR="00664115" w:rsidRPr="000E3EFD">
        <w:rPr>
          <w:rFonts w:cs="Arial"/>
          <w:sz w:val="24"/>
          <w:szCs w:val="24"/>
          <w:lang w:eastAsia="cs-CZ"/>
        </w:rPr>
        <w:t xml:space="preserve"> efektivního </w:t>
      </w:r>
      <w:proofErr w:type="spellStart"/>
      <w:r w:rsidR="00664115" w:rsidRPr="000E3EFD">
        <w:rPr>
          <w:rFonts w:cs="Arial"/>
          <w:sz w:val="24"/>
          <w:szCs w:val="24"/>
          <w:lang w:eastAsia="cs-CZ"/>
        </w:rPr>
        <w:t>nízkohlučného</w:t>
      </w:r>
      <w:proofErr w:type="spellEnd"/>
      <w:r w:rsidR="00664115" w:rsidRPr="000E3EFD">
        <w:rPr>
          <w:rFonts w:cs="Arial"/>
          <w:sz w:val="24"/>
          <w:szCs w:val="24"/>
          <w:lang w:eastAsia="cs-CZ"/>
        </w:rPr>
        <w:t xml:space="preserve"> a nízkouhlíkového doručování zboží ve městech</w:t>
      </w:r>
      <w:r>
        <w:rPr>
          <w:rFonts w:cs="Arial"/>
          <w:sz w:val="24"/>
          <w:szCs w:val="24"/>
          <w:lang w:eastAsia="cs-CZ"/>
        </w:rPr>
        <w:t>,</w:t>
      </w:r>
    </w:p>
    <w:p w14:paraId="5751922E" w14:textId="512C98B0" w:rsidR="00664115" w:rsidRPr="000E3EFD" w:rsidRDefault="00DD001B" w:rsidP="000E3EFD">
      <w:pPr>
        <w:pStyle w:val="Odstavecseseznamem"/>
        <w:numPr>
          <w:ilvl w:val="0"/>
          <w:numId w:val="5"/>
        </w:numPr>
        <w:spacing w:before="160"/>
        <w:jc w:val="both"/>
        <w:rPr>
          <w:rFonts w:cs="Arial"/>
          <w:sz w:val="24"/>
          <w:szCs w:val="24"/>
          <w:lang w:eastAsia="cs-CZ"/>
        </w:rPr>
      </w:pPr>
      <w:r>
        <w:rPr>
          <w:rFonts w:cs="Arial"/>
          <w:sz w:val="24"/>
          <w:szCs w:val="24"/>
          <w:lang w:eastAsia="cs-CZ"/>
        </w:rPr>
        <w:t>pro z</w:t>
      </w:r>
      <w:r w:rsidR="00664115" w:rsidRPr="000E3EFD">
        <w:rPr>
          <w:rFonts w:cs="Arial"/>
          <w:sz w:val="24"/>
          <w:szCs w:val="24"/>
          <w:lang w:eastAsia="cs-CZ"/>
        </w:rPr>
        <w:t>výšení dostupnosti a propojení mezi městskými a venkovskými oblastmi</w:t>
      </w:r>
      <w:r>
        <w:rPr>
          <w:rFonts w:cs="Arial"/>
          <w:sz w:val="24"/>
          <w:szCs w:val="24"/>
          <w:lang w:eastAsia="cs-CZ"/>
        </w:rPr>
        <w:t xml:space="preserve">, </w:t>
      </w:r>
      <w:r w:rsidR="00664115" w:rsidRPr="000E3EFD">
        <w:rPr>
          <w:rFonts w:cs="Arial"/>
          <w:sz w:val="24"/>
          <w:szCs w:val="24"/>
          <w:lang w:eastAsia="cs-CZ"/>
        </w:rPr>
        <w:t>přístup k inteligentní, udržitelné a cenově dostupné dopravě</w:t>
      </w:r>
      <w:r>
        <w:rPr>
          <w:rFonts w:cs="Arial"/>
          <w:sz w:val="24"/>
          <w:szCs w:val="24"/>
          <w:lang w:eastAsia="cs-CZ"/>
        </w:rPr>
        <w:t>,</w:t>
      </w:r>
    </w:p>
    <w:p w14:paraId="6F61E4B8" w14:textId="1423150B" w:rsidR="00664115" w:rsidRDefault="0066068E" w:rsidP="000E3EFD">
      <w:pPr>
        <w:pStyle w:val="Odstavecseseznamem"/>
        <w:numPr>
          <w:ilvl w:val="0"/>
          <w:numId w:val="5"/>
        </w:numPr>
        <w:spacing w:before="160"/>
        <w:jc w:val="both"/>
        <w:rPr>
          <w:rFonts w:cs="Arial"/>
          <w:sz w:val="24"/>
          <w:szCs w:val="24"/>
          <w:lang w:eastAsia="cs-CZ"/>
        </w:rPr>
      </w:pPr>
      <w:r>
        <w:rPr>
          <w:rFonts w:cs="Arial"/>
          <w:sz w:val="24"/>
          <w:szCs w:val="24"/>
          <w:lang w:eastAsia="cs-CZ"/>
        </w:rPr>
        <w:t>pro p</w:t>
      </w:r>
      <w:r w:rsidR="00664115" w:rsidRPr="000E3EFD">
        <w:rPr>
          <w:rFonts w:cs="Arial"/>
          <w:sz w:val="24"/>
          <w:szCs w:val="24"/>
          <w:lang w:eastAsia="cs-CZ"/>
        </w:rPr>
        <w:t>řijetí konkrétních opatření na podporu širšího zavádění nástrojů informačních a komunikačních technologií a inteligentních dopravních systémů s otevřeným přístupem pro všechny provozovatele.</w:t>
      </w:r>
    </w:p>
    <w:p w14:paraId="44A97400" w14:textId="77777777" w:rsidR="001D7EB9" w:rsidRPr="001D7EB9" w:rsidRDefault="001D7EB9" w:rsidP="001D7EB9">
      <w:pPr>
        <w:spacing w:before="160"/>
        <w:jc w:val="both"/>
        <w:rPr>
          <w:rFonts w:cs="Arial"/>
          <w:sz w:val="24"/>
          <w:szCs w:val="24"/>
          <w:lang w:eastAsia="cs-CZ"/>
        </w:rPr>
      </w:pPr>
    </w:p>
    <w:p w14:paraId="10214B9B" w14:textId="0B6FDCC0" w:rsidR="00B644B4" w:rsidRDefault="00B644B4" w:rsidP="000E3EFD">
      <w:pPr>
        <w:pStyle w:val="Nadpis2"/>
      </w:pPr>
      <w:bookmarkStart w:id="4" w:name="_Toc223424917"/>
      <w:r>
        <w:t>Evropská cyklistická deklarace</w:t>
      </w:r>
      <w:bookmarkEnd w:id="4"/>
    </w:p>
    <w:p w14:paraId="5A23A02C" w14:textId="77777777" w:rsidR="00CC75A7" w:rsidRDefault="00B644B4" w:rsidP="414D2D82">
      <w:pPr>
        <w:spacing w:after="100" w:afterAutospacing="1"/>
        <w:jc w:val="both"/>
        <w:rPr>
          <w:rFonts w:eastAsiaTheme="minorEastAsia"/>
          <w:sz w:val="24"/>
          <w:szCs w:val="24"/>
        </w:rPr>
      </w:pPr>
      <w:r w:rsidRPr="414D2D82">
        <w:rPr>
          <w:rFonts w:eastAsiaTheme="minorEastAsia"/>
          <w:sz w:val="24"/>
          <w:szCs w:val="24"/>
        </w:rPr>
        <w:t>V roce 2024 byla podepsána Evropské Cyklistické Deklarace</w:t>
      </w:r>
      <w:r w:rsidRPr="414D2D82">
        <w:rPr>
          <w:rStyle w:val="Znakapoznpodarou"/>
          <w:rFonts w:eastAsiaTheme="minorEastAsia"/>
          <w:sz w:val="24"/>
          <w:szCs w:val="24"/>
        </w:rPr>
        <w:footnoteReference w:id="10"/>
      </w:r>
      <w:r w:rsidRPr="414D2D82">
        <w:rPr>
          <w:rFonts w:eastAsiaTheme="minorEastAsia"/>
          <w:sz w:val="24"/>
          <w:szCs w:val="24"/>
        </w:rPr>
        <w:t xml:space="preserve"> (dále jen Deklarace), a pro naplňování této deklarace byla na základě požadavku DG MOVE v rámci EGUM (</w:t>
      </w:r>
      <w:proofErr w:type="spellStart"/>
      <w:r w:rsidRPr="414D2D82">
        <w:rPr>
          <w:rFonts w:eastAsiaTheme="minorEastAsia"/>
          <w:sz w:val="24"/>
          <w:szCs w:val="24"/>
        </w:rPr>
        <w:t>European</w:t>
      </w:r>
      <w:proofErr w:type="spellEnd"/>
      <w:r w:rsidRPr="414D2D82">
        <w:rPr>
          <w:rFonts w:eastAsiaTheme="minorEastAsia"/>
          <w:sz w:val="24"/>
          <w:szCs w:val="24"/>
        </w:rPr>
        <w:t xml:space="preserve"> </w:t>
      </w:r>
      <w:r w:rsidRPr="414D2D82">
        <w:rPr>
          <w:rFonts w:eastAsiaTheme="minorEastAsia"/>
          <w:sz w:val="24"/>
          <w:szCs w:val="24"/>
        </w:rPr>
        <w:lastRenderedPageBreak/>
        <w:t xml:space="preserve">Group on Urban Mobility) ustavena pracovní skupina, která se zabývá její implementací. Zástupce MD, Odboru strategie a Národní </w:t>
      </w:r>
      <w:proofErr w:type="spellStart"/>
      <w:r w:rsidRPr="414D2D82">
        <w:rPr>
          <w:rFonts w:eastAsiaTheme="minorEastAsia"/>
          <w:sz w:val="24"/>
          <w:szCs w:val="24"/>
        </w:rPr>
        <w:t>cyklokoordinátor</w:t>
      </w:r>
      <w:proofErr w:type="spellEnd"/>
      <w:r w:rsidRPr="414D2D82">
        <w:rPr>
          <w:rFonts w:eastAsiaTheme="minorEastAsia"/>
          <w:sz w:val="24"/>
          <w:szCs w:val="24"/>
        </w:rPr>
        <w:t xml:space="preserve"> je součástí této pracovní skupiny s cílem přispět k naplnění všech bodů Deklarace</w:t>
      </w:r>
      <w:r w:rsidR="00700A23" w:rsidRPr="414D2D82">
        <w:rPr>
          <w:rFonts w:eastAsiaTheme="minorEastAsia"/>
          <w:sz w:val="24"/>
          <w:szCs w:val="24"/>
        </w:rPr>
        <w:t xml:space="preserve">. </w:t>
      </w:r>
    </w:p>
    <w:p w14:paraId="4BA8D2F2" w14:textId="67A20175" w:rsidR="002B052F" w:rsidRPr="00A3156A" w:rsidRDefault="00700A23" w:rsidP="414D2D82">
      <w:pPr>
        <w:spacing w:after="100" w:afterAutospacing="1"/>
        <w:jc w:val="both"/>
        <w:rPr>
          <w:sz w:val="24"/>
          <w:szCs w:val="24"/>
        </w:rPr>
      </w:pPr>
      <w:r w:rsidRPr="414D2D82">
        <w:rPr>
          <w:rFonts w:eastAsiaTheme="minorEastAsia"/>
          <w:sz w:val="24"/>
          <w:szCs w:val="24"/>
        </w:rPr>
        <w:t>C</w:t>
      </w:r>
      <w:r w:rsidR="002B052F" w:rsidRPr="414D2D82">
        <w:rPr>
          <w:rFonts w:eastAsiaTheme="minorEastAsia"/>
          <w:sz w:val="24"/>
          <w:szCs w:val="24"/>
        </w:rPr>
        <w:t>ílem je plně rozvinout potenciál cyklistiky v</w:t>
      </w:r>
      <w:r w:rsidR="0001428E" w:rsidRPr="414D2D82">
        <w:rPr>
          <w:rFonts w:eastAsiaTheme="minorEastAsia"/>
          <w:sz w:val="24"/>
          <w:szCs w:val="24"/>
        </w:rPr>
        <w:t> České republice</w:t>
      </w:r>
      <w:r w:rsidR="002B052F" w:rsidRPr="414D2D82">
        <w:rPr>
          <w:rFonts w:eastAsiaTheme="minorEastAsia"/>
          <w:sz w:val="24"/>
          <w:szCs w:val="24"/>
        </w:rPr>
        <w:t xml:space="preserve">. </w:t>
      </w:r>
      <w:r w:rsidR="00CC75A7">
        <w:rPr>
          <w:rFonts w:eastAsiaTheme="minorEastAsia"/>
          <w:sz w:val="24"/>
          <w:szCs w:val="24"/>
        </w:rPr>
        <w:t>D</w:t>
      </w:r>
      <w:r w:rsidR="002B052F" w:rsidRPr="414D2D82">
        <w:rPr>
          <w:rFonts w:eastAsiaTheme="minorEastAsia"/>
          <w:sz w:val="24"/>
          <w:szCs w:val="24"/>
        </w:rPr>
        <w:t>eklarace uznává cyklistiku jako jednu z nejudržitelnějších, nejdostupnějších a nejinkluzivnějších, nejlevnějších a nejzdravějších forem dopravy a rekreace, a dále uznává její klíčový význam pro evropskou společnost a ekonomiku.</w:t>
      </w:r>
    </w:p>
    <w:p w14:paraId="738BEA2F" w14:textId="77777777" w:rsidR="002020A1" w:rsidRPr="002020A1" w:rsidRDefault="002B052F" w:rsidP="00A3156A">
      <w:pPr>
        <w:jc w:val="both"/>
        <w:rPr>
          <w:b/>
          <w:bCs/>
          <w:sz w:val="24"/>
          <w:szCs w:val="24"/>
        </w:rPr>
      </w:pPr>
      <w:r w:rsidRPr="002020A1">
        <w:rPr>
          <w:b/>
          <w:bCs/>
          <w:sz w:val="24"/>
          <w:szCs w:val="24"/>
        </w:rPr>
        <w:t>Rozvoj a posílení politik v oblasti cyklistiky</w:t>
      </w:r>
    </w:p>
    <w:p w14:paraId="5EB78068" w14:textId="59A3F61F" w:rsidR="002B052F" w:rsidRPr="002020A1" w:rsidRDefault="00343299" w:rsidP="00A3156A">
      <w:pPr>
        <w:jc w:val="both"/>
        <w:rPr>
          <w:sz w:val="24"/>
          <w:szCs w:val="24"/>
        </w:rPr>
      </w:pPr>
      <w:r w:rsidRPr="002020A1">
        <w:rPr>
          <w:sz w:val="24"/>
          <w:szCs w:val="24"/>
        </w:rPr>
        <w:t>Zainteresovaná ministerstva mají</w:t>
      </w:r>
      <w:r w:rsidR="002B052F" w:rsidRPr="002020A1">
        <w:rPr>
          <w:sz w:val="24"/>
          <w:szCs w:val="24"/>
        </w:rPr>
        <w:t xml:space="preserve"> společně s regionálními a místními samosprávami hr</w:t>
      </w:r>
      <w:r w:rsidRPr="002020A1">
        <w:rPr>
          <w:sz w:val="24"/>
          <w:szCs w:val="24"/>
        </w:rPr>
        <w:t xml:space="preserve">át </w:t>
      </w:r>
      <w:r w:rsidR="002B052F" w:rsidRPr="002020A1">
        <w:rPr>
          <w:sz w:val="24"/>
          <w:szCs w:val="24"/>
        </w:rPr>
        <w:t>klíčovou roli při podpoře dalšího rozvoje cyklistiky.</w:t>
      </w:r>
    </w:p>
    <w:p w14:paraId="402164C2" w14:textId="5C234FC0" w:rsidR="002020A1" w:rsidRPr="002020A1" w:rsidRDefault="002B052F" w:rsidP="414D2D82">
      <w:pPr>
        <w:jc w:val="both"/>
        <w:rPr>
          <w:b/>
          <w:bCs/>
          <w:sz w:val="24"/>
          <w:szCs w:val="24"/>
        </w:rPr>
      </w:pPr>
      <w:r w:rsidRPr="002020A1">
        <w:rPr>
          <w:b/>
          <w:bCs/>
          <w:sz w:val="24"/>
          <w:szCs w:val="24"/>
        </w:rPr>
        <w:t>Podpora inkluzivní, cenově dostupné a zdravé mobility</w:t>
      </w:r>
      <w:r w:rsidR="00FA565E" w:rsidRPr="002020A1">
        <w:rPr>
          <w:b/>
          <w:bCs/>
          <w:sz w:val="24"/>
          <w:szCs w:val="24"/>
        </w:rPr>
        <w:t xml:space="preserve"> </w:t>
      </w:r>
    </w:p>
    <w:p w14:paraId="49B07E4D" w14:textId="5D42EB74" w:rsidR="008A35E6" w:rsidRPr="00ED78FE" w:rsidRDefault="002B052F" w:rsidP="414D2D82">
      <w:pPr>
        <w:jc w:val="both"/>
        <w:rPr>
          <w:sz w:val="24"/>
          <w:szCs w:val="24"/>
        </w:rPr>
      </w:pPr>
      <w:r w:rsidRPr="00ED78FE">
        <w:rPr>
          <w:sz w:val="24"/>
          <w:szCs w:val="24"/>
        </w:rPr>
        <w:t xml:space="preserve">Každý, včetně osob se zdravotním postižením nebo osob se sníženou pohyblivostí a bez ohledu na věk a pohlaví, </w:t>
      </w:r>
      <w:r w:rsidR="002020A1" w:rsidRPr="00ED78FE">
        <w:rPr>
          <w:sz w:val="24"/>
          <w:szCs w:val="24"/>
        </w:rPr>
        <w:t>má</w:t>
      </w:r>
      <w:r w:rsidRPr="00ED78FE">
        <w:rPr>
          <w:sz w:val="24"/>
          <w:szCs w:val="24"/>
        </w:rPr>
        <w:t xml:space="preserve"> přístup k mobilitě. Jízda na kole by měla být také cenově dostupná bez ohledu na výši příjmu a měla by být propagována jako prospěšná pro duševní a fyzické zdraví.</w:t>
      </w:r>
      <w:r w:rsidR="006F665B" w:rsidRPr="00ED78FE">
        <w:rPr>
          <w:sz w:val="24"/>
          <w:szCs w:val="24"/>
        </w:rPr>
        <w:t xml:space="preserve"> Cílem je </w:t>
      </w:r>
      <w:r w:rsidR="006F615A" w:rsidRPr="00ED78FE">
        <w:rPr>
          <w:sz w:val="24"/>
          <w:szCs w:val="24"/>
        </w:rPr>
        <w:t>zvýšit úroveň bezpečnosti cyklistické dopravy mimo jiné prostřednictvím edukace veřejnosti. Cílem je také usnadnit kombinování různých druhů dopravy – tedy například jízdu na kole s následným použitím hromadné dopravy. To zahrnuje například společné jízdenky, parkoviště pro kola u stanic nebo rozšiřování sdílených kol v blízkosti dopravních uzlů.</w:t>
      </w:r>
    </w:p>
    <w:p w14:paraId="750BF1A0" w14:textId="77777777" w:rsidR="00F30930" w:rsidRPr="00F30930" w:rsidRDefault="002B052F" w:rsidP="00A3156A">
      <w:pPr>
        <w:jc w:val="both"/>
        <w:rPr>
          <w:b/>
          <w:bCs/>
          <w:sz w:val="24"/>
          <w:szCs w:val="24"/>
        </w:rPr>
      </w:pPr>
      <w:r w:rsidRPr="00F30930">
        <w:rPr>
          <w:b/>
          <w:bCs/>
          <w:sz w:val="24"/>
          <w:szCs w:val="24"/>
        </w:rPr>
        <w:t>Budování kvalitnější cyklistické infrastruktury</w:t>
      </w:r>
    </w:p>
    <w:p w14:paraId="04156B92" w14:textId="62A52867" w:rsidR="008A35E6" w:rsidRPr="00F30930" w:rsidRDefault="3CF79693" w:rsidP="00A3156A">
      <w:pPr>
        <w:jc w:val="both"/>
        <w:rPr>
          <w:sz w:val="24"/>
          <w:szCs w:val="24"/>
        </w:rPr>
      </w:pPr>
      <w:r w:rsidRPr="00F30930">
        <w:rPr>
          <w:sz w:val="24"/>
          <w:szCs w:val="24"/>
        </w:rPr>
        <w:t>Z</w:t>
      </w:r>
      <w:r w:rsidR="002B052F" w:rsidRPr="00F30930">
        <w:rPr>
          <w:sz w:val="24"/>
          <w:szCs w:val="24"/>
        </w:rPr>
        <w:t>vyšování kvality, množství, plynulosti a atraktivity cyklistické infrastruktury má zásadní význam pro podporu širšího užívání cyklistické dopravy.</w:t>
      </w:r>
      <w:r w:rsidR="008A35E6" w:rsidRPr="00F30930">
        <w:rPr>
          <w:sz w:val="24"/>
          <w:szCs w:val="24"/>
        </w:rPr>
        <w:t xml:space="preserve"> Cílem je vybudovat bezpečnou cyklistickou infrastrukturu včetně úschovny kol u nádraží, umožnit efektivní přepravu kol ve vlacích i autobusech a rozvíjet služby, které cyklistům usnadní cestování po městech i na venkově.</w:t>
      </w:r>
    </w:p>
    <w:p w14:paraId="17046EEA" w14:textId="77777777" w:rsidR="00F30930" w:rsidRPr="00F30930" w:rsidRDefault="002B052F" w:rsidP="00A3156A">
      <w:pPr>
        <w:jc w:val="both"/>
        <w:rPr>
          <w:sz w:val="24"/>
          <w:szCs w:val="24"/>
        </w:rPr>
      </w:pPr>
      <w:r w:rsidRPr="00F30930">
        <w:rPr>
          <w:b/>
          <w:bCs/>
          <w:sz w:val="24"/>
          <w:szCs w:val="24"/>
        </w:rPr>
        <w:t>Zvýšení investic a vytvoření příznivých podmínek pro cyklistiku</w:t>
      </w:r>
    </w:p>
    <w:p w14:paraId="79F24CB6" w14:textId="7563F6EA" w:rsidR="006F615A" w:rsidRPr="00F30930" w:rsidRDefault="002B052F" w:rsidP="00A3156A">
      <w:pPr>
        <w:jc w:val="both"/>
        <w:rPr>
          <w:sz w:val="24"/>
          <w:szCs w:val="24"/>
        </w:rPr>
      </w:pPr>
      <w:r w:rsidRPr="00F30930">
        <w:rPr>
          <w:sz w:val="24"/>
          <w:szCs w:val="24"/>
        </w:rPr>
        <w:t>K uvolnění potenciálu cyklistické dopravy je zapotřebí navýšení investic.</w:t>
      </w:r>
      <w:r w:rsidR="006F615A" w:rsidRPr="00F30930">
        <w:rPr>
          <w:sz w:val="24"/>
          <w:szCs w:val="24"/>
        </w:rPr>
        <w:t xml:space="preserve"> Cílem je také integrovat </w:t>
      </w:r>
      <w:proofErr w:type="spellStart"/>
      <w:r w:rsidR="006F615A" w:rsidRPr="00F30930">
        <w:rPr>
          <w:sz w:val="24"/>
          <w:szCs w:val="24"/>
        </w:rPr>
        <w:t>cyklologistiku</w:t>
      </w:r>
      <w:proofErr w:type="spellEnd"/>
      <w:r w:rsidR="006F615A" w:rsidRPr="00F30930">
        <w:rPr>
          <w:sz w:val="24"/>
          <w:szCs w:val="24"/>
        </w:rPr>
        <w:t xml:space="preserve"> do logistických systémů s cílem zvýšit efektivitu a propojenost s dalšími dopravními módy, zejména železniční a autobusovou dopravou.</w:t>
      </w:r>
    </w:p>
    <w:p w14:paraId="1FE13D9D" w14:textId="77777777" w:rsidR="00F30930" w:rsidRPr="00F30930" w:rsidRDefault="002B052F" w:rsidP="00A3156A">
      <w:pPr>
        <w:jc w:val="both"/>
        <w:rPr>
          <w:b/>
          <w:bCs/>
          <w:sz w:val="24"/>
          <w:szCs w:val="24"/>
        </w:rPr>
      </w:pPr>
      <w:r w:rsidRPr="00F30930">
        <w:rPr>
          <w:b/>
          <w:bCs/>
          <w:sz w:val="24"/>
          <w:szCs w:val="24"/>
        </w:rPr>
        <w:t>Zvyšování bezpečnosti a ochrany na silnicích</w:t>
      </w:r>
    </w:p>
    <w:p w14:paraId="6523C389" w14:textId="2E3AC696" w:rsidR="006F665B" w:rsidRPr="00F30930" w:rsidRDefault="002B052F" w:rsidP="00A3156A">
      <w:pPr>
        <w:jc w:val="both"/>
        <w:rPr>
          <w:sz w:val="24"/>
          <w:szCs w:val="24"/>
        </w:rPr>
      </w:pPr>
      <w:r w:rsidRPr="00F30930">
        <w:rPr>
          <w:sz w:val="24"/>
          <w:szCs w:val="24"/>
        </w:rPr>
        <w:t>Každý by měl mít možnost jezdit na kole bezpečně.</w:t>
      </w:r>
      <w:r w:rsidR="006F665B" w:rsidRPr="00F30930">
        <w:rPr>
          <w:sz w:val="24"/>
          <w:szCs w:val="24"/>
        </w:rPr>
        <w:t xml:space="preserve"> Cílem je také podporovat multimodální řešení, propojit cyklistickou dopravu s dalšími způsoby přepravy, například s vlaky a autobusy. </w:t>
      </w:r>
    </w:p>
    <w:p w14:paraId="4B9A5622" w14:textId="2FDBE0FF" w:rsidR="002B052F" w:rsidRPr="00F30930" w:rsidRDefault="002B052F" w:rsidP="00A3156A">
      <w:pPr>
        <w:jc w:val="both"/>
        <w:rPr>
          <w:sz w:val="24"/>
          <w:szCs w:val="24"/>
        </w:rPr>
      </w:pPr>
      <w:r w:rsidRPr="00F30930">
        <w:rPr>
          <w:b/>
          <w:bCs/>
          <w:sz w:val="24"/>
          <w:szCs w:val="24"/>
        </w:rPr>
        <w:t>Podpora kvalitních ekologických pracovních míst a rozvoj cyklistického průmyslu</w:t>
      </w:r>
      <w:r w:rsidR="00FA565E" w:rsidRPr="00F30930">
        <w:rPr>
          <w:sz w:val="24"/>
          <w:szCs w:val="24"/>
        </w:rPr>
        <w:t xml:space="preserve"> </w:t>
      </w:r>
      <w:r w:rsidRPr="00F30930">
        <w:rPr>
          <w:sz w:val="24"/>
          <w:szCs w:val="24"/>
        </w:rPr>
        <w:t>Větší rozšíření cyklistiky znamená více kvalitních a lokálních pracovních míst a je přínosem pro hospodářství</w:t>
      </w:r>
      <w:r w:rsidR="006F665B" w:rsidRPr="00F30930">
        <w:rPr>
          <w:sz w:val="24"/>
          <w:szCs w:val="24"/>
        </w:rPr>
        <w:t xml:space="preserve"> </w:t>
      </w:r>
      <w:r w:rsidRPr="00F30930">
        <w:rPr>
          <w:sz w:val="24"/>
          <w:szCs w:val="24"/>
        </w:rPr>
        <w:t>a cyklistický průmysl</w:t>
      </w:r>
      <w:r w:rsidR="00F30930">
        <w:rPr>
          <w:sz w:val="24"/>
          <w:szCs w:val="24"/>
        </w:rPr>
        <w:t>.</w:t>
      </w:r>
    </w:p>
    <w:p w14:paraId="21E2A3D7" w14:textId="77777777" w:rsidR="008A64FC" w:rsidRPr="008A64FC" w:rsidRDefault="002B052F" w:rsidP="00A3156A">
      <w:pPr>
        <w:jc w:val="both"/>
        <w:rPr>
          <w:b/>
          <w:bCs/>
          <w:sz w:val="24"/>
          <w:szCs w:val="24"/>
        </w:rPr>
      </w:pPr>
      <w:r w:rsidRPr="008A64FC">
        <w:rPr>
          <w:b/>
          <w:bCs/>
          <w:sz w:val="24"/>
          <w:szCs w:val="24"/>
        </w:rPr>
        <w:t xml:space="preserve">Podpora </w:t>
      </w:r>
      <w:proofErr w:type="spellStart"/>
      <w:r w:rsidRPr="008A64FC">
        <w:rPr>
          <w:b/>
          <w:bCs/>
          <w:sz w:val="24"/>
          <w:szCs w:val="24"/>
        </w:rPr>
        <w:t>multimodality</w:t>
      </w:r>
      <w:proofErr w:type="spellEnd"/>
      <w:r w:rsidRPr="008A64FC">
        <w:rPr>
          <w:b/>
          <w:bCs/>
          <w:sz w:val="24"/>
          <w:szCs w:val="24"/>
        </w:rPr>
        <w:t xml:space="preserve"> a cykloturistiky</w:t>
      </w:r>
    </w:p>
    <w:p w14:paraId="7FB08092" w14:textId="146FD8F3" w:rsidR="002B052F" w:rsidRPr="008A64FC" w:rsidRDefault="002B052F" w:rsidP="00A3156A">
      <w:pPr>
        <w:jc w:val="both"/>
        <w:rPr>
          <w:sz w:val="24"/>
          <w:szCs w:val="24"/>
        </w:rPr>
      </w:pPr>
      <w:r w:rsidRPr="008A64FC">
        <w:rPr>
          <w:sz w:val="24"/>
          <w:szCs w:val="24"/>
        </w:rPr>
        <w:lastRenderedPageBreak/>
        <w:t>Cyklistika by měla hrát klíčovou roli při zvyšování úrovně multimodálního propojení a cestovního ruchu, zejména v kombinaci s vlaky, autobusy a dalšími druhy dopravy, a to jak v městských, tak venkovských oblastech.</w:t>
      </w:r>
    </w:p>
    <w:p w14:paraId="034F61A4" w14:textId="77777777" w:rsidR="008A64FC" w:rsidRPr="008A64FC" w:rsidRDefault="002B052F" w:rsidP="00A3156A">
      <w:pPr>
        <w:jc w:val="both"/>
        <w:rPr>
          <w:sz w:val="24"/>
          <w:szCs w:val="24"/>
        </w:rPr>
      </w:pPr>
      <w:r w:rsidRPr="008A64FC">
        <w:rPr>
          <w:b/>
          <w:bCs/>
          <w:sz w:val="24"/>
          <w:szCs w:val="24"/>
        </w:rPr>
        <w:t>Zvyšování kvality sběru dat o cyklistické dopravě</w:t>
      </w:r>
    </w:p>
    <w:p w14:paraId="150FCE10" w14:textId="17617718" w:rsidR="00EF0839" w:rsidRPr="00A3156A" w:rsidRDefault="002B052F" w:rsidP="00A3156A">
      <w:pPr>
        <w:jc w:val="both"/>
        <w:rPr>
          <w:sz w:val="24"/>
          <w:szCs w:val="24"/>
        </w:rPr>
      </w:pPr>
      <w:r w:rsidRPr="008A64FC">
        <w:rPr>
          <w:sz w:val="24"/>
          <w:szCs w:val="24"/>
        </w:rPr>
        <w:t xml:space="preserve">Data o cyklistické dopravě je třeba shromažďovat stejným způsobem v celé EU, aby bylo zajištěno účinné sledování pokroku v implementaci principů a závazků obsažených v tomto prohlášení. </w:t>
      </w:r>
      <w:r w:rsidR="00EF0839" w:rsidRPr="008A64FC">
        <w:rPr>
          <w:sz w:val="24"/>
          <w:szCs w:val="24"/>
        </w:rPr>
        <w:t>Cílem je vytvořit systém pro kontinuální sběr dat o délce, hustotě a kvalitě cyklistické infrastruktury, dostupnosti souvisejících služeb, podílu cyklistiky na celkové dopravní práci a sledování bezpečnostních ukazatelů (včetně počtu vážných úrazů a úmrtí mezi cyklisty).</w:t>
      </w:r>
    </w:p>
    <w:p w14:paraId="3EE82564" w14:textId="193250FC" w:rsidR="00B644B4" w:rsidRPr="00ED7AD3" w:rsidRDefault="00C10AF9" w:rsidP="008A64FC">
      <w:pPr>
        <w:pStyle w:val="Nadpis2"/>
      </w:pPr>
      <w:bookmarkStart w:id="5" w:name="_Toc223424918"/>
      <w:proofErr w:type="spellStart"/>
      <w:r>
        <w:t>Guidelines</w:t>
      </w:r>
      <w:proofErr w:type="spellEnd"/>
      <w:r>
        <w:t xml:space="preserve"> </w:t>
      </w:r>
      <w:proofErr w:type="spellStart"/>
      <w:r>
        <w:t>for</w:t>
      </w:r>
      <w:proofErr w:type="spellEnd"/>
      <w:r>
        <w:t xml:space="preserve"> </w:t>
      </w:r>
      <w:proofErr w:type="spellStart"/>
      <w:r>
        <w:t>developing</w:t>
      </w:r>
      <w:proofErr w:type="spellEnd"/>
      <w:r>
        <w:t xml:space="preserve"> </w:t>
      </w:r>
      <w:r w:rsidR="00816975">
        <w:t xml:space="preserve">and </w:t>
      </w:r>
      <w:proofErr w:type="spellStart"/>
      <w:r w:rsidR="00816975">
        <w:t>implementing</w:t>
      </w:r>
      <w:proofErr w:type="spellEnd"/>
      <w:r w:rsidR="003728A9">
        <w:t xml:space="preserve"> a </w:t>
      </w:r>
      <w:proofErr w:type="spellStart"/>
      <w:r w:rsidR="003728A9">
        <w:t>sustainable</w:t>
      </w:r>
      <w:proofErr w:type="spellEnd"/>
      <w:r w:rsidR="003728A9">
        <w:t xml:space="preserve"> </w:t>
      </w:r>
      <w:proofErr w:type="spellStart"/>
      <w:r w:rsidR="003728A9">
        <w:t>urban</w:t>
      </w:r>
      <w:proofErr w:type="spellEnd"/>
      <w:r w:rsidR="003728A9">
        <w:t xml:space="preserve"> mobility </w:t>
      </w:r>
      <w:proofErr w:type="spellStart"/>
      <w:r w:rsidR="003728A9">
        <w:t>plan</w:t>
      </w:r>
      <w:proofErr w:type="spellEnd"/>
      <w:r w:rsidR="003728A9">
        <w:t xml:space="preserve"> 2.</w:t>
      </w:r>
      <w:r w:rsidR="00816975">
        <w:t>0</w:t>
      </w:r>
      <w:bookmarkEnd w:id="5"/>
    </w:p>
    <w:p w14:paraId="337C7CBE" w14:textId="77777777" w:rsidR="00FF6506" w:rsidRPr="007D0EAD" w:rsidRDefault="00FF6506" w:rsidP="00FF6506">
      <w:pPr>
        <w:jc w:val="both"/>
        <w:rPr>
          <w:sz w:val="24"/>
          <w:szCs w:val="24"/>
        </w:rPr>
      </w:pPr>
      <w:r>
        <w:rPr>
          <w:sz w:val="24"/>
          <w:szCs w:val="24"/>
        </w:rPr>
        <w:t>Z evropské úrovně byly pro města připraveny pokyny pro řešení problematiky městské mobility. Jejich a</w:t>
      </w:r>
      <w:r w:rsidRPr="007D0EAD">
        <w:rPr>
          <w:sz w:val="24"/>
          <w:szCs w:val="24"/>
        </w:rPr>
        <w:t>ktualizace zahrnuje aspekty:</w:t>
      </w:r>
    </w:p>
    <w:p w14:paraId="49CA665B" w14:textId="77777777" w:rsidR="00FF6506" w:rsidRPr="001C14FE" w:rsidRDefault="00FF6506" w:rsidP="00FF6506">
      <w:pPr>
        <w:pStyle w:val="Odstavecseseznamem"/>
        <w:numPr>
          <w:ilvl w:val="0"/>
          <w:numId w:val="27"/>
        </w:numPr>
        <w:jc w:val="both"/>
        <w:rPr>
          <w:sz w:val="24"/>
          <w:szCs w:val="24"/>
        </w:rPr>
      </w:pPr>
      <w:r w:rsidRPr="001C14FE">
        <w:rPr>
          <w:sz w:val="24"/>
          <w:szCs w:val="24"/>
        </w:rPr>
        <w:t>plánování přesahující hranice města</w:t>
      </w:r>
      <w:r>
        <w:rPr>
          <w:sz w:val="24"/>
          <w:szCs w:val="24"/>
        </w:rPr>
        <w:t>,</w:t>
      </w:r>
    </w:p>
    <w:p w14:paraId="74C58906" w14:textId="77777777" w:rsidR="00FF6506" w:rsidRPr="001C14FE" w:rsidRDefault="00FF6506" w:rsidP="00FF6506">
      <w:pPr>
        <w:pStyle w:val="Odstavecseseznamem"/>
        <w:numPr>
          <w:ilvl w:val="0"/>
          <w:numId w:val="27"/>
        </w:numPr>
        <w:jc w:val="both"/>
        <w:rPr>
          <w:sz w:val="24"/>
          <w:szCs w:val="24"/>
        </w:rPr>
      </w:pPr>
      <w:r w:rsidRPr="001C14FE">
        <w:rPr>
          <w:sz w:val="24"/>
          <w:szCs w:val="24"/>
        </w:rPr>
        <w:t>městská logistika</w:t>
      </w:r>
      <w:r>
        <w:rPr>
          <w:sz w:val="24"/>
          <w:szCs w:val="24"/>
        </w:rPr>
        <w:t>,</w:t>
      </w:r>
    </w:p>
    <w:p w14:paraId="59268E75" w14:textId="77777777" w:rsidR="00FF6506" w:rsidRPr="001C14FE" w:rsidRDefault="00FF6506" w:rsidP="00FF6506">
      <w:pPr>
        <w:pStyle w:val="Odstavecseseznamem"/>
        <w:numPr>
          <w:ilvl w:val="0"/>
          <w:numId w:val="27"/>
        </w:numPr>
        <w:jc w:val="both"/>
        <w:rPr>
          <w:sz w:val="24"/>
          <w:szCs w:val="24"/>
        </w:rPr>
      </w:pPr>
      <w:r w:rsidRPr="001C14FE">
        <w:rPr>
          <w:sz w:val="24"/>
          <w:szCs w:val="24"/>
        </w:rPr>
        <w:t>silnější spolupráce mezi obcemi a zúčastněnými stranami</w:t>
      </w:r>
      <w:r>
        <w:rPr>
          <w:sz w:val="24"/>
          <w:szCs w:val="24"/>
        </w:rPr>
        <w:t>,</w:t>
      </w:r>
    </w:p>
    <w:p w14:paraId="37341245" w14:textId="77777777" w:rsidR="00FF6506" w:rsidRPr="001C14FE" w:rsidRDefault="00FF6506" w:rsidP="00FF6506">
      <w:pPr>
        <w:jc w:val="both"/>
        <w:rPr>
          <w:sz w:val="24"/>
          <w:szCs w:val="24"/>
        </w:rPr>
      </w:pPr>
      <w:r w:rsidRPr="001C14FE">
        <w:rPr>
          <w:sz w:val="24"/>
          <w:szCs w:val="24"/>
        </w:rPr>
        <w:t xml:space="preserve">Cílem aktualizovaných pokynů </w:t>
      </w:r>
      <w:r>
        <w:rPr>
          <w:sz w:val="24"/>
          <w:szCs w:val="24"/>
        </w:rPr>
        <w:t xml:space="preserve">pro </w:t>
      </w:r>
      <w:r w:rsidRPr="001C14FE">
        <w:rPr>
          <w:sz w:val="24"/>
          <w:szCs w:val="24"/>
        </w:rPr>
        <w:t>města</w:t>
      </w:r>
      <w:r w:rsidRPr="00C96F7C">
        <w:rPr>
          <w:sz w:val="24"/>
          <w:szCs w:val="24"/>
        </w:rPr>
        <w:t xml:space="preserve"> </w:t>
      </w:r>
      <w:r w:rsidRPr="001C14FE">
        <w:rPr>
          <w:sz w:val="24"/>
          <w:szCs w:val="24"/>
        </w:rPr>
        <w:t>je:</w:t>
      </w:r>
    </w:p>
    <w:p w14:paraId="63ADACE4" w14:textId="77777777" w:rsidR="00FF6506" w:rsidRPr="001C14FE" w:rsidRDefault="00FF6506" w:rsidP="00FF6506">
      <w:pPr>
        <w:pStyle w:val="Odstavecseseznamem"/>
        <w:numPr>
          <w:ilvl w:val="0"/>
          <w:numId w:val="27"/>
        </w:numPr>
        <w:jc w:val="both"/>
        <w:rPr>
          <w:sz w:val="24"/>
          <w:szCs w:val="24"/>
        </w:rPr>
      </w:pPr>
      <w:r w:rsidRPr="001C14FE">
        <w:rPr>
          <w:sz w:val="24"/>
          <w:szCs w:val="24"/>
        </w:rPr>
        <w:t>inspirovat města k</w:t>
      </w:r>
      <w:r>
        <w:rPr>
          <w:sz w:val="24"/>
          <w:szCs w:val="24"/>
        </w:rPr>
        <w:t>e</w:t>
      </w:r>
      <w:r w:rsidRPr="001C14FE">
        <w:rPr>
          <w:sz w:val="24"/>
          <w:szCs w:val="24"/>
        </w:rPr>
        <w:t xml:space="preserve"> strategickému a dlouhodobému uvažování</w:t>
      </w:r>
      <w:r>
        <w:rPr>
          <w:sz w:val="24"/>
          <w:szCs w:val="24"/>
        </w:rPr>
        <w:t>,</w:t>
      </w:r>
    </w:p>
    <w:p w14:paraId="18CEA024" w14:textId="77777777" w:rsidR="00FF6506" w:rsidRPr="001C14FE" w:rsidRDefault="00FF6506" w:rsidP="00FF6506">
      <w:pPr>
        <w:pStyle w:val="Odstavecseseznamem"/>
        <w:numPr>
          <w:ilvl w:val="0"/>
          <w:numId w:val="27"/>
        </w:numPr>
        <w:jc w:val="both"/>
        <w:rPr>
          <w:sz w:val="24"/>
          <w:szCs w:val="24"/>
        </w:rPr>
      </w:pPr>
      <w:r w:rsidRPr="001C14FE">
        <w:rPr>
          <w:sz w:val="24"/>
          <w:szCs w:val="24"/>
        </w:rPr>
        <w:t>povzbudit k mezioborové spolupráci a úzké spolupráci s</w:t>
      </w:r>
      <w:r>
        <w:rPr>
          <w:sz w:val="24"/>
          <w:szCs w:val="24"/>
        </w:rPr>
        <w:t> </w:t>
      </w:r>
      <w:r w:rsidRPr="001C14FE">
        <w:rPr>
          <w:sz w:val="24"/>
          <w:szCs w:val="24"/>
        </w:rPr>
        <w:t>občany</w:t>
      </w:r>
      <w:r>
        <w:rPr>
          <w:sz w:val="24"/>
          <w:szCs w:val="24"/>
        </w:rPr>
        <w:t>,</w:t>
      </w:r>
    </w:p>
    <w:p w14:paraId="49E23B7A" w14:textId="02989C2F" w:rsidR="00FF6506" w:rsidRPr="00FE0E11" w:rsidRDefault="00FF6506" w:rsidP="00FF6506">
      <w:pPr>
        <w:pStyle w:val="Odstavecseseznamem"/>
        <w:numPr>
          <w:ilvl w:val="0"/>
          <w:numId w:val="27"/>
        </w:numPr>
        <w:jc w:val="both"/>
        <w:rPr>
          <w:sz w:val="24"/>
          <w:szCs w:val="24"/>
        </w:rPr>
      </w:pPr>
      <w:r w:rsidRPr="00FE0E11">
        <w:rPr>
          <w:sz w:val="24"/>
          <w:szCs w:val="24"/>
        </w:rPr>
        <w:t>pomáhat městům všech velikostí postupovat směrem k čistším, bezpečnějším a inkluzivnějším systémům mobility,</w:t>
      </w:r>
      <w:r>
        <w:rPr>
          <w:sz w:val="24"/>
          <w:szCs w:val="24"/>
        </w:rPr>
        <w:t xml:space="preserve"> </w:t>
      </w:r>
      <w:r w:rsidRPr="00FE0E11">
        <w:rPr>
          <w:sz w:val="24"/>
          <w:szCs w:val="24"/>
        </w:rPr>
        <w:t>přičemž v konečném důsledku má dopad na místní úrovni a přispívá k širším regionálním, národním a evropským cílům</w:t>
      </w:r>
      <w:r w:rsidR="00816516">
        <w:rPr>
          <w:sz w:val="24"/>
          <w:szCs w:val="24"/>
        </w:rPr>
        <w:t>,</w:t>
      </w:r>
    </w:p>
    <w:p w14:paraId="07108C38" w14:textId="74F0584E" w:rsidR="00FF6506" w:rsidRPr="002739A8" w:rsidRDefault="00816516" w:rsidP="00FF6506">
      <w:pPr>
        <w:pStyle w:val="Odstavecseseznamem"/>
        <w:numPr>
          <w:ilvl w:val="0"/>
          <w:numId w:val="27"/>
        </w:numPr>
        <w:jc w:val="both"/>
        <w:rPr>
          <w:sz w:val="24"/>
          <w:szCs w:val="24"/>
        </w:rPr>
      </w:pPr>
      <w:r>
        <w:rPr>
          <w:sz w:val="24"/>
          <w:szCs w:val="24"/>
        </w:rPr>
        <w:t>s</w:t>
      </w:r>
      <w:r w:rsidR="00FF6506" w:rsidRPr="002739A8">
        <w:rPr>
          <w:sz w:val="24"/>
          <w:szCs w:val="24"/>
        </w:rPr>
        <w:t>běr dat a nastavení indikátorů</w:t>
      </w:r>
      <w:r>
        <w:rPr>
          <w:sz w:val="24"/>
          <w:szCs w:val="24"/>
        </w:rPr>
        <w:t>,</w:t>
      </w:r>
    </w:p>
    <w:p w14:paraId="20DFEC1B" w14:textId="4378AE15" w:rsidR="00FF6506" w:rsidRDefault="00816516" w:rsidP="00FF6506">
      <w:pPr>
        <w:pStyle w:val="Odstavecseseznamem"/>
        <w:numPr>
          <w:ilvl w:val="0"/>
          <w:numId w:val="27"/>
        </w:numPr>
        <w:jc w:val="both"/>
        <w:rPr>
          <w:sz w:val="24"/>
          <w:szCs w:val="24"/>
        </w:rPr>
      </w:pPr>
      <w:r>
        <w:rPr>
          <w:sz w:val="24"/>
          <w:szCs w:val="24"/>
        </w:rPr>
        <w:t>z</w:t>
      </w:r>
      <w:r w:rsidR="00FF6506" w:rsidRPr="002739A8">
        <w:rPr>
          <w:sz w:val="24"/>
          <w:szCs w:val="24"/>
        </w:rPr>
        <w:t>kušenosti zahraničních měst</w:t>
      </w:r>
      <w:r>
        <w:rPr>
          <w:sz w:val="24"/>
          <w:szCs w:val="24"/>
        </w:rPr>
        <w:t>.</w:t>
      </w:r>
    </w:p>
    <w:p w14:paraId="626A5C37" w14:textId="6EE1F897" w:rsidR="0038000A" w:rsidRPr="00507C6B" w:rsidRDefault="0038000A" w:rsidP="0038000A">
      <w:pPr>
        <w:spacing w:before="160"/>
        <w:jc w:val="both"/>
        <w:rPr>
          <w:sz w:val="24"/>
          <w:szCs w:val="24"/>
        </w:rPr>
      </w:pPr>
      <w:r w:rsidRPr="00507C6B">
        <w:rPr>
          <w:sz w:val="24"/>
          <w:szCs w:val="24"/>
        </w:rPr>
        <w:t>Na evropské úrovni probíhá k problematice plánování udržitelné městské mobility na úrovni funkčních městských oblastí debata zejména v rámci odborné platformy Expert Group on Urban Mobility (EGUM)</w:t>
      </w:r>
      <w:r w:rsidRPr="008B6D35">
        <w:rPr>
          <w:sz w:val="24"/>
          <w:szCs w:val="24"/>
          <w:vertAlign w:val="superscript"/>
        </w:rPr>
        <w:footnoteReference w:id="11"/>
      </w:r>
      <w:r w:rsidRPr="00507C6B">
        <w:rPr>
          <w:sz w:val="24"/>
          <w:szCs w:val="24"/>
        </w:rPr>
        <w:t>. Z dosavadních diskusí vyplývá, že se jedná o problematiku komplexní, která je značně ovlivněna právním a organizačním prostředím v jednotlivých členských státech. Vzhledem k značně specifické situaci jednotlivých členských států tedy není možné nastavit jednotný metodický rámec platný pro všechny, lze však identifikovat příklady dobré praxe a z nich vyplývající doporučení, která jsou pro minimální požadavky na české městské uzly využita.</w:t>
      </w:r>
    </w:p>
    <w:p w14:paraId="323B6095" w14:textId="77777777" w:rsidR="002F4A1F" w:rsidRDefault="0038000A" w:rsidP="0084184E">
      <w:pPr>
        <w:jc w:val="both"/>
        <w:rPr>
          <w:sz w:val="24"/>
          <w:szCs w:val="24"/>
        </w:rPr>
      </w:pPr>
      <w:r w:rsidRPr="00507C6B">
        <w:rPr>
          <w:sz w:val="24"/>
          <w:szCs w:val="24"/>
        </w:rPr>
        <w:t xml:space="preserve">Intenzita vztahů (dopravních, ale i jiných) jádrového města a jeho zázemí klesá se vzrůstající vzdáleností. Nejintenzivnější vztahy tedy má jádrové město s obcemi v bezprostředním zázemí, které jsou v některých případech obsluhovány systémem městské hromadné dopravy (MHD). Těmto obcím byla v dosavadních </w:t>
      </w:r>
      <w:proofErr w:type="spellStart"/>
      <w:r w:rsidRPr="00507C6B">
        <w:rPr>
          <w:sz w:val="24"/>
          <w:szCs w:val="24"/>
        </w:rPr>
        <w:t>SUMPech</w:t>
      </w:r>
      <w:proofErr w:type="spellEnd"/>
      <w:r w:rsidRPr="00507C6B">
        <w:rPr>
          <w:sz w:val="24"/>
          <w:szCs w:val="24"/>
        </w:rPr>
        <w:t xml:space="preserve"> logicky </w:t>
      </w:r>
      <w:r w:rsidRPr="00507C6B">
        <w:rPr>
          <w:sz w:val="24"/>
          <w:szCs w:val="24"/>
        </w:rPr>
        <w:lastRenderedPageBreak/>
        <w:t>věnována největší pozornost, avšak prstenec těchto obcí lze ztotožnit s funkční městskou oblastí pouze se značnými výhradami.</w:t>
      </w:r>
    </w:p>
    <w:p w14:paraId="39C820B1" w14:textId="40E1F944" w:rsidR="0084184E" w:rsidRPr="00E80E8C" w:rsidRDefault="0084184E" w:rsidP="00762E5B">
      <w:pPr>
        <w:tabs>
          <w:tab w:val="left" w:pos="567"/>
        </w:tabs>
        <w:jc w:val="both"/>
        <w:rPr>
          <w:rFonts w:cs="Arial"/>
          <w:bCs/>
          <w:sz w:val="24"/>
          <w:szCs w:val="24"/>
        </w:rPr>
      </w:pPr>
      <w:r w:rsidRPr="00E80E8C">
        <w:rPr>
          <w:rFonts w:cs="Arial"/>
          <w:bCs/>
          <w:sz w:val="24"/>
          <w:szCs w:val="24"/>
        </w:rPr>
        <w:t xml:space="preserve">K tomuto vymezení se v podmínkách ČR </w:t>
      </w:r>
      <w:r w:rsidR="004867D7">
        <w:rPr>
          <w:rFonts w:cs="Arial"/>
          <w:bCs/>
          <w:sz w:val="24"/>
          <w:szCs w:val="24"/>
        </w:rPr>
        <w:t>v minimalistické variantě</w:t>
      </w:r>
      <w:r w:rsidRPr="00E80E8C">
        <w:rPr>
          <w:rFonts w:cs="Arial"/>
          <w:bCs/>
          <w:sz w:val="24"/>
          <w:szCs w:val="24"/>
        </w:rPr>
        <w:t xml:space="preserve"> hodí vymezení aglomerací / metropolitních oblastí pro účely integrovaných teritoriálních investic (ITI)</w:t>
      </w:r>
      <w:r w:rsidRPr="00E80E8C">
        <w:rPr>
          <w:rStyle w:val="Znakapoznpodarou"/>
          <w:rFonts w:cs="Arial"/>
          <w:bCs/>
          <w:sz w:val="24"/>
          <w:szCs w:val="24"/>
        </w:rPr>
        <w:footnoteReference w:id="12"/>
      </w:r>
      <w:r w:rsidRPr="00E80E8C">
        <w:rPr>
          <w:rFonts w:cs="Arial"/>
          <w:bCs/>
          <w:sz w:val="24"/>
          <w:szCs w:val="24"/>
        </w:rPr>
        <w:t xml:space="preserve">, které je v gesci Ministerstva pro místní rozvoj (MMR). </w:t>
      </w:r>
      <w:r w:rsidR="0050044C">
        <w:rPr>
          <w:rFonts w:cs="Arial"/>
          <w:bCs/>
          <w:sz w:val="24"/>
          <w:szCs w:val="24"/>
        </w:rPr>
        <w:t>Hlavní</w:t>
      </w:r>
      <w:r w:rsidR="003D54F7">
        <w:rPr>
          <w:rFonts w:cs="Arial"/>
          <w:bCs/>
          <w:sz w:val="24"/>
          <w:szCs w:val="24"/>
        </w:rPr>
        <w:t xml:space="preserve"> předností tohoto uspořádání je skutečnost</w:t>
      </w:r>
      <w:r w:rsidRPr="00E80E8C">
        <w:rPr>
          <w:rFonts w:cs="Arial"/>
          <w:bCs/>
          <w:sz w:val="24"/>
          <w:szCs w:val="24"/>
        </w:rPr>
        <w:t xml:space="preserve">, že toto vymezení bylo provedeno na základě podrobné analýzy funkčních vztahů a do značné míry koresponduje s vymezením FUA podle definice </w:t>
      </w:r>
      <w:proofErr w:type="spellStart"/>
      <w:r w:rsidRPr="00E80E8C">
        <w:rPr>
          <w:rFonts w:cs="Arial"/>
          <w:bCs/>
          <w:sz w:val="24"/>
          <w:szCs w:val="24"/>
        </w:rPr>
        <w:t>Eurostatu</w:t>
      </w:r>
      <w:proofErr w:type="spellEnd"/>
      <w:r w:rsidR="00762E5B">
        <w:rPr>
          <w:rFonts w:cs="Arial"/>
          <w:bCs/>
          <w:sz w:val="24"/>
          <w:szCs w:val="24"/>
        </w:rPr>
        <w:t>.</w:t>
      </w:r>
      <w:r w:rsidRPr="00E80E8C">
        <w:rPr>
          <w:rFonts w:cs="Arial"/>
          <w:bCs/>
          <w:sz w:val="24"/>
          <w:szCs w:val="24"/>
        </w:rPr>
        <w:t xml:space="preserve"> </w:t>
      </w:r>
      <w:r w:rsidR="00CA7781">
        <w:rPr>
          <w:rFonts w:cs="Arial"/>
          <w:bCs/>
          <w:sz w:val="24"/>
          <w:szCs w:val="24"/>
        </w:rPr>
        <w:t>R</w:t>
      </w:r>
      <w:r w:rsidR="00414D12" w:rsidRPr="00E80E8C">
        <w:rPr>
          <w:rFonts w:cs="Arial"/>
          <w:bCs/>
          <w:sz w:val="24"/>
          <w:szCs w:val="24"/>
        </w:rPr>
        <w:t xml:space="preserve">ozšíření </w:t>
      </w:r>
      <w:proofErr w:type="spellStart"/>
      <w:r w:rsidR="00414D12" w:rsidRPr="00E80E8C">
        <w:rPr>
          <w:rFonts w:cs="Arial"/>
          <w:bCs/>
          <w:sz w:val="24"/>
          <w:szCs w:val="24"/>
        </w:rPr>
        <w:t>SUMPů</w:t>
      </w:r>
      <w:proofErr w:type="spellEnd"/>
      <w:r w:rsidR="00414D12" w:rsidRPr="00E80E8C">
        <w:rPr>
          <w:rFonts w:cs="Arial"/>
          <w:bCs/>
          <w:sz w:val="24"/>
          <w:szCs w:val="24"/>
        </w:rPr>
        <w:t xml:space="preserve"> na úroveň FUA</w:t>
      </w:r>
      <w:r w:rsidR="00414D12">
        <w:rPr>
          <w:rFonts w:cs="Arial"/>
          <w:bCs/>
          <w:sz w:val="24"/>
          <w:szCs w:val="24"/>
        </w:rPr>
        <w:t xml:space="preserve"> </w:t>
      </w:r>
      <w:r w:rsidR="00CA7781">
        <w:rPr>
          <w:rFonts w:cs="Arial"/>
          <w:bCs/>
          <w:sz w:val="24"/>
          <w:szCs w:val="24"/>
        </w:rPr>
        <w:t>nicméně musí koordinovat</w:t>
      </w:r>
      <w:r w:rsidR="0004522A">
        <w:rPr>
          <w:rFonts w:cs="Arial"/>
          <w:bCs/>
          <w:sz w:val="24"/>
          <w:szCs w:val="24"/>
        </w:rPr>
        <w:t xml:space="preserve"> příslušný kraj ve spolupráci s příslušnými statutárními městy. </w:t>
      </w:r>
      <w:r w:rsidR="00F001E7">
        <w:rPr>
          <w:rFonts w:cs="Arial"/>
          <w:bCs/>
          <w:sz w:val="24"/>
          <w:szCs w:val="24"/>
        </w:rPr>
        <w:t>Roli nositele</w:t>
      </w:r>
      <w:r w:rsidR="006860A7">
        <w:rPr>
          <w:rFonts w:cs="Arial"/>
          <w:bCs/>
          <w:sz w:val="24"/>
          <w:szCs w:val="24"/>
        </w:rPr>
        <w:t xml:space="preserve"> ITI sice plní příslušná statutární města, ty ale, na rozdíl od kraje, nemají pro</w:t>
      </w:r>
      <w:r w:rsidR="000A7C76">
        <w:rPr>
          <w:rFonts w:cs="Arial"/>
          <w:bCs/>
          <w:sz w:val="24"/>
          <w:szCs w:val="24"/>
        </w:rPr>
        <w:t xml:space="preserve"> území FUA příslušné pravomoci (ITI je zaměřeno na koordinaci investic, SUMP </w:t>
      </w:r>
      <w:r w:rsidR="0001172D">
        <w:rPr>
          <w:rFonts w:cs="Arial"/>
          <w:bCs/>
          <w:sz w:val="24"/>
          <w:szCs w:val="24"/>
        </w:rPr>
        <w:t>má ale širší zaměření – včetně provozních a regulatorních aspektů</w:t>
      </w:r>
      <w:r w:rsidR="0089084F">
        <w:rPr>
          <w:rFonts w:cs="Arial"/>
          <w:bCs/>
          <w:sz w:val="24"/>
          <w:szCs w:val="24"/>
        </w:rPr>
        <w:t xml:space="preserve">). </w:t>
      </w:r>
      <w:r w:rsidRPr="00E80E8C">
        <w:rPr>
          <w:rFonts w:cs="Arial"/>
          <w:bCs/>
          <w:sz w:val="24"/>
          <w:szCs w:val="24"/>
        </w:rPr>
        <w:t xml:space="preserve">Role kraje je </w:t>
      </w:r>
      <w:r w:rsidR="0089084F">
        <w:rPr>
          <w:rFonts w:cs="Arial"/>
          <w:bCs/>
          <w:sz w:val="24"/>
          <w:szCs w:val="24"/>
        </w:rPr>
        <w:t xml:space="preserve">proto </w:t>
      </w:r>
      <w:r w:rsidRPr="00E80E8C">
        <w:rPr>
          <w:rFonts w:cs="Arial"/>
          <w:bCs/>
          <w:sz w:val="24"/>
          <w:szCs w:val="24"/>
        </w:rPr>
        <w:t>nezastupitelná</w:t>
      </w:r>
      <w:r w:rsidR="00841C61">
        <w:rPr>
          <w:rFonts w:cs="Arial"/>
          <w:bCs/>
          <w:sz w:val="24"/>
          <w:szCs w:val="24"/>
        </w:rPr>
        <w:t xml:space="preserve">. ITI je tedy nutné vnímat jako minimální územní rozsah, pro který musí být </w:t>
      </w:r>
      <w:r w:rsidR="00432E77">
        <w:rPr>
          <w:rFonts w:cs="Arial"/>
          <w:bCs/>
          <w:sz w:val="24"/>
          <w:szCs w:val="24"/>
        </w:rPr>
        <w:t>aplikována</w:t>
      </w:r>
      <w:r w:rsidR="00046784">
        <w:rPr>
          <w:rFonts w:cs="Arial"/>
          <w:bCs/>
          <w:sz w:val="24"/>
          <w:szCs w:val="24"/>
        </w:rPr>
        <w:t xml:space="preserve"> opatření v jednotlivých dokumentech ISUMP</w:t>
      </w:r>
      <w:r w:rsidR="00432E77">
        <w:rPr>
          <w:rFonts w:cs="Arial"/>
          <w:bCs/>
          <w:sz w:val="24"/>
          <w:szCs w:val="24"/>
        </w:rPr>
        <w:t>, opatření ale mohou přesahovat toto území i na ostatní území kraje.</w:t>
      </w:r>
      <w:r w:rsidR="00E11657">
        <w:rPr>
          <w:rFonts w:cs="Arial"/>
          <w:bCs/>
          <w:sz w:val="24"/>
          <w:szCs w:val="24"/>
        </w:rPr>
        <w:t xml:space="preserve"> </w:t>
      </w:r>
      <w:r w:rsidRPr="00E80E8C">
        <w:rPr>
          <w:rFonts w:cs="Arial"/>
          <w:bCs/>
          <w:sz w:val="24"/>
          <w:szCs w:val="24"/>
        </w:rPr>
        <w:t>Vzhledem ke zmíněné nezastupitelné roli kraje je možné, aby FUA bylo ztotožněno i s celým územím kraje (jedná se o maximalistickou variantu)</w:t>
      </w:r>
      <w:r w:rsidR="005D2120">
        <w:rPr>
          <w:rFonts w:cs="Arial"/>
          <w:bCs/>
          <w:sz w:val="24"/>
          <w:szCs w:val="24"/>
        </w:rPr>
        <w:t>.</w:t>
      </w:r>
    </w:p>
    <w:p w14:paraId="423F4FF8" w14:textId="04D783FD" w:rsidR="001814E4" w:rsidRDefault="0084184E" w:rsidP="0084184E">
      <w:pPr>
        <w:tabs>
          <w:tab w:val="left" w:pos="567"/>
        </w:tabs>
        <w:spacing w:before="240" w:after="0"/>
        <w:jc w:val="both"/>
        <w:rPr>
          <w:rFonts w:cs="Arial"/>
          <w:bCs/>
          <w:sz w:val="24"/>
          <w:szCs w:val="24"/>
        </w:rPr>
      </w:pPr>
      <w:r w:rsidRPr="00E80E8C">
        <w:rPr>
          <w:rFonts w:cs="Arial"/>
          <w:bCs/>
          <w:sz w:val="24"/>
          <w:szCs w:val="24"/>
        </w:rPr>
        <w:t xml:space="preserve">Hlavním cílem zahrnutí FUA do </w:t>
      </w:r>
      <w:proofErr w:type="spellStart"/>
      <w:r w:rsidRPr="00E80E8C">
        <w:rPr>
          <w:rFonts w:cs="Arial"/>
          <w:bCs/>
          <w:sz w:val="24"/>
          <w:szCs w:val="24"/>
        </w:rPr>
        <w:t>SUMPu</w:t>
      </w:r>
      <w:proofErr w:type="spellEnd"/>
      <w:r w:rsidRPr="00E80E8C">
        <w:rPr>
          <w:rFonts w:cs="Arial"/>
          <w:bCs/>
          <w:sz w:val="24"/>
          <w:szCs w:val="24"/>
        </w:rPr>
        <w:t xml:space="preserve"> musí být rozšíření konceptu udržitelné mobility i do zázemí městského uzlu, které je s městským uzlem intenzivně provázáno</w:t>
      </w:r>
      <w:r w:rsidR="001814E4">
        <w:rPr>
          <w:rFonts w:cs="Arial"/>
          <w:bCs/>
          <w:sz w:val="24"/>
          <w:szCs w:val="24"/>
        </w:rPr>
        <w:t>, a to zejména ve vztahu k dojížďce do příslušných statutárních měst</w:t>
      </w:r>
      <w:r w:rsidR="006204F2">
        <w:rPr>
          <w:rFonts w:cs="Arial"/>
          <w:bCs/>
          <w:sz w:val="24"/>
          <w:szCs w:val="24"/>
        </w:rPr>
        <w:t xml:space="preserve"> (území ITI)</w:t>
      </w:r>
      <w:r w:rsidRPr="00E80E8C">
        <w:rPr>
          <w:rFonts w:cs="Arial"/>
          <w:bCs/>
          <w:sz w:val="24"/>
          <w:szCs w:val="24"/>
        </w:rPr>
        <w:t xml:space="preserve">. </w:t>
      </w:r>
      <w:r w:rsidR="00766E20">
        <w:rPr>
          <w:rFonts w:cs="Arial"/>
          <w:bCs/>
          <w:sz w:val="24"/>
          <w:szCs w:val="24"/>
        </w:rPr>
        <w:t>Opatření pro FUA se výrazně odlišují od opatření aplikovaných na území statutárních a jiných větších měst.</w:t>
      </w:r>
      <w:r w:rsidR="00A2367A">
        <w:rPr>
          <w:rFonts w:cs="Arial"/>
          <w:bCs/>
          <w:sz w:val="24"/>
          <w:szCs w:val="24"/>
        </w:rPr>
        <w:t xml:space="preserve"> Proto lze v minimalistické variantě problematiku FUA řešit</w:t>
      </w:r>
      <w:r w:rsidR="00D45C2D">
        <w:rPr>
          <w:rFonts w:cs="Arial"/>
          <w:bCs/>
          <w:sz w:val="24"/>
          <w:szCs w:val="24"/>
        </w:rPr>
        <w:t xml:space="preserve"> na základě dokumentů pořizovaných krajem.</w:t>
      </w:r>
    </w:p>
    <w:p w14:paraId="6D15FC02" w14:textId="77777777" w:rsidR="0084184E" w:rsidRPr="00E80E8C" w:rsidRDefault="0084184E" w:rsidP="00AE688F">
      <w:pPr>
        <w:tabs>
          <w:tab w:val="left" w:pos="567"/>
        </w:tabs>
        <w:spacing w:before="160"/>
        <w:jc w:val="both"/>
        <w:rPr>
          <w:rFonts w:cs="Arial"/>
          <w:bCs/>
          <w:sz w:val="24"/>
          <w:szCs w:val="24"/>
        </w:rPr>
      </w:pPr>
      <w:r w:rsidRPr="00E80E8C">
        <w:rPr>
          <w:rFonts w:cs="Arial"/>
          <w:bCs/>
          <w:sz w:val="24"/>
          <w:szCs w:val="24"/>
        </w:rPr>
        <w:t xml:space="preserve">Aby tedy byl SUMP na úrovni FUA obhajitelný, musí jednoznačně směřovat k udržitelnému a zároveň vysoce funkčnímu dopravnímu systému aglomerace / metropolitní oblasti jako celku. S ohledem na skutečnost, že </w:t>
      </w:r>
      <w:proofErr w:type="spellStart"/>
      <w:r w:rsidRPr="00E80E8C">
        <w:rPr>
          <w:rFonts w:cs="Arial"/>
          <w:bCs/>
          <w:sz w:val="24"/>
          <w:szCs w:val="24"/>
        </w:rPr>
        <w:t>SUMPy</w:t>
      </w:r>
      <w:proofErr w:type="spellEnd"/>
      <w:r w:rsidRPr="00E80E8C">
        <w:rPr>
          <w:rFonts w:cs="Arial"/>
          <w:bCs/>
          <w:sz w:val="24"/>
          <w:szCs w:val="24"/>
        </w:rPr>
        <w:t xml:space="preserve"> pro statutární města jsou v současné době již platně schváleny a zároveň, že náplně řešení pro samotná statutární města a pro oblasti FUA se svým zaměřením odlišují, jako východisko pro současné období se navrhuje vytvořit integrovaný plán udržitelné městské mobility (ISUMP). </w:t>
      </w:r>
    </w:p>
    <w:p w14:paraId="01BEC645" w14:textId="175319E6" w:rsidR="006522B3" w:rsidRPr="001A533C" w:rsidRDefault="006522B3" w:rsidP="414D2D82">
      <w:pPr>
        <w:pStyle w:val="Nadpis3"/>
        <w:rPr>
          <w:rFonts w:asciiTheme="majorHAnsi" w:hAnsiTheme="majorHAnsi"/>
          <w:sz w:val="32"/>
          <w:szCs w:val="32"/>
        </w:rPr>
      </w:pPr>
      <w:bookmarkStart w:id="6" w:name="_Toc223424919"/>
      <w:r w:rsidRPr="414D2D82">
        <w:rPr>
          <w:rFonts w:asciiTheme="majorHAnsi" w:hAnsiTheme="majorHAnsi"/>
          <w:sz w:val="32"/>
          <w:szCs w:val="32"/>
        </w:rPr>
        <w:t>Integrovaný SUMP pro městské uzly TEN-T (ISUMP)</w:t>
      </w:r>
      <w:bookmarkEnd w:id="6"/>
    </w:p>
    <w:p w14:paraId="3DBAC1EB" w14:textId="63BD6701" w:rsidR="008500A2" w:rsidRDefault="006522B3" w:rsidP="004E4718">
      <w:pPr>
        <w:jc w:val="both"/>
        <w:rPr>
          <w:bCs/>
          <w:sz w:val="24"/>
          <w:szCs w:val="24"/>
        </w:rPr>
      </w:pPr>
      <w:r>
        <w:rPr>
          <w:sz w:val="24"/>
          <w:szCs w:val="24"/>
        </w:rPr>
        <w:t>ISUMP je společným řešením národní, regionální a městské úrovně</w:t>
      </w:r>
      <w:r w:rsidR="00D50F29">
        <w:rPr>
          <w:sz w:val="24"/>
          <w:szCs w:val="24"/>
        </w:rPr>
        <w:t>, a je</w:t>
      </w:r>
      <w:r w:rsidR="004A2AE7">
        <w:rPr>
          <w:sz w:val="24"/>
          <w:szCs w:val="24"/>
        </w:rPr>
        <w:t xml:space="preserve"> řešením evropského požadavku se zohledněním rozložení kompetencí jednotlivých úrovní veřejné správy v České republice.</w:t>
      </w:r>
      <w:r w:rsidR="004E4718">
        <w:rPr>
          <w:sz w:val="24"/>
          <w:szCs w:val="24"/>
        </w:rPr>
        <w:t xml:space="preserve"> </w:t>
      </w:r>
      <w:r w:rsidR="008500A2" w:rsidRPr="008500A2">
        <w:rPr>
          <w:bCs/>
          <w:sz w:val="24"/>
          <w:szCs w:val="24"/>
        </w:rPr>
        <w:t xml:space="preserve">S ohledem na skutečnost, že </w:t>
      </w:r>
      <w:proofErr w:type="spellStart"/>
      <w:r w:rsidR="008500A2" w:rsidRPr="008500A2">
        <w:rPr>
          <w:bCs/>
          <w:sz w:val="24"/>
          <w:szCs w:val="24"/>
        </w:rPr>
        <w:t>SUMPy</w:t>
      </w:r>
      <w:proofErr w:type="spellEnd"/>
      <w:r w:rsidR="008500A2" w:rsidRPr="008500A2">
        <w:rPr>
          <w:bCs/>
          <w:sz w:val="24"/>
          <w:szCs w:val="24"/>
        </w:rPr>
        <w:t xml:space="preserve"> pro </w:t>
      </w:r>
      <w:r w:rsidR="008500A2">
        <w:rPr>
          <w:bCs/>
          <w:sz w:val="24"/>
          <w:szCs w:val="24"/>
        </w:rPr>
        <w:t>městské uzly</w:t>
      </w:r>
      <w:r w:rsidR="008500A2" w:rsidRPr="008500A2">
        <w:rPr>
          <w:bCs/>
          <w:sz w:val="24"/>
          <w:szCs w:val="24"/>
        </w:rPr>
        <w:t xml:space="preserve"> jsou již schváleny a s ohledem na skutečnost, že náplň řešení pro samotn</w:t>
      </w:r>
      <w:r w:rsidR="008500A2">
        <w:rPr>
          <w:bCs/>
          <w:sz w:val="24"/>
          <w:szCs w:val="24"/>
        </w:rPr>
        <w:t xml:space="preserve">é </w:t>
      </w:r>
      <w:r w:rsidR="008500A2" w:rsidRPr="008500A2">
        <w:rPr>
          <w:bCs/>
          <w:sz w:val="24"/>
          <w:szCs w:val="24"/>
        </w:rPr>
        <w:t>měst</w:t>
      </w:r>
      <w:r w:rsidR="008500A2">
        <w:rPr>
          <w:bCs/>
          <w:sz w:val="24"/>
          <w:szCs w:val="24"/>
        </w:rPr>
        <w:t>ské uzly i</w:t>
      </w:r>
      <w:r w:rsidR="008500A2" w:rsidRPr="008500A2">
        <w:rPr>
          <w:bCs/>
          <w:sz w:val="24"/>
          <w:szCs w:val="24"/>
        </w:rPr>
        <w:t xml:space="preserve"> pro oblast FUA se jako řešení pro </w:t>
      </w:r>
      <w:r w:rsidR="008500A2" w:rsidRPr="005929C7">
        <w:rPr>
          <w:bCs/>
          <w:sz w:val="24"/>
          <w:szCs w:val="24"/>
        </w:rPr>
        <w:t>současné období navrhuje vytvořit integrovaný plán udržitelné</w:t>
      </w:r>
      <w:r w:rsidR="008500A2" w:rsidRPr="008500A2">
        <w:rPr>
          <w:bCs/>
          <w:sz w:val="24"/>
          <w:szCs w:val="24"/>
        </w:rPr>
        <w:t xml:space="preserve"> městské mobility (ISUMP). </w:t>
      </w:r>
    </w:p>
    <w:p w14:paraId="50219097" w14:textId="214DB8E4" w:rsidR="006522B3" w:rsidRPr="00CC2404" w:rsidRDefault="006522B3" w:rsidP="00664115">
      <w:pPr>
        <w:spacing w:before="160"/>
        <w:rPr>
          <w:b/>
          <w:bCs/>
          <w:sz w:val="24"/>
          <w:szCs w:val="24"/>
        </w:rPr>
      </w:pPr>
      <w:r w:rsidRPr="00CC2404">
        <w:rPr>
          <w:b/>
          <w:bCs/>
          <w:sz w:val="24"/>
          <w:szCs w:val="24"/>
        </w:rPr>
        <w:t>Národní úroveň</w:t>
      </w:r>
    </w:p>
    <w:p w14:paraId="32B4D689" w14:textId="13ED4061" w:rsidR="006522B3" w:rsidRDefault="006522B3" w:rsidP="00664115">
      <w:pPr>
        <w:pStyle w:val="Odstavecseseznamem"/>
        <w:numPr>
          <w:ilvl w:val="0"/>
          <w:numId w:val="1"/>
        </w:numPr>
        <w:spacing w:after="0"/>
        <w:ind w:left="714" w:hanging="357"/>
        <w:contextualSpacing w:val="0"/>
        <w:jc w:val="both"/>
        <w:rPr>
          <w:sz w:val="24"/>
          <w:szCs w:val="24"/>
        </w:rPr>
      </w:pPr>
      <w:r w:rsidRPr="00C1152F">
        <w:rPr>
          <w:sz w:val="24"/>
          <w:szCs w:val="24"/>
        </w:rPr>
        <w:t xml:space="preserve">Stát musí zajistit </w:t>
      </w:r>
      <w:proofErr w:type="spellStart"/>
      <w:r w:rsidRPr="00C1152F">
        <w:rPr>
          <w:sz w:val="24"/>
          <w:szCs w:val="24"/>
        </w:rPr>
        <w:t>provazbu</w:t>
      </w:r>
      <w:proofErr w:type="spellEnd"/>
      <w:r w:rsidRPr="00C1152F">
        <w:rPr>
          <w:sz w:val="24"/>
          <w:szCs w:val="24"/>
        </w:rPr>
        <w:t xml:space="preserve"> jednotlivých prvků TEN-T na území městského uzlu </w:t>
      </w:r>
      <w:r>
        <w:rPr>
          <w:sz w:val="24"/>
          <w:szCs w:val="24"/>
        </w:rPr>
        <w:br/>
      </w:r>
      <w:r w:rsidRPr="00C1152F">
        <w:rPr>
          <w:sz w:val="24"/>
          <w:szCs w:val="24"/>
        </w:rPr>
        <w:t xml:space="preserve">TEN-T a v jeho funkčním zázemí, a to dopravní infrastrukturou ve vlastnictví státu. </w:t>
      </w:r>
      <w:r w:rsidRPr="00C1152F">
        <w:rPr>
          <w:sz w:val="24"/>
          <w:szCs w:val="24"/>
        </w:rPr>
        <w:lastRenderedPageBreak/>
        <w:t xml:space="preserve">Výchozí dokumentem je </w:t>
      </w:r>
      <w:r w:rsidRPr="00C1152F">
        <w:rPr>
          <w:i/>
          <w:iCs/>
          <w:sz w:val="24"/>
          <w:szCs w:val="24"/>
        </w:rPr>
        <w:t>dlouhodobý plán rozvoje, údržby a financování dopravní infrastruktury</w:t>
      </w:r>
      <w:r w:rsidRPr="00C1152F">
        <w:rPr>
          <w:sz w:val="24"/>
          <w:szCs w:val="24"/>
        </w:rPr>
        <w:t xml:space="preserve">, v současné době </w:t>
      </w:r>
      <w:r w:rsidRPr="00935C69">
        <w:rPr>
          <w:i/>
          <w:iCs/>
          <w:sz w:val="24"/>
          <w:szCs w:val="24"/>
        </w:rPr>
        <w:t>Dopravní sektorové strategie, 3. fáze</w:t>
      </w:r>
      <w:r w:rsidRPr="00935C69">
        <w:rPr>
          <w:b/>
          <w:bCs/>
          <w:sz w:val="24"/>
          <w:szCs w:val="24"/>
        </w:rPr>
        <w:t>.</w:t>
      </w:r>
      <w:r w:rsidRPr="00C1152F">
        <w:rPr>
          <w:sz w:val="24"/>
          <w:szCs w:val="24"/>
        </w:rPr>
        <w:t xml:space="preserve"> Jedná se o projekty železniční, silniční a případně vodní infrastruktury na území města a v jeho FUA, která propojuje silniční a železniční síť, terminály multimodální dopravy, letiště a přístavy. Dále se jedná o železniční tratě pro městskou a příměstskou dopravu a silniční a dálniční obchvaty města (silnice I. třídy a dálnice).</w:t>
      </w:r>
    </w:p>
    <w:p w14:paraId="5E970BE7" w14:textId="77777777" w:rsidR="006522B3" w:rsidRDefault="006522B3" w:rsidP="00664115">
      <w:pPr>
        <w:pStyle w:val="Odstavecseseznamem"/>
        <w:numPr>
          <w:ilvl w:val="0"/>
          <w:numId w:val="1"/>
        </w:numPr>
        <w:spacing w:after="0"/>
        <w:ind w:left="714" w:hanging="357"/>
        <w:contextualSpacing w:val="0"/>
        <w:jc w:val="both"/>
        <w:rPr>
          <w:sz w:val="24"/>
          <w:szCs w:val="24"/>
        </w:rPr>
      </w:pPr>
      <w:r>
        <w:rPr>
          <w:sz w:val="24"/>
          <w:szCs w:val="24"/>
        </w:rPr>
        <w:t>Stát přispívá na regionální dopravní obslužnost, konkrétně v rámci FUA a ve vztahu k propojení města s FUA.</w:t>
      </w:r>
    </w:p>
    <w:p w14:paraId="63B0775B" w14:textId="77777777" w:rsidR="006522B3" w:rsidRDefault="006522B3" w:rsidP="00664115">
      <w:pPr>
        <w:pStyle w:val="Odstavecseseznamem"/>
        <w:numPr>
          <w:ilvl w:val="0"/>
          <w:numId w:val="1"/>
        </w:numPr>
        <w:spacing w:after="0"/>
        <w:ind w:left="714" w:hanging="357"/>
        <w:contextualSpacing w:val="0"/>
        <w:jc w:val="both"/>
        <w:rPr>
          <w:sz w:val="24"/>
          <w:szCs w:val="24"/>
        </w:rPr>
      </w:pPr>
      <w:r>
        <w:rPr>
          <w:sz w:val="24"/>
          <w:szCs w:val="24"/>
        </w:rPr>
        <w:t>Stát přispívá na rozvoj cyklistické a bezbariérové pěší infrastruktury (prostřednictvím SFDI na základě předkládaných projektů).</w:t>
      </w:r>
    </w:p>
    <w:p w14:paraId="03DFC11E" w14:textId="77777777" w:rsidR="006522B3" w:rsidRPr="00935C69" w:rsidRDefault="006522B3" w:rsidP="00664115">
      <w:pPr>
        <w:pStyle w:val="Odstavecseseznamem"/>
        <w:numPr>
          <w:ilvl w:val="0"/>
          <w:numId w:val="1"/>
        </w:numPr>
        <w:spacing w:after="0"/>
        <w:ind w:left="714" w:hanging="357"/>
        <w:contextualSpacing w:val="0"/>
        <w:jc w:val="both"/>
        <w:rPr>
          <w:sz w:val="24"/>
          <w:szCs w:val="24"/>
        </w:rPr>
      </w:pPr>
      <w:r>
        <w:rPr>
          <w:sz w:val="24"/>
          <w:szCs w:val="24"/>
        </w:rPr>
        <w:t xml:space="preserve">Stát zajišťuje dálkovou železniční dopravu prostřednictvím </w:t>
      </w:r>
      <w:r w:rsidRPr="00935C69">
        <w:rPr>
          <w:i/>
          <w:iCs/>
          <w:sz w:val="24"/>
          <w:szCs w:val="24"/>
        </w:rPr>
        <w:t>Plánu dopravní obslužnosti státu</w:t>
      </w:r>
      <w:r w:rsidRPr="00935C69">
        <w:rPr>
          <w:sz w:val="24"/>
          <w:szCs w:val="24"/>
        </w:rPr>
        <w:t>.</w:t>
      </w:r>
    </w:p>
    <w:p w14:paraId="3A005452" w14:textId="77777777" w:rsidR="006522B3" w:rsidRDefault="006522B3" w:rsidP="00664115">
      <w:pPr>
        <w:pStyle w:val="Odstavecseseznamem"/>
        <w:numPr>
          <w:ilvl w:val="0"/>
          <w:numId w:val="1"/>
        </w:numPr>
        <w:spacing w:after="0"/>
        <w:ind w:left="714" w:hanging="357"/>
        <w:contextualSpacing w:val="0"/>
        <w:jc w:val="both"/>
        <w:rPr>
          <w:sz w:val="24"/>
          <w:szCs w:val="24"/>
        </w:rPr>
      </w:pPr>
      <w:r>
        <w:rPr>
          <w:sz w:val="24"/>
          <w:szCs w:val="24"/>
        </w:rPr>
        <w:t>Z výnosů emisních povolenek lze financovat obnovu vozidel pro veřejnou hromadnou dopravu.</w:t>
      </w:r>
    </w:p>
    <w:p w14:paraId="39AF9F03" w14:textId="77777777" w:rsidR="006522B3" w:rsidRDefault="006522B3" w:rsidP="00664115">
      <w:pPr>
        <w:pStyle w:val="Odstavecseseznamem"/>
        <w:numPr>
          <w:ilvl w:val="0"/>
          <w:numId w:val="1"/>
        </w:numPr>
        <w:spacing w:after="0"/>
        <w:ind w:left="714" w:hanging="357"/>
        <w:contextualSpacing w:val="0"/>
        <w:jc w:val="both"/>
        <w:rPr>
          <w:sz w:val="24"/>
          <w:szCs w:val="24"/>
        </w:rPr>
      </w:pPr>
      <w:r w:rsidRPr="414D2D82">
        <w:rPr>
          <w:sz w:val="24"/>
          <w:szCs w:val="24"/>
        </w:rPr>
        <w:t>Stát prostřednictvím evropských fondů přispívá na rozvoj terminálů multimodální dopravy, realizaci veřejných dobíjecích stanic ve městě a FUA, a dále na infrastrukturu MHD v elektrické trakci.</w:t>
      </w:r>
    </w:p>
    <w:p w14:paraId="21740C09" w14:textId="77777777" w:rsidR="006522B3" w:rsidRPr="00CC2404" w:rsidRDefault="006522B3" w:rsidP="00664115">
      <w:pPr>
        <w:spacing w:before="160"/>
        <w:rPr>
          <w:b/>
          <w:bCs/>
          <w:sz w:val="24"/>
          <w:szCs w:val="24"/>
        </w:rPr>
      </w:pPr>
      <w:r w:rsidRPr="00CC2404">
        <w:rPr>
          <w:b/>
          <w:bCs/>
          <w:sz w:val="24"/>
          <w:szCs w:val="24"/>
        </w:rPr>
        <w:t>Regionální úroveň</w:t>
      </w:r>
    </w:p>
    <w:p w14:paraId="7BFE75DB" w14:textId="77777777" w:rsidR="006522B3" w:rsidRDefault="006522B3" w:rsidP="00664115">
      <w:pPr>
        <w:pStyle w:val="Odstavecseseznamem"/>
        <w:numPr>
          <w:ilvl w:val="0"/>
          <w:numId w:val="1"/>
        </w:numPr>
        <w:spacing w:after="0"/>
        <w:ind w:left="714" w:hanging="357"/>
        <w:contextualSpacing w:val="0"/>
        <w:jc w:val="both"/>
        <w:rPr>
          <w:sz w:val="24"/>
          <w:szCs w:val="24"/>
        </w:rPr>
      </w:pPr>
      <w:r w:rsidRPr="00DA114F">
        <w:rPr>
          <w:sz w:val="24"/>
          <w:szCs w:val="24"/>
        </w:rPr>
        <w:t xml:space="preserve">Kraj zajišťuje regionální dopravní obslužnost na základě krajského </w:t>
      </w:r>
      <w:r w:rsidRPr="00935C69">
        <w:rPr>
          <w:i/>
          <w:iCs/>
          <w:sz w:val="24"/>
          <w:szCs w:val="24"/>
        </w:rPr>
        <w:t>plánu dopravní obslužnosti</w:t>
      </w:r>
      <w:r>
        <w:rPr>
          <w:sz w:val="24"/>
          <w:szCs w:val="24"/>
        </w:rPr>
        <w:t xml:space="preserve"> (PDO kraje), což je klíčové pro řešení mobility v rámci FUA a ve vazbě města s FUA. Součástí by měl být i plán rozvoje přestupních terminálů mezi linkovou a železniční dopravou vč. parkovišť </w:t>
      </w:r>
      <w:proofErr w:type="spellStart"/>
      <w:r>
        <w:rPr>
          <w:sz w:val="24"/>
          <w:szCs w:val="24"/>
        </w:rPr>
        <w:t>PaR</w:t>
      </w:r>
      <w:proofErr w:type="spellEnd"/>
      <w:r>
        <w:rPr>
          <w:sz w:val="24"/>
          <w:szCs w:val="24"/>
        </w:rPr>
        <w:t xml:space="preserve"> v rámci FUA.</w:t>
      </w:r>
    </w:p>
    <w:p w14:paraId="14D98DBA" w14:textId="07558493" w:rsidR="00844C51" w:rsidRDefault="00844C51" w:rsidP="00664115">
      <w:pPr>
        <w:pStyle w:val="Odstavecseseznamem"/>
        <w:numPr>
          <w:ilvl w:val="0"/>
          <w:numId w:val="1"/>
        </w:numPr>
        <w:spacing w:after="0"/>
        <w:ind w:left="714" w:hanging="357"/>
        <w:contextualSpacing w:val="0"/>
        <w:jc w:val="both"/>
        <w:rPr>
          <w:sz w:val="24"/>
          <w:szCs w:val="24"/>
        </w:rPr>
      </w:pPr>
      <w:r>
        <w:rPr>
          <w:sz w:val="24"/>
          <w:szCs w:val="24"/>
        </w:rPr>
        <w:t>Kraj vytváří Integrovaný dopravní systém IDS.</w:t>
      </w:r>
    </w:p>
    <w:p w14:paraId="6BFC426D" w14:textId="137C3B3C" w:rsidR="006522B3" w:rsidRDefault="006522B3" w:rsidP="00664115">
      <w:pPr>
        <w:pStyle w:val="Odstavecseseznamem"/>
        <w:numPr>
          <w:ilvl w:val="0"/>
          <w:numId w:val="1"/>
        </w:numPr>
        <w:spacing w:after="0"/>
        <w:ind w:left="714" w:hanging="357"/>
        <w:contextualSpacing w:val="0"/>
        <w:jc w:val="both"/>
        <w:rPr>
          <w:sz w:val="24"/>
          <w:szCs w:val="24"/>
        </w:rPr>
      </w:pPr>
      <w:r>
        <w:rPr>
          <w:sz w:val="24"/>
          <w:szCs w:val="24"/>
        </w:rPr>
        <w:t>Kraj přispívá a organizuje realizaci páteřní krajské sítě cyklistických tras (krajský generel cyklotras, mapová aplikace</w:t>
      </w:r>
      <w:r w:rsidR="00552E1C">
        <w:rPr>
          <w:sz w:val="24"/>
          <w:szCs w:val="24"/>
        </w:rPr>
        <w:t xml:space="preserve"> Cyklovize2030</w:t>
      </w:r>
      <w:r>
        <w:rPr>
          <w:sz w:val="24"/>
          <w:szCs w:val="24"/>
        </w:rPr>
        <w:t>)</w:t>
      </w:r>
    </w:p>
    <w:p w14:paraId="478D30C8" w14:textId="0ABCF673" w:rsidR="006522B3" w:rsidRDefault="006522B3" w:rsidP="00664115">
      <w:pPr>
        <w:pStyle w:val="Odstavecseseznamem"/>
        <w:numPr>
          <w:ilvl w:val="0"/>
          <w:numId w:val="1"/>
        </w:numPr>
        <w:spacing w:after="0"/>
        <w:ind w:left="714" w:hanging="357"/>
        <w:contextualSpacing w:val="0"/>
        <w:jc w:val="both"/>
        <w:rPr>
          <w:sz w:val="24"/>
          <w:szCs w:val="24"/>
        </w:rPr>
      </w:pPr>
      <w:r>
        <w:rPr>
          <w:sz w:val="24"/>
          <w:szCs w:val="24"/>
        </w:rPr>
        <w:t>Kraj je vlastníkem a garantem financování, údržby a rozvoje silnic II. a III. třídy (Plán rozvoje kraje)</w:t>
      </w:r>
    </w:p>
    <w:p w14:paraId="0E9532C4" w14:textId="77777777" w:rsidR="006522B3" w:rsidRPr="00CC2404" w:rsidRDefault="006522B3" w:rsidP="00664115">
      <w:pPr>
        <w:spacing w:before="160"/>
        <w:rPr>
          <w:b/>
          <w:bCs/>
          <w:sz w:val="24"/>
          <w:szCs w:val="24"/>
        </w:rPr>
      </w:pPr>
      <w:r w:rsidRPr="00CC2404">
        <w:rPr>
          <w:b/>
          <w:bCs/>
          <w:sz w:val="24"/>
          <w:szCs w:val="24"/>
        </w:rPr>
        <w:t>Městská úroveň</w:t>
      </w:r>
    </w:p>
    <w:p w14:paraId="0CC92EF8" w14:textId="77777777" w:rsidR="006522B3" w:rsidRPr="00EE4736" w:rsidRDefault="006522B3" w:rsidP="00664115">
      <w:pPr>
        <w:pStyle w:val="Odstavecseseznamem"/>
        <w:numPr>
          <w:ilvl w:val="0"/>
          <w:numId w:val="1"/>
        </w:numPr>
        <w:spacing w:after="0"/>
        <w:ind w:left="714" w:hanging="357"/>
        <w:contextualSpacing w:val="0"/>
        <w:jc w:val="both"/>
        <w:rPr>
          <w:sz w:val="24"/>
          <w:szCs w:val="24"/>
        </w:rPr>
      </w:pPr>
      <w:r w:rsidRPr="00EE4736">
        <w:rPr>
          <w:sz w:val="24"/>
          <w:szCs w:val="24"/>
        </w:rPr>
        <w:t xml:space="preserve">Řešení městské mobility v rámci platného </w:t>
      </w:r>
      <w:r w:rsidRPr="00935C69">
        <w:rPr>
          <w:i/>
          <w:iCs/>
          <w:sz w:val="24"/>
          <w:szCs w:val="24"/>
        </w:rPr>
        <w:t>SUMP</w:t>
      </w:r>
      <w:r w:rsidRPr="00935C69">
        <w:rPr>
          <w:sz w:val="24"/>
          <w:szCs w:val="24"/>
        </w:rPr>
        <w:t xml:space="preserve"> </w:t>
      </w:r>
      <w:r w:rsidRPr="00EE4736">
        <w:rPr>
          <w:sz w:val="24"/>
          <w:szCs w:val="24"/>
        </w:rPr>
        <w:t>města</w:t>
      </w:r>
      <w:r>
        <w:rPr>
          <w:sz w:val="24"/>
          <w:szCs w:val="24"/>
        </w:rPr>
        <w:t>, jedním z cílů je zajištění první a poslední míle k prvkům TEN-T</w:t>
      </w:r>
    </w:p>
    <w:p w14:paraId="1D1BA88D" w14:textId="77777777" w:rsidR="006522B3" w:rsidRPr="00EE4736" w:rsidRDefault="006522B3" w:rsidP="00664115">
      <w:pPr>
        <w:pStyle w:val="Odstavecseseznamem"/>
        <w:numPr>
          <w:ilvl w:val="0"/>
          <w:numId w:val="1"/>
        </w:numPr>
        <w:spacing w:after="0"/>
        <w:ind w:left="714" w:hanging="357"/>
        <w:contextualSpacing w:val="0"/>
        <w:jc w:val="both"/>
        <w:rPr>
          <w:sz w:val="24"/>
          <w:szCs w:val="24"/>
        </w:rPr>
      </w:pPr>
      <w:r w:rsidRPr="00EE4736">
        <w:rPr>
          <w:sz w:val="24"/>
          <w:szCs w:val="24"/>
        </w:rPr>
        <w:t xml:space="preserve">MHD je plánována prostřednictvím </w:t>
      </w:r>
      <w:r w:rsidRPr="00935C69">
        <w:rPr>
          <w:i/>
          <w:iCs/>
          <w:sz w:val="24"/>
          <w:szCs w:val="24"/>
        </w:rPr>
        <w:t>Plánu dopravní obslužnosti města (SUMP)</w:t>
      </w:r>
      <w:r w:rsidRPr="00935C69">
        <w:rPr>
          <w:sz w:val="24"/>
          <w:szCs w:val="24"/>
        </w:rPr>
        <w:t>.</w:t>
      </w:r>
    </w:p>
    <w:p w14:paraId="491DF580" w14:textId="77777777" w:rsidR="006522B3" w:rsidRPr="00EE4736" w:rsidRDefault="006522B3" w:rsidP="00664115">
      <w:pPr>
        <w:pStyle w:val="Odstavecseseznamem"/>
        <w:numPr>
          <w:ilvl w:val="0"/>
          <w:numId w:val="1"/>
        </w:numPr>
        <w:spacing w:after="0"/>
        <w:ind w:left="714" w:hanging="357"/>
        <w:contextualSpacing w:val="0"/>
        <w:jc w:val="both"/>
        <w:rPr>
          <w:sz w:val="24"/>
          <w:szCs w:val="24"/>
        </w:rPr>
      </w:pPr>
      <w:r w:rsidRPr="00EE4736">
        <w:rPr>
          <w:sz w:val="24"/>
          <w:szCs w:val="24"/>
        </w:rPr>
        <w:t xml:space="preserve">Město by v návaznosti na SUMP mělo mít </w:t>
      </w:r>
      <w:proofErr w:type="spellStart"/>
      <w:r w:rsidRPr="00935C69">
        <w:rPr>
          <w:i/>
          <w:iCs/>
          <w:sz w:val="24"/>
          <w:szCs w:val="24"/>
        </w:rPr>
        <w:t>cyklogenerel</w:t>
      </w:r>
      <w:proofErr w:type="spellEnd"/>
      <w:r w:rsidRPr="00935C69">
        <w:rPr>
          <w:sz w:val="24"/>
          <w:szCs w:val="24"/>
        </w:rPr>
        <w:t xml:space="preserve"> m</w:t>
      </w:r>
      <w:r w:rsidRPr="00EE4736">
        <w:rPr>
          <w:sz w:val="24"/>
          <w:szCs w:val="24"/>
        </w:rPr>
        <w:t>ěsta.</w:t>
      </w:r>
    </w:p>
    <w:p w14:paraId="1D6005E5" w14:textId="38B557CB" w:rsidR="006522B3" w:rsidRPr="00CC2404" w:rsidRDefault="006522B3" w:rsidP="00664115">
      <w:pPr>
        <w:spacing w:before="160"/>
        <w:rPr>
          <w:b/>
          <w:bCs/>
          <w:sz w:val="24"/>
          <w:szCs w:val="24"/>
        </w:rPr>
      </w:pPr>
      <w:r w:rsidRPr="00CC2404">
        <w:rPr>
          <w:b/>
          <w:bCs/>
          <w:sz w:val="24"/>
          <w:szCs w:val="24"/>
        </w:rPr>
        <w:t>Shrnutí</w:t>
      </w:r>
    </w:p>
    <w:p w14:paraId="07CEE63B" w14:textId="77777777" w:rsidR="006522B3" w:rsidRPr="000E6304" w:rsidRDefault="006522B3" w:rsidP="006522B3">
      <w:pPr>
        <w:rPr>
          <w:sz w:val="24"/>
          <w:szCs w:val="24"/>
        </w:rPr>
      </w:pPr>
      <w:r w:rsidRPr="000E6304">
        <w:rPr>
          <w:sz w:val="24"/>
          <w:szCs w:val="24"/>
        </w:rPr>
        <w:t>ISUMP je tvořen dokumenty a procesy:</w:t>
      </w:r>
    </w:p>
    <w:p w14:paraId="27631637" w14:textId="77777777" w:rsidR="006522B3" w:rsidRDefault="006522B3" w:rsidP="00664115">
      <w:pPr>
        <w:pStyle w:val="Odstavecseseznamem"/>
        <w:numPr>
          <w:ilvl w:val="0"/>
          <w:numId w:val="1"/>
        </w:numPr>
        <w:spacing w:after="0"/>
        <w:ind w:left="714" w:hanging="357"/>
        <w:contextualSpacing w:val="0"/>
        <w:jc w:val="both"/>
        <w:rPr>
          <w:sz w:val="24"/>
          <w:szCs w:val="24"/>
        </w:rPr>
      </w:pPr>
      <w:r w:rsidRPr="000E6304">
        <w:rPr>
          <w:sz w:val="24"/>
          <w:szCs w:val="24"/>
        </w:rPr>
        <w:t>SUMP města</w:t>
      </w:r>
    </w:p>
    <w:p w14:paraId="1F57F8F9" w14:textId="77777777" w:rsidR="006522B3" w:rsidRDefault="006522B3" w:rsidP="00664115">
      <w:pPr>
        <w:pStyle w:val="Odstavecseseznamem"/>
        <w:numPr>
          <w:ilvl w:val="0"/>
          <w:numId w:val="1"/>
        </w:numPr>
        <w:spacing w:after="0"/>
        <w:ind w:left="714" w:hanging="357"/>
        <w:contextualSpacing w:val="0"/>
        <w:jc w:val="both"/>
        <w:rPr>
          <w:sz w:val="24"/>
          <w:szCs w:val="24"/>
        </w:rPr>
      </w:pPr>
      <w:r>
        <w:rPr>
          <w:sz w:val="24"/>
          <w:szCs w:val="24"/>
        </w:rPr>
        <w:t>PDO města</w:t>
      </w:r>
    </w:p>
    <w:p w14:paraId="0CF73CC1" w14:textId="77777777" w:rsidR="006522B3" w:rsidRDefault="006522B3" w:rsidP="00664115">
      <w:pPr>
        <w:pStyle w:val="Odstavecseseznamem"/>
        <w:numPr>
          <w:ilvl w:val="0"/>
          <w:numId w:val="1"/>
        </w:numPr>
        <w:spacing w:after="0"/>
        <w:ind w:left="714" w:hanging="357"/>
        <w:contextualSpacing w:val="0"/>
        <w:jc w:val="both"/>
        <w:rPr>
          <w:sz w:val="24"/>
          <w:szCs w:val="24"/>
        </w:rPr>
      </w:pPr>
      <w:r>
        <w:rPr>
          <w:sz w:val="24"/>
          <w:szCs w:val="24"/>
        </w:rPr>
        <w:t>PDO kraje</w:t>
      </w:r>
    </w:p>
    <w:p w14:paraId="7FC9F65B" w14:textId="7B7D02A9" w:rsidR="00844C51" w:rsidRDefault="00844C51" w:rsidP="00664115">
      <w:pPr>
        <w:pStyle w:val="Odstavecseseznamem"/>
        <w:numPr>
          <w:ilvl w:val="0"/>
          <w:numId w:val="1"/>
        </w:numPr>
        <w:spacing w:after="0"/>
        <w:ind w:left="714" w:hanging="357"/>
        <w:contextualSpacing w:val="0"/>
        <w:jc w:val="both"/>
        <w:rPr>
          <w:sz w:val="24"/>
          <w:szCs w:val="24"/>
        </w:rPr>
      </w:pPr>
      <w:r>
        <w:rPr>
          <w:sz w:val="24"/>
          <w:szCs w:val="24"/>
        </w:rPr>
        <w:t>IDS kraje</w:t>
      </w:r>
    </w:p>
    <w:p w14:paraId="03E278DB" w14:textId="77777777" w:rsidR="006522B3" w:rsidRDefault="006522B3" w:rsidP="00664115">
      <w:pPr>
        <w:pStyle w:val="Odstavecseseznamem"/>
        <w:numPr>
          <w:ilvl w:val="0"/>
          <w:numId w:val="1"/>
        </w:numPr>
        <w:spacing w:after="0"/>
        <w:ind w:left="714" w:hanging="357"/>
        <w:contextualSpacing w:val="0"/>
        <w:jc w:val="both"/>
        <w:rPr>
          <w:sz w:val="24"/>
          <w:szCs w:val="24"/>
        </w:rPr>
      </w:pPr>
      <w:r>
        <w:rPr>
          <w:sz w:val="24"/>
          <w:szCs w:val="24"/>
        </w:rPr>
        <w:t>Infrastrukturní plán kraje</w:t>
      </w:r>
    </w:p>
    <w:p w14:paraId="5DF1B216" w14:textId="70BAB271" w:rsidR="00637B14" w:rsidRDefault="00637B14" w:rsidP="00664115">
      <w:pPr>
        <w:pStyle w:val="Odstavecseseznamem"/>
        <w:numPr>
          <w:ilvl w:val="0"/>
          <w:numId w:val="1"/>
        </w:numPr>
        <w:spacing w:after="0"/>
        <w:ind w:left="714" w:hanging="357"/>
        <w:contextualSpacing w:val="0"/>
        <w:jc w:val="both"/>
        <w:rPr>
          <w:sz w:val="24"/>
          <w:szCs w:val="24"/>
        </w:rPr>
      </w:pPr>
      <w:r w:rsidRPr="00637B14">
        <w:rPr>
          <w:bCs/>
          <w:sz w:val="24"/>
          <w:szCs w:val="24"/>
        </w:rPr>
        <w:lastRenderedPageBreak/>
        <w:t>Plány rozvoje cyklistické infrastruktury</w:t>
      </w:r>
    </w:p>
    <w:p w14:paraId="22431AA4" w14:textId="77777777" w:rsidR="006522B3" w:rsidRDefault="006522B3" w:rsidP="00664115">
      <w:pPr>
        <w:pStyle w:val="Odstavecseseznamem"/>
        <w:numPr>
          <w:ilvl w:val="0"/>
          <w:numId w:val="1"/>
        </w:numPr>
        <w:spacing w:after="0"/>
        <w:ind w:left="714" w:hanging="357"/>
        <w:contextualSpacing w:val="0"/>
        <w:jc w:val="both"/>
        <w:rPr>
          <w:sz w:val="24"/>
          <w:szCs w:val="24"/>
        </w:rPr>
      </w:pPr>
      <w:r>
        <w:rPr>
          <w:sz w:val="24"/>
          <w:szCs w:val="24"/>
        </w:rPr>
        <w:t>Dopravní sektorové strategie, 3. fáze</w:t>
      </w:r>
    </w:p>
    <w:p w14:paraId="669511CE" w14:textId="77777777" w:rsidR="00844C51" w:rsidRPr="00844C51" w:rsidRDefault="00844C51" w:rsidP="00844C51">
      <w:pPr>
        <w:spacing w:after="0"/>
        <w:jc w:val="both"/>
        <w:rPr>
          <w:sz w:val="24"/>
          <w:szCs w:val="24"/>
        </w:rPr>
      </w:pPr>
    </w:p>
    <w:p w14:paraId="56D56F4B" w14:textId="1E160BF0" w:rsidR="002F45B4" w:rsidRDefault="00B22CA8" w:rsidP="006522B3">
      <w:pPr>
        <w:jc w:val="both"/>
        <w:rPr>
          <w:rFonts w:cs="Arial"/>
          <w:bCs/>
          <w:sz w:val="24"/>
          <w:szCs w:val="24"/>
          <w:lang w:eastAsia="cs-CZ"/>
        </w:rPr>
      </w:pPr>
      <w:r>
        <w:rPr>
          <w:rFonts w:cs="Arial"/>
          <w:bCs/>
          <w:sz w:val="24"/>
          <w:szCs w:val="24"/>
          <w:lang w:eastAsia="cs-CZ"/>
        </w:rPr>
        <w:t>Jádrové město (hlavní centrum aglomerace) ve spolupráci s krajem v případě této minimalistické varianty</w:t>
      </w:r>
      <w:r w:rsidR="00957C04">
        <w:rPr>
          <w:rFonts w:cs="Arial"/>
          <w:bCs/>
          <w:sz w:val="24"/>
          <w:szCs w:val="24"/>
          <w:lang w:eastAsia="cs-CZ"/>
        </w:rPr>
        <w:t xml:space="preserve"> zpracuje </w:t>
      </w:r>
      <w:r w:rsidR="000D1817">
        <w:rPr>
          <w:rFonts w:cs="Arial"/>
          <w:bCs/>
          <w:sz w:val="24"/>
          <w:szCs w:val="24"/>
          <w:lang w:eastAsia="cs-CZ"/>
        </w:rPr>
        <w:t>shrnující</w:t>
      </w:r>
      <w:r w:rsidR="00957C04">
        <w:rPr>
          <w:rFonts w:cs="Arial"/>
          <w:bCs/>
          <w:sz w:val="24"/>
          <w:szCs w:val="24"/>
          <w:lang w:eastAsia="cs-CZ"/>
        </w:rPr>
        <w:t xml:space="preserve"> dokument, který stručně popíše, z kterých dokumentů </w:t>
      </w:r>
      <w:r w:rsidR="00CE6A4C">
        <w:rPr>
          <w:rFonts w:cs="Arial"/>
          <w:bCs/>
          <w:sz w:val="24"/>
          <w:szCs w:val="24"/>
          <w:lang w:eastAsia="cs-CZ"/>
        </w:rPr>
        <w:t>se ISUMP skládá</w:t>
      </w:r>
      <w:r w:rsidR="00FA3920">
        <w:rPr>
          <w:rFonts w:cs="Arial"/>
          <w:bCs/>
          <w:sz w:val="24"/>
          <w:szCs w:val="24"/>
          <w:lang w:eastAsia="cs-CZ"/>
        </w:rPr>
        <w:t>, jakou oblast a jakým způsobem</w:t>
      </w:r>
      <w:r w:rsidR="00DE68D2">
        <w:rPr>
          <w:rFonts w:cs="Arial"/>
          <w:bCs/>
          <w:sz w:val="24"/>
          <w:szCs w:val="24"/>
          <w:lang w:eastAsia="cs-CZ"/>
        </w:rPr>
        <w:t xml:space="preserve"> řeší</w:t>
      </w:r>
      <w:r w:rsidR="00CE6A4C">
        <w:rPr>
          <w:rFonts w:cs="Arial"/>
          <w:bCs/>
          <w:sz w:val="24"/>
          <w:szCs w:val="24"/>
          <w:lang w:eastAsia="cs-CZ"/>
        </w:rPr>
        <w:t xml:space="preserve"> a jak jsou jednotlivé dokumenty provázány</w:t>
      </w:r>
      <w:r w:rsidR="00DE68D2">
        <w:rPr>
          <w:rFonts w:cs="Arial"/>
          <w:bCs/>
          <w:sz w:val="24"/>
          <w:szCs w:val="24"/>
          <w:lang w:eastAsia="cs-CZ"/>
        </w:rPr>
        <w:t>:</w:t>
      </w:r>
    </w:p>
    <w:p w14:paraId="742D0AEB" w14:textId="6B80B7F5" w:rsidR="00DE68D2" w:rsidRDefault="00DE68D2" w:rsidP="00DE68D2">
      <w:pPr>
        <w:pStyle w:val="Odstavecseseznamem"/>
        <w:numPr>
          <w:ilvl w:val="0"/>
          <w:numId w:val="1"/>
        </w:numPr>
        <w:spacing w:after="0"/>
        <w:ind w:left="714" w:hanging="357"/>
        <w:contextualSpacing w:val="0"/>
        <w:jc w:val="both"/>
        <w:rPr>
          <w:sz w:val="24"/>
          <w:szCs w:val="24"/>
        </w:rPr>
      </w:pPr>
      <w:r w:rsidRPr="000E6304">
        <w:rPr>
          <w:sz w:val="24"/>
          <w:szCs w:val="24"/>
        </w:rPr>
        <w:t>SUMP města</w:t>
      </w:r>
      <w:r>
        <w:rPr>
          <w:sz w:val="24"/>
          <w:szCs w:val="24"/>
        </w:rPr>
        <w:t xml:space="preserve"> je s</w:t>
      </w:r>
      <w:r w:rsidR="0040530D">
        <w:rPr>
          <w:sz w:val="24"/>
          <w:szCs w:val="24"/>
        </w:rPr>
        <w:t>vodným dokumentem řešícím problematiku mobility na katastrálním území statutárního města</w:t>
      </w:r>
      <w:r w:rsidR="00EB2B5E">
        <w:rPr>
          <w:sz w:val="24"/>
          <w:szCs w:val="24"/>
        </w:rPr>
        <w:t xml:space="preserve"> se zohledněním dojížďky do města. Nejedná se o dopravní generel města, zabývá se</w:t>
      </w:r>
      <w:r w:rsidR="00766B9B">
        <w:rPr>
          <w:sz w:val="24"/>
          <w:szCs w:val="24"/>
        </w:rPr>
        <w:t xml:space="preserve"> opatřeními</w:t>
      </w:r>
      <w:r w:rsidR="00624691">
        <w:rPr>
          <w:sz w:val="24"/>
          <w:szCs w:val="24"/>
        </w:rPr>
        <w:t xml:space="preserve"> na ovlivňování poptávky po mobilitě, na multimodální řešení,</w:t>
      </w:r>
      <w:r w:rsidR="00435460">
        <w:rPr>
          <w:sz w:val="24"/>
          <w:szCs w:val="24"/>
        </w:rPr>
        <w:t xml:space="preserve"> jakož i na využití a humanizaci veřejného prostoru.</w:t>
      </w:r>
    </w:p>
    <w:p w14:paraId="7F08C81D" w14:textId="6AB6FBAE" w:rsidR="00DE68D2" w:rsidRDefault="00DE68D2" w:rsidP="00DE68D2">
      <w:pPr>
        <w:pStyle w:val="Odstavecseseznamem"/>
        <w:numPr>
          <w:ilvl w:val="0"/>
          <w:numId w:val="1"/>
        </w:numPr>
        <w:spacing w:after="0"/>
        <w:ind w:left="714" w:hanging="357"/>
        <w:contextualSpacing w:val="0"/>
        <w:jc w:val="both"/>
        <w:rPr>
          <w:sz w:val="24"/>
          <w:szCs w:val="24"/>
        </w:rPr>
      </w:pPr>
      <w:r>
        <w:rPr>
          <w:sz w:val="24"/>
          <w:szCs w:val="24"/>
        </w:rPr>
        <w:t>PDO města</w:t>
      </w:r>
      <w:r w:rsidR="00435460">
        <w:rPr>
          <w:sz w:val="24"/>
          <w:szCs w:val="24"/>
        </w:rPr>
        <w:t xml:space="preserve"> řeší do podrobností systém městské hromadné dopravy, jejího rozvoje, linkového vedení</w:t>
      </w:r>
      <w:r w:rsidR="00182D00">
        <w:rPr>
          <w:sz w:val="24"/>
          <w:szCs w:val="24"/>
        </w:rPr>
        <w:t>, financování provozu a návrhy výhledových potřeb</w:t>
      </w:r>
      <w:r w:rsidR="005E6CA6">
        <w:rPr>
          <w:sz w:val="24"/>
          <w:szCs w:val="24"/>
        </w:rPr>
        <w:t>.</w:t>
      </w:r>
    </w:p>
    <w:p w14:paraId="0EF1FA99" w14:textId="36664D50" w:rsidR="00DE68D2" w:rsidRDefault="00DE68D2" w:rsidP="00DE68D2">
      <w:pPr>
        <w:pStyle w:val="Odstavecseseznamem"/>
        <w:numPr>
          <w:ilvl w:val="0"/>
          <w:numId w:val="1"/>
        </w:numPr>
        <w:spacing w:after="0"/>
        <w:ind w:left="714" w:hanging="357"/>
        <w:contextualSpacing w:val="0"/>
        <w:jc w:val="both"/>
        <w:rPr>
          <w:sz w:val="24"/>
          <w:szCs w:val="24"/>
        </w:rPr>
      </w:pPr>
      <w:r>
        <w:rPr>
          <w:sz w:val="24"/>
          <w:szCs w:val="24"/>
        </w:rPr>
        <w:t>PDO kraje</w:t>
      </w:r>
      <w:r w:rsidR="005E6CA6">
        <w:rPr>
          <w:sz w:val="24"/>
          <w:szCs w:val="24"/>
        </w:rPr>
        <w:t xml:space="preserve"> řeší do podrobností systém veřejné hromadné dopravy, jejího rozvoje, linkového vedení, financování provozu a návrhy výhledových potřeb</w:t>
      </w:r>
      <w:r w:rsidR="00811C0B">
        <w:rPr>
          <w:sz w:val="24"/>
          <w:szCs w:val="24"/>
        </w:rPr>
        <w:t xml:space="preserve"> včetně návrhů přestupních terminálů na území kraje</w:t>
      </w:r>
      <w:r w:rsidR="005E6CA6">
        <w:rPr>
          <w:sz w:val="24"/>
          <w:szCs w:val="24"/>
        </w:rPr>
        <w:t>.</w:t>
      </w:r>
    </w:p>
    <w:p w14:paraId="74276F02" w14:textId="079922AD" w:rsidR="00DE68D2" w:rsidRDefault="00DE68D2" w:rsidP="00DE68D2">
      <w:pPr>
        <w:pStyle w:val="Odstavecseseznamem"/>
        <w:numPr>
          <w:ilvl w:val="0"/>
          <w:numId w:val="1"/>
        </w:numPr>
        <w:spacing w:after="0"/>
        <w:ind w:left="714" w:hanging="357"/>
        <w:contextualSpacing w:val="0"/>
        <w:jc w:val="both"/>
        <w:rPr>
          <w:sz w:val="24"/>
          <w:szCs w:val="24"/>
        </w:rPr>
      </w:pPr>
      <w:r>
        <w:rPr>
          <w:sz w:val="24"/>
          <w:szCs w:val="24"/>
        </w:rPr>
        <w:t>IDS kraje</w:t>
      </w:r>
      <w:r w:rsidR="00811C0B">
        <w:rPr>
          <w:sz w:val="24"/>
          <w:szCs w:val="24"/>
        </w:rPr>
        <w:t xml:space="preserve"> zajišťuje provázání</w:t>
      </w:r>
      <w:r w:rsidR="00CE40F4">
        <w:rPr>
          <w:sz w:val="24"/>
          <w:szCs w:val="24"/>
        </w:rPr>
        <w:t xml:space="preserve"> jednotlivých systémů veřejné hromadné dopravy na území statutárních měst a kraje</w:t>
      </w:r>
      <w:r w:rsidR="00895D32">
        <w:rPr>
          <w:sz w:val="24"/>
          <w:szCs w:val="24"/>
        </w:rPr>
        <w:t xml:space="preserve"> z hlediska integrace tarifů a jízdních řádů.</w:t>
      </w:r>
    </w:p>
    <w:p w14:paraId="27DA9F1B" w14:textId="3A45631E" w:rsidR="00DE68D2" w:rsidRDefault="00DE68D2" w:rsidP="00DE68D2">
      <w:pPr>
        <w:pStyle w:val="Odstavecseseznamem"/>
        <w:numPr>
          <w:ilvl w:val="0"/>
          <w:numId w:val="1"/>
        </w:numPr>
        <w:spacing w:after="0"/>
        <w:ind w:left="714" w:hanging="357"/>
        <w:contextualSpacing w:val="0"/>
        <w:jc w:val="both"/>
        <w:rPr>
          <w:sz w:val="24"/>
          <w:szCs w:val="24"/>
        </w:rPr>
      </w:pPr>
      <w:r>
        <w:rPr>
          <w:sz w:val="24"/>
          <w:szCs w:val="24"/>
        </w:rPr>
        <w:t>Infrastrukturní plán kraje</w:t>
      </w:r>
      <w:r w:rsidR="00306643">
        <w:rPr>
          <w:sz w:val="24"/>
          <w:szCs w:val="24"/>
        </w:rPr>
        <w:t xml:space="preserve"> je zaměřen na financování, údržbu a rozvoj infrastruktury ve vlastnictví kraje</w:t>
      </w:r>
      <w:r w:rsidR="002B4A3D">
        <w:rPr>
          <w:sz w:val="24"/>
          <w:szCs w:val="24"/>
        </w:rPr>
        <w:t>.</w:t>
      </w:r>
      <w:r w:rsidR="00306643">
        <w:rPr>
          <w:sz w:val="24"/>
          <w:szCs w:val="24"/>
        </w:rPr>
        <w:t xml:space="preserve"> </w:t>
      </w:r>
    </w:p>
    <w:p w14:paraId="0916A08F" w14:textId="368A30D7" w:rsidR="00DE68D2" w:rsidRDefault="00DE68D2" w:rsidP="00DE68D2">
      <w:pPr>
        <w:pStyle w:val="Odstavecseseznamem"/>
        <w:numPr>
          <w:ilvl w:val="0"/>
          <w:numId w:val="1"/>
        </w:numPr>
        <w:spacing w:after="0"/>
        <w:ind w:left="714" w:hanging="357"/>
        <w:contextualSpacing w:val="0"/>
        <w:jc w:val="both"/>
        <w:rPr>
          <w:sz w:val="24"/>
          <w:szCs w:val="24"/>
        </w:rPr>
      </w:pPr>
      <w:r w:rsidRPr="00637B14">
        <w:rPr>
          <w:bCs/>
          <w:sz w:val="24"/>
          <w:szCs w:val="24"/>
        </w:rPr>
        <w:t>Plány rozvoje cyklistické infrastruktury</w:t>
      </w:r>
      <w:r w:rsidR="002B4A3D">
        <w:rPr>
          <w:bCs/>
          <w:sz w:val="24"/>
          <w:szCs w:val="24"/>
        </w:rPr>
        <w:t xml:space="preserve"> na úrovni města a na území kraje (páteřní síť krajských cyklostezek </w:t>
      </w:r>
      <w:r w:rsidR="00052AB4">
        <w:rPr>
          <w:bCs/>
          <w:sz w:val="24"/>
          <w:szCs w:val="24"/>
        </w:rPr>
        <w:t>a jejich koordinace krajskými cyklo koordinátory).</w:t>
      </w:r>
    </w:p>
    <w:p w14:paraId="7512DEA8" w14:textId="62CA572D" w:rsidR="00DE68D2" w:rsidRPr="00C730FD" w:rsidRDefault="00DE68D2" w:rsidP="00052AB4">
      <w:pPr>
        <w:pStyle w:val="Odstavecseseznamem"/>
        <w:numPr>
          <w:ilvl w:val="0"/>
          <w:numId w:val="1"/>
        </w:numPr>
        <w:spacing w:after="0"/>
        <w:ind w:left="714" w:hanging="357"/>
        <w:contextualSpacing w:val="0"/>
        <w:jc w:val="both"/>
        <w:rPr>
          <w:rFonts w:cs="Arial"/>
          <w:bCs/>
          <w:sz w:val="24"/>
          <w:szCs w:val="24"/>
          <w:lang w:eastAsia="cs-CZ"/>
        </w:rPr>
      </w:pPr>
      <w:r>
        <w:rPr>
          <w:sz w:val="24"/>
          <w:szCs w:val="24"/>
        </w:rPr>
        <w:t xml:space="preserve">Dopravní </w:t>
      </w:r>
      <w:r w:rsidRPr="00052AB4">
        <w:rPr>
          <w:bCs/>
          <w:sz w:val="24"/>
          <w:szCs w:val="24"/>
        </w:rPr>
        <w:t>sektorové</w:t>
      </w:r>
      <w:r>
        <w:rPr>
          <w:sz w:val="24"/>
          <w:szCs w:val="24"/>
        </w:rPr>
        <w:t xml:space="preserve"> strategie, 3. fáze</w:t>
      </w:r>
      <w:r w:rsidR="00CC4B8C">
        <w:rPr>
          <w:sz w:val="24"/>
          <w:szCs w:val="24"/>
        </w:rPr>
        <w:t xml:space="preserve"> – infrastrukturní plán státu</w:t>
      </w:r>
    </w:p>
    <w:p w14:paraId="4BEEFDC6" w14:textId="3B191592" w:rsidR="00C730FD" w:rsidRDefault="00C730FD" w:rsidP="00052AB4">
      <w:pPr>
        <w:pStyle w:val="Odstavecseseznamem"/>
        <w:numPr>
          <w:ilvl w:val="0"/>
          <w:numId w:val="1"/>
        </w:numPr>
        <w:spacing w:after="0"/>
        <w:ind w:left="714" w:hanging="357"/>
        <w:contextualSpacing w:val="0"/>
        <w:jc w:val="both"/>
        <w:rPr>
          <w:rFonts w:cs="Arial"/>
          <w:bCs/>
          <w:sz w:val="24"/>
          <w:szCs w:val="24"/>
          <w:lang w:eastAsia="cs-CZ"/>
        </w:rPr>
      </w:pPr>
      <w:r>
        <w:rPr>
          <w:sz w:val="24"/>
          <w:szCs w:val="24"/>
        </w:rPr>
        <w:t>PDO státu – dokument definující systém linek dálkové železniční dopravy</w:t>
      </w:r>
      <w:r w:rsidR="00517BBD">
        <w:rPr>
          <w:sz w:val="24"/>
          <w:szCs w:val="24"/>
        </w:rPr>
        <w:t xml:space="preserve"> zajišťovaných národní úrovní.</w:t>
      </w:r>
    </w:p>
    <w:p w14:paraId="0BB76406" w14:textId="7CDAC414" w:rsidR="00D7015E" w:rsidRDefault="00D7015E" w:rsidP="00CC4B8C">
      <w:pPr>
        <w:spacing w:before="160"/>
        <w:jc w:val="both"/>
        <w:rPr>
          <w:rFonts w:cs="Arial"/>
          <w:bCs/>
          <w:sz w:val="24"/>
          <w:szCs w:val="24"/>
          <w:lang w:eastAsia="cs-CZ"/>
        </w:rPr>
      </w:pPr>
      <w:r>
        <w:rPr>
          <w:rFonts w:cs="Arial"/>
          <w:bCs/>
          <w:sz w:val="24"/>
          <w:szCs w:val="24"/>
          <w:lang w:eastAsia="cs-CZ"/>
        </w:rPr>
        <w:t xml:space="preserve">Tento dokument bude schválen zastupitelstvy </w:t>
      </w:r>
      <w:r w:rsidR="00535EEB">
        <w:rPr>
          <w:rFonts w:cs="Arial"/>
          <w:bCs/>
          <w:sz w:val="24"/>
          <w:szCs w:val="24"/>
          <w:lang w:eastAsia="cs-CZ"/>
        </w:rPr>
        <w:t>příslušných krajů a statutárních měst na území kraje</w:t>
      </w:r>
      <w:r w:rsidR="00A33C89">
        <w:rPr>
          <w:rFonts w:cs="Arial"/>
          <w:bCs/>
          <w:sz w:val="24"/>
          <w:szCs w:val="24"/>
          <w:lang w:eastAsia="cs-CZ"/>
        </w:rPr>
        <w:t>.</w:t>
      </w:r>
    </w:p>
    <w:p w14:paraId="33C4EC56" w14:textId="2851EE40" w:rsidR="0052790C" w:rsidRPr="003967DA" w:rsidRDefault="0052790C" w:rsidP="00CC4B8C">
      <w:pPr>
        <w:spacing w:before="160"/>
        <w:jc w:val="both"/>
        <w:rPr>
          <w:rFonts w:cs="Arial"/>
          <w:bCs/>
          <w:sz w:val="24"/>
          <w:szCs w:val="24"/>
          <w:lang w:eastAsia="cs-CZ"/>
        </w:rPr>
      </w:pPr>
      <w:r w:rsidRPr="003967DA">
        <w:rPr>
          <w:rFonts w:cs="Arial"/>
          <w:bCs/>
          <w:sz w:val="24"/>
          <w:szCs w:val="24"/>
          <w:lang w:eastAsia="cs-CZ"/>
        </w:rPr>
        <w:t xml:space="preserve">Jedná se o minimální řešení, kterým bude doloženo splnění požadavků definovaných v nařízení o TEN-T. </w:t>
      </w:r>
      <w:r w:rsidR="003967DA">
        <w:rPr>
          <w:rFonts w:cs="Arial"/>
          <w:bCs/>
          <w:sz w:val="24"/>
          <w:szCs w:val="24"/>
          <w:lang w:eastAsia="cs-CZ"/>
        </w:rPr>
        <w:t>Město ve spolupráci s krajem může realizovat i</w:t>
      </w:r>
      <w:r w:rsidR="001E172E">
        <w:rPr>
          <w:rFonts w:cs="Arial"/>
          <w:bCs/>
          <w:sz w:val="24"/>
          <w:szCs w:val="24"/>
          <w:lang w:eastAsia="cs-CZ"/>
        </w:rPr>
        <w:t xml:space="preserve"> jiné řešení nad rámec navrženého řešení</w:t>
      </w:r>
      <w:r w:rsidR="007A117B">
        <w:rPr>
          <w:rFonts w:cs="Arial"/>
          <w:bCs/>
          <w:sz w:val="24"/>
          <w:szCs w:val="24"/>
          <w:lang w:eastAsia="cs-CZ"/>
        </w:rPr>
        <w:t xml:space="preserve"> (např. tvorba </w:t>
      </w:r>
      <w:r w:rsidR="006366BC">
        <w:rPr>
          <w:rFonts w:cs="Arial"/>
          <w:bCs/>
          <w:sz w:val="24"/>
          <w:szCs w:val="24"/>
          <w:lang w:eastAsia="cs-CZ"/>
        </w:rPr>
        <w:t xml:space="preserve">komplexního </w:t>
      </w:r>
      <w:r w:rsidR="007A117B">
        <w:rPr>
          <w:rFonts w:cs="Arial"/>
          <w:bCs/>
          <w:sz w:val="24"/>
          <w:szCs w:val="24"/>
          <w:lang w:eastAsia="cs-CZ"/>
        </w:rPr>
        <w:t>SUMP pro FUA</w:t>
      </w:r>
      <w:r w:rsidR="004F4E1B">
        <w:rPr>
          <w:rFonts w:cs="Arial"/>
          <w:bCs/>
          <w:sz w:val="24"/>
          <w:szCs w:val="24"/>
          <w:lang w:eastAsia="cs-CZ"/>
        </w:rPr>
        <w:t>)</w:t>
      </w:r>
      <w:r w:rsidR="008E78F6">
        <w:rPr>
          <w:rFonts w:cs="Arial"/>
          <w:bCs/>
          <w:sz w:val="24"/>
          <w:szCs w:val="24"/>
          <w:lang w:eastAsia="cs-CZ"/>
        </w:rPr>
        <w:t>.</w:t>
      </w:r>
    </w:p>
    <w:p w14:paraId="7156475A" w14:textId="31B89451" w:rsidR="00F0749F" w:rsidRPr="00ED7AD3" w:rsidRDefault="00DF61FA" w:rsidP="00ED7AD3">
      <w:pPr>
        <w:pStyle w:val="Nadpis3"/>
      </w:pPr>
      <w:bookmarkStart w:id="7" w:name="_Toc223424920"/>
      <w:r>
        <w:t xml:space="preserve">Ukazatelé </w:t>
      </w:r>
      <w:r w:rsidR="002751D5">
        <w:t xml:space="preserve">udržitelné městské mobility </w:t>
      </w:r>
      <w:r>
        <w:t>(SUM</w:t>
      </w:r>
      <w:r w:rsidR="006448BA">
        <w:t>I</w:t>
      </w:r>
      <w:r>
        <w:t>)</w:t>
      </w:r>
      <w:bookmarkEnd w:id="7"/>
    </w:p>
    <w:p w14:paraId="379F32E9" w14:textId="77777777" w:rsidR="00066F0B" w:rsidRPr="00935C69" w:rsidRDefault="00066F0B" w:rsidP="00066F0B">
      <w:pPr>
        <w:jc w:val="both"/>
        <w:rPr>
          <w:rFonts w:eastAsia="Times New Roman" w:cs="Arial"/>
          <w:bCs/>
          <w:sz w:val="24"/>
          <w:szCs w:val="24"/>
          <w:lang w:eastAsia="cs-CZ"/>
        </w:rPr>
      </w:pPr>
      <w:r w:rsidRPr="00935C69">
        <w:rPr>
          <w:rFonts w:cs="Arial"/>
          <w:bCs/>
          <w:sz w:val="24"/>
          <w:szCs w:val="24"/>
          <w:lang w:eastAsia="cs-CZ"/>
        </w:rPr>
        <w:t>Pojem funkční městské oblasti (</w:t>
      </w:r>
      <w:proofErr w:type="spellStart"/>
      <w:r w:rsidRPr="00935C69">
        <w:rPr>
          <w:rFonts w:cs="Arial"/>
          <w:bCs/>
          <w:sz w:val="24"/>
          <w:szCs w:val="24"/>
          <w:lang w:eastAsia="cs-CZ"/>
        </w:rPr>
        <w:t>Functional</w:t>
      </w:r>
      <w:proofErr w:type="spellEnd"/>
      <w:r w:rsidRPr="00935C69">
        <w:rPr>
          <w:rFonts w:cs="Arial"/>
          <w:bCs/>
          <w:sz w:val="24"/>
          <w:szCs w:val="24"/>
          <w:lang w:eastAsia="cs-CZ"/>
        </w:rPr>
        <w:t xml:space="preserve"> Urban Area – FUA) byl jako termín platně definován v období implementace </w:t>
      </w:r>
      <w:r w:rsidRPr="00935C69">
        <w:rPr>
          <w:bCs/>
          <w:sz w:val="24"/>
          <w:szCs w:val="24"/>
        </w:rPr>
        <w:t>nařízení</w:t>
      </w:r>
      <w:r w:rsidRPr="00935C69">
        <w:rPr>
          <w:rFonts w:cs="Arial"/>
          <w:bCs/>
          <w:sz w:val="24"/>
          <w:szCs w:val="24"/>
          <w:lang w:eastAsia="cs-CZ"/>
        </w:rPr>
        <w:t xml:space="preserve"> TEN-T 1315/2013 na základě společného konsensu OECD a Statistického úřadu Evropské komise (</w:t>
      </w:r>
      <w:proofErr w:type="spellStart"/>
      <w:r w:rsidRPr="00935C69">
        <w:rPr>
          <w:rFonts w:cs="Arial"/>
          <w:bCs/>
          <w:sz w:val="24"/>
          <w:szCs w:val="24"/>
          <w:lang w:eastAsia="cs-CZ"/>
        </w:rPr>
        <w:t>Eurostatu</w:t>
      </w:r>
      <w:proofErr w:type="spellEnd"/>
      <w:r w:rsidRPr="00935C69">
        <w:rPr>
          <w:rFonts w:cs="Arial"/>
          <w:bCs/>
          <w:sz w:val="24"/>
          <w:szCs w:val="24"/>
          <w:lang w:eastAsia="cs-CZ"/>
        </w:rPr>
        <w:t>)</w:t>
      </w:r>
      <w:r w:rsidRPr="00935C69">
        <w:rPr>
          <w:rFonts w:eastAsia="Times New Roman" w:cs="Arial"/>
          <w:bCs/>
          <w:sz w:val="24"/>
          <w:szCs w:val="24"/>
          <w:lang w:eastAsia="cs-CZ"/>
        </w:rPr>
        <w:t xml:space="preserve"> pro označení městského území, které zahrnuje nejen samotné město, ale i jeho zázemí, které je s ním funkčně propojené – zejména prostřednictvím dojížďky za prací.</w:t>
      </w:r>
    </w:p>
    <w:p w14:paraId="12941294" w14:textId="77777777" w:rsidR="00066F0B" w:rsidRPr="00935C69" w:rsidRDefault="00066F0B" w:rsidP="00066F0B">
      <w:pPr>
        <w:jc w:val="both"/>
        <w:rPr>
          <w:rFonts w:cs="Arial"/>
          <w:bCs/>
          <w:sz w:val="24"/>
          <w:szCs w:val="24"/>
          <w:lang w:eastAsia="cs-CZ"/>
        </w:rPr>
      </w:pPr>
      <w:r w:rsidRPr="00935C69">
        <w:rPr>
          <w:rFonts w:cs="Arial"/>
          <w:bCs/>
          <w:sz w:val="24"/>
          <w:szCs w:val="24"/>
          <w:lang w:eastAsia="cs-CZ"/>
        </w:rPr>
        <w:t>V souvislosti s tím došlo i ke konkretizaci SUMP – bylo stanoveno, že SUMP musí sledovat obecný cíl zlepšování dostupnosti a zajištění vysoce kvalitní a udržitelné mobility pro celou funkční městskou oblast.</w:t>
      </w:r>
    </w:p>
    <w:p w14:paraId="7A88B19F" w14:textId="77777777" w:rsidR="00066F0B" w:rsidRPr="00935C69" w:rsidRDefault="00066F0B" w:rsidP="00066F0B">
      <w:pPr>
        <w:spacing w:after="0" w:line="240" w:lineRule="auto"/>
        <w:jc w:val="both"/>
        <w:rPr>
          <w:rFonts w:eastAsia="Times New Roman" w:cs="Arial"/>
          <w:bCs/>
          <w:sz w:val="24"/>
          <w:szCs w:val="24"/>
          <w:lang w:eastAsia="cs-CZ"/>
        </w:rPr>
      </w:pPr>
      <w:r w:rsidRPr="00935C69">
        <w:rPr>
          <w:rFonts w:eastAsia="Times New Roman" w:cs="Arial"/>
          <w:bCs/>
          <w:sz w:val="24"/>
          <w:szCs w:val="24"/>
          <w:lang w:eastAsia="cs-CZ"/>
        </w:rPr>
        <w:lastRenderedPageBreak/>
        <w:t>Definice podle OECD:</w:t>
      </w:r>
    </w:p>
    <w:p w14:paraId="69132276" w14:textId="77777777" w:rsidR="00066F0B" w:rsidRPr="00935C69" w:rsidRDefault="00066F0B" w:rsidP="00066F0B">
      <w:pPr>
        <w:spacing w:before="60"/>
        <w:jc w:val="both"/>
        <w:rPr>
          <w:rFonts w:cs="Arial"/>
          <w:bCs/>
          <w:sz w:val="24"/>
          <w:szCs w:val="24"/>
          <w:lang w:eastAsia="cs-CZ"/>
        </w:rPr>
      </w:pPr>
      <w:r w:rsidRPr="00935C69">
        <w:rPr>
          <w:rFonts w:cs="Arial"/>
          <w:bCs/>
          <w:sz w:val="24"/>
          <w:szCs w:val="24"/>
          <w:lang w:eastAsia="cs-CZ"/>
        </w:rPr>
        <w:t xml:space="preserve">Definice se zakládala na </w:t>
      </w:r>
      <w:r w:rsidRPr="00935C69">
        <w:rPr>
          <w:rFonts w:cs="Arial"/>
          <w:bCs/>
          <w:i/>
          <w:sz w:val="24"/>
          <w:szCs w:val="24"/>
          <w:lang w:eastAsia="cs-CZ"/>
        </w:rPr>
        <w:t>hustotě obyvatelstva pro identifikaci městských center a na dojíždění do práce pro identifikaci zázemí, jejichž trh práce je s centry vysoce spojen.</w:t>
      </w:r>
      <w:r w:rsidRPr="00935C69">
        <w:rPr>
          <w:rFonts w:cs="Arial"/>
          <w:bCs/>
          <w:sz w:val="24"/>
          <w:szCs w:val="24"/>
          <w:lang w:eastAsia="cs-CZ"/>
        </w:rPr>
        <w:t xml:space="preserve"> </w:t>
      </w:r>
    </w:p>
    <w:p w14:paraId="7DC9CF0A" w14:textId="1F0BBF15" w:rsidR="00066F0B" w:rsidRPr="00935C69" w:rsidRDefault="00066F0B" w:rsidP="00066F0B">
      <w:pPr>
        <w:spacing w:after="0" w:line="240" w:lineRule="auto"/>
        <w:jc w:val="both"/>
        <w:rPr>
          <w:rFonts w:eastAsia="Times New Roman" w:cs="Arial"/>
          <w:sz w:val="24"/>
          <w:szCs w:val="24"/>
          <w:lang w:eastAsia="cs-CZ"/>
        </w:rPr>
      </w:pPr>
      <w:r w:rsidRPr="00935C69">
        <w:rPr>
          <w:rFonts w:eastAsia="Times New Roman" w:cs="Arial"/>
          <w:bCs/>
          <w:sz w:val="24"/>
          <w:szCs w:val="24"/>
          <w:lang w:eastAsia="cs-CZ"/>
        </w:rPr>
        <w:t>Funkční městskou oblastí (FUA) se rozumí „</w:t>
      </w:r>
      <w:r w:rsidRPr="00935C69">
        <w:rPr>
          <w:rFonts w:eastAsia="Times New Roman" w:cs="Arial"/>
          <w:bCs/>
          <w:i/>
          <w:iCs/>
          <w:sz w:val="24"/>
          <w:szCs w:val="24"/>
          <w:lang w:eastAsia="cs-CZ"/>
        </w:rPr>
        <w:t>Geografická oblast definovaná na základě hustoty osídlení a vzorců dojížďky za prací. Zahrnuje městské jádro (</w:t>
      </w:r>
      <w:proofErr w:type="spellStart"/>
      <w:r w:rsidRPr="00935C69">
        <w:rPr>
          <w:rFonts w:eastAsia="Times New Roman" w:cs="Arial"/>
          <w:bCs/>
          <w:i/>
          <w:iCs/>
          <w:sz w:val="24"/>
          <w:szCs w:val="24"/>
          <w:lang w:eastAsia="cs-CZ"/>
        </w:rPr>
        <w:t>urban</w:t>
      </w:r>
      <w:proofErr w:type="spellEnd"/>
      <w:r w:rsidRPr="00066F0B">
        <w:rPr>
          <w:rFonts w:eastAsia="Times New Roman" w:cs="Arial"/>
          <w:b/>
          <w:bCs/>
          <w:i/>
          <w:iCs/>
          <w:sz w:val="24"/>
          <w:szCs w:val="24"/>
          <w:lang w:eastAsia="cs-CZ"/>
        </w:rPr>
        <w:t xml:space="preserve"> </w:t>
      </w:r>
      <w:proofErr w:type="spellStart"/>
      <w:r w:rsidRPr="00935C69">
        <w:rPr>
          <w:rFonts w:eastAsia="Times New Roman" w:cs="Arial"/>
          <w:i/>
          <w:iCs/>
          <w:sz w:val="24"/>
          <w:szCs w:val="24"/>
          <w:lang w:eastAsia="cs-CZ"/>
        </w:rPr>
        <w:t>core</w:t>
      </w:r>
      <w:proofErr w:type="spellEnd"/>
      <w:r w:rsidRPr="00935C69">
        <w:rPr>
          <w:rFonts w:eastAsia="Times New Roman" w:cs="Arial"/>
          <w:i/>
          <w:iCs/>
          <w:sz w:val="24"/>
          <w:szCs w:val="24"/>
          <w:lang w:eastAsia="cs-CZ"/>
        </w:rPr>
        <w:t>) a jeho okolí (</w:t>
      </w:r>
      <w:proofErr w:type="spellStart"/>
      <w:r w:rsidRPr="00935C69">
        <w:rPr>
          <w:rFonts w:eastAsia="Times New Roman" w:cs="Arial"/>
          <w:i/>
          <w:iCs/>
          <w:sz w:val="24"/>
          <w:szCs w:val="24"/>
          <w:lang w:eastAsia="cs-CZ"/>
        </w:rPr>
        <w:t>hinterland</w:t>
      </w:r>
      <w:proofErr w:type="spellEnd"/>
      <w:r w:rsidRPr="00935C69">
        <w:rPr>
          <w:rFonts w:eastAsia="Times New Roman" w:cs="Arial"/>
          <w:i/>
          <w:iCs/>
          <w:sz w:val="24"/>
          <w:szCs w:val="24"/>
          <w:lang w:eastAsia="cs-CZ"/>
        </w:rPr>
        <w:t>), které je s tímto jádrem ekonomicky a funkčně propojeno.</w:t>
      </w:r>
      <w:r w:rsidRPr="00935C69">
        <w:rPr>
          <w:rFonts w:eastAsia="Times New Roman" w:cs="Arial"/>
          <w:sz w:val="24"/>
          <w:szCs w:val="24"/>
          <w:lang w:eastAsia="cs-CZ"/>
        </w:rPr>
        <w:t>“</w:t>
      </w:r>
    </w:p>
    <w:p w14:paraId="4218A041" w14:textId="77777777" w:rsidR="00066F0B" w:rsidRPr="00066F0B" w:rsidRDefault="00066F0B" w:rsidP="00066F0B">
      <w:pPr>
        <w:spacing w:after="0" w:line="240" w:lineRule="auto"/>
        <w:jc w:val="both"/>
        <w:rPr>
          <w:rFonts w:eastAsia="Times New Roman" w:cs="Arial"/>
          <w:sz w:val="24"/>
          <w:szCs w:val="24"/>
          <w:lang w:eastAsia="cs-CZ"/>
        </w:rPr>
      </w:pPr>
    </w:p>
    <w:p w14:paraId="45C8AD90" w14:textId="77777777" w:rsidR="00066F0B" w:rsidRPr="00066F0B" w:rsidRDefault="00066F0B" w:rsidP="00066F0B">
      <w:pPr>
        <w:spacing w:after="0" w:line="240" w:lineRule="auto"/>
        <w:jc w:val="both"/>
        <w:rPr>
          <w:rFonts w:eastAsia="Times New Roman" w:cs="Arial"/>
          <w:sz w:val="24"/>
          <w:szCs w:val="24"/>
          <w:lang w:eastAsia="cs-CZ"/>
        </w:rPr>
      </w:pPr>
      <w:r w:rsidRPr="00066F0B">
        <w:rPr>
          <w:rFonts w:eastAsia="Times New Roman" w:cs="Arial"/>
          <w:b/>
          <w:bCs/>
          <w:sz w:val="24"/>
          <w:szCs w:val="24"/>
          <w:lang w:eastAsia="cs-CZ"/>
        </w:rPr>
        <w:t>Složky FUA:</w:t>
      </w:r>
    </w:p>
    <w:p w14:paraId="3EB73FE2" w14:textId="53E5C08C" w:rsidR="00066F0B" w:rsidRPr="00935C69" w:rsidRDefault="00066F0B" w:rsidP="00066F0B">
      <w:pPr>
        <w:numPr>
          <w:ilvl w:val="0"/>
          <w:numId w:val="17"/>
        </w:numPr>
        <w:tabs>
          <w:tab w:val="clear" w:pos="360"/>
          <w:tab w:val="num" w:pos="720"/>
        </w:tabs>
        <w:spacing w:before="120" w:after="0" w:line="240" w:lineRule="auto"/>
        <w:ind w:left="357" w:hanging="357"/>
        <w:jc w:val="both"/>
        <w:rPr>
          <w:rFonts w:eastAsia="Times New Roman" w:cs="Arial"/>
          <w:sz w:val="24"/>
          <w:szCs w:val="24"/>
          <w:lang w:eastAsia="cs-CZ"/>
        </w:rPr>
      </w:pPr>
      <w:r w:rsidRPr="00935C69">
        <w:rPr>
          <w:rFonts w:eastAsia="Times New Roman" w:cs="Arial"/>
          <w:sz w:val="24"/>
          <w:szCs w:val="24"/>
          <w:lang w:eastAsia="cs-CZ"/>
        </w:rPr>
        <w:t xml:space="preserve">Urban </w:t>
      </w:r>
      <w:proofErr w:type="spellStart"/>
      <w:r w:rsidRPr="00935C69">
        <w:rPr>
          <w:rFonts w:eastAsia="Times New Roman" w:cs="Arial"/>
          <w:sz w:val="24"/>
          <w:szCs w:val="24"/>
          <w:lang w:eastAsia="cs-CZ"/>
        </w:rPr>
        <w:t>core</w:t>
      </w:r>
      <w:proofErr w:type="spellEnd"/>
      <w:r w:rsidRPr="00935C69">
        <w:rPr>
          <w:rFonts w:eastAsia="Times New Roman" w:cs="Arial"/>
          <w:sz w:val="24"/>
          <w:szCs w:val="24"/>
          <w:lang w:eastAsia="cs-CZ"/>
        </w:rPr>
        <w:t xml:space="preserve"> (městské jádro): Oblasti s vysokou hustotou obyvatelstva – obvykle nad 1</w:t>
      </w:r>
      <w:r w:rsidR="008254E5">
        <w:rPr>
          <w:rFonts w:eastAsia="Times New Roman" w:cs="Arial"/>
          <w:sz w:val="24"/>
          <w:szCs w:val="24"/>
          <w:lang w:eastAsia="cs-CZ"/>
        </w:rPr>
        <w:t> </w:t>
      </w:r>
      <w:r w:rsidRPr="00935C69">
        <w:rPr>
          <w:rFonts w:eastAsia="Times New Roman" w:cs="Arial"/>
          <w:sz w:val="24"/>
          <w:szCs w:val="24"/>
          <w:lang w:eastAsia="cs-CZ"/>
        </w:rPr>
        <w:t>500 obyvatel na km², s minimální populací 50 000 lidí v EU/OECD (hranice se může lišit podle země).</w:t>
      </w:r>
    </w:p>
    <w:p w14:paraId="171AA163" w14:textId="77777777" w:rsidR="00066F0B" w:rsidRPr="00935C69" w:rsidRDefault="00066F0B" w:rsidP="00066F0B">
      <w:pPr>
        <w:spacing w:after="0" w:line="240" w:lineRule="auto"/>
        <w:ind w:left="360"/>
        <w:jc w:val="both"/>
        <w:rPr>
          <w:rFonts w:eastAsia="Times New Roman" w:cs="Arial"/>
          <w:sz w:val="24"/>
          <w:szCs w:val="24"/>
          <w:lang w:eastAsia="cs-CZ"/>
        </w:rPr>
      </w:pPr>
    </w:p>
    <w:p w14:paraId="73AE1619" w14:textId="6929F33F" w:rsidR="00066F0B" w:rsidRPr="00935C69" w:rsidRDefault="00066F0B" w:rsidP="00066F0B">
      <w:pPr>
        <w:numPr>
          <w:ilvl w:val="0"/>
          <w:numId w:val="17"/>
        </w:numPr>
        <w:spacing w:after="0" w:line="240" w:lineRule="auto"/>
        <w:jc w:val="both"/>
        <w:rPr>
          <w:rFonts w:eastAsia="Times New Roman" w:cs="Arial"/>
          <w:sz w:val="24"/>
          <w:szCs w:val="24"/>
          <w:lang w:eastAsia="cs-CZ"/>
        </w:rPr>
      </w:pPr>
      <w:proofErr w:type="spellStart"/>
      <w:r w:rsidRPr="00935C69">
        <w:rPr>
          <w:rFonts w:eastAsia="Times New Roman" w:cs="Arial"/>
          <w:sz w:val="24"/>
          <w:szCs w:val="24"/>
          <w:lang w:eastAsia="cs-CZ"/>
        </w:rPr>
        <w:t>Commuting</w:t>
      </w:r>
      <w:proofErr w:type="spellEnd"/>
      <w:r w:rsidRPr="00935C69">
        <w:rPr>
          <w:rFonts w:eastAsia="Times New Roman" w:cs="Arial"/>
          <w:sz w:val="24"/>
          <w:szCs w:val="24"/>
          <w:lang w:eastAsia="cs-CZ"/>
        </w:rPr>
        <w:t xml:space="preserve"> </w:t>
      </w:r>
      <w:proofErr w:type="spellStart"/>
      <w:r w:rsidRPr="00935C69">
        <w:rPr>
          <w:rFonts w:eastAsia="Times New Roman" w:cs="Arial"/>
          <w:sz w:val="24"/>
          <w:szCs w:val="24"/>
          <w:lang w:eastAsia="cs-CZ"/>
        </w:rPr>
        <w:t>zone</w:t>
      </w:r>
      <w:proofErr w:type="spellEnd"/>
      <w:r w:rsidRPr="00935C69">
        <w:rPr>
          <w:rFonts w:eastAsia="Times New Roman" w:cs="Arial"/>
          <w:sz w:val="24"/>
          <w:szCs w:val="24"/>
          <w:lang w:eastAsia="cs-CZ"/>
        </w:rPr>
        <w:t xml:space="preserve"> (zóna dojížďky / zázemí): Obce nebo oblasti, ze kterých alespoň 15</w:t>
      </w:r>
      <w:r w:rsidR="00236A35">
        <w:rPr>
          <w:rFonts w:eastAsia="Times New Roman" w:cs="Arial"/>
          <w:sz w:val="24"/>
          <w:szCs w:val="24"/>
          <w:lang w:eastAsia="cs-CZ"/>
        </w:rPr>
        <w:t> </w:t>
      </w:r>
      <w:r w:rsidRPr="00935C69">
        <w:rPr>
          <w:rFonts w:eastAsia="Times New Roman" w:cs="Arial"/>
          <w:sz w:val="24"/>
          <w:szCs w:val="24"/>
          <w:lang w:eastAsia="cs-CZ"/>
        </w:rPr>
        <w:t>% pracující populace dojíždí za prací do centra.</w:t>
      </w:r>
    </w:p>
    <w:p w14:paraId="10E154BB" w14:textId="599ED012" w:rsidR="00066F0B" w:rsidRPr="00935C69" w:rsidRDefault="00637B14" w:rsidP="00066F0B">
      <w:pPr>
        <w:spacing w:before="160"/>
        <w:jc w:val="both"/>
        <w:rPr>
          <w:rFonts w:cs="Arial"/>
          <w:sz w:val="24"/>
          <w:szCs w:val="24"/>
          <w:lang w:eastAsia="cs-CZ"/>
        </w:rPr>
      </w:pPr>
      <w:r>
        <w:rPr>
          <w:rFonts w:cs="Arial"/>
          <w:sz w:val="24"/>
          <w:szCs w:val="24"/>
          <w:lang w:eastAsia="cs-CZ"/>
        </w:rPr>
        <w:t xml:space="preserve">Sběr dat </w:t>
      </w:r>
      <w:r w:rsidRPr="00935C69">
        <w:rPr>
          <w:rFonts w:cs="Arial"/>
          <w:sz w:val="24"/>
          <w:szCs w:val="24"/>
          <w:lang w:eastAsia="cs-CZ"/>
        </w:rPr>
        <w:t xml:space="preserve">indikátorů udržitelné městské mobility (tzv. </w:t>
      </w:r>
      <w:r w:rsidRPr="00935C69">
        <w:rPr>
          <w:rFonts w:cs="Arial"/>
          <w:i/>
          <w:iCs/>
          <w:sz w:val="24"/>
          <w:szCs w:val="24"/>
          <w:lang w:eastAsia="cs-CZ"/>
        </w:rPr>
        <w:t>SUM</w:t>
      </w:r>
      <w:r w:rsidR="006448BA">
        <w:rPr>
          <w:rFonts w:cs="Arial"/>
          <w:i/>
          <w:iCs/>
          <w:sz w:val="24"/>
          <w:szCs w:val="24"/>
          <w:lang w:eastAsia="cs-CZ"/>
        </w:rPr>
        <w:t>I</w:t>
      </w:r>
      <w:r w:rsidRPr="00935C69">
        <w:rPr>
          <w:rFonts w:cs="Arial"/>
          <w:i/>
          <w:iCs/>
          <w:sz w:val="24"/>
          <w:szCs w:val="24"/>
          <w:lang w:eastAsia="cs-CZ"/>
        </w:rPr>
        <w:t xml:space="preserve"> – </w:t>
      </w:r>
      <w:proofErr w:type="spellStart"/>
      <w:r w:rsidRPr="00935C69">
        <w:rPr>
          <w:rFonts w:cs="Arial"/>
          <w:i/>
          <w:iCs/>
          <w:sz w:val="24"/>
          <w:szCs w:val="24"/>
          <w:lang w:eastAsia="cs-CZ"/>
        </w:rPr>
        <w:t>Sustainable</w:t>
      </w:r>
      <w:proofErr w:type="spellEnd"/>
      <w:r w:rsidRPr="00935C69">
        <w:rPr>
          <w:rFonts w:cs="Arial"/>
          <w:i/>
          <w:iCs/>
          <w:sz w:val="24"/>
          <w:szCs w:val="24"/>
          <w:lang w:eastAsia="cs-CZ"/>
        </w:rPr>
        <w:t xml:space="preserve"> Urban Monitoring </w:t>
      </w:r>
      <w:proofErr w:type="spellStart"/>
      <w:r w:rsidRPr="00935C69">
        <w:rPr>
          <w:rFonts w:cs="Arial"/>
          <w:i/>
          <w:iCs/>
          <w:sz w:val="24"/>
          <w:szCs w:val="24"/>
          <w:lang w:eastAsia="cs-CZ"/>
        </w:rPr>
        <w:t>Indicators</w:t>
      </w:r>
      <w:proofErr w:type="spellEnd"/>
      <w:r w:rsidRPr="00935C69">
        <w:rPr>
          <w:rFonts w:cs="Arial"/>
          <w:sz w:val="24"/>
          <w:szCs w:val="24"/>
          <w:lang w:eastAsia="cs-CZ"/>
        </w:rPr>
        <w:t>)</w:t>
      </w:r>
      <w:r>
        <w:rPr>
          <w:rFonts w:cs="Arial"/>
          <w:sz w:val="24"/>
          <w:szCs w:val="24"/>
          <w:lang w:eastAsia="cs-CZ"/>
        </w:rPr>
        <w:t xml:space="preserve"> v </w:t>
      </w:r>
      <w:r w:rsidR="00066F0B" w:rsidRPr="00935C69">
        <w:rPr>
          <w:rFonts w:cs="Arial"/>
          <w:sz w:val="24"/>
          <w:szCs w:val="24"/>
          <w:lang w:eastAsia="cs-CZ"/>
        </w:rPr>
        <w:t>souladu s přizpůsobením existující praxi a minimalizaci finanční a administrativní náročnosti sběru dat</w:t>
      </w:r>
      <w:r w:rsidR="002867F1">
        <w:rPr>
          <w:rFonts w:cs="Arial"/>
          <w:sz w:val="24"/>
          <w:szCs w:val="24"/>
          <w:lang w:eastAsia="cs-CZ"/>
        </w:rPr>
        <w:t xml:space="preserve"> bude realizováno </w:t>
      </w:r>
      <w:r w:rsidR="00066F0B" w:rsidRPr="00935C69">
        <w:rPr>
          <w:rFonts w:cs="Arial"/>
          <w:sz w:val="24"/>
          <w:szCs w:val="24"/>
          <w:lang w:eastAsia="cs-CZ"/>
        </w:rPr>
        <w:t>za každý městský uzel. Aby byla zajištěna celková konzistence v územním pokrytí</w:t>
      </w:r>
      <w:r w:rsidR="002867F1">
        <w:rPr>
          <w:rFonts w:cs="Arial"/>
          <w:sz w:val="24"/>
          <w:szCs w:val="24"/>
          <w:lang w:eastAsia="cs-CZ"/>
        </w:rPr>
        <w:t xml:space="preserve"> je stanoveno z úrovně ČR, že sběr dat pro indikátory SUM</w:t>
      </w:r>
      <w:r w:rsidR="00CC42AC">
        <w:rPr>
          <w:rFonts w:cs="Arial"/>
          <w:sz w:val="24"/>
          <w:szCs w:val="24"/>
          <w:lang w:eastAsia="cs-CZ"/>
        </w:rPr>
        <w:t>I</w:t>
      </w:r>
      <w:r w:rsidR="002867F1">
        <w:rPr>
          <w:rFonts w:cs="Arial"/>
          <w:sz w:val="24"/>
          <w:szCs w:val="24"/>
          <w:lang w:eastAsia="cs-CZ"/>
        </w:rPr>
        <w:t xml:space="preserve"> bude zahrnovat území městského </w:t>
      </w:r>
      <w:r w:rsidR="002867F1" w:rsidRPr="004F2482">
        <w:rPr>
          <w:rFonts w:cs="Arial"/>
          <w:sz w:val="24"/>
          <w:szCs w:val="24"/>
          <w:lang w:eastAsia="cs-CZ"/>
        </w:rPr>
        <w:t>uzlu na úrovni LAU</w:t>
      </w:r>
      <w:r w:rsidR="004F2482">
        <w:rPr>
          <w:rFonts w:cs="Arial"/>
          <w:sz w:val="24"/>
          <w:szCs w:val="24"/>
          <w:lang w:eastAsia="cs-CZ"/>
        </w:rPr>
        <w:t>, tzn. na úrovni obcí</w:t>
      </w:r>
      <w:r w:rsidR="002867F1" w:rsidRPr="004F2482">
        <w:rPr>
          <w:rFonts w:cs="Arial"/>
          <w:sz w:val="24"/>
          <w:szCs w:val="24"/>
          <w:lang w:eastAsia="cs-CZ"/>
        </w:rPr>
        <w:t>.</w:t>
      </w:r>
      <w:r w:rsidR="002867F1">
        <w:rPr>
          <w:rFonts w:cs="Arial"/>
          <w:sz w:val="24"/>
          <w:szCs w:val="24"/>
          <w:lang w:eastAsia="cs-CZ"/>
        </w:rPr>
        <w:t xml:space="preserve"> </w:t>
      </w:r>
      <w:r w:rsidR="004F2482">
        <w:rPr>
          <w:rFonts w:cs="Arial"/>
          <w:sz w:val="24"/>
          <w:szCs w:val="24"/>
          <w:lang w:eastAsia="cs-CZ"/>
        </w:rPr>
        <w:t>V případě České republiky proto budou data sbírána za území statutárního města.</w:t>
      </w:r>
    </w:p>
    <w:p w14:paraId="2F7C5636" w14:textId="52B40C14" w:rsidR="00066F0B" w:rsidRPr="00935C69" w:rsidRDefault="00066F0B" w:rsidP="00066F0B">
      <w:pPr>
        <w:jc w:val="both"/>
        <w:rPr>
          <w:rFonts w:cs="Arial"/>
          <w:sz w:val="24"/>
          <w:szCs w:val="24"/>
          <w:lang w:eastAsia="cs-CZ"/>
        </w:rPr>
      </w:pPr>
      <w:r w:rsidRPr="00935C69">
        <w:rPr>
          <w:rFonts w:cs="Arial"/>
          <w:sz w:val="24"/>
          <w:szCs w:val="24"/>
          <w:lang w:eastAsia="cs-CZ"/>
        </w:rPr>
        <w:t>T</w:t>
      </w:r>
      <w:r w:rsidR="002867F1">
        <w:rPr>
          <w:rFonts w:cs="Arial"/>
          <w:sz w:val="24"/>
          <w:szCs w:val="24"/>
          <w:lang w:eastAsia="cs-CZ"/>
        </w:rPr>
        <w:t xml:space="preserve">oto </w:t>
      </w:r>
      <w:r w:rsidRPr="00935C69">
        <w:rPr>
          <w:rFonts w:cs="Arial"/>
          <w:sz w:val="24"/>
          <w:szCs w:val="24"/>
          <w:lang w:eastAsia="cs-CZ"/>
        </w:rPr>
        <w:t>představ</w:t>
      </w:r>
      <w:r w:rsidR="002867F1">
        <w:rPr>
          <w:rFonts w:cs="Arial"/>
          <w:sz w:val="24"/>
          <w:szCs w:val="24"/>
          <w:lang w:eastAsia="cs-CZ"/>
        </w:rPr>
        <w:t xml:space="preserve">uje </w:t>
      </w:r>
      <w:r w:rsidRPr="00935C69">
        <w:rPr>
          <w:rFonts w:cs="Arial"/>
          <w:sz w:val="24"/>
          <w:szCs w:val="24"/>
          <w:lang w:eastAsia="cs-CZ"/>
        </w:rPr>
        <w:t>závazný rámec pro sběr dat vymezených indikátorů v oblasti udržitelnosti, bezpečnosti a přístupnosti za jednotlivé městské uzly</w:t>
      </w:r>
      <w:r w:rsidR="002867F1">
        <w:rPr>
          <w:rFonts w:cs="Arial"/>
          <w:sz w:val="24"/>
          <w:szCs w:val="24"/>
          <w:lang w:eastAsia="cs-CZ"/>
        </w:rPr>
        <w:t>.</w:t>
      </w:r>
      <w:r w:rsidRPr="00935C69">
        <w:rPr>
          <w:rFonts w:cs="Arial"/>
          <w:sz w:val="24"/>
          <w:szCs w:val="24"/>
          <w:lang w:eastAsia="cs-CZ"/>
        </w:rPr>
        <w:t xml:space="preserve"> </w:t>
      </w:r>
    </w:p>
    <w:p w14:paraId="3839708B" w14:textId="3F5AC50B" w:rsidR="004E23A6" w:rsidRDefault="004E23A6" w:rsidP="004E23A6">
      <w:pPr>
        <w:jc w:val="both"/>
        <w:rPr>
          <w:rFonts w:cs="Arial"/>
          <w:sz w:val="24"/>
          <w:szCs w:val="24"/>
          <w:lang w:val="cs" w:eastAsia="cs-CZ"/>
        </w:rPr>
      </w:pPr>
      <w:r w:rsidRPr="00935C69">
        <w:rPr>
          <w:rFonts w:cs="Arial"/>
          <w:sz w:val="24"/>
          <w:szCs w:val="24"/>
          <w:lang w:eastAsia="cs-CZ"/>
        </w:rPr>
        <w:t xml:space="preserve">Nařízení ukládá sledovat indikátory v rámci Urban </w:t>
      </w:r>
      <w:proofErr w:type="spellStart"/>
      <w:r w:rsidRPr="00935C69">
        <w:rPr>
          <w:rFonts w:cs="Arial"/>
          <w:sz w:val="24"/>
          <w:szCs w:val="24"/>
          <w:lang w:eastAsia="cs-CZ"/>
        </w:rPr>
        <w:t>Nodes</w:t>
      </w:r>
      <w:proofErr w:type="spellEnd"/>
      <w:r w:rsidRPr="00935C69">
        <w:rPr>
          <w:rFonts w:cs="Arial"/>
          <w:sz w:val="24"/>
          <w:szCs w:val="24"/>
          <w:lang w:eastAsia="cs-CZ"/>
        </w:rPr>
        <w:t xml:space="preserve"> </w:t>
      </w:r>
      <w:r w:rsidR="002867F1">
        <w:rPr>
          <w:rFonts w:cs="Arial"/>
          <w:sz w:val="24"/>
          <w:szCs w:val="24"/>
          <w:lang w:eastAsia="cs-CZ"/>
        </w:rPr>
        <w:t xml:space="preserve">a </w:t>
      </w:r>
      <w:r w:rsidR="00B1071D">
        <w:rPr>
          <w:rFonts w:cs="Arial"/>
          <w:sz w:val="24"/>
          <w:szCs w:val="24"/>
          <w:lang w:eastAsia="cs-CZ"/>
        </w:rPr>
        <w:t>první</w:t>
      </w:r>
      <w:r w:rsidRPr="00935C69">
        <w:rPr>
          <w:rFonts w:cs="Arial"/>
          <w:sz w:val="24"/>
          <w:szCs w:val="24"/>
          <w:lang w:val="cs" w:eastAsia="cs-CZ"/>
        </w:rPr>
        <w:t xml:space="preserve"> sada údajů pro všechny ukazatele pro každý městský uzel má být shromážděna a předložena Komisi do konce prosince 2027. Po prvním předložení mají být údaje pro každý ukazatel předkládány každé čtyři roky. Pro každý městský uzel předloží členské státy </w:t>
      </w:r>
      <w:r w:rsidR="002867F1">
        <w:rPr>
          <w:rFonts w:cs="Arial"/>
          <w:sz w:val="24"/>
          <w:szCs w:val="24"/>
          <w:lang w:val="cs" w:eastAsia="cs-CZ"/>
        </w:rPr>
        <w:t>jeden</w:t>
      </w:r>
      <w:r w:rsidRPr="00935C69">
        <w:rPr>
          <w:rFonts w:cs="Arial"/>
          <w:sz w:val="24"/>
          <w:szCs w:val="24"/>
          <w:lang w:val="cs" w:eastAsia="cs-CZ"/>
        </w:rPr>
        <w:t xml:space="preserve"> soubor dat</w:t>
      </w:r>
      <w:r w:rsidR="002867F1">
        <w:rPr>
          <w:rFonts w:cs="Arial"/>
          <w:sz w:val="24"/>
          <w:szCs w:val="24"/>
          <w:lang w:val="cs" w:eastAsia="cs-CZ"/>
        </w:rPr>
        <w:t>.</w:t>
      </w:r>
    </w:p>
    <w:p w14:paraId="49C2E9EA" w14:textId="233A240F" w:rsidR="002867F1" w:rsidRDefault="002867F1" w:rsidP="004E23A6">
      <w:pPr>
        <w:jc w:val="both"/>
        <w:rPr>
          <w:rFonts w:eastAsia="Times New Roman" w:cs="Arial"/>
          <w:b/>
          <w:sz w:val="24"/>
          <w:szCs w:val="24"/>
          <w:lang w:eastAsia="cs-CZ"/>
        </w:rPr>
      </w:pPr>
      <w:r>
        <w:rPr>
          <w:rFonts w:eastAsia="Times New Roman" w:cs="Arial"/>
          <w:b/>
          <w:sz w:val="24"/>
          <w:szCs w:val="24"/>
          <w:lang w:eastAsia="cs-CZ"/>
        </w:rPr>
        <w:t>S</w:t>
      </w:r>
      <w:r w:rsidRPr="002867F1">
        <w:rPr>
          <w:rFonts w:eastAsia="Times New Roman" w:cs="Arial"/>
          <w:b/>
          <w:sz w:val="24"/>
          <w:szCs w:val="24"/>
          <w:lang w:eastAsia="cs-CZ"/>
        </w:rPr>
        <w:t>plnění uvedených požadavků</w:t>
      </w:r>
    </w:p>
    <w:p w14:paraId="5359691F" w14:textId="77777777" w:rsidR="000E5162" w:rsidRPr="000E5162" w:rsidRDefault="000E5162" w:rsidP="000E5162">
      <w:pPr>
        <w:jc w:val="both"/>
        <w:rPr>
          <w:rFonts w:eastAsia="Times New Roman" w:cs="Arial"/>
          <w:bCs/>
          <w:sz w:val="24"/>
          <w:szCs w:val="24"/>
          <w:lang w:eastAsia="cs-CZ"/>
        </w:rPr>
      </w:pPr>
      <w:r w:rsidRPr="000E5162">
        <w:rPr>
          <w:rFonts w:eastAsia="Times New Roman" w:cs="Arial"/>
          <w:bCs/>
          <w:sz w:val="24"/>
          <w:szCs w:val="24"/>
          <w:lang w:eastAsia="cs-CZ"/>
        </w:rPr>
        <w:t xml:space="preserve">Zástupci městských uzlů (resp. nositelů ITI) mohou požadavky stanovené tímto Metodickým rámcem konzultovat s pracovníky Ministerstva dopravy ČR. Ministerstvo dopravy ČR se zavazuje pravidelně informovat zástupce městských uzlů o aktualitách v této oblasti, zejména o doporučeních vzešlých z jednání na evropské úrovni (EGUM). V návaznosti na postup vyjednávání Víceletého finančního rámce pro období 2028–2034 se předpokládá využití </w:t>
      </w:r>
      <w:proofErr w:type="spellStart"/>
      <w:r w:rsidRPr="000E5162">
        <w:rPr>
          <w:rFonts w:eastAsia="Times New Roman" w:cs="Arial"/>
          <w:bCs/>
          <w:sz w:val="24"/>
          <w:szCs w:val="24"/>
          <w:lang w:eastAsia="cs-CZ"/>
        </w:rPr>
        <w:t>SUMPu</w:t>
      </w:r>
      <w:proofErr w:type="spellEnd"/>
      <w:r w:rsidRPr="000E5162">
        <w:rPr>
          <w:rFonts w:eastAsia="Times New Roman" w:cs="Arial"/>
          <w:bCs/>
          <w:sz w:val="24"/>
          <w:szCs w:val="24"/>
          <w:lang w:eastAsia="cs-CZ"/>
        </w:rPr>
        <w:t xml:space="preserve"> na úrovni FUA pro obhájení vybraných intervencí v oblasti udržitelné dopravy, v návaznosti na vývoj nastavení implementační struktury na národní úrovni i se zapojením integrovaných nástrojů (ITI).</w:t>
      </w:r>
    </w:p>
    <w:p w14:paraId="3A01FB6B" w14:textId="02D5FFB4" w:rsidR="000E5162" w:rsidRDefault="000E5162" w:rsidP="004E23A6">
      <w:pPr>
        <w:jc w:val="both"/>
        <w:rPr>
          <w:rFonts w:eastAsia="Times New Roman" w:cs="Arial"/>
          <w:sz w:val="24"/>
          <w:szCs w:val="24"/>
          <w:lang w:eastAsia="cs-CZ"/>
        </w:rPr>
      </w:pPr>
      <w:r>
        <w:rPr>
          <w:rFonts w:eastAsia="Times New Roman" w:cs="Arial"/>
          <w:sz w:val="24"/>
          <w:szCs w:val="24"/>
          <w:lang w:eastAsia="cs-CZ"/>
        </w:rPr>
        <w:t xml:space="preserve">Indikátory reportované z úrovně národní </w:t>
      </w:r>
    </w:p>
    <w:p w14:paraId="52F4FA01" w14:textId="4C8C4A47" w:rsidR="000E5162" w:rsidRDefault="000E5162" w:rsidP="004E23A6">
      <w:pPr>
        <w:jc w:val="both"/>
        <w:rPr>
          <w:rFonts w:eastAsia="Times New Roman" w:cs="Arial"/>
          <w:sz w:val="24"/>
          <w:szCs w:val="24"/>
          <w:lang w:eastAsia="cs-CZ"/>
        </w:rPr>
      </w:pPr>
      <w:r>
        <w:rPr>
          <w:rFonts w:eastAsia="Times New Roman" w:cs="Arial"/>
          <w:sz w:val="24"/>
          <w:szCs w:val="24"/>
          <w:lang w:eastAsia="cs-CZ"/>
        </w:rPr>
        <w:t>Indikátory reportované z úrovně městských uzlů</w:t>
      </w:r>
    </w:p>
    <w:p w14:paraId="2F81620D" w14:textId="438A0B5E" w:rsidR="005C1D1B" w:rsidRDefault="004F2482" w:rsidP="005C1D1B">
      <w:pPr>
        <w:pStyle w:val="Nadpis2"/>
      </w:pPr>
      <w:bookmarkStart w:id="8" w:name="_Toc223424921"/>
      <w:r>
        <w:lastRenderedPageBreak/>
        <w:t>Národní program SUMP</w:t>
      </w:r>
      <w:bookmarkEnd w:id="8"/>
      <w:r>
        <w:t xml:space="preserve"> </w:t>
      </w:r>
      <w:r w:rsidR="005C1D1B">
        <w:t xml:space="preserve"> </w:t>
      </w:r>
    </w:p>
    <w:p w14:paraId="119B5AF3" w14:textId="77777777" w:rsidR="005C1D1B" w:rsidRDefault="005C1D1B" w:rsidP="005C1D1B">
      <w:pPr>
        <w:jc w:val="both"/>
        <w:rPr>
          <w:sz w:val="24"/>
          <w:szCs w:val="24"/>
        </w:rPr>
      </w:pPr>
      <w:r w:rsidRPr="00561923">
        <w:rPr>
          <w:sz w:val="24"/>
          <w:szCs w:val="24"/>
        </w:rPr>
        <w:t>Národní program na podporu plánů udržitelné městské mobility (SUMP) v České republice reaguje na evropské požadavky a legislativu v oblasti udržitelné městské mobility</w:t>
      </w:r>
      <w:r w:rsidRPr="00A95714">
        <w:rPr>
          <w:sz w:val="24"/>
          <w:szCs w:val="24"/>
        </w:rPr>
        <w:t>.</w:t>
      </w:r>
    </w:p>
    <w:p w14:paraId="0FFCE808" w14:textId="77777777" w:rsidR="005C1D1B" w:rsidRPr="00E31027" w:rsidRDefault="005C1D1B" w:rsidP="005C1D1B">
      <w:pPr>
        <w:jc w:val="both"/>
        <w:rPr>
          <w:sz w:val="24"/>
          <w:szCs w:val="24"/>
        </w:rPr>
      </w:pPr>
      <w:r w:rsidRPr="00E31027">
        <w:rPr>
          <w:sz w:val="24"/>
          <w:szCs w:val="24"/>
        </w:rPr>
        <w:t xml:space="preserve">Cíle Národního programu: Program podporuje přípravu, aktualizaci a implementaci SUMP, posiluje správu a koordinaci politik městské mobility, zvyšuje kvalitu plánů a zavádí systematické monitorování a hodnocení pomocí indikátorů. </w:t>
      </w:r>
    </w:p>
    <w:p w14:paraId="745E46E1" w14:textId="77777777" w:rsidR="005C1D1B" w:rsidRPr="00E31027" w:rsidRDefault="005C1D1B" w:rsidP="005C1D1B">
      <w:pPr>
        <w:tabs>
          <w:tab w:val="num" w:pos="720"/>
        </w:tabs>
        <w:jc w:val="both"/>
        <w:rPr>
          <w:sz w:val="24"/>
          <w:szCs w:val="24"/>
        </w:rPr>
      </w:pPr>
      <w:r w:rsidRPr="00E31027">
        <w:rPr>
          <w:sz w:val="24"/>
          <w:szCs w:val="24"/>
        </w:rPr>
        <w:t xml:space="preserve">Řízení </w:t>
      </w:r>
      <w:r w:rsidRPr="00372C76">
        <w:rPr>
          <w:sz w:val="24"/>
          <w:szCs w:val="24"/>
        </w:rPr>
        <w:t xml:space="preserve">Národního programu zajišťuje </w:t>
      </w:r>
      <w:r w:rsidRPr="00E31027">
        <w:rPr>
          <w:sz w:val="24"/>
          <w:szCs w:val="24"/>
        </w:rPr>
        <w:t>Komise pro posuzování dokumentů městské mobility (KPDMM)</w:t>
      </w:r>
      <w:r>
        <w:rPr>
          <w:sz w:val="24"/>
          <w:szCs w:val="24"/>
        </w:rPr>
        <w:t xml:space="preserve">, která </w:t>
      </w:r>
      <w:r w:rsidRPr="00E31027">
        <w:rPr>
          <w:sz w:val="24"/>
          <w:szCs w:val="24"/>
        </w:rPr>
        <w:t>hodnotí kvalitu SUMP</w:t>
      </w:r>
      <w:r>
        <w:rPr>
          <w:sz w:val="24"/>
          <w:szCs w:val="24"/>
        </w:rPr>
        <w:t xml:space="preserve"> a je </w:t>
      </w:r>
      <w:r w:rsidRPr="00E31027">
        <w:rPr>
          <w:sz w:val="24"/>
          <w:szCs w:val="24"/>
        </w:rPr>
        <w:t>složená z</w:t>
      </w:r>
      <w:r>
        <w:rPr>
          <w:sz w:val="24"/>
          <w:szCs w:val="24"/>
        </w:rPr>
        <w:t>e zástupců</w:t>
      </w:r>
      <w:r w:rsidRPr="00E31027">
        <w:rPr>
          <w:sz w:val="24"/>
          <w:szCs w:val="24"/>
        </w:rPr>
        <w:t xml:space="preserve"> ministerstev</w:t>
      </w:r>
      <w:r>
        <w:rPr>
          <w:sz w:val="24"/>
          <w:szCs w:val="24"/>
        </w:rPr>
        <w:t xml:space="preserve"> a akademické sféry</w:t>
      </w:r>
      <w:r w:rsidRPr="00E31027">
        <w:rPr>
          <w:sz w:val="24"/>
          <w:szCs w:val="24"/>
        </w:rPr>
        <w:t>. Metodická podpora k SUMP vycház</w:t>
      </w:r>
      <w:r>
        <w:rPr>
          <w:sz w:val="24"/>
          <w:szCs w:val="24"/>
        </w:rPr>
        <w:t>í</w:t>
      </w:r>
      <w:r w:rsidRPr="00E31027">
        <w:rPr>
          <w:sz w:val="24"/>
          <w:szCs w:val="24"/>
        </w:rPr>
        <w:t xml:space="preserve"> z Koncepce městské a aktivní mobility 2021-2030, která ro</w:t>
      </w:r>
      <w:r>
        <w:rPr>
          <w:sz w:val="24"/>
          <w:szCs w:val="24"/>
        </w:rPr>
        <w:t xml:space="preserve">zlišuje </w:t>
      </w:r>
      <w:r w:rsidRPr="00E31027">
        <w:rPr>
          <w:sz w:val="24"/>
          <w:szCs w:val="24"/>
        </w:rPr>
        <w:t xml:space="preserve">města </w:t>
      </w:r>
      <w:r>
        <w:rPr>
          <w:sz w:val="24"/>
          <w:szCs w:val="24"/>
        </w:rPr>
        <w:t xml:space="preserve">podle </w:t>
      </w:r>
      <w:r w:rsidRPr="00E31027">
        <w:rPr>
          <w:sz w:val="24"/>
          <w:szCs w:val="24"/>
        </w:rPr>
        <w:t>kategorií a nabízí metodiky pro různé oblasti tvorby SUMP včetně aktivní mobility</w:t>
      </w:r>
      <w:r>
        <w:rPr>
          <w:sz w:val="24"/>
          <w:szCs w:val="24"/>
        </w:rPr>
        <w:t>.</w:t>
      </w:r>
      <w:r w:rsidRPr="00E31027">
        <w:rPr>
          <w:sz w:val="24"/>
          <w:szCs w:val="24"/>
        </w:rPr>
        <w:t xml:space="preserve"> </w:t>
      </w:r>
    </w:p>
    <w:p w14:paraId="5FD22CFB" w14:textId="02A3655D" w:rsidR="005C1D1B" w:rsidRPr="00E31027" w:rsidRDefault="005C1D1B" w:rsidP="005C1D1B">
      <w:pPr>
        <w:jc w:val="both"/>
        <w:rPr>
          <w:sz w:val="24"/>
          <w:szCs w:val="24"/>
        </w:rPr>
      </w:pPr>
      <w:r w:rsidRPr="00AF2743">
        <w:rPr>
          <w:sz w:val="24"/>
          <w:szCs w:val="24"/>
        </w:rPr>
        <w:t>Finanční podpora Národního programu spočívá v</w:t>
      </w:r>
      <w:r>
        <w:rPr>
          <w:sz w:val="24"/>
          <w:szCs w:val="24"/>
        </w:rPr>
        <w:t> </w:t>
      </w:r>
      <w:r w:rsidRPr="00E31027">
        <w:rPr>
          <w:sz w:val="24"/>
          <w:szCs w:val="24"/>
        </w:rPr>
        <w:t>poskyt</w:t>
      </w:r>
      <w:r>
        <w:rPr>
          <w:sz w:val="24"/>
          <w:szCs w:val="24"/>
        </w:rPr>
        <w:t xml:space="preserve">ování </w:t>
      </w:r>
      <w:r w:rsidRPr="00E31027">
        <w:rPr>
          <w:sz w:val="24"/>
          <w:szCs w:val="24"/>
        </w:rPr>
        <w:t>příspěvk</w:t>
      </w:r>
      <w:r>
        <w:rPr>
          <w:sz w:val="24"/>
          <w:szCs w:val="24"/>
        </w:rPr>
        <w:t>ů</w:t>
      </w:r>
      <w:r w:rsidRPr="00E31027">
        <w:rPr>
          <w:sz w:val="24"/>
          <w:szCs w:val="24"/>
        </w:rPr>
        <w:t xml:space="preserve"> na cyklistickou infrastrukturu, bezbariérové chodníky, bezpečnost silnic a regionální železniční dopravu. </w:t>
      </w:r>
      <w:r>
        <w:rPr>
          <w:sz w:val="24"/>
          <w:szCs w:val="24"/>
        </w:rPr>
        <w:t>Dalšími finančními zdroji jsou e</w:t>
      </w:r>
      <w:r w:rsidRPr="00E31027">
        <w:rPr>
          <w:sz w:val="24"/>
          <w:szCs w:val="24"/>
        </w:rPr>
        <w:t>vropské programy jako Doprava 2021-2027 a Integrovaný regionální program</w:t>
      </w:r>
      <w:r w:rsidR="001278D9">
        <w:rPr>
          <w:sz w:val="24"/>
          <w:szCs w:val="24"/>
        </w:rPr>
        <w:t>, které</w:t>
      </w:r>
      <w:r w:rsidRPr="00E31027">
        <w:rPr>
          <w:sz w:val="24"/>
          <w:szCs w:val="24"/>
        </w:rPr>
        <w:t xml:space="preserve"> podporují multimodální mobilitu, ITS a infrastrukturu alternativních paliv. </w:t>
      </w:r>
    </w:p>
    <w:p w14:paraId="1D149425" w14:textId="77777777" w:rsidR="005C1D1B" w:rsidRPr="00E31027" w:rsidRDefault="005C1D1B" w:rsidP="005C1D1B">
      <w:pPr>
        <w:jc w:val="both"/>
        <w:rPr>
          <w:sz w:val="24"/>
          <w:szCs w:val="24"/>
        </w:rPr>
      </w:pPr>
      <w:r w:rsidRPr="00E31027">
        <w:rPr>
          <w:sz w:val="24"/>
          <w:szCs w:val="24"/>
        </w:rPr>
        <w:t>Hodnocení</w:t>
      </w:r>
      <w:r>
        <w:rPr>
          <w:sz w:val="24"/>
          <w:szCs w:val="24"/>
        </w:rPr>
        <w:t xml:space="preserve"> a monitoring I</w:t>
      </w:r>
      <w:r w:rsidRPr="00E31027">
        <w:rPr>
          <w:sz w:val="24"/>
          <w:szCs w:val="24"/>
        </w:rPr>
        <w:t xml:space="preserve">SUMP </w:t>
      </w:r>
      <w:r>
        <w:rPr>
          <w:sz w:val="24"/>
          <w:szCs w:val="24"/>
        </w:rPr>
        <w:t xml:space="preserve">bude </w:t>
      </w:r>
      <w:r w:rsidRPr="00E31027">
        <w:rPr>
          <w:sz w:val="24"/>
          <w:szCs w:val="24"/>
        </w:rPr>
        <w:t>probíh</w:t>
      </w:r>
      <w:r>
        <w:rPr>
          <w:sz w:val="24"/>
          <w:szCs w:val="24"/>
        </w:rPr>
        <w:t xml:space="preserve">at </w:t>
      </w:r>
      <w:r w:rsidRPr="00E31027">
        <w:rPr>
          <w:sz w:val="24"/>
          <w:szCs w:val="24"/>
        </w:rPr>
        <w:t>pravidelně s využitím metodiky evaluace udržitelné mobility. V ČR není legislativně povinné zpracování SUMP</w:t>
      </w:r>
      <w:r>
        <w:rPr>
          <w:sz w:val="24"/>
          <w:szCs w:val="24"/>
        </w:rPr>
        <w:t xml:space="preserve">, ale pro definovaných 10 městských uzlů TEN-T je dle Nařízení TEN-T závazné jejich zpracování, monitoring a hodnocení. </w:t>
      </w:r>
      <w:r w:rsidRPr="00E31027">
        <w:rPr>
          <w:sz w:val="24"/>
          <w:szCs w:val="24"/>
        </w:rPr>
        <w:t xml:space="preserve">Ministerstvo dopravy </w:t>
      </w:r>
      <w:r>
        <w:rPr>
          <w:sz w:val="24"/>
          <w:szCs w:val="24"/>
        </w:rPr>
        <w:t xml:space="preserve">ve spolupráci s městskými uzly </w:t>
      </w:r>
      <w:r w:rsidRPr="00E31027">
        <w:rPr>
          <w:sz w:val="24"/>
          <w:szCs w:val="24"/>
        </w:rPr>
        <w:t>zaji</w:t>
      </w:r>
      <w:r>
        <w:rPr>
          <w:sz w:val="24"/>
          <w:szCs w:val="24"/>
        </w:rPr>
        <w:t>stí</w:t>
      </w:r>
      <w:r w:rsidRPr="00E31027">
        <w:rPr>
          <w:sz w:val="24"/>
          <w:szCs w:val="24"/>
        </w:rPr>
        <w:t xml:space="preserve"> reportování indikátorů udržitelné dopravy v městských uzlech, což podpo</w:t>
      </w:r>
      <w:r>
        <w:rPr>
          <w:sz w:val="24"/>
          <w:szCs w:val="24"/>
        </w:rPr>
        <w:t xml:space="preserve">ří </w:t>
      </w:r>
      <w:r w:rsidRPr="00E31027">
        <w:rPr>
          <w:sz w:val="24"/>
          <w:szCs w:val="24"/>
        </w:rPr>
        <w:t xml:space="preserve">monitoring plnění cílů SUMP. </w:t>
      </w:r>
    </w:p>
    <w:p w14:paraId="41E10AFF" w14:textId="281ECB67" w:rsidR="000E5162" w:rsidRPr="000E5162" w:rsidRDefault="000E5162" w:rsidP="000E5162">
      <w:pPr>
        <w:pStyle w:val="Nadpis3"/>
        <w:rPr>
          <w:rFonts w:asciiTheme="majorHAnsi" w:hAnsiTheme="majorHAnsi"/>
          <w:sz w:val="32"/>
          <w:szCs w:val="32"/>
        </w:rPr>
      </w:pPr>
      <w:bookmarkStart w:id="9" w:name="_Toc223424922"/>
      <w:r w:rsidRPr="000E5162">
        <w:rPr>
          <w:rFonts w:asciiTheme="majorHAnsi" w:hAnsiTheme="majorHAnsi"/>
          <w:sz w:val="32"/>
          <w:szCs w:val="32"/>
        </w:rPr>
        <w:t>Postup schválení ISUMP</w:t>
      </w:r>
      <w:bookmarkEnd w:id="9"/>
    </w:p>
    <w:p w14:paraId="65E23B32" w14:textId="69E605F7" w:rsidR="000E5162" w:rsidRDefault="000E5162" w:rsidP="004E23A6">
      <w:pPr>
        <w:jc w:val="both"/>
        <w:rPr>
          <w:rFonts w:eastAsia="Times New Roman" w:cs="Arial"/>
          <w:bCs/>
          <w:sz w:val="24"/>
          <w:szCs w:val="24"/>
          <w:lang w:eastAsia="cs-CZ"/>
        </w:rPr>
      </w:pPr>
      <w:r w:rsidRPr="000E5162">
        <w:rPr>
          <w:rFonts w:eastAsia="Times New Roman" w:cs="Arial"/>
          <w:bCs/>
          <w:sz w:val="24"/>
          <w:szCs w:val="24"/>
          <w:lang w:eastAsia="cs-CZ"/>
        </w:rPr>
        <w:t>ISUMP včetně příloh bude oficiálně předložen k posouzení KPDMM. Toto předložení proběhne formální cestou dopisem primátora příslušného městského uzlu na vrchní ředitelku sekce ekonomické a infrastrukturní</w:t>
      </w:r>
      <w:r>
        <w:rPr>
          <w:rFonts w:eastAsia="Times New Roman" w:cs="Arial"/>
          <w:bCs/>
          <w:sz w:val="24"/>
          <w:szCs w:val="24"/>
          <w:lang w:eastAsia="cs-CZ"/>
        </w:rPr>
        <w:t xml:space="preserve"> ministerstva dopravy</w:t>
      </w:r>
      <w:r w:rsidRPr="000E5162">
        <w:rPr>
          <w:rFonts w:eastAsia="Times New Roman" w:cs="Arial"/>
          <w:bCs/>
          <w:sz w:val="24"/>
          <w:szCs w:val="24"/>
          <w:lang w:eastAsia="cs-CZ"/>
        </w:rPr>
        <w:t xml:space="preserve">. Zároveň budou podklady zaslány po pracovní linii na tajemníka KPDMM, který zajistí včasné projednání v rámci KPDMM. V případě, že nebude možné zajistit povinné přílohy </w:t>
      </w:r>
      <w:r>
        <w:rPr>
          <w:rFonts w:eastAsia="Times New Roman" w:cs="Arial"/>
          <w:bCs/>
          <w:sz w:val="24"/>
          <w:szCs w:val="24"/>
          <w:lang w:eastAsia="cs-CZ"/>
        </w:rPr>
        <w:t>závazného</w:t>
      </w:r>
      <w:r w:rsidRPr="000E5162">
        <w:rPr>
          <w:rFonts w:eastAsia="Times New Roman" w:cs="Arial"/>
          <w:bCs/>
          <w:sz w:val="24"/>
          <w:szCs w:val="24"/>
          <w:lang w:eastAsia="cs-CZ"/>
        </w:rPr>
        <w:t xml:space="preserve"> dokumentu (resp. najít shodu se všemi schvalujícími subjekty), je povinností příslušného městského uzlu o této situaci včas informovat Ministerstvo dopravy ČR, které rozhodne o dalším postupu</w:t>
      </w:r>
      <w:r>
        <w:rPr>
          <w:rFonts w:eastAsia="Times New Roman" w:cs="Arial"/>
          <w:bCs/>
          <w:sz w:val="24"/>
          <w:szCs w:val="24"/>
          <w:lang w:eastAsia="cs-CZ"/>
        </w:rPr>
        <w:t>.</w:t>
      </w:r>
    </w:p>
    <w:p w14:paraId="7FDF1A81" w14:textId="77777777" w:rsidR="004F2482" w:rsidRDefault="004F2482" w:rsidP="004E23A6">
      <w:pPr>
        <w:jc w:val="both"/>
        <w:rPr>
          <w:rFonts w:eastAsia="Times New Roman" w:cs="Arial"/>
          <w:bCs/>
          <w:sz w:val="24"/>
          <w:szCs w:val="24"/>
          <w:lang w:eastAsia="cs-CZ"/>
        </w:rPr>
      </w:pPr>
    </w:p>
    <w:p w14:paraId="439616B0" w14:textId="6FF123EB" w:rsidR="004F2482" w:rsidRDefault="004F2482">
      <w:pPr>
        <w:rPr>
          <w:rFonts w:eastAsia="Times New Roman" w:cs="Arial"/>
          <w:bCs/>
          <w:sz w:val="24"/>
          <w:szCs w:val="24"/>
          <w:lang w:eastAsia="cs-CZ"/>
        </w:rPr>
      </w:pPr>
      <w:r>
        <w:rPr>
          <w:rFonts w:eastAsia="Times New Roman" w:cs="Arial"/>
          <w:bCs/>
          <w:sz w:val="24"/>
          <w:szCs w:val="24"/>
          <w:lang w:eastAsia="cs-CZ"/>
        </w:rPr>
        <w:br w:type="page"/>
      </w:r>
    </w:p>
    <w:p w14:paraId="10FBE13D" w14:textId="78A89C01" w:rsidR="004F2482" w:rsidRDefault="004F2482" w:rsidP="004F2482">
      <w:pPr>
        <w:pStyle w:val="Nadpis3"/>
        <w:rPr>
          <w:rFonts w:eastAsia="Times New Roman" w:cs="Arial"/>
          <w:sz w:val="32"/>
          <w:szCs w:val="32"/>
          <w:lang w:eastAsia="cs-CZ"/>
        </w:rPr>
      </w:pPr>
      <w:bookmarkStart w:id="10" w:name="_Toc223424923"/>
      <w:r w:rsidRPr="004F2482">
        <w:rPr>
          <w:rFonts w:eastAsia="Times New Roman" w:cs="Arial"/>
          <w:sz w:val="32"/>
          <w:szCs w:val="32"/>
          <w:lang w:eastAsia="cs-CZ"/>
        </w:rPr>
        <w:lastRenderedPageBreak/>
        <w:t>Příloha</w:t>
      </w:r>
      <w:bookmarkEnd w:id="10"/>
    </w:p>
    <w:p w14:paraId="7E9A2797" w14:textId="77777777" w:rsidR="004F2482" w:rsidRPr="004F2482" w:rsidRDefault="004F2482" w:rsidP="004F2482">
      <w:pPr>
        <w:tabs>
          <w:tab w:val="left" w:pos="567"/>
        </w:tabs>
        <w:spacing w:after="0"/>
        <w:jc w:val="both"/>
        <w:rPr>
          <w:rFonts w:eastAsia="Calibri" w:cs="Arial"/>
          <w:bCs/>
          <w:sz w:val="24"/>
          <w:szCs w:val="24"/>
          <w:lang w:eastAsia="en-GB"/>
        </w:rPr>
      </w:pPr>
      <w:r w:rsidRPr="004F2482">
        <w:rPr>
          <w:rFonts w:eastAsia="Calibri" w:cs="Arial"/>
          <w:b/>
          <w:sz w:val="24"/>
          <w:szCs w:val="24"/>
          <w:lang w:eastAsia="en-GB"/>
        </w:rPr>
        <w:t>Městské uzly v ČR jsou pro účely plnění minimálních požadavků rozděleny do čtyř kategorií</w:t>
      </w:r>
      <w:r w:rsidRPr="004F2482">
        <w:rPr>
          <w:rFonts w:eastAsia="Calibri" w:cs="Arial"/>
          <w:bCs/>
          <w:sz w:val="24"/>
          <w:szCs w:val="24"/>
          <w:lang w:eastAsia="en-GB"/>
        </w:rPr>
        <w:t>:</w:t>
      </w:r>
    </w:p>
    <w:p w14:paraId="7AEDBF9E" w14:textId="77777777" w:rsidR="004F2482" w:rsidRPr="004F2482" w:rsidRDefault="004F2482" w:rsidP="004F2482">
      <w:pPr>
        <w:tabs>
          <w:tab w:val="left" w:pos="567"/>
        </w:tabs>
        <w:spacing w:after="0"/>
        <w:jc w:val="both"/>
        <w:rPr>
          <w:rFonts w:eastAsia="Calibri" w:cs="Arial"/>
          <w:bCs/>
          <w:sz w:val="24"/>
          <w:szCs w:val="24"/>
          <w:lang w:eastAsia="en-GB"/>
        </w:rPr>
      </w:pPr>
    </w:p>
    <w:p w14:paraId="0DDD02AB" w14:textId="77777777" w:rsidR="004F2482" w:rsidRPr="004F2482" w:rsidRDefault="004F2482" w:rsidP="004F2482">
      <w:pPr>
        <w:tabs>
          <w:tab w:val="left" w:pos="567"/>
        </w:tabs>
        <w:spacing w:after="0"/>
        <w:jc w:val="both"/>
        <w:rPr>
          <w:rFonts w:eastAsia="Calibri" w:cs="Arial"/>
          <w:bCs/>
          <w:sz w:val="24"/>
          <w:szCs w:val="24"/>
          <w:lang w:eastAsia="en-GB"/>
        </w:rPr>
      </w:pPr>
      <w:r w:rsidRPr="004F2482">
        <w:rPr>
          <w:rFonts w:eastAsia="Calibri" w:cs="Arial"/>
          <w:b/>
          <w:sz w:val="24"/>
          <w:szCs w:val="24"/>
          <w:lang w:eastAsia="en-GB"/>
        </w:rPr>
        <w:t>A</w:t>
      </w:r>
      <w:r w:rsidRPr="004F2482">
        <w:rPr>
          <w:rFonts w:eastAsia="Calibri" w:cs="Arial"/>
          <w:bCs/>
          <w:sz w:val="24"/>
          <w:szCs w:val="24"/>
          <w:lang w:eastAsia="en-GB"/>
        </w:rPr>
        <w:t xml:space="preserve"> – městské uzly s FUA na území jednoho kraje, bez přítomnosti dalších statutárních měst ve FUA. Jedná se o nejběžnější případ, pro účely této metodiky je do této kategorie zahrnut i Liberec, který má SUMP zpracovaný společně s Jabloncem nad Nisou.</w:t>
      </w:r>
    </w:p>
    <w:p w14:paraId="72BC0DBE" w14:textId="77777777" w:rsidR="004F2482" w:rsidRPr="004F2482" w:rsidRDefault="004F2482" w:rsidP="004F2482">
      <w:pPr>
        <w:tabs>
          <w:tab w:val="left" w:pos="567"/>
        </w:tabs>
        <w:spacing w:before="40" w:after="0"/>
        <w:jc w:val="both"/>
        <w:rPr>
          <w:rFonts w:eastAsia="Calibri" w:cs="Arial"/>
          <w:bCs/>
          <w:i/>
          <w:iCs/>
          <w:sz w:val="24"/>
          <w:szCs w:val="24"/>
          <w:lang w:eastAsia="en-GB"/>
        </w:rPr>
      </w:pPr>
      <w:r w:rsidRPr="004F2482">
        <w:rPr>
          <w:rFonts w:eastAsia="Calibri" w:cs="Arial"/>
          <w:bCs/>
          <w:i/>
          <w:iCs/>
          <w:sz w:val="24"/>
          <w:szCs w:val="24"/>
          <w:lang w:eastAsia="en-GB"/>
        </w:rPr>
        <w:t>Brno, Plzeň, Liberec, České Budějovice</w:t>
      </w:r>
    </w:p>
    <w:p w14:paraId="336837FF" w14:textId="77777777" w:rsidR="004F2482" w:rsidRPr="004F2482" w:rsidRDefault="004F2482" w:rsidP="004F2482">
      <w:pPr>
        <w:tabs>
          <w:tab w:val="left" w:pos="567"/>
        </w:tabs>
        <w:spacing w:after="0"/>
        <w:jc w:val="both"/>
        <w:rPr>
          <w:rFonts w:eastAsia="Calibri" w:cs="Arial"/>
          <w:bCs/>
          <w:sz w:val="24"/>
          <w:szCs w:val="24"/>
          <w:lang w:eastAsia="en-GB"/>
        </w:rPr>
      </w:pPr>
    </w:p>
    <w:p w14:paraId="403902C9" w14:textId="77777777" w:rsidR="004F2482" w:rsidRPr="004F2482" w:rsidRDefault="004F2482" w:rsidP="004F2482">
      <w:pPr>
        <w:tabs>
          <w:tab w:val="left" w:pos="567"/>
        </w:tabs>
        <w:spacing w:after="0"/>
        <w:jc w:val="both"/>
        <w:rPr>
          <w:rFonts w:eastAsia="Calibri" w:cs="Arial"/>
          <w:bCs/>
          <w:sz w:val="24"/>
          <w:szCs w:val="24"/>
          <w:lang w:eastAsia="en-GB"/>
        </w:rPr>
      </w:pPr>
      <w:r w:rsidRPr="004F2482">
        <w:rPr>
          <w:rFonts w:eastAsia="Calibri" w:cs="Arial"/>
          <w:b/>
          <w:sz w:val="24"/>
          <w:szCs w:val="24"/>
          <w:lang w:eastAsia="en-GB"/>
        </w:rPr>
        <w:t>B</w:t>
      </w:r>
      <w:r w:rsidRPr="004F2482">
        <w:rPr>
          <w:rFonts w:eastAsia="Calibri" w:cs="Arial"/>
          <w:bCs/>
          <w:sz w:val="24"/>
          <w:szCs w:val="24"/>
          <w:lang w:eastAsia="en-GB"/>
        </w:rPr>
        <w:t xml:space="preserve"> – městské uzly s FUA na území jednoho kraje, s přítomností statutárních měst ve FUA. Jedná se o polycentrické aglomerace/metropolitní oblasti s dominantním centrem v podobě městského uzlu.</w:t>
      </w:r>
    </w:p>
    <w:p w14:paraId="662CA7FE" w14:textId="77777777" w:rsidR="004F2482" w:rsidRPr="004F2482" w:rsidRDefault="004F2482" w:rsidP="004F2482">
      <w:pPr>
        <w:tabs>
          <w:tab w:val="left" w:pos="567"/>
        </w:tabs>
        <w:spacing w:before="40" w:after="0"/>
        <w:jc w:val="both"/>
        <w:rPr>
          <w:rFonts w:eastAsia="Calibri" w:cs="Arial"/>
          <w:bCs/>
          <w:i/>
          <w:iCs/>
          <w:sz w:val="24"/>
          <w:szCs w:val="24"/>
          <w:lang w:eastAsia="en-GB"/>
        </w:rPr>
      </w:pPr>
      <w:r w:rsidRPr="004F2482">
        <w:rPr>
          <w:rFonts w:eastAsia="Calibri" w:cs="Arial"/>
          <w:bCs/>
          <w:i/>
          <w:iCs/>
          <w:sz w:val="24"/>
          <w:szCs w:val="24"/>
          <w:lang w:eastAsia="en-GB"/>
        </w:rPr>
        <w:t>Ostrava, Olomouc, Ústí nad Labem</w:t>
      </w:r>
    </w:p>
    <w:p w14:paraId="5A35A658" w14:textId="77777777" w:rsidR="004F2482" w:rsidRPr="004F2482" w:rsidRDefault="004F2482" w:rsidP="004F2482">
      <w:pPr>
        <w:tabs>
          <w:tab w:val="left" w:pos="567"/>
        </w:tabs>
        <w:spacing w:after="0"/>
        <w:jc w:val="both"/>
        <w:rPr>
          <w:rFonts w:eastAsia="Calibri" w:cs="Arial"/>
          <w:bCs/>
          <w:sz w:val="24"/>
          <w:szCs w:val="24"/>
          <w:lang w:eastAsia="en-GB"/>
        </w:rPr>
      </w:pPr>
    </w:p>
    <w:p w14:paraId="573B6D76" w14:textId="77777777" w:rsidR="004F2482" w:rsidRPr="004F2482" w:rsidRDefault="004F2482" w:rsidP="004F2482">
      <w:pPr>
        <w:tabs>
          <w:tab w:val="left" w:pos="567"/>
        </w:tabs>
        <w:spacing w:after="0"/>
        <w:jc w:val="both"/>
        <w:rPr>
          <w:rFonts w:eastAsia="Calibri" w:cs="Arial"/>
          <w:bCs/>
          <w:sz w:val="24"/>
          <w:szCs w:val="24"/>
          <w:lang w:eastAsia="en-GB"/>
        </w:rPr>
      </w:pPr>
      <w:r w:rsidRPr="004F2482">
        <w:rPr>
          <w:rFonts w:eastAsia="Calibri" w:cs="Arial"/>
          <w:b/>
          <w:sz w:val="24"/>
          <w:szCs w:val="24"/>
          <w:lang w:eastAsia="en-GB"/>
        </w:rPr>
        <w:t>C</w:t>
      </w:r>
      <w:r w:rsidRPr="004F2482">
        <w:rPr>
          <w:rFonts w:eastAsia="Calibri" w:cs="Arial"/>
          <w:bCs/>
          <w:sz w:val="24"/>
          <w:szCs w:val="24"/>
          <w:lang w:eastAsia="en-GB"/>
        </w:rPr>
        <w:t xml:space="preserve"> – městské uzly na území aglomerace, která zasahuje na území dvou krajů. Jedná se o Hradecko-pardubickou aglomeraci, přičemž pro potřeby této metodiky se na Hradec Králové kladou stejné požadavky jako na ostatní městské uzly, které mají pozici nositele ITI (přestože pro potřeby regionální politiky Hradec Králové není nositelem ITI).</w:t>
      </w:r>
    </w:p>
    <w:p w14:paraId="1DE32C80" w14:textId="77777777" w:rsidR="004F2482" w:rsidRPr="004F2482" w:rsidRDefault="004F2482" w:rsidP="004F2482">
      <w:pPr>
        <w:tabs>
          <w:tab w:val="left" w:pos="567"/>
        </w:tabs>
        <w:spacing w:before="40" w:after="0"/>
        <w:jc w:val="both"/>
        <w:rPr>
          <w:rFonts w:eastAsia="Calibri" w:cs="Arial"/>
          <w:bCs/>
          <w:i/>
          <w:iCs/>
          <w:sz w:val="24"/>
          <w:szCs w:val="24"/>
          <w:lang w:eastAsia="en-GB"/>
        </w:rPr>
      </w:pPr>
      <w:r w:rsidRPr="004F2482">
        <w:rPr>
          <w:rFonts w:eastAsia="Calibri" w:cs="Arial"/>
          <w:bCs/>
          <w:i/>
          <w:iCs/>
          <w:sz w:val="24"/>
          <w:szCs w:val="24"/>
          <w:lang w:eastAsia="en-GB"/>
        </w:rPr>
        <w:t>Pardubice, Hradec Králové</w:t>
      </w:r>
    </w:p>
    <w:p w14:paraId="2F2EDBCE" w14:textId="77777777" w:rsidR="004F2482" w:rsidRPr="004F2482" w:rsidRDefault="004F2482" w:rsidP="004F2482">
      <w:pPr>
        <w:tabs>
          <w:tab w:val="left" w:pos="567"/>
        </w:tabs>
        <w:spacing w:after="0"/>
        <w:jc w:val="both"/>
        <w:rPr>
          <w:rFonts w:eastAsia="Calibri" w:cs="Arial"/>
          <w:bCs/>
          <w:sz w:val="24"/>
          <w:szCs w:val="24"/>
          <w:lang w:eastAsia="en-GB"/>
        </w:rPr>
      </w:pPr>
    </w:p>
    <w:p w14:paraId="33B3353E" w14:textId="77777777" w:rsidR="004F2482" w:rsidRPr="004F2482" w:rsidRDefault="004F2482" w:rsidP="004F2482">
      <w:pPr>
        <w:tabs>
          <w:tab w:val="left" w:pos="567"/>
        </w:tabs>
        <w:spacing w:after="0"/>
        <w:jc w:val="both"/>
        <w:rPr>
          <w:rFonts w:eastAsia="Calibri" w:cs="Arial"/>
          <w:bCs/>
          <w:sz w:val="24"/>
          <w:szCs w:val="24"/>
          <w:lang w:eastAsia="en-GB"/>
        </w:rPr>
      </w:pPr>
      <w:r w:rsidRPr="004F2482">
        <w:rPr>
          <w:rFonts w:eastAsia="Calibri" w:cs="Arial"/>
          <w:b/>
          <w:sz w:val="24"/>
          <w:szCs w:val="24"/>
          <w:lang w:eastAsia="en-GB"/>
        </w:rPr>
        <w:t>D</w:t>
      </w:r>
      <w:r w:rsidRPr="004F2482">
        <w:rPr>
          <w:rFonts w:eastAsia="Calibri" w:cs="Arial"/>
          <w:bCs/>
          <w:sz w:val="24"/>
          <w:szCs w:val="24"/>
          <w:lang w:eastAsia="en-GB"/>
        </w:rPr>
        <w:t xml:space="preserve"> – Hl. město Praha jako specifický případ. Z hlediska administrativního tvoří Praha samostatný kraj, celá FUA se nachází na území Středočeského kraje a leží v ní i jedno statutární město se samostatným </w:t>
      </w:r>
      <w:proofErr w:type="spellStart"/>
      <w:r w:rsidRPr="004F2482">
        <w:rPr>
          <w:rFonts w:eastAsia="Calibri" w:cs="Arial"/>
          <w:bCs/>
          <w:sz w:val="24"/>
          <w:szCs w:val="24"/>
          <w:lang w:eastAsia="en-GB"/>
        </w:rPr>
        <w:t>SUMPem</w:t>
      </w:r>
      <w:proofErr w:type="spellEnd"/>
      <w:r w:rsidRPr="004F2482">
        <w:rPr>
          <w:rFonts w:eastAsia="Calibri" w:cs="Arial"/>
          <w:bCs/>
          <w:sz w:val="24"/>
          <w:szCs w:val="24"/>
          <w:lang w:eastAsia="en-GB"/>
        </w:rPr>
        <w:t xml:space="preserve"> (Kladno). Praha má navíc svébytné postavení vyplývající z její velikosti a mimořádné ekonomické vyspělosti (ve srovnání s ostatními regiony soudržnosti v ČR).</w:t>
      </w:r>
    </w:p>
    <w:p w14:paraId="7D0E6955" w14:textId="77777777" w:rsidR="004F2482" w:rsidRPr="004F2482" w:rsidRDefault="004F2482" w:rsidP="004F2482">
      <w:pPr>
        <w:tabs>
          <w:tab w:val="left" w:pos="567"/>
        </w:tabs>
        <w:spacing w:before="40" w:after="0"/>
        <w:jc w:val="both"/>
        <w:rPr>
          <w:rFonts w:eastAsia="Calibri" w:cs="Arial"/>
          <w:bCs/>
          <w:i/>
          <w:iCs/>
          <w:sz w:val="24"/>
          <w:szCs w:val="24"/>
          <w:lang w:eastAsia="en-GB"/>
        </w:rPr>
      </w:pPr>
      <w:r w:rsidRPr="004F2482">
        <w:rPr>
          <w:rFonts w:eastAsia="Calibri" w:cs="Arial"/>
          <w:bCs/>
          <w:i/>
          <w:iCs/>
          <w:sz w:val="24"/>
          <w:szCs w:val="24"/>
          <w:lang w:eastAsia="en-GB"/>
        </w:rPr>
        <w:t>Praha</w:t>
      </w:r>
    </w:p>
    <w:p w14:paraId="0AD99F15" w14:textId="77777777" w:rsidR="004F2482" w:rsidRPr="004F2482" w:rsidRDefault="004F2482" w:rsidP="004F2482">
      <w:pPr>
        <w:jc w:val="both"/>
        <w:rPr>
          <w:sz w:val="24"/>
          <w:szCs w:val="24"/>
          <w:lang w:eastAsia="cs-CZ"/>
        </w:rPr>
      </w:pPr>
    </w:p>
    <w:sectPr w:rsidR="004F2482" w:rsidRPr="004F2482" w:rsidSect="00BC3621">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87DC" w14:textId="77777777" w:rsidR="003E1FDE" w:rsidRDefault="003E1FDE" w:rsidP="00774809">
      <w:pPr>
        <w:spacing w:after="0" w:line="240" w:lineRule="auto"/>
      </w:pPr>
      <w:r>
        <w:separator/>
      </w:r>
    </w:p>
  </w:endnote>
  <w:endnote w:type="continuationSeparator" w:id="0">
    <w:p w14:paraId="2CE11398" w14:textId="77777777" w:rsidR="003E1FDE" w:rsidRDefault="003E1FDE" w:rsidP="0077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491250"/>
      <w:docPartObj>
        <w:docPartGallery w:val="Page Numbers (Bottom of Page)"/>
        <w:docPartUnique/>
      </w:docPartObj>
    </w:sdtPr>
    <w:sdtContent>
      <w:p w14:paraId="74DC213A" w14:textId="0F1B1DA0" w:rsidR="008F5434" w:rsidRDefault="008F5434">
        <w:pPr>
          <w:pStyle w:val="Zpat"/>
          <w:jc w:val="right"/>
        </w:pPr>
        <w:r>
          <w:fldChar w:fldCharType="begin"/>
        </w:r>
        <w:r>
          <w:instrText>PAGE   \* MERGEFORMAT</w:instrText>
        </w:r>
        <w:r>
          <w:fldChar w:fldCharType="separate"/>
        </w:r>
        <w:r>
          <w:t>2</w:t>
        </w:r>
        <w:r>
          <w:fldChar w:fldCharType="end"/>
        </w:r>
      </w:p>
    </w:sdtContent>
  </w:sdt>
  <w:p w14:paraId="49A232DC" w14:textId="77777777" w:rsidR="008F5434" w:rsidRDefault="008F54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5C80" w14:textId="77777777" w:rsidR="003E1FDE" w:rsidRDefault="003E1FDE" w:rsidP="00774809">
      <w:pPr>
        <w:spacing w:after="0" w:line="240" w:lineRule="auto"/>
      </w:pPr>
      <w:r>
        <w:separator/>
      </w:r>
    </w:p>
  </w:footnote>
  <w:footnote w:type="continuationSeparator" w:id="0">
    <w:p w14:paraId="29C6CA67" w14:textId="77777777" w:rsidR="003E1FDE" w:rsidRDefault="003E1FDE" w:rsidP="00774809">
      <w:pPr>
        <w:spacing w:after="0" w:line="240" w:lineRule="auto"/>
      </w:pPr>
      <w:r>
        <w:continuationSeparator/>
      </w:r>
    </w:p>
  </w:footnote>
  <w:footnote w:id="1">
    <w:p w14:paraId="02E53224" w14:textId="77777777" w:rsidR="0056737D" w:rsidRDefault="0056737D" w:rsidP="0056737D">
      <w:pPr>
        <w:pStyle w:val="Textpoznpodarou"/>
      </w:pPr>
      <w:r>
        <w:rPr>
          <w:rStyle w:val="Znakapoznpodarou"/>
        </w:rPr>
        <w:footnoteRef/>
      </w:r>
      <w:r>
        <w:t xml:space="preserve"> </w:t>
      </w:r>
      <w:r w:rsidRPr="003B38DF">
        <w:rPr>
          <w:sz w:val="18"/>
          <w:szCs w:val="18"/>
        </w:rPr>
        <w:t>Příloha 1 dokumentu COM(2013) 91</w:t>
      </w:r>
    </w:p>
  </w:footnote>
  <w:footnote w:id="2">
    <w:p w14:paraId="2DC146C0" w14:textId="77777777" w:rsidR="0056737D" w:rsidRPr="003B38DF" w:rsidRDefault="0056737D" w:rsidP="0056737D">
      <w:pPr>
        <w:pStyle w:val="Textpoznpodarou"/>
        <w:rPr>
          <w:sz w:val="18"/>
          <w:szCs w:val="18"/>
        </w:rPr>
      </w:pPr>
      <w:r w:rsidRPr="003B38DF">
        <w:rPr>
          <w:rStyle w:val="Znakapoznpodarou"/>
          <w:sz w:val="18"/>
          <w:szCs w:val="18"/>
        </w:rPr>
        <w:footnoteRef/>
      </w:r>
      <w:r w:rsidRPr="003B38DF">
        <w:rPr>
          <w:sz w:val="18"/>
          <w:szCs w:val="18"/>
        </w:rPr>
        <w:t xml:space="preserve"> </w:t>
      </w:r>
      <w:hyperlink r:id="rId1" w:anchor="ntr11-L_2023073CS.01002301-E0011" w:history="1">
        <w:r w:rsidRPr="003B38DF">
          <w:rPr>
            <w:rStyle w:val="Hypertextovodkaz"/>
            <w:sz w:val="18"/>
            <w:szCs w:val="18"/>
          </w:rPr>
          <w:t>L_2023073CS.01002301.xml</w:t>
        </w:r>
      </w:hyperlink>
    </w:p>
  </w:footnote>
  <w:footnote w:id="3">
    <w:p w14:paraId="6AC40C04" w14:textId="77777777" w:rsidR="0056737D" w:rsidRPr="003B38DF" w:rsidRDefault="0056737D" w:rsidP="0056737D">
      <w:pPr>
        <w:pStyle w:val="Textpoznpodarou"/>
        <w:rPr>
          <w:sz w:val="18"/>
          <w:szCs w:val="18"/>
        </w:rPr>
      </w:pPr>
      <w:r w:rsidRPr="003B38DF">
        <w:rPr>
          <w:rStyle w:val="Znakapoznpodarou"/>
          <w:sz w:val="18"/>
          <w:szCs w:val="18"/>
        </w:rPr>
        <w:footnoteRef/>
      </w:r>
      <w:r w:rsidRPr="003B38DF">
        <w:rPr>
          <w:sz w:val="18"/>
          <w:szCs w:val="18"/>
        </w:rPr>
        <w:t xml:space="preserve"> </w:t>
      </w:r>
      <w:hyperlink r:id="rId2" w:history="1">
        <w:r w:rsidRPr="003B38DF">
          <w:rPr>
            <w:rStyle w:val="Hypertextovodkaz"/>
            <w:sz w:val="18"/>
            <w:szCs w:val="18"/>
          </w:rPr>
          <w:t>Nařízení Evropského parlamentu a Rady (EU) 2024/1679 ze dne 13. června 2024 o hlavních směrech Unie pro rozvoj transevropské dopravní sítě, o změně nařízení (EU) 2021/1153 a (EU) č. 913/2010 a o zrušení nařízení (EU) č. 1315/2013Text s významem pro EHP.</w:t>
        </w:r>
      </w:hyperlink>
    </w:p>
  </w:footnote>
  <w:footnote w:id="4">
    <w:p w14:paraId="7499DC66" w14:textId="242DFBF3" w:rsidR="00887FB7" w:rsidRDefault="00887FB7" w:rsidP="00D77BB6">
      <w:pPr>
        <w:ind w:hanging="142"/>
        <w:jc w:val="both"/>
        <w:rPr>
          <w:sz w:val="6"/>
          <w:szCs w:val="6"/>
        </w:rPr>
      </w:pPr>
      <w:r>
        <w:rPr>
          <w:rStyle w:val="Znakapoznpodarou"/>
          <w:sz w:val="16"/>
          <w:szCs w:val="16"/>
        </w:rPr>
        <w:footnoteRef/>
      </w:r>
      <w:r>
        <w:rPr>
          <w:sz w:val="16"/>
          <w:szCs w:val="16"/>
        </w:rPr>
        <w:t xml:space="preserve">  </w:t>
      </w:r>
      <w:r>
        <w:rPr>
          <w:i/>
          <w:iCs/>
          <w:sz w:val="16"/>
          <w:szCs w:val="16"/>
        </w:rPr>
        <w:t>Zelená dohoda pro Evropu</w:t>
      </w:r>
      <w:r>
        <w:rPr>
          <w:sz w:val="16"/>
          <w:szCs w:val="16"/>
        </w:rPr>
        <w:t xml:space="preserve"> (COM(2019) 640 final) stanoví cíl dosáhnout do roku 2050 klimaticky neutrálního hospodářství EU. Vyzývá ke snížení emisí skleníkových plynů z dopravy o 90 %. Navazující </w:t>
      </w:r>
      <w:r>
        <w:rPr>
          <w:i/>
          <w:iCs/>
          <w:sz w:val="16"/>
          <w:szCs w:val="16"/>
        </w:rPr>
        <w:t>Strategie pro udržitelnou a inteligentní mobilitu</w:t>
      </w:r>
      <w:r>
        <w:rPr>
          <w:sz w:val="16"/>
          <w:szCs w:val="16"/>
        </w:rPr>
        <w:t xml:space="preserve"> (COM(2020) 789 final) stanovila konkrétní opatření, která mají pomoci tohoto cíle dosáhnout, včetně opatření na podporu udržitelné, inteligentní, bezpečné a zdravé městské mobility.</w:t>
      </w:r>
    </w:p>
  </w:footnote>
  <w:footnote w:id="5">
    <w:p w14:paraId="4DA936E8" w14:textId="77777777" w:rsidR="00887FB7" w:rsidRDefault="00887FB7" w:rsidP="00887FB7">
      <w:pPr>
        <w:pStyle w:val="Textpoznpodarou"/>
        <w:ind w:hanging="142"/>
        <w:rPr>
          <w:sz w:val="16"/>
          <w:szCs w:val="16"/>
        </w:rPr>
      </w:pPr>
      <w:r>
        <w:rPr>
          <w:rStyle w:val="Znakapoznpodarou"/>
          <w:sz w:val="16"/>
          <w:szCs w:val="16"/>
        </w:rPr>
        <w:footnoteRef/>
      </w:r>
      <w:r>
        <w:rPr>
          <w:sz w:val="16"/>
          <w:szCs w:val="16"/>
        </w:rPr>
        <w:t xml:space="preserve"> </w:t>
      </w:r>
      <w:r>
        <w:rPr>
          <w:sz w:val="16"/>
          <w:szCs w:val="16"/>
        </w:rPr>
        <w:tab/>
      </w:r>
      <w:r>
        <w:rPr>
          <w:i/>
          <w:iCs/>
          <w:sz w:val="16"/>
          <w:szCs w:val="16"/>
        </w:rPr>
        <w:t>Agendu udržitelného rozvoje OSN</w:t>
      </w:r>
      <w:r>
        <w:rPr>
          <w:sz w:val="16"/>
          <w:szCs w:val="16"/>
        </w:rPr>
        <w:t xml:space="preserve"> schválil summit OSN dne 25. září 2015 v New Yorku v oficiálním dokumentu</w:t>
      </w:r>
      <w:r>
        <w:rPr>
          <w:i/>
          <w:iCs/>
          <w:sz w:val="16"/>
          <w:szCs w:val="16"/>
        </w:rPr>
        <w:t xml:space="preserve"> Transforming our World: The 2030 Agenda for Sustainable Development</w:t>
      </w:r>
      <w:r>
        <w:rPr>
          <w:sz w:val="16"/>
          <w:szCs w:val="16"/>
        </w:rPr>
        <w:t>. Jeho součástí jsou definované Cíle udržitelného rozvoje (SDGs), přičemž Cíl 11: Vytvořit inkluzivní, bezpečná a udržitelná města a obce, reflektuje závažnost této problematiky na celosvětové úrovni</w:t>
      </w:r>
      <w:r>
        <w:rPr>
          <w:i/>
          <w:iCs/>
          <w:sz w:val="16"/>
          <w:szCs w:val="16"/>
        </w:rPr>
        <w:t xml:space="preserve"> </w:t>
      </w:r>
      <w:r>
        <w:rPr>
          <w:sz w:val="16"/>
          <w:szCs w:val="16"/>
        </w:rPr>
        <w:t xml:space="preserve">(blíže viz </w:t>
      </w:r>
      <w:hyperlink r:id="rId3" w:history="1">
        <w:r>
          <w:rPr>
            <w:rStyle w:val="Hypertextovodkaz"/>
            <w:sz w:val="16"/>
            <w:szCs w:val="16"/>
          </w:rPr>
          <w:t>Cities - United Nations Sustainable Development Action 2015</w:t>
        </w:r>
      </w:hyperlink>
      <w:r>
        <w:rPr>
          <w:sz w:val="16"/>
          <w:szCs w:val="16"/>
        </w:rPr>
        <w:t>).</w:t>
      </w:r>
    </w:p>
  </w:footnote>
  <w:footnote w:id="6">
    <w:p w14:paraId="0CC7E726" w14:textId="77777777" w:rsidR="000F3EB5" w:rsidRPr="008A0C77" w:rsidRDefault="000F3EB5" w:rsidP="000F3EB5">
      <w:pPr>
        <w:pStyle w:val="Textpoznpodarou"/>
        <w:ind w:hanging="142"/>
        <w:rPr>
          <w:sz w:val="16"/>
          <w:szCs w:val="16"/>
        </w:rPr>
      </w:pPr>
      <w:r w:rsidRPr="008A0C77">
        <w:rPr>
          <w:rStyle w:val="Znakapoznpodarou"/>
          <w:sz w:val="16"/>
          <w:szCs w:val="16"/>
        </w:rPr>
        <w:footnoteRef/>
      </w:r>
      <w:r w:rsidRPr="008A0C77">
        <w:rPr>
          <w:sz w:val="16"/>
          <w:szCs w:val="16"/>
        </w:rPr>
        <w:t xml:space="preserve"> Viz: </w:t>
      </w:r>
      <w:hyperlink r:id="rId4" w:history="1">
        <w:r w:rsidRPr="008A0C77">
          <w:rPr>
            <w:color w:val="0000FF"/>
            <w:sz w:val="16"/>
            <w:szCs w:val="16"/>
            <w:u w:val="single"/>
          </w:rPr>
          <w:t>EUR-Lex - 52021SC0047 - CS - EUR-Lex</w:t>
        </w:r>
      </w:hyperlink>
      <w:r w:rsidRPr="008A0C77">
        <w:rPr>
          <w:sz w:val="16"/>
          <w:szCs w:val="16"/>
        </w:rPr>
        <w:t xml:space="preserve"> (https://eur-lex.europa.eu/legal-content/en/TXT/?uri=CELEX:52021SC0047)</w:t>
      </w:r>
    </w:p>
  </w:footnote>
  <w:footnote w:id="7">
    <w:p w14:paraId="6BFB4F14" w14:textId="77777777" w:rsidR="000F3EB5" w:rsidRPr="000E3C3B" w:rsidRDefault="000F3EB5" w:rsidP="000F3EB5">
      <w:pPr>
        <w:pStyle w:val="Textpoznpodarou"/>
        <w:spacing w:before="60"/>
        <w:ind w:hanging="142"/>
        <w:rPr>
          <w:sz w:val="16"/>
          <w:szCs w:val="16"/>
        </w:rPr>
      </w:pPr>
      <w:r w:rsidRPr="000E3C3B">
        <w:rPr>
          <w:rStyle w:val="Znakapoznpodarou"/>
          <w:sz w:val="16"/>
          <w:szCs w:val="16"/>
        </w:rPr>
        <w:footnoteRef/>
      </w:r>
      <w:r w:rsidRPr="000E3C3B">
        <w:rPr>
          <w:sz w:val="16"/>
          <w:szCs w:val="16"/>
        </w:rPr>
        <w:t xml:space="preserve"> Zvláštní zpráva 06/2020: Udržitelná městská mobilita v EU: bez odhodlání členských států není možné podstatné zlepšení</w:t>
      </w:r>
      <w:r>
        <w:rPr>
          <w:sz w:val="16"/>
          <w:szCs w:val="16"/>
        </w:rPr>
        <w:t>.</w:t>
      </w:r>
    </w:p>
  </w:footnote>
  <w:footnote w:id="8">
    <w:p w14:paraId="2B14E8C3" w14:textId="77777777" w:rsidR="006D2040" w:rsidRPr="00122CBB" w:rsidRDefault="006D2040" w:rsidP="006D2040">
      <w:pPr>
        <w:pStyle w:val="Textpoznpodarou"/>
        <w:spacing w:before="60"/>
        <w:ind w:hanging="142"/>
        <w:rPr>
          <w:sz w:val="16"/>
          <w:szCs w:val="16"/>
        </w:rPr>
      </w:pPr>
      <w:r w:rsidRPr="00122CBB">
        <w:rPr>
          <w:rStyle w:val="Znakapoznpodarou"/>
          <w:sz w:val="16"/>
          <w:szCs w:val="16"/>
        </w:rPr>
        <w:footnoteRef/>
      </w:r>
      <w:r>
        <w:rPr>
          <w:sz w:val="16"/>
          <w:szCs w:val="16"/>
        </w:rPr>
        <w:t xml:space="preserve"> </w:t>
      </w:r>
      <w:r w:rsidRPr="00122CBB">
        <w:rPr>
          <w:sz w:val="16"/>
          <w:szCs w:val="16"/>
        </w:rPr>
        <w:t>Nařízení Evropského parlamentu a Rady (EU) 2024/1679 ze dne 13. června 2024 o hlavních směrech Unie pro rozvoj   transevropské dopravní sítě</w:t>
      </w:r>
      <w:r>
        <w:rPr>
          <w:sz w:val="16"/>
          <w:szCs w:val="16"/>
        </w:rPr>
        <w:t>, str. 10 (bod 63).</w:t>
      </w:r>
      <w:r w:rsidRPr="00122CBB">
        <w:rPr>
          <w:sz w:val="16"/>
          <w:szCs w:val="16"/>
        </w:rPr>
        <w:t xml:space="preserve"> </w:t>
      </w:r>
    </w:p>
  </w:footnote>
  <w:footnote w:id="9">
    <w:p w14:paraId="03B07ADE" w14:textId="77777777" w:rsidR="00066F0B" w:rsidRPr="00965439" w:rsidRDefault="00066F0B" w:rsidP="00062D9C">
      <w:pPr>
        <w:pStyle w:val="Textpoznpodarou"/>
        <w:spacing w:before="60"/>
        <w:rPr>
          <w:sz w:val="16"/>
          <w:szCs w:val="16"/>
        </w:rPr>
      </w:pPr>
      <w:r w:rsidRPr="4308C21F">
        <w:rPr>
          <w:rStyle w:val="Znakapoznpodarou"/>
          <w:rFonts w:ascii="Aptos" w:eastAsia="Aptos" w:hAnsi="Aptos" w:cs="Aptos"/>
        </w:rPr>
        <w:footnoteRef/>
      </w:r>
      <w:r w:rsidR="4308C21F" w:rsidRPr="4308C21F">
        <w:rPr>
          <w:rFonts w:ascii="Aptos" w:eastAsia="Aptos" w:hAnsi="Aptos" w:cs="Aptos"/>
        </w:rPr>
        <w:t xml:space="preserve"> Nařízení Evropského parlamentu a Rady (EU) č. 1315/2013 ze dne 11. prosince 2013 o hlavních směrech Unie pro rozvoj transevropské dopravní sítě a o zrušení rozhodnutí č. 661/2010/EU</w:t>
      </w:r>
    </w:p>
  </w:footnote>
  <w:footnote w:id="10">
    <w:p w14:paraId="795BFC62" w14:textId="77777777" w:rsidR="00B644B4" w:rsidRDefault="00B644B4" w:rsidP="00B644B4">
      <w:pPr>
        <w:pStyle w:val="Textpoznpodarou"/>
        <w:ind w:firstLine="708"/>
      </w:pPr>
      <w:r w:rsidRPr="4308C21F">
        <w:rPr>
          <w:rStyle w:val="Znakapoznpodarou"/>
          <w:rFonts w:ascii="Aptos" w:eastAsia="Aptos" w:hAnsi="Aptos" w:cs="Aptos"/>
        </w:rPr>
        <w:footnoteRef/>
      </w:r>
      <w:r w:rsidRPr="4308C21F">
        <w:rPr>
          <w:rFonts w:ascii="Aptos" w:eastAsia="Aptos" w:hAnsi="Aptos" w:cs="Aptos"/>
        </w:rPr>
        <w:t xml:space="preserve"> </w:t>
      </w:r>
      <w:hyperlink r:id="rId5" w:history="1">
        <w:r w:rsidRPr="4308C21F">
          <w:rPr>
            <w:rStyle w:val="Hypertextovodkaz"/>
            <w:rFonts w:ascii="Aptos" w:eastAsia="Aptos" w:hAnsi="Aptos" w:cs="Aptos"/>
          </w:rPr>
          <w:t>7be18abd-4901-420a-b3a7-2485c96a7e0a_cs</w:t>
        </w:r>
      </w:hyperlink>
    </w:p>
  </w:footnote>
  <w:footnote w:id="11">
    <w:p w14:paraId="034BF9DA" w14:textId="77777777" w:rsidR="0038000A" w:rsidRPr="00C77628" w:rsidRDefault="0038000A" w:rsidP="0038000A">
      <w:pPr>
        <w:pStyle w:val="Textpoznpodarou"/>
        <w:rPr>
          <w:sz w:val="16"/>
          <w:szCs w:val="16"/>
        </w:rPr>
      </w:pPr>
      <w:r w:rsidRPr="00C77628">
        <w:rPr>
          <w:rStyle w:val="Znakapoznpodarou"/>
          <w:sz w:val="16"/>
          <w:szCs w:val="16"/>
        </w:rPr>
        <w:footnoteRef/>
      </w:r>
      <w:r w:rsidRPr="00C77628">
        <w:rPr>
          <w:sz w:val="16"/>
          <w:szCs w:val="16"/>
        </w:rPr>
        <w:t xml:space="preserve"> Blíže viz: </w:t>
      </w:r>
      <w:hyperlink r:id="rId6" w:history="1">
        <w:r w:rsidRPr="00C77628">
          <w:rPr>
            <w:rStyle w:val="Hypertextovodkaz"/>
            <w:sz w:val="16"/>
            <w:szCs w:val="16"/>
          </w:rPr>
          <w:t>Odborná skupina pro městskou mobilitu – mobilita a doprava</w:t>
        </w:r>
      </w:hyperlink>
    </w:p>
  </w:footnote>
  <w:footnote w:id="12">
    <w:p w14:paraId="49FB7DE8" w14:textId="77777777" w:rsidR="0084184E" w:rsidRPr="00C77628" w:rsidRDefault="0084184E" w:rsidP="0084184E">
      <w:pPr>
        <w:pStyle w:val="Textpoznpodarou"/>
        <w:rPr>
          <w:sz w:val="16"/>
          <w:szCs w:val="16"/>
        </w:rPr>
      </w:pPr>
      <w:r w:rsidRPr="00C77628">
        <w:rPr>
          <w:rStyle w:val="Znakapoznpodarou"/>
          <w:sz w:val="16"/>
          <w:szCs w:val="16"/>
        </w:rPr>
        <w:footnoteRef/>
      </w:r>
      <w:r w:rsidRPr="00C77628">
        <w:rPr>
          <w:sz w:val="16"/>
          <w:szCs w:val="16"/>
        </w:rPr>
        <w:t xml:space="preserve"> Blíže viz: </w:t>
      </w:r>
      <w:hyperlink r:id="rId7" w:history="1">
        <w:r w:rsidRPr="00C77628">
          <w:rPr>
            <w:color w:val="0000FF"/>
            <w:sz w:val="16"/>
            <w:szCs w:val="16"/>
            <w:u w:val="single"/>
          </w:rPr>
          <w:t>Vymezení území pro Integrované teritoriální investice (ITI) v ČR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79.5pt;visibility:visible;mso-wrap-style:square;mso-left-percent:-10001;mso-top-percent:-10001;mso-position-horizontal:absolute;mso-position-horizontal-relative:char;mso-position-vertical:absolute;mso-position-vertical-relative:line;mso-left-percent:-10001;mso-top-percent:-10001" o:bullet="t"/>
    </w:pict>
  </w:numPicBullet>
  <w:abstractNum w:abstractNumId="0" w15:restartNumberingAfterBreak="0">
    <w:nsid w:val="01D03E80"/>
    <w:multiLevelType w:val="multilevel"/>
    <w:tmpl w:val="D2C6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766DC"/>
    <w:multiLevelType w:val="hybridMultilevel"/>
    <w:tmpl w:val="C4081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EB04F6"/>
    <w:multiLevelType w:val="hybridMultilevel"/>
    <w:tmpl w:val="47D06E3C"/>
    <w:lvl w:ilvl="0" w:tplc="4E487B7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7025A3"/>
    <w:multiLevelType w:val="hybridMultilevel"/>
    <w:tmpl w:val="3AD085AA"/>
    <w:lvl w:ilvl="0" w:tplc="0405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0F467F"/>
    <w:multiLevelType w:val="hybridMultilevel"/>
    <w:tmpl w:val="68EED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694C91"/>
    <w:multiLevelType w:val="hybridMultilevel"/>
    <w:tmpl w:val="4D8EA14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571375D"/>
    <w:multiLevelType w:val="hybridMultilevel"/>
    <w:tmpl w:val="75D86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490D8C"/>
    <w:multiLevelType w:val="hybridMultilevel"/>
    <w:tmpl w:val="D0746CEE"/>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8" w15:restartNumberingAfterBreak="0">
    <w:nsid w:val="1EF72F66"/>
    <w:multiLevelType w:val="multilevel"/>
    <w:tmpl w:val="0F1AC92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20D11724"/>
    <w:multiLevelType w:val="hybridMultilevel"/>
    <w:tmpl w:val="DD78FB52"/>
    <w:lvl w:ilvl="0" w:tplc="0405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AC0658"/>
    <w:multiLevelType w:val="hybridMultilevel"/>
    <w:tmpl w:val="91F4D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2E726A"/>
    <w:multiLevelType w:val="hybridMultilevel"/>
    <w:tmpl w:val="231AE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15568E"/>
    <w:multiLevelType w:val="hybridMultilevel"/>
    <w:tmpl w:val="BDDC2C90"/>
    <w:lvl w:ilvl="0" w:tplc="040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9D15A3"/>
    <w:multiLevelType w:val="hybridMultilevel"/>
    <w:tmpl w:val="3EA22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3013C"/>
    <w:multiLevelType w:val="hybridMultilevel"/>
    <w:tmpl w:val="D61EF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5D21B6"/>
    <w:multiLevelType w:val="hybridMultilevel"/>
    <w:tmpl w:val="24D2E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2B1DA2"/>
    <w:multiLevelType w:val="multilevel"/>
    <w:tmpl w:val="22D46C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15B2B4A"/>
    <w:multiLevelType w:val="multilevel"/>
    <w:tmpl w:val="D08635FC"/>
    <w:lvl w:ilvl="0">
      <w:start w:val="1"/>
      <w:numFmt w:val="bullet"/>
      <w:lvlText w:val=""/>
      <w:lvlJc w:val="left"/>
      <w:pPr>
        <w:tabs>
          <w:tab w:val="num" w:pos="4230"/>
        </w:tabs>
        <w:ind w:left="4230" w:hanging="360"/>
      </w:pPr>
      <w:rPr>
        <w:rFonts w:ascii="Symbol" w:hAnsi="Symbol" w:hint="default"/>
        <w:sz w:val="20"/>
      </w:rPr>
    </w:lvl>
    <w:lvl w:ilvl="1" w:tentative="1">
      <w:start w:val="1"/>
      <w:numFmt w:val="bullet"/>
      <w:lvlText w:val="o"/>
      <w:lvlJc w:val="left"/>
      <w:pPr>
        <w:tabs>
          <w:tab w:val="num" w:pos="4950"/>
        </w:tabs>
        <w:ind w:left="4950" w:hanging="360"/>
      </w:pPr>
      <w:rPr>
        <w:rFonts w:ascii="Courier New" w:hAnsi="Courier New" w:hint="default"/>
        <w:sz w:val="20"/>
      </w:rPr>
    </w:lvl>
    <w:lvl w:ilvl="2" w:tentative="1">
      <w:start w:val="1"/>
      <w:numFmt w:val="bullet"/>
      <w:lvlText w:val=""/>
      <w:lvlJc w:val="left"/>
      <w:pPr>
        <w:tabs>
          <w:tab w:val="num" w:pos="5670"/>
        </w:tabs>
        <w:ind w:left="5670" w:hanging="360"/>
      </w:pPr>
      <w:rPr>
        <w:rFonts w:ascii="Wingdings" w:hAnsi="Wingdings" w:hint="default"/>
        <w:sz w:val="20"/>
      </w:rPr>
    </w:lvl>
    <w:lvl w:ilvl="3" w:tentative="1">
      <w:start w:val="1"/>
      <w:numFmt w:val="bullet"/>
      <w:lvlText w:val=""/>
      <w:lvlJc w:val="left"/>
      <w:pPr>
        <w:tabs>
          <w:tab w:val="num" w:pos="6390"/>
        </w:tabs>
        <w:ind w:left="6390" w:hanging="360"/>
      </w:pPr>
      <w:rPr>
        <w:rFonts w:ascii="Wingdings" w:hAnsi="Wingdings" w:hint="default"/>
        <w:sz w:val="20"/>
      </w:rPr>
    </w:lvl>
    <w:lvl w:ilvl="4" w:tentative="1">
      <w:start w:val="1"/>
      <w:numFmt w:val="bullet"/>
      <w:lvlText w:val=""/>
      <w:lvlJc w:val="left"/>
      <w:pPr>
        <w:tabs>
          <w:tab w:val="num" w:pos="7110"/>
        </w:tabs>
        <w:ind w:left="7110" w:hanging="360"/>
      </w:pPr>
      <w:rPr>
        <w:rFonts w:ascii="Wingdings" w:hAnsi="Wingdings" w:hint="default"/>
        <w:sz w:val="20"/>
      </w:rPr>
    </w:lvl>
    <w:lvl w:ilvl="5" w:tentative="1">
      <w:start w:val="1"/>
      <w:numFmt w:val="bullet"/>
      <w:lvlText w:val=""/>
      <w:lvlJc w:val="left"/>
      <w:pPr>
        <w:tabs>
          <w:tab w:val="num" w:pos="7830"/>
        </w:tabs>
        <w:ind w:left="7830" w:hanging="360"/>
      </w:pPr>
      <w:rPr>
        <w:rFonts w:ascii="Wingdings" w:hAnsi="Wingdings" w:hint="default"/>
        <w:sz w:val="20"/>
      </w:rPr>
    </w:lvl>
    <w:lvl w:ilvl="6" w:tentative="1">
      <w:start w:val="1"/>
      <w:numFmt w:val="bullet"/>
      <w:lvlText w:val=""/>
      <w:lvlJc w:val="left"/>
      <w:pPr>
        <w:tabs>
          <w:tab w:val="num" w:pos="8550"/>
        </w:tabs>
        <w:ind w:left="8550" w:hanging="360"/>
      </w:pPr>
      <w:rPr>
        <w:rFonts w:ascii="Wingdings" w:hAnsi="Wingdings" w:hint="default"/>
        <w:sz w:val="20"/>
      </w:rPr>
    </w:lvl>
    <w:lvl w:ilvl="7" w:tentative="1">
      <w:start w:val="1"/>
      <w:numFmt w:val="bullet"/>
      <w:lvlText w:val=""/>
      <w:lvlJc w:val="left"/>
      <w:pPr>
        <w:tabs>
          <w:tab w:val="num" w:pos="9270"/>
        </w:tabs>
        <w:ind w:left="9270" w:hanging="360"/>
      </w:pPr>
      <w:rPr>
        <w:rFonts w:ascii="Wingdings" w:hAnsi="Wingdings" w:hint="default"/>
        <w:sz w:val="20"/>
      </w:rPr>
    </w:lvl>
    <w:lvl w:ilvl="8" w:tentative="1">
      <w:start w:val="1"/>
      <w:numFmt w:val="bullet"/>
      <w:lvlText w:val=""/>
      <w:lvlJc w:val="left"/>
      <w:pPr>
        <w:tabs>
          <w:tab w:val="num" w:pos="9990"/>
        </w:tabs>
        <w:ind w:left="9990" w:hanging="360"/>
      </w:pPr>
      <w:rPr>
        <w:rFonts w:ascii="Wingdings" w:hAnsi="Wingdings" w:hint="default"/>
        <w:sz w:val="20"/>
      </w:rPr>
    </w:lvl>
  </w:abstractNum>
  <w:abstractNum w:abstractNumId="18" w15:restartNumberingAfterBreak="0">
    <w:nsid w:val="32603FE0"/>
    <w:multiLevelType w:val="hybridMultilevel"/>
    <w:tmpl w:val="2418F71C"/>
    <w:lvl w:ilvl="0" w:tplc="FFFFFFFF">
      <w:start w:val="1"/>
      <w:numFmt w:val="bullet"/>
      <w:lvlText w:val=""/>
      <w:lvlJc w:val="left"/>
      <w:pPr>
        <w:ind w:left="1070" w:hanging="360"/>
      </w:pPr>
      <w:rPr>
        <w:rFonts w:ascii="Symbol" w:hAnsi="Symbol" w:hint="default"/>
      </w:rPr>
    </w:lvl>
    <w:lvl w:ilvl="1" w:tplc="04050001">
      <w:start w:val="1"/>
      <w:numFmt w:val="bullet"/>
      <w:lvlText w:val=""/>
      <w:lvlJc w:val="left"/>
      <w:pPr>
        <w:ind w:left="1790" w:hanging="360"/>
      </w:pPr>
      <w:rPr>
        <w:rFonts w:ascii="Symbol" w:hAnsi="Symbol"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355834B2"/>
    <w:multiLevelType w:val="hybridMultilevel"/>
    <w:tmpl w:val="B65A2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88A4783"/>
    <w:multiLevelType w:val="hybridMultilevel"/>
    <w:tmpl w:val="5DF84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E719ED"/>
    <w:multiLevelType w:val="hybridMultilevel"/>
    <w:tmpl w:val="8432FC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A8070C"/>
    <w:multiLevelType w:val="hybridMultilevel"/>
    <w:tmpl w:val="2AF8B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1464F4"/>
    <w:multiLevelType w:val="hybridMultilevel"/>
    <w:tmpl w:val="FB2A0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AD3296"/>
    <w:multiLevelType w:val="multilevel"/>
    <w:tmpl w:val="A054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B37BAA"/>
    <w:multiLevelType w:val="hybridMultilevel"/>
    <w:tmpl w:val="9946A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AC34A2"/>
    <w:multiLevelType w:val="hybridMultilevel"/>
    <w:tmpl w:val="422CE26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3B2E2A"/>
    <w:multiLevelType w:val="hybridMultilevel"/>
    <w:tmpl w:val="9B9AD4C8"/>
    <w:lvl w:ilvl="0" w:tplc="B292238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7F64A1"/>
    <w:multiLevelType w:val="hybridMultilevel"/>
    <w:tmpl w:val="B0124C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9A7AD4"/>
    <w:multiLevelType w:val="hybridMultilevel"/>
    <w:tmpl w:val="09D8F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A0641C"/>
    <w:multiLevelType w:val="multilevel"/>
    <w:tmpl w:val="AE5A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94E67"/>
    <w:multiLevelType w:val="hybridMultilevel"/>
    <w:tmpl w:val="0C963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4B0F05"/>
    <w:multiLevelType w:val="hybridMultilevel"/>
    <w:tmpl w:val="A9B2B1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071BDD"/>
    <w:multiLevelType w:val="hybridMultilevel"/>
    <w:tmpl w:val="255A4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6D57A8"/>
    <w:multiLevelType w:val="hybridMultilevel"/>
    <w:tmpl w:val="5A68A4F0"/>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AB7F4A"/>
    <w:multiLevelType w:val="hybridMultilevel"/>
    <w:tmpl w:val="905A5B52"/>
    <w:lvl w:ilvl="0" w:tplc="0405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7A979D6"/>
    <w:multiLevelType w:val="hybridMultilevel"/>
    <w:tmpl w:val="C570D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6044A3"/>
    <w:multiLevelType w:val="multilevel"/>
    <w:tmpl w:val="A664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9B2B39"/>
    <w:multiLevelType w:val="multilevel"/>
    <w:tmpl w:val="E9D2C4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C2637C9"/>
    <w:multiLevelType w:val="hybridMultilevel"/>
    <w:tmpl w:val="207E038E"/>
    <w:lvl w:ilvl="0" w:tplc="0405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D7C0CF1"/>
    <w:multiLevelType w:val="hybridMultilevel"/>
    <w:tmpl w:val="1C565DB2"/>
    <w:lvl w:ilvl="0" w:tplc="0405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60057A"/>
    <w:multiLevelType w:val="hybridMultilevel"/>
    <w:tmpl w:val="AC32A5B0"/>
    <w:lvl w:ilvl="0" w:tplc="04050001">
      <w:start w:val="1"/>
      <w:numFmt w:val="bullet"/>
      <w:lvlText w:val=""/>
      <w:lvlJc w:val="left"/>
      <w:pPr>
        <w:ind w:left="1356" w:hanging="360"/>
      </w:pPr>
      <w:rPr>
        <w:rFonts w:ascii="Symbol" w:hAnsi="Symbol" w:hint="default"/>
      </w:rPr>
    </w:lvl>
    <w:lvl w:ilvl="1" w:tplc="04050003" w:tentative="1">
      <w:start w:val="1"/>
      <w:numFmt w:val="bullet"/>
      <w:lvlText w:val="o"/>
      <w:lvlJc w:val="left"/>
      <w:pPr>
        <w:ind w:left="2076" w:hanging="360"/>
      </w:pPr>
      <w:rPr>
        <w:rFonts w:ascii="Courier New" w:hAnsi="Courier New" w:cs="Courier New" w:hint="default"/>
      </w:rPr>
    </w:lvl>
    <w:lvl w:ilvl="2" w:tplc="04050005" w:tentative="1">
      <w:start w:val="1"/>
      <w:numFmt w:val="bullet"/>
      <w:lvlText w:val=""/>
      <w:lvlJc w:val="left"/>
      <w:pPr>
        <w:ind w:left="2796" w:hanging="360"/>
      </w:pPr>
      <w:rPr>
        <w:rFonts w:ascii="Wingdings" w:hAnsi="Wingdings" w:hint="default"/>
      </w:rPr>
    </w:lvl>
    <w:lvl w:ilvl="3" w:tplc="04050001" w:tentative="1">
      <w:start w:val="1"/>
      <w:numFmt w:val="bullet"/>
      <w:lvlText w:val=""/>
      <w:lvlJc w:val="left"/>
      <w:pPr>
        <w:ind w:left="3516" w:hanging="360"/>
      </w:pPr>
      <w:rPr>
        <w:rFonts w:ascii="Symbol" w:hAnsi="Symbol" w:hint="default"/>
      </w:rPr>
    </w:lvl>
    <w:lvl w:ilvl="4" w:tplc="04050003" w:tentative="1">
      <w:start w:val="1"/>
      <w:numFmt w:val="bullet"/>
      <w:lvlText w:val="o"/>
      <w:lvlJc w:val="left"/>
      <w:pPr>
        <w:ind w:left="4236" w:hanging="360"/>
      </w:pPr>
      <w:rPr>
        <w:rFonts w:ascii="Courier New" w:hAnsi="Courier New" w:cs="Courier New" w:hint="default"/>
      </w:rPr>
    </w:lvl>
    <w:lvl w:ilvl="5" w:tplc="04050005" w:tentative="1">
      <w:start w:val="1"/>
      <w:numFmt w:val="bullet"/>
      <w:lvlText w:val=""/>
      <w:lvlJc w:val="left"/>
      <w:pPr>
        <w:ind w:left="4956" w:hanging="360"/>
      </w:pPr>
      <w:rPr>
        <w:rFonts w:ascii="Wingdings" w:hAnsi="Wingdings" w:hint="default"/>
      </w:rPr>
    </w:lvl>
    <w:lvl w:ilvl="6" w:tplc="04050001" w:tentative="1">
      <w:start w:val="1"/>
      <w:numFmt w:val="bullet"/>
      <w:lvlText w:val=""/>
      <w:lvlJc w:val="left"/>
      <w:pPr>
        <w:ind w:left="5676" w:hanging="360"/>
      </w:pPr>
      <w:rPr>
        <w:rFonts w:ascii="Symbol" w:hAnsi="Symbol" w:hint="default"/>
      </w:rPr>
    </w:lvl>
    <w:lvl w:ilvl="7" w:tplc="04050003" w:tentative="1">
      <w:start w:val="1"/>
      <w:numFmt w:val="bullet"/>
      <w:lvlText w:val="o"/>
      <w:lvlJc w:val="left"/>
      <w:pPr>
        <w:ind w:left="6396" w:hanging="360"/>
      </w:pPr>
      <w:rPr>
        <w:rFonts w:ascii="Courier New" w:hAnsi="Courier New" w:cs="Courier New" w:hint="default"/>
      </w:rPr>
    </w:lvl>
    <w:lvl w:ilvl="8" w:tplc="04050005" w:tentative="1">
      <w:start w:val="1"/>
      <w:numFmt w:val="bullet"/>
      <w:lvlText w:val=""/>
      <w:lvlJc w:val="left"/>
      <w:pPr>
        <w:ind w:left="7116" w:hanging="360"/>
      </w:pPr>
      <w:rPr>
        <w:rFonts w:ascii="Wingdings" w:hAnsi="Wingdings" w:hint="default"/>
      </w:rPr>
    </w:lvl>
  </w:abstractNum>
  <w:abstractNum w:abstractNumId="42" w15:restartNumberingAfterBreak="0">
    <w:nsid w:val="72F320FE"/>
    <w:multiLevelType w:val="hybridMultilevel"/>
    <w:tmpl w:val="C7080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6E72F4"/>
    <w:multiLevelType w:val="hybridMultilevel"/>
    <w:tmpl w:val="86EA2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CF232C"/>
    <w:multiLevelType w:val="hybridMultilevel"/>
    <w:tmpl w:val="2014E1F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6D52C4B"/>
    <w:multiLevelType w:val="hybridMultilevel"/>
    <w:tmpl w:val="A8C2A00C"/>
    <w:lvl w:ilvl="0" w:tplc="0405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77117A"/>
    <w:multiLevelType w:val="hybridMultilevel"/>
    <w:tmpl w:val="49E8C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F83CE6"/>
    <w:multiLevelType w:val="hybridMultilevel"/>
    <w:tmpl w:val="846804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1893712">
    <w:abstractNumId w:val="42"/>
  </w:num>
  <w:num w:numId="2" w16cid:durableId="487983125">
    <w:abstractNumId w:val="28"/>
  </w:num>
  <w:num w:numId="3" w16cid:durableId="789738034">
    <w:abstractNumId w:val="15"/>
  </w:num>
  <w:num w:numId="4" w16cid:durableId="1479765256">
    <w:abstractNumId w:val="13"/>
  </w:num>
  <w:num w:numId="5" w16cid:durableId="976304833">
    <w:abstractNumId w:val="23"/>
  </w:num>
  <w:num w:numId="6" w16cid:durableId="1544051078">
    <w:abstractNumId w:val="14"/>
  </w:num>
  <w:num w:numId="7" w16cid:durableId="760414443">
    <w:abstractNumId w:val="17"/>
  </w:num>
  <w:num w:numId="8" w16cid:durableId="1113550482">
    <w:abstractNumId w:val="8"/>
  </w:num>
  <w:num w:numId="9" w16cid:durableId="1261135631">
    <w:abstractNumId w:val="1"/>
  </w:num>
  <w:num w:numId="10" w16cid:durableId="132338474">
    <w:abstractNumId w:val="25"/>
  </w:num>
  <w:num w:numId="11" w16cid:durableId="1033847891">
    <w:abstractNumId w:val="32"/>
  </w:num>
  <w:num w:numId="12" w16cid:durableId="2142913893">
    <w:abstractNumId w:val="43"/>
  </w:num>
  <w:num w:numId="13" w16cid:durableId="2013946383">
    <w:abstractNumId w:val="12"/>
  </w:num>
  <w:num w:numId="14" w16cid:durableId="140276809">
    <w:abstractNumId w:val="9"/>
  </w:num>
  <w:num w:numId="15" w16cid:durableId="1758015304">
    <w:abstractNumId w:val="39"/>
  </w:num>
  <w:num w:numId="16" w16cid:durableId="1011831731">
    <w:abstractNumId w:val="29"/>
  </w:num>
  <w:num w:numId="17" w16cid:durableId="688456064">
    <w:abstractNumId w:val="16"/>
  </w:num>
  <w:num w:numId="18" w16cid:durableId="887374637">
    <w:abstractNumId w:val="31"/>
  </w:num>
  <w:num w:numId="19" w16cid:durableId="543105671">
    <w:abstractNumId w:val="22"/>
  </w:num>
  <w:num w:numId="20" w16cid:durableId="715005248">
    <w:abstractNumId w:val="7"/>
  </w:num>
  <w:num w:numId="21" w16cid:durableId="36590507">
    <w:abstractNumId w:val="11"/>
  </w:num>
  <w:num w:numId="22" w16cid:durableId="588122431">
    <w:abstractNumId w:val="26"/>
  </w:num>
  <w:num w:numId="23" w16cid:durableId="1013267493">
    <w:abstractNumId w:val="4"/>
  </w:num>
  <w:num w:numId="24" w16cid:durableId="1759710635">
    <w:abstractNumId w:val="6"/>
  </w:num>
  <w:num w:numId="25" w16cid:durableId="418647295">
    <w:abstractNumId w:val="21"/>
  </w:num>
  <w:num w:numId="26" w16cid:durableId="316539477">
    <w:abstractNumId w:val="20"/>
  </w:num>
  <w:num w:numId="27" w16cid:durableId="2078089914">
    <w:abstractNumId w:val="46"/>
  </w:num>
  <w:num w:numId="28" w16cid:durableId="808473095">
    <w:abstractNumId w:val="18"/>
  </w:num>
  <w:num w:numId="29" w16cid:durableId="395663084">
    <w:abstractNumId w:val="41"/>
  </w:num>
  <w:num w:numId="30" w16cid:durableId="894124489">
    <w:abstractNumId w:val="40"/>
  </w:num>
  <w:num w:numId="31" w16cid:durableId="104231533">
    <w:abstractNumId w:val="3"/>
  </w:num>
  <w:num w:numId="32" w16cid:durableId="2140831300">
    <w:abstractNumId w:val="45"/>
  </w:num>
  <w:num w:numId="33" w16cid:durableId="441195792">
    <w:abstractNumId w:val="34"/>
  </w:num>
  <w:num w:numId="34" w16cid:durableId="1976718978">
    <w:abstractNumId w:val="44"/>
  </w:num>
  <w:num w:numId="35" w16cid:durableId="52823163">
    <w:abstractNumId w:val="5"/>
  </w:num>
  <w:num w:numId="36" w16cid:durableId="1041443142">
    <w:abstractNumId w:val="24"/>
  </w:num>
  <w:num w:numId="37" w16cid:durableId="130490306">
    <w:abstractNumId w:val="37"/>
  </w:num>
  <w:num w:numId="38" w16cid:durableId="1894416381">
    <w:abstractNumId w:val="36"/>
  </w:num>
  <w:num w:numId="39" w16cid:durableId="1431776366">
    <w:abstractNumId w:val="2"/>
  </w:num>
  <w:num w:numId="40" w16cid:durableId="1213075830">
    <w:abstractNumId w:val="30"/>
  </w:num>
  <w:num w:numId="41" w16cid:durableId="702292875">
    <w:abstractNumId w:val="27"/>
  </w:num>
  <w:num w:numId="42" w16cid:durableId="938609268">
    <w:abstractNumId w:val="47"/>
  </w:num>
  <w:num w:numId="43" w16cid:durableId="1421830415">
    <w:abstractNumId w:val="38"/>
  </w:num>
  <w:num w:numId="44" w16cid:durableId="554849800">
    <w:abstractNumId w:val="19"/>
  </w:num>
  <w:num w:numId="45" w16cid:durableId="2092388915">
    <w:abstractNumId w:val="35"/>
  </w:num>
  <w:num w:numId="46" w16cid:durableId="1981642200">
    <w:abstractNumId w:val="10"/>
  </w:num>
  <w:num w:numId="47" w16cid:durableId="2000882610">
    <w:abstractNumId w:val="33"/>
  </w:num>
  <w:num w:numId="48" w16cid:durableId="62870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9F"/>
    <w:rsid w:val="0001078F"/>
    <w:rsid w:val="00010EE8"/>
    <w:rsid w:val="0001172D"/>
    <w:rsid w:val="00013BBC"/>
    <w:rsid w:val="0001428E"/>
    <w:rsid w:val="000160DB"/>
    <w:rsid w:val="0002021D"/>
    <w:rsid w:val="000217BE"/>
    <w:rsid w:val="00023B49"/>
    <w:rsid w:val="00035570"/>
    <w:rsid w:val="00040DD4"/>
    <w:rsid w:val="00042699"/>
    <w:rsid w:val="000449FB"/>
    <w:rsid w:val="0004522A"/>
    <w:rsid w:val="00046784"/>
    <w:rsid w:val="00047239"/>
    <w:rsid w:val="00052AB4"/>
    <w:rsid w:val="0005363A"/>
    <w:rsid w:val="000553CA"/>
    <w:rsid w:val="000573A5"/>
    <w:rsid w:val="00060995"/>
    <w:rsid w:val="000623C3"/>
    <w:rsid w:val="00062D9C"/>
    <w:rsid w:val="00066F0B"/>
    <w:rsid w:val="000678FF"/>
    <w:rsid w:val="000706FF"/>
    <w:rsid w:val="00074E5B"/>
    <w:rsid w:val="00080E0E"/>
    <w:rsid w:val="00082BDC"/>
    <w:rsid w:val="0008388C"/>
    <w:rsid w:val="00083BEF"/>
    <w:rsid w:val="00084E9A"/>
    <w:rsid w:val="00084FA9"/>
    <w:rsid w:val="00091F92"/>
    <w:rsid w:val="00097F2A"/>
    <w:rsid w:val="000A076F"/>
    <w:rsid w:val="000A1418"/>
    <w:rsid w:val="000A297E"/>
    <w:rsid w:val="000A4683"/>
    <w:rsid w:val="000A5A72"/>
    <w:rsid w:val="000A7B7D"/>
    <w:rsid w:val="000A7C76"/>
    <w:rsid w:val="000B35C5"/>
    <w:rsid w:val="000B3B1F"/>
    <w:rsid w:val="000B3CF1"/>
    <w:rsid w:val="000B4905"/>
    <w:rsid w:val="000B65AC"/>
    <w:rsid w:val="000C210A"/>
    <w:rsid w:val="000C4B40"/>
    <w:rsid w:val="000C6E18"/>
    <w:rsid w:val="000C75EF"/>
    <w:rsid w:val="000D0E89"/>
    <w:rsid w:val="000D1817"/>
    <w:rsid w:val="000E135B"/>
    <w:rsid w:val="000E3D10"/>
    <w:rsid w:val="000E3EFD"/>
    <w:rsid w:val="000E5162"/>
    <w:rsid w:val="000E621F"/>
    <w:rsid w:val="000E62AC"/>
    <w:rsid w:val="000F1B8D"/>
    <w:rsid w:val="000F2B39"/>
    <w:rsid w:val="000F2B5B"/>
    <w:rsid w:val="000F3EB5"/>
    <w:rsid w:val="001006F8"/>
    <w:rsid w:val="00102103"/>
    <w:rsid w:val="0010308D"/>
    <w:rsid w:val="0010514E"/>
    <w:rsid w:val="001133A7"/>
    <w:rsid w:val="00114666"/>
    <w:rsid w:val="00116A03"/>
    <w:rsid w:val="001277C9"/>
    <w:rsid w:val="001278D9"/>
    <w:rsid w:val="0013326B"/>
    <w:rsid w:val="00137631"/>
    <w:rsid w:val="001403D4"/>
    <w:rsid w:val="00141388"/>
    <w:rsid w:val="00146C4E"/>
    <w:rsid w:val="00150D9F"/>
    <w:rsid w:val="00154A10"/>
    <w:rsid w:val="00154BDC"/>
    <w:rsid w:val="00162376"/>
    <w:rsid w:val="001702DF"/>
    <w:rsid w:val="001728D5"/>
    <w:rsid w:val="001772C4"/>
    <w:rsid w:val="001814E4"/>
    <w:rsid w:val="001822FD"/>
    <w:rsid w:val="00182D00"/>
    <w:rsid w:val="00182EB5"/>
    <w:rsid w:val="001935B7"/>
    <w:rsid w:val="00193FD8"/>
    <w:rsid w:val="001A1150"/>
    <w:rsid w:val="001A294A"/>
    <w:rsid w:val="001A476B"/>
    <w:rsid w:val="001A533C"/>
    <w:rsid w:val="001B055A"/>
    <w:rsid w:val="001B073C"/>
    <w:rsid w:val="001B1C96"/>
    <w:rsid w:val="001B6AB4"/>
    <w:rsid w:val="001C14FE"/>
    <w:rsid w:val="001C23DA"/>
    <w:rsid w:val="001D2166"/>
    <w:rsid w:val="001D6D9F"/>
    <w:rsid w:val="001D7EB9"/>
    <w:rsid w:val="001E02C2"/>
    <w:rsid w:val="001E11CA"/>
    <w:rsid w:val="001E172E"/>
    <w:rsid w:val="001F015A"/>
    <w:rsid w:val="001F10FE"/>
    <w:rsid w:val="001F37D9"/>
    <w:rsid w:val="001F74B5"/>
    <w:rsid w:val="00200542"/>
    <w:rsid w:val="0020156F"/>
    <w:rsid w:val="002020A1"/>
    <w:rsid w:val="0020650E"/>
    <w:rsid w:val="002133D2"/>
    <w:rsid w:val="00216525"/>
    <w:rsid w:val="00216FA3"/>
    <w:rsid w:val="00220352"/>
    <w:rsid w:val="002205CD"/>
    <w:rsid w:val="00221133"/>
    <w:rsid w:val="00226DEB"/>
    <w:rsid w:val="00233817"/>
    <w:rsid w:val="00234859"/>
    <w:rsid w:val="00236A35"/>
    <w:rsid w:val="00236D72"/>
    <w:rsid w:val="002370CF"/>
    <w:rsid w:val="00240A88"/>
    <w:rsid w:val="00240BB6"/>
    <w:rsid w:val="00247484"/>
    <w:rsid w:val="0025344E"/>
    <w:rsid w:val="00255672"/>
    <w:rsid w:val="00255A92"/>
    <w:rsid w:val="002578AA"/>
    <w:rsid w:val="002634C2"/>
    <w:rsid w:val="00263E88"/>
    <w:rsid w:val="0026449C"/>
    <w:rsid w:val="002654E4"/>
    <w:rsid w:val="002662F6"/>
    <w:rsid w:val="00272D71"/>
    <w:rsid w:val="00273310"/>
    <w:rsid w:val="002739A8"/>
    <w:rsid w:val="002751D5"/>
    <w:rsid w:val="002771A9"/>
    <w:rsid w:val="002803B9"/>
    <w:rsid w:val="002831F2"/>
    <w:rsid w:val="00285852"/>
    <w:rsid w:val="002867F1"/>
    <w:rsid w:val="0029058E"/>
    <w:rsid w:val="00290CBA"/>
    <w:rsid w:val="0029323C"/>
    <w:rsid w:val="0029476E"/>
    <w:rsid w:val="002A1340"/>
    <w:rsid w:val="002A2CAC"/>
    <w:rsid w:val="002A3E40"/>
    <w:rsid w:val="002A6F0F"/>
    <w:rsid w:val="002B04DE"/>
    <w:rsid w:val="002B052F"/>
    <w:rsid w:val="002B1A06"/>
    <w:rsid w:val="002B1C41"/>
    <w:rsid w:val="002B4A3D"/>
    <w:rsid w:val="002C17CB"/>
    <w:rsid w:val="002C45FE"/>
    <w:rsid w:val="002C7125"/>
    <w:rsid w:val="002E04A9"/>
    <w:rsid w:val="002E1CEC"/>
    <w:rsid w:val="002E3CF6"/>
    <w:rsid w:val="002E4243"/>
    <w:rsid w:val="002E44E7"/>
    <w:rsid w:val="002E5938"/>
    <w:rsid w:val="002E7C5C"/>
    <w:rsid w:val="002F0755"/>
    <w:rsid w:val="002F325F"/>
    <w:rsid w:val="002F41A3"/>
    <w:rsid w:val="002F45B4"/>
    <w:rsid w:val="002F4A1F"/>
    <w:rsid w:val="002F59E9"/>
    <w:rsid w:val="003002BB"/>
    <w:rsid w:val="003036A1"/>
    <w:rsid w:val="00303FCF"/>
    <w:rsid w:val="00305C4E"/>
    <w:rsid w:val="00305E9C"/>
    <w:rsid w:val="00306643"/>
    <w:rsid w:val="003078A6"/>
    <w:rsid w:val="003143E2"/>
    <w:rsid w:val="00315E7D"/>
    <w:rsid w:val="00317549"/>
    <w:rsid w:val="003179B1"/>
    <w:rsid w:val="003217AA"/>
    <w:rsid w:val="003226DD"/>
    <w:rsid w:val="003269BE"/>
    <w:rsid w:val="0033066F"/>
    <w:rsid w:val="00331DC7"/>
    <w:rsid w:val="0033654C"/>
    <w:rsid w:val="00337BDF"/>
    <w:rsid w:val="003415C3"/>
    <w:rsid w:val="00342C39"/>
    <w:rsid w:val="00343299"/>
    <w:rsid w:val="003432AE"/>
    <w:rsid w:val="0034500F"/>
    <w:rsid w:val="003468A4"/>
    <w:rsid w:val="00350A57"/>
    <w:rsid w:val="00350BB1"/>
    <w:rsid w:val="00360541"/>
    <w:rsid w:val="003644A8"/>
    <w:rsid w:val="00367060"/>
    <w:rsid w:val="00370096"/>
    <w:rsid w:val="0037038C"/>
    <w:rsid w:val="003717B0"/>
    <w:rsid w:val="00372203"/>
    <w:rsid w:val="003728A9"/>
    <w:rsid w:val="00372C76"/>
    <w:rsid w:val="00375BB6"/>
    <w:rsid w:val="0038000A"/>
    <w:rsid w:val="0038011C"/>
    <w:rsid w:val="00380862"/>
    <w:rsid w:val="003811DE"/>
    <w:rsid w:val="0038217F"/>
    <w:rsid w:val="00382684"/>
    <w:rsid w:val="0038627A"/>
    <w:rsid w:val="0038692C"/>
    <w:rsid w:val="00387417"/>
    <w:rsid w:val="00387871"/>
    <w:rsid w:val="00387B65"/>
    <w:rsid w:val="00387D5C"/>
    <w:rsid w:val="003967DA"/>
    <w:rsid w:val="00396F32"/>
    <w:rsid w:val="003A2471"/>
    <w:rsid w:val="003A5ED5"/>
    <w:rsid w:val="003B3F5A"/>
    <w:rsid w:val="003B5467"/>
    <w:rsid w:val="003B59F5"/>
    <w:rsid w:val="003B6521"/>
    <w:rsid w:val="003C126E"/>
    <w:rsid w:val="003C3734"/>
    <w:rsid w:val="003C4D35"/>
    <w:rsid w:val="003D03FF"/>
    <w:rsid w:val="003D54F7"/>
    <w:rsid w:val="003D63FC"/>
    <w:rsid w:val="003D6CFD"/>
    <w:rsid w:val="003E19F8"/>
    <w:rsid w:val="003E1FDE"/>
    <w:rsid w:val="003E2573"/>
    <w:rsid w:val="003F096B"/>
    <w:rsid w:val="003F3F58"/>
    <w:rsid w:val="003F45D8"/>
    <w:rsid w:val="003F5DF6"/>
    <w:rsid w:val="003F6077"/>
    <w:rsid w:val="003F618E"/>
    <w:rsid w:val="0040530D"/>
    <w:rsid w:val="004074BC"/>
    <w:rsid w:val="00407939"/>
    <w:rsid w:val="00412C6E"/>
    <w:rsid w:val="00413BF5"/>
    <w:rsid w:val="00414D12"/>
    <w:rsid w:val="004157EA"/>
    <w:rsid w:val="00415D67"/>
    <w:rsid w:val="00423A11"/>
    <w:rsid w:val="004249AE"/>
    <w:rsid w:val="00426A3B"/>
    <w:rsid w:val="00427117"/>
    <w:rsid w:val="00427A65"/>
    <w:rsid w:val="0043082D"/>
    <w:rsid w:val="00432E77"/>
    <w:rsid w:val="00435460"/>
    <w:rsid w:val="00440500"/>
    <w:rsid w:val="0045353C"/>
    <w:rsid w:val="004564CE"/>
    <w:rsid w:val="00457CB3"/>
    <w:rsid w:val="004616D9"/>
    <w:rsid w:val="00466F0C"/>
    <w:rsid w:val="00481947"/>
    <w:rsid w:val="00483C33"/>
    <w:rsid w:val="00483F0B"/>
    <w:rsid w:val="00484568"/>
    <w:rsid w:val="0048502F"/>
    <w:rsid w:val="004867D7"/>
    <w:rsid w:val="0048732D"/>
    <w:rsid w:val="004879BF"/>
    <w:rsid w:val="00487F02"/>
    <w:rsid w:val="00490DA0"/>
    <w:rsid w:val="00495339"/>
    <w:rsid w:val="004A02C9"/>
    <w:rsid w:val="004A2AE7"/>
    <w:rsid w:val="004A6121"/>
    <w:rsid w:val="004B2AD6"/>
    <w:rsid w:val="004B327A"/>
    <w:rsid w:val="004B3B7C"/>
    <w:rsid w:val="004C0E57"/>
    <w:rsid w:val="004C5F6E"/>
    <w:rsid w:val="004C6AB9"/>
    <w:rsid w:val="004C6CC2"/>
    <w:rsid w:val="004D0A7E"/>
    <w:rsid w:val="004D6231"/>
    <w:rsid w:val="004D7965"/>
    <w:rsid w:val="004D79BB"/>
    <w:rsid w:val="004D7D22"/>
    <w:rsid w:val="004E23A6"/>
    <w:rsid w:val="004E2584"/>
    <w:rsid w:val="004E3686"/>
    <w:rsid w:val="004E4718"/>
    <w:rsid w:val="004E5005"/>
    <w:rsid w:val="004E6900"/>
    <w:rsid w:val="004F2482"/>
    <w:rsid w:val="004F4E1B"/>
    <w:rsid w:val="004F710D"/>
    <w:rsid w:val="0050044C"/>
    <w:rsid w:val="00501251"/>
    <w:rsid w:val="00506330"/>
    <w:rsid w:val="00507C6B"/>
    <w:rsid w:val="005141B0"/>
    <w:rsid w:val="00517BBD"/>
    <w:rsid w:val="00521D23"/>
    <w:rsid w:val="0052496D"/>
    <w:rsid w:val="00525408"/>
    <w:rsid w:val="00526A6D"/>
    <w:rsid w:val="00527298"/>
    <w:rsid w:val="0052790C"/>
    <w:rsid w:val="00527910"/>
    <w:rsid w:val="005309AB"/>
    <w:rsid w:val="00533B2A"/>
    <w:rsid w:val="00534DE3"/>
    <w:rsid w:val="00535EEB"/>
    <w:rsid w:val="00540D9D"/>
    <w:rsid w:val="00542EA2"/>
    <w:rsid w:val="005437DB"/>
    <w:rsid w:val="00543D7E"/>
    <w:rsid w:val="005442B7"/>
    <w:rsid w:val="0054681F"/>
    <w:rsid w:val="00550244"/>
    <w:rsid w:val="005503F7"/>
    <w:rsid w:val="00552E1C"/>
    <w:rsid w:val="00561923"/>
    <w:rsid w:val="005622AB"/>
    <w:rsid w:val="00564D4D"/>
    <w:rsid w:val="0056737D"/>
    <w:rsid w:val="00570F72"/>
    <w:rsid w:val="00571FB3"/>
    <w:rsid w:val="00575C92"/>
    <w:rsid w:val="00582125"/>
    <w:rsid w:val="00582B82"/>
    <w:rsid w:val="00584A4B"/>
    <w:rsid w:val="005855EB"/>
    <w:rsid w:val="0058578D"/>
    <w:rsid w:val="00590281"/>
    <w:rsid w:val="00591A5E"/>
    <w:rsid w:val="00592808"/>
    <w:rsid w:val="005929C7"/>
    <w:rsid w:val="00595C8B"/>
    <w:rsid w:val="00597DDD"/>
    <w:rsid w:val="005A3A42"/>
    <w:rsid w:val="005A7FCC"/>
    <w:rsid w:val="005B08BC"/>
    <w:rsid w:val="005B6845"/>
    <w:rsid w:val="005C0813"/>
    <w:rsid w:val="005C1D1B"/>
    <w:rsid w:val="005C3A7B"/>
    <w:rsid w:val="005C51E2"/>
    <w:rsid w:val="005C67E0"/>
    <w:rsid w:val="005C713A"/>
    <w:rsid w:val="005D2120"/>
    <w:rsid w:val="005D2727"/>
    <w:rsid w:val="005D54D4"/>
    <w:rsid w:val="005D5A8E"/>
    <w:rsid w:val="005E2DC6"/>
    <w:rsid w:val="005E6CA6"/>
    <w:rsid w:val="005F429E"/>
    <w:rsid w:val="005F546C"/>
    <w:rsid w:val="005F6688"/>
    <w:rsid w:val="006012C4"/>
    <w:rsid w:val="0060186D"/>
    <w:rsid w:val="00605B37"/>
    <w:rsid w:val="00605E70"/>
    <w:rsid w:val="0060609D"/>
    <w:rsid w:val="00607BD9"/>
    <w:rsid w:val="0061177B"/>
    <w:rsid w:val="00612B11"/>
    <w:rsid w:val="006204F2"/>
    <w:rsid w:val="00624691"/>
    <w:rsid w:val="00627153"/>
    <w:rsid w:val="006366BC"/>
    <w:rsid w:val="0063782C"/>
    <w:rsid w:val="00637B14"/>
    <w:rsid w:val="00640742"/>
    <w:rsid w:val="0064135B"/>
    <w:rsid w:val="006448BA"/>
    <w:rsid w:val="00645B7A"/>
    <w:rsid w:val="006522B3"/>
    <w:rsid w:val="006547B6"/>
    <w:rsid w:val="0065649D"/>
    <w:rsid w:val="0066068E"/>
    <w:rsid w:val="00663C1B"/>
    <w:rsid w:val="00664115"/>
    <w:rsid w:val="00665DBD"/>
    <w:rsid w:val="00667EC2"/>
    <w:rsid w:val="0067149A"/>
    <w:rsid w:val="006721D7"/>
    <w:rsid w:val="00675F86"/>
    <w:rsid w:val="0068058D"/>
    <w:rsid w:val="00684AE6"/>
    <w:rsid w:val="006860A7"/>
    <w:rsid w:val="00686408"/>
    <w:rsid w:val="00693C0E"/>
    <w:rsid w:val="00693C75"/>
    <w:rsid w:val="00694026"/>
    <w:rsid w:val="006A1D16"/>
    <w:rsid w:val="006A24B2"/>
    <w:rsid w:val="006A2EF1"/>
    <w:rsid w:val="006A3111"/>
    <w:rsid w:val="006A3ADE"/>
    <w:rsid w:val="006A4E21"/>
    <w:rsid w:val="006A6B18"/>
    <w:rsid w:val="006B1DF7"/>
    <w:rsid w:val="006B61C7"/>
    <w:rsid w:val="006C1992"/>
    <w:rsid w:val="006C4EAA"/>
    <w:rsid w:val="006C68FA"/>
    <w:rsid w:val="006C6E8E"/>
    <w:rsid w:val="006C7099"/>
    <w:rsid w:val="006D1F88"/>
    <w:rsid w:val="006D2040"/>
    <w:rsid w:val="006E3E22"/>
    <w:rsid w:val="006E6C18"/>
    <w:rsid w:val="006E7322"/>
    <w:rsid w:val="006F0FF2"/>
    <w:rsid w:val="006F1C2F"/>
    <w:rsid w:val="006F2955"/>
    <w:rsid w:val="006F4BED"/>
    <w:rsid w:val="006F615A"/>
    <w:rsid w:val="006F665B"/>
    <w:rsid w:val="006F7666"/>
    <w:rsid w:val="00700A23"/>
    <w:rsid w:val="00700CD3"/>
    <w:rsid w:val="00705CDF"/>
    <w:rsid w:val="0070676C"/>
    <w:rsid w:val="007068B0"/>
    <w:rsid w:val="00707311"/>
    <w:rsid w:val="007113CD"/>
    <w:rsid w:val="007126AB"/>
    <w:rsid w:val="0071481F"/>
    <w:rsid w:val="0071559B"/>
    <w:rsid w:val="007231E9"/>
    <w:rsid w:val="0072412B"/>
    <w:rsid w:val="007271A9"/>
    <w:rsid w:val="0072735A"/>
    <w:rsid w:val="007279C6"/>
    <w:rsid w:val="00730CCB"/>
    <w:rsid w:val="00730CDE"/>
    <w:rsid w:val="00731132"/>
    <w:rsid w:val="007317BF"/>
    <w:rsid w:val="00732088"/>
    <w:rsid w:val="007410BF"/>
    <w:rsid w:val="00742744"/>
    <w:rsid w:val="00742C38"/>
    <w:rsid w:val="00744FAA"/>
    <w:rsid w:val="00745B20"/>
    <w:rsid w:val="00751419"/>
    <w:rsid w:val="007523E0"/>
    <w:rsid w:val="00753B0A"/>
    <w:rsid w:val="007562FF"/>
    <w:rsid w:val="007563B9"/>
    <w:rsid w:val="00762A79"/>
    <w:rsid w:val="00762E5B"/>
    <w:rsid w:val="00766B9B"/>
    <w:rsid w:val="00766E20"/>
    <w:rsid w:val="00773181"/>
    <w:rsid w:val="00774809"/>
    <w:rsid w:val="007772EA"/>
    <w:rsid w:val="00777C09"/>
    <w:rsid w:val="00777C63"/>
    <w:rsid w:val="007839FA"/>
    <w:rsid w:val="0078450D"/>
    <w:rsid w:val="007850B9"/>
    <w:rsid w:val="0078538C"/>
    <w:rsid w:val="00793BB4"/>
    <w:rsid w:val="00794933"/>
    <w:rsid w:val="007961B4"/>
    <w:rsid w:val="007A117B"/>
    <w:rsid w:val="007A66E2"/>
    <w:rsid w:val="007A7223"/>
    <w:rsid w:val="007B0636"/>
    <w:rsid w:val="007B5F99"/>
    <w:rsid w:val="007C0BC2"/>
    <w:rsid w:val="007C681E"/>
    <w:rsid w:val="007D0EAD"/>
    <w:rsid w:val="007D1369"/>
    <w:rsid w:val="007D20C0"/>
    <w:rsid w:val="007D24AD"/>
    <w:rsid w:val="007D35E7"/>
    <w:rsid w:val="007E7516"/>
    <w:rsid w:val="007E79A9"/>
    <w:rsid w:val="007F66A7"/>
    <w:rsid w:val="007F67E6"/>
    <w:rsid w:val="00802E4D"/>
    <w:rsid w:val="008047C9"/>
    <w:rsid w:val="00807F4D"/>
    <w:rsid w:val="0081025A"/>
    <w:rsid w:val="00811C0B"/>
    <w:rsid w:val="00813C47"/>
    <w:rsid w:val="00816516"/>
    <w:rsid w:val="00816975"/>
    <w:rsid w:val="00816E96"/>
    <w:rsid w:val="00817E34"/>
    <w:rsid w:val="00820CFF"/>
    <w:rsid w:val="008254E5"/>
    <w:rsid w:val="008273DB"/>
    <w:rsid w:val="00831FA1"/>
    <w:rsid w:val="0084184E"/>
    <w:rsid w:val="00841C61"/>
    <w:rsid w:val="00844C51"/>
    <w:rsid w:val="00845BBE"/>
    <w:rsid w:val="008500A2"/>
    <w:rsid w:val="008535C6"/>
    <w:rsid w:val="00855B55"/>
    <w:rsid w:val="00855C66"/>
    <w:rsid w:val="008574A6"/>
    <w:rsid w:val="00860F4F"/>
    <w:rsid w:val="008651AE"/>
    <w:rsid w:val="00866328"/>
    <w:rsid w:val="00866DF1"/>
    <w:rsid w:val="008713A5"/>
    <w:rsid w:val="00875B5B"/>
    <w:rsid w:val="00881313"/>
    <w:rsid w:val="0088161E"/>
    <w:rsid w:val="00887FB7"/>
    <w:rsid w:val="0089084F"/>
    <w:rsid w:val="00895D32"/>
    <w:rsid w:val="008A136B"/>
    <w:rsid w:val="008A2C2A"/>
    <w:rsid w:val="008A35E6"/>
    <w:rsid w:val="008A5224"/>
    <w:rsid w:val="008A59F9"/>
    <w:rsid w:val="008A64FC"/>
    <w:rsid w:val="008B5009"/>
    <w:rsid w:val="008B6D35"/>
    <w:rsid w:val="008C0440"/>
    <w:rsid w:val="008C1A17"/>
    <w:rsid w:val="008C2499"/>
    <w:rsid w:val="008C2C24"/>
    <w:rsid w:val="008C2D94"/>
    <w:rsid w:val="008C5BC5"/>
    <w:rsid w:val="008C7883"/>
    <w:rsid w:val="008D14FA"/>
    <w:rsid w:val="008D3D9C"/>
    <w:rsid w:val="008D4124"/>
    <w:rsid w:val="008D420C"/>
    <w:rsid w:val="008D6393"/>
    <w:rsid w:val="008E04F8"/>
    <w:rsid w:val="008E3AFE"/>
    <w:rsid w:val="008E413A"/>
    <w:rsid w:val="008E4D69"/>
    <w:rsid w:val="008E54ED"/>
    <w:rsid w:val="008E5EC4"/>
    <w:rsid w:val="008E5FEE"/>
    <w:rsid w:val="008E78F6"/>
    <w:rsid w:val="008F3670"/>
    <w:rsid w:val="008F50F5"/>
    <w:rsid w:val="008F5434"/>
    <w:rsid w:val="00904DCD"/>
    <w:rsid w:val="009052AE"/>
    <w:rsid w:val="0090617E"/>
    <w:rsid w:val="0091242B"/>
    <w:rsid w:val="00914791"/>
    <w:rsid w:val="00920C76"/>
    <w:rsid w:val="009231FC"/>
    <w:rsid w:val="00925782"/>
    <w:rsid w:val="0092614E"/>
    <w:rsid w:val="00935C69"/>
    <w:rsid w:val="00943CC9"/>
    <w:rsid w:val="00955FC4"/>
    <w:rsid w:val="00957C04"/>
    <w:rsid w:val="00960957"/>
    <w:rsid w:val="00962875"/>
    <w:rsid w:val="00965899"/>
    <w:rsid w:val="0096620C"/>
    <w:rsid w:val="0097007D"/>
    <w:rsid w:val="00970D5F"/>
    <w:rsid w:val="00971635"/>
    <w:rsid w:val="00972581"/>
    <w:rsid w:val="00972B6F"/>
    <w:rsid w:val="00974B22"/>
    <w:rsid w:val="00974BE5"/>
    <w:rsid w:val="00977029"/>
    <w:rsid w:val="00977157"/>
    <w:rsid w:val="00982ADD"/>
    <w:rsid w:val="00987E3E"/>
    <w:rsid w:val="00991466"/>
    <w:rsid w:val="00992216"/>
    <w:rsid w:val="00992606"/>
    <w:rsid w:val="00995B0E"/>
    <w:rsid w:val="00996576"/>
    <w:rsid w:val="009967FA"/>
    <w:rsid w:val="009A052C"/>
    <w:rsid w:val="009B085A"/>
    <w:rsid w:val="009B2F3F"/>
    <w:rsid w:val="009B3255"/>
    <w:rsid w:val="009B479B"/>
    <w:rsid w:val="009C30D2"/>
    <w:rsid w:val="009C5442"/>
    <w:rsid w:val="009D2F0B"/>
    <w:rsid w:val="009D44D2"/>
    <w:rsid w:val="009D45C8"/>
    <w:rsid w:val="009D504F"/>
    <w:rsid w:val="009E469A"/>
    <w:rsid w:val="009E6CC8"/>
    <w:rsid w:val="009E7633"/>
    <w:rsid w:val="009F0DEB"/>
    <w:rsid w:val="009F372C"/>
    <w:rsid w:val="009F3D89"/>
    <w:rsid w:val="009F6B6D"/>
    <w:rsid w:val="00A03D45"/>
    <w:rsid w:val="00A10273"/>
    <w:rsid w:val="00A10485"/>
    <w:rsid w:val="00A1134E"/>
    <w:rsid w:val="00A148F7"/>
    <w:rsid w:val="00A17622"/>
    <w:rsid w:val="00A178F7"/>
    <w:rsid w:val="00A17AE3"/>
    <w:rsid w:val="00A217C0"/>
    <w:rsid w:val="00A2367A"/>
    <w:rsid w:val="00A24C9B"/>
    <w:rsid w:val="00A25CDB"/>
    <w:rsid w:val="00A30D6C"/>
    <w:rsid w:val="00A3156A"/>
    <w:rsid w:val="00A33C89"/>
    <w:rsid w:val="00A34262"/>
    <w:rsid w:val="00A356C7"/>
    <w:rsid w:val="00A37621"/>
    <w:rsid w:val="00A50662"/>
    <w:rsid w:val="00A525C1"/>
    <w:rsid w:val="00A54AD9"/>
    <w:rsid w:val="00A60C68"/>
    <w:rsid w:val="00A611C9"/>
    <w:rsid w:val="00A625BC"/>
    <w:rsid w:val="00A64929"/>
    <w:rsid w:val="00A762FF"/>
    <w:rsid w:val="00A80A34"/>
    <w:rsid w:val="00A822CD"/>
    <w:rsid w:val="00A82FBA"/>
    <w:rsid w:val="00A838A6"/>
    <w:rsid w:val="00A865E2"/>
    <w:rsid w:val="00A86C1C"/>
    <w:rsid w:val="00A904D6"/>
    <w:rsid w:val="00A91649"/>
    <w:rsid w:val="00A93940"/>
    <w:rsid w:val="00A946D5"/>
    <w:rsid w:val="00A95714"/>
    <w:rsid w:val="00A962F3"/>
    <w:rsid w:val="00A96922"/>
    <w:rsid w:val="00AA0FF5"/>
    <w:rsid w:val="00AA4834"/>
    <w:rsid w:val="00AA4CFD"/>
    <w:rsid w:val="00AA79AE"/>
    <w:rsid w:val="00AB1526"/>
    <w:rsid w:val="00AB35E6"/>
    <w:rsid w:val="00AB3ED0"/>
    <w:rsid w:val="00AC1479"/>
    <w:rsid w:val="00AC5815"/>
    <w:rsid w:val="00AD25D4"/>
    <w:rsid w:val="00AD5C21"/>
    <w:rsid w:val="00AE688F"/>
    <w:rsid w:val="00AF1375"/>
    <w:rsid w:val="00AF2743"/>
    <w:rsid w:val="00AF3607"/>
    <w:rsid w:val="00AF62B3"/>
    <w:rsid w:val="00AF740E"/>
    <w:rsid w:val="00AF758E"/>
    <w:rsid w:val="00B018F2"/>
    <w:rsid w:val="00B1071D"/>
    <w:rsid w:val="00B15673"/>
    <w:rsid w:val="00B159DB"/>
    <w:rsid w:val="00B22CA8"/>
    <w:rsid w:val="00B25AE3"/>
    <w:rsid w:val="00B278CF"/>
    <w:rsid w:val="00B302B3"/>
    <w:rsid w:val="00B30694"/>
    <w:rsid w:val="00B30B99"/>
    <w:rsid w:val="00B34E2E"/>
    <w:rsid w:val="00B34EA3"/>
    <w:rsid w:val="00B37683"/>
    <w:rsid w:val="00B46122"/>
    <w:rsid w:val="00B612F6"/>
    <w:rsid w:val="00B61E06"/>
    <w:rsid w:val="00B644B4"/>
    <w:rsid w:val="00B64B60"/>
    <w:rsid w:val="00B65FAF"/>
    <w:rsid w:val="00B74262"/>
    <w:rsid w:val="00B768FD"/>
    <w:rsid w:val="00B80CFF"/>
    <w:rsid w:val="00B83A94"/>
    <w:rsid w:val="00B84C68"/>
    <w:rsid w:val="00B91F44"/>
    <w:rsid w:val="00B9555A"/>
    <w:rsid w:val="00B9676B"/>
    <w:rsid w:val="00B96C43"/>
    <w:rsid w:val="00B970E9"/>
    <w:rsid w:val="00BA31F8"/>
    <w:rsid w:val="00BA67FF"/>
    <w:rsid w:val="00BA71B5"/>
    <w:rsid w:val="00BA7D83"/>
    <w:rsid w:val="00BB1422"/>
    <w:rsid w:val="00BB5CF6"/>
    <w:rsid w:val="00BB5E66"/>
    <w:rsid w:val="00BC3621"/>
    <w:rsid w:val="00BD33FB"/>
    <w:rsid w:val="00BD7011"/>
    <w:rsid w:val="00BE06A8"/>
    <w:rsid w:val="00BE0C38"/>
    <w:rsid w:val="00BE4387"/>
    <w:rsid w:val="00BE545C"/>
    <w:rsid w:val="00BE62C9"/>
    <w:rsid w:val="00BF3E09"/>
    <w:rsid w:val="00BF4D2C"/>
    <w:rsid w:val="00C01D0E"/>
    <w:rsid w:val="00C01D15"/>
    <w:rsid w:val="00C022E1"/>
    <w:rsid w:val="00C10AF9"/>
    <w:rsid w:val="00C11E06"/>
    <w:rsid w:val="00C1252C"/>
    <w:rsid w:val="00C141AE"/>
    <w:rsid w:val="00C14950"/>
    <w:rsid w:val="00C17270"/>
    <w:rsid w:val="00C20F7B"/>
    <w:rsid w:val="00C235F4"/>
    <w:rsid w:val="00C245E4"/>
    <w:rsid w:val="00C27B68"/>
    <w:rsid w:val="00C33BF9"/>
    <w:rsid w:val="00C33EBE"/>
    <w:rsid w:val="00C42D45"/>
    <w:rsid w:val="00C47803"/>
    <w:rsid w:val="00C511C3"/>
    <w:rsid w:val="00C522A9"/>
    <w:rsid w:val="00C54A28"/>
    <w:rsid w:val="00C55B3A"/>
    <w:rsid w:val="00C609BE"/>
    <w:rsid w:val="00C642D5"/>
    <w:rsid w:val="00C730FD"/>
    <w:rsid w:val="00C733B3"/>
    <w:rsid w:val="00C73930"/>
    <w:rsid w:val="00C74C3E"/>
    <w:rsid w:val="00C752AB"/>
    <w:rsid w:val="00C77FF7"/>
    <w:rsid w:val="00C810D6"/>
    <w:rsid w:val="00C81BB7"/>
    <w:rsid w:val="00C8433E"/>
    <w:rsid w:val="00C84415"/>
    <w:rsid w:val="00C864D1"/>
    <w:rsid w:val="00C91CFB"/>
    <w:rsid w:val="00C9428C"/>
    <w:rsid w:val="00C96F7C"/>
    <w:rsid w:val="00CA1DD4"/>
    <w:rsid w:val="00CA3AB9"/>
    <w:rsid w:val="00CA7781"/>
    <w:rsid w:val="00CA7A4E"/>
    <w:rsid w:val="00CB21BE"/>
    <w:rsid w:val="00CC04F7"/>
    <w:rsid w:val="00CC10ED"/>
    <w:rsid w:val="00CC1364"/>
    <w:rsid w:val="00CC2404"/>
    <w:rsid w:val="00CC34B2"/>
    <w:rsid w:val="00CC42AC"/>
    <w:rsid w:val="00CC4657"/>
    <w:rsid w:val="00CC4B8C"/>
    <w:rsid w:val="00CC4C31"/>
    <w:rsid w:val="00CC5798"/>
    <w:rsid w:val="00CC75A7"/>
    <w:rsid w:val="00CD4E07"/>
    <w:rsid w:val="00CD5E5B"/>
    <w:rsid w:val="00CE0C6E"/>
    <w:rsid w:val="00CE2937"/>
    <w:rsid w:val="00CE40F4"/>
    <w:rsid w:val="00CE536E"/>
    <w:rsid w:val="00CE6A4C"/>
    <w:rsid w:val="00CE6DB0"/>
    <w:rsid w:val="00CF1DA1"/>
    <w:rsid w:val="00CF488D"/>
    <w:rsid w:val="00D01490"/>
    <w:rsid w:val="00D0270B"/>
    <w:rsid w:val="00D046A2"/>
    <w:rsid w:val="00D132F2"/>
    <w:rsid w:val="00D17D24"/>
    <w:rsid w:val="00D205C9"/>
    <w:rsid w:val="00D45C2D"/>
    <w:rsid w:val="00D4726E"/>
    <w:rsid w:val="00D50814"/>
    <w:rsid w:val="00D50F29"/>
    <w:rsid w:val="00D51A71"/>
    <w:rsid w:val="00D5584E"/>
    <w:rsid w:val="00D62250"/>
    <w:rsid w:val="00D62BFF"/>
    <w:rsid w:val="00D64937"/>
    <w:rsid w:val="00D7015E"/>
    <w:rsid w:val="00D706D0"/>
    <w:rsid w:val="00D7515E"/>
    <w:rsid w:val="00D760AB"/>
    <w:rsid w:val="00D77BB6"/>
    <w:rsid w:val="00D8091E"/>
    <w:rsid w:val="00D85954"/>
    <w:rsid w:val="00D96D36"/>
    <w:rsid w:val="00DA02CD"/>
    <w:rsid w:val="00DA4AEB"/>
    <w:rsid w:val="00DA69E0"/>
    <w:rsid w:val="00DB16F2"/>
    <w:rsid w:val="00DB1E27"/>
    <w:rsid w:val="00DB60C0"/>
    <w:rsid w:val="00DC5D62"/>
    <w:rsid w:val="00DC64C8"/>
    <w:rsid w:val="00DC7205"/>
    <w:rsid w:val="00DD001B"/>
    <w:rsid w:val="00DD4DE4"/>
    <w:rsid w:val="00DE327F"/>
    <w:rsid w:val="00DE3280"/>
    <w:rsid w:val="00DE68D2"/>
    <w:rsid w:val="00DE6D93"/>
    <w:rsid w:val="00DE7FA8"/>
    <w:rsid w:val="00DF1078"/>
    <w:rsid w:val="00DF2963"/>
    <w:rsid w:val="00DF36BD"/>
    <w:rsid w:val="00DF3B9D"/>
    <w:rsid w:val="00DF4D03"/>
    <w:rsid w:val="00DF5322"/>
    <w:rsid w:val="00DF54A0"/>
    <w:rsid w:val="00DF61FA"/>
    <w:rsid w:val="00E11657"/>
    <w:rsid w:val="00E11B3F"/>
    <w:rsid w:val="00E20DBB"/>
    <w:rsid w:val="00E21BF3"/>
    <w:rsid w:val="00E21D1F"/>
    <w:rsid w:val="00E257ED"/>
    <w:rsid w:val="00E26E1A"/>
    <w:rsid w:val="00E31027"/>
    <w:rsid w:val="00E31F65"/>
    <w:rsid w:val="00E32309"/>
    <w:rsid w:val="00E35FBB"/>
    <w:rsid w:val="00E471CC"/>
    <w:rsid w:val="00E47B8C"/>
    <w:rsid w:val="00E50F17"/>
    <w:rsid w:val="00E5145D"/>
    <w:rsid w:val="00E52ADC"/>
    <w:rsid w:val="00E62DDE"/>
    <w:rsid w:val="00E64A26"/>
    <w:rsid w:val="00E650A5"/>
    <w:rsid w:val="00E6712A"/>
    <w:rsid w:val="00E7387C"/>
    <w:rsid w:val="00E80E8C"/>
    <w:rsid w:val="00E83D50"/>
    <w:rsid w:val="00E8492D"/>
    <w:rsid w:val="00E84C03"/>
    <w:rsid w:val="00E86CB8"/>
    <w:rsid w:val="00E9007D"/>
    <w:rsid w:val="00EA185F"/>
    <w:rsid w:val="00EA6937"/>
    <w:rsid w:val="00EA76FC"/>
    <w:rsid w:val="00EA7CB3"/>
    <w:rsid w:val="00EB291D"/>
    <w:rsid w:val="00EB2B5E"/>
    <w:rsid w:val="00EB6A74"/>
    <w:rsid w:val="00EB730F"/>
    <w:rsid w:val="00EC168C"/>
    <w:rsid w:val="00EC3214"/>
    <w:rsid w:val="00EC41EA"/>
    <w:rsid w:val="00EC49D6"/>
    <w:rsid w:val="00EC7035"/>
    <w:rsid w:val="00ED1BDB"/>
    <w:rsid w:val="00ED2B25"/>
    <w:rsid w:val="00ED4631"/>
    <w:rsid w:val="00ED78FE"/>
    <w:rsid w:val="00ED7AD3"/>
    <w:rsid w:val="00EE50DC"/>
    <w:rsid w:val="00EE5F07"/>
    <w:rsid w:val="00EF0839"/>
    <w:rsid w:val="00F001E7"/>
    <w:rsid w:val="00F00C38"/>
    <w:rsid w:val="00F03243"/>
    <w:rsid w:val="00F03A2F"/>
    <w:rsid w:val="00F0443E"/>
    <w:rsid w:val="00F0749F"/>
    <w:rsid w:val="00F07E05"/>
    <w:rsid w:val="00F12AC2"/>
    <w:rsid w:val="00F161EA"/>
    <w:rsid w:val="00F17636"/>
    <w:rsid w:val="00F178EC"/>
    <w:rsid w:val="00F22927"/>
    <w:rsid w:val="00F229BD"/>
    <w:rsid w:val="00F240BA"/>
    <w:rsid w:val="00F24499"/>
    <w:rsid w:val="00F259C0"/>
    <w:rsid w:val="00F26734"/>
    <w:rsid w:val="00F30930"/>
    <w:rsid w:val="00F30EA1"/>
    <w:rsid w:val="00F3383D"/>
    <w:rsid w:val="00F3515C"/>
    <w:rsid w:val="00F36933"/>
    <w:rsid w:val="00F41851"/>
    <w:rsid w:val="00F4485D"/>
    <w:rsid w:val="00F44DA0"/>
    <w:rsid w:val="00F45460"/>
    <w:rsid w:val="00F45874"/>
    <w:rsid w:val="00F533A4"/>
    <w:rsid w:val="00F55E51"/>
    <w:rsid w:val="00F56030"/>
    <w:rsid w:val="00F5634F"/>
    <w:rsid w:val="00F57EC3"/>
    <w:rsid w:val="00F608DB"/>
    <w:rsid w:val="00F6377D"/>
    <w:rsid w:val="00F639C9"/>
    <w:rsid w:val="00F71C8D"/>
    <w:rsid w:val="00F738B2"/>
    <w:rsid w:val="00F8276C"/>
    <w:rsid w:val="00F832DE"/>
    <w:rsid w:val="00F84E19"/>
    <w:rsid w:val="00F875ED"/>
    <w:rsid w:val="00F92BEB"/>
    <w:rsid w:val="00F950F2"/>
    <w:rsid w:val="00FA0623"/>
    <w:rsid w:val="00FA3648"/>
    <w:rsid w:val="00FA3920"/>
    <w:rsid w:val="00FA565E"/>
    <w:rsid w:val="00FA5CF4"/>
    <w:rsid w:val="00FA6CCD"/>
    <w:rsid w:val="00FB0AA9"/>
    <w:rsid w:val="00FB3895"/>
    <w:rsid w:val="00FB5CB6"/>
    <w:rsid w:val="00FC2EE0"/>
    <w:rsid w:val="00FC33FF"/>
    <w:rsid w:val="00FD2D09"/>
    <w:rsid w:val="00FD52DA"/>
    <w:rsid w:val="00FD5E4D"/>
    <w:rsid w:val="00FE0E11"/>
    <w:rsid w:val="00FE1157"/>
    <w:rsid w:val="00FE2735"/>
    <w:rsid w:val="00FE3911"/>
    <w:rsid w:val="00FE5A89"/>
    <w:rsid w:val="00FE75D6"/>
    <w:rsid w:val="00FF30CE"/>
    <w:rsid w:val="00FF5090"/>
    <w:rsid w:val="00FF5210"/>
    <w:rsid w:val="00FF6506"/>
    <w:rsid w:val="00FF66D1"/>
    <w:rsid w:val="01E3117E"/>
    <w:rsid w:val="039A2E65"/>
    <w:rsid w:val="039CBC38"/>
    <w:rsid w:val="03BA0826"/>
    <w:rsid w:val="044F55C9"/>
    <w:rsid w:val="048BC463"/>
    <w:rsid w:val="050734A2"/>
    <w:rsid w:val="05844E43"/>
    <w:rsid w:val="0687A470"/>
    <w:rsid w:val="08FB2210"/>
    <w:rsid w:val="0921EBB7"/>
    <w:rsid w:val="095B2CDE"/>
    <w:rsid w:val="09D78223"/>
    <w:rsid w:val="0A511187"/>
    <w:rsid w:val="0A9C7C23"/>
    <w:rsid w:val="0AAC877C"/>
    <w:rsid w:val="0AC90D9C"/>
    <w:rsid w:val="0B8BE123"/>
    <w:rsid w:val="0BDEB248"/>
    <w:rsid w:val="0BFF21A6"/>
    <w:rsid w:val="0C061A23"/>
    <w:rsid w:val="0C2366F0"/>
    <w:rsid w:val="0CB26908"/>
    <w:rsid w:val="0CF467F7"/>
    <w:rsid w:val="0D6695C1"/>
    <w:rsid w:val="0E008F58"/>
    <w:rsid w:val="0E245925"/>
    <w:rsid w:val="0E8DC537"/>
    <w:rsid w:val="0ED7C477"/>
    <w:rsid w:val="10DD8C25"/>
    <w:rsid w:val="10E060DF"/>
    <w:rsid w:val="1133D219"/>
    <w:rsid w:val="12E7C3EC"/>
    <w:rsid w:val="12FFC7E1"/>
    <w:rsid w:val="13366FED"/>
    <w:rsid w:val="1560806D"/>
    <w:rsid w:val="15A5A5E1"/>
    <w:rsid w:val="15F22D7B"/>
    <w:rsid w:val="177CF37A"/>
    <w:rsid w:val="18C2F839"/>
    <w:rsid w:val="18E5BD2C"/>
    <w:rsid w:val="199A733D"/>
    <w:rsid w:val="1B7AFCB2"/>
    <w:rsid w:val="1BE4FDAA"/>
    <w:rsid w:val="1C213F27"/>
    <w:rsid w:val="1E9F4185"/>
    <w:rsid w:val="1EF04F2A"/>
    <w:rsid w:val="1F495227"/>
    <w:rsid w:val="1FF0D58B"/>
    <w:rsid w:val="201494EC"/>
    <w:rsid w:val="22EAF933"/>
    <w:rsid w:val="234DAB7E"/>
    <w:rsid w:val="23D8299A"/>
    <w:rsid w:val="241F75CD"/>
    <w:rsid w:val="25322131"/>
    <w:rsid w:val="25566882"/>
    <w:rsid w:val="261C02B5"/>
    <w:rsid w:val="2778F0F0"/>
    <w:rsid w:val="27D21AFF"/>
    <w:rsid w:val="2A901D53"/>
    <w:rsid w:val="2AE4A932"/>
    <w:rsid w:val="2C6BDD82"/>
    <w:rsid w:val="2D8F19BA"/>
    <w:rsid w:val="2E2DC894"/>
    <w:rsid w:val="2E5B22ED"/>
    <w:rsid w:val="2E9F5585"/>
    <w:rsid w:val="2ED00FFE"/>
    <w:rsid w:val="2F104C8F"/>
    <w:rsid w:val="30A3F5D7"/>
    <w:rsid w:val="30D85B07"/>
    <w:rsid w:val="310D9FE4"/>
    <w:rsid w:val="314F05D4"/>
    <w:rsid w:val="3265F717"/>
    <w:rsid w:val="33605B21"/>
    <w:rsid w:val="33BA1DF9"/>
    <w:rsid w:val="33F1F3D6"/>
    <w:rsid w:val="33F47E77"/>
    <w:rsid w:val="355B4E76"/>
    <w:rsid w:val="35D75911"/>
    <w:rsid w:val="360BD045"/>
    <w:rsid w:val="366CBD52"/>
    <w:rsid w:val="3770A37D"/>
    <w:rsid w:val="37C1233B"/>
    <w:rsid w:val="391C57FA"/>
    <w:rsid w:val="3A0FFFF7"/>
    <w:rsid w:val="3AA91F01"/>
    <w:rsid w:val="3AB6EABB"/>
    <w:rsid w:val="3BCDF880"/>
    <w:rsid w:val="3CF79693"/>
    <w:rsid w:val="3D2A3635"/>
    <w:rsid w:val="3DE3F111"/>
    <w:rsid w:val="3E2E468F"/>
    <w:rsid w:val="3E516032"/>
    <w:rsid w:val="3EE3D9F5"/>
    <w:rsid w:val="3FA94FC6"/>
    <w:rsid w:val="4050FC1E"/>
    <w:rsid w:val="40E00D0A"/>
    <w:rsid w:val="414D2D82"/>
    <w:rsid w:val="416C73B6"/>
    <w:rsid w:val="4187F4B0"/>
    <w:rsid w:val="4308C21F"/>
    <w:rsid w:val="4374E360"/>
    <w:rsid w:val="44C472A2"/>
    <w:rsid w:val="45F7CD0C"/>
    <w:rsid w:val="461B8F96"/>
    <w:rsid w:val="467FB3A7"/>
    <w:rsid w:val="468F1FFD"/>
    <w:rsid w:val="46CD307B"/>
    <w:rsid w:val="47278485"/>
    <w:rsid w:val="4784ADA0"/>
    <w:rsid w:val="48441643"/>
    <w:rsid w:val="4962665C"/>
    <w:rsid w:val="49A75053"/>
    <w:rsid w:val="49ABF82B"/>
    <w:rsid w:val="49C14E22"/>
    <w:rsid w:val="49EA858C"/>
    <w:rsid w:val="4A0425D8"/>
    <w:rsid w:val="4A2B2872"/>
    <w:rsid w:val="4A96ADF0"/>
    <w:rsid w:val="4AB3854B"/>
    <w:rsid w:val="4AD13530"/>
    <w:rsid w:val="4B7826BB"/>
    <w:rsid w:val="4B79290D"/>
    <w:rsid w:val="4D153097"/>
    <w:rsid w:val="4D5B83AC"/>
    <w:rsid w:val="4DD7D751"/>
    <w:rsid w:val="4E5F30EE"/>
    <w:rsid w:val="4F82F90C"/>
    <w:rsid w:val="508C2B6C"/>
    <w:rsid w:val="509CFE1E"/>
    <w:rsid w:val="50AC956F"/>
    <w:rsid w:val="51F7745A"/>
    <w:rsid w:val="52453062"/>
    <w:rsid w:val="5248F6B1"/>
    <w:rsid w:val="524EC6AC"/>
    <w:rsid w:val="5314648E"/>
    <w:rsid w:val="5323A92E"/>
    <w:rsid w:val="5374619F"/>
    <w:rsid w:val="557127D7"/>
    <w:rsid w:val="55A2F2C0"/>
    <w:rsid w:val="55DD57D9"/>
    <w:rsid w:val="575B5C7B"/>
    <w:rsid w:val="5762EC81"/>
    <w:rsid w:val="57E19B05"/>
    <w:rsid w:val="57E6FE4F"/>
    <w:rsid w:val="58016E49"/>
    <w:rsid w:val="58792AE3"/>
    <w:rsid w:val="58BCDC60"/>
    <w:rsid w:val="595F8F18"/>
    <w:rsid w:val="59703C3F"/>
    <w:rsid w:val="59BB7504"/>
    <w:rsid w:val="5BD936EB"/>
    <w:rsid w:val="5C2F5383"/>
    <w:rsid w:val="5C55721D"/>
    <w:rsid w:val="5CF571FC"/>
    <w:rsid w:val="5DAE3699"/>
    <w:rsid w:val="5DBBBCEF"/>
    <w:rsid w:val="5E1C372F"/>
    <w:rsid w:val="5F7A89B1"/>
    <w:rsid w:val="602AF07F"/>
    <w:rsid w:val="609452A3"/>
    <w:rsid w:val="60A5D053"/>
    <w:rsid w:val="61359AAD"/>
    <w:rsid w:val="619851E2"/>
    <w:rsid w:val="624BDFB1"/>
    <w:rsid w:val="625E66B2"/>
    <w:rsid w:val="648F14B8"/>
    <w:rsid w:val="65557122"/>
    <w:rsid w:val="65DC3D88"/>
    <w:rsid w:val="66633170"/>
    <w:rsid w:val="67410B13"/>
    <w:rsid w:val="6751F4BF"/>
    <w:rsid w:val="67D08597"/>
    <w:rsid w:val="68019C5B"/>
    <w:rsid w:val="681DF8D8"/>
    <w:rsid w:val="689079DF"/>
    <w:rsid w:val="6949A891"/>
    <w:rsid w:val="695CEDBC"/>
    <w:rsid w:val="6A328891"/>
    <w:rsid w:val="6A3F3702"/>
    <w:rsid w:val="6A4A52BB"/>
    <w:rsid w:val="6A86B549"/>
    <w:rsid w:val="6B826420"/>
    <w:rsid w:val="6BD89758"/>
    <w:rsid w:val="6C8BAE91"/>
    <w:rsid w:val="6CEEBD60"/>
    <w:rsid w:val="6CFD33D5"/>
    <w:rsid w:val="6D930661"/>
    <w:rsid w:val="6DBA16DD"/>
    <w:rsid w:val="6E3D9CDC"/>
    <w:rsid w:val="6E43407A"/>
    <w:rsid w:val="6E9F72F6"/>
    <w:rsid w:val="6EE09F1F"/>
    <w:rsid w:val="6EFDE49F"/>
    <w:rsid w:val="6F41455B"/>
    <w:rsid w:val="709A4E98"/>
    <w:rsid w:val="70FDA98E"/>
    <w:rsid w:val="71297DFC"/>
    <w:rsid w:val="717784CE"/>
    <w:rsid w:val="718198E8"/>
    <w:rsid w:val="7214CFE2"/>
    <w:rsid w:val="7287C7F8"/>
    <w:rsid w:val="735C638C"/>
    <w:rsid w:val="75F64BA3"/>
    <w:rsid w:val="78054292"/>
    <w:rsid w:val="786882CE"/>
    <w:rsid w:val="790A04B7"/>
    <w:rsid w:val="790D7EF0"/>
    <w:rsid w:val="79548D5C"/>
    <w:rsid w:val="7A4B1372"/>
    <w:rsid w:val="7BF00539"/>
    <w:rsid w:val="7C32CD4A"/>
    <w:rsid w:val="7D3A4681"/>
    <w:rsid w:val="7DC02320"/>
    <w:rsid w:val="7DC69BFC"/>
    <w:rsid w:val="7E149ACB"/>
    <w:rsid w:val="7E379EBE"/>
    <w:rsid w:val="7E79CBB3"/>
    <w:rsid w:val="7ECF5E16"/>
    <w:rsid w:val="7EED7F54"/>
    <w:rsid w:val="7EF0A635"/>
    <w:rsid w:val="7FBD9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89AA"/>
  <w15:chartTrackingRefBased/>
  <w15:docId w15:val="{14DB9FD7-62AF-45B2-B642-A1D4B8BB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07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07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074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F074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0749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074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0749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0749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0749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74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074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F0749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F0749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0749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0749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0749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0749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0749F"/>
    <w:rPr>
      <w:rFonts w:eastAsiaTheme="majorEastAsia" w:cstheme="majorBidi"/>
      <w:color w:val="272727" w:themeColor="text1" w:themeTint="D8"/>
    </w:rPr>
  </w:style>
  <w:style w:type="paragraph" w:styleId="Nzev">
    <w:name w:val="Title"/>
    <w:basedOn w:val="Normln"/>
    <w:next w:val="Normln"/>
    <w:link w:val="NzevChar"/>
    <w:uiPriority w:val="10"/>
    <w:qFormat/>
    <w:rsid w:val="00F07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749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0749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0749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0749F"/>
    <w:pPr>
      <w:spacing w:before="160"/>
      <w:jc w:val="center"/>
    </w:pPr>
    <w:rPr>
      <w:i/>
      <w:iCs/>
      <w:color w:val="404040" w:themeColor="text1" w:themeTint="BF"/>
    </w:rPr>
  </w:style>
  <w:style w:type="character" w:customStyle="1" w:styleId="CittChar">
    <w:name w:val="Citát Char"/>
    <w:basedOn w:val="Standardnpsmoodstavce"/>
    <w:link w:val="Citt"/>
    <w:uiPriority w:val="29"/>
    <w:rsid w:val="00F0749F"/>
    <w:rPr>
      <w:i/>
      <w:iCs/>
      <w:color w:val="404040" w:themeColor="text1" w:themeTint="BF"/>
    </w:rPr>
  </w:style>
  <w:style w:type="paragraph" w:styleId="Odstavecseseznamem">
    <w:name w:val="List Paragraph"/>
    <w:aliases w:val="Nad,List Paragraph (Czech Tourism),Odstavec cíl se seznamem,Odstavec se seznamem5,Odstavec_muj,Odrážky,Heading 2_sj,Report Para,Dot pt,Numbered Para 1,No Spacing1,List Paragraph Char Char Char,Indicator Text,List Paragraph1,Listing"/>
    <w:basedOn w:val="Normln"/>
    <w:link w:val="OdstavecseseznamemChar"/>
    <w:uiPriority w:val="34"/>
    <w:qFormat/>
    <w:rsid w:val="00F0749F"/>
    <w:pPr>
      <w:ind w:left="720"/>
      <w:contextualSpacing/>
    </w:pPr>
  </w:style>
  <w:style w:type="character" w:styleId="Zdraznnintenzivn">
    <w:name w:val="Intense Emphasis"/>
    <w:basedOn w:val="Standardnpsmoodstavce"/>
    <w:uiPriority w:val="21"/>
    <w:qFormat/>
    <w:rsid w:val="00F0749F"/>
    <w:rPr>
      <w:i/>
      <w:iCs/>
      <w:color w:val="0F4761" w:themeColor="accent1" w:themeShade="BF"/>
    </w:rPr>
  </w:style>
  <w:style w:type="paragraph" w:styleId="Vrazncitt">
    <w:name w:val="Intense Quote"/>
    <w:basedOn w:val="Normln"/>
    <w:next w:val="Normln"/>
    <w:link w:val="VrazncittChar"/>
    <w:uiPriority w:val="30"/>
    <w:qFormat/>
    <w:rsid w:val="00F07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0749F"/>
    <w:rPr>
      <w:i/>
      <w:iCs/>
      <w:color w:val="0F4761" w:themeColor="accent1" w:themeShade="BF"/>
    </w:rPr>
  </w:style>
  <w:style w:type="character" w:styleId="Odkazintenzivn">
    <w:name w:val="Intense Reference"/>
    <w:basedOn w:val="Standardnpsmoodstavce"/>
    <w:uiPriority w:val="32"/>
    <w:qFormat/>
    <w:rsid w:val="00F0749F"/>
    <w:rPr>
      <w:b/>
      <w:bCs/>
      <w:smallCaps/>
      <w:color w:val="0F4761" w:themeColor="accent1" w:themeShade="BF"/>
      <w:spacing w:val="5"/>
    </w:rPr>
  </w:style>
  <w:style w:type="paragraph" w:styleId="Textpoznpodarou">
    <w:name w:val="footnote text"/>
    <w:aliases w:val="Schriftart: 9 pt,Schriftart: 10 pt,Schriftart: 8 pt,Text poznámky pod čiarou 007,Footnote,Fußnotentextf,Geneva 9,Font: Geneva 9,Boston 10,f,pozn. pod čarou,Char1,Char12,Char,Text pozn. pod čarou1,Char Char Char1,Char Char1,o"/>
    <w:basedOn w:val="Normln"/>
    <w:link w:val="TextpoznpodarouChar"/>
    <w:uiPriority w:val="99"/>
    <w:unhideWhenUsed/>
    <w:qFormat/>
    <w:rsid w:val="00774809"/>
    <w:pPr>
      <w:spacing w:after="0" w:line="240" w:lineRule="auto"/>
    </w:pPr>
    <w:rPr>
      <w:sz w:val="20"/>
      <w:szCs w:val="20"/>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1 Char"/>
    <w:basedOn w:val="Standardnpsmoodstavce"/>
    <w:link w:val="Textpoznpodarou"/>
    <w:uiPriority w:val="99"/>
    <w:rsid w:val="00774809"/>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R"/>
    <w:basedOn w:val="Standardnpsmoodstavce"/>
    <w:uiPriority w:val="99"/>
    <w:unhideWhenUsed/>
    <w:rsid w:val="00774809"/>
    <w:rPr>
      <w:vertAlign w:val="superscript"/>
    </w:rPr>
  </w:style>
  <w:style w:type="character" w:styleId="Hypertextovodkaz">
    <w:name w:val="Hyperlink"/>
    <w:basedOn w:val="Standardnpsmoodstavce"/>
    <w:uiPriority w:val="99"/>
    <w:unhideWhenUsed/>
    <w:rsid w:val="00774809"/>
    <w:rPr>
      <w:color w:val="467886" w:themeColor="hyperlink"/>
      <w:u w:val="single"/>
    </w:rPr>
  </w:style>
  <w:style w:type="character" w:styleId="Nevyeenzmnka">
    <w:name w:val="Unresolved Mention"/>
    <w:basedOn w:val="Standardnpsmoodstavce"/>
    <w:uiPriority w:val="99"/>
    <w:semiHidden/>
    <w:unhideWhenUsed/>
    <w:rsid w:val="00774809"/>
    <w:rPr>
      <w:color w:val="605E5C"/>
      <w:shd w:val="clear" w:color="auto" w:fill="E1DFDD"/>
    </w:rPr>
  </w:style>
  <w:style w:type="character" w:styleId="Sledovanodkaz">
    <w:name w:val="FollowedHyperlink"/>
    <w:basedOn w:val="Standardnpsmoodstavce"/>
    <w:uiPriority w:val="99"/>
    <w:semiHidden/>
    <w:unhideWhenUsed/>
    <w:rsid w:val="00387417"/>
    <w:rPr>
      <w:color w:val="96607D" w:themeColor="followedHyperlink"/>
      <w:u w:val="single"/>
    </w:rPr>
  </w:style>
  <w:style w:type="paragraph" w:styleId="Zhlav">
    <w:name w:val="header"/>
    <w:basedOn w:val="Normln"/>
    <w:link w:val="ZhlavChar"/>
    <w:uiPriority w:val="99"/>
    <w:unhideWhenUsed/>
    <w:rsid w:val="008F54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5434"/>
  </w:style>
  <w:style w:type="paragraph" w:styleId="Zpat">
    <w:name w:val="footer"/>
    <w:basedOn w:val="Normln"/>
    <w:link w:val="ZpatChar"/>
    <w:uiPriority w:val="99"/>
    <w:unhideWhenUsed/>
    <w:rsid w:val="008F5434"/>
    <w:pPr>
      <w:tabs>
        <w:tab w:val="center" w:pos="4536"/>
        <w:tab w:val="right" w:pos="9072"/>
      </w:tabs>
      <w:spacing w:after="0" w:line="240" w:lineRule="auto"/>
    </w:pPr>
  </w:style>
  <w:style w:type="character" w:customStyle="1" w:styleId="ZpatChar">
    <w:name w:val="Zápatí Char"/>
    <w:basedOn w:val="Standardnpsmoodstavce"/>
    <w:link w:val="Zpat"/>
    <w:uiPriority w:val="99"/>
    <w:rsid w:val="008F5434"/>
  </w:style>
  <w:style w:type="character" w:customStyle="1" w:styleId="OdstavecseseznamemChar">
    <w:name w:val="Odstavec se seznamem Char"/>
    <w:aliases w:val="Nad Char,List Paragraph (Czech Tourism) Char,Odstavec cíl se seznamem Char,Odstavec se seznamem5 Char,Odstavec_muj Char,Odrážky Char,Heading 2_sj Char,Report Para Char,Dot pt Char,Numbered Para 1 Char,No Spacing1 Char"/>
    <w:link w:val="Odstavecseseznamem"/>
    <w:uiPriority w:val="34"/>
    <w:qFormat/>
    <w:rsid w:val="00303FCF"/>
  </w:style>
  <w:style w:type="paragraph" w:styleId="Textvysvtlivek">
    <w:name w:val="endnote text"/>
    <w:basedOn w:val="Normln"/>
    <w:uiPriority w:val="99"/>
    <w:semiHidden/>
    <w:unhideWhenUsed/>
    <w:rsid w:val="4308C21F"/>
    <w:pPr>
      <w:spacing w:after="0" w:line="240" w:lineRule="auto"/>
    </w:pPr>
    <w:rPr>
      <w:sz w:val="20"/>
      <w:szCs w:val="20"/>
    </w:rPr>
  </w:style>
  <w:style w:type="character" w:styleId="Odkaznavysvtlivky">
    <w:name w:val="endnote reference"/>
    <w:basedOn w:val="Standardnpsmoodstavce"/>
    <w:uiPriority w:val="99"/>
    <w:semiHidden/>
    <w:unhideWhenUsed/>
    <w:rPr>
      <w:vertAlign w:val="superscript"/>
    </w:rPr>
  </w:style>
  <w:style w:type="paragraph" w:styleId="Revize">
    <w:name w:val="Revision"/>
    <w:hidden/>
    <w:uiPriority w:val="99"/>
    <w:semiHidden/>
    <w:rsid w:val="003B6521"/>
    <w:pPr>
      <w:spacing w:after="0" w:line="240" w:lineRule="auto"/>
    </w:pPr>
  </w:style>
  <w:style w:type="paragraph" w:styleId="Normlnweb">
    <w:name w:val="Normal (Web)"/>
    <w:basedOn w:val="Normln"/>
    <w:uiPriority w:val="99"/>
    <w:unhideWhenUsed/>
    <w:rsid w:val="003F618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3F618E"/>
    <w:rPr>
      <w:b/>
      <w:bCs/>
    </w:rPr>
  </w:style>
  <w:style w:type="paragraph" w:styleId="Nadpisobsahu">
    <w:name w:val="TOC Heading"/>
    <w:basedOn w:val="Nadpis1"/>
    <w:next w:val="Normln"/>
    <w:uiPriority w:val="39"/>
    <w:unhideWhenUsed/>
    <w:qFormat/>
    <w:rsid w:val="00ED1BDB"/>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ED1BDB"/>
    <w:pPr>
      <w:spacing w:after="100"/>
    </w:pPr>
  </w:style>
  <w:style w:type="paragraph" w:styleId="Obsah3">
    <w:name w:val="toc 3"/>
    <w:basedOn w:val="Normln"/>
    <w:next w:val="Normln"/>
    <w:autoRedefine/>
    <w:uiPriority w:val="39"/>
    <w:unhideWhenUsed/>
    <w:rsid w:val="00ED1BDB"/>
    <w:pPr>
      <w:spacing w:after="100"/>
      <w:ind w:left="440"/>
    </w:pPr>
  </w:style>
  <w:style w:type="paragraph" w:styleId="Obsah2">
    <w:name w:val="toc 2"/>
    <w:basedOn w:val="Normln"/>
    <w:next w:val="Normln"/>
    <w:autoRedefine/>
    <w:uiPriority w:val="39"/>
    <w:unhideWhenUsed/>
    <w:rsid w:val="00777C63"/>
    <w:pPr>
      <w:tabs>
        <w:tab w:val="right" w:leader="dot" w:pos="9062"/>
      </w:tabs>
      <w:spacing w:after="100"/>
      <w:ind w:left="426"/>
    </w:pPr>
  </w:style>
  <w:style w:type="character" w:styleId="Odkaznakoment">
    <w:name w:val="annotation reference"/>
    <w:basedOn w:val="Standardnpsmoodstavce"/>
    <w:uiPriority w:val="99"/>
    <w:semiHidden/>
    <w:unhideWhenUsed/>
    <w:rsid w:val="0084184E"/>
    <w:rPr>
      <w:sz w:val="16"/>
      <w:szCs w:val="16"/>
    </w:rPr>
  </w:style>
  <w:style w:type="paragraph" w:styleId="Textkomente">
    <w:name w:val="annotation text"/>
    <w:basedOn w:val="Normln"/>
    <w:link w:val="TextkomenteChar"/>
    <w:uiPriority w:val="99"/>
    <w:unhideWhenUsed/>
    <w:rsid w:val="0084184E"/>
    <w:pPr>
      <w:spacing w:after="120" w:line="240" w:lineRule="auto"/>
      <w:jc w:val="both"/>
    </w:pPr>
    <w:rPr>
      <w:rFonts w:ascii="Arial" w:hAnsi="Arial"/>
      <w:kern w:val="0"/>
      <w:sz w:val="20"/>
      <w:szCs w:val="20"/>
      <w14:ligatures w14:val="none"/>
    </w:rPr>
  </w:style>
  <w:style w:type="character" w:customStyle="1" w:styleId="TextkomenteChar">
    <w:name w:val="Text komentáře Char"/>
    <w:basedOn w:val="Standardnpsmoodstavce"/>
    <w:link w:val="Textkomente"/>
    <w:uiPriority w:val="99"/>
    <w:rsid w:val="0084184E"/>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8223">
      <w:bodyDiv w:val="1"/>
      <w:marLeft w:val="0"/>
      <w:marRight w:val="0"/>
      <w:marTop w:val="0"/>
      <w:marBottom w:val="0"/>
      <w:divBdr>
        <w:top w:val="none" w:sz="0" w:space="0" w:color="auto"/>
        <w:left w:val="none" w:sz="0" w:space="0" w:color="auto"/>
        <w:bottom w:val="none" w:sz="0" w:space="0" w:color="auto"/>
        <w:right w:val="none" w:sz="0" w:space="0" w:color="auto"/>
      </w:divBdr>
    </w:div>
    <w:div w:id="483358271">
      <w:bodyDiv w:val="1"/>
      <w:marLeft w:val="0"/>
      <w:marRight w:val="0"/>
      <w:marTop w:val="0"/>
      <w:marBottom w:val="0"/>
      <w:divBdr>
        <w:top w:val="none" w:sz="0" w:space="0" w:color="auto"/>
        <w:left w:val="none" w:sz="0" w:space="0" w:color="auto"/>
        <w:bottom w:val="none" w:sz="0" w:space="0" w:color="auto"/>
        <w:right w:val="none" w:sz="0" w:space="0" w:color="auto"/>
      </w:divBdr>
      <w:divsChild>
        <w:div w:id="355083794">
          <w:marLeft w:val="0"/>
          <w:marRight w:val="0"/>
          <w:marTop w:val="0"/>
          <w:marBottom w:val="0"/>
          <w:divBdr>
            <w:top w:val="none" w:sz="0" w:space="0" w:color="auto"/>
            <w:left w:val="none" w:sz="0" w:space="0" w:color="auto"/>
            <w:bottom w:val="none" w:sz="0" w:space="0" w:color="auto"/>
            <w:right w:val="none" w:sz="0" w:space="0" w:color="auto"/>
          </w:divBdr>
          <w:divsChild>
            <w:div w:id="501161076">
              <w:marLeft w:val="0"/>
              <w:marRight w:val="0"/>
              <w:marTop w:val="0"/>
              <w:marBottom w:val="0"/>
              <w:divBdr>
                <w:top w:val="none" w:sz="0" w:space="0" w:color="auto"/>
                <w:left w:val="none" w:sz="0" w:space="0" w:color="auto"/>
                <w:bottom w:val="none" w:sz="0" w:space="0" w:color="auto"/>
                <w:right w:val="none" w:sz="0" w:space="0" w:color="auto"/>
              </w:divBdr>
              <w:divsChild>
                <w:div w:id="1630163981">
                  <w:marLeft w:val="0"/>
                  <w:marRight w:val="0"/>
                  <w:marTop w:val="0"/>
                  <w:marBottom w:val="0"/>
                  <w:divBdr>
                    <w:top w:val="none" w:sz="0" w:space="0" w:color="auto"/>
                    <w:left w:val="none" w:sz="0" w:space="0" w:color="auto"/>
                    <w:bottom w:val="none" w:sz="0" w:space="0" w:color="auto"/>
                    <w:right w:val="none" w:sz="0" w:space="0" w:color="auto"/>
                  </w:divBdr>
                  <w:divsChild>
                    <w:div w:id="515732259">
                      <w:marLeft w:val="0"/>
                      <w:marRight w:val="0"/>
                      <w:marTop w:val="0"/>
                      <w:marBottom w:val="0"/>
                      <w:divBdr>
                        <w:top w:val="none" w:sz="0" w:space="0" w:color="auto"/>
                        <w:left w:val="none" w:sz="0" w:space="0" w:color="auto"/>
                        <w:bottom w:val="none" w:sz="0" w:space="0" w:color="auto"/>
                        <w:right w:val="none" w:sz="0" w:space="0" w:color="auto"/>
                      </w:divBdr>
                    </w:div>
                    <w:div w:id="7466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4689">
      <w:bodyDiv w:val="1"/>
      <w:marLeft w:val="0"/>
      <w:marRight w:val="0"/>
      <w:marTop w:val="0"/>
      <w:marBottom w:val="0"/>
      <w:divBdr>
        <w:top w:val="none" w:sz="0" w:space="0" w:color="auto"/>
        <w:left w:val="none" w:sz="0" w:space="0" w:color="auto"/>
        <w:bottom w:val="none" w:sz="0" w:space="0" w:color="auto"/>
        <w:right w:val="none" w:sz="0" w:space="0" w:color="auto"/>
      </w:divBdr>
    </w:div>
    <w:div w:id="514274807">
      <w:bodyDiv w:val="1"/>
      <w:marLeft w:val="0"/>
      <w:marRight w:val="0"/>
      <w:marTop w:val="0"/>
      <w:marBottom w:val="0"/>
      <w:divBdr>
        <w:top w:val="none" w:sz="0" w:space="0" w:color="auto"/>
        <w:left w:val="none" w:sz="0" w:space="0" w:color="auto"/>
        <w:bottom w:val="none" w:sz="0" w:space="0" w:color="auto"/>
        <w:right w:val="none" w:sz="0" w:space="0" w:color="auto"/>
      </w:divBdr>
      <w:divsChild>
        <w:div w:id="1819758746">
          <w:marLeft w:val="1138"/>
          <w:marRight w:val="0"/>
          <w:marTop w:val="134"/>
          <w:marBottom w:val="120"/>
          <w:divBdr>
            <w:top w:val="none" w:sz="0" w:space="0" w:color="auto"/>
            <w:left w:val="none" w:sz="0" w:space="0" w:color="auto"/>
            <w:bottom w:val="none" w:sz="0" w:space="0" w:color="auto"/>
            <w:right w:val="none" w:sz="0" w:space="0" w:color="auto"/>
          </w:divBdr>
        </w:div>
        <w:div w:id="11105287">
          <w:marLeft w:val="1973"/>
          <w:marRight w:val="0"/>
          <w:marTop w:val="0"/>
          <w:marBottom w:val="120"/>
          <w:divBdr>
            <w:top w:val="none" w:sz="0" w:space="0" w:color="auto"/>
            <w:left w:val="none" w:sz="0" w:space="0" w:color="auto"/>
            <w:bottom w:val="none" w:sz="0" w:space="0" w:color="auto"/>
            <w:right w:val="none" w:sz="0" w:space="0" w:color="auto"/>
          </w:divBdr>
        </w:div>
        <w:div w:id="802577828">
          <w:marLeft w:val="1973"/>
          <w:marRight w:val="0"/>
          <w:marTop w:val="0"/>
          <w:marBottom w:val="120"/>
          <w:divBdr>
            <w:top w:val="none" w:sz="0" w:space="0" w:color="auto"/>
            <w:left w:val="none" w:sz="0" w:space="0" w:color="auto"/>
            <w:bottom w:val="none" w:sz="0" w:space="0" w:color="auto"/>
            <w:right w:val="none" w:sz="0" w:space="0" w:color="auto"/>
          </w:divBdr>
        </w:div>
        <w:div w:id="1973705765">
          <w:marLeft w:val="1138"/>
          <w:marRight w:val="0"/>
          <w:marTop w:val="134"/>
          <w:marBottom w:val="120"/>
          <w:divBdr>
            <w:top w:val="none" w:sz="0" w:space="0" w:color="auto"/>
            <w:left w:val="none" w:sz="0" w:space="0" w:color="auto"/>
            <w:bottom w:val="none" w:sz="0" w:space="0" w:color="auto"/>
            <w:right w:val="none" w:sz="0" w:space="0" w:color="auto"/>
          </w:divBdr>
        </w:div>
        <w:div w:id="2101413769">
          <w:marLeft w:val="1973"/>
          <w:marRight w:val="0"/>
          <w:marTop w:val="0"/>
          <w:marBottom w:val="120"/>
          <w:divBdr>
            <w:top w:val="none" w:sz="0" w:space="0" w:color="auto"/>
            <w:left w:val="none" w:sz="0" w:space="0" w:color="auto"/>
            <w:bottom w:val="none" w:sz="0" w:space="0" w:color="auto"/>
            <w:right w:val="none" w:sz="0" w:space="0" w:color="auto"/>
          </w:divBdr>
        </w:div>
        <w:div w:id="1619336295">
          <w:marLeft w:val="1973"/>
          <w:marRight w:val="0"/>
          <w:marTop w:val="0"/>
          <w:marBottom w:val="120"/>
          <w:divBdr>
            <w:top w:val="none" w:sz="0" w:space="0" w:color="auto"/>
            <w:left w:val="none" w:sz="0" w:space="0" w:color="auto"/>
            <w:bottom w:val="none" w:sz="0" w:space="0" w:color="auto"/>
            <w:right w:val="none" w:sz="0" w:space="0" w:color="auto"/>
          </w:divBdr>
        </w:div>
        <w:div w:id="1354302938">
          <w:marLeft w:val="1973"/>
          <w:marRight w:val="0"/>
          <w:marTop w:val="0"/>
          <w:marBottom w:val="120"/>
          <w:divBdr>
            <w:top w:val="none" w:sz="0" w:space="0" w:color="auto"/>
            <w:left w:val="none" w:sz="0" w:space="0" w:color="auto"/>
            <w:bottom w:val="none" w:sz="0" w:space="0" w:color="auto"/>
            <w:right w:val="none" w:sz="0" w:space="0" w:color="auto"/>
          </w:divBdr>
        </w:div>
        <w:div w:id="1876848665">
          <w:marLeft w:val="1138"/>
          <w:marRight w:val="0"/>
          <w:marTop w:val="134"/>
          <w:marBottom w:val="120"/>
          <w:divBdr>
            <w:top w:val="none" w:sz="0" w:space="0" w:color="auto"/>
            <w:left w:val="none" w:sz="0" w:space="0" w:color="auto"/>
            <w:bottom w:val="none" w:sz="0" w:space="0" w:color="auto"/>
            <w:right w:val="none" w:sz="0" w:space="0" w:color="auto"/>
          </w:divBdr>
        </w:div>
        <w:div w:id="1237402227">
          <w:marLeft w:val="1973"/>
          <w:marRight w:val="0"/>
          <w:marTop w:val="0"/>
          <w:marBottom w:val="120"/>
          <w:divBdr>
            <w:top w:val="none" w:sz="0" w:space="0" w:color="auto"/>
            <w:left w:val="none" w:sz="0" w:space="0" w:color="auto"/>
            <w:bottom w:val="none" w:sz="0" w:space="0" w:color="auto"/>
            <w:right w:val="none" w:sz="0" w:space="0" w:color="auto"/>
          </w:divBdr>
        </w:div>
        <w:div w:id="51272978">
          <w:marLeft w:val="1973"/>
          <w:marRight w:val="0"/>
          <w:marTop w:val="0"/>
          <w:marBottom w:val="120"/>
          <w:divBdr>
            <w:top w:val="none" w:sz="0" w:space="0" w:color="auto"/>
            <w:left w:val="none" w:sz="0" w:space="0" w:color="auto"/>
            <w:bottom w:val="none" w:sz="0" w:space="0" w:color="auto"/>
            <w:right w:val="none" w:sz="0" w:space="0" w:color="auto"/>
          </w:divBdr>
        </w:div>
      </w:divsChild>
    </w:div>
    <w:div w:id="522746705">
      <w:bodyDiv w:val="1"/>
      <w:marLeft w:val="0"/>
      <w:marRight w:val="0"/>
      <w:marTop w:val="0"/>
      <w:marBottom w:val="0"/>
      <w:divBdr>
        <w:top w:val="none" w:sz="0" w:space="0" w:color="auto"/>
        <w:left w:val="none" w:sz="0" w:space="0" w:color="auto"/>
        <w:bottom w:val="none" w:sz="0" w:space="0" w:color="auto"/>
        <w:right w:val="none" w:sz="0" w:space="0" w:color="auto"/>
      </w:divBdr>
    </w:div>
    <w:div w:id="549616127">
      <w:bodyDiv w:val="1"/>
      <w:marLeft w:val="0"/>
      <w:marRight w:val="0"/>
      <w:marTop w:val="0"/>
      <w:marBottom w:val="0"/>
      <w:divBdr>
        <w:top w:val="none" w:sz="0" w:space="0" w:color="auto"/>
        <w:left w:val="none" w:sz="0" w:space="0" w:color="auto"/>
        <w:bottom w:val="none" w:sz="0" w:space="0" w:color="auto"/>
        <w:right w:val="none" w:sz="0" w:space="0" w:color="auto"/>
      </w:divBdr>
      <w:divsChild>
        <w:div w:id="1851987867">
          <w:marLeft w:val="0"/>
          <w:marRight w:val="0"/>
          <w:marTop w:val="0"/>
          <w:marBottom w:val="0"/>
          <w:divBdr>
            <w:top w:val="none" w:sz="0" w:space="0" w:color="auto"/>
            <w:left w:val="none" w:sz="0" w:space="0" w:color="auto"/>
            <w:bottom w:val="none" w:sz="0" w:space="0" w:color="auto"/>
            <w:right w:val="none" w:sz="0" w:space="0" w:color="auto"/>
          </w:divBdr>
          <w:divsChild>
            <w:div w:id="542866176">
              <w:marLeft w:val="0"/>
              <w:marRight w:val="0"/>
              <w:marTop w:val="0"/>
              <w:marBottom w:val="0"/>
              <w:divBdr>
                <w:top w:val="none" w:sz="0" w:space="0" w:color="auto"/>
                <w:left w:val="none" w:sz="0" w:space="0" w:color="auto"/>
                <w:bottom w:val="none" w:sz="0" w:space="0" w:color="auto"/>
                <w:right w:val="none" w:sz="0" w:space="0" w:color="auto"/>
              </w:divBdr>
              <w:divsChild>
                <w:div w:id="975598611">
                  <w:marLeft w:val="0"/>
                  <w:marRight w:val="0"/>
                  <w:marTop w:val="0"/>
                  <w:marBottom w:val="0"/>
                  <w:divBdr>
                    <w:top w:val="none" w:sz="0" w:space="0" w:color="auto"/>
                    <w:left w:val="none" w:sz="0" w:space="0" w:color="auto"/>
                    <w:bottom w:val="none" w:sz="0" w:space="0" w:color="auto"/>
                    <w:right w:val="none" w:sz="0" w:space="0" w:color="auto"/>
                  </w:divBdr>
                  <w:divsChild>
                    <w:div w:id="857932167">
                      <w:marLeft w:val="0"/>
                      <w:marRight w:val="0"/>
                      <w:marTop w:val="0"/>
                      <w:marBottom w:val="0"/>
                      <w:divBdr>
                        <w:top w:val="none" w:sz="0" w:space="0" w:color="auto"/>
                        <w:left w:val="none" w:sz="0" w:space="0" w:color="auto"/>
                        <w:bottom w:val="none" w:sz="0" w:space="0" w:color="auto"/>
                        <w:right w:val="none" w:sz="0" w:space="0" w:color="auto"/>
                      </w:divBdr>
                    </w:div>
                    <w:div w:id="2782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03114">
      <w:bodyDiv w:val="1"/>
      <w:marLeft w:val="0"/>
      <w:marRight w:val="0"/>
      <w:marTop w:val="0"/>
      <w:marBottom w:val="0"/>
      <w:divBdr>
        <w:top w:val="none" w:sz="0" w:space="0" w:color="auto"/>
        <w:left w:val="none" w:sz="0" w:space="0" w:color="auto"/>
        <w:bottom w:val="none" w:sz="0" w:space="0" w:color="auto"/>
        <w:right w:val="none" w:sz="0" w:space="0" w:color="auto"/>
      </w:divBdr>
    </w:div>
    <w:div w:id="648942964">
      <w:bodyDiv w:val="1"/>
      <w:marLeft w:val="0"/>
      <w:marRight w:val="0"/>
      <w:marTop w:val="0"/>
      <w:marBottom w:val="0"/>
      <w:divBdr>
        <w:top w:val="none" w:sz="0" w:space="0" w:color="auto"/>
        <w:left w:val="none" w:sz="0" w:space="0" w:color="auto"/>
        <w:bottom w:val="none" w:sz="0" w:space="0" w:color="auto"/>
        <w:right w:val="none" w:sz="0" w:space="0" w:color="auto"/>
      </w:divBdr>
    </w:div>
    <w:div w:id="672536043">
      <w:bodyDiv w:val="1"/>
      <w:marLeft w:val="0"/>
      <w:marRight w:val="0"/>
      <w:marTop w:val="0"/>
      <w:marBottom w:val="0"/>
      <w:divBdr>
        <w:top w:val="none" w:sz="0" w:space="0" w:color="auto"/>
        <w:left w:val="none" w:sz="0" w:space="0" w:color="auto"/>
        <w:bottom w:val="none" w:sz="0" w:space="0" w:color="auto"/>
        <w:right w:val="none" w:sz="0" w:space="0" w:color="auto"/>
      </w:divBdr>
      <w:divsChild>
        <w:div w:id="1892115743">
          <w:marLeft w:val="1138"/>
          <w:marRight w:val="0"/>
          <w:marTop w:val="134"/>
          <w:marBottom w:val="0"/>
          <w:divBdr>
            <w:top w:val="none" w:sz="0" w:space="0" w:color="auto"/>
            <w:left w:val="none" w:sz="0" w:space="0" w:color="auto"/>
            <w:bottom w:val="none" w:sz="0" w:space="0" w:color="auto"/>
            <w:right w:val="none" w:sz="0" w:space="0" w:color="auto"/>
          </w:divBdr>
        </w:div>
        <w:div w:id="789856464">
          <w:marLeft w:val="1973"/>
          <w:marRight w:val="0"/>
          <w:marTop w:val="115"/>
          <w:marBottom w:val="0"/>
          <w:divBdr>
            <w:top w:val="none" w:sz="0" w:space="0" w:color="auto"/>
            <w:left w:val="none" w:sz="0" w:space="0" w:color="auto"/>
            <w:bottom w:val="none" w:sz="0" w:space="0" w:color="auto"/>
            <w:right w:val="none" w:sz="0" w:space="0" w:color="auto"/>
          </w:divBdr>
        </w:div>
        <w:div w:id="1157913962">
          <w:marLeft w:val="1973"/>
          <w:marRight w:val="0"/>
          <w:marTop w:val="115"/>
          <w:marBottom w:val="0"/>
          <w:divBdr>
            <w:top w:val="none" w:sz="0" w:space="0" w:color="auto"/>
            <w:left w:val="none" w:sz="0" w:space="0" w:color="auto"/>
            <w:bottom w:val="none" w:sz="0" w:space="0" w:color="auto"/>
            <w:right w:val="none" w:sz="0" w:space="0" w:color="auto"/>
          </w:divBdr>
        </w:div>
        <w:div w:id="557976540">
          <w:marLeft w:val="1138"/>
          <w:marRight w:val="0"/>
          <w:marTop w:val="134"/>
          <w:marBottom w:val="0"/>
          <w:divBdr>
            <w:top w:val="none" w:sz="0" w:space="0" w:color="auto"/>
            <w:left w:val="none" w:sz="0" w:space="0" w:color="auto"/>
            <w:bottom w:val="none" w:sz="0" w:space="0" w:color="auto"/>
            <w:right w:val="none" w:sz="0" w:space="0" w:color="auto"/>
          </w:divBdr>
        </w:div>
        <w:div w:id="678117101">
          <w:marLeft w:val="1138"/>
          <w:marRight w:val="0"/>
          <w:marTop w:val="134"/>
          <w:marBottom w:val="0"/>
          <w:divBdr>
            <w:top w:val="none" w:sz="0" w:space="0" w:color="auto"/>
            <w:left w:val="none" w:sz="0" w:space="0" w:color="auto"/>
            <w:bottom w:val="none" w:sz="0" w:space="0" w:color="auto"/>
            <w:right w:val="none" w:sz="0" w:space="0" w:color="auto"/>
          </w:divBdr>
        </w:div>
      </w:divsChild>
    </w:div>
    <w:div w:id="708606793">
      <w:bodyDiv w:val="1"/>
      <w:marLeft w:val="0"/>
      <w:marRight w:val="0"/>
      <w:marTop w:val="0"/>
      <w:marBottom w:val="0"/>
      <w:divBdr>
        <w:top w:val="none" w:sz="0" w:space="0" w:color="auto"/>
        <w:left w:val="none" w:sz="0" w:space="0" w:color="auto"/>
        <w:bottom w:val="none" w:sz="0" w:space="0" w:color="auto"/>
        <w:right w:val="none" w:sz="0" w:space="0" w:color="auto"/>
      </w:divBdr>
    </w:div>
    <w:div w:id="882792184">
      <w:bodyDiv w:val="1"/>
      <w:marLeft w:val="0"/>
      <w:marRight w:val="0"/>
      <w:marTop w:val="0"/>
      <w:marBottom w:val="0"/>
      <w:divBdr>
        <w:top w:val="none" w:sz="0" w:space="0" w:color="auto"/>
        <w:left w:val="none" w:sz="0" w:space="0" w:color="auto"/>
        <w:bottom w:val="none" w:sz="0" w:space="0" w:color="auto"/>
        <w:right w:val="none" w:sz="0" w:space="0" w:color="auto"/>
      </w:divBdr>
      <w:divsChild>
        <w:div w:id="1895388374">
          <w:marLeft w:val="0"/>
          <w:marRight w:val="0"/>
          <w:marTop w:val="0"/>
          <w:marBottom w:val="0"/>
          <w:divBdr>
            <w:top w:val="none" w:sz="0" w:space="0" w:color="auto"/>
            <w:left w:val="none" w:sz="0" w:space="0" w:color="auto"/>
            <w:bottom w:val="none" w:sz="0" w:space="0" w:color="auto"/>
            <w:right w:val="none" w:sz="0" w:space="0" w:color="auto"/>
          </w:divBdr>
        </w:div>
      </w:divsChild>
    </w:div>
    <w:div w:id="889607357">
      <w:bodyDiv w:val="1"/>
      <w:marLeft w:val="0"/>
      <w:marRight w:val="0"/>
      <w:marTop w:val="0"/>
      <w:marBottom w:val="0"/>
      <w:divBdr>
        <w:top w:val="none" w:sz="0" w:space="0" w:color="auto"/>
        <w:left w:val="none" w:sz="0" w:space="0" w:color="auto"/>
        <w:bottom w:val="none" w:sz="0" w:space="0" w:color="auto"/>
        <w:right w:val="none" w:sz="0" w:space="0" w:color="auto"/>
      </w:divBdr>
    </w:div>
    <w:div w:id="936597628">
      <w:bodyDiv w:val="1"/>
      <w:marLeft w:val="0"/>
      <w:marRight w:val="0"/>
      <w:marTop w:val="0"/>
      <w:marBottom w:val="0"/>
      <w:divBdr>
        <w:top w:val="none" w:sz="0" w:space="0" w:color="auto"/>
        <w:left w:val="none" w:sz="0" w:space="0" w:color="auto"/>
        <w:bottom w:val="none" w:sz="0" w:space="0" w:color="auto"/>
        <w:right w:val="none" w:sz="0" w:space="0" w:color="auto"/>
      </w:divBdr>
      <w:divsChild>
        <w:div w:id="1426414464">
          <w:marLeft w:val="1138"/>
          <w:marRight w:val="0"/>
          <w:marTop w:val="134"/>
          <w:marBottom w:val="0"/>
          <w:divBdr>
            <w:top w:val="none" w:sz="0" w:space="0" w:color="auto"/>
            <w:left w:val="none" w:sz="0" w:space="0" w:color="auto"/>
            <w:bottom w:val="none" w:sz="0" w:space="0" w:color="auto"/>
            <w:right w:val="none" w:sz="0" w:space="0" w:color="auto"/>
          </w:divBdr>
        </w:div>
        <w:div w:id="1490633901">
          <w:marLeft w:val="1138"/>
          <w:marRight w:val="0"/>
          <w:marTop w:val="134"/>
          <w:marBottom w:val="0"/>
          <w:divBdr>
            <w:top w:val="none" w:sz="0" w:space="0" w:color="auto"/>
            <w:left w:val="none" w:sz="0" w:space="0" w:color="auto"/>
            <w:bottom w:val="none" w:sz="0" w:space="0" w:color="auto"/>
            <w:right w:val="none" w:sz="0" w:space="0" w:color="auto"/>
          </w:divBdr>
        </w:div>
      </w:divsChild>
    </w:div>
    <w:div w:id="1058548750">
      <w:bodyDiv w:val="1"/>
      <w:marLeft w:val="0"/>
      <w:marRight w:val="0"/>
      <w:marTop w:val="0"/>
      <w:marBottom w:val="0"/>
      <w:divBdr>
        <w:top w:val="none" w:sz="0" w:space="0" w:color="auto"/>
        <w:left w:val="none" w:sz="0" w:space="0" w:color="auto"/>
        <w:bottom w:val="none" w:sz="0" w:space="0" w:color="auto"/>
        <w:right w:val="none" w:sz="0" w:space="0" w:color="auto"/>
      </w:divBdr>
      <w:divsChild>
        <w:div w:id="173227588">
          <w:marLeft w:val="0"/>
          <w:marRight w:val="0"/>
          <w:marTop w:val="0"/>
          <w:marBottom w:val="0"/>
          <w:divBdr>
            <w:top w:val="none" w:sz="0" w:space="0" w:color="auto"/>
            <w:left w:val="none" w:sz="0" w:space="0" w:color="auto"/>
            <w:bottom w:val="none" w:sz="0" w:space="0" w:color="auto"/>
            <w:right w:val="none" w:sz="0" w:space="0" w:color="auto"/>
          </w:divBdr>
          <w:divsChild>
            <w:div w:id="729306752">
              <w:marLeft w:val="0"/>
              <w:marRight w:val="0"/>
              <w:marTop w:val="0"/>
              <w:marBottom w:val="0"/>
              <w:divBdr>
                <w:top w:val="none" w:sz="0" w:space="0" w:color="auto"/>
                <w:left w:val="none" w:sz="0" w:space="0" w:color="auto"/>
                <w:bottom w:val="none" w:sz="0" w:space="0" w:color="auto"/>
                <w:right w:val="none" w:sz="0" w:space="0" w:color="auto"/>
              </w:divBdr>
              <w:divsChild>
                <w:div w:id="1016659976">
                  <w:marLeft w:val="0"/>
                  <w:marRight w:val="0"/>
                  <w:marTop w:val="0"/>
                  <w:marBottom w:val="0"/>
                  <w:divBdr>
                    <w:top w:val="none" w:sz="0" w:space="0" w:color="auto"/>
                    <w:left w:val="none" w:sz="0" w:space="0" w:color="auto"/>
                    <w:bottom w:val="none" w:sz="0" w:space="0" w:color="auto"/>
                    <w:right w:val="none" w:sz="0" w:space="0" w:color="auto"/>
                  </w:divBdr>
                  <w:divsChild>
                    <w:div w:id="572936398">
                      <w:marLeft w:val="0"/>
                      <w:marRight w:val="0"/>
                      <w:marTop w:val="0"/>
                      <w:marBottom w:val="0"/>
                      <w:divBdr>
                        <w:top w:val="none" w:sz="0" w:space="0" w:color="auto"/>
                        <w:left w:val="none" w:sz="0" w:space="0" w:color="auto"/>
                        <w:bottom w:val="none" w:sz="0" w:space="0" w:color="auto"/>
                        <w:right w:val="none" w:sz="0" w:space="0" w:color="auto"/>
                      </w:divBdr>
                    </w:div>
                    <w:div w:id="2931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230378">
      <w:bodyDiv w:val="1"/>
      <w:marLeft w:val="0"/>
      <w:marRight w:val="0"/>
      <w:marTop w:val="0"/>
      <w:marBottom w:val="0"/>
      <w:divBdr>
        <w:top w:val="none" w:sz="0" w:space="0" w:color="auto"/>
        <w:left w:val="none" w:sz="0" w:space="0" w:color="auto"/>
        <w:bottom w:val="none" w:sz="0" w:space="0" w:color="auto"/>
        <w:right w:val="none" w:sz="0" w:space="0" w:color="auto"/>
      </w:divBdr>
    </w:div>
    <w:div w:id="1680042349">
      <w:bodyDiv w:val="1"/>
      <w:marLeft w:val="0"/>
      <w:marRight w:val="0"/>
      <w:marTop w:val="0"/>
      <w:marBottom w:val="0"/>
      <w:divBdr>
        <w:top w:val="none" w:sz="0" w:space="0" w:color="auto"/>
        <w:left w:val="none" w:sz="0" w:space="0" w:color="auto"/>
        <w:bottom w:val="none" w:sz="0" w:space="0" w:color="auto"/>
        <w:right w:val="none" w:sz="0" w:space="0" w:color="auto"/>
      </w:divBdr>
    </w:div>
    <w:div w:id="1702128062">
      <w:bodyDiv w:val="1"/>
      <w:marLeft w:val="0"/>
      <w:marRight w:val="0"/>
      <w:marTop w:val="0"/>
      <w:marBottom w:val="0"/>
      <w:divBdr>
        <w:top w:val="none" w:sz="0" w:space="0" w:color="auto"/>
        <w:left w:val="none" w:sz="0" w:space="0" w:color="auto"/>
        <w:bottom w:val="none" w:sz="0" w:space="0" w:color="auto"/>
        <w:right w:val="none" w:sz="0" w:space="0" w:color="auto"/>
      </w:divBdr>
    </w:div>
    <w:div w:id="1736855102">
      <w:bodyDiv w:val="1"/>
      <w:marLeft w:val="0"/>
      <w:marRight w:val="0"/>
      <w:marTop w:val="0"/>
      <w:marBottom w:val="0"/>
      <w:divBdr>
        <w:top w:val="none" w:sz="0" w:space="0" w:color="auto"/>
        <w:left w:val="none" w:sz="0" w:space="0" w:color="auto"/>
        <w:bottom w:val="none" w:sz="0" w:space="0" w:color="auto"/>
        <w:right w:val="none" w:sz="0" w:space="0" w:color="auto"/>
      </w:divBdr>
    </w:div>
    <w:div w:id="1880244638">
      <w:bodyDiv w:val="1"/>
      <w:marLeft w:val="0"/>
      <w:marRight w:val="0"/>
      <w:marTop w:val="0"/>
      <w:marBottom w:val="0"/>
      <w:divBdr>
        <w:top w:val="none" w:sz="0" w:space="0" w:color="auto"/>
        <w:left w:val="none" w:sz="0" w:space="0" w:color="auto"/>
        <w:bottom w:val="none" w:sz="0" w:space="0" w:color="auto"/>
        <w:right w:val="none" w:sz="0" w:space="0" w:color="auto"/>
      </w:divBdr>
      <w:divsChild>
        <w:div w:id="602538881">
          <w:marLeft w:val="0"/>
          <w:marRight w:val="0"/>
          <w:marTop w:val="0"/>
          <w:marBottom w:val="0"/>
          <w:divBdr>
            <w:top w:val="none" w:sz="0" w:space="0" w:color="auto"/>
            <w:left w:val="none" w:sz="0" w:space="0" w:color="auto"/>
            <w:bottom w:val="none" w:sz="0" w:space="0" w:color="auto"/>
            <w:right w:val="none" w:sz="0" w:space="0" w:color="auto"/>
          </w:divBdr>
        </w:div>
      </w:divsChild>
    </w:div>
    <w:div w:id="1958172614">
      <w:bodyDiv w:val="1"/>
      <w:marLeft w:val="0"/>
      <w:marRight w:val="0"/>
      <w:marTop w:val="0"/>
      <w:marBottom w:val="0"/>
      <w:divBdr>
        <w:top w:val="none" w:sz="0" w:space="0" w:color="auto"/>
        <w:left w:val="none" w:sz="0" w:space="0" w:color="auto"/>
        <w:bottom w:val="none" w:sz="0" w:space="0" w:color="auto"/>
        <w:right w:val="none" w:sz="0" w:space="0" w:color="auto"/>
      </w:divBdr>
    </w:div>
    <w:div w:id="2075424533">
      <w:bodyDiv w:val="1"/>
      <w:marLeft w:val="0"/>
      <w:marRight w:val="0"/>
      <w:marTop w:val="0"/>
      <w:marBottom w:val="0"/>
      <w:divBdr>
        <w:top w:val="none" w:sz="0" w:space="0" w:color="auto"/>
        <w:left w:val="none" w:sz="0" w:space="0" w:color="auto"/>
        <w:bottom w:val="none" w:sz="0" w:space="0" w:color="auto"/>
        <w:right w:val="none" w:sz="0" w:space="0" w:color="auto"/>
      </w:divBdr>
      <w:divsChild>
        <w:div w:id="38171232">
          <w:marLeft w:val="0"/>
          <w:marRight w:val="0"/>
          <w:marTop w:val="0"/>
          <w:marBottom w:val="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sChild>
                <w:div w:id="1916426402">
                  <w:marLeft w:val="0"/>
                  <w:marRight w:val="0"/>
                  <w:marTop w:val="0"/>
                  <w:marBottom w:val="0"/>
                  <w:divBdr>
                    <w:top w:val="none" w:sz="0" w:space="0" w:color="auto"/>
                    <w:left w:val="none" w:sz="0" w:space="0" w:color="auto"/>
                    <w:bottom w:val="none" w:sz="0" w:space="0" w:color="auto"/>
                    <w:right w:val="none" w:sz="0" w:space="0" w:color="auto"/>
                  </w:divBdr>
                  <w:divsChild>
                    <w:div w:id="2135050771">
                      <w:marLeft w:val="0"/>
                      <w:marRight w:val="0"/>
                      <w:marTop w:val="0"/>
                      <w:marBottom w:val="0"/>
                      <w:divBdr>
                        <w:top w:val="none" w:sz="0" w:space="0" w:color="auto"/>
                        <w:left w:val="none" w:sz="0" w:space="0" w:color="auto"/>
                        <w:bottom w:val="none" w:sz="0" w:space="0" w:color="auto"/>
                        <w:right w:val="none" w:sz="0" w:space="0" w:color="auto"/>
                      </w:divBdr>
                    </w:div>
                    <w:div w:id="17761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92245">
      <w:bodyDiv w:val="1"/>
      <w:marLeft w:val="0"/>
      <w:marRight w:val="0"/>
      <w:marTop w:val="0"/>
      <w:marBottom w:val="0"/>
      <w:divBdr>
        <w:top w:val="none" w:sz="0" w:space="0" w:color="auto"/>
        <w:left w:val="none" w:sz="0" w:space="0" w:color="auto"/>
        <w:bottom w:val="none" w:sz="0" w:space="0" w:color="auto"/>
        <w:right w:val="none" w:sz="0" w:space="0" w:color="auto"/>
      </w:divBdr>
      <w:divsChild>
        <w:div w:id="1109396876">
          <w:marLeft w:val="1138"/>
          <w:marRight w:val="0"/>
          <w:marTop w:val="134"/>
          <w:marBottom w:val="120"/>
          <w:divBdr>
            <w:top w:val="none" w:sz="0" w:space="0" w:color="auto"/>
            <w:left w:val="none" w:sz="0" w:space="0" w:color="auto"/>
            <w:bottom w:val="none" w:sz="0" w:space="0" w:color="auto"/>
            <w:right w:val="none" w:sz="0" w:space="0" w:color="auto"/>
          </w:divBdr>
        </w:div>
        <w:div w:id="1672484623">
          <w:marLeft w:val="1138"/>
          <w:marRight w:val="0"/>
          <w:marTop w:val="134"/>
          <w:marBottom w:val="120"/>
          <w:divBdr>
            <w:top w:val="none" w:sz="0" w:space="0" w:color="auto"/>
            <w:left w:val="none" w:sz="0" w:space="0" w:color="auto"/>
            <w:bottom w:val="none" w:sz="0" w:space="0" w:color="auto"/>
            <w:right w:val="none" w:sz="0" w:space="0" w:color="auto"/>
          </w:divBdr>
        </w:div>
        <w:div w:id="1301810572">
          <w:marLeft w:val="1138"/>
          <w:marRight w:val="0"/>
          <w:marTop w:val="134"/>
          <w:marBottom w:val="120"/>
          <w:divBdr>
            <w:top w:val="none" w:sz="0" w:space="0" w:color="auto"/>
            <w:left w:val="none" w:sz="0" w:space="0" w:color="auto"/>
            <w:bottom w:val="none" w:sz="0" w:space="0" w:color="auto"/>
            <w:right w:val="none" w:sz="0" w:space="0" w:color="auto"/>
          </w:divBdr>
        </w:div>
        <w:div w:id="1825388935">
          <w:marLeft w:val="1138"/>
          <w:marRight w:val="0"/>
          <w:marTop w:val="134"/>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sustainabledevelopment/cities/" TargetMode="External"/><Relationship Id="rId7" Type="http://schemas.openxmlformats.org/officeDocument/2006/relationships/hyperlink" Target="https://www.iti-plzen.cz/files/prf-200120-zaverecny-dokument-final-02042020.pdf" TargetMode="External"/><Relationship Id="rId2" Type="http://schemas.openxmlformats.org/officeDocument/2006/relationships/hyperlink" Target="https://eur-lex.europa.eu/legal-content/CS/TXT/PDF/?uri=OJ:L_202401679" TargetMode="External"/><Relationship Id="rId1" Type="http://schemas.openxmlformats.org/officeDocument/2006/relationships/hyperlink" Target="https://eur-lex.europa.eu/legal-content/CS/TXT/HTML/?uri=CELEX:32023H0550" TargetMode="External"/><Relationship Id="rId6" Type="http://schemas.openxmlformats.org/officeDocument/2006/relationships/hyperlink" Target="https://transport.ec.europa.eu/transport-themes/urban-transport/expert-group-urban-mobility_en?prefLang=cs&amp;etrans=cs" TargetMode="External"/><Relationship Id="rId5" Type="http://schemas.openxmlformats.org/officeDocument/2006/relationships/hyperlink" Target="https://transport.ec.europa.eu/document/download/7be18abd-4901-420a-b3a7-2485c96a7e0a_cs?filename=European_Declaration_on_Cycling_cs.pdf" TargetMode="External"/><Relationship Id="rId4" Type="http://schemas.openxmlformats.org/officeDocument/2006/relationships/hyperlink" Target="https://eur-lex.europa.eu/legal-content/en/TXT/?uri=CELEX:52021SC0047"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dcbf1-d928-49aa-9dd3-17e8c5f71e8f" xsi:nil="true"/>
    <lcf76f155ced4ddcb4097134ff3c332f xmlns="33605b6f-51f0-4d07-8f20-0c5d6c8898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EA90736862C64EB2E5689C53EF1490" ma:contentTypeVersion="13" ma:contentTypeDescription="Vytvoří nový dokument" ma:contentTypeScope="" ma:versionID="95c47008e365bc475f3b4b253875b1ea">
  <xsd:schema xmlns:xsd="http://www.w3.org/2001/XMLSchema" xmlns:xs="http://www.w3.org/2001/XMLSchema" xmlns:p="http://schemas.microsoft.com/office/2006/metadata/properties" xmlns:ns2="33605b6f-51f0-4d07-8f20-0c5d6c8898e0" xmlns:ns3="569dcbf1-d928-49aa-9dd3-17e8c5f71e8f" targetNamespace="http://schemas.microsoft.com/office/2006/metadata/properties" ma:root="true" ma:fieldsID="9d764d54c242ee5e55023611d11270fb" ns2:_="" ns3:_="">
    <xsd:import namespace="33605b6f-51f0-4d07-8f20-0c5d6c8898e0"/>
    <xsd:import namespace="569dcbf1-d928-49aa-9dd3-17e8c5f71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05b6f-51f0-4d07-8f20-0c5d6c889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f4372e8-91f8-497c-a191-f950a110e2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dcbf1-d928-49aa-9dd3-17e8c5f71e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93661-9f35-4f2f-a2a0-ace98374d74d}" ma:internalName="TaxCatchAll" ma:showField="CatchAllData" ma:web="569dcbf1-d928-49aa-9dd3-17e8c5f71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CF72-A336-473F-87C7-535D4C997788}">
  <ds:schemaRefs>
    <ds:schemaRef ds:uri="http://schemas.microsoft.com/office/2006/metadata/properties"/>
    <ds:schemaRef ds:uri="http://schemas.microsoft.com/office/infopath/2007/PartnerControls"/>
    <ds:schemaRef ds:uri="569dcbf1-d928-49aa-9dd3-17e8c5f71e8f"/>
    <ds:schemaRef ds:uri="33605b6f-51f0-4d07-8f20-0c5d6c8898e0"/>
  </ds:schemaRefs>
</ds:datastoreItem>
</file>

<file path=customXml/itemProps2.xml><?xml version="1.0" encoding="utf-8"?>
<ds:datastoreItem xmlns:ds="http://schemas.openxmlformats.org/officeDocument/2006/customXml" ds:itemID="{0088ED61-BA6E-4CC0-80A2-92AD3C571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05b6f-51f0-4d07-8f20-0c5d6c8898e0"/>
    <ds:schemaRef ds:uri="569dcbf1-d928-49aa-9dd3-17e8c5f71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65A85-8C29-479C-ACA4-CA4123756AB9}">
  <ds:schemaRefs>
    <ds:schemaRef ds:uri="http://schemas.microsoft.com/sharepoint/v3/contenttype/forms"/>
  </ds:schemaRefs>
</ds:datastoreItem>
</file>

<file path=customXml/itemProps4.xml><?xml version="1.0" encoding="utf-8"?>
<ds:datastoreItem xmlns:ds="http://schemas.openxmlformats.org/officeDocument/2006/customXml" ds:itemID="{73C1F617-082C-4DC6-8057-9B1D626D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5152</Words>
  <Characters>30397</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35479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Eyblová Dita Ing.</dc:creator>
  <cp:keywords/>
  <dc:description/>
  <cp:lastModifiedBy>Daňková Lucie Mgr.</cp:lastModifiedBy>
  <cp:revision>2</cp:revision>
  <dcterms:created xsi:type="dcterms:W3CDTF">2026-03-06T14:48:00Z</dcterms:created>
  <dcterms:modified xsi:type="dcterms:W3CDTF">2026-03-06T14:48:00Z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0x01010097EA90736862C64EB2E5689C53EF1490</vt:lpwstr>
  </property>
  <property fmtid="{D5CDD505-2E9C-101B-9397-08002B2CF9AE}" pid="3" name="Order">
    <vt:r8>20253800</vt:r8>
  </property>
  <property fmtid="{D5CDD505-2E9C-101B-9397-08002B2CF9AE}" pid="4" name="MediaServiceImageTags">
    <vt:lpwstr/>
  </property>
  <property fmtid="{D5CDD505-2E9C-101B-9397-08002B2CF9AE}" pid="5" name="docLang">
    <vt:lpwstr>cs</vt:lpwstr>
  </property>
</Properties>
</file>