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044801030"/>
        <w:docPartObj>
          <w:docPartGallery w:val="Cover Pages"/>
          <w:docPartUnique/>
        </w:docPartObj>
      </w:sdtPr>
      <w:sdtEndPr>
        <w:rPr>
          <w:rFonts w:ascii="Times New Roman" w:hAnsi="Times New Roman" w:cs="Times New Roman"/>
          <w:b/>
          <w:sz w:val="52"/>
          <w:szCs w:val="52"/>
        </w:rPr>
      </w:sdtEndPr>
      <w:sdtContent>
        <w:p w:rsidR="00211AA4" w:rsidRDefault="00211AA4">
          <w:r w:rsidRPr="00211AA4">
            <w:rPr>
              <w:noProof/>
              <w:sz w:val="52"/>
              <w:szCs w:val="52"/>
              <w:lang w:eastAsia="cs-CZ"/>
            </w:rPr>
            <mc:AlternateContent>
              <mc:Choice Requires="wps">
                <w:drawing>
                  <wp:anchor distT="0" distB="0" distL="114300" distR="114300" simplePos="0" relativeHeight="251657216" behindDoc="0" locked="0" layoutInCell="1" allowOverlap="1" wp14:anchorId="7DE8B71A" wp14:editId="427CC38A">
                    <wp:simplePos x="0" y="0"/>
                    <wp:positionH relativeFrom="margin">
                      <wp:align>right</wp:align>
                    </wp:positionH>
                    <wp:positionV relativeFrom="page">
                      <wp:posOffset>247650</wp:posOffset>
                    </wp:positionV>
                    <wp:extent cx="1241425" cy="987425"/>
                    <wp:effectExtent l="0" t="0" r="0" b="0"/>
                    <wp:wrapNone/>
                    <wp:docPr id="132" name="Obdélník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41425"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50D4" w:rsidRDefault="001D50D4" w:rsidP="00C33ACE">
                                <w:pPr>
                                  <w:pStyle w:val="Bezmezer"/>
                                  <w:rPr>
                                    <w:color w:val="FFFFFF" w:themeColor="background1"/>
                                    <w:sz w:val="24"/>
                                    <w:szCs w:val="24"/>
                                  </w:rPr>
                                </w:pPr>
                                <w:r w:rsidRPr="00C33ACE">
                                  <w:rPr>
                                    <w:color w:val="FFFFFF" w:themeColor="background1"/>
                                    <w:sz w:val="24"/>
                                    <w:szCs w:val="24"/>
                                  </w:rPr>
                                  <w:t>2017</w:t>
                                </w:r>
                                <w:r>
                                  <w:rPr>
                                    <w:color w:val="FFFFFF" w:themeColor="background1"/>
                                    <w:sz w:val="24"/>
                                    <w:szCs w:val="24"/>
                                  </w:rPr>
                                  <w:t xml:space="preserve"> - 2027</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7DE8B71A" id="Obdélník 132" o:spid="_x0000_s1026" style="position:absolute;margin-left:46.55pt;margin-top:19.5pt;width:97.75pt;height:77.75pt;z-index:251657216;visibility:visible;mso-wrap-style:square;mso-width-percent:0;mso-height-percent:98;mso-wrap-distance-left:9pt;mso-wrap-distance-top:0;mso-wrap-distance-right:9pt;mso-wrap-distance-bottom:0;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hpoAIAAIsFAAAOAAAAZHJzL2Uyb0RvYy54bWysVM1u2zAMvg/YOwi6r068duuMOkWQosOA&#10;oC3WDj0rshQblUVNUmJnb7TDnqIvNkpy3Kwtdhjmg0GJHz/+iOTZed8qshXWNaBLOj2aUCI0h6rR&#10;65J+u7t8d0qJ80xXTIEWJd0JR89nb9+cdaYQOdSgKmEJkmhXdKaktfemyDLHa9EydwRGaFRKsC3z&#10;eLTrrLKsQ/ZWZflk8iHrwFbGAhfO4e1FUtJZ5JdScH8tpROeqJJibD7+bfyvwj+bnbFibZmpGz6E&#10;wf4hipY1Gp2OVBfMM7KxzQuqtuEWHEh/xKHNQMqGi5gDZjOdPMvmtmZGxFywOM6MZXL/j5ZfbW8s&#10;aSp8u/c5JZq1+EjXq+rxp9KPvx5IuMUadcYVCL01NzZk6cwS+IMjGhY102sxdwYrjRwBm/0BDgc3&#10;mPXStsEc0yZ9fIPd+Aai94Tj5TQ/nh7nJ5Rw1H06/RjkQMqKvbWxzn8W0JIglNSi51h6tl06n6B7&#10;SHCmdPhruGyUStpwE4NMccUI/U6JhP4qJNYDI8kja+xEsVCWbBn2EONcaD9NqppVIl2fTPAb4hwt&#10;YtRKI2Fgluh/5B4IQpe/5E5RDvhgKmIjj8aTvwWWjEeL6Bm0H43bRoN9jUBhVoPnhN8XKZUmVMn3&#10;qx4hQVxBtcPGsZAmyhl+2eBzLJnzN8ziCOGw4Vrw1/iTCrqSwiBRUoP98dp9wGNno5aSDkeypO77&#10;hllBifqiseePTz7mYYYPD/bwsDo86E27AHyxKS4gw6OIxtarvSgttPe4PebBK6qY5ui7pKu9uPBp&#10;UeD24WI+jyCcWsP8Ut8aHqhDeUOz3fX3zJqhIz328hXsh5cVzxozYYOlhvnGg2xi1z5VdSg8Tnzs&#10;oGE7hZVyeI6opx06+w0AAP//AwBQSwMEFAAGAAgAAAAhAFQjx4HcAAAABwEAAA8AAABkcnMvZG93&#10;bnJldi54bWxMj0FPwzAMhe9I+w+RJ3FjKYwi2jWd0AAJidMGhx3TxrTVEqdqvK3s1y89wcnPetZ7&#10;n4v16Kw44RA6TwruFwkIpNqbjhoF31/vd88gAmsy2npCBb8YYF3ObgqdG3+mLZ523IgYQiHXClrm&#10;Ppcy1C06HRa+R4rejx+c5rgOjTSDPsdwZ+VDkjxJpzuKDa3ucdNifdgdnQJp60OVflQ+e7u8cvJJ&#10;++Wm8UrdzseXFQjGkf+OYcKP6FBGpsofyQRhFcRHWMEyi3NyszQFUU3iMQVZFvI/f3kFAAD//wMA&#10;UEsBAi0AFAAGAAgAAAAhALaDOJL+AAAA4QEAABMAAAAAAAAAAAAAAAAAAAAAAFtDb250ZW50X1R5&#10;cGVzXS54bWxQSwECLQAUAAYACAAAACEAOP0h/9YAAACUAQAACwAAAAAAAAAAAAAAAAAvAQAAX3Jl&#10;bHMvLnJlbHNQSwECLQAUAAYACAAAACEAyvM4aaACAACLBQAADgAAAAAAAAAAAAAAAAAuAgAAZHJz&#10;L2Uyb0RvYy54bWxQSwECLQAUAAYACAAAACEAVCPHgdwAAAAHAQAADwAAAAAAAAAAAAAAAAD6BAAA&#10;ZHJzL2Rvd25yZXYueG1sUEsFBgAAAAAEAAQA8wAAAAMGAAAAAA==&#10;" fillcolor="#5b9bd5 [3204]" stroked="f" strokeweight="1pt">
                    <v:path arrowok="t"/>
                    <o:lock v:ext="edit" aspectratio="t"/>
                    <v:textbox inset="3.6pt,,3.6pt">
                      <w:txbxContent>
                        <w:p w:rsidR="001D50D4" w:rsidRDefault="001D50D4" w:rsidP="00C33ACE">
                          <w:pPr>
                            <w:pStyle w:val="Bezmezer"/>
                            <w:rPr>
                              <w:color w:val="FFFFFF" w:themeColor="background1"/>
                              <w:sz w:val="24"/>
                              <w:szCs w:val="24"/>
                            </w:rPr>
                          </w:pPr>
                          <w:r w:rsidRPr="00C33ACE">
                            <w:rPr>
                              <w:color w:val="FFFFFF" w:themeColor="background1"/>
                              <w:sz w:val="24"/>
                              <w:szCs w:val="24"/>
                            </w:rPr>
                            <w:t>2017</w:t>
                          </w:r>
                          <w:r>
                            <w:rPr>
                              <w:color w:val="FFFFFF" w:themeColor="background1"/>
                              <w:sz w:val="24"/>
                              <w:szCs w:val="24"/>
                            </w:rPr>
                            <w:t xml:space="preserve"> - 2027</w:t>
                          </w:r>
                        </w:p>
                      </w:txbxContent>
                    </v:textbox>
                    <w10:wrap anchorx="margin" anchory="page"/>
                  </v:rect>
                </w:pict>
              </mc:Fallback>
            </mc:AlternateContent>
          </w:r>
        </w:p>
        <w:p w:rsidR="00211AA4" w:rsidRPr="00211AA4" w:rsidRDefault="00211AA4">
          <w:pPr>
            <w:spacing w:after="0" w:line="240" w:lineRule="auto"/>
            <w:rPr>
              <w:rFonts w:ascii="Times New Roman" w:hAnsi="Times New Roman" w:cs="Times New Roman"/>
              <w:b/>
              <w:sz w:val="52"/>
              <w:szCs w:val="52"/>
            </w:rPr>
          </w:pPr>
          <w:r w:rsidRPr="00211AA4">
            <w:rPr>
              <w:noProof/>
              <w:sz w:val="52"/>
              <w:szCs w:val="52"/>
              <w:lang w:eastAsia="cs-CZ"/>
            </w:rPr>
            <mc:AlternateContent>
              <mc:Choice Requires="wps">
                <w:drawing>
                  <wp:anchor distT="0" distB="0" distL="182880" distR="182880" simplePos="0" relativeHeight="251664384" behindDoc="0" locked="0" layoutInCell="1" allowOverlap="1" wp14:anchorId="654A114E" wp14:editId="31E7EB76">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5743575" cy="1466850"/>
                    <wp:effectExtent l="0" t="0" r="9525" b="0"/>
                    <wp:wrapSquare wrapText="bothSides"/>
                    <wp:docPr id="131" name="Textové pole 131"/>
                    <wp:cNvGraphicFramePr/>
                    <a:graphic xmlns:a="http://schemas.openxmlformats.org/drawingml/2006/main">
                      <a:graphicData uri="http://schemas.microsoft.com/office/word/2010/wordprocessingShape">
                        <wps:wsp>
                          <wps:cNvSpPr txBox="1"/>
                          <wps:spPr>
                            <a:xfrm>
                              <a:off x="0" y="0"/>
                              <a:ext cx="5743575" cy="146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0D4" w:rsidRPr="00211AA4" w:rsidRDefault="00AE07A7">
                                <w:pPr>
                                  <w:pStyle w:val="Bezmezer"/>
                                  <w:spacing w:before="40" w:after="560" w:line="216" w:lineRule="auto"/>
                                  <w:rPr>
                                    <w:color w:val="5B9BD5" w:themeColor="accent1"/>
                                    <w:sz w:val="48"/>
                                    <w:szCs w:val="48"/>
                                  </w:rPr>
                                </w:pPr>
                                <w:sdt>
                                  <w:sdtPr>
                                    <w:rPr>
                                      <w:rFonts w:ascii="Times New Roman" w:hAnsi="Times New Roman" w:cs="Times New Roman"/>
                                      <w:b/>
                                      <w:sz w:val="48"/>
                                      <w:szCs w:val="48"/>
                                    </w:rPr>
                                    <w:alias w:val="Název"/>
                                    <w:tag w:val=""/>
                                    <w:id w:val="694430350"/>
                                    <w:dataBinding w:prefixMappings="xmlns:ns0='http://purl.org/dc/elements/1.1/' xmlns:ns1='http://schemas.openxmlformats.org/package/2006/metadata/core-properties' " w:xpath="/ns1:coreProperties[1]/ns0:title[1]" w:storeItemID="{6C3C8BC8-F283-45AE-878A-BAB7291924A1}"/>
                                    <w:text/>
                                  </w:sdtPr>
                                  <w:sdtEndPr/>
                                  <w:sdtContent>
                                    <w:r w:rsidR="001D50D4" w:rsidRPr="00211AA4">
                                      <w:rPr>
                                        <w:rFonts w:ascii="Times New Roman" w:hAnsi="Times New Roman" w:cs="Times New Roman"/>
                                        <w:b/>
                                        <w:sz w:val="48"/>
                                        <w:szCs w:val="48"/>
                                      </w:rPr>
                                      <w:t>Prováděcí plán TSI PRM v České republice</w:t>
                                    </w:r>
                                  </w:sdtContent>
                                </w:sdt>
                              </w:p>
                              <w:sdt>
                                <w:sdtPr>
                                  <w:rPr>
                                    <w:caps/>
                                    <w:color w:val="1F3864" w:themeColor="accent5" w:themeShade="80"/>
                                    <w:sz w:val="28"/>
                                    <w:szCs w:val="28"/>
                                  </w:rPr>
                                  <w:alias w:val="Podtitul"/>
                                  <w:tag w:val=""/>
                                  <w:id w:val="-515387367"/>
                                  <w:showingPlcHdr/>
                                  <w:dataBinding w:prefixMappings="xmlns:ns0='http://purl.org/dc/elements/1.1/' xmlns:ns1='http://schemas.openxmlformats.org/package/2006/metadata/core-properties' " w:xpath="/ns1:coreProperties[1]/ns0:subject[1]" w:storeItemID="{6C3C8BC8-F283-45AE-878A-BAB7291924A1}"/>
                                  <w:text/>
                                </w:sdtPr>
                                <w:sdtEndPr/>
                                <w:sdtContent>
                                  <w:p w:rsidR="001D50D4" w:rsidRDefault="001D50D4">
                                    <w:pPr>
                                      <w:pStyle w:val="Bezmezer"/>
                                      <w:spacing w:before="40" w:after="40"/>
                                      <w:rPr>
                                        <w:caps/>
                                        <w:color w:val="1F3864" w:themeColor="accent5" w:themeShade="80"/>
                                        <w:sz w:val="28"/>
                                        <w:szCs w:val="28"/>
                                      </w:rPr>
                                    </w:pPr>
                                    <w:r>
                                      <w:rPr>
                                        <w:caps/>
                                        <w:color w:val="1F3864" w:themeColor="accent5" w:themeShade="80"/>
                                        <w:sz w:val="28"/>
                                        <w:szCs w:val="28"/>
                                      </w:rPr>
                                      <w:t xml:space="preserve">     </w:t>
                                    </w:r>
                                  </w:p>
                                </w:sdtContent>
                              </w:sdt>
                              <w:p w:rsidR="001D50D4" w:rsidRDefault="001D50D4">
                                <w:pPr>
                                  <w:pStyle w:val="Bezmezer"/>
                                  <w:spacing w:before="80" w:after="40"/>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54A114E" id="_x0000_t202" coordsize="21600,21600" o:spt="202" path="m,l,21600r21600,l21600,xe">
                    <v:stroke joinstyle="miter"/>
                    <v:path gradientshapeok="t" o:connecttype="rect"/>
                  </v:shapetype>
                  <v:shape id="Textové pole 131" o:spid="_x0000_s1027" type="#_x0000_t202" style="position:absolute;margin-left:0;margin-top:0;width:452.25pt;height:115.5pt;z-index:251664384;visibility:visible;mso-wrap-style:square;mso-width-percent:0;mso-height-percent:0;mso-left-percent:77;mso-top-percent:540;mso-wrap-distance-left:14.4pt;mso-wrap-distance-top:0;mso-wrap-distance-right:14.4pt;mso-wrap-distance-bottom:0;mso-position-horizontal-relative:margin;mso-position-vertical-relative:page;mso-width-percent:0;mso-height-percent: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BEggIAAGMFAAAOAAAAZHJzL2Uyb0RvYy54bWysVM1OGzEQvlfqO1i+l02ABBSxQSmIqhKi&#10;qFBxdrw2WdXrcW0nu+kb9Tn6Yv3szQZKe6HqxTs78814fr7x2XnXGLZRPtRkSz4+GHGmrKSqto8l&#10;/3J/9e6UsxCFrYQhq0q+VYGfz9++OWvdTB3SikylPEMQG2atK/kqRjcriiBXqhHhgJyyMGryjYj4&#10;9Y9F5UWL6I0pDkejadGSr5wnqUKA9rI38nmOr7WS8ZPWQUVmSo7cYj59PpfpLOZnYvbohVvVcpeG&#10;+IcsGlFbXLoPdSmiYGtf/xGqqaWnQDoeSGoK0rqWKteAasajF9XcrYRTuRY0J7h9m8L/CytvNree&#10;1RVmdzTmzIoGQ7pXXaTNzx/MkVEsGdCm1oUZ0HcO+Ni9pw4ugz5AmarvtG/SF3Ux2NHw7b7JiMkk&#10;lJOT46PJyYQzCdv4eDo9neQxFE/uzof4QVHDklByjynm5orNdYhIBdABkm6zdFUbkydpLGtLPj1C&#10;yN8s8DA2aVTmxC5MKqlPPUtxa1TCGPtZafQkV5AUmY3qwni2EeCRkFLZmIvPcYFOKI0kXuO4wz9l&#10;9Rrnvo7hZrJx79zUlnyu/kXa1dchZd3j0chndScxdsuuJ8Mw2SVVWwzcU785wcmrGkO5FiHeCo9V&#10;wYyx/vETDm0IzaedxNmK/Pe/6RMeDIaVsxarV/LwbS284sx8tOB22tNB8IOwHAS7bi4IUwBbkU0W&#10;4eCjGUTtqXnAq7BIt8AkrMRdJY+DeBH7BwCvilSLRQZhG52I1/bOyRQ6DSVR7L57EN7teBhB4Rsa&#10;llLMXtCxxyZPS4t1JF1nrqa+9l3c9RubnCm8e3XSU/H8P6Oe3sb5LwAAAP//AwBQSwMEFAAGAAgA&#10;AAAhAPltWRXbAAAABQEAAA8AAABkcnMvZG93bnJldi54bWxMj81OwzAQhO9IvIO1SNyo3RKghDhV&#10;ACFx4qflAbbxkkTY68h22/TtMVzgstJoRjPfVqvJWbGnEAfPGuYzBYK49WbgTsPH5uliCSImZIPW&#10;M2k4UoRVfXpSYWn8gd9pv06dyCUcS9TQpzSWUsa2J4dx5kfi7H364DBlGTppAh5yubNyodS1dDhw&#10;XuhxpIee2q/1zml4HqfH+64JL4N7bd7UjS3c0Rdan59NzR2IRFP6C8MPfkaHOjNt/Y5NFFZDfiT9&#10;3uzdquIKxFbD4nKuQNaV/E9ffwMAAP//AwBQSwECLQAUAAYACAAAACEAtoM4kv4AAADhAQAAEwAA&#10;AAAAAAAAAAAAAAAAAAAAW0NvbnRlbnRfVHlwZXNdLnhtbFBLAQItABQABgAIAAAAIQA4/SH/1gAA&#10;AJQBAAALAAAAAAAAAAAAAAAAAC8BAABfcmVscy8ucmVsc1BLAQItABQABgAIAAAAIQBSwKBEggIA&#10;AGMFAAAOAAAAAAAAAAAAAAAAAC4CAABkcnMvZTJvRG9jLnhtbFBLAQItABQABgAIAAAAIQD5bVkV&#10;2wAAAAUBAAAPAAAAAAAAAAAAAAAAANwEAABkcnMvZG93bnJldi54bWxQSwUGAAAAAAQABADzAAAA&#10;5AUAAAAA&#10;" filled="f" stroked="f" strokeweight=".5pt">
                    <v:textbox inset="0,0,0,0">
                      <w:txbxContent>
                        <w:p w:rsidR="001D50D4" w:rsidRPr="00211AA4" w:rsidRDefault="00A116F3">
                          <w:pPr>
                            <w:pStyle w:val="Bezmezer"/>
                            <w:spacing w:before="40" w:after="560" w:line="216" w:lineRule="auto"/>
                            <w:rPr>
                              <w:color w:val="5B9BD5" w:themeColor="accent1"/>
                              <w:sz w:val="48"/>
                              <w:szCs w:val="48"/>
                            </w:rPr>
                          </w:pPr>
                          <w:sdt>
                            <w:sdtPr>
                              <w:rPr>
                                <w:rFonts w:ascii="Times New Roman" w:hAnsi="Times New Roman" w:cs="Times New Roman"/>
                                <w:b/>
                                <w:sz w:val="48"/>
                                <w:szCs w:val="48"/>
                              </w:rPr>
                              <w:alias w:val="Název"/>
                              <w:tag w:val=""/>
                              <w:id w:val="694430350"/>
                              <w:dataBinding w:prefixMappings="xmlns:ns0='http://purl.org/dc/elements/1.1/' xmlns:ns1='http://schemas.openxmlformats.org/package/2006/metadata/core-properties' " w:xpath="/ns1:coreProperties[1]/ns0:title[1]" w:storeItemID="{6C3C8BC8-F283-45AE-878A-BAB7291924A1}"/>
                              <w:text/>
                            </w:sdtPr>
                            <w:sdtEndPr/>
                            <w:sdtContent>
                              <w:r w:rsidR="001D50D4" w:rsidRPr="00211AA4">
                                <w:rPr>
                                  <w:rFonts w:ascii="Times New Roman" w:hAnsi="Times New Roman" w:cs="Times New Roman"/>
                                  <w:b/>
                                  <w:sz w:val="48"/>
                                  <w:szCs w:val="48"/>
                                </w:rPr>
                                <w:t>Prováděcí plán TSI PRM v České republice</w:t>
                              </w:r>
                            </w:sdtContent>
                          </w:sdt>
                        </w:p>
                        <w:sdt>
                          <w:sdtPr>
                            <w:rPr>
                              <w:caps/>
                              <w:color w:val="1F3864" w:themeColor="accent5" w:themeShade="80"/>
                              <w:sz w:val="28"/>
                              <w:szCs w:val="28"/>
                            </w:rPr>
                            <w:alias w:val="Podtitul"/>
                            <w:tag w:val=""/>
                            <w:id w:val="-515387367"/>
                            <w:showingPlcHdr/>
                            <w:dataBinding w:prefixMappings="xmlns:ns0='http://purl.org/dc/elements/1.1/' xmlns:ns1='http://schemas.openxmlformats.org/package/2006/metadata/core-properties' " w:xpath="/ns1:coreProperties[1]/ns0:subject[1]" w:storeItemID="{6C3C8BC8-F283-45AE-878A-BAB7291924A1}"/>
                            <w:text/>
                          </w:sdtPr>
                          <w:sdtEndPr/>
                          <w:sdtContent>
                            <w:p w:rsidR="001D50D4" w:rsidRDefault="001D50D4">
                              <w:pPr>
                                <w:pStyle w:val="Bezmezer"/>
                                <w:spacing w:before="40" w:after="40"/>
                                <w:rPr>
                                  <w:caps/>
                                  <w:color w:val="1F3864" w:themeColor="accent5" w:themeShade="80"/>
                                  <w:sz w:val="28"/>
                                  <w:szCs w:val="28"/>
                                </w:rPr>
                              </w:pPr>
                              <w:r>
                                <w:rPr>
                                  <w:caps/>
                                  <w:color w:val="1F3864" w:themeColor="accent5" w:themeShade="80"/>
                                  <w:sz w:val="28"/>
                                  <w:szCs w:val="28"/>
                                </w:rPr>
                                <w:t xml:space="preserve">     </w:t>
                              </w:r>
                            </w:p>
                          </w:sdtContent>
                        </w:sdt>
                        <w:p w:rsidR="001D50D4" w:rsidRDefault="001D50D4">
                          <w:pPr>
                            <w:pStyle w:val="Bezmezer"/>
                            <w:spacing w:before="80" w:after="40"/>
                            <w:rPr>
                              <w:caps/>
                              <w:color w:val="4472C4" w:themeColor="accent5"/>
                              <w:sz w:val="24"/>
                              <w:szCs w:val="24"/>
                            </w:rPr>
                          </w:pPr>
                        </w:p>
                      </w:txbxContent>
                    </v:textbox>
                    <w10:wrap type="square" anchorx="margin" anchory="page"/>
                  </v:shape>
                </w:pict>
              </mc:Fallback>
            </mc:AlternateContent>
          </w:r>
          <w:r w:rsidRPr="00211AA4">
            <w:rPr>
              <w:rFonts w:ascii="Times New Roman" w:hAnsi="Times New Roman" w:cs="Times New Roman"/>
              <w:b/>
              <w:sz w:val="52"/>
              <w:szCs w:val="52"/>
            </w:rPr>
            <w:br w:type="page"/>
          </w:r>
        </w:p>
      </w:sdtContent>
    </w:sdt>
    <w:p w:rsidR="0074084F" w:rsidRPr="0046567A" w:rsidRDefault="0046567A" w:rsidP="00D47D5B">
      <w:pPr>
        <w:jc w:val="center"/>
        <w:rPr>
          <w:rFonts w:ascii="Times New Roman" w:hAnsi="Times New Roman" w:cs="Times New Roman"/>
          <w:b/>
          <w:sz w:val="28"/>
        </w:rPr>
      </w:pPr>
      <w:r w:rsidRPr="0046567A">
        <w:rPr>
          <w:rFonts w:ascii="Times New Roman" w:hAnsi="Times New Roman" w:cs="Times New Roman"/>
          <w:b/>
          <w:sz w:val="28"/>
        </w:rPr>
        <w:lastRenderedPageBreak/>
        <w:t>Prováděcí plán TSI PRM v České republice</w:t>
      </w:r>
    </w:p>
    <w:p w:rsidR="00AE37A8" w:rsidRPr="00AE37A8" w:rsidRDefault="00AE37A8" w:rsidP="00AE37A8">
      <w:pPr>
        <w:ind w:firstLine="708"/>
        <w:jc w:val="both"/>
        <w:rPr>
          <w:rFonts w:ascii="Times New Roman" w:hAnsi="Times New Roman" w:cs="Times New Roman"/>
          <w:b/>
          <w:sz w:val="24"/>
          <w:szCs w:val="24"/>
        </w:rPr>
      </w:pPr>
      <w:r w:rsidRPr="00AE37A8">
        <w:rPr>
          <w:rFonts w:ascii="Times New Roman" w:hAnsi="Times New Roman" w:cs="Times New Roman"/>
          <w:b/>
          <w:sz w:val="24"/>
          <w:szCs w:val="24"/>
        </w:rPr>
        <w:t>Úvod</w:t>
      </w:r>
    </w:p>
    <w:p w:rsidR="005B479A" w:rsidRDefault="005B479A" w:rsidP="00211AA4">
      <w:pPr>
        <w:ind w:firstLine="708"/>
        <w:jc w:val="both"/>
        <w:rPr>
          <w:rFonts w:ascii="Times New Roman" w:hAnsi="Times New Roman" w:cs="Times New Roman"/>
          <w:sz w:val="24"/>
          <w:szCs w:val="24"/>
        </w:rPr>
      </w:pPr>
      <w:r w:rsidRPr="005B479A">
        <w:rPr>
          <w:rFonts w:ascii="Times New Roman" w:hAnsi="Times New Roman" w:cs="Times New Roman"/>
          <w:sz w:val="24"/>
          <w:szCs w:val="24"/>
        </w:rPr>
        <w:t>Interoperabilita evropského železničního systému je jeho schopnost umožnit bezpečný a nepřerušený pohyb drážního vozidla na dráhách evropského železničního systému. Zajištěním interoperability se zároveň naplňují požadavky Směrnice Evropského parlamentu a</w:t>
      </w:r>
      <w:r w:rsidR="002B3255">
        <w:rPr>
          <w:rFonts w:ascii="Times New Roman" w:hAnsi="Times New Roman" w:cs="Times New Roman"/>
          <w:sz w:val="24"/>
          <w:szCs w:val="24"/>
        </w:rPr>
        <w:t> </w:t>
      </w:r>
      <w:r w:rsidRPr="005B479A">
        <w:rPr>
          <w:rFonts w:ascii="Times New Roman" w:hAnsi="Times New Roman" w:cs="Times New Roman"/>
          <w:sz w:val="24"/>
          <w:szCs w:val="24"/>
        </w:rPr>
        <w:t xml:space="preserve">Rady 2008/57/ES ze dne 17. června 2008 o interoperabilitě železničního systému ve Společenství (dále jen směrnice o interoperabilitě). Nařízením Komise (EU) č. 1300/2014 ze dne 18. 11. 2014 je vydána technická specifikace pro interoperabilitu týkající se přístupnosti železničního systému Unie pro osoby se zdravotním postižením a osoby s omezenou schopností pohybu a orientace (dále jen „TSI PRM 2015“). </w:t>
      </w:r>
      <w:r w:rsidRPr="005B479A">
        <w:rPr>
          <w:rFonts w:ascii="Times New Roman" w:hAnsi="Times New Roman" w:cs="Times New Roman"/>
          <w:b/>
          <w:sz w:val="24"/>
          <w:szCs w:val="24"/>
        </w:rPr>
        <w:t>Ve smyslu článku 8 TSI PRM 2015 se vypracovává tento vnitrostátní prováděcí plán TSI</w:t>
      </w:r>
      <w:r w:rsidRPr="005B479A">
        <w:rPr>
          <w:rFonts w:ascii="Times New Roman" w:hAnsi="Times New Roman" w:cs="Times New Roman"/>
          <w:sz w:val="24"/>
          <w:szCs w:val="24"/>
        </w:rPr>
        <w:t>.</w:t>
      </w:r>
    </w:p>
    <w:p w:rsidR="00275CE1" w:rsidRDefault="00275CE1" w:rsidP="00211AA4">
      <w:pPr>
        <w:ind w:firstLine="708"/>
        <w:jc w:val="both"/>
        <w:rPr>
          <w:rFonts w:ascii="Times New Roman" w:hAnsi="Times New Roman" w:cs="Times New Roman"/>
          <w:sz w:val="24"/>
          <w:szCs w:val="24"/>
        </w:rPr>
      </w:pPr>
      <w:r w:rsidRPr="00275CE1">
        <w:rPr>
          <w:rFonts w:ascii="Times New Roman" w:hAnsi="Times New Roman" w:cs="Times New Roman"/>
          <w:sz w:val="24"/>
          <w:szCs w:val="24"/>
        </w:rPr>
        <w:t xml:space="preserve">Přístupnost dopravy pro osoby s omezenou schopností pohybu a orientace je jedním </w:t>
      </w:r>
      <w:r w:rsidR="002B3255">
        <w:rPr>
          <w:rFonts w:ascii="Times New Roman" w:hAnsi="Times New Roman" w:cs="Times New Roman"/>
          <w:sz w:val="24"/>
          <w:szCs w:val="24"/>
        </w:rPr>
        <w:br/>
      </w:r>
      <w:r w:rsidRPr="00275CE1">
        <w:rPr>
          <w:rFonts w:ascii="Times New Roman" w:hAnsi="Times New Roman" w:cs="Times New Roman"/>
          <w:sz w:val="24"/>
          <w:szCs w:val="24"/>
        </w:rPr>
        <w:t xml:space="preserve">z hlavních strategických cílů v oblasti integrace těchto osob do společnosti v České republice. Používání dopravních staveb a umožnění volného pohybu v nich je nezbytnou podmínkou aktivního zapojení člověka do života společnosti. Zároveň se jedná o naplnění práva na svobodu pohybu člověka. </w:t>
      </w:r>
      <w:r w:rsidRPr="00D47D5B">
        <w:rPr>
          <w:rFonts w:ascii="Times New Roman" w:hAnsi="Times New Roman" w:cs="Times New Roman"/>
          <w:b/>
          <w:sz w:val="24"/>
          <w:szCs w:val="24"/>
        </w:rPr>
        <w:t>V současné době zabraňuje vzniku nových bariér zejména zákon</w:t>
      </w:r>
      <w:r w:rsidR="002B3255">
        <w:rPr>
          <w:rFonts w:ascii="Times New Roman" w:hAnsi="Times New Roman" w:cs="Times New Roman"/>
          <w:b/>
          <w:sz w:val="24"/>
          <w:szCs w:val="24"/>
        </w:rPr>
        <w:t xml:space="preserve"> </w:t>
      </w:r>
      <w:r w:rsidRPr="00D47D5B">
        <w:rPr>
          <w:rFonts w:ascii="Times New Roman" w:hAnsi="Times New Roman" w:cs="Times New Roman"/>
          <w:b/>
          <w:sz w:val="24"/>
          <w:szCs w:val="24"/>
        </w:rPr>
        <w:t xml:space="preserve">č. 183/2006 Sb., v platném znění (stavební zákon) a prováděcí vyhlášky </w:t>
      </w:r>
      <w:r w:rsidR="002B3255">
        <w:rPr>
          <w:rFonts w:ascii="Times New Roman" w:hAnsi="Times New Roman" w:cs="Times New Roman"/>
          <w:b/>
          <w:sz w:val="24"/>
          <w:szCs w:val="24"/>
        </w:rPr>
        <w:br/>
      </w:r>
      <w:r w:rsidRPr="00D47D5B">
        <w:rPr>
          <w:rFonts w:ascii="Times New Roman" w:hAnsi="Times New Roman" w:cs="Times New Roman"/>
          <w:b/>
          <w:sz w:val="24"/>
          <w:szCs w:val="24"/>
        </w:rPr>
        <w:t>o obecných technických požadavcích zabezpečujících užívání staveb osobami</w:t>
      </w:r>
      <w:r w:rsidR="002B3255">
        <w:rPr>
          <w:rFonts w:ascii="Times New Roman" w:hAnsi="Times New Roman" w:cs="Times New Roman"/>
          <w:b/>
          <w:sz w:val="24"/>
          <w:szCs w:val="24"/>
        </w:rPr>
        <w:br/>
      </w:r>
      <w:r w:rsidRPr="00D47D5B">
        <w:rPr>
          <w:rFonts w:ascii="Times New Roman" w:hAnsi="Times New Roman" w:cs="Times New Roman"/>
          <w:b/>
          <w:sz w:val="24"/>
          <w:szCs w:val="24"/>
        </w:rPr>
        <w:t>s omezenou schopností pohybu a orientace. Uvedené předpisy jsou srovnatelné</w:t>
      </w:r>
      <w:r w:rsidR="002B3255">
        <w:rPr>
          <w:rFonts w:ascii="Times New Roman" w:hAnsi="Times New Roman" w:cs="Times New Roman"/>
          <w:b/>
          <w:sz w:val="24"/>
          <w:szCs w:val="24"/>
        </w:rPr>
        <w:br/>
      </w:r>
      <w:r w:rsidRPr="00D47D5B">
        <w:rPr>
          <w:rFonts w:ascii="Times New Roman" w:hAnsi="Times New Roman" w:cs="Times New Roman"/>
          <w:b/>
          <w:sz w:val="24"/>
          <w:szCs w:val="24"/>
        </w:rPr>
        <w:t>s mezinárodními standardy v</w:t>
      </w:r>
      <w:r w:rsidR="00D4102D">
        <w:rPr>
          <w:rFonts w:ascii="Times New Roman" w:hAnsi="Times New Roman" w:cs="Times New Roman"/>
          <w:b/>
          <w:sz w:val="24"/>
          <w:szCs w:val="24"/>
        </w:rPr>
        <w:t> </w:t>
      </w:r>
      <w:r w:rsidRPr="00D47D5B">
        <w:rPr>
          <w:rFonts w:ascii="Times New Roman" w:hAnsi="Times New Roman" w:cs="Times New Roman"/>
          <w:b/>
          <w:sz w:val="24"/>
          <w:szCs w:val="24"/>
        </w:rPr>
        <w:t>dané oblasti</w:t>
      </w:r>
      <w:r w:rsidRPr="00275CE1">
        <w:rPr>
          <w:rFonts w:ascii="Times New Roman" w:hAnsi="Times New Roman" w:cs="Times New Roman"/>
          <w:sz w:val="24"/>
          <w:szCs w:val="24"/>
        </w:rPr>
        <w:t>. Odstraňování stávajících bariér probíhá postupně při rekonstrukcích a</w:t>
      </w:r>
      <w:r w:rsidR="00D4102D">
        <w:rPr>
          <w:rFonts w:ascii="Times New Roman" w:hAnsi="Times New Roman" w:cs="Times New Roman"/>
          <w:sz w:val="24"/>
          <w:szCs w:val="24"/>
        </w:rPr>
        <w:t> </w:t>
      </w:r>
      <w:r w:rsidRPr="00275CE1">
        <w:rPr>
          <w:rFonts w:ascii="Times New Roman" w:hAnsi="Times New Roman" w:cs="Times New Roman"/>
          <w:sz w:val="24"/>
          <w:szCs w:val="24"/>
        </w:rPr>
        <w:t xml:space="preserve">modernizacích železniční infrastruktury i vozidel, v závislosti na dostupných prostředcích. </w:t>
      </w:r>
    </w:p>
    <w:p w:rsidR="00633604" w:rsidRDefault="00633604" w:rsidP="00633604">
      <w:pPr>
        <w:pStyle w:val="Text"/>
      </w:pPr>
      <w:r>
        <w:t xml:space="preserve">Železniční dopravní systém se skládá z dopravní infrastruktury a železničních kolejových vozidel. </w:t>
      </w:r>
      <w:r w:rsidRPr="00AE37A8">
        <w:rPr>
          <w:b/>
        </w:rPr>
        <w:t>Přístupnost železničního systému jako celku je podmíněna přístupností obou těchto subsystémů.</w:t>
      </w:r>
    </w:p>
    <w:p w:rsidR="00D47D5B" w:rsidRDefault="00D47D5B" w:rsidP="00275CE1">
      <w:pPr>
        <w:jc w:val="both"/>
        <w:rPr>
          <w:rFonts w:ascii="Times New Roman" w:hAnsi="Times New Roman" w:cs="Times New Roman"/>
          <w:sz w:val="24"/>
          <w:szCs w:val="24"/>
          <w:u w:val="single"/>
        </w:rPr>
      </w:pPr>
    </w:p>
    <w:p w:rsidR="00633604" w:rsidRDefault="0061175E" w:rsidP="00275CE1">
      <w:pPr>
        <w:jc w:val="both"/>
        <w:rPr>
          <w:rFonts w:ascii="Times New Roman" w:hAnsi="Times New Roman" w:cs="Times New Roman"/>
          <w:sz w:val="24"/>
          <w:szCs w:val="24"/>
          <w:u w:val="single"/>
        </w:rPr>
      </w:pPr>
      <w:r>
        <w:rPr>
          <w:rFonts w:ascii="Times New Roman" w:hAnsi="Times New Roman" w:cs="Times New Roman"/>
          <w:sz w:val="24"/>
          <w:szCs w:val="24"/>
          <w:u w:val="single"/>
        </w:rPr>
        <w:t>Prováděcí plán</w:t>
      </w:r>
      <w:r w:rsidR="0046567A" w:rsidRPr="00D47D5B">
        <w:rPr>
          <w:rFonts w:ascii="Times New Roman" w:hAnsi="Times New Roman" w:cs="Times New Roman"/>
          <w:sz w:val="24"/>
          <w:szCs w:val="24"/>
          <w:u w:val="single"/>
        </w:rPr>
        <w:t xml:space="preserve"> </w:t>
      </w:r>
      <w:r w:rsidR="00D70956" w:rsidRPr="00D47D5B">
        <w:rPr>
          <w:rFonts w:ascii="Times New Roman" w:hAnsi="Times New Roman" w:cs="Times New Roman"/>
          <w:sz w:val="24"/>
          <w:szCs w:val="24"/>
          <w:u w:val="single"/>
        </w:rPr>
        <w:t xml:space="preserve">je rozdělen na </w:t>
      </w:r>
      <w:r w:rsidR="00F04AF1" w:rsidRPr="00D47D5B">
        <w:rPr>
          <w:rFonts w:ascii="Times New Roman" w:hAnsi="Times New Roman" w:cs="Times New Roman"/>
          <w:sz w:val="24"/>
          <w:szCs w:val="24"/>
          <w:u w:val="single"/>
        </w:rPr>
        <w:t>následující</w:t>
      </w:r>
      <w:r w:rsidR="00D70956" w:rsidRPr="00D47D5B">
        <w:rPr>
          <w:rFonts w:ascii="Times New Roman" w:hAnsi="Times New Roman" w:cs="Times New Roman"/>
          <w:sz w:val="24"/>
          <w:szCs w:val="24"/>
          <w:u w:val="single"/>
        </w:rPr>
        <w:t xml:space="preserve"> části:</w:t>
      </w:r>
    </w:p>
    <w:p w:rsidR="000E1230" w:rsidRPr="000E1230" w:rsidRDefault="000E1230" w:rsidP="000E1230">
      <w:pPr>
        <w:ind w:firstLine="360"/>
        <w:rPr>
          <w:rFonts w:ascii="Times New Roman" w:hAnsi="Times New Roman" w:cs="Times New Roman"/>
          <w:b/>
          <w:sz w:val="24"/>
          <w:szCs w:val="24"/>
        </w:rPr>
      </w:pPr>
      <w:r w:rsidRPr="000E1230">
        <w:rPr>
          <w:rFonts w:ascii="Times New Roman" w:hAnsi="Times New Roman" w:cs="Times New Roman"/>
          <w:b/>
          <w:sz w:val="24"/>
          <w:szCs w:val="24"/>
        </w:rPr>
        <w:t>Úvod</w:t>
      </w:r>
      <w:r w:rsidR="00F12291">
        <w:rPr>
          <w:rFonts w:ascii="Times New Roman" w:hAnsi="Times New Roman" w:cs="Times New Roman"/>
          <w:b/>
          <w:sz w:val="24"/>
          <w:szCs w:val="24"/>
        </w:rPr>
        <w:t xml:space="preserve"> </w:t>
      </w:r>
    </w:p>
    <w:p w:rsidR="000474DF" w:rsidRPr="00F12291" w:rsidRDefault="00B2575B" w:rsidP="008419B1">
      <w:pPr>
        <w:pStyle w:val="Odstavecseseznamem"/>
        <w:numPr>
          <w:ilvl w:val="0"/>
          <w:numId w:val="6"/>
        </w:numPr>
        <w:spacing w:after="240"/>
        <w:ind w:hanging="357"/>
        <w:rPr>
          <w:rFonts w:ascii="Times New Roman" w:hAnsi="Times New Roman" w:cs="Times New Roman"/>
          <w:sz w:val="24"/>
          <w:szCs w:val="24"/>
        </w:rPr>
      </w:pPr>
      <w:r>
        <w:rPr>
          <w:rFonts w:ascii="Times New Roman" w:hAnsi="Times New Roman" w:cs="Times New Roman"/>
          <w:b/>
          <w:sz w:val="24"/>
          <w:szCs w:val="24"/>
        </w:rPr>
        <w:t>Analýza</w:t>
      </w:r>
      <w:r w:rsidR="00923AE6" w:rsidRPr="00F12291">
        <w:rPr>
          <w:rFonts w:ascii="Times New Roman" w:hAnsi="Times New Roman" w:cs="Times New Roman"/>
          <w:b/>
          <w:sz w:val="24"/>
          <w:szCs w:val="24"/>
        </w:rPr>
        <w:t xml:space="preserve"> situace (fakta a čísla – sociální údaje – vývoj v oblasti potřeb mobility </w:t>
      </w:r>
      <w:r w:rsidR="002B3255">
        <w:rPr>
          <w:rFonts w:ascii="Times New Roman" w:hAnsi="Times New Roman" w:cs="Times New Roman"/>
          <w:b/>
          <w:sz w:val="24"/>
          <w:szCs w:val="24"/>
        </w:rPr>
        <w:br/>
      </w:r>
      <w:r w:rsidR="00923AE6" w:rsidRPr="00F12291">
        <w:rPr>
          <w:rFonts w:ascii="Times New Roman" w:hAnsi="Times New Roman" w:cs="Times New Roman"/>
          <w:b/>
          <w:sz w:val="24"/>
          <w:szCs w:val="24"/>
        </w:rPr>
        <w:t>a v oblasti omezené schopnosti pohybu a orientace)</w:t>
      </w:r>
    </w:p>
    <w:p w:rsidR="00AA49FE" w:rsidRPr="00A11859" w:rsidRDefault="00AA49FE" w:rsidP="00AA49FE">
      <w:pPr>
        <w:pStyle w:val="Odstavecseseznamem"/>
        <w:numPr>
          <w:ilvl w:val="0"/>
          <w:numId w:val="6"/>
        </w:numPr>
        <w:rPr>
          <w:rFonts w:ascii="Times New Roman" w:eastAsia="Times New Roman" w:hAnsi="Times New Roman" w:cs="Times New Roman"/>
          <w:b/>
          <w:bCs/>
          <w:kern w:val="36"/>
          <w:sz w:val="24"/>
          <w:szCs w:val="24"/>
          <w:lang w:eastAsia="cs-CZ"/>
        </w:rPr>
      </w:pPr>
      <w:r w:rsidRPr="00A11859">
        <w:rPr>
          <w:rFonts w:ascii="Times New Roman" w:eastAsia="Times New Roman" w:hAnsi="Times New Roman" w:cs="Times New Roman"/>
          <w:b/>
          <w:bCs/>
          <w:kern w:val="36"/>
          <w:sz w:val="24"/>
          <w:szCs w:val="24"/>
          <w:lang w:eastAsia="cs-CZ"/>
        </w:rPr>
        <w:t xml:space="preserve">Programové dokumenty na úrovni vlády ČR </w:t>
      </w:r>
    </w:p>
    <w:p w:rsidR="00AA49FE" w:rsidRPr="00AA49FE" w:rsidRDefault="00A11859" w:rsidP="00AA49FE">
      <w:pPr>
        <w:pStyle w:val="Odstavecseseznamem"/>
        <w:spacing w:before="100" w:beforeAutospacing="1" w:after="240" w:line="240"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 xml:space="preserve">2.1 </w:t>
      </w:r>
      <w:r w:rsidR="008419B1" w:rsidRPr="00AA49FE">
        <w:rPr>
          <w:rFonts w:ascii="Times New Roman" w:eastAsia="Times New Roman" w:hAnsi="Times New Roman" w:cs="Times New Roman"/>
          <w:bCs/>
          <w:kern w:val="36"/>
          <w:sz w:val="24"/>
          <w:szCs w:val="24"/>
          <w:lang w:eastAsia="cs-CZ"/>
        </w:rPr>
        <w:t>Národní plán podpory rovných příležitostí pro osoby se zdravotním postižením na období 2015-2020</w:t>
      </w:r>
      <w:r w:rsidR="00DA53E3" w:rsidRPr="00AA49FE">
        <w:rPr>
          <w:rFonts w:ascii="Times New Roman" w:eastAsia="Times New Roman" w:hAnsi="Times New Roman" w:cs="Times New Roman"/>
          <w:bCs/>
          <w:kern w:val="36"/>
          <w:sz w:val="24"/>
          <w:szCs w:val="24"/>
          <w:lang w:eastAsia="cs-CZ"/>
        </w:rPr>
        <w:t xml:space="preserve"> </w:t>
      </w:r>
    </w:p>
    <w:p w:rsidR="008419B1" w:rsidRPr="00AA49FE" w:rsidRDefault="00A11859" w:rsidP="00AA49FE">
      <w:pPr>
        <w:pStyle w:val="Odstavecseseznamem"/>
        <w:spacing w:before="100" w:beforeAutospacing="1" w:after="240" w:line="240" w:lineRule="auto"/>
        <w:outlineLvl w:val="0"/>
        <w:rPr>
          <w:rFonts w:ascii="Times New Roman" w:eastAsia="Times New Roman" w:hAnsi="Times New Roman" w:cs="Times New Roman"/>
          <w:bCs/>
          <w:kern w:val="36"/>
          <w:sz w:val="24"/>
          <w:szCs w:val="24"/>
          <w:lang w:eastAsia="cs-CZ"/>
        </w:rPr>
      </w:pPr>
      <w:r>
        <w:rPr>
          <w:rFonts w:ascii="Times New Roman" w:eastAsia="Times New Roman" w:hAnsi="Times New Roman" w:cs="Times New Roman"/>
          <w:bCs/>
          <w:kern w:val="36"/>
          <w:sz w:val="24"/>
          <w:szCs w:val="24"/>
          <w:lang w:eastAsia="cs-CZ"/>
        </w:rPr>
        <w:t>2.2 Národní rozvojový p</w:t>
      </w:r>
      <w:r w:rsidR="00DA53E3" w:rsidRPr="00AA49FE">
        <w:rPr>
          <w:rFonts w:ascii="Times New Roman" w:eastAsia="Times New Roman" w:hAnsi="Times New Roman" w:cs="Times New Roman"/>
          <w:bCs/>
          <w:kern w:val="36"/>
          <w:sz w:val="24"/>
          <w:szCs w:val="24"/>
          <w:lang w:eastAsia="cs-CZ"/>
        </w:rPr>
        <w:t>rogram mobility pro všechny</w:t>
      </w:r>
    </w:p>
    <w:p w:rsidR="00D933BB" w:rsidRDefault="00D933BB" w:rsidP="008419B1">
      <w:pPr>
        <w:pStyle w:val="Odstavecseseznamem"/>
        <w:numPr>
          <w:ilvl w:val="0"/>
          <w:numId w:val="6"/>
        </w:numPr>
        <w:spacing w:after="240"/>
        <w:ind w:hanging="357"/>
        <w:jc w:val="both"/>
        <w:rPr>
          <w:rFonts w:ascii="Times New Roman" w:hAnsi="Times New Roman" w:cs="Times New Roman"/>
          <w:b/>
          <w:sz w:val="24"/>
          <w:szCs w:val="24"/>
        </w:rPr>
      </w:pPr>
      <w:r>
        <w:rPr>
          <w:rFonts w:ascii="Times New Roman" w:hAnsi="Times New Roman" w:cs="Times New Roman"/>
          <w:b/>
          <w:sz w:val="24"/>
          <w:szCs w:val="24"/>
        </w:rPr>
        <w:t>Legislativa a normy</w:t>
      </w:r>
    </w:p>
    <w:p w:rsidR="00F04AF1" w:rsidRPr="005C20D6" w:rsidRDefault="005C20D6" w:rsidP="008419B1">
      <w:pPr>
        <w:pStyle w:val="Odstavecseseznamem"/>
        <w:numPr>
          <w:ilvl w:val="0"/>
          <w:numId w:val="6"/>
        </w:numPr>
        <w:spacing w:after="240"/>
        <w:ind w:hanging="357"/>
        <w:jc w:val="both"/>
        <w:rPr>
          <w:rFonts w:ascii="Times New Roman" w:hAnsi="Times New Roman" w:cs="Times New Roman"/>
          <w:b/>
          <w:sz w:val="24"/>
          <w:szCs w:val="24"/>
        </w:rPr>
      </w:pPr>
      <w:r w:rsidRPr="005C20D6">
        <w:rPr>
          <w:rFonts w:ascii="Times New Roman" w:hAnsi="Times New Roman" w:cs="Times New Roman"/>
          <w:b/>
          <w:sz w:val="24"/>
          <w:szCs w:val="24"/>
        </w:rPr>
        <w:t>A</w:t>
      </w:r>
      <w:r w:rsidR="00F04AF1" w:rsidRPr="005C20D6">
        <w:rPr>
          <w:rFonts w:ascii="Times New Roman" w:hAnsi="Times New Roman" w:cs="Times New Roman"/>
          <w:b/>
          <w:sz w:val="24"/>
          <w:szCs w:val="24"/>
        </w:rPr>
        <w:t>ktuální stav implementace</w:t>
      </w:r>
    </w:p>
    <w:p w:rsidR="00D70956" w:rsidRDefault="00A4799E" w:rsidP="008419B1">
      <w:pPr>
        <w:pStyle w:val="Odstavecseseznamem"/>
        <w:numPr>
          <w:ilvl w:val="1"/>
          <w:numId w:val="6"/>
        </w:numPr>
        <w:spacing w:after="240"/>
        <w:ind w:hanging="357"/>
        <w:jc w:val="both"/>
        <w:rPr>
          <w:rFonts w:ascii="Times New Roman" w:hAnsi="Times New Roman" w:cs="Times New Roman"/>
          <w:sz w:val="24"/>
          <w:szCs w:val="24"/>
        </w:rPr>
      </w:pPr>
      <w:r>
        <w:rPr>
          <w:rFonts w:ascii="Times New Roman" w:hAnsi="Times New Roman" w:cs="Times New Roman"/>
          <w:sz w:val="24"/>
          <w:szCs w:val="24"/>
        </w:rPr>
        <w:t>Subsystém</w:t>
      </w:r>
      <w:r w:rsidR="00D70956">
        <w:rPr>
          <w:rFonts w:ascii="Times New Roman" w:hAnsi="Times New Roman" w:cs="Times New Roman"/>
          <w:sz w:val="24"/>
          <w:szCs w:val="24"/>
        </w:rPr>
        <w:t xml:space="preserve"> infrastruktury</w:t>
      </w:r>
    </w:p>
    <w:p w:rsidR="00D70956" w:rsidRDefault="00A4799E" w:rsidP="008419B1">
      <w:pPr>
        <w:pStyle w:val="Odstavecseseznamem"/>
        <w:numPr>
          <w:ilvl w:val="1"/>
          <w:numId w:val="6"/>
        </w:numPr>
        <w:spacing w:after="240"/>
        <w:ind w:hanging="357"/>
        <w:jc w:val="both"/>
        <w:rPr>
          <w:rFonts w:ascii="Times New Roman" w:hAnsi="Times New Roman" w:cs="Times New Roman"/>
          <w:sz w:val="24"/>
          <w:szCs w:val="24"/>
        </w:rPr>
      </w:pPr>
      <w:r>
        <w:rPr>
          <w:rFonts w:ascii="Times New Roman" w:hAnsi="Times New Roman" w:cs="Times New Roman"/>
          <w:sz w:val="24"/>
          <w:szCs w:val="24"/>
        </w:rPr>
        <w:t>Subsystém</w:t>
      </w:r>
      <w:r w:rsidR="00D70956">
        <w:rPr>
          <w:rFonts w:ascii="Times New Roman" w:hAnsi="Times New Roman" w:cs="Times New Roman"/>
          <w:sz w:val="24"/>
          <w:szCs w:val="24"/>
        </w:rPr>
        <w:t xml:space="preserve"> železničních kolejových vozidel</w:t>
      </w:r>
    </w:p>
    <w:p w:rsidR="0046567A" w:rsidRPr="00D47D5B" w:rsidRDefault="0046567A" w:rsidP="008419B1">
      <w:pPr>
        <w:pStyle w:val="Odstavecseseznamem"/>
        <w:numPr>
          <w:ilvl w:val="0"/>
          <w:numId w:val="6"/>
        </w:numPr>
        <w:spacing w:after="240"/>
        <w:ind w:hanging="357"/>
        <w:jc w:val="both"/>
        <w:rPr>
          <w:rFonts w:ascii="Times New Roman" w:hAnsi="Times New Roman" w:cs="Times New Roman"/>
          <w:b/>
          <w:sz w:val="24"/>
          <w:szCs w:val="24"/>
        </w:rPr>
      </w:pPr>
      <w:r w:rsidRPr="00D47D5B">
        <w:rPr>
          <w:rFonts w:ascii="Times New Roman" w:hAnsi="Times New Roman" w:cs="Times New Roman"/>
          <w:b/>
          <w:sz w:val="24"/>
          <w:szCs w:val="24"/>
        </w:rPr>
        <w:t>Plán dalšího rozvoje</w:t>
      </w:r>
    </w:p>
    <w:p w:rsidR="00247349" w:rsidRDefault="00247349" w:rsidP="008419B1">
      <w:pPr>
        <w:pStyle w:val="Odstavecseseznamem"/>
        <w:numPr>
          <w:ilvl w:val="1"/>
          <w:numId w:val="6"/>
        </w:numPr>
        <w:spacing w:after="240"/>
        <w:ind w:hanging="357"/>
        <w:jc w:val="both"/>
        <w:rPr>
          <w:rFonts w:ascii="Times New Roman" w:hAnsi="Times New Roman" w:cs="Times New Roman"/>
          <w:sz w:val="24"/>
          <w:szCs w:val="24"/>
        </w:rPr>
      </w:pPr>
      <w:r>
        <w:rPr>
          <w:rFonts w:ascii="Times New Roman" w:hAnsi="Times New Roman" w:cs="Times New Roman"/>
          <w:sz w:val="24"/>
          <w:szCs w:val="24"/>
        </w:rPr>
        <w:t>Subsystém infrastruktury</w:t>
      </w:r>
    </w:p>
    <w:p w:rsidR="00247349" w:rsidRDefault="00247349" w:rsidP="008419B1">
      <w:pPr>
        <w:pStyle w:val="Odstavecseseznamem"/>
        <w:numPr>
          <w:ilvl w:val="1"/>
          <w:numId w:val="6"/>
        </w:numPr>
        <w:spacing w:after="240"/>
        <w:ind w:hanging="357"/>
        <w:jc w:val="both"/>
        <w:rPr>
          <w:rFonts w:ascii="Times New Roman" w:hAnsi="Times New Roman" w:cs="Times New Roman"/>
          <w:sz w:val="24"/>
          <w:szCs w:val="24"/>
        </w:rPr>
      </w:pPr>
      <w:r>
        <w:rPr>
          <w:rFonts w:ascii="Times New Roman" w:hAnsi="Times New Roman" w:cs="Times New Roman"/>
          <w:sz w:val="24"/>
          <w:szCs w:val="24"/>
        </w:rPr>
        <w:t>Subsystém železničních kolejových vozidel</w:t>
      </w:r>
    </w:p>
    <w:p w:rsidR="000E1230" w:rsidRDefault="000E1230" w:rsidP="000E1230">
      <w:pPr>
        <w:ind w:firstLine="284"/>
        <w:jc w:val="both"/>
        <w:rPr>
          <w:rFonts w:ascii="Times New Roman" w:hAnsi="Times New Roman" w:cs="Times New Roman"/>
          <w:b/>
          <w:sz w:val="24"/>
          <w:szCs w:val="24"/>
        </w:rPr>
      </w:pPr>
      <w:r w:rsidRPr="000E1230">
        <w:rPr>
          <w:rFonts w:ascii="Times New Roman" w:hAnsi="Times New Roman" w:cs="Times New Roman"/>
          <w:b/>
          <w:sz w:val="24"/>
          <w:szCs w:val="24"/>
        </w:rPr>
        <w:t>Závěr</w:t>
      </w:r>
    </w:p>
    <w:p w:rsidR="000E1230" w:rsidRPr="000E1230" w:rsidRDefault="000E1230" w:rsidP="000E1230">
      <w:pPr>
        <w:ind w:firstLine="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Přílohy – tabulky </w:t>
      </w:r>
    </w:p>
    <w:p w:rsidR="008419B1" w:rsidRDefault="008419B1" w:rsidP="00211AA4">
      <w:pPr>
        <w:ind w:firstLine="708"/>
        <w:jc w:val="both"/>
        <w:rPr>
          <w:rFonts w:ascii="Times New Roman" w:hAnsi="Times New Roman" w:cs="Times New Roman"/>
          <w:sz w:val="24"/>
          <w:szCs w:val="24"/>
        </w:rPr>
      </w:pPr>
    </w:p>
    <w:p w:rsidR="00F12291" w:rsidRDefault="00275CE1" w:rsidP="00B23533">
      <w:pPr>
        <w:ind w:firstLine="708"/>
        <w:jc w:val="both"/>
        <w:rPr>
          <w:rFonts w:ascii="Times New Roman" w:hAnsi="Times New Roman" w:cs="Times New Roman"/>
          <w:sz w:val="24"/>
          <w:szCs w:val="24"/>
        </w:rPr>
      </w:pPr>
      <w:r w:rsidRPr="00275CE1">
        <w:rPr>
          <w:rFonts w:ascii="Times New Roman" w:hAnsi="Times New Roman" w:cs="Times New Roman"/>
          <w:sz w:val="24"/>
          <w:szCs w:val="24"/>
        </w:rPr>
        <w:t>Vnitrostátní prováděcí plán TSI PRM se zpracovává pro dráhy celostátní a</w:t>
      </w:r>
      <w:r w:rsidR="008419B1">
        <w:rPr>
          <w:rFonts w:ascii="Times New Roman" w:hAnsi="Times New Roman" w:cs="Times New Roman"/>
          <w:sz w:val="24"/>
          <w:szCs w:val="24"/>
        </w:rPr>
        <w:t> </w:t>
      </w:r>
      <w:r w:rsidRPr="00275CE1">
        <w:rPr>
          <w:rFonts w:ascii="Times New Roman" w:hAnsi="Times New Roman" w:cs="Times New Roman"/>
          <w:sz w:val="24"/>
          <w:szCs w:val="24"/>
        </w:rPr>
        <w:t>regionál</w:t>
      </w:r>
      <w:r w:rsidR="00B2575B">
        <w:rPr>
          <w:rFonts w:ascii="Times New Roman" w:hAnsi="Times New Roman" w:cs="Times New Roman"/>
          <w:sz w:val="24"/>
          <w:szCs w:val="24"/>
        </w:rPr>
        <w:t>ní, jejichž seznam je uveden v příslušném P</w:t>
      </w:r>
      <w:r w:rsidRPr="00275CE1">
        <w:rPr>
          <w:rFonts w:ascii="Times New Roman" w:hAnsi="Times New Roman" w:cs="Times New Roman"/>
          <w:sz w:val="24"/>
          <w:szCs w:val="24"/>
        </w:rPr>
        <w:t xml:space="preserve">rohlášení o dráze celostátní a regionální. </w:t>
      </w:r>
    </w:p>
    <w:p w:rsidR="00B23533" w:rsidRPr="000E1230" w:rsidRDefault="00B23533" w:rsidP="00B23533">
      <w:pPr>
        <w:ind w:firstLine="708"/>
        <w:jc w:val="both"/>
        <w:rPr>
          <w:rFonts w:ascii="Times New Roman" w:hAnsi="Times New Roman" w:cs="Times New Roman"/>
          <w:b/>
          <w:sz w:val="24"/>
          <w:szCs w:val="24"/>
        </w:rPr>
      </w:pPr>
    </w:p>
    <w:p w:rsidR="00F12291" w:rsidRDefault="00B2575B" w:rsidP="00F12291">
      <w:pPr>
        <w:pStyle w:val="Odstavecseseznamem"/>
        <w:numPr>
          <w:ilvl w:val="0"/>
          <w:numId w:val="15"/>
        </w:numPr>
        <w:rPr>
          <w:rFonts w:ascii="Times New Roman" w:hAnsi="Times New Roman" w:cs="Times New Roman"/>
          <w:b/>
          <w:sz w:val="24"/>
          <w:szCs w:val="24"/>
        </w:rPr>
      </w:pPr>
      <w:r>
        <w:rPr>
          <w:rFonts w:ascii="Times New Roman" w:hAnsi="Times New Roman" w:cs="Times New Roman"/>
          <w:b/>
          <w:sz w:val="24"/>
          <w:szCs w:val="24"/>
        </w:rPr>
        <w:t>Analýza</w:t>
      </w:r>
      <w:r w:rsidR="00F12291" w:rsidRPr="00923AE6">
        <w:rPr>
          <w:rFonts w:ascii="Times New Roman" w:hAnsi="Times New Roman" w:cs="Times New Roman"/>
          <w:b/>
          <w:sz w:val="24"/>
          <w:szCs w:val="24"/>
        </w:rPr>
        <w:t xml:space="preserve"> situace (fakta a čísla – sociální údaje – vývoj v oblasti potřeb mobility a</w:t>
      </w:r>
      <w:r w:rsidR="002B3255">
        <w:rPr>
          <w:rFonts w:ascii="Times New Roman" w:hAnsi="Times New Roman" w:cs="Times New Roman"/>
          <w:b/>
          <w:sz w:val="24"/>
          <w:szCs w:val="24"/>
        </w:rPr>
        <w:t> </w:t>
      </w:r>
      <w:r w:rsidR="00F12291" w:rsidRPr="00923AE6">
        <w:rPr>
          <w:rFonts w:ascii="Times New Roman" w:hAnsi="Times New Roman" w:cs="Times New Roman"/>
          <w:b/>
          <w:sz w:val="24"/>
          <w:szCs w:val="24"/>
        </w:rPr>
        <w:t>v</w:t>
      </w:r>
      <w:r w:rsidR="002B3255">
        <w:rPr>
          <w:rFonts w:ascii="Times New Roman" w:hAnsi="Times New Roman" w:cs="Times New Roman"/>
          <w:b/>
          <w:sz w:val="24"/>
          <w:szCs w:val="24"/>
        </w:rPr>
        <w:t> </w:t>
      </w:r>
      <w:r w:rsidR="00F12291" w:rsidRPr="00923AE6">
        <w:rPr>
          <w:rFonts w:ascii="Times New Roman" w:hAnsi="Times New Roman" w:cs="Times New Roman"/>
          <w:b/>
          <w:sz w:val="24"/>
          <w:szCs w:val="24"/>
        </w:rPr>
        <w:t>oblasti omezené schopnosti pohybu a orientace)</w:t>
      </w:r>
    </w:p>
    <w:p w:rsidR="00F12291" w:rsidRDefault="00F12291" w:rsidP="00F12291">
      <w:pPr>
        <w:pStyle w:val="Odstavecseseznamem"/>
        <w:rPr>
          <w:rFonts w:ascii="Times New Roman" w:hAnsi="Times New Roman" w:cs="Times New Roman"/>
          <w:b/>
          <w:sz w:val="24"/>
          <w:szCs w:val="24"/>
        </w:rPr>
      </w:pPr>
    </w:p>
    <w:p w:rsidR="00A9360D" w:rsidRDefault="00F12291" w:rsidP="00B84B2A">
      <w:pPr>
        <w:pStyle w:val="Odstavecseseznamem"/>
        <w:ind w:firstLine="696"/>
        <w:jc w:val="both"/>
        <w:rPr>
          <w:rFonts w:ascii="Times New Roman" w:hAnsi="Times New Roman" w:cs="Times New Roman"/>
          <w:sz w:val="24"/>
          <w:szCs w:val="24"/>
        </w:rPr>
      </w:pPr>
      <w:r w:rsidRPr="000474DF">
        <w:rPr>
          <w:rFonts w:ascii="Times New Roman" w:hAnsi="Times New Roman" w:cs="Times New Roman"/>
          <w:sz w:val="24"/>
          <w:szCs w:val="24"/>
        </w:rPr>
        <w:t xml:space="preserve">Podle statistického šetření provedeného Českým statistickým úřadem v roce 2013 žije v České republice cca 1.078.000 osob se zdravotním postižením, což je </w:t>
      </w:r>
      <w:r w:rsidR="0061175E">
        <w:rPr>
          <w:rFonts w:ascii="Times New Roman" w:hAnsi="Times New Roman" w:cs="Times New Roman"/>
          <w:sz w:val="24"/>
          <w:szCs w:val="24"/>
        </w:rPr>
        <w:br/>
      </w:r>
      <w:r w:rsidRPr="000474DF">
        <w:rPr>
          <w:rFonts w:ascii="Times New Roman" w:hAnsi="Times New Roman" w:cs="Times New Roman"/>
          <w:sz w:val="24"/>
          <w:szCs w:val="24"/>
        </w:rPr>
        <w:t>10,2 % populace. Jedná se tedy o významnou skupinu občanů. Obdobn</w:t>
      </w:r>
      <w:r w:rsidR="00A9360D">
        <w:rPr>
          <w:rFonts w:ascii="Times New Roman" w:hAnsi="Times New Roman" w:cs="Times New Roman"/>
          <w:sz w:val="24"/>
          <w:szCs w:val="24"/>
        </w:rPr>
        <w:t>ý desetiprocentní podíl osob se zdravotním postižením je uváděn i v Důvodové zprávě</w:t>
      </w:r>
      <w:r w:rsidRPr="000474DF">
        <w:rPr>
          <w:rFonts w:ascii="Times New Roman" w:hAnsi="Times New Roman" w:cs="Times New Roman"/>
          <w:sz w:val="24"/>
          <w:szCs w:val="24"/>
        </w:rPr>
        <w:t xml:space="preserve"> EU k přijetí Rozhodnutí Rady Evropy o Evropském roku osob se zdravotním postižením 2003</w:t>
      </w:r>
      <w:r w:rsidR="00A9360D">
        <w:rPr>
          <w:rFonts w:ascii="Times New Roman" w:hAnsi="Times New Roman" w:cs="Times New Roman"/>
          <w:sz w:val="24"/>
          <w:szCs w:val="24"/>
        </w:rPr>
        <w:t>.</w:t>
      </w:r>
    </w:p>
    <w:p w:rsidR="00626198" w:rsidRDefault="00626198" w:rsidP="00A9360D">
      <w:pPr>
        <w:pStyle w:val="Odstavecseseznamem"/>
        <w:jc w:val="both"/>
        <w:rPr>
          <w:rFonts w:ascii="Times New Roman" w:hAnsi="Times New Roman" w:cs="Times New Roman"/>
          <w:sz w:val="24"/>
          <w:szCs w:val="24"/>
        </w:rPr>
      </w:pPr>
    </w:p>
    <w:p w:rsidR="00B84B2A" w:rsidRPr="00B84B2A" w:rsidRDefault="00B84B2A" w:rsidP="00A9360D">
      <w:pPr>
        <w:pStyle w:val="Odstavecseseznamem"/>
        <w:jc w:val="both"/>
        <w:rPr>
          <w:rFonts w:ascii="Times New Roman" w:hAnsi="Times New Roman" w:cs="Times New Roman"/>
          <w:i/>
          <w:sz w:val="24"/>
          <w:szCs w:val="24"/>
        </w:rPr>
      </w:pPr>
      <w:r w:rsidRPr="00B84B2A">
        <w:rPr>
          <w:rFonts w:ascii="Times New Roman" w:hAnsi="Times New Roman" w:cs="Times New Roman"/>
          <w:i/>
          <w:sz w:val="24"/>
          <w:szCs w:val="24"/>
        </w:rPr>
        <w:t>Obr. 1 Statistické šetření – typ zdravotního postižení</w:t>
      </w:r>
    </w:p>
    <w:p w:rsidR="00B84B2A" w:rsidRDefault="00B84B2A" w:rsidP="00A9360D">
      <w:pPr>
        <w:pStyle w:val="Odstavecseseznamem"/>
        <w:jc w:val="both"/>
        <w:rPr>
          <w:rFonts w:ascii="Times New Roman" w:hAnsi="Times New Roman" w:cs="Times New Roman"/>
          <w:sz w:val="24"/>
          <w:szCs w:val="24"/>
        </w:rPr>
      </w:pPr>
    </w:p>
    <w:p w:rsidR="00626198" w:rsidRDefault="00626198" w:rsidP="00A9360D">
      <w:pPr>
        <w:pStyle w:val="Odstavecseseznamem"/>
        <w:jc w:val="both"/>
        <w:rPr>
          <w:rFonts w:ascii="Times New Roman" w:hAnsi="Times New Roman" w:cs="Times New Roman"/>
          <w:sz w:val="24"/>
          <w:szCs w:val="24"/>
        </w:rPr>
      </w:pPr>
      <w:r>
        <w:rPr>
          <w:noProof/>
          <w:lang w:eastAsia="cs-CZ"/>
        </w:rPr>
        <w:drawing>
          <wp:inline distT="0" distB="0" distL="0" distR="0" wp14:anchorId="1D89426B" wp14:editId="013594DD">
            <wp:extent cx="4572000" cy="2743200"/>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2291" w:rsidRPr="000474DF" w:rsidRDefault="00F12291" w:rsidP="00A9360D">
      <w:pPr>
        <w:pStyle w:val="Odstavecseseznamem"/>
        <w:jc w:val="both"/>
        <w:rPr>
          <w:rFonts w:ascii="Times New Roman" w:hAnsi="Times New Roman" w:cs="Times New Roman"/>
          <w:sz w:val="24"/>
          <w:szCs w:val="24"/>
        </w:rPr>
      </w:pPr>
    </w:p>
    <w:p w:rsidR="00F12291" w:rsidRDefault="00F12291" w:rsidP="00B84B2A">
      <w:pPr>
        <w:pStyle w:val="Odstavecseseznamem"/>
        <w:ind w:firstLine="696"/>
        <w:jc w:val="both"/>
        <w:rPr>
          <w:rFonts w:ascii="Times New Roman" w:hAnsi="Times New Roman" w:cs="Times New Roman"/>
          <w:sz w:val="24"/>
          <w:szCs w:val="24"/>
        </w:rPr>
      </w:pPr>
      <w:r w:rsidRPr="000474DF">
        <w:rPr>
          <w:rFonts w:ascii="Times New Roman" w:hAnsi="Times New Roman" w:cs="Times New Roman"/>
          <w:sz w:val="24"/>
          <w:szCs w:val="24"/>
        </w:rPr>
        <w:t>Výše zmíněné statistické šetření se zabývalo také podílem jednotlivých typů zdravotního postižení. Nejvyšší podíl má vnitřní zdravotní postižení – 41,9 %, druhý nejvyšší tělesné postižení – 29,2 %. Další typy se již pohybují od 8,5 do 5,1 %.</w:t>
      </w:r>
      <w:r w:rsidR="003A274F">
        <w:rPr>
          <w:rFonts w:ascii="Times New Roman" w:hAnsi="Times New Roman" w:cs="Times New Roman"/>
          <w:sz w:val="24"/>
          <w:szCs w:val="24"/>
        </w:rPr>
        <w:t xml:space="preserve"> Věkovou skupinou s nejvyšším podílem postižených jsou osoby starší 75 let, ve které postižením trpí 40 % obyvatel; </w:t>
      </w:r>
      <w:r w:rsidR="000F4D32">
        <w:rPr>
          <w:rFonts w:ascii="Times New Roman" w:hAnsi="Times New Roman" w:cs="Times New Roman"/>
          <w:sz w:val="24"/>
          <w:szCs w:val="24"/>
        </w:rPr>
        <w:t xml:space="preserve">v průměru se </w:t>
      </w:r>
      <w:r w:rsidR="003A274F">
        <w:rPr>
          <w:rFonts w:ascii="Times New Roman" w:hAnsi="Times New Roman" w:cs="Times New Roman"/>
          <w:sz w:val="24"/>
          <w:szCs w:val="24"/>
        </w:rPr>
        <w:t xml:space="preserve">přitom </w:t>
      </w:r>
      <w:r w:rsidR="001521B8">
        <w:rPr>
          <w:rFonts w:ascii="Times New Roman" w:hAnsi="Times New Roman" w:cs="Times New Roman"/>
          <w:sz w:val="24"/>
          <w:szCs w:val="24"/>
        </w:rPr>
        <w:t xml:space="preserve">u nich </w:t>
      </w:r>
      <w:r w:rsidR="000F4D32">
        <w:rPr>
          <w:rFonts w:ascii="Times New Roman" w:hAnsi="Times New Roman" w:cs="Times New Roman"/>
          <w:sz w:val="24"/>
          <w:szCs w:val="24"/>
        </w:rPr>
        <w:t xml:space="preserve">postižení projevuje </w:t>
      </w:r>
      <w:r w:rsidR="002B3255">
        <w:rPr>
          <w:rFonts w:ascii="Times New Roman" w:hAnsi="Times New Roman" w:cs="Times New Roman"/>
          <w:sz w:val="24"/>
          <w:szCs w:val="24"/>
        </w:rPr>
        <w:br/>
      </w:r>
      <w:r w:rsidR="000F4D32">
        <w:rPr>
          <w:rFonts w:ascii="Times New Roman" w:hAnsi="Times New Roman" w:cs="Times New Roman"/>
          <w:sz w:val="24"/>
          <w:szCs w:val="24"/>
        </w:rPr>
        <w:t xml:space="preserve">3 různými omezeními. Ve věkové skupině 60-74 let je postižena přibližně pětina obyvatel. </w:t>
      </w:r>
    </w:p>
    <w:p w:rsidR="00B84B2A" w:rsidRDefault="00B84B2A" w:rsidP="003A274F">
      <w:pPr>
        <w:pStyle w:val="Odstavecseseznamem"/>
        <w:jc w:val="both"/>
        <w:rPr>
          <w:rFonts w:ascii="Times New Roman" w:hAnsi="Times New Roman" w:cs="Times New Roman"/>
          <w:sz w:val="24"/>
          <w:szCs w:val="24"/>
        </w:rPr>
      </w:pPr>
    </w:p>
    <w:p w:rsidR="00B84B2A" w:rsidRDefault="00B84B2A" w:rsidP="003A274F">
      <w:pPr>
        <w:pStyle w:val="Odstavecseseznamem"/>
        <w:jc w:val="both"/>
        <w:rPr>
          <w:rFonts w:ascii="Times New Roman" w:hAnsi="Times New Roman" w:cs="Times New Roman"/>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Pr="00B84B2A" w:rsidRDefault="00B84B2A" w:rsidP="00B84B2A">
      <w:pPr>
        <w:pStyle w:val="Odstavecseseznamem"/>
        <w:jc w:val="both"/>
        <w:rPr>
          <w:rFonts w:ascii="Times New Roman" w:hAnsi="Times New Roman" w:cs="Times New Roman"/>
          <w:i/>
          <w:sz w:val="24"/>
          <w:szCs w:val="24"/>
        </w:rPr>
      </w:pPr>
      <w:r w:rsidRPr="00B84B2A">
        <w:rPr>
          <w:rFonts w:ascii="Times New Roman" w:hAnsi="Times New Roman" w:cs="Times New Roman"/>
          <w:i/>
          <w:sz w:val="24"/>
          <w:szCs w:val="24"/>
        </w:rPr>
        <w:t xml:space="preserve">Obr. </w:t>
      </w:r>
      <w:r>
        <w:rPr>
          <w:rFonts w:ascii="Times New Roman" w:hAnsi="Times New Roman" w:cs="Times New Roman"/>
          <w:i/>
          <w:sz w:val="24"/>
          <w:szCs w:val="24"/>
        </w:rPr>
        <w:t>2</w:t>
      </w:r>
      <w:r w:rsidRPr="00B84B2A">
        <w:rPr>
          <w:rFonts w:ascii="Times New Roman" w:hAnsi="Times New Roman" w:cs="Times New Roman"/>
          <w:i/>
          <w:sz w:val="24"/>
          <w:szCs w:val="24"/>
        </w:rPr>
        <w:t xml:space="preserve"> Statistické šetření – </w:t>
      </w:r>
      <w:r>
        <w:rPr>
          <w:rFonts w:ascii="Times New Roman" w:hAnsi="Times New Roman" w:cs="Times New Roman"/>
          <w:i/>
          <w:sz w:val="24"/>
          <w:szCs w:val="24"/>
        </w:rPr>
        <w:t>omezení mobility</w:t>
      </w:r>
    </w:p>
    <w:p w:rsidR="00B84B2A" w:rsidRDefault="00B84B2A" w:rsidP="003A274F">
      <w:pPr>
        <w:pStyle w:val="Odstavecseseznamem"/>
        <w:jc w:val="both"/>
        <w:rPr>
          <w:rFonts w:ascii="Times New Roman" w:hAnsi="Times New Roman" w:cs="Times New Roman"/>
          <w:sz w:val="24"/>
          <w:szCs w:val="24"/>
        </w:rPr>
      </w:pPr>
    </w:p>
    <w:p w:rsidR="003B4255" w:rsidRDefault="003B4255" w:rsidP="00F12291">
      <w:pPr>
        <w:pStyle w:val="Odstavecseseznamem"/>
        <w:rPr>
          <w:rFonts w:ascii="Times New Roman" w:hAnsi="Times New Roman" w:cs="Times New Roman"/>
          <w:sz w:val="24"/>
          <w:szCs w:val="24"/>
        </w:rPr>
      </w:pPr>
      <w:r>
        <w:rPr>
          <w:noProof/>
          <w:lang w:eastAsia="cs-CZ"/>
        </w:rPr>
        <w:drawing>
          <wp:inline distT="0" distB="0" distL="0" distR="0" wp14:anchorId="6277A754" wp14:editId="35F23B48">
            <wp:extent cx="4572000" cy="2743200"/>
            <wp:effectExtent l="0" t="0" r="0" b="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5046" w:rsidRDefault="00455046" w:rsidP="00F12291">
      <w:pPr>
        <w:pStyle w:val="Odstavecseseznamem"/>
        <w:rPr>
          <w:rFonts w:ascii="Times New Roman" w:hAnsi="Times New Roman" w:cs="Times New Roman"/>
          <w:sz w:val="24"/>
          <w:szCs w:val="24"/>
        </w:rPr>
      </w:pPr>
    </w:p>
    <w:p w:rsidR="00455046" w:rsidRDefault="00455046" w:rsidP="00B84B2A">
      <w:pPr>
        <w:pStyle w:val="Odstavecseseznamem"/>
        <w:ind w:firstLine="696"/>
        <w:jc w:val="both"/>
        <w:rPr>
          <w:rFonts w:ascii="Times New Roman" w:hAnsi="Times New Roman" w:cs="Times New Roman"/>
          <w:sz w:val="24"/>
          <w:szCs w:val="24"/>
        </w:rPr>
      </w:pPr>
      <w:r>
        <w:rPr>
          <w:rFonts w:ascii="Times New Roman" w:hAnsi="Times New Roman" w:cs="Times New Roman"/>
          <w:sz w:val="24"/>
          <w:szCs w:val="24"/>
        </w:rPr>
        <w:t>Z hlediska omezení mobility je nejčetnějším typem tělesné postižení</w:t>
      </w:r>
      <w:r w:rsidR="004D0576">
        <w:rPr>
          <w:rFonts w:ascii="Times New Roman" w:hAnsi="Times New Roman" w:cs="Times New Roman"/>
          <w:sz w:val="24"/>
          <w:szCs w:val="24"/>
        </w:rPr>
        <w:t>, které se týká více než 60 %</w:t>
      </w:r>
      <w:r>
        <w:rPr>
          <w:rFonts w:ascii="Times New Roman" w:hAnsi="Times New Roman" w:cs="Times New Roman"/>
          <w:sz w:val="24"/>
          <w:szCs w:val="24"/>
        </w:rPr>
        <w:t xml:space="preserve"> postižen</w:t>
      </w:r>
      <w:r w:rsidR="004D0576">
        <w:rPr>
          <w:rFonts w:ascii="Times New Roman" w:hAnsi="Times New Roman" w:cs="Times New Roman"/>
          <w:sz w:val="24"/>
          <w:szCs w:val="24"/>
        </w:rPr>
        <w:t>ých osob, druhou nejčetnější skupinou s vlivem na mobilitu jsou vnitřní zdravotní postižení s podílem 36</w:t>
      </w:r>
      <w:r w:rsidR="000D3735">
        <w:rPr>
          <w:rFonts w:ascii="Times New Roman" w:hAnsi="Times New Roman" w:cs="Times New Roman"/>
          <w:sz w:val="24"/>
          <w:szCs w:val="24"/>
        </w:rPr>
        <w:t xml:space="preserve"> </w:t>
      </w:r>
      <w:r w:rsidR="004D0576">
        <w:rPr>
          <w:rFonts w:ascii="Times New Roman" w:hAnsi="Times New Roman" w:cs="Times New Roman"/>
          <w:sz w:val="24"/>
          <w:szCs w:val="24"/>
        </w:rPr>
        <w:t>%. Z hlediska problémů s orientací mají naopak největší vliv postižení mentální a duševní</w:t>
      </w:r>
      <w:r>
        <w:rPr>
          <w:rFonts w:ascii="Times New Roman" w:hAnsi="Times New Roman" w:cs="Times New Roman"/>
          <w:sz w:val="24"/>
          <w:szCs w:val="24"/>
        </w:rPr>
        <w:t xml:space="preserve"> </w:t>
      </w:r>
      <w:r w:rsidR="004D0576">
        <w:rPr>
          <w:rFonts w:ascii="Times New Roman" w:hAnsi="Times New Roman" w:cs="Times New Roman"/>
          <w:sz w:val="24"/>
          <w:szCs w:val="24"/>
        </w:rPr>
        <w:t xml:space="preserve">(44 % postižených osob) a </w:t>
      </w:r>
      <w:r w:rsidR="003A274F">
        <w:rPr>
          <w:rFonts w:ascii="Times New Roman" w:hAnsi="Times New Roman" w:cs="Times New Roman"/>
          <w:sz w:val="24"/>
          <w:szCs w:val="24"/>
        </w:rPr>
        <w:t xml:space="preserve">postižení smyslové (téměř 30 %). </w:t>
      </w:r>
    </w:p>
    <w:p w:rsidR="000F4D32" w:rsidRDefault="000F4D32" w:rsidP="003A274F">
      <w:pPr>
        <w:pStyle w:val="Odstavecseseznamem"/>
        <w:jc w:val="both"/>
        <w:rPr>
          <w:rFonts w:ascii="Times New Roman" w:hAnsi="Times New Roman" w:cs="Times New Roman"/>
          <w:sz w:val="24"/>
          <w:szCs w:val="24"/>
        </w:rPr>
      </w:pPr>
    </w:p>
    <w:p w:rsidR="000F4D32" w:rsidRDefault="000F4D32" w:rsidP="00B84B2A">
      <w:pPr>
        <w:pStyle w:val="Odstavecseseznamem"/>
        <w:ind w:firstLine="696"/>
        <w:jc w:val="both"/>
        <w:rPr>
          <w:rFonts w:ascii="Times New Roman" w:hAnsi="Times New Roman" w:cs="Times New Roman"/>
          <w:sz w:val="24"/>
          <w:szCs w:val="24"/>
        </w:rPr>
      </w:pPr>
      <w:r>
        <w:rPr>
          <w:rFonts w:ascii="Times New Roman" w:hAnsi="Times New Roman" w:cs="Times New Roman"/>
          <w:sz w:val="24"/>
          <w:szCs w:val="24"/>
        </w:rPr>
        <w:t xml:space="preserve">Uvedené </w:t>
      </w:r>
      <w:r w:rsidR="00536A20">
        <w:rPr>
          <w:rFonts w:ascii="Times New Roman" w:hAnsi="Times New Roman" w:cs="Times New Roman"/>
          <w:sz w:val="24"/>
          <w:szCs w:val="24"/>
        </w:rPr>
        <w:t xml:space="preserve">výběrové </w:t>
      </w:r>
      <w:r>
        <w:rPr>
          <w:rFonts w:ascii="Times New Roman" w:hAnsi="Times New Roman" w:cs="Times New Roman"/>
          <w:sz w:val="24"/>
          <w:szCs w:val="24"/>
        </w:rPr>
        <w:t xml:space="preserve">statistické šetření ČSÚ zahrnovalo občany, kteří jsou jako postižení evidováni </w:t>
      </w:r>
      <w:r w:rsidR="00536A20">
        <w:rPr>
          <w:rFonts w:ascii="Times New Roman" w:hAnsi="Times New Roman" w:cs="Times New Roman"/>
          <w:sz w:val="24"/>
          <w:szCs w:val="24"/>
        </w:rPr>
        <w:t xml:space="preserve">u lékařů nebo </w:t>
      </w:r>
      <w:r w:rsidR="00626198">
        <w:rPr>
          <w:rFonts w:ascii="Times New Roman" w:hAnsi="Times New Roman" w:cs="Times New Roman"/>
          <w:sz w:val="24"/>
          <w:szCs w:val="24"/>
        </w:rPr>
        <w:t xml:space="preserve">v </w:t>
      </w:r>
      <w:r w:rsidR="00536A20">
        <w:rPr>
          <w:rFonts w:ascii="Times New Roman" w:hAnsi="Times New Roman" w:cs="Times New Roman"/>
          <w:sz w:val="24"/>
          <w:szCs w:val="24"/>
        </w:rPr>
        <w:t>sociálních ústav</w:t>
      </w:r>
      <w:r w:rsidR="00626198">
        <w:rPr>
          <w:rFonts w:ascii="Times New Roman" w:hAnsi="Times New Roman" w:cs="Times New Roman"/>
          <w:sz w:val="24"/>
          <w:szCs w:val="24"/>
        </w:rPr>
        <w:t xml:space="preserve">ech </w:t>
      </w:r>
      <w:r w:rsidR="00626198" w:rsidRPr="00626198">
        <w:rPr>
          <w:rFonts w:ascii="Times New Roman" w:hAnsi="Times New Roman" w:cs="Times New Roman"/>
          <w:sz w:val="24"/>
          <w:szCs w:val="24"/>
        </w:rPr>
        <w:t>dlouhodobě</w:t>
      </w:r>
      <w:r w:rsidR="00626198">
        <w:rPr>
          <w:rFonts w:ascii="Times New Roman" w:hAnsi="Times New Roman" w:cs="Times New Roman"/>
          <w:sz w:val="24"/>
          <w:szCs w:val="24"/>
        </w:rPr>
        <w:t xml:space="preserve"> (nejméně 1 rok)</w:t>
      </w:r>
      <w:r w:rsidR="00536A20">
        <w:rPr>
          <w:rFonts w:ascii="Times New Roman" w:hAnsi="Times New Roman" w:cs="Times New Roman"/>
          <w:sz w:val="24"/>
          <w:szCs w:val="24"/>
        </w:rPr>
        <w:t xml:space="preserve">. Z hlediska tohoto prováděcího plánu je však nutné vzít v úvahu, že podíl </w:t>
      </w:r>
      <w:r w:rsidR="001D1F97">
        <w:rPr>
          <w:rFonts w:ascii="Times New Roman" w:hAnsi="Times New Roman" w:cs="Times New Roman"/>
          <w:sz w:val="24"/>
          <w:szCs w:val="24"/>
        </w:rPr>
        <w:t>uživatelů veřejné dopravy</w:t>
      </w:r>
      <w:r w:rsidR="00536A20">
        <w:rPr>
          <w:rFonts w:ascii="Times New Roman" w:hAnsi="Times New Roman" w:cs="Times New Roman"/>
          <w:sz w:val="24"/>
          <w:szCs w:val="24"/>
        </w:rPr>
        <w:t xml:space="preserve"> s nějakou formou omezení</w:t>
      </w:r>
      <w:r w:rsidR="001D1F97">
        <w:rPr>
          <w:rFonts w:ascii="Times New Roman" w:hAnsi="Times New Roman" w:cs="Times New Roman"/>
          <w:sz w:val="24"/>
          <w:szCs w:val="24"/>
        </w:rPr>
        <w:t xml:space="preserve"> je daleko vyšší – zahrnuje navíc </w:t>
      </w:r>
      <w:r w:rsidR="00B07AC1" w:rsidRPr="00B07AC1">
        <w:rPr>
          <w:rFonts w:ascii="Times New Roman" w:hAnsi="Times New Roman" w:cs="Times New Roman"/>
          <w:sz w:val="24"/>
          <w:szCs w:val="24"/>
        </w:rPr>
        <w:t>starší osoby se sníženou pohyblivostí</w:t>
      </w:r>
      <w:r w:rsidR="00B07AC1">
        <w:rPr>
          <w:rFonts w:ascii="Times New Roman" w:hAnsi="Times New Roman" w:cs="Times New Roman"/>
          <w:sz w:val="24"/>
          <w:szCs w:val="24"/>
        </w:rPr>
        <w:t>,</w:t>
      </w:r>
      <w:r w:rsidR="00B07AC1" w:rsidRPr="00B07AC1">
        <w:rPr>
          <w:rFonts w:ascii="Times New Roman" w:hAnsi="Times New Roman" w:cs="Times New Roman"/>
          <w:sz w:val="24"/>
          <w:szCs w:val="24"/>
        </w:rPr>
        <w:t xml:space="preserve"> </w:t>
      </w:r>
      <w:r w:rsidR="001D1F97">
        <w:rPr>
          <w:rFonts w:ascii="Times New Roman" w:hAnsi="Times New Roman" w:cs="Times New Roman"/>
          <w:sz w:val="24"/>
          <w:szCs w:val="24"/>
        </w:rPr>
        <w:t>osoby s</w:t>
      </w:r>
      <w:r w:rsidR="00B07AC1">
        <w:rPr>
          <w:rFonts w:ascii="Times New Roman" w:hAnsi="Times New Roman" w:cs="Times New Roman"/>
          <w:sz w:val="24"/>
          <w:szCs w:val="24"/>
        </w:rPr>
        <w:t> </w:t>
      </w:r>
      <w:r w:rsidR="001D1F97">
        <w:rPr>
          <w:rFonts w:ascii="Times New Roman" w:hAnsi="Times New Roman" w:cs="Times New Roman"/>
          <w:sz w:val="24"/>
          <w:szCs w:val="24"/>
        </w:rPr>
        <w:t>přechodn</w:t>
      </w:r>
      <w:r w:rsidR="00B07AC1">
        <w:rPr>
          <w:rFonts w:ascii="Times New Roman" w:hAnsi="Times New Roman" w:cs="Times New Roman"/>
          <w:sz w:val="24"/>
          <w:szCs w:val="24"/>
        </w:rPr>
        <w:t>ým snížením</w:t>
      </w:r>
      <w:r w:rsidR="001D1F97">
        <w:rPr>
          <w:rFonts w:ascii="Times New Roman" w:hAnsi="Times New Roman" w:cs="Times New Roman"/>
          <w:sz w:val="24"/>
          <w:szCs w:val="24"/>
        </w:rPr>
        <w:t xml:space="preserve"> </w:t>
      </w:r>
      <w:r w:rsidR="00B07AC1">
        <w:rPr>
          <w:rFonts w:ascii="Times New Roman" w:hAnsi="Times New Roman" w:cs="Times New Roman"/>
          <w:sz w:val="24"/>
          <w:szCs w:val="24"/>
        </w:rPr>
        <w:t>pohyblivosti</w:t>
      </w:r>
      <w:r w:rsidR="001D1F97">
        <w:rPr>
          <w:rFonts w:ascii="Times New Roman" w:hAnsi="Times New Roman" w:cs="Times New Roman"/>
          <w:sz w:val="24"/>
          <w:szCs w:val="24"/>
        </w:rPr>
        <w:t xml:space="preserve"> po úrazu, těhotné ženy</w:t>
      </w:r>
      <w:r w:rsidR="00742FD4">
        <w:rPr>
          <w:rFonts w:ascii="Times New Roman" w:hAnsi="Times New Roman" w:cs="Times New Roman"/>
          <w:sz w:val="24"/>
          <w:szCs w:val="24"/>
        </w:rPr>
        <w:t>,</w:t>
      </w:r>
      <w:r w:rsidR="001D1F97">
        <w:rPr>
          <w:rFonts w:ascii="Times New Roman" w:hAnsi="Times New Roman" w:cs="Times New Roman"/>
          <w:sz w:val="24"/>
          <w:szCs w:val="24"/>
        </w:rPr>
        <w:t xml:space="preserve"> cestující s malými dětmi nebo cestující s velkými zavazadly. Problémy s orientací mohou mít i cestující s nižším stupněm nedoslýchavosti nebo nosící brýle. V literatuře se udává, že </w:t>
      </w:r>
      <w:r w:rsidR="00D57A9B">
        <w:rPr>
          <w:rFonts w:ascii="Times New Roman" w:hAnsi="Times New Roman" w:cs="Times New Roman"/>
          <w:sz w:val="24"/>
          <w:szCs w:val="24"/>
        </w:rPr>
        <w:t>zákazníci</w:t>
      </w:r>
      <w:r w:rsidR="001D1F97">
        <w:rPr>
          <w:rFonts w:ascii="Times New Roman" w:hAnsi="Times New Roman" w:cs="Times New Roman"/>
          <w:sz w:val="24"/>
          <w:szCs w:val="24"/>
        </w:rPr>
        <w:t>, kteří mohou benefitovat z opatření na podporu přístupnosti</w:t>
      </w:r>
      <w:r w:rsidR="001D1F97" w:rsidRPr="001D1F97">
        <w:t xml:space="preserve"> </w:t>
      </w:r>
      <w:r w:rsidR="001D1F97" w:rsidRPr="001D1F97">
        <w:rPr>
          <w:rFonts w:ascii="Times New Roman" w:hAnsi="Times New Roman" w:cs="Times New Roman"/>
          <w:sz w:val="24"/>
          <w:szCs w:val="24"/>
        </w:rPr>
        <w:t>veřejné dopravy</w:t>
      </w:r>
      <w:r w:rsidR="001D1F97">
        <w:rPr>
          <w:rFonts w:ascii="Times New Roman" w:hAnsi="Times New Roman" w:cs="Times New Roman"/>
          <w:sz w:val="24"/>
          <w:szCs w:val="24"/>
        </w:rPr>
        <w:t>, představuje 30-40 %</w:t>
      </w:r>
      <w:r w:rsidR="00D57A9B">
        <w:rPr>
          <w:rFonts w:ascii="Times New Roman" w:hAnsi="Times New Roman" w:cs="Times New Roman"/>
          <w:sz w:val="24"/>
          <w:szCs w:val="24"/>
        </w:rPr>
        <w:t xml:space="preserve"> populace</w:t>
      </w:r>
      <w:r w:rsidR="001D1F97">
        <w:rPr>
          <w:rFonts w:ascii="Times New Roman" w:hAnsi="Times New Roman" w:cs="Times New Roman"/>
          <w:sz w:val="24"/>
          <w:szCs w:val="24"/>
        </w:rPr>
        <w:t xml:space="preserve">. </w:t>
      </w:r>
    </w:p>
    <w:p w:rsidR="00B84B2A" w:rsidRDefault="00B84B2A" w:rsidP="00B84B2A">
      <w:pPr>
        <w:pStyle w:val="Odstavecseseznamem"/>
        <w:ind w:firstLine="696"/>
        <w:jc w:val="both"/>
        <w:rPr>
          <w:rFonts w:ascii="Times New Roman" w:hAnsi="Times New Roman" w:cs="Times New Roman"/>
          <w:sz w:val="24"/>
          <w:szCs w:val="24"/>
        </w:rPr>
      </w:pPr>
    </w:p>
    <w:p w:rsidR="00B84B2A" w:rsidRDefault="00B84B2A" w:rsidP="00B84B2A">
      <w:pPr>
        <w:pStyle w:val="Odstavecseseznamem"/>
        <w:ind w:firstLine="696"/>
        <w:jc w:val="both"/>
        <w:rPr>
          <w:rFonts w:ascii="Times New Roman" w:hAnsi="Times New Roman" w:cs="Times New Roman"/>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Default="00B84B2A" w:rsidP="00B84B2A">
      <w:pPr>
        <w:pStyle w:val="Odstavecseseznamem"/>
        <w:jc w:val="both"/>
        <w:rPr>
          <w:rFonts w:ascii="Times New Roman" w:hAnsi="Times New Roman" w:cs="Times New Roman"/>
          <w:i/>
          <w:sz w:val="24"/>
          <w:szCs w:val="24"/>
        </w:rPr>
      </w:pPr>
    </w:p>
    <w:p w:rsidR="00B84B2A" w:rsidRPr="00B84B2A" w:rsidRDefault="00B84B2A" w:rsidP="00B84B2A">
      <w:pPr>
        <w:pStyle w:val="Odstavecseseznamem"/>
        <w:jc w:val="both"/>
        <w:rPr>
          <w:rFonts w:ascii="Times New Roman" w:hAnsi="Times New Roman" w:cs="Times New Roman"/>
          <w:i/>
          <w:sz w:val="24"/>
          <w:szCs w:val="24"/>
        </w:rPr>
      </w:pPr>
      <w:r w:rsidRPr="00B84B2A">
        <w:rPr>
          <w:rFonts w:ascii="Times New Roman" w:hAnsi="Times New Roman" w:cs="Times New Roman"/>
          <w:i/>
          <w:sz w:val="24"/>
          <w:szCs w:val="24"/>
        </w:rPr>
        <w:t xml:space="preserve">Obr. </w:t>
      </w:r>
      <w:r>
        <w:rPr>
          <w:rFonts w:ascii="Times New Roman" w:hAnsi="Times New Roman" w:cs="Times New Roman"/>
          <w:i/>
          <w:sz w:val="24"/>
          <w:szCs w:val="24"/>
        </w:rPr>
        <w:t>3</w:t>
      </w:r>
      <w:r w:rsidRPr="00B84B2A">
        <w:rPr>
          <w:rFonts w:ascii="Times New Roman" w:hAnsi="Times New Roman" w:cs="Times New Roman"/>
          <w:i/>
          <w:sz w:val="24"/>
          <w:szCs w:val="24"/>
        </w:rPr>
        <w:t xml:space="preserve"> </w:t>
      </w:r>
      <w:r>
        <w:rPr>
          <w:rFonts w:ascii="Times New Roman" w:hAnsi="Times New Roman" w:cs="Times New Roman"/>
          <w:i/>
          <w:sz w:val="24"/>
          <w:szCs w:val="24"/>
        </w:rPr>
        <w:t>Schématické zobrazení</w:t>
      </w:r>
      <w:r w:rsidRPr="00B84B2A">
        <w:rPr>
          <w:rFonts w:ascii="Times New Roman" w:hAnsi="Times New Roman" w:cs="Times New Roman"/>
          <w:i/>
          <w:sz w:val="24"/>
          <w:szCs w:val="24"/>
        </w:rPr>
        <w:t xml:space="preserve"> </w:t>
      </w:r>
      <w:r w:rsidR="00B2575B">
        <w:rPr>
          <w:rFonts w:ascii="Times New Roman" w:hAnsi="Times New Roman" w:cs="Times New Roman"/>
          <w:i/>
          <w:sz w:val="24"/>
          <w:szCs w:val="24"/>
        </w:rPr>
        <w:t xml:space="preserve">osob </w:t>
      </w:r>
      <w:r w:rsidR="00B2575B" w:rsidRPr="00B2575B">
        <w:rPr>
          <w:rFonts w:ascii="Times New Roman" w:hAnsi="Times New Roman" w:cs="Times New Roman"/>
          <w:i/>
          <w:sz w:val="24"/>
          <w:szCs w:val="24"/>
        </w:rPr>
        <w:t>s omezenou schopností pohybu a orientace</w:t>
      </w:r>
    </w:p>
    <w:p w:rsidR="00B84B2A" w:rsidRDefault="00B84B2A" w:rsidP="00B84B2A">
      <w:pPr>
        <w:pStyle w:val="Odstavecseseznamem"/>
        <w:ind w:firstLine="696"/>
        <w:jc w:val="both"/>
        <w:rPr>
          <w:rFonts w:ascii="Times New Roman" w:hAnsi="Times New Roman" w:cs="Times New Roman"/>
          <w:sz w:val="24"/>
          <w:szCs w:val="24"/>
        </w:rPr>
      </w:pPr>
    </w:p>
    <w:p w:rsidR="00B2575B" w:rsidRDefault="00B2575B" w:rsidP="003A274F">
      <w:pPr>
        <w:pStyle w:val="Odstavecseseznamem"/>
        <w:jc w:val="both"/>
        <w:rPr>
          <w:rFonts w:ascii="Times New Roman" w:hAnsi="Times New Roman" w:cs="Times New Roman"/>
          <w:noProof/>
          <w:sz w:val="24"/>
          <w:szCs w:val="24"/>
          <w:lang w:eastAsia="cs-CZ"/>
        </w:rPr>
      </w:pPr>
    </w:p>
    <w:p w:rsidR="008D20E5" w:rsidRDefault="008419B1" w:rsidP="003A274F">
      <w:pPr>
        <w:pStyle w:val="Odstavecseseznamem"/>
        <w:jc w:val="both"/>
        <w:rPr>
          <w:rFonts w:ascii="Times New Roman" w:hAnsi="Times New Roman" w:cs="Times New Roman"/>
          <w:sz w:val="24"/>
          <w:szCs w:val="24"/>
        </w:rPr>
      </w:pPr>
      <w:r w:rsidRPr="008D20E5">
        <w:rPr>
          <w:rFonts w:ascii="Times New Roman" w:hAnsi="Times New Roman" w:cs="Times New Roman"/>
          <w:noProof/>
          <w:sz w:val="24"/>
          <w:szCs w:val="24"/>
          <w:lang w:eastAsia="cs-CZ"/>
        </w:rPr>
        <w:drawing>
          <wp:inline distT="0" distB="0" distL="0" distR="0" wp14:anchorId="3D92B78E" wp14:editId="1C2DEB1E">
            <wp:extent cx="2900680" cy="3362218"/>
            <wp:effectExtent l="0" t="0" r="0" b="0"/>
            <wp:docPr id="4" name="Obrázek 4" descr="\\NT.MDCR.CZ\DATAUSERS$\jan.spousta\Documents\TSI PRM implementační plán\PRM z COSTu 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MDCR.CZ\DATAUSERS$\jan.spousta\Documents\TSI PRM implementační plán\PRM z COSTu 33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633"/>
                    <a:stretch/>
                  </pic:blipFill>
                  <pic:spPr bwMode="auto">
                    <a:xfrm>
                      <a:off x="0" y="0"/>
                      <a:ext cx="2907957" cy="3370653"/>
                    </a:xfrm>
                    <a:prstGeom prst="rect">
                      <a:avLst/>
                    </a:prstGeom>
                    <a:noFill/>
                    <a:ln>
                      <a:noFill/>
                    </a:ln>
                    <a:extLst>
                      <a:ext uri="{53640926-AAD7-44D8-BBD7-CCE9431645EC}">
                        <a14:shadowObscured xmlns:a14="http://schemas.microsoft.com/office/drawing/2010/main"/>
                      </a:ext>
                    </a:extLst>
                  </pic:spPr>
                </pic:pic>
              </a:graphicData>
            </a:graphic>
          </wp:inline>
        </w:drawing>
      </w:r>
    </w:p>
    <w:p w:rsidR="008D20E5" w:rsidRDefault="00B07AC1" w:rsidP="00B07AC1">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             </w:t>
      </w:r>
    </w:p>
    <w:p w:rsidR="00F12291" w:rsidRPr="000474DF" w:rsidRDefault="00F12291" w:rsidP="00F12291">
      <w:pPr>
        <w:pStyle w:val="Odstavecseseznamem"/>
        <w:rPr>
          <w:rFonts w:ascii="Times New Roman" w:hAnsi="Times New Roman" w:cs="Times New Roman"/>
          <w:sz w:val="24"/>
          <w:szCs w:val="24"/>
        </w:rPr>
      </w:pPr>
    </w:p>
    <w:p w:rsidR="0085233B" w:rsidRPr="0085233B" w:rsidRDefault="0085233B" w:rsidP="0085233B">
      <w:pPr>
        <w:pStyle w:val="Odstavecseseznamem"/>
        <w:rPr>
          <w:rFonts w:ascii="Times New Roman" w:hAnsi="Times New Roman" w:cs="Times New Roman"/>
          <w:sz w:val="24"/>
          <w:szCs w:val="24"/>
        </w:rPr>
      </w:pPr>
    </w:p>
    <w:p w:rsidR="00AA49FE" w:rsidRDefault="00AA49FE" w:rsidP="008419B1">
      <w:pPr>
        <w:pStyle w:val="Odstavecseseznamem"/>
        <w:numPr>
          <w:ilvl w:val="0"/>
          <w:numId w:val="15"/>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r>
        <w:rPr>
          <w:rFonts w:ascii="Times New Roman" w:eastAsia="Times New Roman" w:hAnsi="Times New Roman" w:cs="Times New Roman"/>
          <w:b/>
          <w:bCs/>
          <w:kern w:val="36"/>
          <w:sz w:val="24"/>
          <w:szCs w:val="24"/>
          <w:lang w:eastAsia="cs-CZ"/>
        </w:rPr>
        <w:t xml:space="preserve">Programové dokumenty na úrovni vlády ČR </w:t>
      </w:r>
    </w:p>
    <w:p w:rsidR="00AA49FE" w:rsidRDefault="00AA49FE" w:rsidP="00AA49FE">
      <w:pPr>
        <w:pStyle w:val="Odstavecseseznamem"/>
        <w:spacing w:before="100" w:beforeAutospacing="1" w:after="100" w:afterAutospacing="1" w:line="240" w:lineRule="auto"/>
        <w:ind w:left="1080"/>
        <w:outlineLvl w:val="0"/>
        <w:rPr>
          <w:rFonts w:ascii="Times New Roman" w:eastAsia="Times New Roman" w:hAnsi="Times New Roman" w:cs="Times New Roman"/>
          <w:b/>
          <w:bCs/>
          <w:kern w:val="36"/>
          <w:sz w:val="24"/>
          <w:szCs w:val="24"/>
          <w:lang w:eastAsia="cs-CZ"/>
        </w:rPr>
      </w:pPr>
    </w:p>
    <w:p w:rsidR="0085233B" w:rsidRPr="008419B1" w:rsidRDefault="0085233B" w:rsidP="00AA49FE">
      <w:pPr>
        <w:pStyle w:val="Odstavecseseznamem"/>
        <w:numPr>
          <w:ilvl w:val="1"/>
          <w:numId w:val="17"/>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r w:rsidRPr="008419B1">
        <w:rPr>
          <w:rFonts w:ascii="Times New Roman" w:eastAsia="Times New Roman" w:hAnsi="Times New Roman" w:cs="Times New Roman"/>
          <w:b/>
          <w:bCs/>
          <w:kern w:val="36"/>
          <w:sz w:val="24"/>
          <w:szCs w:val="24"/>
          <w:lang w:eastAsia="cs-CZ"/>
        </w:rPr>
        <w:t>Národní plán podpory rovných příležitostí pro osoby se zdravotním postižením na období 2015-2020</w:t>
      </w:r>
    </w:p>
    <w:p w:rsidR="0085233B" w:rsidRDefault="0085233B" w:rsidP="00B84B2A">
      <w:pPr>
        <w:spacing w:after="240" w:line="240" w:lineRule="auto"/>
        <w:ind w:left="720" w:firstLine="69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Základním dokumentem pro přípravu opatření, podporujících integraci lidí se zdravotním postižením</w:t>
      </w:r>
      <w:r w:rsidR="00E0227B">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je </w:t>
      </w:r>
      <w:r w:rsidRPr="004E06D1">
        <w:rPr>
          <w:rFonts w:ascii="Times New Roman" w:eastAsia="Times New Roman" w:hAnsi="Times New Roman" w:cs="Times New Roman"/>
          <w:b/>
          <w:sz w:val="24"/>
          <w:szCs w:val="24"/>
          <w:lang w:eastAsia="cs-CZ"/>
        </w:rPr>
        <w:t>Národní plán podpory rovných příležitostí pro osoby se zdravotním postižením na období 2015-2020</w:t>
      </w:r>
      <w:r w:rsidR="00E0227B">
        <w:rPr>
          <w:rFonts w:ascii="Times New Roman" w:eastAsia="Times New Roman" w:hAnsi="Times New Roman" w:cs="Times New Roman"/>
          <w:sz w:val="24"/>
          <w:szCs w:val="24"/>
          <w:lang w:eastAsia="cs-CZ"/>
        </w:rPr>
        <w:t>, který</w:t>
      </w:r>
      <w:r>
        <w:rPr>
          <w:rFonts w:ascii="Times New Roman" w:eastAsia="Times New Roman" w:hAnsi="Times New Roman" w:cs="Times New Roman"/>
          <w:sz w:val="24"/>
          <w:szCs w:val="24"/>
          <w:lang w:eastAsia="cs-CZ"/>
        </w:rPr>
        <w:t xml:space="preserve"> byl schválen usnesením vlády České republiky č. 385 dne 25.</w:t>
      </w:r>
      <w:r w:rsidR="00E0227B">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května 2015. </w:t>
      </w:r>
      <w:r w:rsidRPr="0085233B">
        <w:rPr>
          <w:rFonts w:ascii="Times New Roman" w:eastAsia="Times New Roman" w:hAnsi="Times New Roman" w:cs="Times New Roman"/>
          <w:sz w:val="24"/>
          <w:szCs w:val="24"/>
          <w:lang w:eastAsia="cs-CZ"/>
        </w:rPr>
        <w:t>V roce 2016 byl Národní plán podpory rovných příležitostí pro osoby se zdravotním postižením na období 2015-2020 upraven dle usnesení vlády České republiky ze dne 27. června 2016 č. 594.</w:t>
      </w:r>
    </w:p>
    <w:p w:rsidR="0085233B" w:rsidRPr="0085233B" w:rsidRDefault="0085233B" w:rsidP="00B84B2A">
      <w:pPr>
        <w:spacing w:before="384" w:after="384" w:line="240" w:lineRule="auto"/>
        <w:ind w:left="720" w:firstLine="696"/>
        <w:jc w:val="both"/>
        <w:rPr>
          <w:rFonts w:ascii="Times New Roman" w:eastAsia="Times New Roman" w:hAnsi="Times New Roman" w:cs="Times New Roman"/>
          <w:sz w:val="24"/>
          <w:szCs w:val="24"/>
          <w:lang w:eastAsia="cs-CZ"/>
        </w:rPr>
      </w:pPr>
      <w:r w:rsidRPr="0085233B">
        <w:rPr>
          <w:rFonts w:ascii="Times New Roman" w:eastAsia="Times New Roman" w:hAnsi="Times New Roman" w:cs="Times New Roman"/>
          <w:sz w:val="24"/>
          <w:szCs w:val="24"/>
          <w:lang w:eastAsia="cs-CZ"/>
        </w:rPr>
        <w:t>Od roku 1992, kdy byl schválen první národní plán, se jedná již o šestý plán, jehož cílem je podporovat integraci lidí se zdravotním postižením. Svou strukturou opět navaz</w:t>
      </w:r>
      <w:r w:rsidR="00E0227B">
        <w:rPr>
          <w:rFonts w:ascii="Times New Roman" w:eastAsia="Times New Roman" w:hAnsi="Times New Roman" w:cs="Times New Roman"/>
          <w:sz w:val="24"/>
          <w:szCs w:val="24"/>
          <w:lang w:eastAsia="cs-CZ"/>
        </w:rPr>
        <w:t>uje</w:t>
      </w:r>
      <w:r w:rsidRPr="0085233B">
        <w:rPr>
          <w:rFonts w:ascii="Times New Roman" w:eastAsia="Times New Roman" w:hAnsi="Times New Roman" w:cs="Times New Roman"/>
          <w:sz w:val="24"/>
          <w:szCs w:val="24"/>
          <w:lang w:eastAsia="cs-CZ"/>
        </w:rPr>
        <w:t xml:space="preserve"> na Úmluvu OSN o právech osob se zdravotním postižením.</w:t>
      </w:r>
    </w:p>
    <w:p w:rsidR="0085233B" w:rsidRPr="0085233B" w:rsidRDefault="0085233B" w:rsidP="00B84B2A">
      <w:pPr>
        <w:spacing w:before="384" w:after="384" w:line="240" w:lineRule="auto"/>
        <w:ind w:left="720" w:firstLine="696"/>
        <w:jc w:val="both"/>
        <w:rPr>
          <w:rFonts w:ascii="Times New Roman" w:eastAsia="Times New Roman" w:hAnsi="Times New Roman" w:cs="Times New Roman"/>
          <w:sz w:val="24"/>
          <w:szCs w:val="24"/>
          <w:lang w:eastAsia="cs-CZ"/>
        </w:rPr>
      </w:pPr>
      <w:r w:rsidRPr="0085233B">
        <w:rPr>
          <w:rFonts w:ascii="Times New Roman" w:eastAsia="Times New Roman" w:hAnsi="Times New Roman" w:cs="Times New Roman"/>
          <w:sz w:val="24"/>
          <w:szCs w:val="24"/>
          <w:lang w:eastAsia="cs-CZ"/>
        </w:rPr>
        <w:t>Naplňováním doposud realizovaných národních plánů došlo ke zlepšení přístupu státu k osobám se zdravotním postižením, což se pozitivně promítlo v řadě oblastí, které jsou k zajištění podmínek pro kvalitní a důstojný život této skupiny lidí důležité a napomáhají jejich integraci do společnosti.</w:t>
      </w:r>
    </w:p>
    <w:p w:rsidR="0085233B" w:rsidRPr="0085233B" w:rsidRDefault="0085233B" w:rsidP="00B84B2A">
      <w:pPr>
        <w:spacing w:before="384" w:after="384" w:line="240" w:lineRule="auto"/>
        <w:ind w:left="720" w:firstLine="696"/>
        <w:jc w:val="both"/>
        <w:rPr>
          <w:rFonts w:ascii="Times New Roman" w:eastAsia="Times New Roman" w:hAnsi="Times New Roman" w:cs="Times New Roman"/>
          <w:sz w:val="24"/>
          <w:szCs w:val="24"/>
          <w:lang w:eastAsia="cs-CZ"/>
        </w:rPr>
      </w:pPr>
      <w:r w:rsidRPr="0085233B">
        <w:rPr>
          <w:rFonts w:ascii="Times New Roman" w:eastAsia="Times New Roman" w:hAnsi="Times New Roman" w:cs="Times New Roman"/>
          <w:sz w:val="24"/>
          <w:szCs w:val="24"/>
          <w:lang w:eastAsia="cs-CZ"/>
        </w:rPr>
        <w:t>Na přípravě Národního plánu se podílela především Pracovní skupina pro přípravu Národního plánu pro osoby se zdravotním postižením 2015–2020. Tuto pracovní skupinu tvořili zástupci všech zainteresovaných resortů a institucí. Konkrétně se jedná o Ministerstvo dopravy, Ministerstvo financí, Ministerstvo kultury, Ministerstvo pro místní rozvoj, Ministerstvo práce a sociálních věcí, Ministerstvo průmyslu a obchodu, Ministerstvo spravedlnosti, Ministerstvo školství, mládeže a tělovýchovy, Ministerstvo vnitra, Ministerstvo zdravotnictví, Ministerstvo zemědělství, Český statistický úřad, Národní radu osob se zdravotn</w:t>
      </w:r>
      <w:r w:rsidR="002216A8">
        <w:rPr>
          <w:rFonts w:ascii="Times New Roman" w:eastAsia="Times New Roman" w:hAnsi="Times New Roman" w:cs="Times New Roman"/>
          <w:sz w:val="24"/>
          <w:szCs w:val="24"/>
          <w:lang w:eastAsia="cs-CZ"/>
        </w:rPr>
        <w:t>ím</w:t>
      </w:r>
      <w:r w:rsidRPr="0085233B">
        <w:rPr>
          <w:rFonts w:ascii="Times New Roman" w:eastAsia="Times New Roman" w:hAnsi="Times New Roman" w:cs="Times New Roman"/>
          <w:sz w:val="24"/>
          <w:szCs w:val="24"/>
          <w:lang w:eastAsia="cs-CZ"/>
        </w:rPr>
        <w:t xml:space="preserve"> postižením ČR, Asociaci zaměstnavatelů zdravotně postižených ČR a zástupce Sekretariátu VVZPO. Dále byla zastoupena i krajská samospráva a to Asociací krajů ČR. Na tvorbě Národního plánu se také podílely některé organizace osob se zdravotním postižením (Asociace organizací neslyšících, nedoslýchavých a jejich přátel, Společnost pro podporu lidí s mentálním postižením ČR, organizace zastupující osoby s duševním onemocněním aj.), které zaslaly návrhy opatření nebo se také účastnily některých jednání.</w:t>
      </w:r>
    </w:p>
    <w:p w:rsidR="0085233B" w:rsidRPr="0085233B" w:rsidRDefault="00E0227B" w:rsidP="00B84B2A">
      <w:pPr>
        <w:spacing w:before="384" w:after="384" w:line="240" w:lineRule="auto"/>
        <w:ind w:left="720" w:firstLine="696"/>
        <w:jc w:val="both"/>
        <w:rPr>
          <w:rFonts w:ascii="Times New Roman" w:eastAsia="Times New Roman" w:hAnsi="Times New Roman" w:cs="Times New Roman"/>
          <w:sz w:val="24"/>
          <w:szCs w:val="24"/>
          <w:lang w:eastAsia="cs-CZ"/>
        </w:rPr>
      </w:pPr>
      <w:r w:rsidRPr="004E06D1">
        <w:rPr>
          <w:rFonts w:ascii="Times New Roman" w:eastAsia="Times New Roman" w:hAnsi="Times New Roman" w:cs="Times New Roman"/>
          <w:b/>
          <w:sz w:val="24"/>
          <w:szCs w:val="24"/>
          <w:lang w:eastAsia="cs-CZ"/>
        </w:rPr>
        <w:t xml:space="preserve">Z hlediska rezortu dopravy je podpora integrace osob se zdravotním postižením </w:t>
      </w:r>
      <w:r w:rsidR="00546ABC" w:rsidRPr="004E06D1">
        <w:rPr>
          <w:rFonts w:ascii="Times New Roman" w:eastAsia="Times New Roman" w:hAnsi="Times New Roman" w:cs="Times New Roman"/>
          <w:b/>
          <w:sz w:val="24"/>
          <w:szCs w:val="24"/>
          <w:lang w:eastAsia="cs-CZ"/>
        </w:rPr>
        <w:t>zaměřena především na</w:t>
      </w:r>
      <w:r w:rsidR="002537BD" w:rsidRPr="004E06D1">
        <w:rPr>
          <w:rFonts w:ascii="Times New Roman" w:eastAsia="Times New Roman" w:hAnsi="Times New Roman" w:cs="Times New Roman"/>
          <w:b/>
          <w:sz w:val="24"/>
          <w:szCs w:val="24"/>
          <w:lang w:eastAsia="cs-CZ"/>
        </w:rPr>
        <w:t xml:space="preserve"> pokračování v aktivitách</w:t>
      </w:r>
      <w:r w:rsidR="0085233B" w:rsidRPr="004E06D1">
        <w:rPr>
          <w:rFonts w:ascii="Times New Roman" w:eastAsia="Times New Roman" w:hAnsi="Times New Roman" w:cs="Times New Roman"/>
          <w:b/>
          <w:sz w:val="24"/>
          <w:szCs w:val="24"/>
          <w:lang w:eastAsia="cs-CZ"/>
        </w:rPr>
        <w:t xml:space="preserve"> odstraňování bariér veřejných budov, komunikací a </w:t>
      </w:r>
      <w:r w:rsidR="00546ABC" w:rsidRPr="004E06D1">
        <w:rPr>
          <w:rFonts w:ascii="Times New Roman" w:eastAsia="Times New Roman" w:hAnsi="Times New Roman" w:cs="Times New Roman"/>
          <w:b/>
          <w:sz w:val="24"/>
          <w:szCs w:val="24"/>
          <w:lang w:eastAsia="cs-CZ"/>
        </w:rPr>
        <w:t>dopravy</w:t>
      </w:r>
      <w:r w:rsidR="00546ABC">
        <w:rPr>
          <w:rFonts w:ascii="Times New Roman" w:eastAsia="Times New Roman" w:hAnsi="Times New Roman" w:cs="Times New Roman"/>
          <w:sz w:val="24"/>
          <w:szCs w:val="24"/>
          <w:lang w:eastAsia="cs-CZ"/>
        </w:rPr>
        <w:t>.</w:t>
      </w:r>
      <w:r w:rsidR="0085233B" w:rsidRPr="0085233B">
        <w:rPr>
          <w:rFonts w:ascii="Times New Roman" w:eastAsia="Times New Roman" w:hAnsi="Times New Roman" w:cs="Times New Roman"/>
          <w:sz w:val="24"/>
          <w:szCs w:val="24"/>
          <w:lang w:eastAsia="cs-CZ"/>
        </w:rPr>
        <w:t xml:space="preserve"> </w:t>
      </w:r>
    </w:p>
    <w:p w:rsidR="00F12291" w:rsidRPr="000474DF" w:rsidRDefault="00F12291" w:rsidP="00F12291">
      <w:pPr>
        <w:pStyle w:val="Odstavecseseznamem"/>
        <w:rPr>
          <w:rFonts w:ascii="Times New Roman" w:hAnsi="Times New Roman" w:cs="Times New Roman"/>
          <w:b/>
          <w:sz w:val="24"/>
          <w:szCs w:val="24"/>
        </w:rPr>
      </w:pPr>
      <w:r w:rsidRPr="000474DF">
        <w:rPr>
          <w:rFonts w:ascii="Times New Roman" w:hAnsi="Times New Roman" w:cs="Times New Roman"/>
          <w:b/>
          <w:sz w:val="24"/>
          <w:szCs w:val="24"/>
        </w:rPr>
        <w:t>Přístupnost staveb, dopravy a komunikací</w:t>
      </w:r>
    </w:p>
    <w:p w:rsidR="00F12291" w:rsidRDefault="00F12291" w:rsidP="00F12291">
      <w:pPr>
        <w:pStyle w:val="Odstavecseseznamem"/>
        <w:rPr>
          <w:rFonts w:ascii="Times New Roman" w:hAnsi="Times New Roman" w:cs="Times New Roman"/>
          <w:sz w:val="24"/>
          <w:szCs w:val="24"/>
        </w:rPr>
      </w:pPr>
    </w:p>
    <w:p w:rsidR="00F12291" w:rsidRPr="000474DF" w:rsidRDefault="00F12291" w:rsidP="00B84B2A">
      <w:pPr>
        <w:pStyle w:val="Odstavecseseznamem"/>
        <w:ind w:firstLine="696"/>
        <w:jc w:val="both"/>
        <w:rPr>
          <w:rFonts w:ascii="Times New Roman" w:hAnsi="Times New Roman" w:cs="Times New Roman"/>
          <w:sz w:val="24"/>
          <w:szCs w:val="24"/>
        </w:rPr>
      </w:pPr>
      <w:r w:rsidRPr="000474DF">
        <w:rPr>
          <w:rFonts w:ascii="Times New Roman" w:hAnsi="Times New Roman" w:cs="Times New Roman"/>
          <w:sz w:val="24"/>
          <w:szCs w:val="24"/>
        </w:rPr>
        <w:t>Oblast přístupnosti staveb, dopravy a komunikací navazuje na článek 9 Úmluvy Přístupnost, který se obecně věnuje zajištění nezávislého a plného zapojení osob se zdravotním postižením do všech oblastí života společnosti, především za pomoci odstraňování překážek a bariér bránících přístupnosti budov, dopravy i</w:t>
      </w:r>
      <w:r w:rsidR="002B3255">
        <w:rPr>
          <w:rFonts w:ascii="Times New Roman" w:hAnsi="Times New Roman" w:cs="Times New Roman"/>
          <w:sz w:val="24"/>
          <w:szCs w:val="24"/>
        </w:rPr>
        <w:t> </w:t>
      </w:r>
      <w:r w:rsidRPr="000474DF">
        <w:rPr>
          <w:rFonts w:ascii="Times New Roman" w:hAnsi="Times New Roman" w:cs="Times New Roman"/>
          <w:sz w:val="24"/>
          <w:szCs w:val="24"/>
        </w:rPr>
        <w:t>informací a informačních technologií. Přístupu k informacím se věnuje samostatná kapitola Národního plánu.</w:t>
      </w:r>
    </w:p>
    <w:p w:rsidR="00F12291" w:rsidRPr="000474DF" w:rsidRDefault="00F12291" w:rsidP="002537BD">
      <w:pPr>
        <w:pStyle w:val="Odstavecseseznamem"/>
        <w:jc w:val="both"/>
        <w:rPr>
          <w:rFonts w:ascii="Times New Roman" w:hAnsi="Times New Roman" w:cs="Times New Roman"/>
          <w:sz w:val="24"/>
          <w:szCs w:val="24"/>
        </w:rPr>
      </w:pPr>
    </w:p>
    <w:p w:rsidR="00F12291" w:rsidRPr="000474DF" w:rsidRDefault="00F12291" w:rsidP="00B84B2A">
      <w:pPr>
        <w:pStyle w:val="Odstavecseseznamem"/>
        <w:ind w:firstLine="696"/>
        <w:jc w:val="both"/>
        <w:rPr>
          <w:rFonts w:ascii="Times New Roman" w:hAnsi="Times New Roman" w:cs="Times New Roman"/>
          <w:sz w:val="24"/>
          <w:szCs w:val="24"/>
        </w:rPr>
      </w:pPr>
      <w:r w:rsidRPr="000474DF">
        <w:rPr>
          <w:rFonts w:ascii="Times New Roman" w:hAnsi="Times New Roman" w:cs="Times New Roman"/>
          <w:sz w:val="24"/>
          <w:szCs w:val="24"/>
        </w:rPr>
        <w:t>Svoboda pohybu je deklarovaná i Listinou základních lidských práv a svobod. Bez možnosti volného pohybu jsou omezena i další práva člověka, což se týká hlavně přístupu do budov úřadů i jiných institucí, škol, kulturních zařízení a dalších veřejných budov. Stejně tak je třeba zajistit svobodný pohyb k výkonu zaměstnání či jiné výdělečné činnosti a vůbec k možnosti plného začlenění do společnosti. Jak bylo zmíněno výše, odstranění bariér ve stavbách a dopravě je důležité i pro další skupiny občanů, jako jsou těhotné ženy, rodiče s kočárkem, starší osoby se sníženou pohyblivostí nebo lidé s dočasným omezením pohyblivosti.</w:t>
      </w:r>
    </w:p>
    <w:p w:rsidR="00F12291" w:rsidRPr="000474DF" w:rsidRDefault="00F12291" w:rsidP="002537BD">
      <w:pPr>
        <w:pStyle w:val="Odstavecseseznamem"/>
        <w:jc w:val="both"/>
        <w:rPr>
          <w:rFonts w:ascii="Times New Roman" w:hAnsi="Times New Roman" w:cs="Times New Roman"/>
          <w:sz w:val="24"/>
          <w:szCs w:val="24"/>
        </w:rPr>
      </w:pPr>
    </w:p>
    <w:p w:rsidR="00F12291" w:rsidRPr="000474DF" w:rsidRDefault="00F12291" w:rsidP="00B84B2A">
      <w:pPr>
        <w:pStyle w:val="Odstavecseseznamem"/>
        <w:ind w:firstLine="696"/>
        <w:jc w:val="both"/>
        <w:rPr>
          <w:rFonts w:ascii="Times New Roman" w:hAnsi="Times New Roman" w:cs="Times New Roman"/>
          <w:sz w:val="24"/>
          <w:szCs w:val="24"/>
        </w:rPr>
      </w:pPr>
      <w:r w:rsidRPr="000474DF">
        <w:rPr>
          <w:rFonts w:ascii="Times New Roman" w:hAnsi="Times New Roman" w:cs="Times New Roman"/>
          <w:sz w:val="24"/>
          <w:szCs w:val="24"/>
        </w:rPr>
        <w:t>Svoboda pohybu se týká nejen stavebních úprav tak, aby volnému pohybu nebránily fyzické překážky, je třeba zajistit snadnou orientaci i v budovách, dopravě a</w:t>
      </w:r>
      <w:r w:rsidR="002B3255">
        <w:rPr>
          <w:rFonts w:ascii="Times New Roman" w:hAnsi="Times New Roman" w:cs="Times New Roman"/>
          <w:sz w:val="24"/>
          <w:szCs w:val="24"/>
        </w:rPr>
        <w:t> </w:t>
      </w:r>
      <w:r w:rsidRPr="000474DF">
        <w:rPr>
          <w:rFonts w:ascii="Times New Roman" w:hAnsi="Times New Roman" w:cs="Times New Roman"/>
          <w:sz w:val="24"/>
          <w:szCs w:val="24"/>
        </w:rPr>
        <w:t>na komunikacích a to jak pro osoby se smyslovým postižením, tak pro osoby s</w:t>
      </w:r>
      <w:r w:rsidR="002B3255">
        <w:rPr>
          <w:rFonts w:ascii="Times New Roman" w:hAnsi="Times New Roman" w:cs="Times New Roman"/>
          <w:sz w:val="24"/>
          <w:szCs w:val="24"/>
        </w:rPr>
        <w:t> </w:t>
      </w:r>
      <w:r w:rsidRPr="000474DF">
        <w:rPr>
          <w:rFonts w:ascii="Times New Roman" w:hAnsi="Times New Roman" w:cs="Times New Roman"/>
          <w:sz w:val="24"/>
          <w:szCs w:val="24"/>
        </w:rPr>
        <w:t xml:space="preserve">mentálním postižením. </w:t>
      </w:r>
    </w:p>
    <w:p w:rsidR="00F12291" w:rsidRPr="000474DF" w:rsidRDefault="00F12291" w:rsidP="002537BD">
      <w:pPr>
        <w:pStyle w:val="Odstavecseseznamem"/>
        <w:jc w:val="both"/>
        <w:rPr>
          <w:rFonts w:ascii="Times New Roman" w:hAnsi="Times New Roman" w:cs="Times New Roman"/>
          <w:sz w:val="24"/>
          <w:szCs w:val="24"/>
        </w:rPr>
      </w:pPr>
    </w:p>
    <w:p w:rsidR="00F12291" w:rsidRDefault="00F12291" w:rsidP="00B84B2A">
      <w:pPr>
        <w:pStyle w:val="Odstavecseseznamem"/>
        <w:ind w:firstLine="696"/>
        <w:jc w:val="both"/>
        <w:rPr>
          <w:rFonts w:ascii="Times New Roman" w:hAnsi="Times New Roman" w:cs="Times New Roman"/>
          <w:sz w:val="24"/>
          <w:szCs w:val="24"/>
        </w:rPr>
      </w:pPr>
      <w:r w:rsidRPr="000474DF">
        <w:rPr>
          <w:rFonts w:ascii="Times New Roman" w:hAnsi="Times New Roman" w:cs="Times New Roman"/>
          <w:sz w:val="24"/>
          <w:szCs w:val="24"/>
        </w:rPr>
        <w:t>Je třeba nadále systematicky pokračovat v odstraňování bariér u veřejných budov i dopravních staveb, které byly postaveny ještě před účinností stavebního zákona, který bezbariérovou výstavbu ukládá, nebo u nich oprávněné požadavky nebyly z různých důvodů dodrženy. Česká legislativa v oblasti požadavků na bezbariérovost veřejných budov je srovnatelná s evropskými standardy. Je však třeba důsledně dbát a dohlížet na dodržování a správnou aplikaci předpisů, u novostaveb nebo při rekonstrukcích budov, k čemuž vždy nedochází. Při odstraňování bariér je také třeba dbát na to, aby jednotlivá bezbariérová místa na sebe navazovala, nebyla navzájem izolovaná. Z tohoto důvodu je třeba, všude tam, kde je to vhodné, budovat bezbariérové trasy. K tomuto účelu již řadu let slouží Národní rozvojový Program mobility pro všechny</w:t>
      </w:r>
      <w:r w:rsidR="00C61D44">
        <w:rPr>
          <w:rFonts w:ascii="Times New Roman" w:hAnsi="Times New Roman" w:cs="Times New Roman"/>
          <w:sz w:val="24"/>
          <w:szCs w:val="24"/>
        </w:rPr>
        <w:t xml:space="preserve"> (viz dále)</w:t>
      </w:r>
      <w:r w:rsidRPr="000474DF">
        <w:rPr>
          <w:rFonts w:ascii="Times New Roman" w:hAnsi="Times New Roman" w:cs="Times New Roman"/>
          <w:sz w:val="24"/>
          <w:szCs w:val="24"/>
        </w:rPr>
        <w:t>.</w:t>
      </w:r>
    </w:p>
    <w:p w:rsidR="00C61D44" w:rsidRDefault="00C61D44" w:rsidP="00B84B2A">
      <w:pPr>
        <w:pStyle w:val="Odstavecseseznamem"/>
        <w:ind w:firstLine="696"/>
        <w:jc w:val="both"/>
        <w:rPr>
          <w:rFonts w:ascii="Times New Roman" w:hAnsi="Times New Roman" w:cs="Times New Roman"/>
          <w:sz w:val="24"/>
          <w:szCs w:val="24"/>
        </w:rPr>
      </w:pP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Pro snadnou orientaci v přístupnosti veřejných budov je třeba stanovit jasná kritéria, která určí, zda a jak je stavba přístupná. Při určování kritérií pro bezbariérovost stavby je třeba vzít v potaz celou řadu skutečností. Každý typ a míra postižení přinášejí rozdílné požadavky na bezbariérovost a je potřebné je posuzovat zvlášť. Je tedy vhodné, aby nastavená kritéria určující úroveň přístupnosti stavby zohledňovala potřeby jak osob se sníženou schopností pohybu, tak i osob se sníženou schopností orientace.</w:t>
      </w:r>
    </w:p>
    <w:p w:rsidR="00C61D44" w:rsidRPr="00C61D44" w:rsidRDefault="00C61D44" w:rsidP="00C61D44">
      <w:pPr>
        <w:pStyle w:val="Odstavecseseznamem"/>
        <w:ind w:firstLine="696"/>
        <w:jc w:val="both"/>
        <w:rPr>
          <w:rFonts w:ascii="Times New Roman" w:hAnsi="Times New Roman" w:cs="Times New Roman"/>
          <w:sz w:val="24"/>
          <w:szCs w:val="24"/>
        </w:rPr>
      </w:pP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 xml:space="preserve">Stejně tak je potřebné, aby i nadále pokračoval proces přijímání a rozšiřování přiměřených opatření a úprav tak, aby veřejná doprava byla osobám se zdravotním postižením stále více dostupná a přístupná. </w:t>
      </w:r>
    </w:p>
    <w:p w:rsidR="00C61D44" w:rsidRPr="00C61D44" w:rsidRDefault="00C61D44" w:rsidP="00C61D44">
      <w:pPr>
        <w:pStyle w:val="Odstavecseseznamem"/>
        <w:ind w:firstLine="696"/>
        <w:jc w:val="both"/>
        <w:rPr>
          <w:rFonts w:ascii="Times New Roman" w:hAnsi="Times New Roman" w:cs="Times New Roman"/>
          <w:sz w:val="24"/>
          <w:szCs w:val="24"/>
        </w:rPr>
      </w:pP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 xml:space="preserve">V této oblasti jsou Národním plánem stanoveny 2 cíle: </w:t>
      </w: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w:t>
      </w:r>
      <w:r w:rsidRPr="00C61D44">
        <w:rPr>
          <w:rFonts w:ascii="Times New Roman" w:hAnsi="Times New Roman" w:cs="Times New Roman"/>
          <w:sz w:val="24"/>
          <w:szCs w:val="24"/>
        </w:rPr>
        <w:tab/>
        <w:t>umožnit osobám se zdravotním postižením svobodný přístup do veřejných budov a pohyb na komunikacích;</w:t>
      </w: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w:t>
      </w:r>
      <w:r w:rsidRPr="00C61D44">
        <w:rPr>
          <w:rFonts w:ascii="Times New Roman" w:hAnsi="Times New Roman" w:cs="Times New Roman"/>
          <w:sz w:val="24"/>
          <w:szCs w:val="24"/>
        </w:rPr>
        <w:tab/>
        <w:t>umožnit osobám se zdravotním postižením plné využívání veřejné osobní dopravy.</w:t>
      </w:r>
    </w:p>
    <w:p w:rsidR="00C61D44" w:rsidRPr="00C61D44" w:rsidRDefault="00C61D44" w:rsidP="00C61D44">
      <w:pPr>
        <w:pStyle w:val="Odstavecseseznamem"/>
        <w:ind w:firstLine="696"/>
        <w:jc w:val="both"/>
        <w:rPr>
          <w:rFonts w:ascii="Times New Roman" w:hAnsi="Times New Roman" w:cs="Times New Roman"/>
          <w:sz w:val="24"/>
          <w:szCs w:val="24"/>
        </w:rPr>
      </w:pPr>
    </w:p>
    <w:p w:rsidR="00C61D44" w:rsidRPr="00C61D44" w:rsidRDefault="00C61D44" w:rsidP="00C61D44">
      <w:pPr>
        <w:pStyle w:val="Odstavecseseznamem"/>
        <w:ind w:firstLine="696"/>
        <w:jc w:val="both"/>
        <w:rPr>
          <w:rFonts w:ascii="Times New Roman" w:hAnsi="Times New Roman" w:cs="Times New Roman"/>
          <w:sz w:val="24"/>
          <w:szCs w:val="24"/>
        </w:rPr>
      </w:pP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 xml:space="preserve">Cíl: Umožnit osobám se zdravotním postižením svobodný přístup do veřejných budov a pohyb na komunikacích. </w:t>
      </w:r>
    </w:p>
    <w:p w:rsidR="00C61D44" w:rsidRPr="00C61D44" w:rsidRDefault="00C61D44" w:rsidP="00C61D44">
      <w:pPr>
        <w:pStyle w:val="Odstavecseseznamem"/>
        <w:ind w:firstLine="696"/>
        <w:jc w:val="both"/>
        <w:rPr>
          <w:rFonts w:ascii="Times New Roman" w:hAnsi="Times New Roman" w:cs="Times New Roman"/>
          <w:sz w:val="24"/>
          <w:szCs w:val="24"/>
        </w:rPr>
      </w:pP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 xml:space="preserve">3.2 </w:t>
      </w:r>
      <w:r w:rsidRPr="00C61D44">
        <w:rPr>
          <w:rFonts w:ascii="Times New Roman" w:hAnsi="Times New Roman" w:cs="Times New Roman"/>
          <w:sz w:val="24"/>
          <w:szCs w:val="24"/>
        </w:rPr>
        <w:tab/>
        <w:t>Vypracovat jednotnou metodiku pro mapování bezbariérovosti staveb.</w:t>
      </w: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ab/>
      </w:r>
      <w:r w:rsidRPr="00C61D44">
        <w:rPr>
          <w:rFonts w:ascii="Times New Roman" w:hAnsi="Times New Roman" w:cs="Times New Roman"/>
          <w:sz w:val="24"/>
          <w:szCs w:val="24"/>
        </w:rPr>
        <w:tab/>
      </w: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 xml:space="preserve">3.6 </w:t>
      </w:r>
      <w:r w:rsidRPr="00C61D44">
        <w:rPr>
          <w:rFonts w:ascii="Times New Roman" w:hAnsi="Times New Roman" w:cs="Times New Roman"/>
          <w:sz w:val="24"/>
          <w:szCs w:val="24"/>
        </w:rPr>
        <w:tab/>
        <w:t>Sledovat a vyhodnocovat účinnost český</w:t>
      </w:r>
      <w:r w:rsidR="0027700F">
        <w:rPr>
          <w:rFonts w:ascii="Times New Roman" w:hAnsi="Times New Roman" w:cs="Times New Roman"/>
          <w:sz w:val="24"/>
          <w:szCs w:val="24"/>
        </w:rPr>
        <w:t xml:space="preserve">ch technických norem a dalších </w:t>
      </w:r>
      <w:r w:rsidRPr="00C61D44">
        <w:rPr>
          <w:rFonts w:ascii="Times New Roman" w:hAnsi="Times New Roman" w:cs="Times New Roman"/>
          <w:sz w:val="24"/>
          <w:szCs w:val="24"/>
        </w:rPr>
        <w:t xml:space="preserve">technických předpisů v oblasti bezbariérového užívání staveb při jejich aplikaci </w:t>
      </w:r>
      <w:r w:rsidRPr="00C61D44">
        <w:rPr>
          <w:rFonts w:ascii="Times New Roman" w:hAnsi="Times New Roman" w:cs="Times New Roman"/>
          <w:sz w:val="24"/>
          <w:szCs w:val="24"/>
        </w:rPr>
        <w:tab/>
        <w:t xml:space="preserve">v praxi a dbát na jejich účelné doplňování a aktualizaci. </w:t>
      </w:r>
    </w:p>
    <w:p w:rsidR="00C61D44" w:rsidRPr="00C61D44" w:rsidRDefault="00C61D44" w:rsidP="00C61D44">
      <w:pPr>
        <w:pStyle w:val="Odstavecseseznamem"/>
        <w:ind w:firstLine="696"/>
        <w:jc w:val="both"/>
        <w:rPr>
          <w:rFonts w:ascii="Times New Roman" w:hAnsi="Times New Roman" w:cs="Times New Roman"/>
          <w:sz w:val="24"/>
          <w:szCs w:val="24"/>
        </w:rPr>
      </w:pP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Cíl: Umožnit osobám se zdravotním postižením plné využívání veřejné osobní dopravy.</w:t>
      </w:r>
    </w:p>
    <w:p w:rsidR="00C61D44" w:rsidRPr="00C61D44" w:rsidRDefault="00C61D44" w:rsidP="00C61D44">
      <w:pPr>
        <w:pStyle w:val="Odstavecseseznamem"/>
        <w:ind w:firstLine="696"/>
        <w:jc w:val="both"/>
        <w:rPr>
          <w:rFonts w:ascii="Times New Roman" w:hAnsi="Times New Roman" w:cs="Times New Roman"/>
          <w:sz w:val="24"/>
          <w:szCs w:val="24"/>
        </w:rPr>
      </w:pP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 xml:space="preserve">3.14 </w:t>
      </w:r>
      <w:r w:rsidRPr="00C61D44">
        <w:rPr>
          <w:rFonts w:ascii="Times New Roman" w:hAnsi="Times New Roman" w:cs="Times New Roman"/>
          <w:sz w:val="24"/>
          <w:szCs w:val="24"/>
        </w:rPr>
        <w:tab/>
        <w:t>Provádět metodickou činnost vůči stavebním úřadům (Drážní úřad, Úřad civilního letectví) v oblasti technických požadavků zabezpečujících bezbariérové užívání dopravních staveb ve smyslu technických předpisů spadajících do kompetence Ministerstva dopravy.</w:t>
      </w: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ab/>
      </w: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 xml:space="preserve">3.15 </w:t>
      </w:r>
      <w:r w:rsidRPr="00C61D44">
        <w:rPr>
          <w:rFonts w:ascii="Times New Roman" w:hAnsi="Times New Roman" w:cs="Times New Roman"/>
          <w:sz w:val="24"/>
          <w:szCs w:val="24"/>
        </w:rPr>
        <w:tab/>
        <w:t>Ve své působnosti zajišťovat konzultační a poradenskou činnost v oblasti bezbariérového užívání dopravních staveb a dopravních prostředků.</w:t>
      </w: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ab/>
      </w: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 xml:space="preserve">3.16 </w:t>
      </w:r>
      <w:r w:rsidRPr="00C61D44">
        <w:rPr>
          <w:rFonts w:ascii="Times New Roman" w:hAnsi="Times New Roman" w:cs="Times New Roman"/>
          <w:sz w:val="24"/>
          <w:szCs w:val="24"/>
        </w:rPr>
        <w:tab/>
        <w:t>Při přípravě podkladů pro mezinárodní jednání, při kterých se stanovují právně závazné technické požadavky na přepravu osob se zdravotním postižením dopravními prostředky veřejné doprav</w:t>
      </w:r>
      <w:r w:rsidR="008546D2">
        <w:rPr>
          <w:rFonts w:ascii="Times New Roman" w:hAnsi="Times New Roman" w:cs="Times New Roman"/>
          <w:sz w:val="24"/>
          <w:szCs w:val="24"/>
        </w:rPr>
        <w:t xml:space="preserve">y, spolupracovat a konzultovat </w:t>
      </w:r>
      <w:r w:rsidRPr="00C61D44">
        <w:rPr>
          <w:rFonts w:ascii="Times New Roman" w:hAnsi="Times New Roman" w:cs="Times New Roman"/>
          <w:sz w:val="24"/>
          <w:szCs w:val="24"/>
        </w:rPr>
        <w:t xml:space="preserve">specifické požadavky se zástupci hájícími zájmy osob se zdravotním </w:t>
      </w:r>
      <w:r w:rsidRPr="00C61D44">
        <w:rPr>
          <w:rFonts w:ascii="Times New Roman" w:hAnsi="Times New Roman" w:cs="Times New Roman"/>
          <w:sz w:val="24"/>
          <w:szCs w:val="24"/>
        </w:rPr>
        <w:tab/>
        <w:t>postižením.</w:t>
      </w: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ab/>
      </w: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 xml:space="preserve">3.17 </w:t>
      </w:r>
      <w:r w:rsidRPr="00C61D44">
        <w:rPr>
          <w:rFonts w:ascii="Times New Roman" w:hAnsi="Times New Roman" w:cs="Times New Roman"/>
          <w:sz w:val="24"/>
          <w:szCs w:val="24"/>
        </w:rPr>
        <w:tab/>
        <w:t>V souladu s Koncepcí veřejné dopravy a plány dopravní obslužnosti států a krajů postupně navyšovat počet nově pořizovaných železničních vozů určených pro osobní přepravu, v rámci Operačního programu doprava 2014–2020 vytvořit samostatnou prioritu pro financování železničního vozového parku umožňující přístup a užívání osobám s omezenou schopností pohybu nebo orientace.</w:t>
      </w:r>
    </w:p>
    <w:p w:rsidR="00C61D44" w:rsidRP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ab/>
      </w:r>
    </w:p>
    <w:p w:rsidR="00C61D44" w:rsidRDefault="00C61D44" w:rsidP="00C61D44">
      <w:pPr>
        <w:pStyle w:val="Odstavecseseznamem"/>
        <w:ind w:firstLine="696"/>
        <w:jc w:val="both"/>
        <w:rPr>
          <w:rFonts w:ascii="Times New Roman" w:hAnsi="Times New Roman" w:cs="Times New Roman"/>
          <w:sz w:val="24"/>
          <w:szCs w:val="24"/>
        </w:rPr>
      </w:pPr>
      <w:r w:rsidRPr="00C61D44">
        <w:rPr>
          <w:rFonts w:ascii="Times New Roman" w:hAnsi="Times New Roman" w:cs="Times New Roman"/>
          <w:sz w:val="24"/>
          <w:szCs w:val="24"/>
        </w:rPr>
        <w:t xml:space="preserve">3.18 </w:t>
      </w:r>
      <w:r w:rsidRPr="00C61D44">
        <w:rPr>
          <w:rFonts w:ascii="Times New Roman" w:hAnsi="Times New Roman" w:cs="Times New Roman"/>
          <w:sz w:val="24"/>
          <w:szCs w:val="24"/>
        </w:rPr>
        <w:tab/>
        <w:t>V souladu s Akčním plánem rozvoje inteligentních dopravních systémů (ITS) v ČR do roku 2020 (s výhledem do roku 2050) věnovat pozornost problematice kosmických technologií z hlediska jejich využitelnosti pro podporu samostatného a bezpečného pohybu osob s omezenou schopností pohybu nebo orientace. Podporovat vývojové aktivity v této oblasti. V případech, kdy je využití těchto technologií již možné, podporovat jejich nasazení do praxe.</w:t>
      </w:r>
    </w:p>
    <w:p w:rsidR="001D50D4" w:rsidRDefault="001D50D4" w:rsidP="00B84B2A">
      <w:pPr>
        <w:pStyle w:val="Odstavecseseznamem"/>
        <w:ind w:firstLine="696"/>
        <w:jc w:val="both"/>
        <w:rPr>
          <w:rFonts w:ascii="Times New Roman" w:hAnsi="Times New Roman" w:cs="Times New Roman"/>
          <w:sz w:val="24"/>
          <w:szCs w:val="24"/>
        </w:rPr>
      </w:pPr>
    </w:p>
    <w:p w:rsidR="001D50D4" w:rsidRPr="001D50D4" w:rsidRDefault="001B7351" w:rsidP="00AA49FE">
      <w:pPr>
        <w:pStyle w:val="Odstavecseseznamem"/>
        <w:numPr>
          <w:ilvl w:val="1"/>
          <w:numId w:val="17"/>
        </w:numPr>
        <w:jc w:val="both"/>
        <w:rPr>
          <w:rFonts w:ascii="Times New Roman" w:hAnsi="Times New Roman" w:cs="Times New Roman"/>
          <w:b/>
          <w:sz w:val="24"/>
          <w:szCs w:val="24"/>
        </w:rPr>
      </w:pPr>
      <w:r>
        <w:rPr>
          <w:rFonts w:ascii="Times New Roman" w:hAnsi="Times New Roman" w:cs="Times New Roman"/>
          <w:b/>
          <w:sz w:val="24"/>
          <w:szCs w:val="24"/>
        </w:rPr>
        <w:t>Národní rozvojový p</w:t>
      </w:r>
      <w:r w:rsidR="001D50D4" w:rsidRPr="001D50D4">
        <w:rPr>
          <w:rFonts w:ascii="Times New Roman" w:hAnsi="Times New Roman" w:cs="Times New Roman"/>
          <w:b/>
          <w:sz w:val="24"/>
          <w:szCs w:val="24"/>
        </w:rPr>
        <w:t xml:space="preserve">rogram mobility </w:t>
      </w:r>
      <w:r w:rsidR="003F3F48">
        <w:rPr>
          <w:rFonts w:ascii="Times New Roman" w:hAnsi="Times New Roman" w:cs="Times New Roman"/>
          <w:b/>
          <w:sz w:val="24"/>
          <w:szCs w:val="24"/>
        </w:rPr>
        <w:t>pro všechny</w:t>
      </w:r>
    </w:p>
    <w:p w:rsidR="00CB57EA" w:rsidRDefault="00CB57EA" w:rsidP="00B84B2A">
      <w:pPr>
        <w:pStyle w:val="Odstavecseseznamem"/>
        <w:ind w:firstLine="696"/>
        <w:jc w:val="both"/>
        <w:rPr>
          <w:rFonts w:ascii="Times New Roman" w:hAnsi="Times New Roman" w:cs="Times New Roman"/>
          <w:sz w:val="24"/>
          <w:szCs w:val="24"/>
        </w:rPr>
      </w:pPr>
    </w:p>
    <w:p w:rsidR="00CB57EA" w:rsidRDefault="00CB57EA" w:rsidP="00CB57EA">
      <w:pPr>
        <w:pStyle w:val="Odstavecseseznamem"/>
        <w:ind w:firstLine="696"/>
        <w:jc w:val="both"/>
        <w:rPr>
          <w:rFonts w:ascii="Times New Roman" w:hAnsi="Times New Roman" w:cs="Times New Roman"/>
          <w:sz w:val="24"/>
          <w:szCs w:val="24"/>
        </w:rPr>
      </w:pPr>
      <w:r w:rsidRPr="001D50D4">
        <w:rPr>
          <w:rFonts w:ascii="Times New Roman" w:hAnsi="Times New Roman" w:cs="Times New Roman"/>
          <w:sz w:val="24"/>
          <w:szCs w:val="24"/>
        </w:rPr>
        <w:t>Hlavním cílem Programu mobility je zajistit svobodný pohyb ve městech a obcích pro všechny skupiny obyvatelstva.</w:t>
      </w:r>
      <w:r w:rsidR="003F3F48">
        <w:rPr>
          <w:rFonts w:ascii="Times New Roman" w:hAnsi="Times New Roman" w:cs="Times New Roman"/>
          <w:sz w:val="24"/>
          <w:szCs w:val="24"/>
        </w:rPr>
        <w:t xml:space="preserve"> </w:t>
      </w:r>
      <w:r w:rsidR="003F3F48" w:rsidRPr="003F3F48">
        <w:rPr>
          <w:rFonts w:ascii="Times New Roman" w:hAnsi="Times New Roman" w:cs="Times New Roman"/>
          <w:sz w:val="24"/>
          <w:szCs w:val="24"/>
        </w:rPr>
        <w:t>Financování programu mobility je zajištěno Vládním plánem financování NRPM na období 2016–2025, který byl přijat usnesením vlády ze dne 14. července 2014 č. 568, tímto usnesením byl novelizován také samotný NRPM (znění usnesení a další dokumenty viz Aktualizované dokumenty). Vládní plán financování navazuje na předešlý plán, který zajišťoval finanční podporu programu v období 2005–2015.</w:t>
      </w:r>
    </w:p>
    <w:p w:rsidR="003F3F48" w:rsidRPr="001D50D4" w:rsidRDefault="003F3F48" w:rsidP="00CB57EA">
      <w:pPr>
        <w:pStyle w:val="Odstavecseseznamem"/>
        <w:ind w:firstLine="696"/>
        <w:jc w:val="both"/>
        <w:rPr>
          <w:rFonts w:ascii="Times New Roman" w:hAnsi="Times New Roman" w:cs="Times New Roman"/>
          <w:sz w:val="24"/>
          <w:szCs w:val="24"/>
        </w:rPr>
      </w:pPr>
    </w:p>
    <w:p w:rsidR="00CB57EA" w:rsidRPr="001D50D4" w:rsidRDefault="00CB57EA" w:rsidP="00CB57EA">
      <w:pPr>
        <w:pStyle w:val="Odstavecseseznamem"/>
        <w:jc w:val="both"/>
        <w:rPr>
          <w:rFonts w:ascii="Times New Roman" w:hAnsi="Times New Roman" w:cs="Times New Roman"/>
          <w:sz w:val="24"/>
          <w:szCs w:val="24"/>
        </w:rPr>
      </w:pPr>
      <w:r w:rsidRPr="001D50D4">
        <w:rPr>
          <w:rFonts w:ascii="Times New Roman" w:hAnsi="Times New Roman" w:cs="Times New Roman"/>
          <w:sz w:val="24"/>
          <w:szCs w:val="24"/>
        </w:rPr>
        <w:t>Hlavního cíle Programu mobility je dosahováno prostřednictvím strategických cílů, kterými jsou:</w:t>
      </w:r>
    </w:p>
    <w:p w:rsidR="00CB57EA" w:rsidRPr="001D50D4" w:rsidRDefault="00CB57EA" w:rsidP="00CB57EA">
      <w:pPr>
        <w:pStyle w:val="Odstavecseseznamem"/>
        <w:jc w:val="both"/>
        <w:rPr>
          <w:rFonts w:ascii="Times New Roman" w:hAnsi="Times New Roman" w:cs="Times New Roman"/>
          <w:sz w:val="24"/>
          <w:szCs w:val="24"/>
        </w:rPr>
      </w:pPr>
      <w:r w:rsidRPr="001D50D4">
        <w:rPr>
          <w:rFonts w:ascii="Times New Roman" w:hAnsi="Times New Roman" w:cs="Times New Roman"/>
          <w:sz w:val="24"/>
          <w:szCs w:val="24"/>
        </w:rPr>
        <w:t>- bezbariérová dostupnost služeb veřejné správy, zdravotních a sociálních služeb, pracovních a vzdělávacích příležitostí a možností kulturního vyžití,</w:t>
      </w:r>
    </w:p>
    <w:p w:rsidR="00CB57EA" w:rsidRPr="001D50D4" w:rsidRDefault="00CB57EA" w:rsidP="00CB57EA">
      <w:pPr>
        <w:ind w:firstLine="708"/>
        <w:jc w:val="both"/>
        <w:rPr>
          <w:rFonts w:ascii="Times New Roman" w:hAnsi="Times New Roman" w:cs="Times New Roman"/>
          <w:sz w:val="24"/>
          <w:szCs w:val="24"/>
        </w:rPr>
      </w:pPr>
      <w:r w:rsidRPr="001D50D4">
        <w:rPr>
          <w:rFonts w:ascii="Times New Roman" w:hAnsi="Times New Roman" w:cs="Times New Roman"/>
          <w:sz w:val="24"/>
          <w:szCs w:val="24"/>
        </w:rPr>
        <w:t>- zlepšení přístupu všech obyvatel k veřejné dopravě,</w:t>
      </w:r>
    </w:p>
    <w:p w:rsidR="00CB57EA" w:rsidRPr="001D50D4" w:rsidRDefault="00CB57EA" w:rsidP="00CB57EA">
      <w:pPr>
        <w:ind w:firstLine="708"/>
        <w:jc w:val="both"/>
        <w:rPr>
          <w:rFonts w:ascii="Times New Roman" w:hAnsi="Times New Roman" w:cs="Times New Roman"/>
          <w:sz w:val="24"/>
          <w:szCs w:val="24"/>
        </w:rPr>
      </w:pPr>
      <w:r w:rsidRPr="001D50D4">
        <w:rPr>
          <w:rFonts w:ascii="Times New Roman" w:hAnsi="Times New Roman" w:cs="Times New Roman"/>
          <w:sz w:val="24"/>
          <w:szCs w:val="24"/>
        </w:rPr>
        <w:t>- zvýšení kvality a bezbariérovosti komunikací pro chodce ve městech a obcích.</w:t>
      </w:r>
    </w:p>
    <w:p w:rsidR="001D50D4" w:rsidRPr="001D50D4" w:rsidRDefault="001D50D4" w:rsidP="001D50D4">
      <w:pPr>
        <w:ind w:left="708"/>
        <w:jc w:val="both"/>
        <w:rPr>
          <w:rFonts w:ascii="Times New Roman" w:hAnsi="Times New Roman" w:cs="Times New Roman"/>
          <w:sz w:val="24"/>
          <w:szCs w:val="24"/>
        </w:rPr>
      </w:pPr>
      <w:r w:rsidRPr="001D50D4">
        <w:rPr>
          <w:rFonts w:ascii="Times New Roman" w:hAnsi="Times New Roman" w:cs="Times New Roman"/>
          <w:sz w:val="24"/>
          <w:szCs w:val="24"/>
        </w:rPr>
        <w:t xml:space="preserve">V oboru dopravy </w:t>
      </w:r>
      <w:r w:rsidR="00104CAA" w:rsidRPr="001D50D4">
        <w:rPr>
          <w:rFonts w:ascii="Times New Roman" w:hAnsi="Times New Roman" w:cs="Times New Roman"/>
          <w:sz w:val="24"/>
          <w:szCs w:val="24"/>
        </w:rPr>
        <w:t xml:space="preserve">zahrnuje dva okruhy intervencí: </w:t>
      </w:r>
    </w:p>
    <w:p w:rsidR="00104CAA" w:rsidRPr="001D50D4" w:rsidRDefault="00104CAA" w:rsidP="001D50D4">
      <w:pPr>
        <w:ind w:left="708"/>
        <w:jc w:val="both"/>
        <w:rPr>
          <w:rFonts w:ascii="Times New Roman" w:hAnsi="Times New Roman" w:cs="Times New Roman"/>
          <w:sz w:val="24"/>
          <w:szCs w:val="24"/>
        </w:rPr>
      </w:pPr>
      <w:r w:rsidRPr="001D50D4">
        <w:rPr>
          <w:rFonts w:ascii="Times New Roman" w:hAnsi="Times New Roman" w:cs="Times New Roman"/>
          <w:sz w:val="24"/>
          <w:szCs w:val="24"/>
        </w:rPr>
        <w:t>- zpřístupňování budov zajišťujících dopravní služby</w:t>
      </w:r>
      <w:r w:rsidR="001D50D4">
        <w:rPr>
          <w:rFonts w:ascii="Times New Roman" w:hAnsi="Times New Roman" w:cs="Times New Roman"/>
          <w:sz w:val="24"/>
          <w:szCs w:val="24"/>
        </w:rPr>
        <w:t xml:space="preserve"> (opatření 3.2.1)</w:t>
      </w:r>
      <w:r w:rsidRPr="001D50D4">
        <w:rPr>
          <w:rFonts w:ascii="Times New Roman" w:hAnsi="Times New Roman" w:cs="Times New Roman"/>
          <w:sz w:val="24"/>
          <w:szCs w:val="24"/>
        </w:rPr>
        <w:t>,</w:t>
      </w:r>
    </w:p>
    <w:p w:rsidR="00104CAA" w:rsidRPr="001D50D4" w:rsidRDefault="00104CAA" w:rsidP="00104CAA">
      <w:pPr>
        <w:ind w:firstLine="708"/>
        <w:jc w:val="both"/>
        <w:rPr>
          <w:rFonts w:ascii="Times New Roman" w:hAnsi="Times New Roman" w:cs="Times New Roman"/>
          <w:sz w:val="24"/>
          <w:szCs w:val="24"/>
        </w:rPr>
      </w:pPr>
      <w:r w:rsidRPr="001D50D4">
        <w:rPr>
          <w:rFonts w:ascii="Times New Roman" w:hAnsi="Times New Roman" w:cs="Times New Roman"/>
          <w:sz w:val="24"/>
          <w:szCs w:val="24"/>
        </w:rPr>
        <w:t>- zpřístupňování komunikací pro chodce a veřejné dopravy</w:t>
      </w:r>
      <w:r w:rsidR="001D50D4">
        <w:rPr>
          <w:rFonts w:ascii="Times New Roman" w:hAnsi="Times New Roman" w:cs="Times New Roman"/>
          <w:sz w:val="24"/>
          <w:szCs w:val="24"/>
        </w:rPr>
        <w:t xml:space="preserve"> (opatření 3.2.2)</w:t>
      </w:r>
      <w:r w:rsidRPr="001D50D4">
        <w:rPr>
          <w:rFonts w:ascii="Times New Roman" w:hAnsi="Times New Roman" w:cs="Times New Roman"/>
          <w:sz w:val="24"/>
          <w:szCs w:val="24"/>
        </w:rPr>
        <w:t>.</w:t>
      </w:r>
    </w:p>
    <w:p w:rsidR="00104CAA" w:rsidRPr="001D50D4" w:rsidRDefault="00104CAA" w:rsidP="00104CAA">
      <w:pPr>
        <w:ind w:firstLine="708"/>
        <w:jc w:val="both"/>
        <w:rPr>
          <w:rFonts w:ascii="Times New Roman" w:hAnsi="Times New Roman" w:cs="Times New Roman"/>
          <w:b/>
          <w:sz w:val="24"/>
          <w:szCs w:val="24"/>
        </w:rPr>
      </w:pPr>
      <w:r w:rsidRPr="001D50D4">
        <w:rPr>
          <w:rFonts w:ascii="Times New Roman" w:hAnsi="Times New Roman" w:cs="Times New Roman"/>
          <w:b/>
          <w:sz w:val="24"/>
          <w:szCs w:val="24"/>
        </w:rPr>
        <w:t>Zpřístupňování budov zajišťujících dopravní služby</w:t>
      </w:r>
    </w:p>
    <w:p w:rsidR="00104CAA" w:rsidRPr="001D50D4" w:rsidRDefault="00104CAA" w:rsidP="003F3F48">
      <w:pPr>
        <w:ind w:left="708" w:firstLine="708"/>
        <w:jc w:val="both"/>
        <w:rPr>
          <w:rFonts w:ascii="Times New Roman" w:hAnsi="Times New Roman" w:cs="Times New Roman"/>
          <w:sz w:val="24"/>
          <w:szCs w:val="24"/>
        </w:rPr>
      </w:pPr>
      <w:r w:rsidRPr="001D50D4">
        <w:rPr>
          <w:rFonts w:ascii="Times New Roman" w:hAnsi="Times New Roman" w:cs="Times New Roman"/>
          <w:sz w:val="24"/>
          <w:szCs w:val="24"/>
        </w:rPr>
        <w:t>Kategorie budov zajišťujících dopravní služby zahrnuje budovy železničních stanic a autobusových nádraží určených pro veřejnost, v nichž jsou poskytovány služby související s přepravou.</w:t>
      </w:r>
    </w:p>
    <w:p w:rsidR="00104CAA" w:rsidRPr="001D50D4" w:rsidRDefault="00104CAA" w:rsidP="003F3F48">
      <w:pPr>
        <w:ind w:left="708" w:firstLine="708"/>
        <w:jc w:val="both"/>
        <w:rPr>
          <w:rFonts w:ascii="Times New Roman" w:hAnsi="Times New Roman" w:cs="Times New Roman"/>
          <w:sz w:val="24"/>
          <w:szCs w:val="24"/>
        </w:rPr>
      </w:pPr>
      <w:r w:rsidRPr="001D50D4">
        <w:rPr>
          <w:rFonts w:ascii="Times New Roman" w:hAnsi="Times New Roman" w:cs="Times New Roman"/>
          <w:sz w:val="24"/>
          <w:szCs w:val="24"/>
        </w:rPr>
        <w:t>Cílem je zajištění bezbariérové přístupnosti a možnosti bezbariérového užívání těchto budov, včetně nástupišť. Nezbytnou podmínkou je napojení takovýchto budov na bezbariérové trasy města/obce.</w:t>
      </w:r>
    </w:p>
    <w:p w:rsidR="00104CAA" w:rsidRPr="001D50D4" w:rsidRDefault="00104CAA" w:rsidP="003F3F48">
      <w:pPr>
        <w:ind w:left="708" w:firstLine="708"/>
        <w:jc w:val="both"/>
        <w:rPr>
          <w:rFonts w:ascii="Times New Roman" w:hAnsi="Times New Roman" w:cs="Times New Roman"/>
          <w:sz w:val="24"/>
          <w:szCs w:val="24"/>
        </w:rPr>
      </w:pPr>
      <w:r w:rsidRPr="001D50D4">
        <w:rPr>
          <w:rFonts w:ascii="Times New Roman" w:hAnsi="Times New Roman" w:cs="Times New Roman"/>
          <w:sz w:val="24"/>
          <w:szCs w:val="24"/>
        </w:rPr>
        <w:t>Financování</w:t>
      </w:r>
      <w:r w:rsidR="001B7351">
        <w:rPr>
          <w:rFonts w:ascii="Times New Roman" w:hAnsi="Times New Roman" w:cs="Times New Roman"/>
          <w:sz w:val="24"/>
          <w:szCs w:val="24"/>
        </w:rPr>
        <w:t xml:space="preserve"> těchto opatření </w:t>
      </w:r>
      <w:r w:rsidRPr="001D50D4">
        <w:rPr>
          <w:rFonts w:ascii="Times New Roman" w:hAnsi="Times New Roman" w:cs="Times New Roman"/>
          <w:sz w:val="24"/>
          <w:szCs w:val="24"/>
        </w:rPr>
        <w:t>je podílové a příslušnými zdroji jsou rozpočet vlastníka infrastruktury (provozovatele), SFDI (v souladu se zákonem č. 104/2000 Sb., o Státním fondu dopravní infrastruktury, a o změně zákona č. 171/1991 Sb., o působnosti orgánů České republiky ve věcech převodů majetku státu na jiné osoby, a o Fondu národního majetku České republiky, ve znění pozdějších předpisů, a dle schvalovaných „Pravidel“) nebo MD (dle pravidel vydávaných pro příslušné rozpočtové období) a další (rozpočet kraje, obcí a měst).</w:t>
      </w:r>
    </w:p>
    <w:p w:rsidR="00104CAA" w:rsidRPr="001D50D4" w:rsidRDefault="00104CAA" w:rsidP="003F3F48">
      <w:pPr>
        <w:ind w:left="708" w:firstLine="708"/>
        <w:jc w:val="both"/>
        <w:rPr>
          <w:rFonts w:ascii="Times New Roman" w:hAnsi="Times New Roman" w:cs="Times New Roman"/>
          <w:sz w:val="24"/>
          <w:szCs w:val="24"/>
        </w:rPr>
      </w:pPr>
      <w:r w:rsidRPr="001D50D4">
        <w:rPr>
          <w:rFonts w:ascii="Times New Roman" w:hAnsi="Times New Roman" w:cs="Times New Roman"/>
          <w:sz w:val="24"/>
          <w:szCs w:val="24"/>
        </w:rPr>
        <w:t>Příjemci finanční podpory</w:t>
      </w:r>
      <w:r w:rsidR="001D50D4">
        <w:rPr>
          <w:rFonts w:ascii="Times New Roman" w:hAnsi="Times New Roman" w:cs="Times New Roman"/>
          <w:sz w:val="24"/>
          <w:szCs w:val="24"/>
        </w:rPr>
        <w:t xml:space="preserve"> jsou v</w:t>
      </w:r>
      <w:r w:rsidRPr="001D50D4">
        <w:rPr>
          <w:rFonts w:ascii="Times New Roman" w:hAnsi="Times New Roman" w:cs="Times New Roman"/>
          <w:sz w:val="24"/>
          <w:szCs w:val="24"/>
        </w:rPr>
        <w:t>lastníci (provozovatelé) budov železničních stanic a autobusových nádraží určených pro veřejnost, v nichž jsou poskytovány služby související s přepravou.</w:t>
      </w:r>
    </w:p>
    <w:p w:rsidR="00104CAA" w:rsidRPr="001D50D4" w:rsidRDefault="00104CAA" w:rsidP="00104CAA">
      <w:pPr>
        <w:ind w:firstLine="708"/>
        <w:jc w:val="both"/>
        <w:rPr>
          <w:rFonts w:ascii="Times New Roman" w:hAnsi="Times New Roman" w:cs="Times New Roman"/>
          <w:b/>
          <w:sz w:val="24"/>
          <w:szCs w:val="24"/>
        </w:rPr>
      </w:pPr>
      <w:r w:rsidRPr="001D50D4">
        <w:rPr>
          <w:rFonts w:ascii="Times New Roman" w:hAnsi="Times New Roman" w:cs="Times New Roman"/>
          <w:b/>
          <w:sz w:val="24"/>
          <w:szCs w:val="24"/>
        </w:rPr>
        <w:t>Zpřístupňování komunikací pro chodce a veřejné dopravy</w:t>
      </w:r>
    </w:p>
    <w:p w:rsidR="00104CAA" w:rsidRPr="003F3F48" w:rsidRDefault="003F3F48" w:rsidP="003F3F48">
      <w:pPr>
        <w:ind w:left="708" w:firstLine="708"/>
        <w:jc w:val="both"/>
        <w:rPr>
          <w:rFonts w:ascii="Times New Roman" w:hAnsi="Times New Roman" w:cs="Times New Roman"/>
          <w:sz w:val="24"/>
          <w:szCs w:val="24"/>
        </w:rPr>
      </w:pPr>
      <w:r>
        <w:rPr>
          <w:rFonts w:ascii="Times New Roman" w:hAnsi="Times New Roman" w:cs="Times New Roman"/>
          <w:sz w:val="24"/>
          <w:szCs w:val="24"/>
        </w:rPr>
        <w:t>Opatření je zaměřeno na b</w:t>
      </w:r>
      <w:r w:rsidR="00104CAA" w:rsidRPr="003F3F48">
        <w:rPr>
          <w:rFonts w:ascii="Times New Roman" w:hAnsi="Times New Roman" w:cs="Times New Roman"/>
          <w:sz w:val="24"/>
          <w:szCs w:val="24"/>
        </w:rPr>
        <w:t xml:space="preserve">udování bezbariérových tras včetně odpovídajících dopravních prostředků. V rámci záměrů bezbariérových tras je </w:t>
      </w:r>
      <w:r>
        <w:rPr>
          <w:rFonts w:ascii="Times New Roman" w:hAnsi="Times New Roman" w:cs="Times New Roman"/>
          <w:sz w:val="24"/>
          <w:szCs w:val="24"/>
        </w:rPr>
        <w:t>kladen</w:t>
      </w:r>
      <w:r w:rsidR="00104CAA" w:rsidRPr="003F3F48">
        <w:rPr>
          <w:rFonts w:ascii="Times New Roman" w:hAnsi="Times New Roman" w:cs="Times New Roman"/>
          <w:sz w:val="24"/>
          <w:szCs w:val="24"/>
        </w:rPr>
        <w:t xml:space="preserve"> důraz na propojení jednotlivých objektů bezbariérovou dopravou.</w:t>
      </w:r>
    </w:p>
    <w:p w:rsidR="00104CAA" w:rsidRPr="003F3F48" w:rsidRDefault="00104CAA" w:rsidP="00104CAA">
      <w:pPr>
        <w:ind w:firstLine="708"/>
        <w:jc w:val="both"/>
        <w:rPr>
          <w:rFonts w:ascii="Times New Roman" w:hAnsi="Times New Roman" w:cs="Times New Roman"/>
          <w:sz w:val="24"/>
          <w:szCs w:val="24"/>
        </w:rPr>
      </w:pPr>
      <w:r w:rsidRPr="003F3F48">
        <w:rPr>
          <w:rFonts w:ascii="Times New Roman" w:hAnsi="Times New Roman" w:cs="Times New Roman"/>
          <w:sz w:val="24"/>
          <w:szCs w:val="24"/>
        </w:rPr>
        <w:t>Podpora je určena k:</w:t>
      </w:r>
    </w:p>
    <w:p w:rsidR="00104CAA" w:rsidRPr="003F3F48" w:rsidRDefault="00104CAA" w:rsidP="00104CAA">
      <w:pPr>
        <w:ind w:firstLine="708"/>
        <w:jc w:val="both"/>
        <w:rPr>
          <w:rFonts w:ascii="Times New Roman" w:hAnsi="Times New Roman" w:cs="Times New Roman"/>
          <w:sz w:val="24"/>
          <w:szCs w:val="24"/>
        </w:rPr>
      </w:pPr>
      <w:r w:rsidRPr="003F3F48">
        <w:rPr>
          <w:rFonts w:ascii="Times New Roman" w:hAnsi="Times New Roman" w:cs="Times New Roman"/>
          <w:sz w:val="24"/>
          <w:szCs w:val="24"/>
        </w:rPr>
        <w:t>- zpřístupňování pěších tras a jejich napojení na dopravní systémy,</w:t>
      </w:r>
    </w:p>
    <w:p w:rsidR="00104CAA" w:rsidRPr="003F3F48" w:rsidRDefault="00104CAA" w:rsidP="003F3F48">
      <w:pPr>
        <w:ind w:left="708"/>
        <w:jc w:val="both"/>
        <w:rPr>
          <w:rFonts w:ascii="Times New Roman" w:hAnsi="Times New Roman" w:cs="Times New Roman"/>
          <w:sz w:val="24"/>
          <w:szCs w:val="24"/>
        </w:rPr>
      </w:pPr>
      <w:r w:rsidRPr="003F3F48">
        <w:rPr>
          <w:rFonts w:ascii="Times New Roman" w:hAnsi="Times New Roman" w:cs="Times New Roman"/>
          <w:sz w:val="24"/>
          <w:szCs w:val="24"/>
        </w:rPr>
        <w:t>- odstraňování bariér stavebního charakteru ve vnitrostátní veřejné linkové osobní dopravě – zejména odstraňování bariér na zastávkách a nástupištích,</w:t>
      </w:r>
    </w:p>
    <w:p w:rsidR="00104CAA" w:rsidRPr="003F3F48" w:rsidRDefault="00104CAA" w:rsidP="003F3F48">
      <w:pPr>
        <w:ind w:left="708"/>
        <w:jc w:val="both"/>
        <w:rPr>
          <w:rFonts w:ascii="Times New Roman" w:hAnsi="Times New Roman" w:cs="Times New Roman"/>
          <w:sz w:val="24"/>
          <w:szCs w:val="24"/>
        </w:rPr>
      </w:pPr>
      <w:r w:rsidRPr="003F3F48">
        <w:rPr>
          <w:rFonts w:ascii="Times New Roman" w:hAnsi="Times New Roman" w:cs="Times New Roman"/>
          <w:sz w:val="24"/>
          <w:szCs w:val="24"/>
        </w:rPr>
        <w:t>- vybavení dopravních prostředků vnitrostátní veřejné linkové osobní dopravy informačními a signalizačními zařízeními pro cestující se sníženou schopností pohybu a orientace,</w:t>
      </w:r>
    </w:p>
    <w:p w:rsidR="00104CAA" w:rsidRPr="003F3F48" w:rsidRDefault="00104CAA" w:rsidP="003F3F48">
      <w:pPr>
        <w:ind w:left="708"/>
        <w:jc w:val="both"/>
        <w:rPr>
          <w:rFonts w:ascii="Times New Roman" w:hAnsi="Times New Roman" w:cs="Times New Roman"/>
          <w:sz w:val="24"/>
          <w:szCs w:val="24"/>
        </w:rPr>
      </w:pPr>
      <w:r w:rsidRPr="003F3F48">
        <w:rPr>
          <w:rFonts w:ascii="Times New Roman" w:hAnsi="Times New Roman" w:cs="Times New Roman"/>
          <w:sz w:val="24"/>
          <w:szCs w:val="24"/>
        </w:rPr>
        <w:t>- systémová opatření ve veřejné dopravě, zejména instalace veřejných informačních a odbavovacích systémů přístupných pro cestující se sníženou schopností pohybu a orientace.</w:t>
      </w:r>
    </w:p>
    <w:p w:rsidR="00104CAA" w:rsidRDefault="00104CAA" w:rsidP="00DA53E3">
      <w:pPr>
        <w:ind w:left="708" w:firstLine="708"/>
        <w:jc w:val="both"/>
        <w:rPr>
          <w:rFonts w:ascii="Times New Roman" w:hAnsi="Times New Roman" w:cs="Times New Roman"/>
          <w:sz w:val="24"/>
          <w:szCs w:val="24"/>
        </w:rPr>
      </w:pPr>
      <w:r w:rsidRPr="003F3F48">
        <w:rPr>
          <w:rFonts w:ascii="Times New Roman" w:hAnsi="Times New Roman" w:cs="Times New Roman"/>
          <w:sz w:val="24"/>
          <w:szCs w:val="24"/>
        </w:rPr>
        <w:t>Zpracovaný koncept sítě bezbariérové dopravy, včetně informačních a signalizačních zařízení pro cestující se sníženou schopností pohybu a orientace, je důležitým měřítkem při posuzování záměrů.</w:t>
      </w:r>
    </w:p>
    <w:p w:rsidR="001B7351" w:rsidRPr="001B7351" w:rsidRDefault="001B7351" w:rsidP="001B7351">
      <w:pPr>
        <w:ind w:left="708" w:firstLine="708"/>
        <w:jc w:val="both"/>
        <w:rPr>
          <w:rFonts w:ascii="Times New Roman" w:hAnsi="Times New Roman" w:cs="Times New Roman"/>
          <w:sz w:val="24"/>
          <w:szCs w:val="24"/>
        </w:rPr>
      </w:pPr>
      <w:r w:rsidRPr="001B7351">
        <w:rPr>
          <w:rFonts w:ascii="Times New Roman" w:hAnsi="Times New Roman" w:cs="Times New Roman"/>
          <w:sz w:val="24"/>
          <w:szCs w:val="24"/>
        </w:rPr>
        <w:t>Financování úprav je podílové a příslušnými zdroji jsou vlastní finanční zdroje dopravce, resp. vlastníka infrastruktury (zřizovatele, provozovatele), SFDI (v souladu se zákonem č. 104/2000 Sb., a dle schvalovaných „Pravidel“), MD (dle pravidel vydávaných pro příslušné rozpočtové období) a další (rozpočet kraje, obcí a měst).</w:t>
      </w:r>
    </w:p>
    <w:p w:rsidR="001B7351" w:rsidRPr="001B7351" w:rsidRDefault="001B7351" w:rsidP="001B7351">
      <w:pPr>
        <w:ind w:left="708" w:firstLine="708"/>
        <w:jc w:val="both"/>
        <w:rPr>
          <w:rFonts w:ascii="Times New Roman" w:hAnsi="Times New Roman" w:cs="Times New Roman"/>
          <w:sz w:val="24"/>
          <w:szCs w:val="24"/>
        </w:rPr>
      </w:pPr>
      <w:r w:rsidRPr="001B7351">
        <w:rPr>
          <w:rFonts w:ascii="Times New Roman" w:hAnsi="Times New Roman" w:cs="Times New Roman"/>
          <w:sz w:val="24"/>
          <w:szCs w:val="24"/>
        </w:rPr>
        <w:t>V případě povinné výše podílové spoluúčasti žadatele je tato výše stanovena příslušnými rezorty v dokumentaci programu, v rámci kterého jsou příspěvky nebo dotace ze státního rozpočtu poskytovány.</w:t>
      </w:r>
    </w:p>
    <w:p w:rsidR="001B7351" w:rsidRPr="003F3F48" w:rsidRDefault="001B7351" w:rsidP="001B7351">
      <w:pPr>
        <w:ind w:left="708" w:firstLine="708"/>
        <w:jc w:val="both"/>
        <w:rPr>
          <w:rFonts w:ascii="Times New Roman" w:hAnsi="Times New Roman" w:cs="Times New Roman"/>
          <w:sz w:val="24"/>
          <w:szCs w:val="24"/>
        </w:rPr>
      </w:pPr>
      <w:r w:rsidRPr="001B7351">
        <w:rPr>
          <w:rFonts w:ascii="Times New Roman" w:hAnsi="Times New Roman" w:cs="Times New Roman"/>
          <w:sz w:val="24"/>
          <w:szCs w:val="24"/>
        </w:rPr>
        <w:t>Příjemci finanční podpory jsou dopravci provozující veřejnou dopravu nebo vlastníci infrastruktury související s veřejnou dopravou.</w:t>
      </w:r>
    </w:p>
    <w:p w:rsidR="00104CAA" w:rsidRPr="00AA49FE" w:rsidRDefault="00104CAA" w:rsidP="00104CAA">
      <w:pPr>
        <w:ind w:firstLine="708"/>
        <w:jc w:val="both"/>
        <w:rPr>
          <w:rFonts w:ascii="Times New Roman" w:hAnsi="Times New Roman" w:cs="Times New Roman"/>
          <w:b/>
          <w:sz w:val="24"/>
          <w:szCs w:val="24"/>
        </w:rPr>
      </w:pPr>
      <w:r w:rsidRPr="00AA49FE">
        <w:rPr>
          <w:rFonts w:ascii="Times New Roman" w:hAnsi="Times New Roman" w:cs="Times New Roman"/>
          <w:b/>
          <w:sz w:val="24"/>
          <w:szCs w:val="24"/>
        </w:rPr>
        <w:t>Financování</w:t>
      </w:r>
      <w:r w:rsidR="00F845EB" w:rsidRPr="00AA49FE">
        <w:rPr>
          <w:rFonts w:ascii="Times New Roman" w:hAnsi="Times New Roman" w:cs="Times New Roman"/>
          <w:b/>
          <w:sz w:val="24"/>
          <w:szCs w:val="24"/>
        </w:rPr>
        <w:t xml:space="preserve"> a institucionální zajištění Programu mobility</w:t>
      </w:r>
      <w:r w:rsidRPr="00AA49FE">
        <w:rPr>
          <w:rFonts w:ascii="Times New Roman" w:hAnsi="Times New Roman" w:cs="Times New Roman"/>
          <w:b/>
          <w:sz w:val="24"/>
          <w:szCs w:val="24"/>
        </w:rPr>
        <w:t>:</w:t>
      </w:r>
    </w:p>
    <w:p w:rsidR="00F845EB" w:rsidRDefault="00F845EB" w:rsidP="00F845EB">
      <w:pPr>
        <w:ind w:left="708" w:firstLine="708"/>
        <w:jc w:val="both"/>
        <w:rPr>
          <w:rFonts w:ascii="Times New Roman" w:hAnsi="Times New Roman" w:cs="Times New Roman"/>
          <w:sz w:val="24"/>
          <w:szCs w:val="24"/>
        </w:rPr>
      </w:pPr>
      <w:r w:rsidRPr="00F845EB">
        <w:rPr>
          <w:rFonts w:ascii="Times New Roman" w:hAnsi="Times New Roman" w:cs="Times New Roman"/>
          <w:sz w:val="24"/>
          <w:szCs w:val="24"/>
        </w:rPr>
        <w:t>Řídící výbor Národního rozvojového programu mobility pro všechny je řídícím orgánem Programu mobility a nese odpovědnost za jeho realizaci a za komunikaci ve vztahu mezi jednotlivými institucemi dle Vládního plánu. Předsedou Řídícího výboru je výkonný místopředseda V</w:t>
      </w:r>
      <w:r w:rsidR="00AA49FE">
        <w:rPr>
          <w:rFonts w:ascii="Times New Roman" w:hAnsi="Times New Roman" w:cs="Times New Roman"/>
          <w:sz w:val="24"/>
          <w:szCs w:val="24"/>
        </w:rPr>
        <w:t>ládní výbor pro zdravotně postižené občany (V</w:t>
      </w:r>
      <w:r w:rsidRPr="00F845EB">
        <w:rPr>
          <w:rFonts w:ascii="Times New Roman" w:hAnsi="Times New Roman" w:cs="Times New Roman"/>
          <w:sz w:val="24"/>
          <w:szCs w:val="24"/>
        </w:rPr>
        <w:t>VZPO</w:t>
      </w:r>
      <w:r w:rsidR="00AA49FE">
        <w:rPr>
          <w:rFonts w:ascii="Times New Roman" w:hAnsi="Times New Roman" w:cs="Times New Roman"/>
          <w:sz w:val="24"/>
          <w:szCs w:val="24"/>
        </w:rPr>
        <w:t>)</w:t>
      </w:r>
      <w:r w:rsidRPr="00F845EB">
        <w:rPr>
          <w:rFonts w:ascii="Times New Roman" w:hAnsi="Times New Roman" w:cs="Times New Roman"/>
          <w:sz w:val="24"/>
          <w:szCs w:val="24"/>
        </w:rPr>
        <w:t>, který jmenuje zbývající členy Řídícího výboru na základě návrhů VVZPO, N</w:t>
      </w:r>
      <w:r w:rsidR="00AA49FE">
        <w:rPr>
          <w:rFonts w:ascii="Times New Roman" w:hAnsi="Times New Roman" w:cs="Times New Roman"/>
          <w:sz w:val="24"/>
          <w:szCs w:val="24"/>
        </w:rPr>
        <w:t>árodní rady osob se zdravotním postižením ČR (N</w:t>
      </w:r>
      <w:r w:rsidRPr="00F845EB">
        <w:rPr>
          <w:rFonts w:ascii="Times New Roman" w:hAnsi="Times New Roman" w:cs="Times New Roman"/>
          <w:sz w:val="24"/>
          <w:szCs w:val="24"/>
        </w:rPr>
        <w:t>RZP</w:t>
      </w:r>
      <w:r w:rsidR="00AA49FE">
        <w:rPr>
          <w:rFonts w:ascii="Times New Roman" w:hAnsi="Times New Roman" w:cs="Times New Roman"/>
          <w:sz w:val="24"/>
          <w:szCs w:val="24"/>
        </w:rPr>
        <w:t>)</w:t>
      </w:r>
      <w:r w:rsidRPr="00F845EB">
        <w:rPr>
          <w:rFonts w:ascii="Times New Roman" w:hAnsi="Times New Roman" w:cs="Times New Roman"/>
          <w:sz w:val="24"/>
          <w:szCs w:val="24"/>
        </w:rPr>
        <w:t xml:space="preserve"> a dalších institucí. VVZPO navrhuje ke jmenování 1 svého člena, NRZP navrhuje 2 členy, z nichž jeden zastává funkci místopředsedy Řídícího výboru, zbývající instituce navrhují 1 svého zástupce. Statut a jednací řád Řídícího výboru schvaluje VVZPO.</w:t>
      </w:r>
    </w:p>
    <w:p w:rsidR="00F845EB" w:rsidRPr="00F845EB" w:rsidRDefault="00F845EB" w:rsidP="00F845EB">
      <w:pPr>
        <w:ind w:left="708" w:firstLine="708"/>
        <w:jc w:val="both"/>
        <w:rPr>
          <w:rFonts w:ascii="Times New Roman" w:hAnsi="Times New Roman" w:cs="Times New Roman"/>
          <w:sz w:val="24"/>
          <w:szCs w:val="24"/>
        </w:rPr>
      </w:pPr>
      <w:r w:rsidRPr="00F845EB">
        <w:rPr>
          <w:rFonts w:ascii="Times New Roman" w:hAnsi="Times New Roman" w:cs="Times New Roman"/>
          <w:sz w:val="24"/>
          <w:szCs w:val="24"/>
        </w:rPr>
        <w:t xml:space="preserve">Financování Programu mobility </w:t>
      </w:r>
      <w:r>
        <w:rPr>
          <w:rFonts w:ascii="Times New Roman" w:hAnsi="Times New Roman" w:cs="Times New Roman"/>
          <w:sz w:val="24"/>
          <w:szCs w:val="24"/>
        </w:rPr>
        <w:t xml:space="preserve">ze státního rozpočtu </w:t>
      </w:r>
      <w:r w:rsidRPr="00F845EB">
        <w:rPr>
          <w:rFonts w:ascii="Times New Roman" w:hAnsi="Times New Roman" w:cs="Times New Roman"/>
          <w:sz w:val="24"/>
          <w:szCs w:val="24"/>
        </w:rPr>
        <w:t>je zajištěno Vládním plánem dle usnesení vlády České republiky ze 14. července 2014 č. 568.</w:t>
      </w:r>
      <w:r>
        <w:rPr>
          <w:rFonts w:ascii="Times New Roman" w:hAnsi="Times New Roman" w:cs="Times New Roman"/>
          <w:sz w:val="24"/>
          <w:szCs w:val="24"/>
        </w:rPr>
        <w:t xml:space="preserve"> </w:t>
      </w:r>
      <w:r w:rsidRPr="00F845EB">
        <w:rPr>
          <w:rFonts w:ascii="Times New Roman" w:hAnsi="Times New Roman" w:cs="Times New Roman"/>
          <w:sz w:val="24"/>
          <w:szCs w:val="24"/>
        </w:rPr>
        <w:t xml:space="preserve">Řídící výbor Národního rozvojového programu mobility pro všechny vyhlašuje výzvy k předkládání záměrů bezbariérových tras ve městech a obcích </w:t>
      </w:r>
      <w:r>
        <w:rPr>
          <w:rFonts w:ascii="Times New Roman" w:hAnsi="Times New Roman" w:cs="Times New Roman"/>
          <w:sz w:val="24"/>
          <w:szCs w:val="24"/>
        </w:rPr>
        <w:t>vždy na následující</w:t>
      </w:r>
      <w:r w:rsidRPr="00F845EB">
        <w:rPr>
          <w:rFonts w:ascii="Times New Roman" w:hAnsi="Times New Roman" w:cs="Times New Roman"/>
          <w:sz w:val="24"/>
          <w:szCs w:val="24"/>
        </w:rPr>
        <w:t xml:space="preserve"> rok</w:t>
      </w:r>
      <w:r>
        <w:rPr>
          <w:rFonts w:ascii="Times New Roman" w:hAnsi="Times New Roman" w:cs="Times New Roman"/>
          <w:sz w:val="24"/>
          <w:szCs w:val="24"/>
        </w:rPr>
        <w:t>.</w:t>
      </w:r>
    </w:p>
    <w:p w:rsidR="00A4799E" w:rsidRDefault="00A4799E" w:rsidP="00A4799E">
      <w:pPr>
        <w:jc w:val="both"/>
        <w:rPr>
          <w:rFonts w:ascii="Times New Roman" w:hAnsi="Times New Roman" w:cs="Times New Roman"/>
          <w:sz w:val="24"/>
          <w:szCs w:val="24"/>
        </w:rPr>
      </w:pPr>
    </w:p>
    <w:p w:rsidR="00A4799E" w:rsidRDefault="00A4799E" w:rsidP="00923AE6">
      <w:pPr>
        <w:pStyle w:val="Odstavecseseznamem"/>
        <w:numPr>
          <w:ilvl w:val="0"/>
          <w:numId w:val="8"/>
        </w:numPr>
        <w:jc w:val="both"/>
        <w:rPr>
          <w:rFonts w:ascii="Times New Roman" w:hAnsi="Times New Roman" w:cs="Times New Roman"/>
          <w:b/>
          <w:sz w:val="24"/>
          <w:szCs w:val="24"/>
        </w:rPr>
      </w:pPr>
      <w:r w:rsidRPr="00211AA4">
        <w:rPr>
          <w:rFonts w:ascii="Times New Roman" w:hAnsi="Times New Roman" w:cs="Times New Roman"/>
          <w:b/>
          <w:sz w:val="24"/>
          <w:szCs w:val="24"/>
        </w:rPr>
        <w:t>Legislativa a normy</w:t>
      </w:r>
    </w:p>
    <w:p w:rsidR="00D933BB" w:rsidRPr="00211AA4" w:rsidRDefault="00D933BB" w:rsidP="00D933BB">
      <w:pPr>
        <w:pStyle w:val="Odstavecseseznamem"/>
        <w:jc w:val="both"/>
        <w:rPr>
          <w:rFonts w:ascii="Times New Roman" w:hAnsi="Times New Roman" w:cs="Times New Roman"/>
          <w:b/>
          <w:sz w:val="24"/>
          <w:szCs w:val="24"/>
        </w:rPr>
      </w:pPr>
    </w:p>
    <w:p w:rsidR="00275CE1" w:rsidRPr="00D47D5B" w:rsidRDefault="00A4799E" w:rsidP="00D47D5B">
      <w:pPr>
        <w:pStyle w:val="Odstavecseseznamem"/>
        <w:numPr>
          <w:ilvl w:val="0"/>
          <w:numId w:val="5"/>
        </w:numPr>
        <w:jc w:val="both"/>
        <w:rPr>
          <w:rFonts w:ascii="Times New Roman" w:hAnsi="Times New Roman" w:cs="Times New Roman"/>
          <w:sz w:val="24"/>
          <w:szCs w:val="24"/>
        </w:rPr>
      </w:pPr>
      <w:r w:rsidRPr="00D47D5B">
        <w:rPr>
          <w:rFonts w:ascii="Times New Roman" w:hAnsi="Times New Roman" w:cs="Times New Roman"/>
          <w:sz w:val="24"/>
          <w:szCs w:val="24"/>
        </w:rPr>
        <w:t>Národní plán podpory rovných příležitostí pro osoby se zdravotním postižením na období 2015–2020 schválený usnesením vlády České republiky ze dne 25. května 2015 č. 385</w:t>
      </w:r>
      <w:r w:rsidR="00420244">
        <w:rPr>
          <w:rFonts w:ascii="Times New Roman" w:hAnsi="Times New Roman" w:cs="Times New Roman"/>
          <w:sz w:val="24"/>
          <w:szCs w:val="24"/>
        </w:rPr>
        <w:t>.</w:t>
      </w:r>
    </w:p>
    <w:p w:rsidR="00092BBE" w:rsidRPr="00D47D5B" w:rsidRDefault="00092BBE" w:rsidP="00D47D5B">
      <w:pPr>
        <w:pStyle w:val="Odstavecseseznamem"/>
        <w:numPr>
          <w:ilvl w:val="0"/>
          <w:numId w:val="5"/>
        </w:numPr>
        <w:jc w:val="both"/>
        <w:rPr>
          <w:rFonts w:ascii="Times New Roman" w:hAnsi="Times New Roman" w:cs="Times New Roman"/>
          <w:sz w:val="24"/>
        </w:rPr>
      </w:pPr>
      <w:r w:rsidRPr="00D47D5B">
        <w:rPr>
          <w:rFonts w:ascii="Times New Roman" w:hAnsi="Times New Roman" w:cs="Times New Roman"/>
          <w:sz w:val="24"/>
        </w:rPr>
        <w:t>Nařízení ES č. 1371/2007 o právech a povinnostech cestujících v železniční přepravě</w:t>
      </w:r>
      <w:r w:rsidR="007E28DA" w:rsidRPr="00D47D5B">
        <w:rPr>
          <w:rFonts w:ascii="Times New Roman" w:hAnsi="Times New Roman" w:cs="Times New Roman"/>
          <w:sz w:val="24"/>
        </w:rPr>
        <w:t xml:space="preserve"> – předpis byl do legislativy ČR implementován jako </w:t>
      </w:r>
      <w:r w:rsidR="00D47D5B">
        <w:rPr>
          <w:rFonts w:ascii="Times New Roman" w:hAnsi="Times New Roman" w:cs="Times New Roman"/>
          <w:sz w:val="24"/>
        </w:rPr>
        <w:t>z</w:t>
      </w:r>
      <w:r w:rsidRPr="00D47D5B">
        <w:rPr>
          <w:rFonts w:ascii="Times New Roman" w:hAnsi="Times New Roman" w:cs="Times New Roman"/>
          <w:sz w:val="24"/>
        </w:rPr>
        <w:t xml:space="preserve">ákon </w:t>
      </w:r>
      <w:r w:rsidR="007E28DA" w:rsidRPr="00D47D5B">
        <w:rPr>
          <w:rFonts w:ascii="Times New Roman" w:hAnsi="Times New Roman" w:cs="Times New Roman"/>
          <w:sz w:val="24"/>
        </w:rPr>
        <w:t xml:space="preserve">č.194/2010 Sb. </w:t>
      </w:r>
      <w:r w:rsidRPr="00D47D5B">
        <w:rPr>
          <w:rFonts w:ascii="Times New Roman" w:hAnsi="Times New Roman" w:cs="Times New Roman"/>
          <w:sz w:val="24"/>
        </w:rPr>
        <w:t xml:space="preserve">o veřejných </w:t>
      </w:r>
      <w:r w:rsidR="00420244">
        <w:rPr>
          <w:rFonts w:ascii="Times New Roman" w:hAnsi="Times New Roman" w:cs="Times New Roman"/>
          <w:sz w:val="24"/>
        </w:rPr>
        <w:t>službách v přepravě cestujících.</w:t>
      </w:r>
    </w:p>
    <w:p w:rsidR="007E28DA" w:rsidRPr="00D47D5B" w:rsidRDefault="007E28DA" w:rsidP="00D47D5B">
      <w:pPr>
        <w:pStyle w:val="Odstavecseseznamem"/>
        <w:numPr>
          <w:ilvl w:val="0"/>
          <w:numId w:val="5"/>
        </w:numPr>
        <w:rPr>
          <w:rFonts w:ascii="Times New Roman" w:hAnsi="Times New Roman" w:cs="Times New Roman"/>
          <w:sz w:val="24"/>
        </w:rPr>
      </w:pPr>
      <w:r w:rsidRPr="00D47D5B">
        <w:rPr>
          <w:rFonts w:ascii="Times New Roman" w:hAnsi="Times New Roman" w:cs="Times New Roman"/>
          <w:sz w:val="24"/>
        </w:rPr>
        <w:t>Zákon č. 266/1994 Sb., o dráhách</w:t>
      </w:r>
      <w:r w:rsidR="00420244">
        <w:rPr>
          <w:rFonts w:ascii="Times New Roman" w:hAnsi="Times New Roman" w:cs="Times New Roman"/>
          <w:sz w:val="24"/>
        </w:rPr>
        <w:t>.</w:t>
      </w:r>
    </w:p>
    <w:p w:rsidR="005B689F" w:rsidRPr="00D47D5B" w:rsidRDefault="005B689F" w:rsidP="00D47D5B">
      <w:pPr>
        <w:pStyle w:val="Odstavecseseznamem"/>
        <w:numPr>
          <w:ilvl w:val="0"/>
          <w:numId w:val="5"/>
        </w:numPr>
        <w:jc w:val="both"/>
        <w:rPr>
          <w:rFonts w:ascii="Times New Roman" w:hAnsi="Times New Roman" w:cs="Times New Roman"/>
          <w:sz w:val="24"/>
        </w:rPr>
      </w:pPr>
      <w:r w:rsidRPr="00D47D5B">
        <w:rPr>
          <w:rFonts w:ascii="Times New Roman" w:hAnsi="Times New Roman" w:cs="Times New Roman"/>
          <w:sz w:val="24"/>
        </w:rPr>
        <w:t>Vyhl</w:t>
      </w:r>
      <w:r w:rsidR="002B3255">
        <w:rPr>
          <w:rFonts w:ascii="Times New Roman" w:hAnsi="Times New Roman" w:cs="Times New Roman"/>
          <w:sz w:val="24"/>
        </w:rPr>
        <w:t>áška</w:t>
      </w:r>
      <w:r w:rsidRPr="00D47D5B">
        <w:rPr>
          <w:rFonts w:ascii="Times New Roman" w:hAnsi="Times New Roman" w:cs="Times New Roman"/>
          <w:sz w:val="24"/>
        </w:rPr>
        <w:t xml:space="preserve"> č. 177/1995 Sb., kterou se vydává stavební a technický řád drah</w:t>
      </w:r>
      <w:r w:rsidR="00420244">
        <w:rPr>
          <w:rFonts w:ascii="Times New Roman" w:hAnsi="Times New Roman" w:cs="Times New Roman"/>
          <w:sz w:val="24"/>
        </w:rPr>
        <w:t>.</w:t>
      </w:r>
    </w:p>
    <w:p w:rsidR="005B689F" w:rsidRPr="00D47D5B" w:rsidRDefault="002B3255" w:rsidP="00D47D5B">
      <w:pPr>
        <w:pStyle w:val="Odstavecseseznamem"/>
        <w:numPr>
          <w:ilvl w:val="0"/>
          <w:numId w:val="5"/>
        </w:numPr>
        <w:jc w:val="both"/>
        <w:rPr>
          <w:rFonts w:ascii="Times New Roman" w:hAnsi="Times New Roman" w:cs="Times New Roman"/>
          <w:sz w:val="24"/>
        </w:rPr>
      </w:pPr>
      <w:r w:rsidRPr="00D47D5B">
        <w:rPr>
          <w:rFonts w:ascii="Times New Roman" w:hAnsi="Times New Roman" w:cs="Times New Roman"/>
          <w:sz w:val="24"/>
        </w:rPr>
        <w:t>Vyhl</w:t>
      </w:r>
      <w:r>
        <w:rPr>
          <w:rFonts w:ascii="Times New Roman" w:hAnsi="Times New Roman" w:cs="Times New Roman"/>
          <w:sz w:val="24"/>
        </w:rPr>
        <w:t>áška</w:t>
      </w:r>
      <w:r w:rsidR="005B689F" w:rsidRPr="00D47D5B">
        <w:rPr>
          <w:rFonts w:ascii="Times New Roman" w:hAnsi="Times New Roman" w:cs="Times New Roman"/>
          <w:sz w:val="24"/>
        </w:rPr>
        <w:t xml:space="preserve"> č. 173/1995 Sb., kterou se vydává dopravní řád drah</w:t>
      </w:r>
      <w:r w:rsidR="00420244">
        <w:rPr>
          <w:rFonts w:ascii="Times New Roman" w:hAnsi="Times New Roman" w:cs="Times New Roman"/>
          <w:sz w:val="24"/>
        </w:rPr>
        <w:t>.</w:t>
      </w:r>
    </w:p>
    <w:p w:rsidR="005B689F" w:rsidRPr="00D47D5B" w:rsidRDefault="005B689F" w:rsidP="00D47D5B">
      <w:pPr>
        <w:pStyle w:val="Odstavecseseznamem"/>
        <w:numPr>
          <w:ilvl w:val="0"/>
          <w:numId w:val="5"/>
        </w:numPr>
        <w:jc w:val="both"/>
        <w:rPr>
          <w:rFonts w:ascii="Times New Roman" w:hAnsi="Times New Roman" w:cs="Times New Roman"/>
          <w:sz w:val="24"/>
        </w:rPr>
      </w:pPr>
      <w:r w:rsidRPr="00D47D5B">
        <w:rPr>
          <w:rFonts w:ascii="Times New Roman" w:hAnsi="Times New Roman" w:cs="Times New Roman"/>
          <w:sz w:val="24"/>
        </w:rPr>
        <w:t>ČSN 73 4959 Nástupiště a nástupištní přístřešky na dráhách celostátních, regionálních a vlečkách</w:t>
      </w:r>
      <w:r w:rsidR="00420244">
        <w:rPr>
          <w:rFonts w:ascii="Times New Roman" w:hAnsi="Times New Roman" w:cs="Times New Roman"/>
          <w:sz w:val="24"/>
        </w:rPr>
        <w:t>.</w:t>
      </w:r>
    </w:p>
    <w:p w:rsidR="005B689F" w:rsidRPr="00D47D5B" w:rsidRDefault="005B689F" w:rsidP="00D47D5B">
      <w:pPr>
        <w:pStyle w:val="Odstavecseseznamem"/>
        <w:numPr>
          <w:ilvl w:val="0"/>
          <w:numId w:val="5"/>
        </w:numPr>
        <w:jc w:val="both"/>
        <w:rPr>
          <w:rFonts w:ascii="Times New Roman" w:hAnsi="Times New Roman" w:cs="Times New Roman"/>
          <w:sz w:val="24"/>
        </w:rPr>
      </w:pPr>
      <w:r w:rsidRPr="00D47D5B">
        <w:rPr>
          <w:rFonts w:ascii="Times New Roman" w:hAnsi="Times New Roman" w:cs="Times New Roman"/>
          <w:sz w:val="24"/>
        </w:rPr>
        <w:t>ČSN 73 6201 Projektování mostních objektů</w:t>
      </w:r>
      <w:r w:rsidR="00420244">
        <w:rPr>
          <w:rFonts w:ascii="Times New Roman" w:hAnsi="Times New Roman" w:cs="Times New Roman"/>
          <w:sz w:val="24"/>
        </w:rPr>
        <w:t>.</w:t>
      </w:r>
    </w:p>
    <w:p w:rsidR="005B689F" w:rsidRPr="00D47D5B" w:rsidRDefault="005B689F" w:rsidP="00D47D5B">
      <w:pPr>
        <w:pStyle w:val="Odstavecseseznamem"/>
        <w:numPr>
          <w:ilvl w:val="0"/>
          <w:numId w:val="5"/>
        </w:numPr>
        <w:jc w:val="both"/>
        <w:rPr>
          <w:rFonts w:ascii="Times New Roman" w:hAnsi="Times New Roman" w:cs="Times New Roman"/>
          <w:sz w:val="24"/>
        </w:rPr>
      </w:pPr>
      <w:r w:rsidRPr="00D47D5B">
        <w:rPr>
          <w:rFonts w:ascii="Times New Roman" w:hAnsi="Times New Roman" w:cs="Times New Roman"/>
          <w:sz w:val="24"/>
        </w:rPr>
        <w:t>ČSN 74 3305 Ochranná zábradlí</w:t>
      </w:r>
      <w:r w:rsidR="00420244">
        <w:rPr>
          <w:rFonts w:ascii="Times New Roman" w:hAnsi="Times New Roman" w:cs="Times New Roman"/>
          <w:sz w:val="24"/>
        </w:rPr>
        <w:t>.</w:t>
      </w:r>
    </w:p>
    <w:p w:rsidR="005B689F" w:rsidRPr="00D47D5B" w:rsidRDefault="005B689F" w:rsidP="00D47D5B">
      <w:pPr>
        <w:pStyle w:val="Odstavecseseznamem"/>
        <w:numPr>
          <w:ilvl w:val="0"/>
          <w:numId w:val="5"/>
        </w:numPr>
        <w:jc w:val="both"/>
        <w:rPr>
          <w:rFonts w:ascii="Times New Roman" w:hAnsi="Times New Roman" w:cs="Times New Roman"/>
          <w:sz w:val="24"/>
        </w:rPr>
      </w:pPr>
      <w:r w:rsidRPr="00D47D5B">
        <w:rPr>
          <w:rFonts w:ascii="Times New Roman" w:hAnsi="Times New Roman" w:cs="Times New Roman"/>
          <w:sz w:val="24"/>
        </w:rPr>
        <w:t>ČSN 73 4108 Hygienická zařízení a šatny</w:t>
      </w:r>
      <w:r w:rsidR="00420244">
        <w:rPr>
          <w:rFonts w:ascii="Times New Roman" w:hAnsi="Times New Roman" w:cs="Times New Roman"/>
          <w:sz w:val="24"/>
        </w:rPr>
        <w:t>.</w:t>
      </w:r>
    </w:p>
    <w:p w:rsidR="005B689F" w:rsidRPr="00D47D5B" w:rsidRDefault="005B689F" w:rsidP="00D47D5B">
      <w:pPr>
        <w:pStyle w:val="Odstavecseseznamem"/>
        <w:numPr>
          <w:ilvl w:val="0"/>
          <w:numId w:val="5"/>
        </w:numPr>
        <w:jc w:val="both"/>
        <w:rPr>
          <w:rFonts w:ascii="Times New Roman" w:hAnsi="Times New Roman" w:cs="Times New Roman"/>
          <w:sz w:val="24"/>
        </w:rPr>
      </w:pPr>
      <w:r w:rsidRPr="00D47D5B">
        <w:rPr>
          <w:rFonts w:ascii="Times New Roman" w:hAnsi="Times New Roman" w:cs="Times New Roman"/>
          <w:sz w:val="24"/>
        </w:rPr>
        <w:t>ČSN 73 4130 Schodiště a šikmé rampy – Základní požadavky</w:t>
      </w:r>
      <w:r w:rsidR="00420244">
        <w:rPr>
          <w:rFonts w:ascii="Times New Roman" w:hAnsi="Times New Roman" w:cs="Times New Roman"/>
          <w:sz w:val="24"/>
        </w:rPr>
        <w:t>.</w:t>
      </w:r>
    </w:p>
    <w:p w:rsidR="005B689F" w:rsidRPr="00D47D5B" w:rsidRDefault="005B689F" w:rsidP="00D47D5B">
      <w:pPr>
        <w:pStyle w:val="Odstavecseseznamem"/>
        <w:numPr>
          <w:ilvl w:val="0"/>
          <w:numId w:val="5"/>
        </w:numPr>
        <w:jc w:val="both"/>
        <w:rPr>
          <w:rFonts w:ascii="Times New Roman" w:hAnsi="Times New Roman" w:cs="Times New Roman"/>
          <w:sz w:val="24"/>
        </w:rPr>
      </w:pPr>
      <w:r w:rsidRPr="00D47D5B">
        <w:rPr>
          <w:rFonts w:ascii="Times New Roman" w:hAnsi="Times New Roman" w:cs="Times New Roman"/>
          <w:sz w:val="24"/>
        </w:rPr>
        <w:t>TNŽ 73 6390 Nápisy názvů železničních stanic a zastávek</w:t>
      </w:r>
      <w:r w:rsidR="00420244">
        <w:rPr>
          <w:rFonts w:ascii="Times New Roman" w:hAnsi="Times New Roman" w:cs="Times New Roman"/>
          <w:sz w:val="24"/>
        </w:rPr>
        <w:t>.</w:t>
      </w:r>
    </w:p>
    <w:p w:rsidR="00A4799E" w:rsidRDefault="00A4799E" w:rsidP="00D47D5B">
      <w:pPr>
        <w:pStyle w:val="Text"/>
        <w:numPr>
          <w:ilvl w:val="0"/>
          <w:numId w:val="5"/>
        </w:numPr>
      </w:pPr>
      <w:r>
        <w:t xml:space="preserve">ČSN P CEN/TS 16635 (287251) Železniční aplikace - Konstrukční úpravy pro osoby s omezenou schopností pohybu nebo orientace - Zařízení a prvky interiéru drážních vozidel </w:t>
      </w:r>
      <w:r w:rsidR="00420244">
        <w:t>–</w:t>
      </w:r>
      <w:r>
        <w:t xml:space="preserve"> Toalety</w:t>
      </w:r>
      <w:r w:rsidR="00420244">
        <w:t>.</w:t>
      </w:r>
    </w:p>
    <w:p w:rsidR="005B689F" w:rsidRDefault="005B689F" w:rsidP="002B3255">
      <w:pPr>
        <w:pStyle w:val="Text"/>
        <w:numPr>
          <w:ilvl w:val="0"/>
          <w:numId w:val="5"/>
        </w:numPr>
      </w:pPr>
      <w:r>
        <w:t>ČSN EN 12464-1:2012 Světlo a osvětlení - Osvětlení pracovních prostorů</w:t>
      </w:r>
      <w:r w:rsidR="002B3255">
        <w:t xml:space="preserve"> </w:t>
      </w:r>
      <w:r>
        <w:t>- Část 1: Vnitřní pracovní prostory</w:t>
      </w:r>
      <w:r w:rsidR="00420244">
        <w:t>.</w:t>
      </w:r>
    </w:p>
    <w:p w:rsidR="00A4799E" w:rsidRDefault="005B689F" w:rsidP="00D47D5B">
      <w:pPr>
        <w:pStyle w:val="Text"/>
        <w:numPr>
          <w:ilvl w:val="0"/>
          <w:numId w:val="5"/>
        </w:numPr>
      </w:pPr>
      <w:r>
        <w:t>SŽDC E11 – Předpis pro osvětlení venkovních prostor SŽDC</w:t>
      </w:r>
      <w:r w:rsidR="00420244">
        <w:t>.</w:t>
      </w:r>
    </w:p>
    <w:p w:rsidR="00B84B2A" w:rsidRDefault="00B84B2A" w:rsidP="005B689F">
      <w:pPr>
        <w:pStyle w:val="Text"/>
        <w:ind w:firstLine="0"/>
      </w:pPr>
    </w:p>
    <w:p w:rsidR="005B689F" w:rsidRPr="00F04AF1" w:rsidRDefault="00F04AF1" w:rsidP="00923AE6">
      <w:pPr>
        <w:pStyle w:val="Text"/>
        <w:numPr>
          <w:ilvl w:val="0"/>
          <w:numId w:val="8"/>
        </w:numPr>
        <w:rPr>
          <w:b/>
        </w:rPr>
      </w:pPr>
      <w:r>
        <w:rPr>
          <w:b/>
        </w:rPr>
        <w:t xml:space="preserve">Aktuální stav </w:t>
      </w:r>
    </w:p>
    <w:p w:rsidR="00A4799E" w:rsidRPr="00211AA4" w:rsidRDefault="00A4799E" w:rsidP="00923AE6">
      <w:pPr>
        <w:pStyle w:val="Odstavecseseznamem"/>
        <w:numPr>
          <w:ilvl w:val="1"/>
          <w:numId w:val="8"/>
        </w:numPr>
        <w:jc w:val="both"/>
        <w:rPr>
          <w:rFonts w:ascii="Times New Roman" w:hAnsi="Times New Roman" w:cs="Times New Roman"/>
          <w:b/>
          <w:sz w:val="24"/>
          <w:szCs w:val="24"/>
        </w:rPr>
      </w:pPr>
      <w:r w:rsidRPr="00211AA4">
        <w:rPr>
          <w:rFonts w:ascii="Times New Roman" w:hAnsi="Times New Roman" w:cs="Times New Roman"/>
          <w:b/>
          <w:sz w:val="24"/>
          <w:szCs w:val="24"/>
        </w:rPr>
        <w:t>Subsystém infrastruktury</w:t>
      </w:r>
    </w:p>
    <w:p w:rsidR="00275CE1" w:rsidRPr="008D35D3" w:rsidRDefault="00275CE1" w:rsidP="00275CE1">
      <w:pPr>
        <w:pStyle w:val="Text"/>
      </w:pPr>
      <w:r w:rsidRPr="008D35D3">
        <w:t xml:space="preserve">V České republice je pravidelnou veřejnou </w:t>
      </w:r>
      <w:r>
        <w:t xml:space="preserve">železniční </w:t>
      </w:r>
      <w:r w:rsidRPr="008D35D3">
        <w:t>dopravou ob</w:t>
      </w:r>
      <w:r w:rsidR="00911CBF">
        <w:t>slouženo 2615</w:t>
      </w:r>
      <w:r w:rsidR="002B3255">
        <w:t> </w:t>
      </w:r>
      <w:r w:rsidR="00911CBF">
        <w:t>stanic a zastávek</w:t>
      </w:r>
      <w:r w:rsidRPr="008D35D3">
        <w:t>. Stanice je možné dělit podle přístupnosti pro osoby s omezenou schopností pohybu, osoby se sluchový</w:t>
      </w:r>
      <w:r w:rsidR="00B23533">
        <w:t>m</w:t>
      </w:r>
      <w:r w:rsidRPr="008D35D3">
        <w:t xml:space="preserve"> postižením a osoby se zrakovým postižením. Přístupnost pro jednotlivé skupiny osob</w:t>
      </w:r>
      <w:r>
        <w:t xml:space="preserve"> se zdravotním postižení</w:t>
      </w:r>
      <w:r w:rsidRPr="008D35D3">
        <w:t xml:space="preserve"> </w:t>
      </w:r>
      <w:r>
        <w:t xml:space="preserve">se </w:t>
      </w:r>
      <w:r w:rsidRPr="008D35D3">
        <w:t xml:space="preserve">vzájemně </w:t>
      </w:r>
      <w:r>
        <w:t>doplňují</w:t>
      </w:r>
      <w:r w:rsidRPr="008D35D3">
        <w:t xml:space="preserve">. </w:t>
      </w:r>
    </w:p>
    <w:p w:rsidR="00275CE1" w:rsidRPr="008D35D3" w:rsidRDefault="00275CE1" w:rsidP="00275CE1">
      <w:pPr>
        <w:pStyle w:val="Text"/>
      </w:pPr>
      <w:r w:rsidRPr="008D35D3">
        <w:t>Stanice a zastávky je možné třídit z hlediska bezba</w:t>
      </w:r>
      <w:r>
        <w:t>riérové úpravy přístupu budov a </w:t>
      </w:r>
      <w:r w:rsidRPr="008D35D3">
        <w:t>přístřešků na</w:t>
      </w:r>
      <w:r>
        <w:t>:</w:t>
      </w:r>
    </w:p>
    <w:p w:rsidR="00275CE1" w:rsidRPr="008D35D3" w:rsidRDefault="00275CE1" w:rsidP="00275CE1">
      <w:pPr>
        <w:pStyle w:val="Odstavecseseznamem"/>
        <w:numPr>
          <w:ilvl w:val="0"/>
          <w:numId w:val="1"/>
        </w:numPr>
        <w:spacing w:after="12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stanice a zastávky s bezbariérovým </w:t>
      </w:r>
      <w:r w:rsidRPr="008D35D3">
        <w:rPr>
          <w:rFonts w:ascii="Times New Roman" w:hAnsi="Times New Roman" w:cs="Times New Roman"/>
          <w:sz w:val="24"/>
          <w:szCs w:val="24"/>
        </w:rPr>
        <w:t>přístup</w:t>
      </w:r>
      <w:r>
        <w:rPr>
          <w:rFonts w:ascii="Times New Roman" w:hAnsi="Times New Roman" w:cs="Times New Roman"/>
          <w:sz w:val="24"/>
          <w:szCs w:val="24"/>
        </w:rPr>
        <w:t>em</w:t>
      </w:r>
      <w:r w:rsidRPr="008D35D3">
        <w:rPr>
          <w:rFonts w:ascii="Times New Roman" w:hAnsi="Times New Roman" w:cs="Times New Roman"/>
          <w:sz w:val="24"/>
          <w:szCs w:val="24"/>
        </w:rPr>
        <w:t xml:space="preserve"> do budovy stanice včetně bezbariérově příst</w:t>
      </w:r>
      <w:r>
        <w:rPr>
          <w:rFonts w:ascii="Times New Roman" w:hAnsi="Times New Roman" w:cs="Times New Roman"/>
          <w:sz w:val="24"/>
          <w:szCs w:val="24"/>
        </w:rPr>
        <w:t xml:space="preserve">upné označené pokladní přepážky, takových je na síti </w:t>
      </w:r>
      <w:r w:rsidRPr="008D35D3">
        <w:rPr>
          <w:rFonts w:ascii="Times New Roman" w:hAnsi="Times New Roman" w:cs="Times New Roman"/>
          <w:sz w:val="24"/>
          <w:szCs w:val="24"/>
        </w:rPr>
        <w:t>120</w:t>
      </w:r>
      <w:r w:rsidR="002B3255">
        <w:rPr>
          <w:rFonts w:ascii="Times New Roman" w:hAnsi="Times New Roman" w:cs="Times New Roman"/>
          <w:sz w:val="24"/>
          <w:szCs w:val="24"/>
        </w:rPr>
        <w:t> </w:t>
      </w:r>
      <w:r w:rsidR="005F2768">
        <w:rPr>
          <w:rFonts w:ascii="Times New Roman" w:hAnsi="Times New Roman" w:cs="Times New Roman"/>
          <w:sz w:val="24"/>
          <w:szCs w:val="24"/>
        </w:rPr>
        <w:t>(tj. 20 % z celkového počtu 611 stanic a zastávek se službou osobní pokladny);</w:t>
      </w:r>
    </w:p>
    <w:p w:rsidR="00275CE1" w:rsidRPr="008D35D3" w:rsidRDefault="00275CE1" w:rsidP="00275CE1">
      <w:pPr>
        <w:pStyle w:val="Odstavecseseznamem"/>
        <w:numPr>
          <w:ilvl w:val="0"/>
          <w:numId w:val="1"/>
        </w:numPr>
        <w:spacing w:after="12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stanice a zastávky s bezbariérovým </w:t>
      </w:r>
      <w:r w:rsidRPr="008D35D3">
        <w:rPr>
          <w:rFonts w:ascii="Times New Roman" w:hAnsi="Times New Roman" w:cs="Times New Roman"/>
          <w:sz w:val="24"/>
          <w:szCs w:val="24"/>
        </w:rPr>
        <w:t>přístup</w:t>
      </w:r>
      <w:r>
        <w:rPr>
          <w:rFonts w:ascii="Times New Roman" w:hAnsi="Times New Roman" w:cs="Times New Roman"/>
          <w:sz w:val="24"/>
          <w:szCs w:val="24"/>
        </w:rPr>
        <w:t xml:space="preserve">em </w:t>
      </w:r>
      <w:r w:rsidRPr="008D35D3">
        <w:rPr>
          <w:rFonts w:ascii="Times New Roman" w:hAnsi="Times New Roman" w:cs="Times New Roman"/>
          <w:sz w:val="24"/>
          <w:szCs w:val="24"/>
        </w:rPr>
        <w:t xml:space="preserve">do budovy včetně přístřešku </w:t>
      </w:r>
      <w:r>
        <w:rPr>
          <w:rFonts w:ascii="Times New Roman" w:hAnsi="Times New Roman" w:cs="Times New Roman"/>
          <w:sz w:val="24"/>
          <w:szCs w:val="24"/>
        </w:rPr>
        <w:t xml:space="preserve">chránícího </w:t>
      </w:r>
      <w:r w:rsidRPr="008D35D3">
        <w:rPr>
          <w:rFonts w:ascii="Times New Roman" w:hAnsi="Times New Roman" w:cs="Times New Roman"/>
          <w:sz w:val="24"/>
          <w:szCs w:val="24"/>
        </w:rPr>
        <w:t>před povětrnostními vlivy</w:t>
      </w:r>
      <w:r>
        <w:rPr>
          <w:rFonts w:ascii="Times New Roman" w:hAnsi="Times New Roman" w:cs="Times New Roman"/>
          <w:sz w:val="24"/>
          <w:szCs w:val="24"/>
        </w:rPr>
        <w:t xml:space="preserve">, kterých je </w:t>
      </w:r>
      <w:r w:rsidRPr="008D35D3">
        <w:rPr>
          <w:rFonts w:ascii="Times New Roman" w:hAnsi="Times New Roman" w:cs="Times New Roman"/>
          <w:sz w:val="24"/>
          <w:szCs w:val="24"/>
        </w:rPr>
        <w:t>385</w:t>
      </w:r>
      <w:r w:rsidR="005F2768">
        <w:rPr>
          <w:rFonts w:ascii="Times New Roman" w:hAnsi="Times New Roman" w:cs="Times New Roman"/>
          <w:sz w:val="24"/>
          <w:szCs w:val="24"/>
        </w:rPr>
        <w:t>, tj. 15 % z celkového počtu stanic a zastávek</w:t>
      </w:r>
      <w:r>
        <w:rPr>
          <w:rFonts w:ascii="Times New Roman" w:hAnsi="Times New Roman" w:cs="Times New Roman"/>
          <w:sz w:val="24"/>
          <w:szCs w:val="24"/>
        </w:rPr>
        <w:t>.</w:t>
      </w:r>
    </w:p>
    <w:p w:rsidR="00275CE1" w:rsidRPr="00275CE1" w:rsidRDefault="00275CE1" w:rsidP="00275CE1">
      <w:pPr>
        <w:pStyle w:val="Text"/>
      </w:pPr>
      <w:r>
        <w:t xml:space="preserve">Samostatně je </w:t>
      </w:r>
      <w:r w:rsidRPr="008D35D3">
        <w:t xml:space="preserve">posuzován přístup na nástupiště. </w:t>
      </w:r>
      <w:r>
        <w:t>Stavební uspořádání nástupišť a </w:t>
      </w:r>
      <w:r w:rsidRPr="008D35D3">
        <w:t>přístupových cest může umožnit</w:t>
      </w:r>
      <w:r w:rsidRPr="00275CE1">
        <w:t>:</w:t>
      </w:r>
    </w:p>
    <w:p w:rsidR="00275CE1" w:rsidRPr="008D35D3" w:rsidRDefault="00275CE1" w:rsidP="005F2768">
      <w:pPr>
        <w:pStyle w:val="Odstavecseseznamem"/>
        <w:numPr>
          <w:ilvl w:val="0"/>
          <w:numId w:val="1"/>
        </w:numPr>
        <w:spacing w:after="120" w:line="240" w:lineRule="auto"/>
        <w:ind w:left="1560" w:hanging="426"/>
        <w:jc w:val="both"/>
        <w:rPr>
          <w:rFonts w:ascii="Times New Roman" w:hAnsi="Times New Roman" w:cs="Times New Roman"/>
          <w:sz w:val="24"/>
          <w:szCs w:val="24"/>
        </w:rPr>
      </w:pPr>
      <w:r w:rsidRPr="008D35D3">
        <w:rPr>
          <w:rFonts w:ascii="Times New Roman" w:hAnsi="Times New Roman" w:cs="Times New Roman"/>
          <w:sz w:val="24"/>
          <w:szCs w:val="24"/>
        </w:rPr>
        <w:t>bezbariérový přístup na všechna nástupiště</w:t>
      </w:r>
      <w:r>
        <w:rPr>
          <w:rFonts w:ascii="Times New Roman" w:hAnsi="Times New Roman" w:cs="Times New Roman"/>
          <w:sz w:val="24"/>
          <w:szCs w:val="24"/>
        </w:rPr>
        <w:t xml:space="preserve"> </w:t>
      </w:r>
      <w:r w:rsidR="004E06D1">
        <w:rPr>
          <w:rFonts w:ascii="Times New Roman" w:hAnsi="Times New Roman" w:cs="Times New Roman"/>
          <w:sz w:val="24"/>
          <w:szCs w:val="24"/>
        </w:rPr>
        <w:t>(</w:t>
      </w:r>
      <w:r w:rsidRPr="008D35D3">
        <w:rPr>
          <w:rFonts w:ascii="Times New Roman" w:hAnsi="Times New Roman" w:cs="Times New Roman"/>
          <w:sz w:val="24"/>
          <w:szCs w:val="24"/>
        </w:rPr>
        <w:t>dle ČSN 73 4959</w:t>
      </w:r>
      <w:r w:rsidR="004E06D1">
        <w:rPr>
          <w:rFonts w:ascii="Times New Roman" w:hAnsi="Times New Roman" w:cs="Times New Roman"/>
          <w:sz w:val="24"/>
          <w:szCs w:val="24"/>
        </w:rPr>
        <w:t>)</w:t>
      </w:r>
      <w:r>
        <w:rPr>
          <w:rFonts w:ascii="Times New Roman" w:hAnsi="Times New Roman" w:cs="Times New Roman"/>
          <w:sz w:val="24"/>
          <w:szCs w:val="24"/>
        </w:rPr>
        <w:t xml:space="preserve">, takové uspořádání je ve </w:t>
      </w:r>
      <w:r w:rsidRPr="008D35D3">
        <w:rPr>
          <w:rFonts w:ascii="Times New Roman" w:hAnsi="Times New Roman" w:cs="Times New Roman"/>
          <w:sz w:val="24"/>
          <w:szCs w:val="24"/>
        </w:rPr>
        <w:t>30</w:t>
      </w:r>
      <w:r w:rsidR="005F2768">
        <w:rPr>
          <w:rFonts w:ascii="Times New Roman" w:hAnsi="Times New Roman" w:cs="Times New Roman"/>
          <w:sz w:val="24"/>
          <w:szCs w:val="24"/>
        </w:rPr>
        <w:t>5</w:t>
      </w:r>
      <w:r>
        <w:rPr>
          <w:rFonts w:ascii="Times New Roman" w:hAnsi="Times New Roman" w:cs="Times New Roman"/>
          <w:sz w:val="24"/>
          <w:szCs w:val="24"/>
        </w:rPr>
        <w:t xml:space="preserve"> stanicích a zastávkách</w:t>
      </w:r>
      <w:r w:rsidR="005F2768">
        <w:rPr>
          <w:rFonts w:ascii="Times New Roman" w:hAnsi="Times New Roman" w:cs="Times New Roman"/>
          <w:sz w:val="24"/>
          <w:szCs w:val="24"/>
        </w:rPr>
        <w:t>, tj. 11,5 % všech stanic a</w:t>
      </w:r>
      <w:r w:rsidR="002B3255">
        <w:rPr>
          <w:rFonts w:ascii="Times New Roman" w:hAnsi="Times New Roman" w:cs="Times New Roman"/>
          <w:sz w:val="24"/>
          <w:szCs w:val="24"/>
        </w:rPr>
        <w:t> </w:t>
      </w:r>
      <w:r w:rsidR="005F2768">
        <w:rPr>
          <w:rFonts w:ascii="Times New Roman" w:hAnsi="Times New Roman" w:cs="Times New Roman"/>
          <w:sz w:val="24"/>
          <w:szCs w:val="24"/>
        </w:rPr>
        <w:t xml:space="preserve">zastávek; z toho ve 3 stanicích je bezbariérový přístup zajištěn jen </w:t>
      </w:r>
      <w:r w:rsidR="005F2768" w:rsidRPr="008D35D3">
        <w:rPr>
          <w:rFonts w:ascii="Times New Roman" w:hAnsi="Times New Roman" w:cs="Times New Roman"/>
          <w:sz w:val="24"/>
          <w:szCs w:val="24"/>
        </w:rPr>
        <w:t>za pomoci zaměstnance</w:t>
      </w:r>
      <w:r w:rsidR="005F2768">
        <w:rPr>
          <w:rFonts w:ascii="Times New Roman" w:hAnsi="Times New Roman" w:cs="Times New Roman"/>
          <w:sz w:val="24"/>
          <w:szCs w:val="24"/>
        </w:rPr>
        <w:t xml:space="preserve"> dráhy;</w:t>
      </w:r>
    </w:p>
    <w:p w:rsidR="00275CE1" w:rsidRDefault="00275CE1" w:rsidP="00275CE1">
      <w:pPr>
        <w:pStyle w:val="Odstavecseseznamem"/>
        <w:numPr>
          <w:ilvl w:val="0"/>
          <w:numId w:val="1"/>
        </w:numPr>
        <w:spacing w:after="120" w:line="240" w:lineRule="auto"/>
        <w:ind w:left="1560" w:hanging="426"/>
        <w:jc w:val="both"/>
        <w:rPr>
          <w:rFonts w:ascii="Times New Roman" w:hAnsi="Times New Roman" w:cs="Times New Roman"/>
          <w:sz w:val="24"/>
          <w:szCs w:val="24"/>
        </w:rPr>
      </w:pPr>
      <w:r w:rsidRPr="00DD3A7A">
        <w:rPr>
          <w:rFonts w:ascii="Times New Roman" w:hAnsi="Times New Roman" w:cs="Times New Roman"/>
          <w:sz w:val="24"/>
          <w:szCs w:val="24"/>
        </w:rPr>
        <w:t>bezbariérový přístup na alespoň jedn</w:t>
      </w:r>
      <w:r>
        <w:rPr>
          <w:rFonts w:ascii="Times New Roman" w:hAnsi="Times New Roman" w:cs="Times New Roman"/>
          <w:sz w:val="24"/>
          <w:szCs w:val="24"/>
        </w:rPr>
        <w:t xml:space="preserve">o nástupiště (dle ČSN 73 4959) </w:t>
      </w:r>
      <w:r w:rsidR="005F2768">
        <w:rPr>
          <w:rFonts w:ascii="Times New Roman" w:hAnsi="Times New Roman" w:cs="Times New Roman"/>
          <w:sz w:val="24"/>
          <w:szCs w:val="24"/>
        </w:rPr>
        <w:t>-</w:t>
      </w:r>
      <w:r>
        <w:rPr>
          <w:rFonts w:ascii="Times New Roman" w:hAnsi="Times New Roman" w:cs="Times New Roman"/>
          <w:sz w:val="24"/>
          <w:szCs w:val="24"/>
        </w:rPr>
        <w:t xml:space="preserve"> toto uspořádání se nachází ve </w:t>
      </w:r>
      <w:r w:rsidRPr="00DD3A7A">
        <w:rPr>
          <w:rFonts w:ascii="Times New Roman" w:hAnsi="Times New Roman" w:cs="Times New Roman"/>
          <w:sz w:val="24"/>
          <w:szCs w:val="24"/>
        </w:rPr>
        <w:t>116</w:t>
      </w:r>
      <w:r>
        <w:rPr>
          <w:rFonts w:ascii="Times New Roman" w:hAnsi="Times New Roman" w:cs="Times New Roman"/>
          <w:sz w:val="24"/>
          <w:szCs w:val="24"/>
        </w:rPr>
        <w:t xml:space="preserve"> stanicích a zastávkách</w:t>
      </w:r>
      <w:r w:rsidR="005F2768">
        <w:rPr>
          <w:rFonts w:ascii="Times New Roman" w:hAnsi="Times New Roman" w:cs="Times New Roman"/>
          <w:sz w:val="24"/>
          <w:szCs w:val="24"/>
        </w:rPr>
        <w:t xml:space="preserve"> (v </w:t>
      </w:r>
      <w:r w:rsidR="0000173D">
        <w:rPr>
          <w:rFonts w:ascii="Times New Roman" w:hAnsi="Times New Roman" w:cs="Times New Roman"/>
          <w:sz w:val="24"/>
          <w:szCs w:val="24"/>
        </w:rPr>
        <w:t>žádné</w:t>
      </w:r>
      <w:r w:rsidR="005F2768">
        <w:rPr>
          <w:rFonts w:ascii="Times New Roman" w:hAnsi="Times New Roman" w:cs="Times New Roman"/>
          <w:sz w:val="24"/>
          <w:szCs w:val="24"/>
        </w:rPr>
        <w:t xml:space="preserve"> přitom není nutná asistence zaměstnance dráhy), tj. 4,5 % stanic a zastávek</w:t>
      </w:r>
      <w:r w:rsidR="0000173D">
        <w:rPr>
          <w:rFonts w:ascii="Times New Roman" w:hAnsi="Times New Roman" w:cs="Times New Roman"/>
          <w:sz w:val="24"/>
          <w:szCs w:val="24"/>
        </w:rPr>
        <w:t>;</w:t>
      </w:r>
    </w:p>
    <w:p w:rsidR="0000173D" w:rsidRPr="0000173D" w:rsidRDefault="0000173D" w:rsidP="0000173D">
      <w:pPr>
        <w:spacing w:after="120" w:line="240" w:lineRule="auto"/>
        <w:ind w:left="1134"/>
        <w:jc w:val="both"/>
        <w:rPr>
          <w:rFonts w:ascii="Times New Roman" w:hAnsi="Times New Roman" w:cs="Times New Roman"/>
          <w:sz w:val="24"/>
          <w:szCs w:val="24"/>
        </w:rPr>
      </w:pPr>
      <w:r>
        <w:rPr>
          <w:rFonts w:ascii="Times New Roman" w:hAnsi="Times New Roman" w:cs="Times New Roman"/>
          <w:sz w:val="24"/>
          <w:szCs w:val="24"/>
        </w:rPr>
        <w:t>tzn.</w:t>
      </w:r>
      <w:r w:rsidR="0061175E">
        <w:rPr>
          <w:rFonts w:ascii="Times New Roman" w:hAnsi="Times New Roman" w:cs="Times New Roman"/>
          <w:sz w:val="24"/>
          <w:szCs w:val="24"/>
        </w:rPr>
        <w:t>,</w:t>
      </w:r>
      <w:r>
        <w:rPr>
          <w:rFonts w:ascii="Times New Roman" w:hAnsi="Times New Roman" w:cs="Times New Roman"/>
          <w:sz w:val="24"/>
          <w:szCs w:val="24"/>
        </w:rPr>
        <w:t xml:space="preserve"> že přístup na nástupiště je zajištěn celkem na 16 % stanic a zastávek.</w:t>
      </w:r>
    </w:p>
    <w:p w:rsidR="00275CE1" w:rsidRPr="00DD3A7A" w:rsidRDefault="00275CE1" w:rsidP="00275CE1">
      <w:pPr>
        <w:spacing w:after="120" w:line="240" w:lineRule="auto"/>
        <w:ind w:firstLine="709"/>
        <w:jc w:val="both"/>
        <w:rPr>
          <w:rFonts w:ascii="Times New Roman" w:hAnsi="Times New Roman" w:cs="Times New Roman"/>
          <w:sz w:val="24"/>
          <w:szCs w:val="24"/>
        </w:rPr>
      </w:pPr>
      <w:r w:rsidRPr="00DD3A7A">
        <w:rPr>
          <w:rFonts w:ascii="Times New Roman" w:hAnsi="Times New Roman" w:cs="Times New Roman"/>
          <w:sz w:val="24"/>
          <w:szCs w:val="24"/>
        </w:rPr>
        <w:t xml:space="preserve">Stanice mohou být nad rámec stavebních úprav vybaveny zvedací plošinou pro </w:t>
      </w:r>
      <w:r>
        <w:rPr>
          <w:rFonts w:ascii="Times New Roman" w:hAnsi="Times New Roman" w:cs="Times New Roman"/>
          <w:sz w:val="24"/>
          <w:szCs w:val="24"/>
        </w:rPr>
        <w:t>z</w:t>
      </w:r>
      <w:r w:rsidRPr="00DD3A7A">
        <w:rPr>
          <w:rFonts w:ascii="Times New Roman" w:hAnsi="Times New Roman" w:cs="Times New Roman"/>
          <w:sz w:val="24"/>
          <w:szCs w:val="24"/>
        </w:rPr>
        <w:t>jednoduš</w:t>
      </w:r>
      <w:r>
        <w:rPr>
          <w:rFonts w:ascii="Times New Roman" w:hAnsi="Times New Roman" w:cs="Times New Roman"/>
          <w:sz w:val="24"/>
          <w:szCs w:val="24"/>
        </w:rPr>
        <w:t xml:space="preserve">ení nástupu do vozidel pro osoby na vozíku. Zvedací plošiny </w:t>
      </w:r>
      <w:r w:rsidR="00B05C5D">
        <w:rPr>
          <w:rFonts w:ascii="Times New Roman" w:hAnsi="Times New Roman" w:cs="Times New Roman"/>
          <w:sz w:val="24"/>
          <w:szCs w:val="24"/>
        </w:rPr>
        <w:t xml:space="preserve">v dané konfiguraci </w:t>
      </w:r>
      <w:r>
        <w:rPr>
          <w:rFonts w:ascii="Times New Roman" w:hAnsi="Times New Roman" w:cs="Times New Roman"/>
          <w:sz w:val="24"/>
          <w:szCs w:val="24"/>
        </w:rPr>
        <w:t>se nacházejí v </w:t>
      </w:r>
      <w:r w:rsidRPr="00DD3A7A">
        <w:rPr>
          <w:rFonts w:ascii="Times New Roman" w:hAnsi="Times New Roman" w:cs="Times New Roman"/>
          <w:sz w:val="24"/>
          <w:szCs w:val="24"/>
        </w:rPr>
        <w:t>76</w:t>
      </w:r>
      <w:r>
        <w:rPr>
          <w:rFonts w:ascii="Times New Roman" w:hAnsi="Times New Roman" w:cs="Times New Roman"/>
          <w:sz w:val="24"/>
          <w:szCs w:val="24"/>
        </w:rPr>
        <w:t> stanicích.</w:t>
      </w:r>
      <w:r w:rsidRPr="00DD3A7A">
        <w:rPr>
          <w:rFonts w:ascii="Times New Roman" w:hAnsi="Times New Roman" w:cs="Times New Roman"/>
          <w:sz w:val="24"/>
          <w:szCs w:val="24"/>
        </w:rPr>
        <w:t xml:space="preserve"> </w:t>
      </w:r>
    </w:p>
    <w:p w:rsidR="00275CE1" w:rsidRPr="00DD3A7A" w:rsidRDefault="00275CE1" w:rsidP="00275CE1">
      <w:pPr>
        <w:spacing w:after="120" w:line="240" w:lineRule="auto"/>
        <w:ind w:firstLine="709"/>
        <w:jc w:val="both"/>
        <w:rPr>
          <w:rFonts w:ascii="Times New Roman" w:hAnsi="Times New Roman" w:cs="Times New Roman"/>
          <w:sz w:val="24"/>
          <w:szCs w:val="24"/>
        </w:rPr>
      </w:pPr>
      <w:r w:rsidRPr="00DD3A7A">
        <w:rPr>
          <w:rFonts w:ascii="Times New Roman" w:hAnsi="Times New Roman" w:cs="Times New Roman"/>
          <w:sz w:val="24"/>
          <w:szCs w:val="24"/>
        </w:rPr>
        <w:t>Pro sluchově pos</w:t>
      </w:r>
      <w:r w:rsidR="0000173D">
        <w:rPr>
          <w:rFonts w:ascii="Times New Roman" w:hAnsi="Times New Roman" w:cs="Times New Roman"/>
          <w:sz w:val="24"/>
          <w:szCs w:val="24"/>
        </w:rPr>
        <w:t xml:space="preserve">tižené </w:t>
      </w:r>
      <w:r w:rsidR="0066265F">
        <w:rPr>
          <w:rFonts w:ascii="Times New Roman" w:hAnsi="Times New Roman" w:cs="Times New Roman"/>
          <w:sz w:val="24"/>
          <w:szCs w:val="24"/>
        </w:rPr>
        <w:t>jsou</w:t>
      </w:r>
      <w:r w:rsidRPr="00DD3A7A">
        <w:rPr>
          <w:rFonts w:ascii="Times New Roman" w:hAnsi="Times New Roman" w:cs="Times New Roman"/>
          <w:sz w:val="24"/>
          <w:szCs w:val="24"/>
        </w:rPr>
        <w:t xml:space="preserve"> stanice </w:t>
      </w:r>
      <w:r w:rsidR="0066265F">
        <w:rPr>
          <w:rFonts w:ascii="Times New Roman" w:hAnsi="Times New Roman" w:cs="Times New Roman"/>
          <w:sz w:val="24"/>
          <w:szCs w:val="24"/>
        </w:rPr>
        <w:t xml:space="preserve">postupně </w:t>
      </w:r>
      <w:r w:rsidRPr="00DD3A7A">
        <w:rPr>
          <w:rFonts w:ascii="Times New Roman" w:hAnsi="Times New Roman" w:cs="Times New Roman"/>
          <w:sz w:val="24"/>
          <w:szCs w:val="24"/>
        </w:rPr>
        <w:t>vybav</w:t>
      </w:r>
      <w:r w:rsidR="0066265F">
        <w:rPr>
          <w:rFonts w:ascii="Times New Roman" w:hAnsi="Times New Roman" w:cs="Times New Roman"/>
          <w:sz w:val="24"/>
          <w:szCs w:val="24"/>
        </w:rPr>
        <w:t>ovány</w:t>
      </w:r>
      <w:r>
        <w:rPr>
          <w:rFonts w:ascii="Times New Roman" w:hAnsi="Times New Roman" w:cs="Times New Roman"/>
          <w:sz w:val="24"/>
          <w:szCs w:val="24"/>
        </w:rPr>
        <w:t>:</w:t>
      </w:r>
    </w:p>
    <w:p w:rsidR="00275CE1" w:rsidRPr="00DD3A7A" w:rsidRDefault="00275CE1" w:rsidP="00275CE1">
      <w:pPr>
        <w:pStyle w:val="Odstavecseseznamem"/>
        <w:numPr>
          <w:ilvl w:val="0"/>
          <w:numId w:val="1"/>
        </w:numPr>
        <w:spacing w:after="12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indukční smyčkou</w:t>
      </w:r>
      <w:r w:rsidRPr="00DD3A7A">
        <w:rPr>
          <w:rFonts w:ascii="Times New Roman" w:hAnsi="Times New Roman" w:cs="Times New Roman"/>
          <w:sz w:val="24"/>
          <w:szCs w:val="24"/>
        </w:rPr>
        <w:t xml:space="preserve"> u pokladny</w:t>
      </w:r>
      <w:r>
        <w:rPr>
          <w:rFonts w:ascii="Times New Roman" w:hAnsi="Times New Roman" w:cs="Times New Roman"/>
          <w:sz w:val="24"/>
          <w:szCs w:val="24"/>
        </w:rPr>
        <w:t>, kterou mají pokladny ve 41 stanicích a zastávkách</w:t>
      </w:r>
      <w:r w:rsidR="0000173D">
        <w:rPr>
          <w:rFonts w:ascii="Times New Roman" w:hAnsi="Times New Roman" w:cs="Times New Roman"/>
          <w:sz w:val="24"/>
          <w:szCs w:val="24"/>
        </w:rPr>
        <w:t xml:space="preserve"> (tj. 7 % stanic s pokladnou);</w:t>
      </w:r>
    </w:p>
    <w:p w:rsidR="00275CE1" w:rsidRPr="00DD3A7A" w:rsidRDefault="00275CE1" w:rsidP="00275CE1">
      <w:pPr>
        <w:pStyle w:val="Odstavecseseznamem"/>
        <w:numPr>
          <w:ilvl w:val="0"/>
          <w:numId w:val="1"/>
        </w:numPr>
        <w:spacing w:after="120" w:line="240" w:lineRule="auto"/>
        <w:ind w:left="1560" w:hanging="426"/>
        <w:jc w:val="both"/>
        <w:rPr>
          <w:rFonts w:ascii="Times New Roman" w:hAnsi="Times New Roman" w:cs="Times New Roman"/>
          <w:sz w:val="24"/>
          <w:szCs w:val="24"/>
        </w:rPr>
      </w:pPr>
      <w:r w:rsidRPr="00DD3A7A">
        <w:rPr>
          <w:rFonts w:ascii="Times New Roman" w:hAnsi="Times New Roman" w:cs="Times New Roman"/>
          <w:sz w:val="24"/>
          <w:szCs w:val="24"/>
        </w:rPr>
        <w:t>elektronický</w:t>
      </w:r>
      <w:r>
        <w:rPr>
          <w:rFonts w:ascii="Times New Roman" w:hAnsi="Times New Roman" w:cs="Times New Roman"/>
          <w:sz w:val="24"/>
          <w:szCs w:val="24"/>
        </w:rPr>
        <w:t>m</w:t>
      </w:r>
      <w:r w:rsidRPr="00DD3A7A">
        <w:rPr>
          <w:rFonts w:ascii="Times New Roman" w:hAnsi="Times New Roman" w:cs="Times New Roman"/>
          <w:sz w:val="24"/>
          <w:szCs w:val="24"/>
        </w:rPr>
        <w:t xml:space="preserve"> informační</w:t>
      </w:r>
      <w:r>
        <w:rPr>
          <w:rFonts w:ascii="Times New Roman" w:hAnsi="Times New Roman" w:cs="Times New Roman"/>
          <w:sz w:val="24"/>
          <w:szCs w:val="24"/>
        </w:rPr>
        <w:t>m</w:t>
      </w:r>
      <w:r w:rsidRPr="00DD3A7A">
        <w:rPr>
          <w:rFonts w:ascii="Times New Roman" w:hAnsi="Times New Roman" w:cs="Times New Roman"/>
          <w:sz w:val="24"/>
          <w:szCs w:val="24"/>
        </w:rPr>
        <w:t xml:space="preserve"> systém</w:t>
      </w:r>
      <w:r>
        <w:rPr>
          <w:rFonts w:ascii="Times New Roman" w:hAnsi="Times New Roman" w:cs="Times New Roman"/>
          <w:sz w:val="24"/>
          <w:szCs w:val="24"/>
        </w:rPr>
        <w:t xml:space="preserve">em, který byl nainstalován do 95 </w:t>
      </w:r>
      <w:r w:rsidR="0000173D">
        <w:rPr>
          <w:rFonts w:ascii="Times New Roman" w:hAnsi="Times New Roman" w:cs="Times New Roman"/>
          <w:sz w:val="24"/>
          <w:szCs w:val="24"/>
        </w:rPr>
        <w:t xml:space="preserve">(tj. 4 %) </w:t>
      </w:r>
      <w:r>
        <w:rPr>
          <w:rFonts w:ascii="Times New Roman" w:hAnsi="Times New Roman" w:cs="Times New Roman"/>
          <w:sz w:val="24"/>
          <w:szCs w:val="24"/>
        </w:rPr>
        <w:t>stanic a </w:t>
      </w:r>
      <w:r w:rsidRPr="00DD3A7A">
        <w:rPr>
          <w:rFonts w:ascii="Times New Roman" w:hAnsi="Times New Roman" w:cs="Times New Roman"/>
          <w:sz w:val="24"/>
          <w:szCs w:val="24"/>
        </w:rPr>
        <w:t>zastávek</w:t>
      </w:r>
      <w:r>
        <w:rPr>
          <w:rFonts w:ascii="Times New Roman" w:hAnsi="Times New Roman" w:cs="Times New Roman"/>
          <w:sz w:val="24"/>
          <w:szCs w:val="24"/>
        </w:rPr>
        <w:t>.</w:t>
      </w:r>
    </w:p>
    <w:p w:rsidR="00275CE1" w:rsidRPr="00DD3A7A" w:rsidRDefault="00275CE1" w:rsidP="00275CE1">
      <w:pPr>
        <w:pStyle w:val="Text"/>
      </w:pPr>
      <w:r w:rsidRPr="00DD3A7A">
        <w:t xml:space="preserve">Pro zrakově postižené </w:t>
      </w:r>
      <w:r w:rsidR="0066265F">
        <w:t>jsou</w:t>
      </w:r>
      <w:r w:rsidRPr="00DD3A7A">
        <w:t xml:space="preserve"> stanice a zastávky </w:t>
      </w:r>
      <w:r w:rsidR="0066265F">
        <w:t xml:space="preserve">postupně </w:t>
      </w:r>
      <w:r w:rsidRPr="00DD3A7A">
        <w:t>vybav</w:t>
      </w:r>
      <w:r w:rsidR="0066265F">
        <w:t>ová</w:t>
      </w:r>
      <w:r w:rsidRPr="00DD3A7A">
        <w:t>ny</w:t>
      </w:r>
      <w:r>
        <w:t>:</w:t>
      </w:r>
    </w:p>
    <w:p w:rsidR="00275CE1" w:rsidRPr="00DD3A7A" w:rsidRDefault="00275CE1" w:rsidP="00275CE1">
      <w:pPr>
        <w:pStyle w:val="Odstavecseseznamem"/>
        <w:numPr>
          <w:ilvl w:val="0"/>
          <w:numId w:val="1"/>
        </w:numPr>
        <w:spacing w:after="12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akustickými majáčky</w:t>
      </w:r>
      <w:r w:rsidRPr="00DD3A7A">
        <w:rPr>
          <w:rFonts w:ascii="Times New Roman" w:hAnsi="Times New Roman" w:cs="Times New Roman"/>
          <w:sz w:val="24"/>
          <w:szCs w:val="24"/>
        </w:rPr>
        <w:t xml:space="preserve"> </w:t>
      </w:r>
      <w:r>
        <w:rPr>
          <w:rFonts w:ascii="Times New Roman" w:hAnsi="Times New Roman" w:cs="Times New Roman"/>
          <w:sz w:val="24"/>
          <w:szCs w:val="24"/>
        </w:rPr>
        <w:t xml:space="preserve">a </w:t>
      </w:r>
      <w:r w:rsidR="00B23533">
        <w:rPr>
          <w:rFonts w:ascii="Times New Roman" w:hAnsi="Times New Roman" w:cs="Times New Roman"/>
          <w:sz w:val="24"/>
          <w:szCs w:val="24"/>
        </w:rPr>
        <w:t xml:space="preserve">hmatnými </w:t>
      </w:r>
      <w:r>
        <w:rPr>
          <w:rFonts w:ascii="Times New Roman" w:hAnsi="Times New Roman" w:cs="Times New Roman"/>
          <w:sz w:val="24"/>
          <w:szCs w:val="24"/>
        </w:rPr>
        <w:t>štít</w:t>
      </w:r>
      <w:r w:rsidRPr="00DD3A7A">
        <w:rPr>
          <w:rFonts w:ascii="Times New Roman" w:hAnsi="Times New Roman" w:cs="Times New Roman"/>
          <w:sz w:val="24"/>
          <w:szCs w:val="24"/>
        </w:rPr>
        <w:t>k</w:t>
      </w:r>
      <w:r>
        <w:rPr>
          <w:rFonts w:ascii="Times New Roman" w:hAnsi="Times New Roman" w:cs="Times New Roman"/>
          <w:sz w:val="24"/>
          <w:szCs w:val="24"/>
        </w:rPr>
        <w:t>y na zábradlí, tuto úpravu má</w:t>
      </w:r>
      <w:r w:rsidRPr="00DD3A7A">
        <w:rPr>
          <w:rFonts w:ascii="Times New Roman" w:hAnsi="Times New Roman" w:cs="Times New Roman"/>
          <w:sz w:val="24"/>
          <w:szCs w:val="24"/>
        </w:rPr>
        <w:t xml:space="preserve"> </w:t>
      </w:r>
      <w:r w:rsidR="002B3255">
        <w:rPr>
          <w:rFonts w:ascii="Times New Roman" w:hAnsi="Times New Roman" w:cs="Times New Roman"/>
          <w:sz w:val="24"/>
          <w:szCs w:val="24"/>
        </w:rPr>
        <w:br/>
      </w:r>
      <w:r w:rsidRPr="00DD3A7A">
        <w:rPr>
          <w:rFonts w:ascii="Times New Roman" w:hAnsi="Times New Roman" w:cs="Times New Roman"/>
          <w:sz w:val="24"/>
          <w:szCs w:val="24"/>
        </w:rPr>
        <w:t>66</w:t>
      </w:r>
      <w:r w:rsidR="002B3255">
        <w:rPr>
          <w:rFonts w:ascii="Times New Roman" w:hAnsi="Times New Roman" w:cs="Times New Roman"/>
          <w:sz w:val="24"/>
          <w:szCs w:val="24"/>
        </w:rPr>
        <w:t xml:space="preserve"> </w:t>
      </w:r>
      <w:r w:rsidR="0000173D">
        <w:rPr>
          <w:rFonts w:ascii="Times New Roman" w:hAnsi="Times New Roman" w:cs="Times New Roman"/>
          <w:sz w:val="24"/>
          <w:szCs w:val="24"/>
        </w:rPr>
        <w:t xml:space="preserve">(tj. 2,5 %) </w:t>
      </w:r>
      <w:r>
        <w:rPr>
          <w:rFonts w:ascii="Times New Roman" w:hAnsi="Times New Roman" w:cs="Times New Roman"/>
          <w:sz w:val="24"/>
          <w:szCs w:val="24"/>
        </w:rPr>
        <w:t>stanic a zastávek.</w:t>
      </w:r>
    </w:p>
    <w:p w:rsidR="00275CE1" w:rsidRPr="00DD3A7A" w:rsidRDefault="00B23533" w:rsidP="00275CE1">
      <w:pPr>
        <w:pStyle w:val="Odstavecseseznamem"/>
        <w:numPr>
          <w:ilvl w:val="0"/>
          <w:numId w:val="1"/>
        </w:numPr>
        <w:spacing w:after="12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umělými </w:t>
      </w:r>
      <w:r w:rsidR="00275CE1" w:rsidRPr="00DD3A7A">
        <w:rPr>
          <w:rFonts w:ascii="Times New Roman" w:hAnsi="Times New Roman" w:cs="Times New Roman"/>
          <w:sz w:val="24"/>
          <w:szCs w:val="24"/>
        </w:rPr>
        <w:t>vodicí</w:t>
      </w:r>
      <w:r w:rsidR="00275CE1">
        <w:rPr>
          <w:rFonts w:ascii="Times New Roman" w:hAnsi="Times New Roman" w:cs="Times New Roman"/>
          <w:sz w:val="24"/>
          <w:szCs w:val="24"/>
        </w:rPr>
        <w:t>mi</w:t>
      </w:r>
      <w:r w:rsidR="00275CE1" w:rsidRPr="00DD3A7A">
        <w:rPr>
          <w:rFonts w:ascii="Times New Roman" w:hAnsi="Times New Roman" w:cs="Times New Roman"/>
          <w:sz w:val="24"/>
          <w:szCs w:val="24"/>
        </w:rPr>
        <w:t xml:space="preserve"> linie</w:t>
      </w:r>
      <w:r w:rsidR="00275CE1">
        <w:rPr>
          <w:rFonts w:ascii="Times New Roman" w:hAnsi="Times New Roman" w:cs="Times New Roman"/>
          <w:sz w:val="24"/>
          <w:szCs w:val="24"/>
        </w:rPr>
        <w:t xml:space="preserve">mi, které byly zřízeny v </w:t>
      </w:r>
      <w:r w:rsidR="00275CE1" w:rsidRPr="00DD3A7A">
        <w:rPr>
          <w:rFonts w:ascii="Times New Roman" w:hAnsi="Times New Roman" w:cs="Times New Roman"/>
          <w:sz w:val="24"/>
          <w:szCs w:val="24"/>
        </w:rPr>
        <w:t xml:space="preserve">386 </w:t>
      </w:r>
      <w:r w:rsidR="0000173D">
        <w:rPr>
          <w:rFonts w:ascii="Times New Roman" w:hAnsi="Times New Roman" w:cs="Times New Roman"/>
          <w:sz w:val="24"/>
          <w:szCs w:val="24"/>
        </w:rPr>
        <w:t xml:space="preserve">(tj. 15 %) </w:t>
      </w:r>
      <w:r w:rsidR="00275CE1">
        <w:rPr>
          <w:rFonts w:ascii="Times New Roman" w:hAnsi="Times New Roman" w:cs="Times New Roman"/>
          <w:sz w:val="24"/>
          <w:szCs w:val="24"/>
        </w:rPr>
        <w:t>stanicích a</w:t>
      </w:r>
      <w:r w:rsidR="002B3255">
        <w:rPr>
          <w:rFonts w:ascii="Times New Roman" w:hAnsi="Times New Roman" w:cs="Times New Roman"/>
          <w:sz w:val="24"/>
          <w:szCs w:val="24"/>
        </w:rPr>
        <w:t> </w:t>
      </w:r>
      <w:r w:rsidR="00275CE1">
        <w:rPr>
          <w:rFonts w:ascii="Times New Roman" w:hAnsi="Times New Roman" w:cs="Times New Roman"/>
          <w:sz w:val="24"/>
          <w:szCs w:val="24"/>
        </w:rPr>
        <w:t>zastávkách.</w:t>
      </w:r>
    </w:p>
    <w:p w:rsidR="00275CE1" w:rsidRPr="00DD3A7A" w:rsidRDefault="00275CE1" w:rsidP="00275CE1">
      <w:pPr>
        <w:pStyle w:val="Odstavecseseznamem"/>
        <w:numPr>
          <w:ilvl w:val="0"/>
          <w:numId w:val="1"/>
        </w:numPr>
        <w:spacing w:after="120" w:line="240" w:lineRule="auto"/>
        <w:ind w:left="1560" w:hanging="426"/>
        <w:jc w:val="both"/>
        <w:rPr>
          <w:rFonts w:ascii="Times New Roman" w:hAnsi="Times New Roman" w:cs="Times New Roman"/>
          <w:sz w:val="24"/>
          <w:szCs w:val="24"/>
        </w:rPr>
      </w:pPr>
      <w:r w:rsidRPr="00DD3A7A">
        <w:rPr>
          <w:rFonts w:ascii="Times New Roman" w:hAnsi="Times New Roman" w:cs="Times New Roman"/>
          <w:sz w:val="24"/>
          <w:szCs w:val="24"/>
        </w:rPr>
        <w:t>informační</w:t>
      </w:r>
      <w:r>
        <w:rPr>
          <w:rFonts w:ascii="Times New Roman" w:hAnsi="Times New Roman" w:cs="Times New Roman"/>
          <w:sz w:val="24"/>
          <w:szCs w:val="24"/>
        </w:rPr>
        <w:t>mi</w:t>
      </w:r>
      <w:r w:rsidRPr="00DD3A7A">
        <w:rPr>
          <w:rFonts w:ascii="Times New Roman" w:hAnsi="Times New Roman" w:cs="Times New Roman"/>
          <w:sz w:val="24"/>
          <w:szCs w:val="24"/>
        </w:rPr>
        <w:t xml:space="preserve"> panely s hlasovým výstupem</w:t>
      </w:r>
      <w:r>
        <w:rPr>
          <w:rFonts w:ascii="Times New Roman" w:hAnsi="Times New Roman" w:cs="Times New Roman"/>
          <w:sz w:val="24"/>
          <w:szCs w:val="24"/>
        </w:rPr>
        <w:t>, které byly instalovány ve </w:t>
      </w:r>
      <w:r w:rsidRPr="00DD3A7A">
        <w:rPr>
          <w:rFonts w:ascii="Times New Roman" w:hAnsi="Times New Roman" w:cs="Times New Roman"/>
          <w:sz w:val="24"/>
          <w:szCs w:val="24"/>
        </w:rPr>
        <w:t>43</w:t>
      </w:r>
      <w:r>
        <w:rPr>
          <w:rFonts w:ascii="Times New Roman" w:hAnsi="Times New Roman" w:cs="Times New Roman"/>
          <w:sz w:val="24"/>
          <w:szCs w:val="24"/>
        </w:rPr>
        <w:t> stanicích a zastávkách</w:t>
      </w:r>
      <w:r w:rsidR="0000173D">
        <w:rPr>
          <w:rFonts w:ascii="Times New Roman" w:hAnsi="Times New Roman" w:cs="Times New Roman"/>
          <w:sz w:val="24"/>
          <w:szCs w:val="24"/>
        </w:rPr>
        <w:t xml:space="preserve"> (tj. 1,5 % z celkového počtu)</w:t>
      </w:r>
      <w:r>
        <w:rPr>
          <w:rFonts w:ascii="Times New Roman" w:hAnsi="Times New Roman" w:cs="Times New Roman"/>
          <w:sz w:val="24"/>
          <w:szCs w:val="24"/>
        </w:rPr>
        <w:t>.</w:t>
      </w:r>
    </w:p>
    <w:p w:rsidR="00275CE1" w:rsidRDefault="00275CE1" w:rsidP="00275CE1">
      <w:pPr>
        <w:spacing w:after="120" w:line="240" w:lineRule="auto"/>
        <w:ind w:firstLine="709"/>
        <w:jc w:val="both"/>
        <w:rPr>
          <w:rFonts w:ascii="Times New Roman" w:hAnsi="Times New Roman" w:cs="Times New Roman"/>
          <w:sz w:val="24"/>
          <w:szCs w:val="24"/>
        </w:rPr>
      </w:pPr>
      <w:r w:rsidRPr="00DD3A7A">
        <w:rPr>
          <w:rFonts w:ascii="Times New Roman" w:hAnsi="Times New Roman" w:cs="Times New Roman"/>
          <w:sz w:val="24"/>
          <w:szCs w:val="24"/>
        </w:rPr>
        <w:t>Nově rekonstruované stanice jsou vybaveny prvky usnadňujícími pohyb zrakově postižených.</w:t>
      </w:r>
      <w:r>
        <w:rPr>
          <w:rFonts w:ascii="Times New Roman" w:hAnsi="Times New Roman" w:cs="Times New Roman"/>
          <w:sz w:val="24"/>
          <w:szCs w:val="24"/>
        </w:rPr>
        <w:t xml:space="preserve"> </w:t>
      </w:r>
      <w:r w:rsidR="004E06D1">
        <w:rPr>
          <w:rFonts w:ascii="Times New Roman" w:hAnsi="Times New Roman" w:cs="Times New Roman"/>
          <w:sz w:val="24"/>
          <w:szCs w:val="24"/>
        </w:rPr>
        <w:t>Dílčí</w:t>
      </w:r>
      <w:r w:rsidRPr="00DD3A7A">
        <w:rPr>
          <w:rFonts w:ascii="Times New Roman" w:hAnsi="Times New Roman" w:cs="Times New Roman"/>
          <w:sz w:val="24"/>
          <w:szCs w:val="24"/>
        </w:rPr>
        <w:t xml:space="preserve"> formu přístupnosti </w:t>
      </w:r>
      <w:r>
        <w:rPr>
          <w:rFonts w:ascii="Times New Roman" w:hAnsi="Times New Roman" w:cs="Times New Roman"/>
          <w:sz w:val="24"/>
          <w:szCs w:val="24"/>
        </w:rPr>
        <w:t xml:space="preserve">má </w:t>
      </w:r>
      <w:r w:rsidRPr="00DD3A7A">
        <w:rPr>
          <w:rFonts w:ascii="Times New Roman" w:hAnsi="Times New Roman" w:cs="Times New Roman"/>
          <w:sz w:val="24"/>
          <w:szCs w:val="24"/>
        </w:rPr>
        <w:t>30 % stanic a zastávek.</w:t>
      </w:r>
    </w:p>
    <w:p w:rsidR="0000173D" w:rsidRDefault="0000173D" w:rsidP="00275CE1">
      <w:pPr>
        <w:spacing w:after="120" w:line="240" w:lineRule="auto"/>
        <w:ind w:firstLine="709"/>
        <w:jc w:val="both"/>
        <w:rPr>
          <w:rFonts w:ascii="Times New Roman" w:hAnsi="Times New Roman" w:cs="Times New Roman"/>
          <w:sz w:val="24"/>
          <w:szCs w:val="24"/>
        </w:rPr>
      </w:pPr>
    </w:p>
    <w:p w:rsidR="00247349" w:rsidRDefault="00870B68" w:rsidP="00275CE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Problematice zlepšování podmínek </w:t>
      </w:r>
      <w:r w:rsidRPr="00870B68">
        <w:rPr>
          <w:rFonts w:ascii="Times New Roman" w:hAnsi="Times New Roman" w:cs="Times New Roman"/>
          <w:sz w:val="24"/>
          <w:szCs w:val="24"/>
        </w:rPr>
        <w:t xml:space="preserve">pro cestování osob s omezenou schopností </w:t>
      </w:r>
      <w:r>
        <w:rPr>
          <w:rFonts w:ascii="Times New Roman" w:hAnsi="Times New Roman" w:cs="Times New Roman"/>
          <w:sz w:val="24"/>
          <w:szCs w:val="24"/>
        </w:rPr>
        <w:t xml:space="preserve">pohybu </w:t>
      </w:r>
      <w:r w:rsidRPr="00870B68">
        <w:rPr>
          <w:rFonts w:ascii="Times New Roman" w:hAnsi="Times New Roman" w:cs="Times New Roman"/>
          <w:sz w:val="24"/>
          <w:szCs w:val="24"/>
        </w:rPr>
        <w:t>a orientace</w:t>
      </w:r>
      <w:r>
        <w:rPr>
          <w:rFonts w:ascii="Times New Roman" w:hAnsi="Times New Roman" w:cs="Times New Roman"/>
          <w:sz w:val="24"/>
          <w:szCs w:val="24"/>
        </w:rPr>
        <w:t xml:space="preserve"> je věnována pozornost až v posledním </w:t>
      </w:r>
      <w:r w:rsidR="006B5F28">
        <w:rPr>
          <w:rFonts w:ascii="Times New Roman" w:hAnsi="Times New Roman" w:cs="Times New Roman"/>
          <w:sz w:val="24"/>
          <w:szCs w:val="24"/>
        </w:rPr>
        <w:t>období</w:t>
      </w:r>
      <w:r>
        <w:rPr>
          <w:rFonts w:ascii="Times New Roman" w:hAnsi="Times New Roman" w:cs="Times New Roman"/>
          <w:sz w:val="24"/>
          <w:szCs w:val="24"/>
        </w:rPr>
        <w:t xml:space="preserve">, kdy byly implementovány předpisy EU a postupně jsou aplikovány standardy obvyklé na zahraničních železnicích. </w:t>
      </w:r>
    </w:p>
    <w:p w:rsidR="0000173D" w:rsidRPr="00934423" w:rsidRDefault="00247349" w:rsidP="00275CE1">
      <w:pPr>
        <w:spacing w:after="120" w:line="240" w:lineRule="auto"/>
        <w:ind w:firstLine="709"/>
        <w:jc w:val="both"/>
      </w:pPr>
      <w:r w:rsidRPr="00211AA4">
        <w:rPr>
          <w:rFonts w:ascii="Times New Roman" w:hAnsi="Times New Roman" w:cs="Times New Roman"/>
          <w:b/>
          <w:sz w:val="24"/>
          <w:szCs w:val="24"/>
        </w:rPr>
        <w:t>Při přípravě projektů modernizace infrastruktury jsou tyto požadavky zohledňovány a jejich splnění je jedním z kritérií při schvalování k realizaci.</w:t>
      </w:r>
      <w:r>
        <w:rPr>
          <w:rFonts w:ascii="Times New Roman" w:hAnsi="Times New Roman" w:cs="Times New Roman"/>
          <w:sz w:val="24"/>
          <w:szCs w:val="24"/>
        </w:rPr>
        <w:t xml:space="preserve"> </w:t>
      </w:r>
      <w:r w:rsidR="0000173D">
        <w:rPr>
          <w:rFonts w:ascii="Times New Roman" w:hAnsi="Times New Roman" w:cs="Times New Roman"/>
          <w:sz w:val="24"/>
          <w:szCs w:val="24"/>
        </w:rPr>
        <w:t>Všechny uvedené prvky</w:t>
      </w:r>
      <w:r w:rsidR="00870B68">
        <w:rPr>
          <w:rFonts w:ascii="Times New Roman" w:hAnsi="Times New Roman" w:cs="Times New Roman"/>
          <w:sz w:val="24"/>
          <w:szCs w:val="24"/>
        </w:rPr>
        <w:t xml:space="preserve"> jsou </w:t>
      </w:r>
      <w:r>
        <w:rPr>
          <w:rFonts w:ascii="Times New Roman" w:hAnsi="Times New Roman" w:cs="Times New Roman"/>
          <w:sz w:val="24"/>
          <w:szCs w:val="24"/>
        </w:rPr>
        <w:t xml:space="preserve">tak </w:t>
      </w:r>
      <w:r w:rsidR="00870B68">
        <w:rPr>
          <w:rFonts w:ascii="Times New Roman" w:hAnsi="Times New Roman" w:cs="Times New Roman"/>
          <w:sz w:val="24"/>
          <w:szCs w:val="24"/>
        </w:rPr>
        <w:t>postupně instalovány v rámci probíhajících</w:t>
      </w:r>
      <w:r w:rsidR="00EC77BB">
        <w:rPr>
          <w:rFonts w:ascii="Times New Roman" w:hAnsi="Times New Roman" w:cs="Times New Roman"/>
          <w:sz w:val="24"/>
          <w:szCs w:val="24"/>
        </w:rPr>
        <w:t xml:space="preserve"> </w:t>
      </w:r>
      <w:r w:rsidR="00723691">
        <w:rPr>
          <w:rFonts w:ascii="Times New Roman" w:hAnsi="Times New Roman" w:cs="Times New Roman"/>
          <w:sz w:val="24"/>
          <w:szCs w:val="24"/>
        </w:rPr>
        <w:t>moderniza</w:t>
      </w:r>
      <w:r w:rsidR="00EC77BB">
        <w:rPr>
          <w:rFonts w:ascii="Times New Roman" w:hAnsi="Times New Roman" w:cs="Times New Roman"/>
          <w:sz w:val="24"/>
          <w:szCs w:val="24"/>
        </w:rPr>
        <w:t xml:space="preserve">cí </w:t>
      </w:r>
      <w:r w:rsidR="00723691">
        <w:rPr>
          <w:rFonts w:ascii="Times New Roman" w:hAnsi="Times New Roman" w:cs="Times New Roman"/>
          <w:sz w:val="24"/>
          <w:szCs w:val="24"/>
        </w:rPr>
        <w:t xml:space="preserve">jednotlivých traťových úseků nebo rekonstrukcí nejdůležitějších železničních stanic. </w:t>
      </w:r>
      <w:r w:rsidR="00C61D44" w:rsidRPr="00934423">
        <w:rPr>
          <w:rFonts w:ascii="Times New Roman" w:hAnsi="Times New Roman" w:cs="Times New Roman"/>
          <w:sz w:val="24"/>
          <w:szCs w:val="24"/>
        </w:rPr>
        <w:t>Projekty modernizace stanic a zastávek jsou ve fázi zpracování projektové dokumentace projednávány se zástupci organizací a sdružení, které zastupují zájmy osob se zdravotním postižením. Významným legislativním krokem, který by měl přispět k rozšíření přístupnosti</w:t>
      </w:r>
      <w:r w:rsidR="003A5A38" w:rsidRPr="00934423">
        <w:rPr>
          <w:rFonts w:ascii="Times New Roman" w:hAnsi="Times New Roman" w:cs="Times New Roman"/>
          <w:sz w:val="24"/>
          <w:szCs w:val="24"/>
        </w:rPr>
        <w:t xml:space="preserve"> železničních stanic a zastávek</w:t>
      </w:r>
      <w:r w:rsidR="00F94C59" w:rsidRPr="00934423">
        <w:rPr>
          <w:rFonts w:ascii="Times New Roman" w:hAnsi="Times New Roman" w:cs="Times New Roman"/>
          <w:sz w:val="24"/>
          <w:szCs w:val="24"/>
        </w:rPr>
        <w:t>,</w:t>
      </w:r>
      <w:r w:rsidR="003A5A38" w:rsidRPr="00934423">
        <w:rPr>
          <w:rFonts w:ascii="Times New Roman" w:hAnsi="Times New Roman" w:cs="Times New Roman"/>
          <w:sz w:val="24"/>
          <w:szCs w:val="24"/>
        </w:rPr>
        <w:t xml:space="preserve"> je novelizace zákona o drahách s účinností od 1. dubna 2017</w:t>
      </w:r>
      <w:r w:rsidR="00BE1290" w:rsidRPr="00934423">
        <w:rPr>
          <w:rFonts w:ascii="Times New Roman" w:hAnsi="Times New Roman" w:cs="Times New Roman"/>
          <w:sz w:val="24"/>
          <w:szCs w:val="24"/>
        </w:rPr>
        <w:t xml:space="preserve"> zákonem č. 319/2016 Sb.</w:t>
      </w:r>
      <w:r w:rsidR="00F94C59" w:rsidRPr="00934423">
        <w:rPr>
          <w:rFonts w:ascii="Times New Roman" w:hAnsi="Times New Roman" w:cs="Times New Roman"/>
          <w:sz w:val="24"/>
          <w:szCs w:val="24"/>
        </w:rPr>
        <w:t>. Ta</w:t>
      </w:r>
      <w:r w:rsidR="003A5A38" w:rsidRPr="00934423">
        <w:rPr>
          <w:rFonts w:ascii="Times New Roman" w:hAnsi="Times New Roman" w:cs="Times New Roman"/>
          <w:sz w:val="24"/>
          <w:szCs w:val="24"/>
        </w:rPr>
        <w:t xml:space="preserve">  za stanovených podmínek umožňuje </w:t>
      </w:r>
      <w:r w:rsidR="00F94C59" w:rsidRPr="00934423">
        <w:rPr>
          <w:rFonts w:ascii="Times New Roman" w:hAnsi="Times New Roman" w:cs="Times New Roman"/>
          <w:sz w:val="24"/>
          <w:szCs w:val="24"/>
        </w:rPr>
        <w:t>použití</w:t>
      </w:r>
      <w:r w:rsidR="003A5A38" w:rsidRPr="00934423">
        <w:rPr>
          <w:rFonts w:ascii="Times New Roman" w:hAnsi="Times New Roman" w:cs="Times New Roman"/>
          <w:sz w:val="24"/>
          <w:szCs w:val="24"/>
        </w:rPr>
        <w:t xml:space="preserve"> úrov</w:t>
      </w:r>
      <w:r w:rsidR="00BE1290" w:rsidRPr="00934423">
        <w:rPr>
          <w:rFonts w:ascii="Times New Roman" w:hAnsi="Times New Roman" w:cs="Times New Roman"/>
          <w:sz w:val="24"/>
          <w:szCs w:val="24"/>
        </w:rPr>
        <w:t>ňových bezbariérových pře</w:t>
      </w:r>
      <w:r w:rsidR="003A5A38" w:rsidRPr="00934423">
        <w:rPr>
          <w:rFonts w:ascii="Times New Roman" w:hAnsi="Times New Roman" w:cs="Times New Roman"/>
          <w:sz w:val="24"/>
          <w:szCs w:val="24"/>
        </w:rPr>
        <w:t xml:space="preserve">chodů </w:t>
      </w:r>
      <w:r w:rsidR="00BE1290" w:rsidRPr="00934423">
        <w:rPr>
          <w:rFonts w:ascii="Times New Roman" w:hAnsi="Times New Roman" w:cs="Times New Roman"/>
          <w:sz w:val="24"/>
          <w:szCs w:val="24"/>
        </w:rPr>
        <w:t xml:space="preserve">pro příchod cestujících </w:t>
      </w:r>
      <w:r w:rsidR="003A5A38" w:rsidRPr="00934423">
        <w:rPr>
          <w:rFonts w:ascii="Times New Roman" w:hAnsi="Times New Roman" w:cs="Times New Roman"/>
          <w:sz w:val="24"/>
          <w:szCs w:val="24"/>
        </w:rPr>
        <w:t>k</w:t>
      </w:r>
      <w:r w:rsidR="00BE1290" w:rsidRPr="00934423">
        <w:rPr>
          <w:rFonts w:ascii="Times New Roman" w:hAnsi="Times New Roman" w:cs="Times New Roman"/>
          <w:sz w:val="24"/>
          <w:szCs w:val="24"/>
        </w:rPr>
        <w:t> </w:t>
      </w:r>
      <w:r w:rsidR="003A5A38" w:rsidRPr="00934423">
        <w:rPr>
          <w:rFonts w:ascii="Times New Roman" w:hAnsi="Times New Roman" w:cs="Times New Roman"/>
          <w:sz w:val="24"/>
          <w:szCs w:val="24"/>
        </w:rPr>
        <w:t>nástupištím</w:t>
      </w:r>
      <w:r w:rsidR="00BE1290" w:rsidRPr="00934423">
        <w:rPr>
          <w:rFonts w:ascii="Times New Roman" w:hAnsi="Times New Roman" w:cs="Times New Roman"/>
          <w:sz w:val="24"/>
          <w:szCs w:val="24"/>
        </w:rPr>
        <w:t xml:space="preserve"> namísto investičně i provozně náročných podchodů nebo přemostění</w:t>
      </w:r>
      <w:r w:rsidR="003A5A38" w:rsidRPr="00934423">
        <w:rPr>
          <w:rFonts w:ascii="Times New Roman" w:hAnsi="Times New Roman" w:cs="Times New Roman"/>
          <w:sz w:val="24"/>
          <w:szCs w:val="24"/>
        </w:rPr>
        <w:t xml:space="preserve">. </w:t>
      </w:r>
      <w:r w:rsidR="00C61D44" w:rsidRPr="00934423">
        <w:rPr>
          <w:rFonts w:ascii="Times New Roman" w:hAnsi="Times New Roman" w:cs="Times New Roman"/>
          <w:sz w:val="24"/>
          <w:szCs w:val="24"/>
        </w:rPr>
        <w:t xml:space="preserve"> </w:t>
      </w:r>
      <w:r w:rsidR="00C61D44" w:rsidRPr="00934423">
        <w:t xml:space="preserve"> </w:t>
      </w:r>
    </w:p>
    <w:p w:rsidR="00275CE1" w:rsidRDefault="00275CE1"/>
    <w:p w:rsidR="00A4799E" w:rsidRPr="00211AA4" w:rsidRDefault="00A4799E" w:rsidP="00923AE6">
      <w:pPr>
        <w:pStyle w:val="Odstavecseseznamem"/>
        <w:numPr>
          <w:ilvl w:val="1"/>
          <w:numId w:val="8"/>
        </w:numPr>
        <w:jc w:val="both"/>
        <w:rPr>
          <w:rFonts w:ascii="Times New Roman" w:hAnsi="Times New Roman" w:cs="Times New Roman"/>
          <w:b/>
          <w:sz w:val="24"/>
          <w:szCs w:val="24"/>
        </w:rPr>
      </w:pPr>
      <w:r w:rsidRPr="00211AA4">
        <w:rPr>
          <w:rFonts w:ascii="Times New Roman" w:hAnsi="Times New Roman" w:cs="Times New Roman"/>
          <w:b/>
          <w:sz w:val="24"/>
          <w:szCs w:val="24"/>
        </w:rPr>
        <w:t>Subsystém železničních kolejových vozidel</w:t>
      </w:r>
    </w:p>
    <w:p w:rsidR="00365806" w:rsidRPr="00DD3A7A" w:rsidRDefault="00365806" w:rsidP="00365806">
      <w:pPr>
        <w:pStyle w:val="Text"/>
      </w:pPr>
      <w:r>
        <w:t xml:space="preserve">Dopravce </w:t>
      </w:r>
      <w:r w:rsidRPr="00DD3A7A">
        <w:t>Č</w:t>
      </w:r>
      <w:r>
        <w:t xml:space="preserve">eské dráhy disponuje vozidlovým parkem, který tvoří více než 600 vozidel upravených pro cestování osob na vozíku včetně bezbariérového sociálního zařízení, jedná se o osobní vozy, elektrické nebo motorové jednotky. Nízkopodlažní vozidla tvoří více jak </w:t>
      </w:r>
      <w:r w:rsidR="002B3255">
        <w:br/>
      </w:r>
      <w:r>
        <w:t>dvě třetiny z nich. Následujíc</w:t>
      </w:r>
      <w:r w:rsidR="00982AB0">
        <w:t>í řady nízkopodlažních vozidel jso</w:t>
      </w:r>
      <w:r>
        <w:t>u v jízdním řádu 2017/2018 nasazován</w:t>
      </w:r>
      <w:r w:rsidR="00982AB0">
        <w:t>y</w:t>
      </w:r>
      <w:r>
        <w:t xml:space="preserve"> do pravidelného provozu:</w:t>
      </w:r>
    </w:p>
    <w:p w:rsidR="00D933BB" w:rsidRDefault="00365806" w:rsidP="003226C9">
      <w:pPr>
        <w:pStyle w:val="Odstavecseseznamem"/>
        <w:numPr>
          <w:ilvl w:val="0"/>
          <w:numId w:val="1"/>
        </w:numPr>
        <w:spacing w:after="120" w:line="240" w:lineRule="auto"/>
        <w:jc w:val="both"/>
        <w:rPr>
          <w:rFonts w:ascii="Times New Roman" w:hAnsi="Times New Roman" w:cs="Times New Roman"/>
          <w:sz w:val="24"/>
          <w:szCs w:val="24"/>
        </w:rPr>
      </w:pPr>
      <w:r w:rsidRPr="00D933BB">
        <w:rPr>
          <w:rFonts w:ascii="Times New Roman" w:hAnsi="Times New Roman" w:cs="Times New Roman"/>
          <w:sz w:val="24"/>
          <w:szCs w:val="24"/>
        </w:rPr>
        <w:t>elektrické jednotky 440, 471, 640, 650, 660,</w:t>
      </w:r>
    </w:p>
    <w:p w:rsidR="00D933BB" w:rsidRPr="00D933BB" w:rsidRDefault="00365806" w:rsidP="003226C9">
      <w:pPr>
        <w:pStyle w:val="Odstavecseseznamem"/>
        <w:numPr>
          <w:ilvl w:val="0"/>
          <w:numId w:val="1"/>
        </w:numPr>
        <w:spacing w:after="120" w:line="240" w:lineRule="auto"/>
        <w:jc w:val="both"/>
        <w:rPr>
          <w:rFonts w:ascii="Times New Roman" w:hAnsi="Times New Roman" w:cs="Times New Roman"/>
          <w:sz w:val="24"/>
          <w:szCs w:val="24"/>
        </w:rPr>
      </w:pPr>
      <w:r w:rsidRPr="00D933BB">
        <w:rPr>
          <w:rFonts w:ascii="Times New Roman" w:hAnsi="Times New Roman" w:cs="Times New Roman"/>
          <w:sz w:val="24"/>
          <w:szCs w:val="24"/>
        </w:rPr>
        <w:t>motorové vozy a jednoty 814, 814.2, 841, 840, 844</w:t>
      </w:r>
      <w:r w:rsidR="00D933BB" w:rsidRPr="00D933BB">
        <w:rPr>
          <w:rFonts w:ascii="Times New Roman" w:hAnsi="Times New Roman" w:cs="Times New Roman"/>
          <w:sz w:val="24"/>
          <w:szCs w:val="24"/>
        </w:rPr>
        <w:t>,</w:t>
      </w:r>
    </w:p>
    <w:p w:rsidR="00365806" w:rsidRPr="00D933BB" w:rsidRDefault="00D933BB" w:rsidP="003226C9">
      <w:pPr>
        <w:pStyle w:val="Odstavecseseznamem"/>
        <w:numPr>
          <w:ilvl w:val="0"/>
          <w:numId w:val="1"/>
        </w:numPr>
        <w:spacing w:after="120" w:line="240" w:lineRule="auto"/>
        <w:jc w:val="both"/>
        <w:rPr>
          <w:rFonts w:ascii="Times New Roman" w:hAnsi="Times New Roman" w:cs="Times New Roman"/>
          <w:sz w:val="24"/>
          <w:szCs w:val="24"/>
        </w:rPr>
      </w:pPr>
      <w:r w:rsidRPr="00D933BB">
        <w:rPr>
          <w:rFonts w:ascii="Times New Roman" w:hAnsi="Times New Roman" w:cs="Times New Roman"/>
          <w:sz w:val="24"/>
          <w:szCs w:val="24"/>
        </w:rPr>
        <w:t>patrové osobní vozy Bmto</w:t>
      </w:r>
      <w:r w:rsidRPr="00D933BB">
        <w:rPr>
          <w:rFonts w:ascii="Times New Roman" w:hAnsi="Times New Roman" w:cs="Times New Roman"/>
          <w:sz w:val="24"/>
          <w:szCs w:val="24"/>
          <w:vertAlign w:val="superscript"/>
        </w:rPr>
        <w:t>292</w:t>
      </w:r>
      <w:r w:rsidRPr="00D933BB">
        <w:rPr>
          <w:rFonts w:ascii="Times New Roman" w:hAnsi="Times New Roman" w:cs="Times New Roman"/>
          <w:sz w:val="24"/>
          <w:szCs w:val="24"/>
        </w:rPr>
        <w:t>,</w:t>
      </w:r>
      <w:r w:rsidR="00B2575B">
        <w:rPr>
          <w:rFonts w:ascii="Times New Roman" w:hAnsi="Times New Roman" w:cs="Times New Roman"/>
          <w:sz w:val="24"/>
          <w:szCs w:val="24"/>
        </w:rPr>
        <w:t xml:space="preserve"> </w:t>
      </w:r>
      <w:r w:rsidRPr="00D933BB">
        <w:rPr>
          <w:rFonts w:ascii="Times New Roman" w:hAnsi="Times New Roman" w:cs="Times New Roman"/>
          <w:sz w:val="24"/>
          <w:szCs w:val="24"/>
        </w:rPr>
        <w:t>Bdmteeo</w:t>
      </w:r>
      <w:r w:rsidRPr="00D933BB">
        <w:rPr>
          <w:rFonts w:ascii="Times New Roman" w:hAnsi="Times New Roman" w:cs="Times New Roman"/>
          <w:sz w:val="24"/>
          <w:szCs w:val="24"/>
          <w:vertAlign w:val="superscript"/>
        </w:rPr>
        <w:t>294</w:t>
      </w:r>
      <w:r w:rsidRPr="00D933BB">
        <w:rPr>
          <w:rFonts w:ascii="Times New Roman" w:hAnsi="Times New Roman" w:cs="Times New Roman"/>
          <w:sz w:val="24"/>
          <w:szCs w:val="24"/>
        </w:rPr>
        <w:t>, Bdmteeo</w:t>
      </w:r>
      <w:r w:rsidRPr="00D933BB">
        <w:rPr>
          <w:rFonts w:ascii="Times New Roman" w:hAnsi="Times New Roman" w:cs="Times New Roman"/>
          <w:sz w:val="24"/>
          <w:szCs w:val="24"/>
          <w:vertAlign w:val="superscript"/>
        </w:rPr>
        <w:t>296</w:t>
      </w:r>
      <w:r w:rsidR="00420244">
        <w:rPr>
          <w:rFonts w:ascii="Times New Roman" w:hAnsi="Times New Roman" w:cs="Times New Roman"/>
          <w:sz w:val="24"/>
          <w:szCs w:val="24"/>
        </w:rPr>
        <w:t>.</w:t>
      </w:r>
    </w:p>
    <w:p w:rsidR="00365806" w:rsidRDefault="00365806" w:rsidP="00365806">
      <w:pPr>
        <w:pStyle w:val="Text"/>
      </w:pPr>
      <w:r>
        <w:t xml:space="preserve">Vývoj počtu bezbariérových spojů u </w:t>
      </w:r>
      <w:r w:rsidRPr="00D3120B">
        <w:t>největšího českého dopravce</w:t>
      </w:r>
      <w:r>
        <w:t>,</w:t>
      </w:r>
      <w:r w:rsidRPr="00D3120B">
        <w:t xml:space="preserve"> České dráhy</w:t>
      </w:r>
      <w:r>
        <w:t>,</w:t>
      </w:r>
      <w:r w:rsidRPr="00D3120B">
        <w:t xml:space="preserve"> </w:t>
      </w:r>
      <w:r>
        <w:t>zobrazuje tabulka 1.</w:t>
      </w:r>
    </w:p>
    <w:p w:rsidR="00365806" w:rsidRDefault="00365806" w:rsidP="00365806">
      <w:pPr>
        <w:pStyle w:val="Titulek"/>
        <w:jc w:val="center"/>
        <w:rPr>
          <w:rFonts w:ascii="Times New Roman" w:hAnsi="Times New Roman" w:cs="Times New Roman"/>
          <w:color w:val="auto"/>
          <w:sz w:val="24"/>
          <w:szCs w:val="24"/>
        </w:rPr>
      </w:pPr>
    </w:p>
    <w:p w:rsidR="00365806" w:rsidRPr="00D3120B" w:rsidRDefault="00365806" w:rsidP="00365806">
      <w:pPr>
        <w:pStyle w:val="Titulek"/>
        <w:jc w:val="center"/>
        <w:rPr>
          <w:rFonts w:ascii="Times New Roman" w:hAnsi="Times New Roman" w:cs="Times New Roman"/>
          <w:color w:val="auto"/>
          <w:sz w:val="24"/>
          <w:szCs w:val="24"/>
        </w:rPr>
      </w:pPr>
      <w:r w:rsidRPr="00D3120B">
        <w:rPr>
          <w:rFonts w:ascii="Times New Roman" w:hAnsi="Times New Roman" w:cs="Times New Roman"/>
          <w:color w:val="auto"/>
          <w:sz w:val="24"/>
          <w:szCs w:val="24"/>
        </w:rPr>
        <w:t xml:space="preserve">Tabulka </w:t>
      </w:r>
      <w:r w:rsidRPr="00D3120B">
        <w:rPr>
          <w:rFonts w:ascii="Times New Roman" w:hAnsi="Times New Roman" w:cs="Times New Roman"/>
          <w:color w:val="auto"/>
          <w:sz w:val="24"/>
          <w:szCs w:val="24"/>
        </w:rPr>
        <w:fldChar w:fldCharType="begin"/>
      </w:r>
      <w:r w:rsidRPr="00D3120B">
        <w:rPr>
          <w:rFonts w:ascii="Times New Roman" w:hAnsi="Times New Roman" w:cs="Times New Roman"/>
          <w:color w:val="auto"/>
          <w:sz w:val="24"/>
          <w:szCs w:val="24"/>
        </w:rPr>
        <w:instrText xml:space="preserve"> SEQ Tabulka \* ARABIC </w:instrText>
      </w:r>
      <w:r w:rsidRPr="00D3120B">
        <w:rPr>
          <w:rFonts w:ascii="Times New Roman" w:hAnsi="Times New Roman" w:cs="Times New Roman"/>
          <w:color w:val="auto"/>
          <w:sz w:val="24"/>
          <w:szCs w:val="24"/>
        </w:rPr>
        <w:fldChar w:fldCharType="separate"/>
      </w:r>
      <w:r w:rsidR="00B2575B">
        <w:rPr>
          <w:rFonts w:ascii="Times New Roman" w:hAnsi="Times New Roman" w:cs="Times New Roman"/>
          <w:noProof/>
          <w:color w:val="auto"/>
          <w:sz w:val="24"/>
          <w:szCs w:val="24"/>
        </w:rPr>
        <w:t>1</w:t>
      </w:r>
      <w:r w:rsidRPr="00D3120B">
        <w:rPr>
          <w:rFonts w:ascii="Times New Roman" w:hAnsi="Times New Roman" w:cs="Times New Roman"/>
          <w:color w:val="auto"/>
          <w:sz w:val="24"/>
          <w:szCs w:val="24"/>
        </w:rPr>
        <w:fldChar w:fldCharType="end"/>
      </w:r>
      <w:r w:rsidRPr="00D3120B">
        <w:rPr>
          <w:rFonts w:ascii="Times New Roman" w:hAnsi="Times New Roman" w:cs="Times New Roman"/>
          <w:color w:val="auto"/>
          <w:sz w:val="24"/>
          <w:szCs w:val="24"/>
        </w:rPr>
        <w:t xml:space="preserve"> Počet </w:t>
      </w:r>
      <w:r>
        <w:rPr>
          <w:rFonts w:ascii="Times New Roman" w:hAnsi="Times New Roman" w:cs="Times New Roman"/>
          <w:color w:val="auto"/>
          <w:sz w:val="24"/>
          <w:szCs w:val="24"/>
        </w:rPr>
        <w:t xml:space="preserve">bezbariérových </w:t>
      </w:r>
      <w:r w:rsidRPr="00D3120B">
        <w:rPr>
          <w:rFonts w:ascii="Times New Roman" w:hAnsi="Times New Roman" w:cs="Times New Roman"/>
          <w:color w:val="auto"/>
          <w:sz w:val="24"/>
          <w:szCs w:val="24"/>
        </w:rPr>
        <w:t>spojů společnosti České dráhy v jednotlivých letech</w:t>
      </w:r>
    </w:p>
    <w:tbl>
      <w:tblPr>
        <w:tblStyle w:val="Mkatabulky"/>
        <w:tblW w:w="0" w:type="auto"/>
        <w:tblInd w:w="3681" w:type="dxa"/>
        <w:tblLook w:val="04A0" w:firstRow="1" w:lastRow="0" w:firstColumn="1" w:lastColumn="0" w:noHBand="0" w:noVBand="1"/>
      </w:tblPr>
      <w:tblGrid>
        <w:gridCol w:w="850"/>
        <w:gridCol w:w="1134"/>
      </w:tblGrid>
      <w:tr w:rsidR="00365806" w:rsidRPr="00DD3A7A" w:rsidTr="004F31D6">
        <w:tc>
          <w:tcPr>
            <w:tcW w:w="850" w:type="dxa"/>
            <w:shd w:val="solid" w:color="D0CECE" w:themeColor="background2" w:themeShade="E6" w:fill="D9D9D9" w:themeFill="background1" w:themeFillShade="D9"/>
          </w:tcPr>
          <w:p w:rsidR="00365806" w:rsidRPr="004F31D6" w:rsidRDefault="00365806" w:rsidP="00AE37A8">
            <w:pPr>
              <w:pStyle w:val="Bezmezer"/>
              <w:jc w:val="both"/>
              <w:rPr>
                <w:b/>
              </w:rPr>
            </w:pPr>
            <w:r w:rsidRPr="004F31D6">
              <w:rPr>
                <w:b/>
              </w:rPr>
              <w:t>Rok</w:t>
            </w:r>
          </w:p>
        </w:tc>
        <w:tc>
          <w:tcPr>
            <w:tcW w:w="1134" w:type="dxa"/>
            <w:shd w:val="solid" w:color="D0CECE" w:themeColor="background2" w:themeShade="E6" w:fill="D9D9D9" w:themeFill="background1" w:themeFillShade="D9"/>
          </w:tcPr>
          <w:p w:rsidR="00365806" w:rsidRPr="004F31D6" w:rsidRDefault="00365806" w:rsidP="00AE37A8">
            <w:pPr>
              <w:pStyle w:val="Bezmezer"/>
              <w:jc w:val="both"/>
              <w:rPr>
                <w:b/>
              </w:rPr>
            </w:pPr>
            <w:r w:rsidRPr="004F31D6">
              <w:rPr>
                <w:b/>
              </w:rPr>
              <w:t>Počet spojů</w:t>
            </w:r>
          </w:p>
        </w:tc>
      </w:tr>
      <w:tr w:rsidR="00365806" w:rsidRPr="00DD3A7A" w:rsidTr="00AE37A8">
        <w:tc>
          <w:tcPr>
            <w:tcW w:w="850" w:type="dxa"/>
          </w:tcPr>
          <w:p w:rsidR="00365806" w:rsidRPr="00DD3A7A" w:rsidRDefault="00365806" w:rsidP="00AE37A8">
            <w:pPr>
              <w:pStyle w:val="Bezmezer"/>
              <w:jc w:val="both"/>
            </w:pPr>
            <w:r w:rsidRPr="00DD3A7A">
              <w:t>2007</w:t>
            </w:r>
          </w:p>
        </w:tc>
        <w:tc>
          <w:tcPr>
            <w:tcW w:w="1134" w:type="dxa"/>
          </w:tcPr>
          <w:p w:rsidR="00365806" w:rsidRPr="00DD3A7A" w:rsidRDefault="00365806" w:rsidP="00AE37A8">
            <w:pPr>
              <w:pStyle w:val="Bezmezer"/>
              <w:jc w:val="both"/>
            </w:pPr>
            <w:r w:rsidRPr="00DD3A7A">
              <w:t>676</w:t>
            </w:r>
          </w:p>
        </w:tc>
      </w:tr>
      <w:tr w:rsidR="00365806" w:rsidRPr="00DD3A7A" w:rsidTr="00AE37A8">
        <w:tc>
          <w:tcPr>
            <w:tcW w:w="850" w:type="dxa"/>
          </w:tcPr>
          <w:p w:rsidR="00365806" w:rsidRPr="00DD3A7A" w:rsidRDefault="00365806" w:rsidP="00AE37A8">
            <w:pPr>
              <w:pStyle w:val="Bezmezer"/>
              <w:jc w:val="both"/>
            </w:pPr>
            <w:r w:rsidRPr="00DD3A7A">
              <w:t>2008</w:t>
            </w:r>
          </w:p>
        </w:tc>
        <w:tc>
          <w:tcPr>
            <w:tcW w:w="1134" w:type="dxa"/>
          </w:tcPr>
          <w:p w:rsidR="00365806" w:rsidRPr="00DD3A7A" w:rsidRDefault="00365806" w:rsidP="00AE37A8">
            <w:pPr>
              <w:pStyle w:val="Bezmezer"/>
              <w:jc w:val="both"/>
            </w:pPr>
            <w:r w:rsidRPr="00DD3A7A">
              <w:t>1062</w:t>
            </w:r>
          </w:p>
        </w:tc>
      </w:tr>
      <w:tr w:rsidR="00365806" w:rsidRPr="00DD3A7A" w:rsidTr="00AE37A8">
        <w:tc>
          <w:tcPr>
            <w:tcW w:w="850" w:type="dxa"/>
          </w:tcPr>
          <w:p w:rsidR="00365806" w:rsidRPr="00DD3A7A" w:rsidRDefault="00365806" w:rsidP="00AE37A8">
            <w:pPr>
              <w:pStyle w:val="Bezmezer"/>
              <w:jc w:val="both"/>
            </w:pPr>
            <w:r>
              <w:t>2009</w:t>
            </w:r>
          </w:p>
        </w:tc>
        <w:tc>
          <w:tcPr>
            <w:tcW w:w="1134" w:type="dxa"/>
          </w:tcPr>
          <w:p w:rsidR="00365806" w:rsidRPr="00DD3A7A" w:rsidRDefault="00365806" w:rsidP="00AE37A8">
            <w:pPr>
              <w:pStyle w:val="Bezmezer"/>
              <w:jc w:val="both"/>
            </w:pPr>
            <w:r w:rsidRPr="00DD3A7A">
              <w:t>1464</w:t>
            </w:r>
          </w:p>
        </w:tc>
      </w:tr>
      <w:tr w:rsidR="00365806" w:rsidRPr="00DD3A7A" w:rsidTr="00AE37A8">
        <w:tc>
          <w:tcPr>
            <w:tcW w:w="850" w:type="dxa"/>
          </w:tcPr>
          <w:p w:rsidR="00365806" w:rsidRPr="00DD3A7A" w:rsidRDefault="00365806" w:rsidP="00AE37A8">
            <w:pPr>
              <w:pStyle w:val="Bezmezer"/>
              <w:jc w:val="both"/>
            </w:pPr>
            <w:r w:rsidRPr="00DD3A7A">
              <w:t>2010</w:t>
            </w:r>
          </w:p>
        </w:tc>
        <w:tc>
          <w:tcPr>
            <w:tcW w:w="1134" w:type="dxa"/>
          </w:tcPr>
          <w:p w:rsidR="00365806" w:rsidRPr="00DD3A7A" w:rsidRDefault="00365806" w:rsidP="00AE37A8">
            <w:pPr>
              <w:pStyle w:val="Bezmezer"/>
              <w:jc w:val="both"/>
            </w:pPr>
            <w:r w:rsidRPr="00DD3A7A">
              <w:t>2122</w:t>
            </w:r>
          </w:p>
        </w:tc>
      </w:tr>
      <w:tr w:rsidR="00365806" w:rsidRPr="00DD3A7A" w:rsidTr="00AE37A8">
        <w:tc>
          <w:tcPr>
            <w:tcW w:w="850" w:type="dxa"/>
          </w:tcPr>
          <w:p w:rsidR="00365806" w:rsidRPr="00DD3A7A" w:rsidRDefault="00365806" w:rsidP="00AE37A8">
            <w:pPr>
              <w:pStyle w:val="Bezmezer"/>
              <w:jc w:val="both"/>
            </w:pPr>
            <w:r w:rsidRPr="00DD3A7A">
              <w:t>2011</w:t>
            </w:r>
          </w:p>
        </w:tc>
        <w:tc>
          <w:tcPr>
            <w:tcW w:w="1134" w:type="dxa"/>
          </w:tcPr>
          <w:p w:rsidR="00365806" w:rsidRPr="00DD3A7A" w:rsidRDefault="00365806" w:rsidP="00AE37A8">
            <w:pPr>
              <w:pStyle w:val="Bezmezer"/>
              <w:jc w:val="both"/>
            </w:pPr>
            <w:r w:rsidRPr="00DD3A7A">
              <w:t>2562</w:t>
            </w:r>
          </w:p>
        </w:tc>
      </w:tr>
      <w:tr w:rsidR="00365806" w:rsidRPr="00DD3A7A" w:rsidTr="00AE37A8">
        <w:tc>
          <w:tcPr>
            <w:tcW w:w="850" w:type="dxa"/>
          </w:tcPr>
          <w:p w:rsidR="00365806" w:rsidRPr="00DD3A7A" w:rsidRDefault="00365806" w:rsidP="00AE37A8">
            <w:pPr>
              <w:pStyle w:val="Bezmezer"/>
              <w:jc w:val="both"/>
            </w:pPr>
            <w:r w:rsidRPr="00DD3A7A">
              <w:t>2015</w:t>
            </w:r>
          </w:p>
        </w:tc>
        <w:tc>
          <w:tcPr>
            <w:tcW w:w="1134" w:type="dxa"/>
          </w:tcPr>
          <w:p w:rsidR="00365806" w:rsidRPr="00DD3A7A" w:rsidRDefault="00365806" w:rsidP="00AE37A8">
            <w:pPr>
              <w:pStyle w:val="Bezmezer"/>
              <w:jc w:val="both"/>
            </w:pPr>
            <w:r w:rsidRPr="00DD3A7A">
              <w:t>4612</w:t>
            </w:r>
          </w:p>
        </w:tc>
      </w:tr>
      <w:tr w:rsidR="00365806" w:rsidRPr="00DD3A7A" w:rsidTr="00AE37A8">
        <w:tc>
          <w:tcPr>
            <w:tcW w:w="850" w:type="dxa"/>
          </w:tcPr>
          <w:p w:rsidR="00365806" w:rsidRPr="00DD3A7A" w:rsidRDefault="00365806" w:rsidP="00AE37A8">
            <w:pPr>
              <w:pStyle w:val="Bezmezer"/>
              <w:jc w:val="both"/>
            </w:pPr>
            <w:r w:rsidRPr="00DD3A7A">
              <w:t>2016</w:t>
            </w:r>
          </w:p>
        </w:tc>
        <w:tc>
          <w:tcPr>
            <w:tcW w:w="1134" w:type="dxa"/>
          </w:tcPr>
          <w:p w:rsidR="00365806" w:rsidRPr="00DD3A7A" w:rsidRDefault="00365806" w:rsidP="00AE37A8">
            <w:pPr>
              <w:pStyle w:val="Bezmezer"/>
              <w:jc w:val="both"/>
            </w:pPr>
            <w:r w:rsidRPr="00DD3A7A">
              <w:t>4656</w:t>
            </w:r>
          </w:p>
        </w:tc>
      </w:tr>
      <w:tr w:rsidR="00365806" w:rsidRPr="00DD3A7A" w:rsidTr="00AE37A8">
        <w:tc>
          <w:tcPr>
            <w:tcW w:w="850" w:type="dxa"/>
          </w:tcPr>
          <w:p w:rsidR="00365806" w:rsidRPr="00DD3A7A" w:rsidRDefault="00365806" w:rsidP="00AE37A8">
            <w:pPr>
              <w:pStyle w:val="Bezmezer"/>
              <w:jc w:val="both"/>
            </w:pPr>
            <w:r w:rsidRPr="00DD3A7A">
              <w:t>2017</w:t>
            </w:r>
          </w:p>
        </w:tc>
        <w:tc>
          <w:tcPr>
            <w:tcW w:w="1134" w:type="dxa"/>
          </w:tcPr>
          <w:p w:rsidR="00365806" w:rsidRPr="00DD3A7A" w:rsidRDefault="00365806" w:rsidP="00AE37A8">
            <w:pPr>
              <w:pStyle w:val="Bezmezer"/>
              <w:jc w:val="both"/>
            </w:pPr>
            <w:r w:rsidRPr="00DD3A7A">
              <w:t>4 914</w:t>
            </w:r>
          </w:p>
        </w:tc>
      </w:tr>
    </w:tbl>
    <w:p w:rsidR="00A4799E" w:rsidRDefault="00A4799E"/>
    <w:p w:rsidR="003332AE" w:rsidRPr="00DD3A7A" w:rsidRDefault="003332AE" w:rsidP="003332AE">
      <w:pPr>
        <w:pStyle w:val="Text"/>
      </w:pPr>
      <w:r>
        <w:t>Dopravce RegioJet</w:t>
      </w:r>
      <w:r w:rsidR="00982AB0">
        <w:t>, který provozuje všechny spoje v režimu „</w:t>
      </w:r>
      <w:r w:rsidR="00982AB0" w:rsidRPr="004F31D6">
        <w:rPr>
          <w:i/>
        </w:rPr>
        <w:t>Open Access</w:t>
      </w:r>
      <w:r w:rsidR="00982AB0">
        <w:t>“,</w:t>
      </w:r>
      <w:r>
        <w:t xml:space="preserve"> disponuje pouze několika vozy vybavenými</w:t>
      </w:r>
      <w:r w:rsidRPr="00DD3A7A">
        <w:t xml:space="preserve"> zvedací</w:t>
      </w:r>
      <w:r>
        <w:t xml:space="preserve"> plošinou.</w:t>
      </w:r>
      <w:r w:rsidRPr="00DD3A7A">
        <w:t xml:space="preserve"> </w:t>
      </w:r>
    </w:p>
    <w:p w:rsidR="003332AE" w:rsidRPr="004E5807" w:rsidRDefault="003332AE" w:rsidP="003332AE">
      <w:pPr>
        <w:pStyle w:val="Text"/>
      </w:pPr>
      <w:r>
        <w:t xml:space="preserve">Dopravce </w:t>
      </w:r>
      <w:r w:rsidRPr="00DD3A7A">
        <w:t xml:space="preserve">GW Train Regio </w:t>
      </w:r>
      <w:r>
        <w:t>provozuje na regionálních linkách ve spolupráci se společností</w:t>
      </w:r>
      <w:r w:rsidRPr="00DD3A7A">
        <w:t xml:space="preserve">  Die Länderbahn-GmbH nízkopodlažní </w:t>
      </w:r>
      <w:r>
        <w:t xml:space="preserve">jednotky řady </w:t>
      </w:r>
      <w:r w:rsidRPr="00DD3A7A">
        <w:t>VT1</w:t>
      </w:r>
      <w:r>
        <w:t>. Nově vozidlový park rozš</w:t>
      </w:r>
      <w:r w:rsidR="00982AB0">
        <w:t>iřuje</w:t>
      </w:r>
      <w:r>
        <w:t xml:space="preserve"> o</w:t>
      </w:r>
      <w:r w:rsidRPr="00DD3A7A">
        <w:t xml:space="preserve"> bezbariérová vozidla ř. 6</w:t>
      </w:r>
      <w:r>
        <w:t>2</w:t>
      </w:r>
      <w:r w:rsidRPr="00DD3A7A">
        <w:t>8</w:t>
      </w:r>
      <w:r>
        <w:t>.</w:t>
      </w:r>
      <w:r w:rsidRPr="00DD3A7A">
        <w:t>2.</w:t>
      </w:r>
      <w:r>
        <w:t xml:space="preserve"> </w:t>
      </w:r>
    </w:p>
    <w:p w:rsidR="003332AE" w:rsidRPr="0071094B" w:rsidRDefault="003332AE" w:rsidP="003332AE">
      <w:pPr>
        <w:pStyle w:val="Text"/>
      </w:pPr>
      <w:r>
        <w:t xml:space="preserve">Dopravce </w:t>
      </w:r>
      <w:r w:rsidRPr="00DD3A7A">
        <w:t>L</w:t>
      </w:r>
      <w:r>
        <w:t xml:space="preserve">eo </w:t>
      </w:r>
      <w:r w:rsidRPr="00DD3A7A">
        <w:t>E</w:t>
      </w:r>
      <w:r>
        <w:t>xpress</w:t>
      </w:r>
      <w:r w:rsidRPr="00DD3A7A">
        <w:t xml:space="preserve"> </w:t>
      </w:r>
      <w:r>
        <w:t xml:space="preserve">provozuje </w:t>
      </w:r>
      <w:r w:rsidRPr="00DD3A7A">
        <w:t>5 nízkopodlažní</w:t>
      </w:r>
      <w:r>
        <w:t>ch</w:t>
      </w:r>
      <w:r w:rsidRPr="00DD3A7A">
        <w:t xml:space="preserve"> jednotek Flirt </w:t>
      </w:r>
      <w:r>
        <w:t>(</w:t>
      </w:r>
      <w:r w:rsidRPr="00DD3A7A">
        <w:t>řada 480</w:t>
      </w:r>
      <w:r>
        <w:t xml:space="preserve">), a tím je jediným dopravcem, jehož </w:t>
      </w:r>
      <w:r w:rsidRPr="00DD3A7A">
        <w:t xml:space="preserve">celý vozidlový park je </w:t>
      </w:r>
      <w:r>
        <w:t>nízkopodlažní</w:t>
      </w:r>
      <w:r w:rsidRPr="00DD3A7A">
        <w:t>.</w:t>
      </w:r>
      <w:r>
        <w:t xml:space="preserve"> </w:t>
      </w:r>
      <w:r w:rsidR="00982AB0">
        <w:t>Rovněž tento dopravce provozuje všechny spoje v režimu „</w:t>
      </w:r>
      <w:r w:rsidR="00982AB0" w:rsidRPr="004F31D6">
        <w:rPr>
          <w:i/>
        </w:rPr>
        <w:t>Open Access</w:t>
      </w:r>
      <w:r w:rsidR="00982AB0">
        <w:t>“.</w:t>
      </w:r>
    </w:p>
    <w:p w:rsidR="003332AE" w:rsidRPr="00DD3A7A" w:rsidRDefault="003332AE" w:rsidP="003332AE">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Bezbariérová vozidla </w:t>
      </w:r>
      <w:r w:rsidRPr="00DD3A7A">
        <w:rPr>
          <w:rFonts w:ascii="Times New Roman" w:hAnsi="Times New Roman" w:cs="Times New Roman"/>
          <w:sz w:val="24"/>
          <w:szCs w:val="24"/>
        </w:rPr>
        <w:t xml:space="preserve">tvoří </w:t>
      </w:r>
      <w:r>
        <w:rPr>
          <w:rFonts w:ascii="Times New Roman" w:hAnsi="Times New Roman" w:cs="Times New Roman"/>
          <w:sz w:val="24"/>
          <w:szCs w:val="24"/>
        </w:rPr>
        <w:t>v České republice přes 20 % z vozového parku všech dopravců</w:t>
      </w:r>
      <w:r w:rsidRPr="00DD3A7A">
        <w:rPr>
          <w:rFonts w:ascii="Times New Roman" w:hAnsi="Times New Roman" w:cs="Times New Roman"/>
          <w:sz w:val="24"/>
          <w:szCs w:val="24"/>
        </w:rPr>
        <w:t>.</w:t>
      </w:r>
      <w:r>
        <w:rPr>
          <w:rFonts w:ascii="Times New Roman" w:hAnsi="Times New Roman" w:cs="Times New Roman"/>
          <w:sz w:val="24"/>
          <w:szCs w:val="24"/>
        </w:rPr>
        <w:t>  O</w:t>
      </w:r>
      <w:r w:rsidRPr="00DD3A7A">
        <w:rPr>
          <w:rFonts w:ascii="Times New Roman" w:hAnsi="Times New Roman" w:cs="Times New Roman"/>
          <w:sz w:val="24"/>
          <w:szCs w:val="24"/>
        </w:rPr>
        <w:t xml:space="preserve">d roku 2007 </w:t>
      </w:r>
      <w:r>
        <w:rPr>
          <w:rFonts w:ascii="Times New Roman" w:hAnsi="Times New Roman" w:cs="Times New Roman"/>
          <w:sz w:val="24"/>
          <w:szCs w:val="24"/>
        </w:rPr>
        <w:t xml:space="preserve">dochází k postupnému </w:t>
      </w:r>
      <w:r w:rsidRPr="00DD3A7A">
        <w:rPr>
          <w:rFonts w:ascii="Times New Roman" w:hAnsi="Times New Roman" w:cs="Times New Roman"/>
          <w:sz w:val="24"/>
          <w:szCs w:val="24"/>
        </w:rPr>
        <w:t>nárůst</w:t>
      </w:r>
      <w:r>
        <w:rPr>
          <w:rFonts w:ascii="Times New Roman" w:hAnsi="Times New Roman" w:cs="Times New Roman"/>
          <w:sz w:val="24"/>
          <w:szCs w:val="24"/>
        </w:rPr>
        <w:t>u</w:t>
      </w:r>
      <w:r w:rsidRPr="00DD3A7A">
        <w:rPr>
          <w:rFonts w:ascii="Times New Roman" w:hAnsi="Times New Roman" w:cs="Times New Roman"/>
          <w:sz w:val="24"/>
          <w:szCs w:val="24"/>
        </w:rPr>
        <w:t xml:space="preserve"> počtu spojů, na kterých jsou nasazována bezbariérová vozidla. V roce 2017 </w:t>
      </w:r>
      <w:r w:rsidR="00982AB0">
        <w:rPr>
          <w:rFonts w:ascii="Times New Roman" w:hAnsi="Times New Roman" w:cs="Times New Roman"/>
          <w:sz w:val="24"/>
          <w:szCs w:val="24"/>
        </w:rPr>
        <w:t>j</w:t>
      </w:r>
      <w:r w:rsidRPr="00DD3A7A">
        <w:rPr>
          <w:rFonts w:ascii="Times New Roman" w:hAnsi="Times New Roman" w:cs="Times New Roman"/>
          <w:sz w:val="24"/>
          <w:szCs w:val="24"/>
        </w:rPr>
        <w:t>e takových spojů na české železni</w:t>
      </w:r>
      <w:r>
        <w:rPr>
          <w:rFonts w:ascii="Times New Roman" w:hAnsi="Times New Roman" w:cs="Times New Roman"/>
          <w:sz w:val="24"/>
          <w:szCs w:val="24"/>
        </w:rPr>
        <w:t>ční</w:t>
      </w:r>
      <w:r w:rsidRPr="00DD3A7A">
        <w:rPr>
          <w:rFonts w:ascii="Times New Roman" w:hAnsi="Times New Roman" w:cs="Times New Roman"/>
          <w:sz w:val="24"/>
          <w:szCs w:val="24"/>
        </w:rPr>
        <w:t xml:space="preserve"> síti </w:t>
      </w:r>
      <w:r>
        <w:rPr>
          <w:rFonts w:ascii="Times New Roman" w:hAnsi="Times New Roman" w:cs="Times New Roman"/>
          <w:sz w:val="24"/>
          <w:szCs w:val="24"/>
        </w:rPr>
        <w:t>více než 70 </w:t>
      </w:r>
      <w:r w:rsidRPr="00DD3A7A">
        <w:rPr>
          <w:rFonts w:ascii="Times New Roman" w:hAnsi="Times New Roman" w:cs="Times New Roman"/>
          <w:sz w:val="24"/>
          <w:szCs w:val="24"/>
        </w:rPr>
        <w:t>%. České dráhy nasadí bezbariérové vlaky na 4914 spojů po celé České republice</w:t>
      </w:r>
      <w:r>
        <w:rPr>
          <w:rFonts w:ascii="Times New Roman" w:hAnsi="Times New Roman" w:cs="Times New Roman"/>
          <w:sz w:val="24"/>
          <w:szCs w:val="24"/>
        </w:rPr>
        <w:t>. S</w:t>
      </w:r>
      <w:r w:rsidRPr="00DD3A7A">
        <w:rPr>
          <w:rFonts w:ascii="Times New Roman" w:hAnsi="Times New Roman" w:cs="Times New Roman"/>
          <w:sz w:val="24"/>
          <w:szCs w:val="24"/>
        </w:rPr>
        <w:t>polečnost GWT Regio nasazuje nízkopodlažní vlak</w:t>
      </w:r>
      <w:r>
        <w:rPr>
          <w:rFonts w:ascii="Times New Roman" w:hAnsi="Times New Roman" w:cs="Times New Roman"/>
          <w:sz w:val="24"/>
          <w:szCs w:val="24"/>
        </w:rPr>
        <w:t>y na tratě Kraslice – Sokolov a </w:t>
      </w:r>
      <w:r w:rsidRPr="00DD3A7A">
        <w:rPr>
          <w:rFonts w:ascii="Times New Roman" w:hAnsi="Times New Roman" w:cs="Times New Roman"/>
          <w:sz w:val="24"/>
          <w:szCs w:val="24"/>
        </w:rPr>
        <w:t>Karlovy Vary – Bečov nad Teplou – Mariánské Lázně (56 spojů) a b</w:t>
      </w:r>
      <w:r>
        <w:rPr>
          <w:rFonts w:ascii="Times New Roman" w:hAnsi="Times New Roman" w:cs="Times New Roman"/>
          <w:sz w:val="24"/>
          <w:szCs w:val="24"/>
        </w:rPr>
        <w:t>ezbariérové soupravy na linku R </w:t>
      </w:r>
      <w:r w:rsidRPr="00DD3A7A">
        <w:rPr>
          <w:rFonts w:ascii="Times New Roman" w:hAnsi="Times New Roman" w:cs="Times New Roman"/>
          <w:sz w:val="24"/>
          <w:szCs w:val="24"/>
        </w:rPr>
        <w:t xml:space="preserve">25 Plzeň </w:t>
      </w:r>
      <w:r>
        <w:rPr>
          <w:rFonts w:ascii="Times New Roman" w:hAnsi="Times New Roman" w:cs="Times New Roman"/>
          <w:sz w:val="24"/>
          <w:szCs w:val="24"/>
        </w:rPr>
        <w:t>–</w:t>
      </w:r>
      <w:r w:rsidRPr="00DD3A7A">
        <w:rPr>
          <w:rFonts w:ascii="Times New Roman" w:hAnsi="Times New Roman" w:cs="Times New Roman"/>
          <w:sz w:val="24"/>
          <w:szCs w:val="24"/>
        </w:rPr>
        <w:t xml:space="preserve"> Most</w:t>
      </w:r>
      <w:r>
        <w:rPr>
          <w:rFonts w:ascii="Times New Roman" w:hAnsi="Times New Roman" w:cs="Times New Roman"/>
          <w:sz w:val="24"/>
          <w:szCs w:val="24"/>
        </w:rPr>
        <w:t xml:space="preserve"> (8 spojů). </w:t>
      </w:r>
      <w:r w:rsidRPr="00B52F08">
        <w:rPr>
          <w:rFonts w:ascii="Times New Roman" w:hAnsi="Times New Roman" w:cs="Times New Roman"/>
          <w:sz w:val="24"/>
          <w:szCs w:val="24"/>
        </w:rPr>
        <w:t xml:space="preserve">Leo Express </w:t>
      </w:r>
      <w:r w:rsidRPr="00DD3A7A">
        <w:rPr>
          <w:rFonts w:ascii="Times New Roman" w:hAnsi="Times New Roman" w:cs="Times New Roman"/>
          <w:sz w:val="24"/>
          <w:szCs w:val="24"/>
        </w:rPr>
        <w:t>n</w:t>
      </w:r>
      <w:r>
        <w:rPr>
          <w:rFonts w:ascii="Times New Roman" w:hAnsi="Times New Roman" w:cs="Times New Roman"/>
          <w:sz w:val="24"/>
          <w:szCs w:val="24"/>
        </w:rPr>
        <w:t>asazuje nízkopodlažní jednotky F</w:t>
      </w:r>
      <w:r w:rsidRPr="00DD3A7A">
        <w:rPr>
          <w:rFonts w:ascii="Times New Roman" w:hAnsi="Times New Roman" w:cs="Times New Roman"/>
          <w:sz w:val="24"/>
          <w:szCs w:val="24"/>
        </w:rPr>
        <w:t>lirt na vozební ramena Praha – Ostrava – Košice a Praha – Staré Město u Uherského Hradiště</w:t>
      </w:r>
      <w:r>
        <w:rPr>
          <w:rFonts w:ascii="Times New Roman" w:hAnsi="Times New Roman" w:cs="Times New Roman"/>
          <w:sz w:val="24"/>
          <w:szCs w:val="24"/>
        </w:rPr>
        <w:t>, celkem se jedná o 24 </w:t>
      </w:r>
      <w:r w:rsidRPr="00DD3A7A">
        <w:rPr>
          <w:rFonts w:ascii="Times New Roman" w:hAnsi="Times New Roman" w:cs="Times New Roman"/>
          <w:sz w:val="24"/>
          <w:szCs w:val="24"/>
        </w:rPr>
        <w:t>spojů.</w:t>
      </w:r>
      <w:r w:rsidRPr="00B52F08">
        <w:rPr>
          <w:rFonts w:ascii="Times New Roman" w:hAnsi="Times New Roman" w:cs="Times New Roman"/>
          <w:sz w:val="24"/>
          <w:szCs w:val="24"/>
        </w:rPr>
        <w:t xml:space="preserve"> </w:t>
      </w:r>
      <w:r w:rsidRPr="004A22FF">
        <w:rPr>
          <w:rFonts w:ascii="Times New Roman" w:hAnsi="Times New Roman" w:cs="Times New Roman"/>
          <w:sz w:val="24"/>
          <w:szCs w:val="24"/>
        </w:rPr>
        <w:t xml:space="preserve">Celkově </w:t>
      </w:r>
      <w:r w:rsidR="00982AB0">
        <w:rPr>
          <w:rFonts w:ascii="Times New Roman" w:hAnsi="Times New Roman" w:cs="Times New Roman"/>
          <w:sz w:val="24"/>
          <w:szCs w:val="24"/>
        </w:rPr>
        <w:t>j</w:t>
      </w:r>
      <w:r w:rsidRPr="004A22FF">
        <w:rPr>
          <w:rFonts w:ascii="Times New Roman" w:hAnsi="Times New Roman" w:cs="Times New Roman"/>
          <w:sz w:val="24"/>
          <w:szCs w:val="24"/>
        </w:rPr>
        <w:t>e v roce 2017 vypravováno cca 5</w:t>
      </w:r>
      <w:r w:rsidR="00B2575B">
        <w:rPr>
          <w:rFonts w:ascii="Times New Roman" w:hAnsi="Times New Roman" w:cs="Times New Roman"/>
          <w:sz w:val="24"/>
          <w:szCs w:val="24"/>
        </w:rPr>
        <w:t xml:space="preserve"> </w:t>
      </w:r>
      <w:r w:rsidRPr="008E0E56">
        <w:rPr>
          <w:rFonts w:ascii="Times New Roman" w:hAnsi="Times New Roman" w:cs="Times New Roman"/>
          <w:sz w:val="24"/>
          <w:szCs w:val="24"/>
        </w:rPr>
        <w:t xml:space="preserve">000 bezbariérových spojů. </w:t>
      </w:r>
    </w:p>
    <w:p w:rsidR="00F04AF1" w:rsidRDefault="003332AE" w:rsidP="003332AE">
      <w:pPr>
        <w:spacing w:after="120" w:line="240" w:lineRule="auto"/>
        <w:ind w:firstLine="709"/>
        <w:jc w:val="both"/>
        <w:rPr>
          <w:rFonts w:ascii="Times New Roman" w:hAnsi="Times New Roman" w:cs="Times New Roman"/>
          <w:sz w:val="24"/>
          <w:szCs w:val="24"/>
        </w:rPr>
      </w:pPr>
      <w:r w:rsidRPr="00DD3A7A">
        <w:rPr>
          <w:rFonts w:ascii="Times New Roman" w:hAnsi="Times New Roman" w:cs="Times New Roman"/>
          <w:sz w:val="24"/>
          <w:szCs w:val="24"/>
        </w:rPr>
        <w:t>Provozní pravidla přepravy cestujících se zdravotním</w:t>
      </w:r>
      <w:r w:rsidR="00982AB0">
        <w:rPr>
          <w:rFonts w:ascii="Times New Roman" w:hAnsi="Times New Roman" w:cs="Times New Roman"/>
          <w:sz w:val="24"/>
          <w:szCs w:val="24"/>
        </w:rPr>
        <w:t xml:space="preserve"> postižením stanovují jednotliví</w:t>
      </w:r>
      <w:r w:rsidR="00503562">
        <w:rPr>
          <w:rFonts w:ascii="Times New Roman" w:hAnsi="Times New Roman" w:cs="Times New Roman"/>
          <w:sz w:val="24"/>
          <w:szCs w:val="24"/>
        </w:rPr>
        <w:t xml:space="preserve"> dopravci. Pokud cestující použije vlaku, kde není pravidelně řazen vůz pro přepravu osob s omezenou mobilitou</w:t>
      </w:r>
      <w:r w:rsidR="002B3255">
        <w:rPr>
          <w:rFonts w:ascii="Times New Roman" w:hAnsi="Times New Roman" w:cs="Times New Roman"/>
          <w:sz w:val="24"/>
          <w:szCs w:val="24"/>
        </w:rPr>
        <w:t>,</w:t>
      </w:r>
      <w:r w:rsidR="00503562">
        <w:rPr>
          <w:rFonts w:ascii="Times New Roman" w:hAnsi="Times New Roman" w:cs="Times New Roman"/>
          <w:sz w:val="24"/>
          <w:szCs w:val="24"/>
        </w:rPr>
        <w:t xml:space="preserve"> resp. nastupuje, přestupuje nebo vystupuje ve stanici bez bezbariérového přístupu, je</w:t>
      </w:r>
      <w:r w:rsidRPr="00DD3A7A">
        <w:rPr>
          <w:rFonts w:ascii="Times New Roman" w:hAnsi="Times New Roman" w:cs="Times New Roman"/>
          <w:sz w:val="24"/>
          <w:szCs w:val="24"/>
        </w:rPr>
        <w:t xml:space="preserve"> </w:t>
      </w:r>
      <w:r w:rsidR="00982AB0">
        <w:rPr>
          <w:rFonts w:ascii="Times New Roman" w:hAnsi="Times New Roman" w:cs="Times New Roman"/>
          <w:sz w:val="24"/>
          <w:szCs w:val="24"/>
        </w:rPr>
        <w:t>obvykle</w:t>
      </w:r>
      <w:r w:rsidRPr="00DD3A7A">
        <w:rPr>
          <w:rFonts w:ascii="Times New Roman" w:hAnsi="Times New Roman" w:cs="Times New Roman"/>
          <w:sz w:val="24"/>
          <w:szCs w:val="24"/>
        </w:rPr>
        <w:t xml:space="preserve"> vyžadováno předhlášení přepravy 24 h před plánovanou jízdou. Asistenci provádí vlakový personál. Ve vybraných 76 stanicích jsou cestujícím k dispozici zvedací plošiny.</w:t>
      </w:r>
      <w:r w:rsidR="00503562">
        <w:rPr>
          <w:rFonts w:ascii="Times New Roman" w:hAnsi="Times New Roman" w:cs="Times New Roman"/>
          <w:sz w:val="24"/>
          <w:szCs w:val="24"/>
        </w:rPr>
        <w:t xml:space="preserve"> Ve vlacích, které jsou svojí konstrukcí bezbariérové</w:t>
      </w:r>
      <w:r w:rsidR="002B3255">
        <w:rPr>
          <w:rFonts w:ascii="Times New Roman" w:hAnsi="Times New Roman" w:cs="Times New Roman"/>
          <w:sz w:val="24"/>
          <w:szCs w:val="24"/>
        </w:rPr>
        <w:t>,</w:t>
      </w:r>
      <w:r w:rsidR="00503562">
        <w:rPr>
          <w:rFonts w:ascii="Times New Roman" w:hAnsi="Times New Roman" w:cs="Times New Roman"/>
          <w:sz w:val="24"/>
          <w:szCs w:val="24"/>
        </w:rPr>
        <w:t xml:space="preserve"> nebo je pravidelně řazen vůz pro přepravu osob s omezenou mobilitou a cestující nepotřebuje další asistence pro přístup na nástupiště, není předhlášení jízdy vyžadováno. </w:t>
      </w:r>
      <w:r w:rsidRPr="00DD3A7A">
        <w:rPr>
          <w:rFonts w:ascii="Times New Roman" w:hAnsi="Times New Roman" w:cs="Times New Roman"/>
          <w:sz w:val="24"/>
          <w:szCs w:val="24"/>
        </w:rPr>
        <w:t xml:space="preserve"> </w:t>
      </w:r>
      <w:r>
        <w:rPr>
          <w:rFonts w:ascii="Times New Roman" w:hAnsi="Times New Roman" w:cs="Times New Roman"/>
          <w:sz w:val="24"/>
          <w:szCs w:val="24"/>
        </w:rPr>
        <w:t xml:space="preserve">Počet přepravených osob se zdravotním postižením každoročně roste. </w:t>
      </w:r>
    </w:p>
    <w:p w:rsidR="009C053D" w:rsidRDefault="00D06F37" w:rsidP="003332AE">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 roce 2016 přepravily České dráhy téměř 6 tisíc cestujících, kteří si dopředu vyžádali asistenci železničního personálu. V tomto počtu nejsou zahrnuti vozíčkáři, kteří využívají nízkopodlažní vozidla bez potřeby asistence; jejich počet dopravce odhaduje na 4 tisíce osob. </w:t>
      </w:r>
    </w:p>
    <w:p w:rsidR="00D933BB" w:rsidRDefault="00D933BB" w:rsidP="00D933BB">
      <w:pPr>
        <w:spacing w:after="120" w:line="240" w:lineRule="auto"/>
        <w:ind w:firstLine="709"/>
        <w:jc w:val="both"/>
        <w:rPr>
          <w:rFonts w:ascii="Times New Roman" w:hAnsi="Times New Roman" w:cs="Times New Roman"/>
          <w:i/>
          <w:sz w:val="24"/>
          <w:szCs w:val="24"/>
        </w:rPr>
      </w:pPr>
    </w:p>
    <w:p w:rsidR="00D933BB" w:rsidRPr="00D933BB" w:rsidRDefault="00D933BB" w:rsidP="00D933BB">
      <w:pPr>
        <w:spacing w:after="120" w:line="240" w:lineRule="auto"/>
        <w:ind w:firstLine="709"/>
        <w:jc w:val="both"/>
        <w:rPr>
          <w:rFonts w:ascii="Times New Roman" w:hAnsi="Times New Roman" w:cs="Times New Roman"/>
          <w:i/>
          <w:sz w:val="24"/>
          <w:szCs w:val="24"/>
        </w:rPr>
      </w:pPr>
      <w:r w:rsidRPr="00D933BB">
        <w:rPr>
          <w:rFonts w:ascii="Times New Roman" w:hAnsi="Times New Roman" w:cs="Times New Roman"/>
          <w:i/>
          <w:sz w:val="24"/>
          <w:szCs w:val="24"/>
        </w:rPr>
        <w:t>Tabulka 2 Vývoj přeprav cestujících vozíčkářů</w:t>
      </w:r>
      <w:r>
        <w:rPr>
          <w:rFonts w:ascii="Times New Roman" w:hAnsi="Times New Roman" w:cs="Times New Roman"/>
          <w:i/>
          <w:sz w:val="24"/>
          <w:szCs w:val="24"/>
        </w:rPr>
        <w:t xml:space="preserve"> (České dráhy)</w:t>
      </w:r>
      <w:r w:rsidRPr="00D933BB">
        <w:rPr>
          <w:rFonts w:ascii="Times New Roman" w:hAnsi="Times New Roman" w:cs="Times New Roman"/>
          <w:i/>
          <w:sz w:val="24"/>
          <w:szCs w:val="24"/>
        </w:rPr>
        <w:t>:</w:t>
      </w:r>
    </w:p>
    <w:p w:rsidR="00D933BB" w:rsidRDefault="00D933BB" w:rsidP="00D933BB">
      <w:pPr>
        <w:autoSpaceDE w:val="0"/>
        <w:autoSpaceDN w:val="0"/>
        <w:adjustRightInd w:val="0"/>
        <w:spacing w:after="0" w:line="240" w:lineRule="auto"/>
        <w:rPr>
          <w:rFonts w:ascii="Tms Rmn" w:eastAsia="Times New Roman" w:hAnsi="Tms Rmn" w:cs="Times New Roman"/>
          <w:sz w:val="24"/>
          <w:szCs w:val="24"/>
          <w:lang w:eastAsia="cs-CZ"/>
        </w:rPr>
      </w:pPr>
    </w:p>
    <w:tbl>
      <w:tblPr>
        <w:tblW w:w="6237" w:type="dxa"/>
        <w:tblInd w:w="8" w:type="dxa"/>
        <w:tblLayout w:type="fixed"/>
        <w:tblCellMar>
          <w:left w:w="0" w:type="dxa"/>
          <w:right w:w="0" w:type="dxa"/>
        </w:tblCellMar>
        <w:tblLook w:val="00A0" w:firstRow="1" w:lastRow="0" w:firstColumn="1" w:lastColumn="0" w:noHBand="0" w:noVBand="0"/>
      </w:tblPr>
      <w:tblGrid>
        <w:gridCol w:w="2321"/>
        <w:gridCol w:w="1365"/>
        <w:gridCol w:w="1276"/>
        <w:gridCol w:w="1275"/>
      </w:tblGrid>
      <w:tr w:rsidR="00D933BB" w:rsidTr="00B23533">
        <w:trPr>
          <w:trHeight w:val="290"/>
        </w:trPr>
        <w:tc>
          <w:tcPr>
            <w:tcW w:w="3686" w:type="dxa"/>
            <w:gridSpan w:val="2"/>
            <w:tcBorders>
              <w:top w:val="single" w:sz="6" w:space="0" w:color="000000"/>
              <w:left w:val="single" w:sz="6" w:space="0" w:color="000000"/>
              <w:bottom w:val="single" w:sz="6" w:space="0" w:color="000000"/>
              <w:right w:val="single" w:sz="6" w:space="0" w:color="000000"/>
            </w:tcBorders>
            <w:shd w:val="solid" w:color="D0CECE" w:themeColor="background2" w:themeShade="E6" w:fill="auto"/>
          </w:tcPr>
          <w:p w:rsidR="00D933BB" w:rsidRPr="00B23533" w:rsidRDefault="00D933BB" w:rsidP="003226C9">
            <w:pPr>
              <w:autoSpaceDE w:val="0"/>
              <w:autoSpaceDN w:val="0"/>
              <w:adjustRightInd w:val="0"/>
              <w:spacing w:after="0" w:line="240" w:lineRule="auto"/>
              <w:jc w:val="center"/>
              <w:rPr>
                <w:rFonts w:ascii="Calibri" w:eastAsia="Times New Roman" w:hAnsi="Calibri" w:cs="Calibri"/>
                <w:b/>
                <w:color w:val="000000"/>
                <w:lang w:eastAsia="cs-CZ"/>
              </w:rPr>
            </w:pPr>
            <w:r w:rsidRPr="00B23533">
              <w:rPr>
                <w:rFonts w:ascii="Calibri" w:eastAsia="Times New Roman" w:hAnsi="Calibri" w:cs="Calibri"/>
                <w:b/>
                <w:color w:val="000000"/>
                <w:lang w:eastAsia="cs-CZ"/>
              </w:rPr>
              <w:t>Objednávky přeprav - vozíčkáři</w:t>
            </w:r>
          </w:p>
        </w:tc>
        <w:tc>
          <w:tcPr>
            <w:tcW w:w="1276" w:type="dxa"/>
            <w:tcBorders>
              <w:top w:val="single" w:sz="6" w:space="0" w:color="000000"/>
              <w:left w:val="single" w:sz="6" w:space="0" w:color="000000"/>
              <w:bottom w:val="single" w:sz="6" w:space="0" w:color="000000"/>
              <w:right w:val="single" w:sz="6" w:space="0" w:color="000000"/>
            </w:tcBorders>
            <w:shd w:val="solid" w:color="D0CECE" w:themeColor="background2" w:themeShade="E6" w:fill="auto"/>
          </w:tcPr>
          <w:p w:rsidR="00D933BB" w:rsidRDefault="00D933BB" w:rsidP="003226C9">
            <w:pPr>
              <w:autoSpaceDE w:val="0"/>
              <w:autoSpaceDN w:val="0"/>
              <w:adjustRightInd w:val="0"/>
              <w:spacing w:after="0" w:line="240" w:lineRule="auto"/>
              <w:ind w:left="15"/>
              <w:jc w:val="center"/>
              <w:rPr>
                <w:rFonts w:ascii="Calibri" w:eastAsia="Times New Roman" w:hAnsi="Calibri" w:cs="Calibri"/>
                <w:color w:val="000000"/>
                <w:lang w:eastAsia="cs-CZ"/>
              </w:rPr>
            </w:pPr>
          </w:p>
        </w:tc>
        <w:tc>
          <w:tcPr>
            <w:tcW w:w="1275" w:type="dxa"/>
            <w:tcBorders>
              <w:top w:val="single" w:sz="6" w:space="0" w:color="000000"/>
              <w:left w:val="single" w:sz="6" w:space="0" w:color="000000"/>
              <w:bottom w:val="single" w:sz="6" w:space="0" w:color="000000"/>
              <w:right w:val="single" w:sz="6" w:space="0" w:color="000000"/>
            </w:tcBorders>
            <w:shd w:val="solid" w:color="D0CECE" w:themeColor="background2" w:themeShade="E6" w:fill="auto"/>
          </w:tcPr>
          <w:p w:rsidR="00D933BB" w:rsidRDefault="00D933BB" w:rsidP="003226C9">
            <w:pPr>
              <w:autoSpaceDE w:val="0"/>
              <w:autoSpaceDN w:val="0"/>
              <w:adjustRightInd w:val="0"/>
              <w:spacing w:after="0" w:line="240" w:lineRule="auto"/>
              <w:ind w:left="15"/>
              <w:rPr>
                <w:rFonts w:ascii="Calibri" w:eastAsia="Times New Roman" w:hAnsi="Calibri" w:cs="Calibri"/>
                <w:color w:val="000000"/>
                <w:lang w:eastAsia="cs-CZ"/>
              </w:rPr>
            </w:pPr>
          </w:p>
        </w:tc>
      </w:tr>
      <w:tr w:rsidR="00B23533" w:rsidTr="00B23533">
        <w:trPr>
          <w:trHeight w:val="290"/>
        </w:trPr>
        <w:tc>
          <w:tcPr>
            <w:tcW w:w="2321" w:type="dxa"/>
            <w:tcBorders>
              <w:top w:val="single" w:sz="6" w:space="0" w:color="000000"/>
              <w:left w:val="single" w:sz="6" w:space="0" w:color="000000"/>
              <w:bottom w:val="single" w:sz="6" w:space="0" w:color="000000"/>
              <w:right w:val="single" w:sz="6" w:space="0" w:color="000000"/>
            </w:tcBorders>
            <w:shd w:val="solid" w:color="D0CECE" w:themeColor="background2" w:themeShade="E6" w:fill="auto"/>
          </w:tcPr>
          <w:p w:rsidR="00D933BB" w:rsidRDefault="00D933BB" w:rsidP="003226C9">
            <w:pPr>
              <w:autoSpaceDE w:val="0"/>
              <w:autoSpaceDN w:val="0"/>
              <w:adjustRightInd w:val="0"/>
              <w:spacing w:after="0" w:line="240" w:lineRule="auto"/>
              <w:jc w:val="center"/>
              <w:rPr>
                <w:rFonts w:ascii="Calibri" w:eastAsia="Times New Roman" w:hAnsi="Calibri" w:cs="Calibri"/>
                <w:color w:val="000000"/>
                <w:lang w:eastAsia="cs-CZ"/>
              </w:rPr>
            </w:pPr>
          </w:p>
        </w:tc>
        <w:tc>
          <w:tcPr>
            <w:tcW w:w="1365" w:type="dxa"/>
            <w:tcBorders>
              <w:top w:val="single" w:sz="6" w:space="0" w:color="000000"/>
              <w:left w:val="single" w:sz="6" w:space="0" w:color="000000"/>
              <w:bottom w:val="single" w:sz="6" w:space="0" w:color="000000"/>
              <w:right w:val="single" w:sz="6" w:space="0" w:color="000000"/>
            </w:tcBorders>
            <w:shd w:val="solid" w:color="D0CECE" w:themeColor="background2" w:themeShade="E6" w:fill="auto"/>
          </w:tcPr>
          <w:p w:rsidR="00D933BB" w:rsidRDefault="00D933BB" w:rsidP="003226C9">
            <w:pPr>
              <w:autoSpaceDE w:val="0"/>
              <w:autoSpaceDN w:val="0"/>
              <w:adjustRightInd w:val="0"/>
              <w:spacing w:after="0" w:line="240" w:lineRule="auto"/>
              <w:ind w:left="15"/>
              <w:jc w:val="center"/>
              <w:rPr>
                <w:rFonts w:ascii="Calibri" w:eastAsia="Times New Roman" w:hAnsi="Calibri" w:cs="Calibri"/>
                <w:color w:val="000000"/>
                <w:lang w:eastAsia="cs-CZ"/>
              </w:rPr>
            </w:pPr>
            <w:r>
              <w:rPr>
                <w:rFonts w:ascii="Calibri" w:eastAsia="Times New Roman" w:hAnsi="Calibri" w:cs="Calibri"/>
                <w:color w:val="000000"/>
                <w:lang w:eastAsia="cs-CZ"/>
              </w:rPr>
              <w:t>2014</w:t>
            </w:r>
          </w:p>
        </w:tc>
        <w:tc>
          <w:tcPr>
            <w:tcW w:w="1276" w:type="dxa"/>
            <w:tcBorders>
              <w:top w:val="single" w:sz="6" w:space="0" w:color="000000"/>
              <w:left w:val="single" w:sz="6" w:space="0" w:color="000000"/>
              <w:bottom w:val="single" w:sz="6" w:space="0" w:color="000000"/>
              <w:right w:val="single" w:sz="6" w:space="0" w:color="000000"/>
            </w:tcBorders>
            <w:shd w:val="solid" w:color="D0CECE" w:themeColor="background2" w:themeShade="E6" w:fill="auto"/>
          </w:tcPr>
          <w:p w:rsidR="00D933BB" w:rsidRDefault="00D933BB" w:rsidP="003226C9">
            <w:pPr>
              <w:autoSpaceDE w:val="0"/>
              <w:autoSpaceDN w:val="0"/>
              <w:adjustRightInd w:val="0"/>
              <w:spacing w:after="0" w:line="240" w:lineRule="auto"/>
              <w:ind w:left="15"/>
              <w:jc w:val="center"/>
              <w:rPr>
                <w:rFonts w:ascii="Calibri" w:eastAsia="Times New Roman" w:hAnsi="Calibri" w:cs="Calibri"/>
                <w:color w:val="000000"/>
                <w:lang w:eastAsia="cs-CZ"/>
              </w:rPr>
            </w:pPr>
            <w:r>
              <w:rPr>
                <w:rFonts w:ascii="Calibri" w:eastAsia="Times New Roman" w:hAnsi="Calibri" w:cs="Calibri"/>
                <w:color w:val="000000"/>
                <w:lang w:eastAsia="cs-CZ"/>
              </w:rPr>
              <w:t>2015</w:t>
            </w:r>
          </w:p>
        </w:tc>
        <w:tc>
          <w:tcPr>
            <w:tcW w:w="1275" w:type="dxa"/>
            <w:tcBorders>
              <w:top w:val="single" w:sz="6" w:space="0" w:color="000000"/>
              <w:left w:val="single" w:sz="6" w:space="0" w:color="000000"/>
              <w:bottom w:val="single" w:sz="6" w:space="0" w:color="000000"/>
              <w:right w:val="single" w:sz="6" w:space="0" w:color="000000"/>
            </w:tcBorders>
            <w:shd w:val="solid" w:color="D0CECE" w:themeColor="background2" w:themeShade="E6" w:fill="auto"/>
          </w:tcPr>
          <w:p w:rsidR="00D933BB" w:rsidRDefault="00D933BB" w:rsidP="003226C9">
            <w:pPr>
              <w:autoSpaceDE w:val="0"/>
              <w:autoSpaceDN w:val="0"/>
              <w:adjustRightInd w:val="0"/>
              <w:spacing w:after="0" w:line="240" w:lineRule="auto"/>
              <w:ind w:left="15"/>
              <w:jc w:val="center"/>
              <w:rPr>
                <w:rFonts w:ascii="Calibri" w:eastAsia="Times New Roman" w:hAnsi="Calibri" w:cs="Calibri"/>
                <w:color w:val="000000"/>
                <w:lang w:eastAsia="cs-CZ"/>
              </w:rPr>
            </w:pPr>
            <w:r>
              <w:rPr>
                <w:rFonts w:ascii="Calibri" w:eastAsia="Times New Roman" w:hAnsi="Calibri" w:cs="Calibri"/>
                <w:color w:val="000000"/>
                <w:lang w:eastAsia="cs-CZ"/>
              </w:rPr>
              <w:t>2016</w:t>
            </w:r>
          </w:p>
        </w:tc>
      </w:tr>
      <w:tr w:rsidR="00B23533" w:rsidTr="00B23533">
        <w:trPr>
          <w:trHeight w:val="290"/>
        </w:trPr>
        <w:tc>
          <w:tcPr>
            <w:tcW w:w="2321" w:type="dxa"/>
            <w:tcBorders>
              <w:top w:val="single" w:sz="6" w:space="0" w:color="000000"/>
              <w:left w:val="single" w:sz="6" w:space="0" w:color="000000"/>
              <w:bottom w:val="single" w:sz="6" w:space="0" w:color="000000"/>
              <w:right w:val="single" w:sz="6" w:space="0" w:color="000000"/>
            </w:tcBorders>
            <w:shd w:val="solid" w:color="D0CECE" w:themeColor="background2" w:themeShade="E6" w:fill="auto"/>
          </w:tcPr>
          <w:p w:rsidR="00D933BB" w:rsidRDefault="00D933BB" w:rsidP="003226C9">
            <w:pPr>
              <w:autoSpaceDE w:val="0"/>
              <w:autoSpaceDN w:val="0"/>
              <w:adjustRightInd w:val="0"/>
              <w:spacing w:after="0" w:line="240" w:lineRule="auto"/>
              <w:jc w:val="center"/>
              <w:rPr>
                <w:rFonts w:ascii="Calibri" w:eastAsia="Times New Roman" w:hAnsi="Calibri" w:cs="Calibri"/>
                <w:color w:val="000000"/>
                <w:lang w:eastAsia="cs-CZ"/>
              </w:rPr>
            </w:pPr>
          </w:p>
        </w:tc>
        <w:tc>
          <w:tcPr>
            <w:tcW w:w="1365" w:type="dxa"/>
            <w:tcBorders>
              <w:top w:val="single" w:sz="6" w:space="0" w:color="000000"/>
              <w:left w:val="single" w:sz="6" w:space="0" w:color="000000"/>
              <w:bottom w:val="single" w:sz="6" w:space="0" w:color="000000"/>
              <w:right w:val="single" w:sz="6" w:space="0" w:color="000000"/>
            </w:tcBorders>
            <w:shd w:val="solid" w:color="D0CECE" w:themeColor="background2" w:themeShade="E6" w:fill="auto"/>
          </w:tcPr>
          <w:p w:rsidR="00D933BB" w:rsidRDefault="00D933BB" w:rsidP="003226C9">
            <w:pPr>
              <w:autoSpaceDE w:val="0"/>
              <w:autoSpaceDN w:val="0"/>
              <w:adjustRightInd w:val="0"/>
              <w:spacing w:after="0" w:line="240" w:lineRule="auto"/>
              <w:ind w:left="15"/>
              <w:jc w:val="center"/>
              <w:rPr>
                <w:rFonts w:ascii="Calibri" w:eastAsia="Times New Roman" w:hAnsi="Calibri" w:cs="Calibri"/>
                <w:color w:val="000000"/>
                <w:lang w:eastAsia="cs-CZ"/>
              </w:rPr>
            </w:pPr>
            <w:r>
              <w:rPr>
                <w:rFonts w:ascii="Calibri" w:eastAsia="Times New Roman" w:hAnsi="Calibri" w:cs="Calibri"/>
                <w:color w:val="000000"/>
                <w:lang w:eastAsia="cs-CZ"/>
              </w:rPr>
              <w:t>28.3-31.12.</w:t>
            </w:r>
          </w:p>
        </w:tc>
        <w:tc>
          <w:tcPr>
            <w:tcW w:w="1276" w:type="dxa"/>
            <w:tcBorders>
              <w:top w:val="single" w:sz="6" w:space="0" w:color="000000"/>
              <w:left w:val="single" w:sz="6" w:space="0" w:color="000000"/>
              <w:bottom w:val="single" w:sz="6" w:space="0" w:color="000000"/>
              <w:right w:val="single" w:sz="6" w:space="0" w:color="000000"/>
            </w:tcBorders>
            <w:shd w:val="solid" w:color="D0CECE" w:themeColor="background2" w:themeShade="E6" w:fill="auto"/>
          </w:tcPr>
          <w:p w:rsidR="00D933BB" w:rsidRDefault="00D933BB" w:rsidP="003226C9">
            <w:pPr>
              <w:autoSpaceDE w:val="0"/>
              <w:autoSpaceDN w:val="0"/>
              <w:adjustRightInd w:val="0"/>
              <w:spacing w:after="0" w:line="240" w:lineRule="auto"/>
              <w:ind w:left="15"/>
              <w:jc w:val="center"/>
              <w:rPr>
                <w:rFonts w:ascii="Calibri" w:eastAsia="Times New Roman" w:hAnsi="Calibri" w:cs="Calibri"/>
                <w:color w:val="000000"/>
                <w:lang w:eastAsia="cs-CZ"/>
              </w:rPr>
            </w:pPr>
            <w:r>
              <w:rPr>
                <w:rFonts w:ascii="Calibri" w:eastAsia="Times New Roman" w:hAnsi="Calibri" w:cs="Calibri"/>
                <w:color w:val="000000"/>
                <w:lang w:eastAsia="cs-CZ"/>
              </w:rPr>
              <w:t>1.1.-31.12.</w:t>
            </w:r>
          </w:p>
        </w:tc>
        <w:tc>
          <w:tcPr>
            <w:tcW w:w="1275" w:type="dxa"/>
            <w:tcBorders>
              <w:top w:val="single" w:sz="6" w:space="0" w:color="000000"/>
              <w:left w:val="single" w:sz="6" w:space="0" w:color="000000"/>
              <w:bottom w:val="single" w:sz="6" w:space="0" w:color="000000"/>
              <w:right w:val="single" w:sz="6" w:space="0" w:color="000000"/>
            </w:tcBorders>
            <w:shd w:val="solid" w:color="D0CECE" w:themeColor="background2" w:themeShade="E6" w:fill="auto"/>
          </w:tcPr>
          <w:p w:rsidR="00D933BB" w:rsidRDefault="00D933BB" w:rsidP="003226C9">
            <w:pPr>
              <w:autoSpaceDE w:val="0"/>
              <w:autoSpaceDN w:val="0"/>
              <w:adjustRightInd w:val="0"/>
              <w:spacing w:after="0" w:line="240" w:lineRule="auto"/>
              <w:ind w:left="15"/>
              <w:jc w:val="center"/>
              <w:rPr>
                <w:rFonts w:ascii="Calibri" w:eastAsia="Times New Roman" w:hAnsi="Calibri" w:cs="Calibri"/>
                <w:color w:val="000000"/>
                <w:lang w:eastAsia="cs-CZ"/>
              </w:rPr>
            </w:pPr>
            <w:r>
              <w:rPr>
                <w:rFonts w:ascii="Calibri" w:eastAsia="Times New Roman" w:hAnsi="Calibri" w:cs="Calibri"/>
                <w:color w:val="000000"/>
                <w:lang w:eastAsia="cs-CZ"/>
              </w:rPr>
              <w:t>1.1.-31.12.</w:t>
            </w:r>
          </w:p>
        </w:tc>
      </w:tr>
      <w:tr w:rsidR="00D933BB" w:rsidTr="003226C9">
        <w:trPr>
          <w:trHeight w:val="290"/>
        </w:trPr>
        <w:tc>
          <w:tcPr>
            <w:tcW w:w="2321"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schváleno</w:t>
            </w:r>
          </w:p>
        </w:tc>
        <w:tc>
          <w:tcPr>
            <w:tcW w:w="1365"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4310</w:t>
            </w:r>
          </w:p>
        </w:tc>
        <w:tc>
          <w:tcPr>
            <w:tcW w:w="1276"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5297</w:t>
            </w:r>
          </w:p>
        </w:tc>
        <w:tc>
          <w:tcPr>
            <w:tcW w:w="1275"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5957</w:t>
            </w:r>
          </w:p>
        </w:tc>
      </w:tr>
      <w:tr w:rsidR="00D933BB" w:rsidTr="003226C9">
        <w:trPr>
          <w:trHeight w:val="290"/>
        </w:trPr>
        <w:tc>
          <w:tcPr>
            <w:tcW w:w="2321"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zamítnuto</w:t>
            </w:r>
          </w:p>
        </w:tc>
        <w:tc>
          <w:tcPr>
            <w:tcW w:w="1365"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394</w:t>
            </w:r>
          </w:p>
        </w:tc>
        <w:tc>
          <w:tcPr>
            <w:tcW w:w="1276"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391</w:t>
            </w:r>
          </w:p>
        </w:tc>
        <w:tc>
          <w:tcPr>
            <w:tcW w:w="1275"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419</w:t>
            </w:r>
          </w:p>
        </w:tc>
      </w:tr>
      <w:tr w:rsidR="00D933BB" w:rsidTr="003226C9">
        <w:trPr>
          <w:trHeight w:val="290"/>
        </w:trPr>
        <w:tc>
          <w:tcPr>
            <w:tcW w:w="2321"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stornováno cestujícím</w:t>
            </w:r>
          </w:p>
        </w:tc>
        <w:tc>
          <w:tcPr>
            <w:tcW w:w="1365"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406</w:t>
            </w:r>
          </w:p>
        </w:tc>
        <w:tc>
          <w:tcPr>
            <w:tcW w:w="1276"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675</w:t>
            </w:r>
          </w:p>
        </w:tc>
        <w:tc>
          <w:tcPr>
            <w:tcW w:w="1275"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774</w:t>
            </w:r>
          </w:p>
        </w:tc>
      </w:tr>
      <w:tr w:rsidR="00D933BB" w:rsidTr="00B23533">
        <w:trPr>
          <w:trHeight w:val="290"/>
        </w:trPr>
        <w:tc>
          <w:tcPr>
            <w:tcW w:w="2321"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 řešení</w:t>
            </w:r>
          </w:p>
        </w:tc>
        <w:tc>
          <w:tcPr>
            <w:tcW w:w="1365"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0</w:t>
            </w:r>
          </w:p>
        </w:tc>
        <w:tc>
          <w:tcPr>
            <w:tcW w:w="1276"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0</w:t>
            </w:r>
          </w:p>
        </w:tc>
        <w:tc>
          <w:tcPr>
            <w:tcW w:w="1275" w:type="dxa"/>
            <w:tcBorders>
              <w:top w:val="single" w:sz="6" w:space="0" w:color="000000"/>
              <w:left w:val="single" w:sz="6" w:space="0" w:color="000000"/>
              <w:bottom w:val="single" w:sz="6" w:space="0" w:color="000000"/>
              <w:right w:val="single" w:sz="6" w:space="0" w:color="000000"/>
            </w:tcBorders>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0</w:t>
            </w:r>
          </w:p>
        </w:tc>
      </w:tr>
      <w:tr w:rsidR="00D933BB" w:rsidTr="00B23533">
        <w:trPr>
          <w:trHeight w:val="290"/>
        </w:trPr>
        <w:tc>
          <w:tcPr>
            <w:tcW w:w="2321" w:type="dxa"/>
            <w:tcBorders>
              <w:top w:val="single" w:sz="6" w:space="0" w:color="000000"/>
              <w:left w:val="single" w:sz="6" w:space="0" w:color="000000"/>
              <w:bottom w:val="single" w:sz="6" w:space="0" w:color="000000"/>
              <w:right w:val="single" w:sz="6" w:space="0" w:color="000000"/>
            </w:tcBorders>
            <w:shd w:val="solid" w:color="D0CECE" w:themeColor="background2" w:themeShade="E6" w:fill="FFFF00"/>
          </w:tcPr>
          <w:p w:rsidR="00D933BB" w:rsidRDefault="00D933BB" w:rsidP="003226C9">
            <w:pPr>
              <w:autoSpaceDE w:val="0"/>
              <w:autoSpaceDN w:val="0"/>
              <w:adjustRightInd w:val="0"/>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Celkem objednáno</w:t>
            </w:r>
          </w:p>
        </w:tc>
        <w:tc>
          <w:tcPr>
            <w:tcW w:w="1365" w:type="dxa"/>
            <w:tcBorders>
              <w:top w:val="single" w:sz="6" w:space="0" w:color="000000"/>
              <w:left w:val="single" w:sz="6" w:space="0" w:color="000000"/>
              <w:bottom w:val="single" w:sz="6" w:space="0" w:color="000000"/>
              <w:right w:val="single" w:sz="6" w:space="0" w:color="000000"/>
            </w:tcBorders>
            <w:shd w:val="solid" w:color="D0CECE" w:themeColor="background2" w:themeShade="E6" w:fill="FFFF00"/>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5110</w:t>
            </w:r>
          </w:p>
        </w:tc>
        <w:tc>
          <w:tcPr>
            <w:tcW w:w="1276" w:type="dxa"/>
            <w:tcBorders>
              <w:top w:val="single" w:sz="6" w:space="0" w:color="000000"/>
              <w:left w:val="single" w:sz="6" w:space="0" w:color="000000"/>
              <w:bottom w:val="single" w:sz="6" w:space="0" w:color="000000"/>
              <w:right w:val="single" w:sz="6" w:space="0" w:color="000000"/>
            </w:tcBorders>
            <w:shd w:val="solid" w:color="D0CECE" w:themeColor="background2" w:themeShade="E6" w:fill="FFFF00"/>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6363</w:t>
            </w:r>
          </w:p>
        </w:tc>
        <w:tc>
          <w:tcPr>
            <w:tcW w:w="1275" w:type="dxa"/>
            <w:tcBorders>
              <w:top w:val="single" w:sz="6" w:space="0" w:color="000000"/>
              <w:left w:val="single" w:sz="6" w:space="0" w:color="000000"/>
              <w:bottom w:val="single" w:sz="6" w:space="0" w:color="000000"/>
              <w:right w:val="single" w:sz="6" w:space="0" w:color="000000"/>
            </w:tcBorders>
            <w:shd w:val="solid" w:color="D0CECE" w:themeColor="background2" w:themeShade="E6" w:fill="FFFF00"/>
          </w:tcPr>
          <w:p w:rsidR="00D933BB" w:rsidRDefault="00D933BB" w:rsidP="003226C9">
            <w:pPr>
              <w:autoSpaceDE w:val="0"/>
              <w:autoSpaceDN w:val="0"/>
              <w:adjustRightInd w:val="0"/>
              <w:spacing w:after="0" w:line="240" w:lineRule="auto"/>
              <w:ind w:left="15"/>
              <w:jc w:val="right"/>
              <w:rPr>
                <w:rFonts w:ascii="Calibri" w:eastAsia="Times New Roman" w:hAnsi="Calibri" w:cs="Calibri"/>
                <w:color w:val="000000"/>
                <w:lang w:eastAsia="cs-CZ"/>
              </w:rPr>
            </w:pPr>
            <w:r>
              <w:rPr>
                <w:rFonts w:ascii="Calibri" w:eastAsia="Times New Roman" w:hAnsi="Calibri" w:cs="Calibri"/>
                <w:color w:val="000000"/>
                <w:lang w:eastAsia="cs-CZ"/>
              </w:rPr>
              <w:t>7150</w:t>
            </w:r>
          </w:p>
        </w:tc>
      </w:tr>
    </w:tbl>
    <w:p w:rsidR="00D933BB" w:rsidRDefault="00D933BB" w:rsidP="00211AA4">
      <w:pPr>
        <w:ind w:firstLine="360"/>
        <w:jc w:val="both"/>
        <w:rPr>
          <w:rFonts w:ascii="Times New Roman" w:hAnsi="Times New Roman" w:cs="Times New Roman"/>
          <w:sz w:val="24"/>
          <w:szCs w:val="24"/>
        </w:rPr>
      </w:pPr>
    </w:p>
    <w:p w:rsidR="003332AE" w:rsidRDefault="003332AE" w:rsidP="00672857">
      <w:pPr>
        <w:ind w:firstLine="851"/>
        <w:jc w:val="both"/>
        <w:rPr>
          <w:rFonts w:ascii="Times New Roman" w:hAnsi="Times New Roman" w:cs="Times New Roman"/>
          <w:sz w:val="24"/>
          <w:szCs w:val="24"/>
        </w:rPr>
      </w:pPr>
      <w:r>
        <w:rPr>
          <w:rFonts w:ascii="Times New Roman" w:hAnsi="Times New Roman" w:cs="Times New Roman"/>
          <w:sz w:val="24"/>
          <w:szCs w:val="24"/>
        </w:rPr>
        <w:t xml:space="preserve">V </w:t>
      </w:r>
      <w:r w:rsidRPr="00DD3A7A">
        <w:rPr>
          <w:rFonts w:ascii="Times New Roman" w:hAnsi="Times New Roman" w:cs="Times New Roman"/>
          <w:sz w:val="24"/>
          <w:szCs w:val="24"/>
        </w:rPr>
        <w:t xml:space="preserve">následujících letech bude pokračovat nákup bezbariérových a nízkopodlažních vozidel. Jedním z nástrojů pro pořízení drážních vozidel </w:t>
      </w:r>
      <w:r>
        <w:rPr>
          <w:rFonts w:ascii="Times New Roman" w:hAnsi="Times New Roman" w:cs="Times New Roman"/>
          <w:sz w:val="24"/>
          <w:szCs w:val="24"/>
        </w:rPr>
        <w:t xml:space="preserve">je Operační program doprava II.  </w:t>
      </w:r>
      <w:r w:rsidRPr="00DD3A7A">
        <w:rPr>
          <w:rFonts w:ascii="Times New Roman" w:hAnsi="Times New Roman" w:cs="Times New Roman"/>
          <w:sz w:val="24"/>
          <w:szCs w:val="24"/>
        </w:rPr>
        <w:t>Ministerstv</w:t>
      </w:r>
      <w:r w:rsidR="00982AB0">
        <w:rPr>
          <w:rFonts w:ascii="Times New Roman" w:hAnsi="Times New Roman" w:cs="Times New Roman"/>
          <w:sz w:val="24"/>
          <w:szCs w:val="24"/>
        </w:rPr>
        <w:t>o</w:t>
      </w:r>
      <w:r w:rsidRPr="00DD3A7A">
        <w:rPr>
          <w:rFonts w:ascii="Times New Roman" w:hAnsi="Times New Roman" w:cs="Times New Roman"/>
          <w:sz w:val="24"/>
          <w:szCs w:val="24"/>
        </w:rPr>
        <w:t xml:space="preserve"> dopravy předpokládá nastavení přísnějších kvalitativ</w:t>
      </w:r>
      <w:r>
        <w:rPr>
          <w:rFonts w:ascii="Times New Roman" w:hAnsi="Times New Roman" w:cs="Times New Roman"/>
          <w:sz w:val="24"/>
          <w:szCs w:val="24"/>
        </w:rPr>
        <w:t xml:space="preserve">ních požadavků na vozidla pro nové smlouvy o veřejných službách ve veřejné drážní dopravě, ve smyslu </w:t>
      </w:r>
      <w:r w:rsidRPr="00EB42EC">
        <w:rPr>
          <w:rFonts w:ascii="Times New Roman" w:hAnsi="Times New Roman" w:cs="Times New Roman"/>
          <w:sz w:val="24"/>
          <w:szCs w:val="24"/>
        </w:rPr>
        <w:t xml:space="preserve">nařízení (ES) </w:t>
      </w:r>
      <w:r w:rsidR="002B3255">
        <w:rPr>
          <w:rFonts w:ascii="Times New Roman" w:hAnsi="Times New Roman" w:cs="Times New Roman"/>
          <w:sz w:val="24"/>
          <w:szCs w:val="24"/>
        </w:rPr>
        <w:br/>
      </w:r>
      <w:r w:rsidRPr="00EB42EC">
        <w:rPr>
          <w:rFonts w:ascii="Times New Roman" w:hAnsi="Times New Roman" w:cs="Times New Roman"/>
          <w:sz w:val="24"/>
          <w:szCs w:val="24"/>
        </w:rPr>
        <w:t>č. 1370/2007</w:t>
      </w:r>
      <w:r>
        <w:rPr>
          <w:rFonts w:ascii="Times New Roman" w:hAnsi="Times New Roman" w:cs="Times New Roman"/>
          <w:sz w:val="24"/>
          <w:szCs w:val="24"/>
        </w:rPr>
        <w:t xml:space="preserve">. Pro účely uzavírání nových smluv byla sestavena tabulka minimálních požadovaných kritérií, která byla zveřejněna jako dokument „Obecné požadavky Ministerstva dopravy na vozidla“. </w:t>
      </w:r>
      <w:r w:rsidRPr="00DD3A7A">
        <w:rPr>
          <w:rFonts w:ascii="Times New Roman" w:hAnsi="Times New Roman" w:cs="Times New Roman"/>
          <w:sz w:val="24"/>
          <w:szCs w:val="24"/>
        </w:rPr>
        <w:t xml:space="preserve">Příkladem takové smlouvy je </w:t>
      </w:r>
      <w:r>
        <w:rPr>
          <w:rFonts w:ascii="Times New Roman" w:hAnsi="Times New Roman" w:cs="Times New Roman"/>
          <w:sz w:val="24"/>
          <w:szCs w:val="24"/>
        </w:rPr>
        <w:t>„Smlouva o </w:t>
      </w:r>
      <w:r w:rsidRPr="00DD3A7A">
        <w:rPr>
          <w:rFonts w:ascii="Times New Roman" w:hAnsi="Times New Roman" w:cs="Times New Roman"/>
          <w:sz w:val="24"/>
          <w:szCs w:val="24"/>
        </w:rPr>
        <w:t>veřejných službách na zajištění dopravní obslužnosti Brno – Břeclav – Olomouc</w:t>
      </w:r>
      <w:r>
        <w:rPr>
          <w:rFonts w:ascii="Times New Roman" w:hAnsi="Times New Roman" w:cs="Times New Roman"/>
          <w:sz w:val="24"/>
          <w:szCs w:val="24"/>
        </w:rPr>
        <w:t>“</w:t>
      </w:r>
      <w:r w:rsidRPr="00DD3A7A">
        <w:rPr>
          <w:rFonts w:ascii="Times New Roman" w:hAnsi="Times New Roman" w:cs="Times New Roman"/>
          <w:sz w:val="24"/>
          <w:szCs w:val="24"/>
        </w:rPr>
        <w:t>, díky které byly na linku R13 nasazeny mode</w:t>
      </w:r>
      <w:r>
        <w:rPr>
          <w:rFonts w:ascii="Times New Roman" w:hAnsi="Times New Roman" w:cs="Times New Roman"/>
          <w:sz w:val="24"/>
          <w:szCs w:val="24"/>
        </w:rPr>
        <w:t>rní nízkopodlažní soupravy 640, nebo „Smlouva o veřejných o </w:t>
      </w:r>
      <w:r w:rsidRPr="00DD3A7A">
        <w:rPr>
          <w:rFonts w:ascii="Times New Roman" w:hAnsi="Times New Roman" w:cs="Times New Roman"/>
          <w:sz w:val="24"/>
          <w:szCs w:val="24"/>
        </w:rPr>
        <w:t xml:space="preserve">veřejných službách na zajištění dopravní obslužnosti </w:t>
      </w:r>
      <w:r>
        <w:rPr>
          <w:rFonts w:ascii="Times New Roman" w:hAnsi="Times New Roman" w:cs="Times New Roman"/>
          <w:sz w:val="24"/>
          <w:szCs w:val="24"/>
        </w:rPr>
        <w:t xml:space="preserve">Plzeň – Most“, díky které </w:t>
      </w:r>
      <w:r w:rsidR="00982AB0">
        <w:rPr>
          <w:rFonts w:ascii="Times New Roman" w:hAnsi="Times New Roman" w:cs="Times New Roman"/>
          <w:sz w:val="24"/>
          <w:szCs w:val="24"/>
        </w:rPr>
        <w:t xml:space="preserve">jsou </w:t>
      </w:r>
      <w:r>
        <w:rPr>
          <w:rFonts w:ascii="Times New Roman" w:hAnsi="Times New Roman" w:cs="Times New Roman"/>
          <w:sz w:val="24"/>
          <w:szCs w:val="24"/>
        </w:rPr>
        <w:t>od prosince 2016 na linku R25 nasazeny bezbariérové jednotky řady 628.2.</w:t>
      </w:r>
    </w:p>
    <w:p w:rsidR="00F04AF1" w:rsidRPr="00934423" w:rsidRDefault="005800F8" w:rsidP="00503562">
      <w:pPr>
        <w:jc w:val="both"/>
        <w:rPr>
          <w:rFonts w:ascii="Times New Roman" w:hAnsi="Times New Roman" w:cs="Times New Roman"/>
          <w:sz w:val="24"/>
          <w:szCs w:val="24"/>
        </w:rPr>
      </w:pPr>
      <w:r>
        <w:rPr>
          <w:rFonts w:ascii="Times New Roman" w:hAnsi="Times New Roman" w:cs="Times New Roman"/>
          <w:sz w:val="24"/>
          <w:szCs w:val="24"/>
        </w:rPr>
        <w:tab/>
      </w:r>
      <w:r w:rsidRPr="00934423">
        <w:rPr>
          <w:rFonts w:ascii="Times New Roman" w:hAnsi="Times New Roman" w:cs="Times New Roman"/>
          <w:sz w:val="24"/>
          <w:szCs w:val="24"/>
        </w:rPr>
        <w:t xml:space="preserve">Nasazení bezbariérových nebo nízkopodlažních vozidel </w:t>
      </w:r>
      <w:r w:rsidR="00934423" w:rsidRPr="00934423">
        <w:rPr>
          <w:rFonts w:ascii="Times New Roman" w:hAnsi="Times New Roman" w:cs="Times New Roman"/>
          <w:sz w:val="24"/>
          <w:szCs w:val="24"/>
        </w:rPr>
        <w:t>zohledň</w:t>
      </w:r>
      <w:r w:rsidRPr="00934423">
        <w:rPr>
          <w:rFonts w:ascii="Times New Roman" w:hAnsi="Times New Roman" w:cs="Times New Roman"/>
          <w:sz w:val="24"/>
          <w:szCs w:val="24"/>
        </w:rPr>
        <w:t>ují ve svých tendrech na zajištění dopravní obslužnosti i kraje, které objednávají regionální železniční dopravu.</w:t>
      </w:r>
    </w:p>
    <w:p w:rsidR="001060BB" w:rsidRDefault="001060BB" w:rsidP="00503562">
      <w:pPr>
        <w:jc w:val="both"/>
        <w:rPr>
          <w:rFonts w:ascii="Times New Roman" w:hAnsi="Times New Roman" w:cs="Times New Roman"/>
          <w:sz w:val="24"/>
          <w:szCs w:val="24"/>
        </w:rPr>
      </w:pPr>
    </w:p>
    <w:p w:rsidR="001060BB" w:rsidRDefault="001060BB" w:rsidP="00503562">
      <w:pPr>
        <w:jc w:val="both"/>
        <w:rPr>
          <w:rFonts w:ascii="Times New Roman" w:hAnsi="Times New Roman" w:cs="Times New Roman"/>
          <w:sz w:val="24"/>
          <w:szCs w:val="24"/>
        </w:rPr>
      </w:pPr>
    </w:p>
    <w:p w:rsidR="00F04AF1" w:rsidRPr="00211AA4" w:rsidRDefault="00F04AF1" w:rsidP="00923AE6">
      <w:pPr>
        <w:pStyle w:val="Odstavecseseznamem"/>
        <w:numPr>
          <w:ilvl w:val="0"/>
          <w:numId w:val="8"/>
        </w:numPr>
        <w:jc w:val="both"/>
        <w:rPr>
          <w:rFonts w:ascii="Times New Roman" w:hAnsi="Times New Roman" w:cs="Times New Roman"/>
          <w:b/>
          <w:sz w:val="24"/>
        </w:rPr>
      </w:pPr>
      <w:r w:rsidRPr="00211AA4">
        <w:rPr>
          <w:rFonts w:ascii="Times New Roman" w:hAnsi="Times New Roman" w:cs="Times New Roman"/>
          <w:b/>
          <w:sz w:val="24"/>
        </w:rPr>
        <w:t xml:space="preserve">Plán dalšího rozvoje </w:t>
      </w:r>
    </w:p>
    <w:p w:rsidR="00F04AF1" w:rsidRPr="00211AA4" w:rsidRDefault="00F04AF1" w:rsidP="00923AE6">
      <w:pPr>
        <w:pStyle w:val="Odstavecseseznamem"/>
        <w:numPr>
          <w:ilvl w:val="1"/>
          <w:numId w:val="8"/>
        </w:numPr>
        <w:jc w:val="both"/>
        <w:rPr>
          <w:rFonts w:ascii="Times New Roman" w:hAnsi="Times New Roman" w:cs="Times New Roman"/>
          <w:b/>
          <w:sz w:val="24"/>
          <w:szCs w:val="24"/>
        </w:rPr>
      </w:pPr>
      <w:r w:rsidRPr="00211AA4">
        <w:rPr>
          <w:rFonts w:ascii="Times New Roman" w:hAnsi="Times New Roman" w:cs="Times New Roman"/>
          <w:b/>
          <w:sz w:val="24"/>
          <w:szCs w:val="24"/>
        </w:rPr>
        <w:t>Subsystém infrastruktury</w:t>
      </w:r>
    </w:p>
    <w:p w:rsidR="00AE37A8" w:rsidRPr="00AE37A8" w:rsidRDefault="00AE37A8" w:rsidP="00AE37A8">
      <w:pPr>
        <w:ind w:firstLine="708"/>
        <w:jc w:val="both"/>
        <w:rPr>
          <w:rFonts w:ascii="Times New Roman" w:hAnsi="Times New Roman" w:cs="Times New Roman"/>
          <w:sz w:val="24"/>
          <w:szCs w:val="24"/>
        </w:rPr>
      </w:pPr>
      <w:r w:rsidRPr="00AE37A8">
        <w:rPr>
          <w:rFonts w:ascii="Times New Roman" w:hAnsi="Times New Roman" w:cs="Times New Roman"/>
          <w:b/>
          <w:sz w:val="24"/>
          <w:szCs w:val="24"/>
        </w:rPr>
        <w:t>Financování dopravní infrastruktury</w:t>
      </w:r>
      <w:r w:rsidRPr="00AE37A8">
        <w:rPr>
          <w:rFonts w:ascii="Times New Roman" w:hAnsi="Times New Roman" w:cs="Times New Roman"/>
          <w:sz w:val="24"/>
          <w:szCs w:val="24"/>
        </w:rPr>
        <w:t xml:space="preserve"> v České republice probíhá prostřednictvím Státního fondu dopravní infrastruktury, který byl zřízen na základě Zákona č. 104/2000 Sb. ze dne 4. dubna 2000 o Státním fondu dopravní infrastruktury. Zejména se jedná o § 2 odst. 1 písm. b) tohoto zákona, kterým je umožněno použít finanční prostředky Státního fondu dopravní infrastruktury na výstavby nebo modernizace drah, s výjimkou lanových drah, které neslouží k zajišťování dopravní obslužnosti, výstavby nebo modernizace zařízení služeb nebo oprav, údržby nebo provozování celostátních nebo regionálních drah nebo zařízení služeb.</w:t>
      </w:r>
    </w:p>
    <w:p w:rsidR="00AE37A8" w:rsidRPr="00AE37A8" w:rsidRDefault="00AE37A8" w:rsidP="00AE37A8">
      <w:pPr>
        <w:ind w:firstLine="708"/>
        <w:jc w:val="both"/>
        <w:rPr>
          <w:rFonts w:ascii="Times New Roman" w:hAnsi="Times New Roman" w:cs="Times New Roman"/>
          <w:sz w:val="24"/>
          <w:szCs w:val="24"/>
        </w:rPr>
      </w:pPr>
      <w:r w:rsidRPr="00AE37A8">
        <w:rPr>
          <w:rFonts w:ascii="Times New Roman" w:hAnsi="Times New Roman" w:cs="Times New Roman"/>
          <w:sz w:val="24"/>
          <w:szCs w:val="24"/>
        </w:rPr>
        <w:t xml:space="preserve">Vzhledem ke skutečnosti, že zvýšení úrovně nástupištní hrany či zřízení bezbariérového přístupu na nástupiště je již z pohledu účetních předpisů považováno za modernizaci, protože dojde ke zhodnocení základního kapitálu, jedná se o investiční financování. </w:t>
      </w:r>
    </w:p>
    <w:p w:rsidR="00AE37A8" w:rsidRPr="00AE37A8" w:rsidRDefault="00AE37A8" w:rsidP="00AE37A8">
      <w:pPr>
        <w:ind w:firstLine="708"/>
        <w:jc w:val="both"/>
        <w:rPr>
          <w:rFonts w:ascii="Times New Roman" w:hAnsi="Times New Roman" w:cs="Times New Roman"/>
          <w:sz w:val="24"/>
          <w:szCs w:val="24"/>
          <w:u w:val="single"/>
        </w:rPr>
      </w:pPr>
      <w:r w:rsidRPr="00AE37A8">
        <w:rPr>
          <w:rFonts w:ascii="Times New Roman" w:hAnsi="Times New Roman" w:cs="Times New Roman"/>
          <w:sz w:val="24"/>
          <w:szCs w:val="24"/>
          <w:u w:val="single"/>
        </w:rPr>
        <w:t>Zdroje pro financování jsou následující:</w:t>
      </w:r>
    </w:p>
    <w:p w:rsidR="00AE37A8" w:rsidRPr="00AE37A8" w:rsidRDefault="00AE37A8" w:rsidP="00AE37A8">
      <w:pPr>
        <w:ind w:firstLine="708"/>
        <w:jc w:val="both"/>
        <w:rPr>
          <w:rFonts w:ascii="Times New Roman" w:hAnsi="Times New Roman" w:cs="Times New Roman"/>
          <w:sz w:val="24"/>
          <w:szCs w:val="24"/>
        </w:rPr>
      </w:pPr>
      <w:r w:rsidRPr="00AE37A8">
        <w:rPr>
          <w:rFonts w:ascii="Times New Roman" w:hAnsi="Times New Roman" w:cs="Times New Roman"/>
          <w:sz w:val="24"/>
          <w:szCs w:val="24"/>
        </w:rPr>
        <w:t>•</w:t>
      </w:r>
      <w:r w:rsidRPr="00AE37A8">
        <w:rPr>
          <w:rFonts w:ascii="Times New Roman" w:hAnsi="Times New Roman" w:cs="Times New Roman"/>
          <w:sz w:val="24"/>
          <w:szCs w:val="24"/>
        </w:rPr>
        <w:tab/>
        <w:t>Operační program doprava 2 (OPD 2)</w:t>
      </w:r>
      <w:r w:rsidR="00420244">
        <w:rPr>
          <w:rFonts w:ascii="Times New Roman" w:hAnsi="Times New Roman" w:cs="Times New Roman"/>
          <w:sz w:val="24"/>
          <w:szCs w:val="24"/>
        </w:rPr>
        <w:t>.</w:t>
      </w:r>
    </w:p>
    <w:p w:rsidR="00AE37A8" w:rsidRPr="00AE37A8" w:rsidRDefault="00AE37A8" w:rsidP="00AE37A8">
      <w:pPr>
        <w:ind w:firstLine="708"/>
        <w:jc w:val="both"/>
        <w:rPr>
          <w:rFonts w:ascii="Times New Roman" w:hAnsi="Times New Roman" w:cs="Times New Roman"/>
          <w:sz w:val="24"/>
          <w:szCs w:val="24"/>
        </w:rPr>
      </w:pPr>
      <w:r w:rsidRPr="00AE37A8">
        <w:rPr>
          <w:rFonts w:ascii="Times New Roman" w:hAnsi="Times New Roman" w:cs="Times New Roman"/>
          <w:sz w:val="24"/>
          <w:szCs w:val="24"/>
        </w:rPr>
        <w:t>•</w:t>
      </w:r>
      <w:r w:rsidRPr="00AE37A8">
        <w:rPr>
          <w:rFonts w:ascii="Times New Roman" w:hAnsi="Times New Roman" w:cs="Times New Roman"/>
          <w:sz w:val="24"/>
          <w:szCs w:val="24"/>
        </w:rPr>
        <w:tab/>
        <w:t>Connecting Europe Facility (CEF)</w:t>
      </w:r>
      <w:r w:rsidR="00420244">
        <w:rPr>
          <w:rFonts w:ascii="Times New Roman" w:hAnsi="Times New Roman" w:cs="Times New Roman"/>
          <w:sz w:val="24"/>
          <w:szCs w:val="24"/>
        </w:rPr>
        <w:t>.</w:t>
      </w:r>
    </w:p>
    <w:p w:rsidR="00AE37A8" w:rsidRPr="00AE37A8" w:rsidRDefault="00AE37A8" w:rsidP="00AE37A8">
      <w:pPr>
        <w:ind w:firstLine="708"/>
        <w:jc w:val="both"/>
        <w:rPr>
          <w:rFonts w:ascii="Times New Roman" w:hAnsi="Times New Roman" w:cs="Times New Roman"/>
          <w:sz w:val="24"/>
          <w:szCs w:val="24"/>
        </w:rPr>
      </w:pPr>
      <w:r w:rsidRPr="00AE37A8">
        <w:rPr>
          <w:rFonts w:ascii="Times New Roman" w:hAnsi="Times New Roman" w:cs="Times New Roman"/>
          <w:sz w:val="24"/>
          <w:szCs w:val="24"/>
        </w:rPr>
        <w:t>•</w:t>
      </w:r>
      <w:r w:rsidRPr="00AE37A8">
        <w:rPr>
          <w:rFonts w:ascii="Times New Roman" w:hAnsi="Times New Roman" w:cs="Times New Roman"/>
          <w:sz w:val="24"/>
          <w:szCs w:val="24"/>
        </w:rPr>
        <w:tab/>
        <w:t>Národní zdroje prostřednictvím Státního fondu dopravní infrastruktury</w:t>
      </w:r>
      <w:r w:rsidR="00420244">
        <w:rPr>
          <w:rFonts w:ascii="Times New Roman" w:hAnsi="Times New Roman" w:cs="Times New Roman"/>
          <w:sz w:val="24"/>
          <w:szCs w:val="24"/>
        </w:rPr>
        <w:t>.</w:t>
      </w:r>
    </w:p>
    <w:p w:rsidR="00AE37A8" w:rsidRPr="00AE37A8" w:rsidRDefault="00AE37A8" w:rsidP="00AE37A8">
      <w:pPr>
        <w:ind w:firstLine="708"/>
        <w:jc w:val="both"/>
        <w:rPr>
          <w:rFonts w:ascii="Times New Roman" w:hAnsi="Times New Roman" w:cs="Times New Roman"/>
          <w:sz w:val="24"/>
          <w:szCs w:val="24"/>
        </w:rPr>
      </w:pPr>
      <w:r w:rsidRPr="00AE37A8">
        <w:rPr>
          <w:rFonts w:ascii="Times New Roman" w:hAnsi="Times New Roman" w:cs="Times New Roman"/>
          <w:sz w:val="24"/>
          <w:szCs w:val="24"/>
        </w:rPr>
        <w:t>•</w:t>
      </w:r>
      <w:r w:rsidRPr="00AE37A8">
        <w:rPr>
          <w:rFonts w:ascii="Times New Roman" w:hAnsi="Times New Roman" w:cs="Times New Roman"/>
          <w:sz w:val="24"/>
          <w:szCs w:val="24"/>
        </w:rPr>
        <w:tab/>
        <w:t>Integrovaný regionální operační program (IROP)</w:t>
      </w:r>
      <w:r w:rsidR="00420244">
        <w:rPr>
          <w:rFonts w:ascii="Times New Roman" w:hAnsi="Times New Roman" w:cs="Times New Roman"/>
          <w:sz w:val="24"/>
          <w:szCs w:val="24"/>
        </w:rPr>
        <w:t>.</w:t>
      </w:r>
    </w:p>
    <w:p w:rsidR="00AE37A8" w:rsidRPr="00AE37A8" w:rsidRDefault="00AE37A8" w:rsidP="00AE37A8">
      <w:pPr>
        <w:ind w:firstLine="708"/>
        <w:jc w:val="both"/>
        <w:rPr>
          <w:rFonts w:ascii="Times New Roman" w:hAnsi="Times New Roman" w:cs="Times New Roman"/>
          <w:sz w:val="24"/>
          <w:szCs w:val="24"/>
        </w:rPr>
      </w:pPr>
      <w:r w:rsidRPr="00AE37A8">
        <w:rPr>
          <w:rFonts w:ascii="Times New Roman" w:hAnsi="Times New Roman" w:cs="Times New Roman"/>
          <w:sz w:val="24"/>
          <w:szCs w:val="24"/>
        </w:rPr>
        <w:t>•</w:t>
      </w:r>
      <w:r w:rsidRPr="00AE37A8">
        <w:rPr>
          <w:rFonts w:ascii="Times New Roman" w:hAnsi="Times New Roman" w:cs="Times New Roman"/>
          <w:sz w:val="24"/>
          <w:szCs w:val="24"/>
        </w:rPr>
        <w:tab/>
        <w:t>Ostatní zdroje (např. Švýcarské fondy)</w:t>
      </w:r>
      <w:r w:rsidR="00420244">
        <w:rPr>
          <w:rFonts w:ascii="Times New Roman" w:hAnsi="Times New Roman" w:cs="Times New Roman"/>
          <w:sz w:val="24"/>
          <w:szCs w:val="24"/>
        </w:rPr>
        <w:t>.</w:t>
      </w:r>
    </w:p>
    <w:p w:rsidR="00AE37A8" w:rsidRDefault="00AE37A8" w:rsidP="00AE37A8">
      <w:pPr>
        <w:ind w:firstLine="708"/>
        <w:jc w:val="both"/>
        <w:rPr>
          <w:rFonts w:ascii="Times New Roman" w:hAnsi="Times New Roman" w:cs="Times New Roman"/>
          <w:sz w:val="24"/>
          <w:szCs w:val="24"/>
        </w:rPr>
      </w:pPr>
      <w:r w:rsidRPr="00AE37A8">
        <w:rPr>
          <w:rFonts w:ascii="Times New Roman" w:hAnsi="Times New Roman" w:cs="Times New Roman"/>
          <w:sz w:val="24"/>
          <w:szCs w:val="24"/>
        </w:rPr>
        <w:t>•</w:t>
      </w:r>
      <w:r w:rsidRPr="00AE37A8">
        <w:rPr>
          <w:rFonts w:ascii="Times New Roman" w:hAnsi="Times New Roman" w:cs="Times New Roman"/>
          <w:sz w:val="24"/>
          <w:szCs w:val="24"/>
        </w:rPr>
        <w:tab/>
        <w:t>Kombinace výše uvedených zdrojů.</w:t>
      </w:r>
    </w:p>
    <w:p w:rsidR="00B05C5D" w:rsidRDefault="00B05C5D" w:rsidP="00B05C5D">
      <w:pPr>
        <w:ind w:firstLine="708"/>
        <w:jc w:val="both"/>
        <w:rPr>
          <w:rFonts w:ascii="Times New Roman" w:hAnsi="Times New Roman" w:cs="Times New Roman"/>
          <w:sz w:val="24"/>
          <w:szCs w:val="24"/>
        </w:rPr>
      </w:pPr>
      <w:r w:rsidRPr="005C20D6">
        <w:rPr>
          <w:rFonts w:ascii="Times New Roman" w:hAnsi="Times New Roman" w:cs="Times New Roman"/>
          <w:sz w:val="24"/>
          <w:szCs w:val="24"/>
        </w:rPr>
        <w:t xml:space="preserve">Přednostně budou rekonstruovány železniční stanice a zastávky s nejvyšší frekvencí cestujících. Dále pak železniční stanice a zastávky, které jsou součástí modernizací souvislých úseků tratí. Postupně budou podle možností a dostupných prostředků takto rekonstruovány </w:t>
      </w:r>
      <w:r>
        <w:rPr>
          <w:rFonts w:ascii="Times New Roman" w:hAnsi="Times New Roman" w:cs="Times New Roman"/>
          <w:sz w:val="24"/>
          <w:szCs w:val="24"/>
        </w:rPr>
        <w:t>další</w:t>
      </w:r>
      <w:r w:rsidRPr="005C20D6">
        <w:rPr>
          <w:rFonts w:ascii="Times New Roman" w:hAnsi="Times New Roman" w:cs="Times New Roman"/>
          <w:sz w:val="24"/>
          <w:szCs w:val="24"/>
        </w:rPr>
        <w:t xml:space="preserve"> železniční stanice a zastávky. V případě probíhajících projektů rekonstrukce nebo modernizace nástupišť, která dříve splňovala požadavky na přístupnost pro osoby se zdravotním postižením a osoby s omezenou schopností pohybu a orientace podle starších TSI PRM, jsou nově sledovány požadavky TSI PRM 2015. Uvedené se netýká projektů, které se nacházely ke dni vstupu TSI PRM 2015 v platnost v pokročilé fázi rozvoje, ve smyslu článku 9 odst. 1 písm. a směrnice o interoperabilitě</w:t>
      </w:r>
      <w:r>
        <w:rPr>
          <w:rFonts w:ascii="Times New Roman" w:hAnsi="Times New Roman" w:cs="Times New Roman"/>
          <w:sz w:val="24"/>
          <w:szCs w:val="24"/>
        </w:rPr>
        <w:t xml:space="preserve"> a článku 7.2.1 přílohy TSI PRM</w:t>
      </w:r>
      <w:r w:rsidRPr="005C20D6">
        <w:rPr>
          <w:rFonts w:ascii="Times New Roman" w:hAnsi="Times New Roman" w:cs="Times New Roman"/>
          <w:sz w:val="24"/>
          <w:szCs w:val="24"/>
        </w:rPr>
        <w:t>.</w:t>
      </w:r>
    </w:p>
    <w:p w:rsidR="00B05C5D" w:rsidRDefault="00B05C5D" w:rsidP="00B05C5D">
      <w:pPr>
        <w:ind w:firstLine="708"/>
        <w:jc w:val="both"/>
        <w:rPr>
          <w:rFonts w:ascii="Times New Roman" w:hAnsi="Times New Roman" w:cs="Times New Roman"/>
          <w:sz w:val="24"/>
          <w:szCs w:val="24"/>
        </w:rPr>
      </w:pPr>
      <w:r>
        <w:rPr>
          <w:rFonts w:ascii="Times New Roman" w:hAnsi="Times New Roman" w:cs="Times New Roman"/>
          <w:sz w:val="24"/>
          <w:szCs w:val="24"/>
        </w:rPr>
        <w:t xml:space="preserve">V současnosti se připravují investiční aktivity, v rámci nichž má být do roku 2018 rekonstruováno a do souladu s TSI PRM uvedeno dalších 65 železničních stanic a zastávek na železniční síti v ČR. V letech 2019 – 2021 se dle stávajících předpokladů budou realizovat další projekty, v rámci nichž by mělo být dalších 95 stanic a zastávek uvedeno do souladu s TSI PRM. </w:t>
      </w:r>
    </w:p>
    <w:p w:rsidR="00B05C5D" w:rsidRDefault="00B05C5D" w:rsidP="00B05C5D">
      <w:pPr>
        <w:ind w:firstLine="708"/>
        <w:jc w:val="both"/>
        <w:rPr>
          <w:rFonts w:ascii="Times New Roman" w:hAnsi="Times New Roman" w:cs="Times New Roman"/>
          <w:sz w:val="24"/>
          <w:szCs w:val="24"/>
        </w:rPr>
      </w:pPr>
      <w:r>
        <w:rPr>
          <w:rFonts w:ascii="Times New Roman" w:hAnsi="Times New Roman" w:cs="Times New Roman"/>
          <w:sz w:val="24"/>
          <w:szCs w:val="24"/>
        </w:rPr>
        <w:t xml:space="preserve">Z výše uvedených údajů vyplývá, že </w:t>
      </w:r>
      <w:r w:rsidRPr="00E438FF">
        <w:rPr>
          <w:rFonts w:ascii="Times New Roman" w:hAnsi="Times New Roman" w:cs="Times New Roman"/>
          <w:sz w:val="24"/>
          <w:szCs w:val="24"/>
        </w:rPr>
        <w:t xml:space="preserve">problematika aplikace TSI PRM má v ČR vysokou prioritu. Součástí všech staveb rekonstrukce či modernizace tratí obsahujících nástupiště, přístupy na nástupiště a výpravní budovy je splnění všech požadavků vyplývajících z TSI PRM. Kromě staveb souvislých rekonstrukcí či modernizaci tratí se zároveň připravují stavby, jejichž hlavním cílem je právě </w:t>
      </w:r>
      <w:r>
        <w:rPr>
          <w:rFonts w:ascii="Times New Roman" w:hAnsi="Times New Roman" w:cs="Times New Roman"/>
          <w:sz w:val="24"/>
          <w:szCs w:val="24"/>
        </w:rPr>
        <w:t xml:space="preserve">zaměření se na </w:t>
      </w:r>
      <w:r w:rsidRPr="00E438FF">
        <w:rPr>
          <w:rFonts w:ascii="Times New Roman" w:hAnsi="Times New Roman" w:cs="Times New Roman"/>
          <w:sz w:val="24"/>
          <w:szCs w:val="24"/>
        </w:rPr>
        <w:t>rekonstrukc</w:t>
      </w:r>
      <w:r>
        <w:rPr>
          <w:rFonts w:ascii="Times New Roman" w:hAnsi="Times New Roman" w:cs="Times New Roman"/>
          <w:sz w:val="24"/>
          <w:szCs w:val="24"/>
        </w:rPr>
        <w:t>i</w:t>
      </w:r>
      <w:r w:rsidRPr="00E438FF">
        <w:rPr>
          <w:rFonts w:ascii="Times New Roman" w:hAnsi="Times New Roman" w:cs="Times New Roman"/>
          <w:sz w:val="24"/>
          <w:szCs w:val="24"/>
        </w:rPr>
        <w:t xml:space="preserve"> nástupišť včetně zřízení bezbariérových přístupů, opět s plnou aplikací požadavků TSI PRM (jako příklad lze uvést stavby v železničních stanicích Český Brod – již realizováno, Poříčany, Lovosice, Roudnice nad Labem, Roztoky u Prahy, Rožnov pod Radhoštěm a další).</w:t>
      </w:r>
      <w:r>
        <w:rPr>
          <w:rFonts w:ascii="Times New Roman" w:hAnsi="Times New Roman" w:cs="Times New Roman"/>
          <w:sz w:val="24"/>
          <w:szCs w:val="24"/>
        </w:rPr>
        <w:t xml:space="preserve"> V o</w:t>
      </w:r>
      <w:r w:rsidRPr="00E438FF">
        <w:rPr>
          <w:rFonts w:ascii="Times New Roman" w:hAnsi="Times New Roman" w:cs="Times New Roman"/>
          <w:sz w:val="24"/>
          <w:szCs w:val="24"/>
        </w:rPr>
        <w:t>becné rovině</w:t>
      </w:r>
      <w:r>
        <w:rPr>
          <w:rFonts w:ascii="Times New Roman" w:hAnsi="Times New Roman" w:cs="Times New Roman"/>
          <w:sz w:val="24"/>
          <w:szCs w:val="24"/>
        </w:rPr>
        <w:t xml:space="preserve"> lze konstatovat, že</w:t>
      </w:r>
      <w:r w:rsidRPr="00E438FF">
        <w:rPr>
          <w:rFonts w:ascii="Times New Roman" w:hAnsi="Times New Roman" w:cs="Times New Roman"/>
          <w:sz w:val="24"/>
          <w:szCs w:val="24"/>
        </w:rPr>
        <w:t xml:space="preserve"> mají přednost stavby na síti TEN-T a stavby vycházející ze schválených studií proveditelnosti.</w:t>
      </w:r>
    </w:p>
    <w:p w:rsidR="00B05C5D" w:rsidRDefault="00B05C5D" w:rsidP="00B05C5D">
      <w:pPr>
        <w:ind w:firstLine="708"/>
        <w:jc w:val="both"/>
        <w:rPr>
          <w:rFonts w:ascii="Times New Roman" w:hAnsi="Times New Roman" w:cs="Times New Roman"/>
          <w:sz w:val="24"/>
          <w:szCs w:val="24"/>
        </w:rPr>
      </w:pPr>
    </w:p>
    <w:p w:rsidR="00F04AF1" w:rsidRPr="00211AA4" w:rsidRDefault="00F04AF1" w:rsidP="00923AE6">
      <w:pPr>
        <w:pStyle w:val="Odstavecseseznamem"/>
        <w:numPr>
          <w:ilvl w:val="1"/>
          <w:numId w:val="8"/>
        </w:numPr>
        <w:jc w:val="both"/>
        <w:rPr>
          <w:rFonts w:ascii="Times New Roman" w:hAnsi="Times New Roman" w:cs="Times New Roman"/>
          <w:b/>
          <w:sz w:val="24"/>
          <w:szCs w:val="24"/>
        </w:rPr>
      </w:pPr>
      <w:r w:rsidRPr="00211AA4">
        <w:rPr>
          <w:rFonts w:ascii="Times New Roman" w:hAnsi="Times New Roman" w:cs="Times New Roman"/>
          <w:b/>
          <w:sz w:val="24"/>
          <w:szCs w:val="24"/>
        </w:rPr>
        <w:t>Subsystém železničních kolejových vozidel</w:t>
      </w:r>
    </w:p>
    <w:p w:rsidR="00923AE6" w:rsidRPr="00B23533" w:rsidRDefault="00923AE6" w:rsidP="00923AE6">
      <w:pPr>
        <w:ind w:firstLine="360"/>
        <w:jc w:val="both"/>
        <w:rPr>
          <w:rFonts w:ascii="Times New Roman" w:hAnsi="Times New Roman" w:cs="Times New Roman"/>
          <w:b/>
          <w:sz w:val="24"/>
          <w:szCs w:val="24"/>
        </w:rPr>
      </w:pPr>
      <w:r w:rsidRPr="00B23533">
        <w:rPr>
          <w:rFonts w:ascii="Times New Roman" w:hAnsi="Times New Roman" w:cs="Times New Roman"/>
          <w:b/>
          <w:sz w:val="24"/>
          <w:szCs w:val="24"/>
        </w:rPr>
        <w:t>Technické a provozní prostředky – rozsah modernizace nebo obnovy kolejových vozidel</w:t>
      </w:r>
    </w:p>
    <w:p w:rsidR="00B23533" w:rsidRDefault="00B23533" w:rsidP="004F31D6">
      <w:pPr>
        <w:ind w:left="360" w:firstLine="348"/>
        <w:jc w:val="both"/>
        <w:rPr>
          <w:rFonts w:ascii="Times New Roman" w:hAnsi="Times New Roman" w:cs="Times New Roman"/>
          <w:sz w:val="24"/>
          <w:szCs w:val="24"/>
        </w:rPr>
      </w:pPr>
      <w:r>
        <w:rPr>
          <w:rFonts w:ascii="Times New Roman" w:hAnsi="Times New Roman" w:cs="Times New Roman"/>
          <w:sz w:val="24"/>
          <w:szCs w:val="24"/>
        </w:rPr>
        <w:t>Dopravci</w:t>
      </w:r>
      <w:r w:rsidRPr="00B23533">
        <w:rPr>
          <w:rFonts w:ascii="Times New Roman" w:hAnsi="Times New Roman" w:cs="Times New Roman"/>
          <w:sz w:val="24"/>
          <w:szCs w:val="24"/>
        </w:rPr>
        <w:t xml:space="preserve"> jsou připraven</w:t>
      </w:r>
      <w:r>
        <w:rPr>
          <w:rFonts w:ascii="Times New Roman" w:hAnsi="Times New Roman" w:cs="Times New Roman"/>
          <w:sz w:val="24"/>
          <w:szCs w:val="24"/>
        </w:rPr>
        <w:t>i</w:t>
      </w:r>
      <w:r w:rsidRPr="00B23533">
        <w:rPr>
          <w:rFonts w:ascii="Times New Roman" w:hAnsi="Times New Roman" w:cs="Times New Roman"/>
          <w:sz w:val="24"/>
          <w:szCs w:val="24"/>
        </w:rPr>
        <w:t xml:space="preserve"> realizovat další obnovu vozidlového parku moderními, převážně nízkopodlažními vozidly plně odpovídajícími požadavkům TSI PRM. Její realizace je ovšem závislá </w:t>
      </w:r>
      <w:r w:rsidR="004F31D6">
        <w:rPr>
          <w:rFonts w:ascii="Times New Roman" w:hAnsi="Times New Roman" w:cs="Times New Roman"/>
          <w:sz w:val="24"/>
          <w:szCs w:val="24"/>
        </w:rPr>
        <w:t xml:space="preserve">např. i </w:t>
      </w:r>
      <w:r w:rsidRPr="00B23533">
        <w:rPr>
          <w:rFonts w:ascii="Times New Roman" w:hAnsi="Times New Roman" w:cs="Times New Roman"/>
          <w:sz w:val="24"/>
          <w:szCs w:val="24"/>
        </w:rPr>
        <w:t>na rozhodnutí ministerstva dopravy a krajů o tom, kdo bude pořizovatelem takových vozidel a jaké budou konkrétní možnosti čerpání dotačních prostředků.</w:t>
      </w:r>
    </w:p>
    <w:p w:rsidR="00D13792" w:rsidRDefault="00D13792" w:rsidP="004F31D6">
      <w:pPr>
        <w:ind w:left="360" w:firstLine="348"/>
        <w:jc w:val="both"/>
        <w:rPr>
          <w:rFonts w:ascii="Times New Roman" w:hAnsi="Times New Roman" w:cs="Times New Roman"/>
          <w:sz w:val="24"/>
          <w:szCs w:val="24"/>
        </w:rPr>
      </w:pPr>
      <w:r>
        <w:rPr>
          <w:rFonts w:ascii="Times New Roman" w:hAnsi="Times New Roman" w:cs="Times New Roman"/>
          <w:sz w:val="24"/>
          <w:szCs w:val="24"/>
        </w:rPr>
        <w:t xml:space="preserve">S ohledem na připravované </w:t>
      </w:r>
      <w:r w:rsidR="009C053D">
        <w:rPr>
          <w:rFonts w:ascii="Times New Roman" w:hAnsi="Times New Roman" w:cs="Times New Roman"/>
          <w:sz w:val="24"/>
          <w:szCs w:val="24"/>
        </w:rPr>
        <w:t>otevírání trhu</w:t>
      </w:r>
      <w:r w:rsidR="00B05C5D">
        <w:rPr>
          <w:rFonts w:ascii="Times New Roman" w:hAnsi="Times New Roman" w:cs="Times New Roman"/>
          <w:sz w:val="24"/>
          <w:szCs w:val="24"/>
        </w:rPr>
        <w:t xml:space="preserve"> v ČR</w:t>
      </w:r>
      <w:r w:rsidR="009C053D">
        <w:rPr>
          <w:rFonts w:ascii="Times New Roman" w:hAnsi="Times New Roman" w:cs="Times New Roman"/>
          <w:sz w:val="24"/>
          <w:szCs w:val="24"/>
        </w:rPr>
        <w:t>, jehož součástí budou tendry</w:t>
      </w:r>
      <w:r>
        <w:rPr>
          <w:rFonts w:ascii="Times New Roman" w:hAnsi="Times New Roman" w:cs="Times New Roman"/>
          <w:sz w:val="24"/>
          <w:szCs w:val="24"/>
        </w:rPr>
        <w:t xml:space="preserve"> na </w:t>
      </w:r>
      <w:r w:rsidR="009C053D">
        <w:rPr>
          <w:rFonts w:ascii="Times New Roman" w:hAnsi="Times New Roman" w:cs="Times New Roman"/>
          <w:sz w:val="24"/>
          <w:szCs w:val="24"/>
        </w:rPr>
        <w:t xml:space="preserve">výběr dopravců, zajišťujících </w:t>
      </w:r>
      <w:r>
        <w:rPr>
          <w:rFonts w:ascii="Times New Roman" w:hAnsi="Times New Roman" w:cs="Times New Roman"/>
          <w:sz w:val="24"/>
          <w:szCs w:val="24"/>
        </w:rPr>
        <w:t>dopravní obslužnost</w:t>
      </w:r>
      <w:r w:rsidR="009C053D">
        <w:rPr>
          <w:rFonts w:ascii="Times New Roman" w:hAnsi="Times New Roman" w:cs="Times New Roman"/>
          <w:sz w:val="24"/>
          <w:szCs w:val="24"/>
        </w:rPr>
        <w:t>,</w:t>
      </w:r>
      <w:r>
        <w:rPr>
          <w:rFonts w:ascii="Times New Roman" w:hAnsi="Times New Roman" w:cs="Times New Roman"/>
          <w:sz w:val="24"/>
          <w:szCs w:val="24"/>
        </w:rPr>
        <w:t xml:space="preserve"> bude přístupnost vozidel jednou z povinných podmínek</w:t>
      </w:r>
      <w:r w:rsidR="009C053D">
        <w:rPr>
          <w:rFonts w:ascii="Times New Roman" w:hAnsi="Times New Roman" w:cs="Times New Roman"/>
          <w:sz w:val="24"/>
          <w:szCs w:val="24"/>
        </w:rPr>
        <w:t>.</w:t>
      </w:r>
    </w:p>
    <w:p w:rsidR="00AE37A8" w:rsidRDefault="00AE37A8" w:rsidP="00D13792">
      <w:pPr>
        <w:ind w:left="360"/>
        <w:jc w:val="both"/>
        <w:rPr>
          <w:rFonts w:ascii="Times New Roman" w:hAnsi="Times New Roman" w:cs="Times New Roman"/>
          <w:sz w:val="24"/>
          <w:szCs w:val="24"/>
        </w:rPr>
      </w:pPr>
    </w:p>
    <w:p w:rsidR="00AE37A8" w:rsidRPr="00AE37A8" w:rsidRDefault="00AE37A8" w:rsidP="00AE37A8">
      <w:pPr>
        <w:pStyle w:val="Odstavecseseznamem"/>
        <w:jc w:val="both"/>
        <w:rPr>
          <w:rFonts w:ascii="Times New Roman" w:hAnsi="Times New Roman" w:cs="Times New Roman"/>
          <w:b/>
          <w:sz w:val="24"/>
          <w:szCs w:val="24"/>
        </w:rPr>
      </w:pPr>
      <w:r w:rsidRPr="00AE37A8">
        <w:rPr>
          <w:rFonts w:ascii="Times New Roman" w:hAnsi="Times New Roman" w:cs="Times New Roman"/>
          <w:b/>
          <w:sz w:val="24"/>
          <w:szCs w:val="24"/>
        </w:rPr>
        <w:t>Závěr</w:t>
      </w:r>
    </w:p>
    <w:p w:rsidR="00AE37A8" w:rsidRPr="00AE37A8" w:rsidRDefault="00AE37A8" w:rsidP="00AE37A8">
      <w:pPr>
        <w:ind w:firstLine="360"/>
        <w:jc w:val="both"/>
        <w:rPr>
          <w:rFonts w:ascii="Times New Roman" w:hAnsi="Times New Roman" w:cs="Times New Roman"/>
          <w:sz w:val="24"/>
          <w:szCs w:val="24"/>
        </w:rPr>
      </w:pPr>
      <w:r w:rsidRPr="00AE37A8">
        <w:rPr>
          <w:rFonts w:ascii="Times New Roman" w:hAnsi="Times New Roman" w:cs="Times New Roman"/>
          <w:sz w:val="24"/>
          <w:szCs w:val="24"/>
        </w:rPr>
        <w:t>Česká republika se intenzivně zabývá problematikou interoperability tratí evropského železničního systému. Přístupnost železničního systému pro osoby se zdravotním postižením a osoby s omezenou schopností pohybu a orientace patří ke klíčovým požadavkům, které jsou a nadále budou sledovány.</w:t>
      </w:r>
      <w:r>
        <w:rPr>
          <w:rFonts w:ascii="Times New Roman" w:hAnsi="Times New Roman" w:cs="Times New Roman"/>
          <w:sz w:val="24"/>
          <w:szCs w:val="24"/>
        </w:rPr>
        <w:t xml:space="preserve"> </w:t>
      </w:r>
      <w:r w:rsidRPr="00AE37A8">
        <w:rPr>
          <w:rFonts w:ascii="Times New Roman" w:hAnsi="Times New Roman" w:cs="Times New Roman"/>
          <w:sz w:val="24"/>
          <w:szCs w:val="24"/>
        </w:rPr>
        <w:t xml:space="preserve">Vnitrostátní prováděcí plán bude aktualizován nejpozději </w:t>
      </w:r>
      <w:r w:rsidR="00DB5FC2">
        <w:rPr>
          <w:rFonts w:ascii="Times New Roman" w:hAnsi="Times New Roman" w:cs="Times New Roman"/>
          <w:sz w:val="24"/>
          <w:szCs w:val="24"/>
        </w:rPr>
        <w:t xml:space="preserve">do pěti let nebo </w:t>
      </w:r>
      <w:r w:rsidRPr="00AE37A8">
        <w:rPr>
          <w:rFonts w:ascii="Times New Roman" w:hAnsi="Times New Roman" w:cs="Times New Roman"/>
          <w:sz w:val="24"/>
          <w:szCs w:val="24"/>
        </w:rPr>
        <w:t>při následující novelizaci TSI PRM</w:t>
      </w:r>
      <w:r w:rsidR="00DB5FC2">
        <w:rPr>
          <w:rFonts w:ascii="Times New Roman" w:hAnsi="Times New Roman" w:cs="Times New Roman"/>
          <w:sz w:val="24"/>
          <w:szCs w:val="24"/>
        </w:rPr>
        <w:t>, nastane-li tento okamžik dříve, než za pět let</w:t>
      </w:r>
      <w:r w:rsidRPr="00AE37A8">
        <w:rPr>
          <w:rFonts w:ascii="Times New Roman" w:hAnsi="Times New Roman" w:cs="Times New Roman"/>
          <w:sz w:val="24"/>
          <w:szCs w:val="24"/>
        </w:rPr>
        <w:t>.</w:t>
      </w:r>
    </w:p>
    <w:p w:rsidR="00F04AF1" w:rsidRDefault="00F04AF1" w:rsidP="00F04AF1">
      <w:pPr>
        <w:jc w:val="both"/>
        <w:rPr>
          <w:rFonts w:ascii="Times New Roman" w:hAnsi="Times New Roman" w:cs="Times New Roman"/>
          <w:b/>
          <w:sz w:val="24"/>
        </w:rPr>
      </w:pPr>
    </w:p>
    <w:p w:rsidR="00211AA4" w:rsidRDefault="00211AA4" w:rsidP="00F04AF1">
      <w:pPr>
        <w:jc w:val="both"/>
        <w:rPr>
          <w:rFonts w:ascii="Times New Roman" w:hAnsi="Times New Roman" w:cs="Times New Roman"/>
          <w:b/>
          <w:sz w:val="24"/>
        </w:rPr>
      </w:pPr>
    </w:p>
    <w:p w:rsidR="003226C9" w:rsidRDefault="00AE37A8" w:rsidP="003226C9">
      <w:pPr>
        <w:spacing w:after="0"/>
        <w:jc w:val="center"/>
        <w:rPr>
          <w:rFonts w:cs="Arial"/>
          <w:b/>
        </w:rPr>
      </w:pPr>
      <w:r>
        <w:rPr>
          <w:rFonts w:ascii="Times New Roman" w:hAnsi="Times New Roman" w:cs="Times New Roman"/>
          <w:b/>
          <w:sz w:val="24"/>
        </w:rPr>
        <w:br w:type="column"/>
      </w:r>
      <w:r w:rsidR="003226C9" w:rsidRPr="00FC7D41">
        <w:rPr>
          <w:rFonts w:cs="Arial"/>
          <w:b/>
        </w:rPr>
        <w:t xml:space="preserve">Tabulka </w:t>
      </w:r>
      <w:r w:rsidR="003226C9">
        <w:rPr>
          <w:rFonts w:cs="Arial"/>
          <w:b/>
        </w:rPr>
        <w:t>2</w:t>
      </w:r>
      <w:r w:rsidR="003226C9" w:rsidRPr="00FC7D41">
        <w:rPr>
          <w:rFonts w:cs="Arial"/>
          <w:b/>
        </w:rPr>
        <w:t xml:space="preserve">: Přehled železničních stanic a zastávek </w:t>
      </w:r>
      <w:r w:rsidR="003226C9">
        <w:rPr>
          <w:rFonts w:cs="Arial"/>
          <w:b/>
        </w:rPr>
        <w:t xml:space="preserve">SŽDC </w:t>
      </w:r>
      <w:r w:rsidR="003226C9" w:rsidRPr="00FC7D41">
        <w:rPr>
          <w:rFonts w:cs="Arial"/>
          <w:b/>
        </w:rPr>
        <w:t>z hlediska situace splnění parametrů Nařízení Komise (EU) č. 1300/2014</w:t>
      </w:r>
    </w:p>
    <w:p w:rsidR="003226C9" w:rsidRPr="00FC7D41" w:rsidRDefault="003226C9" w:rsidP="003226C9">
      <w:pPr>
        <w:spacing w:after="0"/>
        <w:jc w:val="center"/>
        <w:rPr>
          <w:rFonts w:cs="Arial"/>
          <w:b/>
        </w:rPr>
      </w:pPr>
    </w:p>
    <w:tbl>
      <w:tblPr>
        <w:tblW w:w="5000" w:type="pct"/>
        <w:tblInd w:w="5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70" w:type="dxa"/>
          <w:right w:w="70" w:type="dxa"/>
        </w:tblCellMar>
        <w:tblLook w:val="04A0" w:firstRow="1" w:lastRow="0" w:firstColumn="1" w:lastColumn="0" w:noHBand="0" w:noVBand="1"/>
      </w:tblPr>
      <w:tblGrid>
        <w:gridCol w:w="493"/>
        <w:gridCol w:w="1799"/>
        <w:gridCol w:w="999"/>
        <w:gridCol w:w="1094"/>
        <w:gridCol w:w="1094"/>
        <w:gridCol w:w="1093"/>
        <w:gridCol w:w="1093"/>
        <w:gridCol w:w="1387"/>
      </w:tblGrid>
      <w:tr w:rsidR="003226C9" w:rsidRPr="00FC7D41" w:rsidTr="003226C9">
        <w:trPr>
          <w:trHeight w:val="744"/>
          <w:tblHeader/>
        </w:trPr>
        <w:tc>
          <w:tcPr>
            <w:tcW w:w="270" w:type="pct"/>
            <w:shd w:val="clear" w:color="000000" w:fill="C6D9F1"/>
            <w:vAlign w:val="center"/>
            <w:hideMark/>
          </w:tcPr>
          <w:p w:rsidR="003226C9" w:rsidRPr="00FC7D41" w:rsidRDefault="003226C9" w:rsidP="003226C9">
            <w:pPr>
              <w:spacing w:after="0"/>
              <w:contextualSpacing/>
              <w:jc w:val="center"/>
              <w:rPr>
                <w:rFonts w:eastAsia="Times New Roman" w:cs="Arial"/>
                <w:b/>
                <w:bCs/>
                <w:sz w:val="18"/>
                <w:szCs w:val="18"/>
                <w:lang w:eastAsia="cs-CZ"/>
              </w:rPr>
            </w:pPr>
            <w:r w:rsidRPr="00FC7D41">
              <w:rPr>
                <w:rFonts w:eastAsia="Times New Roman" w:cs="Arial"/>
                <w:b/>
                <w:bCs/>
                <w:sz w:val="18"/>
                <w:szCs w:val="18"/>
                <w:lang w:eastAsia="cs-CZ"/>
              </w:rPr>
              <w:t>Poř. č.</w:t>
            </w:r>
          </w:p>
        </w:tc>
        <w:tc>
          <w:tcPr>
            <w:tcW w:w="986" w:type="pct"/>
            <w:shd w:val="clear" w:color="000000" w:fill="C6D9F1"/>
            <w:vAlign w:val="center"/>
            <w:hideMark/>
          </w:tcPr>
          <w:p w:rsidR="003226C9" w:rsidRPr="00FC7D41" w:rsidRDefault="003226C9" w:rsidP="003226C9">
            <w:pPr>
              <w:spacing w:after="0"/>
              <w:contextualSpacing/>
              <w:jc w:val="center"/>
              <w:rPr>
                <w:rFonts w:eastAsia="Times New Roman" w:cs="Arial"/>
                <w:b/>
                <w:bCs/>
                <w:sz w:val="18"/>
                <w:szCs w:val="18"/>
                <w:lang w:eastAsia="cs-CZ"/>
              </w:rPr>
            </w:pPr>
            <w:r w:rsidRPr="00FC7D41">
              <w:rPr>
                <w:rFonts w:eastAsia="Times New Roman" w:cs="Arial"/>
                <w:b/>
                <w:bCs/>
                <w:sz w:val="18"/>
                <w:szCs w:val="18"/>
                <w:lang w:eastAsia="cs-CZ"/>
              </w:rPr>
              <w:t>Název stanice</w:t>
            </w:r>
          </w:p>
        </w:tc>
        <w:tc>
          <w:tcPr>
            <w:tcW w:w="547" w:type="pct"/>
            <w:shd w:val="clear" w:color="000000" w:fill="C6D9F1"/>
            <w:vAlign w:val="center"/>
            <w:hideMark/>
          </w:tcPr>
          <w:p w:rsidR="003226C9" w:rsidRPr="00FC7D41" w:rsidRDefault="003226C9" w:rsidP="003226C9">
            <w:pPr>
              <w:spacing w:after="0"/>
              <w:contextualSpacing/>
              <w:jc w:val="center"/>
              <w:rPr>
                <w:rFonts w:eastAsia="Times New Roman" w:cs="Arial"/>
                <w:b/>
                <w:bCs/>
                <w:sz w:val="18"/>
                <w:szCs w:val="18"/>
                <w:lang w:eastAsia="cs-CZ"/>
              </w:rPr>
            </w:pPr>
            <w:r w:rsidRPr="00FC7D41">
              <w:rPr>
                <w:rFonts w:eastAsia="Times New Roman" w:cs="Arial"/>
                <w:b/>
                <w:bCs/>
                <w:sz w:val="18"/>
                <w:szCs w:val="18"/>
                <w:lang w:eastAsia="cs-CZ"/>
              </w:rPr>
              <w:t>Obrat cestujících [mil/rok]</w:t>
            </w:r>
          </w:p>
        </w:tc>
        <w:tc>
          <w:tcPr>
            <w:tcW w:w="600" w:type="pct"/>
            <w:shd w:val="clear" w:color="000000" w:fill="C6D9F1"/>
            <w:vAlign w:val="center"/>
            <w:hideMark/>
          </w:tcPr>
          <w:p w:rsidR="003226C9" w:rsidRPr="00FC7D41" w:rsidRDefault="003226C9" w:rsidP="003226C9">
            <w:pPr>
              <w:spacing w:after="0"/>
              <w:contextualSpacing/>
              <w:jc w:val="center"/>
              <w:rPr>
                <w:rFonts w:eastAsia="Times New Roman" w:cs="Arial"/>
                <w:b/>
                <w:bCs/>
                <w:sz w:val="18"/>
                <w:szCs w:val="18"/>
                <w:lang w:eastAsia="cs-CZ"/>
              </w:rPr>
            </w:pPr>
            <w:r w:rsidRPr="00FC7D41">
              <w:rPr>
                <w:rFonts w:eastAsia="Times New Roman" w:cs="Arial"/>
                <w:b/>
                <w:bCs/>
                <w:sz w:val="18"/>
                <w:szCs w:val="18"/>
                <w:lang w:eastAsia="cs-CZ"/>
              </w:rPr>
              <w:t>Mimoúr. přístup</w:t>
            </w:r>
          </w:p>
        </w:tc>
        <w:tc>
          <w:tcPr>
            <w:tcW w:w="600" w:type="pct"/>
            <w:shd w:val="clear" w:color="000000" w:fill="C6D9F1"/>
            <w:vAlign w:val="center"/>
            <w:hideMark/>
          </w:tcPr>
          <w:p w:rsidR="003226C9" w:rsidRPr="00FC7D41" w:rsidRDefault="003226C9" w:rsidP="003226C9">
            <w:pPr>
              <w:spacing w:after="0"/>
              <w:contextualSpacing/>
              <w:jc w:val="center"/>
              <w:rPr>
                <w:rFonts w:eastAsia="Times New Roman" w:cs="Arial"/>
                <w:b/>
                <w:bCs/>
                <w:sz w:val="18"/>
                <w:szCs w:val="18"/>
                <w:lang w:eastAsia="cs-CZ"/>
              </w:rPr>
            </w:pPr>
            <w:r w:rsidRPr="00FC7D41">
              <w:rPr>
                <w:rFonts w:eastAsia="Times New Roman" w:cs="Arial"/>
                <w:b/>
                <w:bCs/>
                <w:sz w:val="18"/>
                <w:szCs w:val="18"/>
                <w:lang w:eastAsia="cs-CZ"/>
              </w:rPr>
              <w:t>Parametry TSI PRM</w:t>
            </w:r>
          </w:p>
        </w:tc>
        <w:tc>
          <w:tcPr>
            <w:tcW w:w="600" w:type="pct"/>
            <w:shd w:val="clear" w:color="000000" w:fill="C6D9F1"/>
            <w:vAlign w:val="center"/>
            <w:hideMark/>
          </w:tcPr>
          <w:p w:rsidR="003226C9" w:rsidRDefault="003226C9" w:rsidP="003226C9">
            <w:pPr>
              <w:spacing w:after="0"/>
              <w:contextualSpacing/>
              <w:jc w:val="center"/>
              <w:rPr>
                <w:rFonts w:eastAsia="Times New Roman" w:cs="Arial"/>
                <w:b/>
                <w:bCs/>
                <w:sz w:val="18"/>
                <w:szCs w:val="18"/>
                <w:lang w:eastAsia="cs-CZ"/>
              </w:rPr>
            </w:pPr>
            <w:r w:rsidRPr="00FC7D41">
              <w:rPr>
                <w:rFonts w:eastAsia="Times New Roman" w:cs="Arial"/>
                <w:b/>
                <w:bCs/>
                <w:sz w:val="18"/>
                <w:szCs w:val="18"/>
                <w:lang w:eastAsia="cs-CZ"/>
              </w:rPr>
              <w:t xml:space="preserve">Výška </w:t>
            </w:r>
          </w:p>
          <w:p w:rsidR="003226C9" w:rsidRDefault="003226C9" w:rsidP="003226C9">
            <w:pPr>
              <w:spacing w:after="0"/>
              <w:contextualSpacing/>
              <w:jc w:val="center"/>
              <w:rPr>
                <w:rFonts w:eastAsia="Times New Roman" w:cs="Arial"/>
                <w:b/>
                <w:bCs/>
                <w:sz w:val="18"/>
                <w:szCs w:val="18"/>
                <w:lang w:eastAsia="cs-CZ"/>
              </w:rPr>
            </w:pPr>
            <w:r w:rsidRPr="00FC7D41">
              <w:rPr>
                <w:rFonts w:eastAsia="Times New Roman" w:cs="Arial"/>
                <w:b/>
                <w:bCs/>
                <w:sz w:val="18"/>
                <w:szCs w:val="18"/>
                <w:lang w:eastAsia="cs-CZ"/>
              </w:rPr>
              <w:t>550</w:t>
            </w:r>
            <w:r>
              <w:rPr>
                <w:rFonts w:eastAsia="Times New Roman" w:cs="Arial"/>
                <w:b/>
                <w:bCs/>
                <w:sz w:val="18"/>
                <w:szCs w:val="18"/>
                <w:lang w:eastAsia="cs-CZ"/>
              </w:rPr>
              <w:t xml:space="preserve"> mm</w:t>
            </w:r>
            <w:r w:rsidRPr="00FC7D41">
              <w:rPr>
                <w:rFonts w:eastAsia="Times New Roman" w:cs="Arial"/>
                <w:b/>
                <w:bCs/>
                <w:sz w:val="18"/>
                <w:szCs w:val="18"/>
                <w:lang w:eastAsia="cs-CZ"/>
              </w:rPr>
              <w:t xml:space="preserve"> </w:t>
            </w:r>
          </w:p>
          <w:p w:rsidR="003226C9" w:rsidRPr="00FC7D41" w:rsidRDefault="003226C9" w:rsidP="003226C9">
            <w:pPr>
              <w:spacing w:after="0"/>
              <w:contextualSpacing/>
              <w:jc w:val="center"/>
              <w:rPr>
                <w:rFonts w:eastAsia="Times New Roman" w:cs="Arial"/>
                <w:b/>
                <w:bCs/>
                <w:sz w:val="18"/>
                <w:szCs w:val="18"/>
                <w:lang w:eastAsia="cs-CZ"/>
              </w:rPr>
            </w:pPr>
            <w:r w:rsidRPr="00FC7D41">
              <w:rPr>
                <w:rFonts w:eastAsia="Times New Roman" w:cs="Arial"/>
                <w:b/>
                <w:bCs/>
                <w:sz w:val="18"/>
                <w:szCs w:val="18"/>
                <w:lang w:eastAsia="cs-CZ"/>
              </w:rPr>
              <w:t>nad TK</w:t>
            </w:r>
          </w:p>
        </w:tc>
        <w:tc>
          <w:tcPr>
            <w:tcW w:w="600" w:type="pct"/>
            <w:shd w:val="clear" w:color="000000" w:fill="C6D9F1"/>
            <w:vAlign w:val="center"/>
            <w:hideMark/>
          </w:tcPr>
          <w:p w:rsidR="003226C9" w:rsidRPr="00FC7D41" w:rsidRDefault="003226C9" w:rsidP="003226C9">
            <w:pPr>
              <w:spacing w:after="0"/>
              <w:contextualSpacing/>
              <w:jc w:val="center"/>
              <w:rPr>
                <w:rFonts w:eastAsia="Times New Roman" w:cs="Arial"/>
                <w:b/>
                <w:bCs/>
                <w:sz w:val="18"/>
                <w:szCs w:val="18"/>
                <w:lang w:eastAsia="cs-CZ"/>
              </w:rPr>
            </w:pPr>
            <w:r w:rsidRPr="00FC7D41">
              <w:rPr>
                <w:rFonts w:eastAsia="Times New Roman" w:cs="Arial"/>
                <w:b/>
                <w:bCs/>
                <w:sz w:val="18"/>
                <w:szCs w:val="18"/>
                <w:lang w:eastAsia="cs-CZ"/>
              </w:rPr>
              <w:t>Omezení kapacity</w:t>
            </w:r>
          </w:p>
        </w:tc>
        <w:tc>
          <w:tcPr>
            <w:tcW w:w="760" w:type="pct"/>
            <w:shd w:val="clear" w:color="000000" w:fill="C6D9F1"/>
            <w:vAlign w:val="center"/>
            <w:hideMark/>
          </w:tcPr>
          <w:p w:rsidR="003226C9" w:rsidRPr="00FC7D41" w:rsidRDefault="003226C9" w:rsidP="003226C9">
            <w:pPr>
              <w:spacing w:after="0"/>
              <w:contextualSpacing/>
              <w:jc w:val="center"/>
              <w:rPr>
                <w:rFonts w:eastAsia="Times New Roman" w:cs="Arial"/>
                <w:b/>
                <w:bCs/>
                <w:sz w:val="18"/>
                <w:szCs w:val="18"/>
                <w:lang w:eastAsia="cs-CZ"/>
              </w:rPr>
            </w:pPr>
            <w:r w:rsidRPr="00FC7D41">
              <w:rPr>
                <w:rFonts w:eastAsia="Times New Roman" w:cs="Arial"/>
                <w:b/>
                <w:bCs/>
                <w:sz w:val="18"/>
                <w:szCs w:val="18"/>
                <w:lang w:eastAsia="cs-CZ"/>
              </w:rPr>
              <w:t>V přípravě</w:t>
            </w:r>
          </w:p>
        </w:tc>
      </w:tr>
      <w:tr w:rsidR="003226C9" w:rsidRPr="00FC7D41" w:rsidTr="003226C9">
        <w:trPr>
          <w:trHeight w:val="552"/>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Praha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15,7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Brno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15,21</w:t>
            </w:r>
          </w:p>
        </w:tc>
        <w:tc>
          <w:tcPr>
            <w:tcW w:w="600" w:type="pct"/>
            <w:tcBorders>
              <w:bottom w:val="single" w:sz="8" w:space="0" w:color="4F81BD"/>
            </w:tcBorders>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ano/SP</w:t>
            </w:r>
          </w:p>
        </w:tc>
      </w:tr>
      <w:tr w:rsidR="003226C9" w:rsidRPr="00FC7D41" w:rsidTr="003226C9">
        <w:trPr>
          <w:trHeight w:val="492"/>
        </w:trPr>
        <w:tc>
          <w:tcPr>
            <w:tcW w:w="270" w:type="pct"/>
            <w:vMerge w:val="restar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w:t>
            </w:r>
          </w:p>
        </w:tc>
        <w:tc>
          <w:tcPr>
            <w:tcW w:w="986" w:type="pct"/>
            <w:vMerge w:val="restar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Praha Masarykovo n.</w:t>
            </w:r>
          </w:p>
        </w:tc>
        <w:tc>
          <w:tcPr>
            <w:tcW w:w="547" w:type="pct"/>
            <w:vMerge w:val="restar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9,77</w:t>
            </w:r>
          </w:p>
        </w:tc>
        <w:tc>
          <w:tcPr>
            <w:tcW w:w="600" w:type="pct"/>
            <w:tcBorders>
              <w:bottom w:val="nil"/>
            </w:tcBorders>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vMerge w:val="restar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vMerge w:val="restar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vMerge w:val="restar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vMerge w:val="restar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vMerge/>
            <w:vAlign w:val="center"/>
            <w:hideMark/>
          </w:tcPr>
          <w:p w:rsidR="003226C9" w:rsidRPr="00FC7D41" w:rsidRDefault="003226C9" w:rsidP="003226C9">
            <w:pPr>
              <w:spacing w:after="0"/>
              <w:contextualSpacing/>
              <w:jc w:val="center"/>
              <w:rPr>
                <w:rFonts w:eastAsia="Times New Roman" w:cs="Arial"/>
                <w:sz w:val="18"/>
                <w:szCs w:val="18"/>
                <w:lang w:eastAsia="cs-CZ"/>
              </w:rPr>
            </w:pPr>
          </w:p>
        </w:tc>
        <w:tc>
          <w:tcPr>
            <w:tcW w:w="986" w:type="pct"/>
            <w:vMerge/>
            <w:vAlign w:val="center"/>
            <w:hideMark/>
          </w:tcPr>
          <w:p w:rsidR="003226C9" w:rsidRPr="00FC7D41" w:rsidRDefault="003226C9" w:rsidP="003226C9">
            <w:pPr>
              <w:spacing w:after="0"/>
              <w:contextualSpacing/>
              <w:jc w:val="center"/>
              <w:rPr>
                <w:rFonts w:eastAsia="Times New Roman" w:cs="Arial"/>
                <w:sz w:val="18"/>
                <w:szCs w:val="18"/>
                <w:lang w:eastAsia="cs-CZ"/>
              </w:rPr>
            </w:pPr>
          </w:p>
        </w:tc>
        <w:tc>
          <w:tcPr>
            <w:tcW w:w="547" w:type="pct"/>
            <w:vMerge/>
            <w:vAlign w:val="center"/>
            <w:hideMark/>
          </w:tcPr>
          <w:p w:rsidR="003226C9" w:rsidRPr="00FC7D41" w:rsidRDefault="003226C9" w:rsidP="003226C9">
            <w:pPr>
              <w:spacing w:after="0"/>
              <w:contextualSpacing/>
              <w:jc w:val="center"/>
              <w:rPr>
                <w:rFonts w:eastAsia="Times New Roman" w:cs="Arial"/>
                <w:sz w:val="18"/>
                <w:szCs w:val="18"/>
                <w:lang w:eastAsia="cs-CZ"/>
              </w:rPr>
            </w:pPr>
          </w:p>
        </w:tc>
        <w:tc>
          <w:tcPr>
            <w:tcW w:w="600" w:type="pct"/>
            <w:tcBorders>
              <w:top w:val="nil"/>
            </w:tcBorders>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(hlavové)</w:t>
            </w:r>
          </w:p>
        </w:tc>
        <w:tc>
          <w:tcPr>
            <w:tcW w:w="600" w:type="pct"/>
            <w:vMerge/>
            <w:vAlign w:val="center"/>
            <w:hideMark/>
          </w:tcPr>
          <w:p w:rsidR="003226C9" w:rsidRPr="00FC7D41" w:rsidRDefault="003226C9" w:rsidP="003226C9">
            <w:pPr>
              <w:spacing w:after="0"/>
              <w:contextualSpacing/>
              <w:jc w:val="center"/>
              <w:rPr>
                <w:rFonts w:eastAsia="Times New Roman" w:cs="Arial"/>
                <w:sz w:val="18"/>
                <w:szCs w:val="18"/>
                <w:lang w:eastAsia="cs-CZ"/>
              </w:rPr>
            </w:pPr>
          </w:p>
        </w:tc>
        <w:tc>
          <w:tcPr>
            <w:tcW w:w="600" w:type="pct"/>
            <w:vMerge/>
            <w:vAlign w:val="center"/>
            <w:hideMark/>
          </w:tcPr>
          <w:p w:rsidR="003226C9" w:rsidRPr="00FC7D41" w:rsidRDefault="003226C9" w:rsidP="003226C9">
            <w:pPr>
              <w:spacing w:after="0"/>
              <w:contextualSpacing/>
              <w:jc w:val="center"/>
              <w:rPr>
                <w:rFonts w:eastAsia="Times New Roman" w:cs="Arial"/>
                <w:sz w:val="18"/>
                <w:szCs w:val="18"/>
                <w:lang w:eastAsia="cs-CZ"/>
              </w:rPr>
            </w:pPr>
          </w:p>
        </w:tc>
        <w:tc>
          <w:tcPr>
            <w:tcW w:w="600" w:type="pct"/>
            <w:vMerge/>
            <w:vAlign w:val="center"/>
            <w:hideMark/>
          </w:tcPr>
          <w:p w:rsidR="003226C9" w:rsidRPr="00FC7D41" w:rsidRDefault="003226C9" w:rsidP="003226C9">
            <w:pPr>
              <w:spacing w:after="0"/>
              <w:contextualSpacing/>
              <w:jc w:val="center"/>
              <w:rPr>
                <w:rFonts w:eastAsia="Times New Roman" w:cs="Arial"/>
                <w:sz w:val="18"/>
                <w:szCs w:val="18"/>
                <w:lang w:eastAsia="cs-CZ"/>
              </w:rPr>
            </w:pPr>
          </w:p>
        </w:tc>
        <w:tc>
          <w:tcPr>
            <w:tcW w:w="760" w:type="pct"/>
            <w:vMerge/>
            <w:vAlign w:val="center"/>
            <w:hideMark/>
          </w:tcPr>
          <w:p w:rsidR="003226C9" w:rsidRPr="00FC7D41" w:rsidRDefault="003226C9" w:rsidP="003226C9">
            <w:pPr>
              <w:spacing w:after="0"/>
              <w:contextualSpacing/>
              <w:jc w:val="center"/>
              <w:rPr>
                <w:rFonts w:eastAsia="Times New Roman" w:cs="Arial"/>
                <w:sz w:val="18"/>
                <w:szCs w:val="18"/>
                <w:lang w:eastAsia="cs-CZ"/>
              </w:rPr>
            </w:pP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Olomouc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7,15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5</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Plzeň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6,3</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realizace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Pardubice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5,17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Hradec Králové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4,49</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8</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Kolín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4,46</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9</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Ústí nad Labem</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3,97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Přerov</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3,85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Praha, Smíchov</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12</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České Budějovice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3,4</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13</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Ostrava-Svinov</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3,33</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14</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Opava východ</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2,98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15</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Děčín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2,87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16</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Kralupy nad Vltavou</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2,85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17</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Nymburk</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2,65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18</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Liberec</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2,63</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19</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Český Těšín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2,58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20</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Benešov u Prahy</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2,56</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12"/>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21</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Břeclav</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2,56</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ne</w:t>
            </w:r>
          </w:p>
        </w:tc>
      </w:tr>
      <w:tr w:rsidR="003226C9" w:rsidRPr="00FC7D41" w:rsidTr="003226C9">
        <w:trPr>
          <w:trHeight w:val="552"/>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22</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Frýdek Místek</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2,45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ano/SP</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23</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Veselí nad Moravou</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2,37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24</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Cheb</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2,32</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25</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Most</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2,31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26</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Valašské Meziříčí</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2,28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ano/SP</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27</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Ostrava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2,14</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ano/SP</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28</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Praha Vršovice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ano/PSŘ</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29</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Tábor</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1,79</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30</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Trutnov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1,77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31</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Havířov</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1,76</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32</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Žďár nad Sázavou</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1,75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33</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Choceň</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1,75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34</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Rokycany</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1,73</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35</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Lovosice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1,72</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36</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Šumperk</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1,69</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37</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Vsetín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1,69</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38</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Česká Třebová</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1,68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39</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Poděbrady</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1,64</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 xml:space="preserve"> 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40</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Říčany</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1,62</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41</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Havlíčkův Brod</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1,58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42</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Šternberk</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1,58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43</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Frýdlant nad Ostravicí</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1,56</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44</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Kladno</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1,55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45</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Prostějov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1,52</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ano/SP</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46</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Teplice v Čechách</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1,51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47</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Bohumín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48</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Praha Vysočany</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1,48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49</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Zlín střed</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1,41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50</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Praha-Holešovice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1,38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51</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Pečky</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1,37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52</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Hodonín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1,35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53</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Tišnov</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1,34</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54</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Kroměříž</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1,31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55</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Český Brod</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1,31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56</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Úvaly</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1,31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52"/>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57</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Otrokovice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1,28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částečně</w:t>
            </w:r>
          </w:p>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 xml:space="preserve"> 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částečně</w:t>
            </w:r>
          </w:p>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ano/PD</w:t>
            </w:r>
          </w:p>
        </w:tc>
      </w:tr>
      <w:tr w:rsidR="003226C9" w:rsidRPr="00FC7D41" w:rsidTr="003226C9">
        <w:trPr>
          <w:trHeight w:val="552"/>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58</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Blansko</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1,19</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59</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Třinec</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1,19</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60</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Jihlava</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61</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Studénka</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1,16</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62</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Česká Lípa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realizace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63</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Chomutov</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1,13</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64</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Řevnice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1,12</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65</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Klatovy</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1,12</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66</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Karviná hl. 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realizace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67</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Hulín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68</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Tanvald</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69</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Čelákovice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realizace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70</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Letohrad</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1,03</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71</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Kuřim</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1,02</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realizace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72</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Rakovník</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73</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Znojmo</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74</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Turnov</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75</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Hranice na Moravě</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0,99</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ano/SP</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76</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Přelouč</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0,97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77</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Beroun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0,96</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realizace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78</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Praha-Libeň</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0,95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79</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Týniště nad Orlicí</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0,95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80</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Ostrava-Vítkovice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0,95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81</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Čáslav</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0,92</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82</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Sokolov</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0,91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83</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Karlovy Vary</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0,91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realizace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84</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Lysá n. L.</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3,9</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w:t>
            </w:r>
            <w:r w:rsidRPr="00FC7D41">
              <w:rPr>
                <w:rFonts w:eastAsia="Times New Roman" w:cs="Arial"/>
                <w:sz w:val="18"/>
                <w:szCs w:val="18"/>
                <w:lang w:eastAsia="cs-CZ"/>
              </w:rPr>
              <w:t>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w:t>
            </w:r>
            <w:r w:rsidRPr="00FC7D41">
              <w:rPr>
                <w:rFonts w:eastAsia="Times New Roman" w:cs="Arial"/>
                <w:sz w:val="18"/>
                <w:szCs w:val="18"/>
                <w:lang w:eastAsia="cs-CZ"/>
              </w:rPr>
              <w:t>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85</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Praha Radotín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2,52</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w:t>
            </w:r>
            <w:r w:rsidRPr="00FC7D41">
              <w:rPr>
                <w:rFonts w:eastAsia="Times New Roman" w:cs="Arial"/>
                <w:sz w:val="18"/>
                <w:szCs w:val="18"/>
                <w:lang w:eastAsia="cs-CZ"/>
              </w:rPr>
              <w:t>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w:t>
            </w:r>
            <w:r w:rsidRPr="00FC7D41">
              <w:rPr>
                <w:rFonts w:eastAsia="Times New Roman" w:cs="Arial"/>
                <w:sz w:val="18"/>
                <w:szCs w:val="18"/>
                <w:lang w:eastAsia="cs-CZ"/>
              </w:rPr>
              <w:t>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86</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Zábřeh na Moravě</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2,16</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87</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Ostrava Kunčice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1,73</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88</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Staré Město u Uh.</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1,68</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w:t>
            </w:r>
            <w:r w:rsidRPr="00FC7D41">
              <w:rPr>
                <w:rFonts w:eastAsia="Times New Roman" w:cs="Arial"/>
                <w:sz w:val="18"/>
                <w:szCs w:val="18"/>
                <w:lang w:eastAsia="cs-CZ"/>
              </w:rPr>
              <w:t xml:space="preserve">ástečně </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w:t>
            </w:r>
            <w:r w:rsidRPr="00FC7D41">
              <w:rPr>
                <w:rFonts w:eastAsia="Times New Roman" w:cs="Arial"/>
                <w:sz w:val="18"/>
                <w:szCs w:val="18"/>
                <w:lang w:eastAsia="cs-CZ"/>
              </w:rPr>
              <w:t>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89</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Praha - Klánovice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1,61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90</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Uherské Hradiště</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1,54</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92</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Kutná Hora hl.n.</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1,49</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93</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Milovice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1,4</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94</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Čerčany</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1,36</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95</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Černošice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1,31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bCs/>
                <w:sz w:val="18"/>
                <w:szCs w:val="18"/>
                <w:lang w:eastAsia="cs-CZ"/>
              </w:rPr>
            </w:pPr>
            <w:r w:rsidRPr="00FC7D41">
              <w:rPr>
                <w:rFonts w:eastAsia="Times New Roman" w:cs="Arial"/>
                <w:bCs/>
                <w:sz w:val="18"/>
                <w:szCs w:val="18"/>
                <w:lang w:eastAsia="cs-CZ"/>
              </w:rPr>
              <w:t>ano/PD</w:t>
            </w:r>
          </w:p>
        </w:tc>
      </w:tr>
      <w:tr w:rsidR="003226C9" w:rsidRPr="00FC7D41" w:rsidTr="003226C9">
        <w:trPr>
          <w:trHeight w:val="552"/>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96</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Skalice n. S.</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1,27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w:t>
            </w:r>
            <w:r w:rsidRPr="00FC7D41">
              <w:rPr>
                <w:rFonts w:eastAsia="Times New Roman" w:cs="Arial"/>
                <w:sz w:val="18"/>
                <w:szCs w:val="18"/>
                <w:lang w:eastAsia="cs-CZ"/>
              </w:rPr>
              <w:t>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w:t>
            </w:r>
            <w:r w:rsidRPr="00FC7D41">
              <w:rPr>
                <w:rFonts w:eastAsia="Times New Roman" w:cs="Arial"/>
                <w:sz w:val="18"/>
                <w:szCs w:val="18"/>
                <w:lang w:eastAsia="cs-CZ"/>
              </w:rPr>
              <w:t>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a</w:t>
            </w:r>
            <w:r w:rsidRPr="00FC7D41">
              <w:rPr>
                <w:rFonts w:eastAsia="Times New Roman" w:cs="Arial"/>
                <w:sz w:val="18"/>
                <w:szCs w:val="18"/>
                <w:lang w:eastAsia="cs-CZ"/>
              </w:rPr>
              <w:t>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97</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Brno Královo Pole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1,25</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98</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Strančice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1,23</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99</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Praha Uhříněves</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1,23</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100</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Chlumec n. C</w:t>
            </w:r>
            <w:r>
              <w:rPr>
                <w:rFonts w:eastAsia="Times New Roman" w:cs="Arial"/>
                <w:sz w:val="18"/>
                <w:szCs w:val="18"/>
                <w:lang w:eastAsia="cs-CZ"/>
              </w:rPr>
              <w:t>idlinou</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1,19</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804"/>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101</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Ústí nad Labem Západ</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1,16</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102</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Ostrava Střed</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1,13</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ano/SP</w:t>
            </w:r>
          </w:p>
        </w:tc>
      </w:tr>
      <w:tr w:rsidR="003226C9" w:rsidRPr="00FC7D41" w:rsidTr="003226C9">
        <w:trPr>
          <w:trHeight w:val="54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103</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Brno Židenice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ano/SP</w:t>
            </w:r>
          </w:p>
        </w:tc>
      </w:tr>
      <w:tr w:rsidR="003226C9" w:rsidRPr="00FC7D41" w:rsidTr="003226C9">
        <w:trPr>
          <w:trHeight w:val="1068"/>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104</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Praha Horní Počernice</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1,04</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w:t>
            </w:r>
            <w:r w:rsidRPr="00FC7D41">
              <w:rPr>
                <w:rFonts w:eastAsia="Times New Roman" w:cs="Arial"/>
                <w:sz w:val="18"/>
                <w:szCs w:val="18"/>
                <w:lang w:eastAsia="cs-CZ"/>
              </w:rPr>
              <w:t xml:space="preserve">ástečně </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částečně</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Pr>
                <w:rFonts w:eastAsia="Times New Roman" w:cs="Arial"/>
                <w:sz w:val="18"/>
                <w:szCs w:val="18"/>
                <w:lang w:eastAsia="cs-CZ"/>
              </w:rPr>
              <w:t>č</w:t>
            </w:r>
            <w:r w:rsidRPr="00FC7D41">
              <w:rPr>
                <w:rFonts w:eastAsia="Times New Roman" w:cs="Arial"/>
                <w:sz w:val="18"/>
                <w:szCs w:val="18"/>
                <w:lang w:eastAsia="cs-CZ"/>
              </w:rPr>
              <w:t>ástečně</w:t>
            </w:r>
          </w:p>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PP</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ano/PD</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105</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Krnov</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r>
      <w:tr w:rsidR="003226C9" w:rsidRPr="00FC7D41" w:rsidTr="003226C9">
        <w:trPr>
          <w:trHeight w:val="300"/>
        </w:trPr>
        <w:tc>
          <w:tcPr>
            <w:tcW w:w="27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106</w:t>
            </w:r>
          </w:p>
        </w:tc>
        <w:tc>
          <w:tcPr>
            <w:tcW w:w="986"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Jaroměř</w:t>
            </w:r>
          </w:p>
        </w:tc>
        <w:tc>
          <w:tcPr>
            <w:tcW w:w="547"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0,97</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ne</w:t>
            </w:r>
          </w:p>
        </w:tc>
        <w:tc>
          <w:tcPr>
            <w:tcW w:w="60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w:t>
            </w:r>
          </w:p>
        </w:tc>
        <w:tc>
          <w:tcPr>
            <w:tcW w:w="760" w:type="pct"/>
            <w:shd w:val="clear" w:color="auto" w:fill="auto"/>
            <w:vAlign w:val="center"/>
            <w:hideMark/>
          </w:tcPr>
          <w:p w:rsidR="003226C9" w:rsidRPr="00FC7D41" w:rsidRDefault="003226C9" w:rsidP="003226C9">
            <w:pPr>
              <w:spacing w:after="0"/>
              <w:contextualSpacing/>
              <w:jc w:val="center"/>
              <w:rPr>
                <w:rFonts w:eastAsia="Times New Roman" w:cs="Arial"/>
                <w:sz w:val="18"/>
                <w:szCs w:val="18"/>
                <w:lang w:eastAsia="cs-CZ"/>
              </w:rPr>
            </w:pPr>
            <w:r w:rsidRPr="00FC7D41">
              <w:rPr>
                <w:rFonts w:eastAsia="Times New Roman" w:cs="Arial"/>
                <w:sz w:val="18"/>
                <w:szCs w:val="18"/>
                <w:lang w:eastAsia="cs-CZ"/>
              </w:rPr>
              <w:t>ano/P</w:t>
            </w:r>
          </w:p>
        </w:tc>
      </w:tr>
    </w:tbl>
    <w:p w:rsidR="003226C9" w:rsidRPr="00FC7D41" w:rsidRDefault="003226C9" w:rsidP="003226C9">
      <w:pPr>
        <w:rPr>
          <w:rFonts w:cs="Arial"/>
        </w:rPr>
      </w:pPr>
    </w:p>
    <w:p w:rsidR="003226C9" w:rsidRPr="00FC2013" w:rsidRDefault="003226C9" w:rsidP="003226C9">
      <w:pPr>
        <w:spacing w:after="120"/>
        <w:rPr>
          <w:rFonts w:cs="Arial"/>
          <w:u w:val="single"/>
        </w:rPr>
      </w:pPr>
      <w:r w:rsidRPr="00FC2013">
        <w:rPr>
          <w:rFonts w:cs="Arial"/>
          <w:u w:val="single"/>
        </w:rPr>
        <w:t>Vysvětlivky k tabulce:</w:t>
      </w:r>
    </w:p>
    <w:p w:rsidR="003226C9" w:rsidRPr="00FC7D41" w:rsidRDefault="003226C9" w:rsidP="003226C9">
      <w:pPr>
        <w:spacing w:after="120"/>
        <w:rPr>
          <w:rFonts w:cs="Arial"/>
        </w:rPr>
      </w:pPr>
      <w:r w:rsidRPr="00FC7D41">
        <w:rPr>
          <w:rFonts w:cs="Arial"/>
        </w:rPr>
        <w:t>SP</w:t>
      </w:r>
      <w:r w:rsidRPr="00FC7D41">
        <w:rPr>
          <w:rFonts w:cs="Arial"/>
        </w:rPr>
        <w:tab/>
        <w:t>studie proveditelnosti</w:t>
      </w:r>
    </w:p>
    <w:p w:rsidR="003226C9" w:rsidRPr="00FC7D41" w:rsidRDefault="003226C9" w:rsidP="003226C9">
      <w:pPr>
        <w:spacing w:after="120"/>
        <w:rPr>
          <w:rFonts w:cs="Arial"/>
        </w:rPr>
      </w:pPr>
      <w:r w:rsidRPr="00FC7D41">
        <w:rPr>
          <w:rFonts w:cs="Arial"/>
        </w:rPr>
        <w:t>PD</w:t>
      </w:r>
      <w:r w:rsidRPr="00FC7D41">
        <w:rPr>
          <w:rFonts w:cs="Arial"/>
        </w:rPr>
        <w:tab/>
        <w:t>přípravná dokumentace</w:t>
      </w:r>
    </w:p>
    <w:p w:rsidR="003226C9" w:rsidRPr="00FC7D41" w:rsidRDefault="003226C9" w:rsidP="003226C9">
      <w:pPr>
        <w:spacing w:after="120"/>
        <w:rPr>
          <w:rFonts w:cs="Arial"/>
        </w:rPr>
      </w:pPr>
      <w:r w:rsidRPr="00FC7D41">
        <w:rPr>
          <w:rFonts w:cs="Arial"/>
        </w:rPr>
        <w:t>PSŘ</w:t>
      </w:r>
      <w:r>
        <w:rPr>
          <w:rFonts w:cs="Arial"/>
        </w:rPr>
        <w:tab/>
        <w:t>projektové souhrnné řešení</w:t>
      </w:r>
    </w:p>
    <w:p w:rsidR="003226C9" w:rsidRPr="00FC7D41" w:rsidRDefault="003226C9" w:rsidP="003226C9">
      <w:pPr>
        <w:spacing w:after="120"/>
        <w:rPr>
          <w:rFonts w:cs="Arial"/>
        </w:rPr>
      </w:pPr>
      <w:r w:rsidRPr="00FC7D41">
        <w:rPr>
          <w:rFonts w:cs="Arial"/>
        </w:rPr>
        <w:t>PP</w:t>
      </w:r>
      <w:r>
        <w:rPr>
          <w:rFonts w:cs="Arial"/>
        </w:rPr>
        <w:tab/>
        <w:t>poloperonizace</w:t>
      </w:r>
    </w:p>
    <w:p w:rsidR="003226C9" w:rsidRDefault="003226C9" w:rsidP="003226C9">
      <w:pPr>
        <w:spacing w:after="120"/>
        <w:rPr>
          <w:rFonts w:cs="Arial"/>
        </w:rPr>
      </w:pPr>
      <w:r w:rsidRPr="00FC7D41">
        <w:rPr>
          <w:rFonts w:cs="Arial"/>
        </w:rPr>
        <w:t>P</w:t>
      </w:r>
      <w:r w:rsidRPr="00FC7D41">
        <w:rPr>
          <w:rFonts w:cs="Arial"/>
        </w:rPr>
        <w:tab/>
        <w:t>projekt</w:t>
      </w:r>
    </w:p>
    <w:p w:rsidR="003226C9" w:rsidRPr="00FC7D41" w:rsidRDefault="003226C9" w:rsidP="003226C9">
      <w:pPr>
        <w:spacing w:after="120"/>
        <w:rPr>
          <w:rFonts w:cs="Arial"/>
        </w:rPr>
      </w:pPr>
      <w:r>
        <w:rPr>
          <w:rFonts w:cs="Arial"/>
        </w:rPr>
        <w:t>TK</w:t>
      </w:r>
      <w:r>
        <w:rPr>
          <w:rFonts w:cs="Arial"/>
        </w:rPr>
        <w:tab/>
        <w:t>temeno kolejnice</w:t>
      </w:r>
    </w:p>
    <w:p w:rsidR="00211AA4" w:rsidRDefault="00211AA4" w:rsidP="003226C9">
      <w:pPr>
        <w:spacing w:after="0"/>
        <w:jc w:val="center"/>
        <w:rPr>
          <w:rFonts w:ascii="Times New Roman" w:hAnsi="Times New Roman" w:cs="Times New Roman"/>
          <w:b/>
          <w:sz w:val="24"/>
        </w:rPr>
      </w:pPr>
    </w:p>
    <w:p w:rsidR="00903B9E" w:rsidRDefault="00903B9E" w:rsidP="00903B9E">
      <w:pPr>
        <w:ind w:firstLine="708"/>
        <w:rPr>
          <w:rFonts w:ascii="Times New Roman" w:eastAsia="Times New Roman" w:hAnsi="Times New Roman" w:cs="Times New Roman"/>
          <w:sz w:val="24"/>
          <w:szCs w:val="24"/>
          <w:lang w:eastAsia="cs-CZ"/>
        </w:rPr>
      </w:pPr>
      <w:r>
        <w:rPr>
          <w:rFonts w:ascii="Times New Roman" w:hAnsi="Times New Roman" w:cs="Times New Roman"/>
          <w:b/>
          <w:sz w:val="24"/>
        </w:rPr>
        <w:br w:type="column"/>
      </w:r>
      <w:r w:rsidRPr="00903B9E">
        <w:rPr>
          <w:rFonts w:cstheme="minorHAnsi"/>
          <w:b/>
        </w:rPr>
        <w:t>Tabulka 3:</w:t>
      </w:r>
      <w:r>
        <w:rPr>
          <w:rFonts w:ascii="Times New Roman" w:hAnsi="Times New Roman" w:cs="Times New Roman"/>
          <w:b/>
          <w:sz w:val="24"/>
        </w:rPr>
        <w:t xml:space="preserve"> </w:t>
      </w:r>
      <w:r>
        <w:rPr>
          <w:b/>
        </w:rPr>
        <w:t>Přehled nízkopodlažních vozidel v provozu Českých drah, a.s.</w:t>
      </w:r>
      <w:r>
        <w:t xml:space="preserve"> </w:t>
      </w:r>
    </w:p>
    <w:p w:rsidR="00903B9E" w:rsidRDefault="00903B9E" w:rsidP="00903B9E"/>
    <w:p w:rsidR="00903B9E" w:rsidRDefault="00903B9E" w:rsidP="00903B9E"/>
    <w:tbl>
      <w:tblPr>
        <w:tblStyle w:val="Mkatabulky"/>
        <w:tblW w:w="9210" w:type="dxa"/>
        <w:tblLayout w:type="fixed"/>
        <w:tblLook w:val="04A0" w:firstRow="1" w:lastRow="0" w:firstColumn="1" w:lastColumn="0" w:noHBand="0" w:noVBand="1"/>
      </w:tblPr>
      <w:tblGrid>
        <w:gridCol w:w="1839"/>
        <w:gridCol w:w="1134"/>
        <w:gridCol w:w="1701"/>
        <w:gridCol w:w="1134"/>
        <w:gridCol w:w="567"/>
        <w:gridCol w:w="567"/>
        <w:gridCol w:w="851"/>
        <w:gridCol w:w="708"/>
        <w:gridCol w:w="709"/>
      </w:tblGrid>
      <w:tr w:rsidR="00903B9E" w:rsidTr="003226C9">
        <w:trPr>
          <w:cantSplit/>
          <w:trHeight w:val="1854"/>
        </w:trPr>
        <w:tc>
          <w:tcPr>
            <w:tcW w:w="1839" w:type="dxa"/>
            <w:tcBorders>
              <w:top w:val="single" w:sz="4" w:space="0" w:color="auto"/>
              <w:left w:val="single" w:sz="4" w:space="0" w:color="auto"/>
              <w:bottom w:val="single" w:sz="4" w:space="0" w:color="auto"/>
              <w:right w:val="single" w:sz="4" w:space="0" w:color="auto"/>
            </w:tcBorders>
            <w:hideMark/>
          </w:tcPr>
          <w:p w:rsidR="00903B9E" w:rsidRPr="00903B9E" w:rsidRDefault="00903B9E" w:rsidP="00903B9E">
            <w:pPr>
              <w:jc w:val="center"/>
              <w:rPr>
                <w:b/>
                <w:bCs/>
              </w:rPr>
            </w:pPr>
            <w:r w:rsidRPr="00903B9E">
              <w:rPr>
                <w:b/>
                <w:bCs/>
              </w:rPr>
              <w:t>řada vozidla</w:t>
            </w:r>
          </w:p>
        </w:tc>
        <w:tc>
          <w:tcPr>
            <w:tcW w:w="1134" w:type="dxa"/>
            <w:tcBorders>
              <w:top w:val="single" w:sz="4" w:space="0" w:color="auto"/>
              <w:left w:val="single" w:sz="4" w:space="0" w:color="auto"/>
              <w:bottom w:val="single" w:sz="4" w:space="0" w:color="auto"/>
              <w:right w:val="single" w:sz="4" w:space="0" w:color="auto"/>
            </w:tcBorders>
            <w:hideMark/>
          </w:tcPr>
          <w:p w:rsidR="00903B9E" w:rsidRPr="00903B9E" w:rsidRDefault="00903B9E" w:rsidP="00903B9E">
            <w:pPr>
              <w:jc w:val="center"/>
              <w:rPr>
                <w:b/>
                <w:bCs/>
              </w:rPr>
            </w:pPr>
            <w:r w:rsidRPr="00903B9E">
              <w:rPr>
                <w:b/>
                <w:bCs/>
              </w:rPr>
              <w:t>popis</w:t>
            </w:r>
          </w:p>
        </w:tc>
        <w:tc>
          <w:tcPr>
            <w:tcW w:w="1701" w:type="dxa"/>
            <w:tcBorders>
              <w:top w:val="single" w:sz="4" w:space="0" w:color="auto"/>
              <w:left w:val="single" w:sz="4" w:space="0" w:color="auto"/>
              <w:bottom w:val="single" w:sz="4" w:space="0" w:color="auto"/>
              <w:right w:val="single" w:sz="4" w:space="0" w:color="auto"/>
            </w:tcBorders>
            <w:hideMark/>
          </w:tcPr>
          <w:p w:rsidR="00903B9E" w:rsidRPr="00903B9E" w:rsidRDefault="00903B9E" w:rsidP="00903B9E">
            <w:pPr>
              <w:jc w:val="center"/>
              <w:rPr>
                <w:b/>
                <w:bCs/>
              </w:rPr>
            </w:pPr>
            <w:r w:rsidRPr="00903B9E">
              <w:rPr>
                <w:b/>
                <w:bCs/>
              </w:rPr>
              <w:t>doprava (obvyklé využití)</w:t>
            </w:r>
          </w:p>
        </w:tc>
        <w:tc>
          <w:tcPr>
            <w:tcW w:w="1134" w:type="dxa"/>
            <w:tcBorders>
              <w:top w:val="single" w:sz="4" w:space="0" w:color="auto"/>
              <w:left w:val="single" w:sz="4" w:space="0" w:color="auto"/>
              <w:bottom w:val="single" w:sz="4" w:space="0" w:color="auto"/>
              <w:right w:val="single" w:sz="4" w:space="0" w:color="auto"/>
            </w:tcBorders>
            <w:hideMark/>
          </w:tcPr>
          <w:p w:rsidR="00903B9E" w:rsidRPr="00903B9E" w:rsidRDefault="00903B9E" w:rsidP="00903B9E">
            <w:pPr>
              <w:jc w:val="center"/>
              <w:rPr>
                <w:b/>
                <w:bCs/>
              </w:rPr>
            </w:pPr>
            <w:r w:rsidRPr="00903B9E">
              <w:rPr>
                <w:b/>
                <w:bCs/>
              </w:rPr>
              <w:t>počet vozidel*</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3B9E" w:rsidRPr="00903B9E" w:rsidRDefault="00903B9E">
            <w:pPr>
              <w:ind w:left="113" w:right="113"/>
              <w:rPr>
                <w:b/>
                <w:bCs/>
              </w:rPr>
            </w:pPr>
            <w:r w:rsidRPr="00903B9E">
              <w:rPr>
                <w:b/>
                <w:bCs/>
              </w:rPr>
              <w:t>nízkopodlažnost</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3B9E" w:rsidRPr="00903B9E" w:rsidRDefault="00903B9E">
            <w:pPr>
              <w:ind w:left="113" w:right="113"/>
              <w:rPr>
                <w:b/>
                <w:bCs/>
              </w:rPr>
            </w:pPr>
            <w:r w:rsidRPr="00903B9E">
              <w:rPr>
                <w:b/>
                <w:bCs/>
              </w:rPr>
              <w:t>míst pro vozíky</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03B9E" w:rsidRPr="00903B9E" w:rsidRDefault="00903B9E">
            <w:pPr>
              <w:ind w:left="113" w:right="113"/>
              <w:rPr>
                <w:b/>
                <w:bCs/>
              </w:rPr>
            </w:pPr>
            <w:r w:rsidRPr="00903B9E">
              <w:rPr>
                <w:b/>
                <w:bCs/>
              </w:rPr>
              <w:t>zvedací plošina / výklopná rampa</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903B9E" w:rsidRPr="00903B9E" w:rsidRDefault="00903B9E">
            <w:pPr>
              <w:ind w:left="113" w:right="113"/>
              <w:rPr>
                <w:b/>
                <w:bCs/>
              </w:rPr>
            </w:pPr>
            <w:r w:rsidRPr="00903B9E">
              <w:rPr>
                <w:b/>
                <w:bCs/>
              </w:rPr>
              <w:t>akustický naváděcí systém</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3B9E" w:rsidRPr="00903B9E" w:rsidRDefault="00903B9E">
            <w:pPr>
              <w:ind w:left="113" w:right="113"/>
              <w:rPr>
                <w:b/>
                <w:bCs/>
              </w:rPr>
            </w:pPr>
            <w:r w:rsidRPr="00903B9E">
              <w:rPr>
                <w:b/>
                <w:bCs/>
              </w:rPr>
              <w:t>bezbarierové WC</w:t>
            </w:r>
          </w:p>
        </w:tc>
      </w:tr>
      <w:tr w:rsidR="00903B9E" w:rsidTr="003226C9">
        <w:trPr>
          <w:trHeight w:val="270"/>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 xml:space="preserve">451 </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 xml:space="preserve">EMJ </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předměstská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11 (x4)</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r>
              <w:t>-</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r>
              <w:t>-</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r>
              <w:t>-</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r>
              <w:t>-</w:t>
            </w:r>
          </w:p>
        </w:tc>
      </w:tr>
      <w:tr w:rsidR="00903B9E" w:rsidTr="003226C9">
        <w:trPr>
          <w:trHeight w:val="25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 xml:space="preserve">452 </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EMJ</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předměstská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3 (x4)</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r>
      <w:tr w:rsidR="00903B9E" w:rsidTr="003226C9">
        <w:trPr>
          <w:trHeight w:val="67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471+071+971</w:t>
            </w:r>
          </w:p>
          <w:p w:rsidR="00903B9E" w:rsidRDefault="00903B9E">
            <w:pPr>
              <w:rPr>
                <w:bCs/>
              </w:rPr>
            </w:pPr>
            <w:r>
              <w:rPr>
                <w:bCs/>
              </w:rPr>
              <w:t>CityElefant</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 xml:space="preserve">EMJ </w:t>
            </w:r>
          </w:p>
          <w:p w:rsidR="00903B9E" w:rsidRDefault="00903B9E">
            <w:pPr>
              <w:rPr>
                <w:bCs/>
              </w:rPr>
            </w:pPr>
            <w:r>
              <w:rPr>
                <w:bCs/>
              </w:rPr>
              <w:t>patrová</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předměstská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83 (x3)</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4</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25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440</w:t>
            </w:r>
          </w:p>
          <w:p w:rsidR="00903B9E" w:rsidRDefault="00903B9E">
            <w:pPr>
              <w:rPr>
                <w:bCs/>
              </w:rPr>
            </w:pPr>
            <w:r>
              <w:rPr>
                <w:bCs/>
              </w:rPr>
              <w:t>RegioPanter</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EMJ</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 předměstská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12 (x3)</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rPr>
                <w:sz w:val="24"/>
              </w:rP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49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640+641+642</w:t>
            </w:r>
          </w:p>
          <w:p w:rsidR="00903B9E" w:rsidRDefault="00903B9E">
            <w:pPr>
              <w:rPr>
                <w:bCs/>
              </w:rPr>
            </w:pPr>
            <w:r>
              <w:rPr>
                <w:bCs/>
              </w:rPr>
              <w:t>RegioPanter</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EMJ</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 předměstská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6 (x3)</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540"/>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650+651</w:t>
            </w:r>
          </w:p>
          <w:p w:rsidR="00903B9E" w:rsidRDefault="00903B9E">
            <w:pPr>
              <w:rPr>
                <w:bCs/>
              </w:rPr>
            </w:pPr>
            <w:r>
              <w:rPr>
                <w:bCs/>
              </w:rPr>
              <w:t>RegioPanter</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EMJ</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 předměstská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7 (x2)</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540"/>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660+661+662</w:t>
            </w:r>
          </w:p>
          <w:p w:rsidR="00903B9E" w:rsidRDefault="00903B9E">
            <w:pPr>
              <w:rPr>
                <w:bCs/>
              </w:rPr>
            </w:pPr>
            <w:r>
              <w:rPr>
                <w:bCs/>
              </w:rPr>
              <w:t>InterPanter</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EMJ</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dálková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4 (x3)</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540"/>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660.1+662.1+064.1++662.2+661.1</w:t>
            </w:r>
          </w:p>
          <w:p w:rsidR="00903B9E" w:rsidRDefault="00903B9E">
            <w:pPr>
              <w:rPr>
                <w:bCs/>
                <w:sz w:val="24"/>
              </w:rPr>
            </w:pPr>
            <w:r>
              <w:rPr>
                <w:bCs/>
              </w:rPr>
              <w:t>InterPanter</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EMJ</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dálková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10 (x5)</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270"/>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680</w:t>
            </w:r>
          </w:p>
          <w:p w:rsidR="00903B9E" w:rsidRDefault="00903B9E">
            <w:pPr>
              <w:rPr>
                <w:bCs/>
              </w:rPr>
            </w:pPr>
            <w:r>
              <w:rPr>
                <w:bCs/>
              </w:rPr>
              <w:t>Pendolino</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EMJ</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dálková, mezinárodní</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7 (x7)</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25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814+914</w:t>
            </w:r>
          </w:p>
          <w:p w:rsidR="00903B9E" w:rsidRDefault="00903B9E">
            <w:pPr>
              <w:rPr>
                <w:bCs/>
              </w:rPr>
            </w:pPr>
            <w:r>
              <w:rPr>
                <w:bCs/>
              </w:rPr>
              <w:t>Regionova</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MJ</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210 (x2)</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450"/>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814.2+014+814.2</w:t>
            </w:r>
          </w:p>
          <w:p w:rsidR="00903B9E" w:rsidRDefault="00903B9E">
            <w:pPr>
              <w:rPr>
                <w:bCs/>
                <w:sz w:val="24"/>
              </w:rPr>
            </w:pPr>
            <w:r>
              <w:rPr>
                <w:bCs/>
              </w:rPr>
              <w:t>Regionova</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MJ</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 předměstská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26 (x3)</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67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840</w:t>
            </w:r>
          </w:p>
          <w:p w:rsidR="00903B9E" w:rsidRDefault="00903B9E">
            <w:pPr>
              <w:rPr>
                <w:bCs/>
              </w:rPr>
            </w:pPr>
            <w:r>
              <w:rPr>
                <w:bCs/>
              </w:rPr>
              <w:t>Regiospider</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 xml:space="preserve">MV </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16</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900"/>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841</w:t>
            </w:r>
          </w:p>
          <w:p w:rsidR="00903B9E" w:rsidRDefault="00903B9E">
            <w:pPr>
              <w:rPr>
                <w:bCs/>
              </w:rPr>
            </w:pPr>
            <w:r>
              <w:rPr>
                <w:bCs/>
              </w:rPr>
              <w:t>Regiospider</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MV</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 předměstská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21</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67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842</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MV</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 dálková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37</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0</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r>
      <w:tr w:rsidR="00903B9E" w:rsidTr="003226C9">
        <w:trPr>
          <w:trHeight w:val="450"/>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843</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MV</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 dálková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31</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_</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690"/>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844</w:t>
            </w:r>
          </w:p>
          <w:p w:rsidR="00903B9E" w:rsidRDefault="00903B9E">
            <w:pPr>
              <w:rPr>
                <w:bCs/>
              </w:rPr>
            </w:pPr>
            <w:r>
              <w:rPr>
                <w:bCs/>
              </w:rPr>
              <w:t>Regioshark</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MJ</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31 (x2)</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450"/>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Bfhpee 295</w:t>
            </w:r>
          </w:p>
          <w:p w:rsidR="00903B9E" w:rsidRDefault="00903B9E">
            <w:pPr>
              <w:rPr>
                <w:bCs/>
              </w:rPr>
            </w:pPr>
            <w:r>
              <w:rPr>
                <w:bCs/>
              </w:rPr>
              <w:t>Sysel</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 xml:space="preserve">řídicí vůz </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meziregionální</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34</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25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Bfbdtanx 792</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speciál</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cyklohráček</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1</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25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Bfbrdtn 794</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 xml:space="preserve">řídicí vůz </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8</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67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ABfbrdtn 795</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 xml:space="preserve">řídicí vůz </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 meziregionální</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26</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rampa</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25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Bmto 292</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 xml:space="preserve">patrový </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 předměstská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6</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r>
      <w:tr w:rsidR="00903B9E" w:rsidTr="003226C9">
        <w:trPr>
          <w:trHeight w:val="25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Bdmteeo 294</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patrový  (reko)</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regionální</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16</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r>
      <w:tr w:rsidR="00903B9E" w:rsidTr="003226C9">
        <w:trPr>
          <w:trHeight w:val="25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Bdmteeo 296</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 xml:space="preserve">patrový (reko) </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předměstská</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12</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r>
      <w:tr w:rsidR="00903B9E" w:rsidTr="003226C9">
        <w:trPr>
          <w:trHeight w:val="450"/>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Bbdgmee 236</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multifunkční vůz</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sz w:val="24"/>
              </w:rPr>
            </w:pPr>
            <w:r>
              <w:rPr>
                <w:bCs/>
              </w:rPr>
              <w:t>dálková, mezinárodní</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64</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25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Bhmpz 228</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osobní vůz</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mezinárodní</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8</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2</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r w:rsidR="00903B9E" w:rsidTr="003226C9">
        <w:trPr>
          <w:trHeight w:val="465"/>
        </w:trPr>
        <w:tc>
          <w:tcPr>
            <w:tcW w:w="1839"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Railjet</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pPr>
              <w:rPr>
                <w:bCs/>
              </w:rPr>
            </w:pPr>
            <w:r>
              <w:rPr>
                <w:bCs/>
              </w:rPr>
              <w:t>jednotka </w:t>
            </w:r>
          </w:p>
        </w:tc>
        <w:tc>
          <w:tcPr>
            <w:tcW w:w="1701" w:type="dxa"/>
            <w:tcBorders>
              <w:top w:val="single" w:sz="4" w:space="0" w:color="auto"/>
              <w:left w:val="single" w:sz="4" w:space="0" w:color="auto"/>
              <w:bottom w:val="single" w:sz="4" w:space="0" w:color="auto"/>
              <w:right w:val="single" w:sz="4" w:space="0" w:color="auto"/>
            </w:tcBorders>
            <w:hideMark/>
          </w:tcPr>
          <w:p w:rsidR="00903B9E" w:rsidRDefault="00903B9E">
            <w:pPr>
              <w:rPr>
                <w:bCs/>
              </w:rPr>
            </w:pPr>
            <w:r>
              <w:rPr>
                <w:bCs/>
              </w:rPr>
              <w:t>mezinárodní</w:t>
            </w:r>
          </w:p>
        </w:tc>
        <w:tc>
          <w:tcPr>
            <w:tcW w:w="1134" w:type="dxa"/>
            <w:tcBorders>
              <w:top w:val="single" w:sz="4" w:space="0" w:color="auto"/>
              <w:left w:val="single" w:sz="4" w:space="0" w:color="auto"/>
              <w:bottom w:val="single" w:sz="4" w:space="0" w:color="auto"/>
              <w:right w:val="single" w:sz="4" w:space="0" w:color="auto"/>
            </w:tcBorders>
            <w:noWrap/>
            <w:hideMark/>
          </w:tcPr>
          <w:p w:rsidR="00903B9E" w:rsidRDefault="00903B9E">
            <w:r>
              <w:t>7 (x7)</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567"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3</w:t>
            </w:r>
          </w:p>
        </w:tc>
        <w:tc>
          <w:tcPr>
            <w:tcW w:w="851"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c>
          <w:tcPr>
            <w:tcW w:w="708"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w:t>
            </w:r>
          </w:p>
        </w:tc>
        <w:tc>
          <w:tcPr>
            <w:tcW w:w="709" w:type="dxa"/>
            <w:tcBorders>
              <w:top w:val="single" w:sz="4" w:space="0" w:color="auto"/>
              <w:left w:val="single" w:sz="4" w:space="0" w:color="auto"/>
              <w:bottom w:val="single" w:sz="4" w:space="0" w:color="auto"/>
              <w:right w:val="single" w:sz="4" w:space="0" w:color="auto"/>
            </w:tcBorders>
            <w:noWrap/>
            <w:hideMark/>
          </w:tcPr>
          <w:p w:rsidR="00903B9E" w:rsidRDefault="00903B9E">
            <w:pPr>
              <w:jc w:val="center"/>
            </w:pPr>
            <w:r>
              <w:t>x</w:t>
            </w:r>
          </w:p>
        </w:tc>
      </w:tr>
    </w:tbl>
    <w:p w:rsidR="00903B9E" w:rsidRDefault="00903B9E" w:rsidP="00903B9E"/>
    <w:p w:rsidR="00903B9E" w:rsidRDefault="00903B9E" w:rsidP="00903B9E">
      <w:r>
        <w:t xml:space="preserve">* u jednotek je v závorce uveden počet vozů, z kolika se jednotka skládá </w:t>
      </w:r>
    </w:p>
    <w:p w:rsidR="00903B9E" w:rsidRDefault="00903B9E" w:rsidP="00903B9E">
      <w:r>
        <w:t>EMJ – elektrická motorová jednotka</w:t>
      </w:r>
    </w:p>
    <w:p w:rsidR="00903B9E" w:rsidRDefault="00903B9E" w:rsidP="00903B9E">
      <w:r>
        <w:t>MJ – motorová jednotka</w:t>
      </w:r>
    </w:p>
    <w:p w:rsidR="00903B9E" w:rsidRDefault="00903B9E" w:rsidP="00903B9E">
      <w:r>
        <w:t>MV – motorový vůz</w:t>
      </w:r>
    </w:p>
    <w:p w:rsidR="00211AA4" w:rsidRPr="00F04AF1" w:rsidRDefault="00211AA4" w:rsidP="00F04AF1">
      <w:pPr>
        <w:jc w:val="both"/>
        <w:rPr>
          <w:rFonts w:ascii="Times New Roman" w:hAnsi="Times New Roman" w:cs="Times New Roman"/>
          <w:b/>
          <w:sz w:val="24"/>
        </w:rPr>
      </w:pPr>
    </w:p>
    <w:sectPr w:rsidR="00211AA4" w:rsidRPr="00F04AF1" w:rsidSect="00B23533">
      <w:headerReference w:type="default" r:id="rId12"/>
      <w:footerReference w:type="default" r:id="rId13"/>
      <w:headerReference w:type="firs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6F3" w:rsidRDefault="00A116F3" w:rsidP="00D47D5B">
      <w:pPr>
        <w:spacing w:after="0" w:line="240" w:lineRule="auto"/>
      </w:pPr>
      <w:r>
        <w:separator/>
      </w:r>
    </w:p>
  </w:endnote>
  <w:endnote w:type="continuationSeparator" w:id="0">
    <w:p w:rsidR="00A116F3" w:rsidRDefault="00A116F3" w:rsidP="00D4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 Albertina">
    <w:altName w:val="Times New Roman"/>
    <w:panose1 w:val="00000000000000000000"/>
    <w:charset w:val="00"/>
    <w:family w:val="roman"/>
    <w:notTrueType/>
    <w:pitch w:val="default"/>
    <w:sig w:usb0="00000001" w:usb1="00000000" w:usb2="00000000" w:usb3="00000000" w:csb0="00000003" w:csb1="00000000"/>
  </w:font>
  <w:font w:name="EUAlbertina">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019608"/>
      <w:docPartObj>
        <w:docPartGallery w:val="Page Numbers (Bottom of Page)"/>
        <w:docPartUnique/>
      </w:docPartObj>
    </w:sdtPr>
    <w:sdtEndPr/>
    <w:sdtContent>
      <w:p w:rsidR="001D50D4" w:rsidRDefault="001D50D4">
        <w:pPr>
          <w:pStyle w:val="Zpat"/>
          <w:jc w:val="center"/>
        </w:pPr>
        <w:r>
          <w:fldChar w:fldCharType="begin"/>
        </w:r>
        <w:r>
          <w:instrText>PAGE   \* MERGEFORMAT</w:instrText>
        </w:r>
        <w:r>
          <w:fldChar w:fldCharType="separate"/>
        </w:r>
        <w:r w:rsidR="00AE07A7">
          <w:rPr>
            <w:noProof/>
          </w:rPr>
          <w:t>2</w:t>
        </w:r>
        <w:r>
          <w:fldChar w:fldCharType="end"/>
        </w:r>
      </w:p>
    </w:sdtContent>
  </w:sdt>
  <w:p w:rsidR="001D50D4" w:rsidRDefault="001D50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6F3" w:rsidRDefault="00A116F3" w:rsidP="00D47D5B">
      <w:pPr>
        <w:spacing w:after="0" w:line="240" w:lineRule="auto"/>
      </w:pPr>
      <w:r>
        <w:separator/>
      </w:r>
    </w:p>
  </w:footnote>
  <w:footnote w:type="continuationSeparator" w:id="0">
    <w:p w:rsidR="00A116F3" w:rsidRDefault="00A116F3" w:rsidP="00D47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0D4" w:rsidRDefault="001D50D4">
    <w:pPr>
      <w:pStyle w:val="Zhlav"/>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0D4" w:rsidRDefault="001D50D4">
    <w:pPr>
      <w:pStyle w:val="Zhlav"/>
    </w:pPr>
    <w:r>
      <w:rPr>
        <w:noProof/>
        <w:lang w:eastAsia="cs-CZ"/>
      </w:rPr>
      <w:drawing>
        <wp:inline distT="0" distB="0" distL="0" distR="0" wp14:anchorId="52C8E73E" wp14:editId="4DCA947D">
          <wp:extent cx="1590675" cy="398774"/>
          <wp:effectExtent l="0" t="0" r="0" b="1905"/>
          <wp:docPr id="4099" name="Obrázek 3" descr="logoMD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Obrázek 3" descr="logoMD_mini.gi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724" cy="408563"/>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7"/>
    <w:multiLevelType w:val="hybridMultilevel"/>
    <w:tmpl w:val="A120BF94"/>
    <w:lvl w:ilvl="0" w:tplc="4EDCB76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1C26DE"/>
    <w:multiLevelType w:val="hybridMultilevel"/>
    <w:tmpl w:val="7B666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575A84"/>
    <w:multiLevelType w:val="hybridMultilevel"/>
    <w:tmpl w:val="9EFE0F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5D2108"/>
    <w:multiLevelType w:val="hybridMultilevel"/>
    <w:tmpl w:val="FEC20054"/>
    <w:lvl w:ilvl="0" w:tplc="0ECE6EA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2763E9"/>
    <w:multiLevelType w:val="hybridMultilevel"/>
    <w:tmpl w:val="4DC63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B80EA9"/>
    <w:multiLevelType w:val="hybridMultilevel"/>
    <w:tmpl w:val="477A96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0B35EF"/>
    <w:multiLevelType w:val="multilevel"/>
    <w:tmpl w:val="04050025"/>
    <w:lvl w:ilvl="0">
      <w:start w:val="1"/>
      <w:numFmt w:val="decimal"/>
      <w:pStyle w:val="Nadpis1"/>
      <w:lvlText w:val="%1"/>
      <w:lvlJc w:val="left"/>
      <w:pPr>
        <w:ind w:left="2841" w:hanging="432"/>
      </w:pPr>
    </w:lvl>
    <w:lvl w:ilvl="1">
      <w:start w:val="1"/>
      <w:numFmt w:val="decimal"/>
      <w:pStyle w:val="Nadpis2"/>
      <w:lvlText w:val="%1.%2"/>
      <w:lvlJc w:val="left"/>
      <w:pPr>
        <w:ind w:left="2985" w:hanging="576"/>
      </w:pPr>
    </w:lvl>
    <w:lvl w:ilvl="2">
      <w:start w:val="1"/>
      <w:numFmt w:val="decimal"/>
      <w:pStyle w:val="Nadpis3"/>
      <w:lvlText w:val="%1.%2.%3"/>
      <w:lvlJc w:val="left"/>
      <w:pPr>
        <w:ind w:left="3129" w:hanging="720"/>
      </w:pPr>
    </w:lvl>
    <w:lvl w:ilvl="3">
      <w:start w:val="1"/>
      <w:numFmt w:val="decimal"/>
      <w:pStyle w:val="Nadpis4"/>
      <w:lvlText w:val="%1.%2.%3.%4"/>
      <w:lvlJc w:val="left"/>
      <w:pPr>
        <w:ind w:left="3273" w:hanging="864"/>
      </w:pPr>
    </w:lvl>
    <w:lvl w:ilvl="4">
      <w:start w:val="1"/>
      <w:numFmt w:val="decimal"/>
      <w:pStyle w:val="Nadpis5"/>
      <w:lvlText w:val="%1.%2.%3.%4.%5"/>
      <w:lvlJc w:val="left"/>
      <w:pPr>
        <w:ind w:left="3417" w:hanging="1008"/>
      </w:pPr>
    </w:lvl>
    <w:lvl w:ilvl="5">
      <w:start w:val="1"/>
      <w:numFmt w:val="decimal"/>
      <w:pStyle w:val="Nadpis6"/>
      <w:lvlText w:val="%1.%2.%3.%4.%5.%6"/>
      <w:lvlJc w:val="left"/>
      <w:pPr>
        <w:ind w:left="3561" w:hanging="1152"/>
      </w:pPr>
    </w:lvl>
    <w:lvl w:ilvl="6">
      <w:start w:val="1"/>
      <w:numFmt w:val="decimal"/>
      <w:pStyle w:val="Nadpis7"/>
      <w:lvlText w:val="%1.%2.%3.%4.%5.%6.%7"/>
      <w:lvlJc w:val="left"/>
      <w:pPr>
        <w:ind w:left="3705" w:hanging="1296"/>
      </w:pPr>
    </w:lvl>
    <w:lvl w:ilvl="7">
      <w:start w:val="1"/>
      <w:numFmt w:val="decimal"/>
      <w:pStyle w:val="Nadpis8"/>
      <w:lvlText w:val="%1.%2.%3.%4.%5.%6.%7.%8"/>
      <w:lvlJc w:val="left"/>
      <w:pPr>
        <w:ind w:left="3849" w:hanging="1440"/>
      </w:pPr>
    </w:lvl>
    <w:lvl w:ilvl="8">
      <w:start w:val="1"/>
      <w:numFmt w:val="decimal"/>
      <w:pStyle w:val="Nadpis9"/>
      <w:lvlText w:val="%1.%2.%3.%4.%5.%6.%7.%8.%9"/>
      <w:lvlJc w:val="left"/>
      <w:pPr>
        <w:ind w:left="3993" w:hanging="1584"/>
      </w:pPr>
    </w:lvl>
  </w:abstractNum>
  <w:abstractNum w:abstractNumId="7" w15:restartNumberingAfterBreak="0">
    <w:nsid w:val="29F260CF"/>
    <w:multiLevelType w:val="hybridMultilevel"/>
    <w:tmpl w:val="AFD8735C"/>
    <w:lvl w:ilvl="0" w:tplc="8ABA9CC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0D551A"/>
    <w:multiLevelType w:val="hybridMultilevel"/>
    <w:tmpl w:val="A0044E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F681E"/>
    <w:multiLevelType w:val="hybridMultilevel"/>
    <w:tmpl w:val="AF420F3E"/>
    <w:lvl w:ilvl="0" w:tplc="2BAA75E6">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7E503D"/>
    <w:multiLevelType w:val="hybridMultilevel"/>
    <w:tmpl w:val="33324F7A"/>
    <w:lvl w:ilvl="0" w:tplc="98BCD6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DC7FDA"/>
    <w:multiLevelType w:val="multilevel"/>
    <w:tmpl w:val="2C8681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02C5CDB"/>
    <w:multiLevelType w:val="hybridMultilevel"/>
    <w:tmpl w:val="53F0A638"/>
    <w:lvl w:ilvl="0" w:tplc="3C8C223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4048F6"/>
    <w:multiLevelType w:val="hybridMultilevel"/>
    <w:tmpl w:val="77F8F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96086E"/>
    <w:multiLevelType w:val="hybridMultilevel"/>
    <w:tmpl w:val="1B32C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AB52BF"/>
    <w:multiLevelType w:val="hybridMultilevel"/>
    <w:tmpl w:val="7BE6A928"/>
    <w:lvl w:ilvl="0" w:tplc="2BAA75E6">
      <w:start w:val="3"/>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6BA60C10"/>
    <w:multiLevelType w:val="hybridMultilevel"/>
    <w:tmpl w:val="618EE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0"/>
  </w:num>
  <w:num w:numId="4">
    <w:abstractNumId w:val="12"/>
  </w:num>
  <w:num w:numId="5">
    <w:abstractNumId w:val="4"/>
  </w:num>
  <w:num w:numId="6">
    <w:abstractNumId w:val="3"/>
  </w:num>
  <w:num w:numId="7">
    <w:abstractNumId w:val="8"/>
  </w:num>
  <w:num w:numId="8">
    <w:abstractNumId w:val="9"/>
  </w:num>
  <w:num w:numId="9">
    <w:abstractNumId w:val="15"/>
  </w:num>
  <w:num w:numId="10">
    <w:abstractNumId w:val="6"/>
  </w:num>
  <w:num w:numId="11">
    <w:abstractNumId w:val="1"/>
  </w:num>
  <w:num w:numId="12">
    <w:abstractNumId w:val="14"/>
  </w:num>
  <w:num w:numId="13">
    <w:abstractNumId w:val="5"/>
  </w:num>
  <w:num w:numId="14">
    <w:abstractNumId w:val="13"/>
  </w:num>
  <w:num w:numId="15">
    <w:abstractNumId w:val="2"/>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F7"/>
    <w:rsid w:val="0000173D"/>
    <w:rsid w:val="00016DF7"/>
    <w:rsid w:val="00027437"/>
    <w:rsid w:val="000474DF"/>
    <w:rsid w:val="00054B20"/>
    <w:rsid w:val="00092BBE"/>
    <w:rsid w:val="000A29BC"/>
    <w:rsid w:val="000D3735"/>
    <w:rsid w:val="000E1230"/>
    <w:rsid w:val="000F4D32"/>
    <w:rsid w:val="00104CAA"/>
    <w:rsid w:val="001060BB"/>
    <w:rsid w:val="00114588"/>
    <w:rsid w:val="00147A9D"/>
    <w:rsid w:val="001521B8"/>
    <w:rsid w:val="00177AC6"/>
    <w:rsid w:val="001B7351"/>
    <w:rsid w:val="001D1F97"/>
    <w:rsid w:val="001D50D4"/>
    <w:rsid w:val="00211AA4"/>
    <w:rsid w:val="002216A8"/>
    <w:rsid w:val="00247349"/>
    <w:rsid w:val="002537BD"/>
    <w:rsid w:val="00262B95"/>
    <w:rsid w:val="00275CE1"/>
    <w:rsid w:val="0027700F"/>
    <w:rsid w:val="00296199"/>
    <w:rsid w:val="002A2D8C"/>
    <w:rsid w:val="002A6E36"/>
    <w:rsid w:val="002B3255"/>
    <w:rsid w:val="002E54B6"/>
    <w:rsid w:val="0031220D"/>
    <w:rsid w:val="003226C9"/>
    <w:rsid w:val="003332AE"/>
    <w:rsid w:val="00365806"/>
    <w:rsid w:val="003A274F"/>
    <w:rsid w:val="003A2EA2"/>
    <w:rsid w:val="003A5A38"/>
    <w:rsid w:val="003B4255"/>
    <w:rsid w:val="003F3F48"/>
    <w:rsid w:val="00407D5A"/>
    <w:rsid w:val="00420244"/>
    <w:rsid w:val="00455046"/>
    <w:rsid w:val="0046567A"/>
    <w:rsid w:val="004D0576"/>
    <w:rsid w:val="004E06D1"/>
    <w:rsid w:val="004F30AD"/>
    <w:rsid w:val="004F31D6"/>
    <w:rsid w:val="00503562"/>
    <w:rsid w:val="00512BC9"/>
    <w:rsid w:val="00536A20"/>
    <w:rsid w:val="0054544F"/>
    <w:rsid w:val="00546ABC"/>
    <w:rsid w:val="00573A2A"/>
    <w:rsid w:val="005800F8"/>
    <w:rsid w:val="005B479A"/>
    <w:rsid w:val="005B689F"/>
    <w:rsid w:val="005C20D6"/>
    <w:rsid w:val="005F2768"/>
    <w:rsid w:val="0061175E"/>
    <w:rsid w:val="00626198"/>
    <w:rsid w:val="00626465"/>
    <w:rsid w:val="00633604"/>
    <w:rsid w:val="00640C91"/>
    <w:rsid w:val="0066265F"/>
    <w:rsid w:val="00672857"/>
    <w:rsid w:val="00673A97"/>
    <w:rsid w:val="006B5F28"/>
    <w:rsid w:val="00700B36"/>
    <w:rsid w:val="00723691"/>
    <w:rsid w:val="0074084F"/>
    <w:rsid w:val="00742FD4"/>
    <w:rsid w:val="00783937"/>
    <w:rsid w:val="007E28DA"/>
    <w:rsid w:val="00822A01"/>
    <w:rsid w:val="008255A3"/>
    <w:rsid w:val="008419B1"/>
    <w:rsid w:val="0085233B"/>
    <w:rsid w:val="008546D2"/>
    <w:rsid w:val="00870B68"/>
    <w:rsid w:val="008D20E5"/>
    <w:rsid w:val="00903B9E"/>
    <w:rsid w:val="00911CBF"/>
    <w:rsid w:val="009227FE"/>
    <w:rsid w:val="00923AE6"/>
    <w:rsid w:val="00934423"/>
    <w:rsid w:val="009428BD"/>
    <w:rsid w:val="0096010C"/>
    <w:rsid w:val="0097482D"/>
    <w:rsid w:val="00982AB0"/>
    <w:rsid w:val="009A02EA"/>
    <w:rsid w:val="009C053D"/>
    <w:rsid w:val="009D3B81"/>
    <w:rsid w:val="00A116F3"/>
    <w:rsid w:val="00A11859"/>
    <w:rsid w:val="00A4799E"/>
    <w:rsid w:val="00A9360D"/>
    <w:rsid w:val="00AA49FE"/>
    <w:rsid w:val="00AE07A7"/>
    <w:rsid w:val="00AE37A8"/>
    <w:rsid w:val="00B05C5D"/>
    <w:rsid w:val="00B07AC1"/>
    <w:rsid w:val="00B23533"/>
    <w:rsid w:val="00B2575B"/>
    <w:rsid w:val="00B84B2A"/>
    <w:rsid w:val="00BE1290"/>
    <w:rsid w:val="00BE5E64"/>
    <w:rsid w:val="00C2309C"/>
    <w:rsid w:val="00C33ACE"/>
    <w:rsid w:val="00C61D44"/>
    <w:rsid w:val="00C9269A"/>
    <w:rsid w:val="00CB57EA"/>
    <w:rsid w:val="00D06F37"/>
    <w:rsid w:val="00D13792"/>
    <w:rsid w:val="00D4102D"/>
    <w:rsid w:val="00D47D5B"/>
    <w:rsid w:val="00D57A9B"/>
    <w:rsid w:val="00D70956"/>
    <w:rsid w:val="00D933BB"/>
    <w:rsid w:val="00DA53E3"/>
    <w:rsid w:val="00DB5FC2"/>
    <w:rsid w:val="00E0227B"/>
    <w:rsid w:val="00EC77BB"/>
    <w:rsid w:val="00F04AF1"/>
    <w:rsid w:val="00F12291"/>
    <w:rsid w:val="00F3407F"/>
    <w:rsid w:val="00F566AC"/>
    <w:rsid w:val="00F752B9"/>
    <w:rsid w:val="00F845EB"/>
    <w:rsid w:val="00F9285A"/>
    <w:rsid w:val="00F94C59"/>
    <w:rsid w:val="00FC7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5B93963-517A-4EAC-94A0-22F5D6BC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5CE1"/>
    <w:pPr>
      <w:spacing w:after="160" w:line="259"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uiPriority w:val="9"/>
    <w:qFormat/>
    <w:rsid w:val="00AE37A8"/>
    <w:pPr>
      <w:keepNext/>
      <w:keepLines/>
      <w:numPr>
        <w:numId w:val="10"/>
      </w:numPr>
      <w:spacing w:before="360" w:after="120" w:line="276" w:lineRule="auto"/>
      <w:jc w:val="both"/>
      <w:outlineLvl w:val="0"/>
    </w:pPr>
    <w:rPr>
      <w:rFonts w:ascii="Arial" w:eastAsiaTheme="majorEastAsia" w:hAnsi="Arial" w:cstheme="majorBidi"/>
      <w:b/>
      <w:bCs/>
      <w:sz w:val="24"/>
      <w:szCs w:val="28"/>
    </w:rPr>
  </w:style>
  <w:style w:type="paragraph" w:styleId="Nadpis2">
    <w:name w:val="heading 2"/>
    <w:basedOn w:val="Normln"/>
    <w:next w:val="Normln"/>
    <w:link w:val="Nadpis2Char"/>
    <w:uiPriority w:val="9"/>
    <w:semiHidden/>
    <w:unhideWhenUsed/>
    <w:qFormat/>
    <w:rsid w:val="00AE37A8"/>
    <w:pPr>
      <w:keepNext/>
      <w:keepLines/>
      <w:numPr>
        <w:ilvl w:val="1"/>
        <w:numId w:val="10"/>
      </w:numPr>
      <w:spacing w:before="200" w:after="0" w:line="276" w:lineRule="auto"/>
      <w:jc w:val="both"/>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AE37A8"/>
    <w:pPr>
      <w:keepNext/>
      <w:keepLines/>
      <w:numPr>
        <w:ilvl w:val="2"/>
        <w:numId w:val="10"/>
      </w:numPr>
      <w:spacing w:before="200" w:after="0" w:line="276" w:lineRule="auto"/>
      <w:jc w:val="both"/>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AE37A8"/>
    <w:pPr>
      <w:keepNext/>
      <w:keepLines/>
      <w:numPr>
        <w:ilvl w:val="3"/>
        <w:numId w:val="10"/>
      </w:numPr>
      <w:spacing w:before="200" w:after="0" w:line="276" w:lineRule="auto"/>
      <w:jc w:val="both"/>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AE37A8"/>
    <w:pPr>
      <w:keepNext/>
      <w:keepLines/>
      <w:numPr>
        <w:ilvl w:val="4"/>
        <w:numId w:val="10"/>
      </w:numPr>
      <w:spacing w:before="200" w:after="0" w:line="276" w:lineRule="auto"/>
      <w:jc w:val="both"/>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AE37A8"/>
    <w:pPr>
      <w:keepNext/>
      <w:keepLines/>
      <w:numPr>
        <w:ilvl w:val="5"/>
        <w:numId w:val="10"/>
      </w:numPr>
      <w:spacing w:before="200" w:after="0" w:line="276" w:lineRule="auto"/>
      <w:jc w:val="both"/>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AE37A8"/>
    <w:pPr>
      <w:keepNext/>
      <w:keepLines/>
      <w:numPr>
        <w:ilvl w:val="6"/>
        <w:numId w:val="10"/>
      </w:numPr>
      <w:spacing w:before="200" w:after="0" w:line="276" w:lineRule="auto"/>
      <w:jc w:val="both"/>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37A8"/>
    <w:pPr>
      <w:keepNext/>
      <w:keepLines/>
      <w:numPr>
        <w:ilvl w:val="7"/>
        <w:numId w:val="10"/>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37A8"/>
    <w:pPr>
      <w:keepNext/>
      <w:keepLines/>
      <w:numPr>
        <w:ilvl w:val="8"/>
        <w:numId w:val="10"/>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5CE1"/>
    <w:pPr>
      <w:ind w:left="720"/>
      <w:contextualSpacing/>
    </w:pPr>
  </w:style>
  <w:style w:type="paragraph" w:customStyle="1" w:styleId="Text">
    <w:name w:val="Text"/>
    <w:basedOn w:val="Normln"/>
    <w:qFormat/>
    <w:rsid w:val="00275CE1"/>
    <w:pPr>
      <w:spacing w:after="120" w:line="240" w:lineRule="auto"/>
      <w:ind w:firstLine="709"/>
      <w:jc w:val="both"/>
    </w:pPr>
    <w:rPr>
      <w:rFonts w:ascii="Times New Roman" w:hAnsi="Times New Roman" w:cs="Times New Roman"/>
      <w:bCs/>
      <w:sz w:val="24"/>
      <w:szCs w:val="24"/>
    </w:rPr>
  </w:style>
  <w:style w:type="table" w:styleId="Mkatabulky">
    <w:name w:val="Table Grid"/>
    <w:basedOn w:val="Normlntabulka"/>
    <w:rsid w:val="003658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365806"/>
    <w:pPr>
      <w:spacing w:after="200" w:line="240" w:lineRule="auto"/>
    </w:pPr>
    <w:rPr>
      <w:i/>
      <w:iCs/>
      <w:color w:val="44546A" w:themeColor="text2"/>
      <w:sz w:val="18"/>
      <w:szCs w:val="18"/>
    </w:rPr>
  </w:style>
  <w:style w:type="paragraph" w:styleId="Bezmezer">
    <w:name w:val="No Spacing"/>
    <w:link w:val="BezmezerChar"/>
    <w:uiPriority w:val="1"/>
    <w:qFormat/>
    <w:rsid w:val="00365806"/>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rsid w:val="009C05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9C053D"/>
    <w:rPr>
      <w:rFonts w:ascii="Segoe UI" w:eastAsiaTheme="minorHAnsi" w:hAnsi="Segoe UI" w:cs="Segoe UI"/>
      <w:sz w:val="18"/>
      <w:szCs w:val="18"/>
      <w:lang w:eastAsia="en-US"/>
    </w:rPr>
  </w:style>
  <w:style w:type="paragraph" w:styleId="Zhlav">
    <w:name w:val="header"/>
    <w:basedOn w:val="Normln"/>
    <w:link w:val="ZhlavChar"/>
    <w:rsid w:val="00D47D5B"/>
    <w:pPr>
      <w:tabs>
        <w:tab w:val="center" w:pos="4536"/>
        <w:tab w:val="right" w:pos="9072"/>
      </w:tabs>
      <w:spacing w:after="0" w:line="240" w:lineRule="auto"/>
    </w:pPr>
  </w:style>
  <w:style w:type="character" w:customStyle="1" w:styleId="ZhlavChar">
    <w:name w:val="Záhlaví Char"/>
    <w:basedOn w:val="Standardnpsmoodstavce"/>
    <w:link w:val="Zhlav"/>
    <w:rsid w:val="00D47D5B"/>
    <w:rPr>
      <w:rFonts w:asciiTheme="minorHAnsi" w:eastAsiaTheme="minorHAnsi" w:hAnsiTheme="minorHAnsi" w:cstheme="minorBidi"/>
      <w:sz w:val="22"/>
      <w:szCs w:val="22"/>
      <w:lang w:eastAsia="en-US"/>
    </w:rPr>
  </w:style>
  <w:style w:type="paragraph" w:styleId="Zpat">
    <w:name w:val="footer"/>
    <w:basedOn w:val="Normln"/>
    <w:link w:val="ZpatChar"/>
    <w:rsid w:val="00D47D5B"/>
    <w:pPr>
      <w:tabs>
        <w:tab w:val="center" w:pos="4536"/>
        <w:tab w:val="right" w:pos="9072"/>
      </w:tabs>
      <w:spacing w:after="0" w:line="240" w:lineRule="auto"/>
    </w:pPr>
  </w:style>
  <w:style w:type="character" w:customStyle="1" w:styleId="ZpatChar">
    <w:name w:val="Zápatí Char"/>
    <w:basedOn w:val="Standardnpsmoodstavce"/>
    <w:link w:val="Zpat"/>
    <w:rsid w:val="00D47D5B"/>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rsid w:val="00D47D5B"/>
    <w:rPr>
      <w:sz w:val="16"/>
      <w:szCs w:val="16"/>
    </w:rPr>
  </w:style>
  <w:style w:type="paragraph" w:styleId="Textkomente">
    <w:name w:val="annotation text"/>
    <w:basedOn w:val="Normln"/>
    <w:link w:val="TextkomenteChar"/>
    <w:uiPriority w:val="99"/>
    <w:rsid w:val="00D47D5B"/>
    <w:pPr>
      <w:spacing w:line="240" w:lineRule="auto"/>
    </w:pPr>
    <w:rPr>
      <w:sz w:val="20"/>
      <w:szCs w:val="20"/>
    </w:rPr>
  </w:style>
  <w:style w:type="character" w:customStyle="1" w:styleId="TextkomenteChar">
    <w:name w:val="Text komentáře Char"/>
    <w:basedOn w:val="Standardnpsmoodstavce"/>
    <w:link w:val="Textkomente"/>
    <w:uiPriority w:val="99"/>
    <w:rsid w:val="00D47D5B"/>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uiPriority w:val="99"/>
    <w:rsid w:val="00D47D5B"/>
    <w:rPr>
      <w:b/>
      <w:bCs/>
    </w:rPr>
  </w:style>
  <w:style w:type="character" w:customStyle="1" w:styleId="PedmtkomenteChar">
    <w:name w:val="Předmět komentáře Char"/>
    <w:basedOn w:val="TextkomenteChar"/>
    <w:link w:val="Pedmtkomente"/>
    <w:uiPriority w:val="99"/>
    <w:rsid w:val="00D47D5B"/>
    <w:rPr>
      <w:rFonts w:asciiTheme="minorHAnsi" w:eastAsiaTheme="minorHAnsi" w:hAnsiTheme="minorHAnsi" w:cstheme="minorBidi"/>
      <w:b/>
      <w:bCs/>
      <w:lang w:eastAsia="en-US"/>
    </w:rPr>
  </w:style>
  <w:style w:type="character" w:customStyle="1" w:styleId="BezmezerChar">
    <w:name w:val="Bez mezer Char"/>
    <w:basedOn w:val="Standardnpsmoodstavce"/>
    <w:link w:val="Bezmezer"/>
    <w:uiPriority w:val="1"/>
    <w:rsid w:val="00211AA4"/>
    <w:rPr>
      <w:rFonts w:asciiTheme="minorHAnsi" w:eastAsiaTheme="minorHAnsi" w:hAnsiTheme="minorHAnsi" w:cstheme="minorBidi"/>
      <w:sz w:val="22"/>
      <w:szCs w:val="22"/>
      <w:lang w:eastAsia="en-US"/>
    </w:rPr>
  </w:style>
  <w:style w:type="character" w:customStyle="1" w:styleId="Nadpis1Char">
    <w:name w:val="Nadpis 1 Char"/>
    <w:basedOn w:val="Standardnpsmoodstavce"/>
    <w:link w:val="Nadpis1"/>
    <w:uiPriority w:val="9"/>
    <w:rsid w:val="00AE37A8"/>
    <w:rPr>
      <w:rFonts w:ascii="Arial" w:eastAsiaTheme="majorEastAsia" w:hAnsi="Arial" w:cstheme="majorBidi"/>
      <w:b/>
      <w:bCs/>
      <w:sz w:val="24"/>
      <w:szCs w:val="28"/>
      <w:lang w:eastAsia="en-US"/>
    </w:rPr>
  </w:style>
  <w:style w:type="character" w:customStyle="1" w:styleId="Nadpis2Char">
    <w:name w:val="Nadpis 2 Char"/>
    <w:basedOn w:val="Standardnpsmoodstavce"/>
    <w:link w:val="Nadpis2"/>
    <w:uiPriority w:val="9"/>
    <w:semiHidden/>
    <w:rsid w:val="00AE37A8"/>
    <w:rPr>
      <w:rFonts w:asciiTheme="majorHAnsi" w:eastAsiaTheme="majorEastAsia" w:hAnsiTheme="majorHAnsi" w:cstheme="majorBidi"/>
      <w:b/>
      <w:bCs/>
      <w:color w:val="5B9BD5" w:themeColor="accent1"/>
      <w:sz w:val="26"/>
      <w:szCs w:val="26"/>
      <w:lang w:eastAsia="en-US"/>
    </w:rPr>
  </w:style>
  <w:style w:type="character" w:customStyle="1" w:styleId="Nadpis3Char">
    <w:name w:val="Nadpis 3 Char"/>
    <w:basedOn w:val="Standardnpsmoodstavce"/>
    <w:link w:val="Nadpis3"/>
    <w:uiPriority w:val="9"/>
    <w:semiHidden/>
    <w:rsid w:val="00AE37A8"/>
    <w:rPr>
      <w:rFonts w:asciiTheme="majorHAnsi" w:eastAsiaTheme="majorEastAsia" w:hAnsiTheme="majorHAnsi" w:cstheme="majorBidi"/>
      <w:b/>
      <w:bCs/>
      <w:color w:val="5B9BD5" w:themeColor="accent1"/>
      <w:sz w:val="22"/>
      <w:szCs w:val="22"/>
      <w:lang w:eastAsia="en-US"/>
    </w:rPr>
  </w:style>
  <w:style w:type="character" w:customStyle="1" w:styleId="Nadpis4Char">
    <w:name w:val="Nadpis 4 Char"/>
    <w:basedOn w:val="Standardnpsmoodstavce"/>
    <w:link w:val="Nadpis4"/>
    <w:uiPriority w:val="9"/>
    <w:semiHidden/>
    <w:rsid w:val="00AE37A8"/>
    <w:rPr>
      <w:rFonts w:asciiTheme="majorHAnsi" w:eastAsiaTheme="majorEastAsia" w:hAnsiTheme="majorHAnsi" w:cstheme="majorBidi"/>
      <w:b/>
      <w:bCs/>
      <w:i/>
      <w:iCs/>
      <w:color w:val="5B9BD5" w:themeColor="accent1"/>
      <w:sz w:val="22"/>
      <w:szCs w:val="22"/>
      <w:lang w:eastAsia="en-US"/>
    </w:rPr>
  </w:style>
  <w:style w:type="character" w:customStyle="1" w:styleId="Nadpis5Char">
    <w:name w:val="Nadpis 5 Char"/>
    <w:basedOn w:val="Standardnpsmoodstavce"/>
    <w:link w:val="Nadpis5"/>
    <w:uiPriority w:val="9"/>
    <w:semiHidden/>
    <w:rsid w:val="00AE37A8"/>
    <w:rPr>
      <w:rFonts w:asciiTheme="majorHAnsi" w:eastAsiaTheme="majorEastAsia" w:hAnsiTheme="majorHAnsi" w:cstheme="majorBidi"/>
      <w:color w:val="1F4D78" w:themeColor="accent1" w:themeShade="7F"/>
      <w:sz w:val="22"/>
      <w:szCs w:val="22"/>
      <w:lang w:eastAsia="en-US"/>
    </w:rPr>
  </w:style>
  <w:style w:type="character" w:customStyle="1" w:styleId="Nadpis6Char">
    <w:name w:val="Nadpis 6 Char"/>
    <w:basedOn w:val="Standardnpsmoodstavce"/>
    <w:link w:val="Nadpis6"/>
    <w:uiPriority w:val="9"/>
    <w:semiHidden/>
    <w:rsid w:val="00AE37A8"/>
    <w:rPr>
      <w:rFonts w:asciiTheme="majorHAnsi" w:eastAsiaTheme="majorEastAsia" w:hAnsiTheme="majorHAnsi" w:cstheme="majorBidi"/>
      <w:i/>
      <w:iCs/>
      <w:color w:val="1F4D78" w:themeColor="accent1" w:themeShade="7F"/>
      <w:sz w:val="22"/>
      <w:szCs w:val="22"/>
      <w:lang w:eastAsia="en-US"/>
    </w:rPr>
  </w:style>
  <w:style w:type="character" w:customStyle="1" w:styleId="Nadpis7Char">
    <w:name w:val="Nadpis 7 Char"/>
    <w:basedOn w:val="Standardnpsmoodstavce"/>
    <w:link w:val="Nadpis7"/>
    <w:uiPriority w:val="9"/>
    <w:semiHidden/>
    <w:rsid w:val="00AE37A8"/>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AE37A8"/>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AE37A8"/>
    <w:rPr>
      <w:rFonts w:asciiTheme="majorHAnsi" w:eastAsiaTheme="majorEastAsia" w:hAnsiTheme="majorHAnsi" w:cstheme="majorBidi"/>
      <w:i/>
      <w:iCs/>
      <w:color w:val="404040" w:themeColor="text1" w:themeTint="BF"/>
      <w:lang w:eastAsia="en-US"/>
    </w:rPr>
  </w:style>
  <w:style w:type="paragraph" w:customStyle="1" w:styleId="Vc">
    <w:name w:val="Věc"/>
    <w:basedOn w:val="Normln"/>
    <w:next w:val="Normln"/>
    <w:qFormat/>
    <w:rsid w:val="00AE37A8"/>
    <w:pPr>
      <w:suppressAutoHyphens/>
      <w:spacing w:after="480" w:line="240" w:lineRule="auto"/>
      <w:jc w:val="both"/>
    </w:pPr>
    <w:rPr>
      <w:rFonts w:ascii="Arial" w:eastAsia="Calibri" w:hAnsi="Arial" w:cs="Times New Roman"/>
      <w:b/>
      <w:sz w:val="20"/>
      <w:szCs w:val="20"/>
    </w:rPr>
  </w:style>
  <w:style w:type="paragraph" w:customStyle="1" w:styleId="Odvolacdaje">
    <w:name w:val="Odvolací údaje"/>
    <w:rsid w:val="00AE37A8"/>
    <w:rPr>
      <w:rFonts w:ascii="Arial" w:hAnsi="Arial"/>
      <w:sz w:val="14"/>
      <w:lang w:eastAsia="en-US"/>
    </w:rPr>
  </w:style>
  <w:style w:type="paragraph" w:customStyle="1" w:styleId="Adresa">
    <w:name w:val="Adresa"/>
    <w:basedOn w:val="Normln"/>
    <w:qFormat/>
    <w:rsid w:val="00AE37A8"/>
    <w:pPr>
      <w:suppressAutoHyphens/>
      <w:spacing w:after="20" w:line="240" w:lineRule="auto"/>
      <w:jc w:val="both"/>
    </w:pPr>
    <w:rPr>
      <w:rFonts w:ascii="Arial" w:eastAsia="Calibri" w:hAnsi="Arial" w:cs="Times New Roman"/>
      <w:sz w:val="20"/>
      <w:szCs w:val="20"/>
    </w:rPr>
  </w:style>
  <w:style w:type="paragraph" w:styleId="Podpis">
    <w:name w:val="Signature"/>
    <w:basedOn w:val="Normln"/>
    <w:next w:val="Funkce"/>
    <w:link w:val="PodpisChar"/>
    <w:uiPriority w:val="99"/>
    <w:unhideWhenUsed/>
    <w:rsid w:val="00AE37A8"/>
    <w:pPr>
      <w:suppressAutoHyphens/>
      <w:spacing w:after="0" w:line="240" w:lineRule="auto"/>
      <w:ind w:left="5103" w:hanging="1"/>
      <w:jc w:val="center"/>
    </w:pPr>
    <w:rPr>
      <w:rFonts w:ascii="Arial" w:eastAsia="Calibri" w:hAnsi="Arial" w:cs="Times New Roman"/>
      <w:b/>
      <w:sz w:val="20"/>
      <w:szCs w:val="20"/>
    </w:rPr>
  </w:style>
  <w:style w:type="character" w:customStyle="1" w:styleId="PodpisChar">
    <w:name w:val="Podpis Char"/>
    <w:basedOn w:val="Standardnpsmoodstavce"/>
    <w:link w:val="Podpis"/>
    <w:uiPriority w:val="99"/>
    <w:rsid w:val="00AE37A8"/>
    <w:rPr>
      <w:rFonts w:ascii="Arial" w:eastAsia="Calibri" w:hAnsi="Arial"/>
      <w:b/>
      <w:lang w:eastAsia="en-US"/>
    </w:rPr>
  </w:style>
  <w:style w:type="paragraph" w:customStyle="1" w:styleId="Funkce">
    <w:name w:val="Funkce"/>
    <w:basedOn w:val="Podpis"/>
    <w:rsid w:val="00AE37A8"/>
    <w:rPr>
      <w:b w:val="0"/>
      <w:i/>
      <w:iCs/>
    </w:rPr>
  </w:style>
  <w:style w:type="paragraph" w:styleId="Normlnweb">
    <w:name w:val="Normal (Web)"/>
    <w:basedOn w:val="Normln"/>
    <w:uiPriority w:val="99"/>
    <w:unhideWhenUsed/>
    <w:rsid w:val="00AE37A8"/>
    <w:pPr>
      <w:suppressAutoHyphens/>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AE37A8"/>
    <w:rPr>
      <w:color w:val="808080"/>
    </w:rPr>
  </w:style>
  <w:style w:type="paragraph" w:customStyle="1" w:styleId="Default">
    <w:name w:val="Default"/>
    <w:rsid w:val="00AE37A8"/>
    <w:pPr>
      <w:autoSpaceDE w:val="0"/>
      <w:autoSpaceDN w:val="0"/>
      <w:adjustRightInd w:val="0"/>
    </w:pPr>
    <w:rPr>
      <w:rFonts w:ascii="EU Albertina" w:hAnsi="EU Albertina" w:cs="EU Albertina"/>
      <w:color w:val="000000"/>
      <w:sz w:val="24"/>
      <w:szCs w:val="24"/>
    </w:rPr>
  </w:style>
  <w:style w:type="paragraph" w:customStyle="1" w:styleId="CM4">
    <w:name w:val="CM4"/>
    <w:basedOn w:val="Default"/>
    <w:next w:val="Default"/>
    <w:uiPriority w:val="99"/>
    <w:rsid w:val="00AE37A8"/>
    <w:pPr>
      <w:spacing w:before="60" w:after="60"/>
    </w:pPr>
    <w:rPr>
      <w:rFonts w:cs="Times New Roman"/>
      <w:color w:val="auto"/>
    </w:rPr>
  </w:style>
  <w:style w:type="paragraph" w:customStyle="1" w:styleId="MDSR">
    <w:name w:val="MDS ČR"/>
    <w:basedOn w:val="Normln"/>
    <w:rsid w:val="00AE37A8"/>
    <w:pPr>
      <w:overflowPunct w:val="0"/>
      <w:autoSpaceDE w:val="0"/>
      <w:autoSpaceDN w:val="0"/>
      <w:spacing w:before="120" w:after="0" w:line="240" w:lineRule="auto"/>
      <w:ind w:firstLine="567"/>
      <w:jc w:val="both"/>
    </w:pPr>
    <w:rPr>
      <w:rFonts w:ascii="Times New Roman" w:hAnsi="Times New Roman" w:cs="Times New Roman"/>
      <w:sz w:val="24"/>
      <w:szCs w:val="24"/>
      <w:lang w:eastAsia="cs-CZ"/>
    </w:rPr>
  </w:style>
  <w:style w:type="character" w:styleId="Hypertextovodkaz">
    <w:name w:val="Hyperlink"/>
    <w:basedOn w:val="Standardnpsmoodstavce"/>
    <w:uiPriority w:val="99"/>
    <w:unhideWhenUsed/>
    <w:rsid w:val="00AE37A8"/>
    <w:rPr>
      <w:color w:val="0563C1" w:themeColor="hyperlink"/>
      <w:u w:val="single"/>
    </w:rPr>
  </w:style>
  <w:style w:type="paragraph" w:customStyle="1" w:styleId="CM1">
    <w:name w:val="CM1"/>
    <w:basedOn w:val="Default"/>
    <w:next w:val="Default"/>
    <w:uiPriority w:val="99"/>
    <w:rsid w:val="00AE37A8"/>
    <w:rPr>
      <w:rFonts w:ascii="EUAlbertina" w:eastAsiaTheme="minorHAnsi" w:hAnsi="EUAlbertina" w:cstheme="minorBidi"/>
      <w:color w:val="auto"/>
      <w:lang w:eastAsia="en-US"/>
    </w:rPr>
  </w:style>
  <w:style w:type="paragraph" w:customStyle="1" w:styleId="CM3">
    <w:name w:val="CM3"/>
    <w:basedOn w:val="Default"/>
    <w:next w:val="Default"/>
    <w:uiPriority w:val="99"/>
    <w:rsid w:val="00AE37A8"/>
    <w:rPr>
      <w:rFonts w:ascii="EUAlbertina" w:eastAsiaTheme="minorHAnsi" w:hAnsi="EUAlbertina" w:cstheme="minorBidi"/>
      <w:color w:val="auto"/>
      <w:lang w:eastAsia="en-US"/>
    </w:rPr>
  </w:style>
  <w:style w:type="character" w:styleId="Siln">
    <w:name w:val="Strong"/>
    <w:basedOn w:val="Standardnpsmoodstavce"/>
    <w:uiPriority w:val="22"/>
    <w:qFormat/>
    <w:rsid w:val="00AE37A8"/>
    <w:rPr>
      <w:b/>
      <w:bCs/>
    </w:rPr>
  </w:style>
  <w:style w:type="character" w:styleId="Zdraznn">
    <w:name w:val="Emphasis"/>
    <w:basedOn w:val="Standardnpsmoodstavce"/>
    <w:uiPriority w:val="20"/>
    <w:qFormat/>
    <w:rsid w:val="00AE37A8"/>
    <w:rPr>
      <w:i/>
      <w:iCs/>
    </w:rPr>
  </w:style>
  <w:style w:type="table" w:customStyle="1" w:styleId="Svtlmkazvraznn11">
    <w:name w:val="Světlá mřížka – zvýraznění 11"/>
    <w:basedOn w:val="Normlntabulka"/>
    <w:uiPriority w:val="62"/>
    <w:rsid w:val="00AE37A8"/>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Prosttext">
    <w:name w:val="Plain Text"/>
    <w:basedOn w:val="Normln"/>
    <w:link w:val="ProsttextChar"/>
    <w:uiPriority w:val="99"/>
    <w:unhideWhenUsed/>
    <w:rsid w:val="00AE37A8"/>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AE37A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91138">
      <w:bodyDiv w:val="1"/>
      <w:marLeft w:val="0"/>
      <w:marRight w:val="0"/>
      <w:marTop w:val="0"/>
      <w:marBottom w:val="0"/>
      <w:divBdr>
        <w:top w:val="none" w:sz="0" w:space="0" w:color="auto"/>
        <w:left w:val="none" w:sz="0" w:space="0" w:color="auto"/>
        <w:bottom w:val="none" w:sz="0" w:space="0" w:color="auto"/>
        <w:right w:val="none" w:sz="0" w:space="0" w:color="auto"/>
      </w:divBdr>
      <w:divsChild>
        <w:div w:id="728067034">
          <w:marLeft w:val="0"/>
          <w:marRight w:val="0"/>
          <w:marTop w:val="0"/>
          <w:marBottom w:val="0"/>
          <w:divBdr>
            <w:top w:val="none" w:sz="0" w:space="0" w:color="auto"/>
            <w:left w:val="none" w:sz="0" w:space="0" w:color="auto"/>
            <w:bottom w:val="none" w:sz="0" w:space="0" w:color="auto"/>
            <w:right w:val="none" w:sz="0" w:space="0" w:color="auto"/>
          </w:divBdr>
          <w:divsChild>
            <w:div w:id="1305575104">
              <w:marLeft w:val="0"/>
              <w:marRight w:val="0"/>
              <w:marTop w:val="0"/>
              <w:marBottom w:val="0"/>
              <w:divBdr>
                <w:top w:val="none" w:sz="0" w:space="0" w:color="auto"/>
                <w:left w:val="none" w:sz="0" w:space="0" w:color="auto"/>
                <w:bottom w:val="none" w:sz="0" w:space="0" w:color="auto"/>
                <w:right w:val="none" w:sz="0" w:space="0" w:color="auto"/>
              </w:divBdr>
              <w:divsChild>
                <w:div w:id="314339264">
                  <w:marLeft w:val="0"/>
                  <w:marRight w:val="0"/>
                  <w:marTop w:val="0"/>
                  <w:marBottom w:val="0"/>
                  <w:divBdr>
                    <w:top w:val="none" w:sz="0" w:space="0" w:color="auto"/>
                    <w:left w:val="none" w:sz="0" w:space="0" w:color="auto"/>
                    <w:bottom w:val="none" w:sz="0" w:space="0" w:color="auto"/>
                    <w:right w:val="none" w:sz="0" w:space="0" w:color="auto"/>
                  </w:divBdr>
                  <w:divsChild>
                    <w:div w:id="1206062825">
                      <w:marLeft w:val="0"/>
                      <w:marRight w:val="0"/>
                      <w:marTop w:val="0"/>
                      <w:marBottom w:val="0"/>
                      <w:divBdr>
                        <w:top w:val="none" w:sz="0" w:space="0" w:color="auto"/>
                        <w:left w:val="none" w:sz="0" w:space="0" w:color="auto"/>
                        <w:bottom w:val="none" w:sz="0" w:space="0" w:color="auto"/>
                        <w:right w:val="none" w:sz="0" w:space="0" w:color="auto"/>
                      </w:divBdr>
                      <w:divsChild>
                        <w:div w:id="1662661944">
                          <w:marLeft w:val="0"/>
                          <w:marRight w:val="0"/>
                          <w:marTop w:val="0"/>
                          <w:marBottom w:val="0"/>
                          <w:divBdr>
                            <w:top w:val="none" w:sz="0" w:space="0" w:color="auto"/>
                            <w:left w:val="none" w:sz="0" w:space="0" w:color="auto"/>
                            <w:bottom w:val="none" w:sz="0" w:space="0" w:color="auto"/>
                            <w:right w:val="none" w:sz="0" w:space="0" w:color="auto"/>
                          </w:divBdr>
                          <w:divsChild>
                            <w:div w:id="17532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899386">
      <w:bodyDiv w:val="1"/>
      <w:marLeft w:val="0"/>
      <w:marRight w:val="0"/>
      <w:marTop w:val="0"/>
      <w:marBottom w:val="0"/>
      <w:divBdr>
        <w:top w:val="none" w:sz="0" w:space="0" w:color="auto"/>
        <w:left w:val="none" w:sz="0" w:space="0" w:color="auto"/>
        <w:bottom w:val="none" w:sz="0" w:space="0" w:color="auto"/>
        <w:right w:val="none" w:sz="0" w:space="0" w:color="auto"/>
      </w:divBdr>
      <w:divsChild>
        <w:div w:id="1337460398">
          <w:marLeft w:val="0"/>
          <w:marRight w:val="0"/>
          <w:marTop w:val="0"/>
          <w:marBottom w:val="0"/>
          <w:divBdr>
            <w:top w:val="none" w:sz="0" w:space="0" w:color="auto"/>
            <w:left w:val="none" w:sz="0" w:space="0" w:color="auto"/>
            <w:bottom w:val="none" w:sz="0" w:space="0" w:color="auto"/>
            <w:right w:val="none" w:sz="0" w:space="0" w:color="auto"/>
          </w:divBdr>
          <w:divsChild>
            <w:div w:id="1586649964">
              <w:marLeft w:val="0"/>
              <w:marRight w:val="0"/>
              <w:marTop w:val="0"/>
              <w:marBottom w:val="0"/>
              <w:divBdr>
                <w:top w:val="none" w:sz="0" w:space="0" w:color="auto"/>
                <w:left w:val="none" w:sz="0" w:space="0" w:color="auto"/>
                <w:bottom w:val="none" w:sz="0" w:space="0" w:color="auto"/>
                <w:right w:val="none" w:sz="0" w:space="0" w:color="auto"/>
              </w:divBdr>
              <w:divsChild>
                <w:div w:id="1476677560">
                  <w:marLeft w:val="0"/>
                  <w:marRight w:val="0"/>
                  <w:marTop w:val="0"/>
                  <w:marBottom w:val="0"/>
                  <w:divBdr>
                    <w:top w:val="none" w:sz="0" w:space="0" w:color="auto"/>
                    <w:left w:val="none" w:sz="0" w:space="0" w:color="auto"/>
                    <w:bottom w:val="none" w:sz="0" w:space="0" w:color="auto"/>
                    <w:right w:val="none" w:sz="0" w:space="0" w:color="auto"/>
                  </w:divBdr>
                  <w:divsChild>
                    <w:div w:id="1675840516">
                      <w:marLeft w:val="0"/>
                      <w:marRight w:val="0"/>
                      <w:marTop w:val="0"/>
                      <w:marBottom w:val="0"/>
                      <w:divBdr>
                        <w:top w:val="none" w:sz="0" w:space="0" w:color="auto"/>
                        <w:left w:val="none" w:sz="0" w:space="0" w:color="auto"/>
                        <w:bottom w:val="none" w:sz="0" w:space="0" w:color="auto"/>
                        <w:right w:val="none" w:sz="0" w:space="0" w:color="auto"/>
                      </w:divBdr>
                      <w:divsChild>
                        <w:div w:id="345904422">
                          <w:marLeft w:val="0"/>
                          <w:marRight w:val="0"/>
                          <w:marTop w:val="0"/>
                          <w:marBottom w:val="0"/>
                          <w:divBdr>
                            <w:top w:val="none" w:sz="0" w:space="0" w:color="auto"/>
                            <w:left w:val="none" w:sz="0" w:space="0" w:color="auto"/>
                            <w:bottom w:val="none" w:sz="0" w:space="0" w:color="auto"/>
                            <w:right w:val="none" w:sz="0" w:space="0" w:color="auto"/>
                          </w:divBdr>
                          <w:divsChild>
                            <w:div w:id="18004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106113">
      <w:bodyDiv w:val="1"/>
      <w:marLeft w:val="0"/>
      <w:marRight w:val="0"/>
      <w:marTop w:val="0"/>
      <w:marBottom w:val="0"/>
      <w:divBdr>
        <w:top w:val="none" w:sz="0" w:space="0" w:color="auto"/>
        <w:left w:val="none" w:sz="0" w:space="0" w:color="auto"/>
        <w:bottom w:val="none" w:sz="0" w:space="0" w:color="auto"/>
        <w:right w:val="none" w:sz="0" w:space="0" w:color="auto"/>
      </w:divBdr>
    </w:div>
    <w:div w:id="1900705159">
      <w:bodyDiv w:val="1"/>
      <w:marLeft w:val="0"/>
      <w:marRight w:val="0"/>
      <w:marTop w:val="0"/>
      <w:marBottom w:val="0"/>
      <w:divBdr>
        <w:top w:val="none" w:sz="0" w:space="0" w:color="auto"/>
        <w:left w:val="none" w:sz="0" w:space="0" w:color="auto"/>
        <w:bottom w:val="none" w:sz="0" w:space="0" w:color="auto"/>
        <w:right w:val="none" w:sz="0" w:space="0" w:color="auto"/>
      </w:divBdr>
    </w:div>
    <w:div w:id="2002347445">
      <w:bodyDiv w:val="1"/>
      <w:marLeft w:val="0"/>
      <w:marRight w:val="0"/>
      <w:marTop w:val="0"/>
      <w:marBottom w:val="0"/>
      <w:divBdr>
        <w:top w:val="none" w:sz="0" w:space="0" w:color="auto"/>
        <w:left w:val="none" w:sz="0" w:space="0" w:color="auto"/>
        <w:bottom w:val="none" w:sz="0" w:space="0" w:color="auto"/>
        <w:right w:val="none" w:sz="0" w:space="0" w:color="auto"/>
      </w:divBdr>
      <w:divsChild>
        <w:div w:id="962929596">
          <w:marLeft w:val="0"/>
          <w:marRight w:val="0"/>
          <w:marTop w:val="0"/>
          <w:marBottom w:val="0"/>
          <w:divBdr>
            <w:top w:val="none" w:sz="0" w:space="0" w:color="auto"/>
            <w:left w:val="none" w:sz="0" w:space="0" w:color="auto"/>
            <w:bottom w:val="none" w:sz="0" w:space="0" w:color="auto"/>
            <w:right w:val="none" w:sz="0" w:space="0" w:color="auto"/>
          </w:divBdr>
          <w:divsChild>
            <w:div w:id="1872263828">
              <w:marLeft w:val="0"/>
              <w:marRight w:val="0"/>
              <w:marTop w:val="0"/>
              <w:marBottom w:val="0"/>
              <w:divBdr>
                <w:top w:val="none" w:sz="0" w:space="0" w:color="auto"/>
                <w:left w:val="none" w:sz="0" w:space="0" w:color="auto"/>
                <w:bottom w:val="none" w:sz="0" w:space="0" w:color="auto"/>
                <w:right w:val="none" w:sz="0" w:space="0" w:color="auto"/>
              </w:divBdr>
              <w:divsChild>
                <w:div w:id="522861912">
                  <w:marLeft w:val="0"/>
                  <w:marRight w:val="0"/>
                  <w:marTop w:val="0"/>
                  <w:marBottom w:val="0"/>
                  <w:divBdr>
                    <w:top w:val="none" w:sz="0" w:space="0" w:color="auto"/>
                    <w:left w:val="none" w:sz="0" w:space="0" w:color="auto"/>
                    <w:bottom w:val="none" w:sz="0" w:space="0" w:color="auto"/>
                    <w:right w:val="none" w:sz="0" w:space="0" w:color="auto"/>
                  </w:divBdr>
                  <w:divsChild>
                    <w:div w:id="868762669">
                      <w:marLeft w:val="0"/>
                      <w:marRight w:val="0"/>
                      <w:marTop w:val="0"/>
                      <w:marBottom w:val="0"/>
                      <w:divBdr>
                        <w:top w:val="none" w:sz="0" w:space="0" w:color="auto"/>
                        <w:left w:val="none" w:sz="0" w:space="0" w:color="auto"/>
                        <w:bottom w:val="none" w:sz="0" w:space="0" w:color="auto"/>
                        <w:right w:val="none" w:sz="0" w:space="0" w:color="auto"/>
                      </w:divBdr>
                      <w:divsChild>
                        <w:div w:id="17623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List_aplikace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List_aplikace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Postižení podle</a:t>
            </a:r>
            <a:r>
              <a:rPr lang="cs-CZ" sz="1200" b="1"/>
              <a:t> věku a typu omezení</a:t>
            </a:r>
            <a:r>
              <a:rPr lang="en-US" sz="1200" b="1"/>
              <a:t> </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List1!$B$5</c:f>
              <c:strCache>
                <c:ptCount val="1"/>
                <c:pt idx="0">
                  <c:v>mobilita</c:v>
                </c:pt>
              </c:strCache>
            </c:strRef>
          </c:tx>
          <c:spPr>
            <a:solidFill>
              <a:schemeClr val="accent1"/>
            </a:solidFill>
            <a:ln>
              <a:noFill/>
            </a:ln>
            <a:effectLst/>
            <a:sp3d/>
          </c:spPr>
          <c:invertIfNegative val="0"/>
          <c:cat>
            <c:strRef>
              <c:f>List1!$A$6:$A$11</c:f>
              <c:strCache>
                <c:ptCount val="6"/>
                <c:pt idx="0">
                  <c:v>0-14</c:v>
                </c:pt>
                <c:pt idx="1">
                  <c:v>15-29</c:v>
                </c:pt>
                <c:pt idx="2">
                  <c:v>30-44</c:v>
                </c:pt>
                <c:pt idx="3">
                  <c:v>45-59</c:v>
                </c:pt>
                <c:pt idx="4">
                  <c:v>60-74</c:v>
                </c:pt>
                <c:pt idx="5">
                  <c:v>75+</c:v>
                </c:pt>
              </c:strCache>
            </c:strRef>
          </c:cat>
          <c:val>
            <c:numRef>
              <c:f>List1!$B$6:$B$11</c:f>
              <c:numCache>
                <c:formatCode>#,##0</c:formatCode>
                <c:ptCount val="6"/>
                <c:pt idx="0">
                  <c:v>11058</c:v>
                </c:pt>
                <c:pt idx="1">
                  <c:v>22869</c:v>
                </c:pt>
                <c:pt idx="2">
                  <c:v>43534</c:v>
                </c:pt>
                <c:pt idx="3">
                  <c:v>141522</c:v>
                </c:pt>
                <c:pt idx="4">
                  <c:v>189348</c:v>
                </c:pt>
                <c:pt idx="5">
                  <c:v>228176</c:v>
                </c:pt>
              </c:numCache>
            </c:numRef>
          </c:val>
          <c:extLst>
            <c:ext xmlns:c16="http://schemas.microsoft.com/office/drawing/2014/chart" uri="{C3380CC4-5D6E-409C-BE32-E72D297353CC}">
              <c16:uniqueId val="{00000000-E162-4358-9C13-0391A60065FD}"/>
            </c:ext>
          </c:extLst>
        </c:ser>
        <c:ser>
          <c:idx val="1"/>
          <c:order val="1"/>
          <c:tx>
            <c:strRef>
              <c:f>List1!$C$5</c:f>
              <c:strCache>
                <c:ptCount val="1"/>
                <c:pt idx="0">
                  <c:v>orientace</c:v>
                </c:pt>
              </c:strCache>
            </c:strRef>
          </c:tx>
          <c:spPr>
            <a:solidFill>
              <a:schemeClr val="accent2"/>
            </a:solidFill>
            <a:ln>
              <a:noFill/>
            </a:ln>
            <a:effectLst/>
            <a:sp3d/>
          </c:spPr>
          <c:invertIfNegative val="0"/>
          <c:cat>
            <c:strRef>
              <c:f>List1!$A$6:$A$11</c:f>
              <c:strCache>
                <c:ptCount val="6"/>
                <c:pt idx="0">
                  <c:v>0-14</c:v>
                </c:pt>
                <c:pt idx="1">
                  <c:v>15-29</c:v>
                </c:pt>
                <c:pt idx="2">
                  <c:v>30-44</c:v>
                </c:pt>
                <c:pt idx="3">
                  <c:v>45-59</c:v>
                </c:pt>
                <c:pt idx="4">
                  <c:v>60-74</c:v>
                </c:pt>
                <c:pt idx="5">
                  <c:v>75+</c:v>
                </c:pt>
              </c:strCache>
            </c:strRef>
          </c:cat>
          <c:val>
            <c:numRef>
              <c:f>List1!$C$6:$C$11</c:f>
              <c:numCache>
                <c:formatCode>#,##0</c:formatCode>
                <c:ptCount val="6"/>
                <c:pt idx="0">
                  <c:v>10500</c:v>
                </c:pt>
                <c:pt idx="1">
                  <c:v>17923</c:v>
                </c:pt>
                <c:pt idx="2">
                  <c:v>19412</c:v>
                </c:pt>
                <c:pt idx="3">
                  <c:v>28292</c:v>
                </c:pt>
                <c:pt idx="4">
                  <c:v>34270</c:v>
                </c:pt>
                <c:pt idx="5">
                  <c:v>71097</c:v>
                </c:pt>
              </c:numCache>
            </c:numRef>
          </c:val>
          <c:extLst>
            <c:ext xmlns:c16="http://schemas.microsoft.com/office/drawing/2014/chart" uri="{C3380CC4-5D6E-409C-BE32-E72D297353CC}">
              <c16:uniqueId val="{00000001-E162-4358-9C13-0391A60065FD}"/>
            </c:ext>
          </c:extLst>
        </c:ser>
        <c:ser>
          <c:idx val="2"/>
          <c:order val="2"/>
          <c:tx>
            <c:strRef>
              <c:f>List1!$D$5</c:f>
              <c:strCache>
                <c:ptCount val="1"/>
                <c:pt idx="0">
                  <c:v>ostatní</c:v>
                </c:pt>
              </c:strCache>
            </c:strRef>
          </c:tx>
          <c:spPr>
            <a:solidFill>
              <a:schemeClr val="accent3"/>
            </a:solidFill>
            <a:ln>
              <a:noFill/>
            </a:ln>
            <a:effectLst/>
            <a:sp3d/>
          </c:spPr>
          <c:invertIfNegative val="0"/>
          <c:cat>
            <c:strRef>
              <c:f>List1!$A$6:$A$11</c:f>
              <c:strCache>
                <c:ptCount val="6"/>
                <c:pt idx="0">
                  <c:v>0-14</c:v>
                </c:pt>
                <c:pt idx="1">
                  <c:v>15-29</c:v>
                </c:pt>
                <c:pt idx="2">
                  <c:v>30-44</c:v>
                </c:pt>
                <c:pt idx="3">
                  <c:v>45-59</c:v>
                </c:pt>
                <c:pt idx="4">
                  <c:v>60-74</c:v>
                </c:pt>
                <c:pt idx="5">
                  <c:v>75+</c:v>
                </c:pt>
              </c:strCache>
            </c:strRef>
          </c:cat>
          <c:val>
            <c:numRef>
              <c:f>List1!$D$6:$D$11</c:f>
              <c:numCache>
                <c:formatCode>#,##0</c:formatCode>
                <c:ptCount val="6"/>
                <c:pt idx="0">
                  <c:v>70432</c:v>
                </c:pt>
                <c:pt idx="1">
                  <c:v>130371</c:v>
                </c:pt>
                <c:pt idx="2">
                  <c:v>163662</c:v>
                </c:pt>
                <c:pt idx="3">
                  <c:v>302390</c:v>
                </c:pt>
                <c:pt idx="4">
                  <c:v>388295</c:v>
                </c:pt>
                <c:pt idx="5">
                  <c:v>554685</c:v>
                </c:pt>
              </c:numCache>
            </c:numRef>
          </c:val>
          <c:extLst>
            <c:ext xmlns:c16="http://schemas.microsoft.com/office/drawing/2014/chart" uri="{C3380CC4-5D6E-409C-BE32-E72D297353CC}">
              <c16:uniqueId val="{00000002-E162-4358-9C13-0391A60065FD}"/>
            </c:ext>
          </c:extLst>
        </c:ser>
        <c:dLbls>
          <c:showLegendKey val="0"/>
          <c:showVal val="0"/>
          <c:showCatName val="0"/>
          <c:showSerName val="0"/>
          <c:showPercent val="0"/>
          <c:showBubbleSize val="0"/>
        </c:dLbls>
        <c:gapWidth val="150"/>
        <c:shape val="box"/>
        <c:axId val="155281280"/>
        <c:axId val="155282816"/>
        <c:axId val="0"/>
      </c:bar3DChart>
      <c:catAx>
        <c:axId val="1552812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5282816"/>
        <c:crosses val="autoZero"/>
        <c:auto val="1"/>
        <c:lblAlgn val="ctr"/>
        <c:lblOffset val="100"/>
        <c:noMultiLvlLbl val="0"/>
      </c:catAx>
      <c:valAx>
        <c:axId val="155282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52812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100" b="1">
                <a:solidFill>
                  <a:sysClr val="windowText" lastClr="000000"/>
                </a:solidFill>
              </a:rPr>
              <a:t>Osoby podle typu postižení a omezení</a:t>
            </a:r>
            <a:endParaRPr lang="cs-CZ" b="1">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List1!$B$23</c:f>
              <c:strCache>
                <c:ptCount val="1"/>
                <c:pt idx="0">
                  <c:v>mobilita</c:v>
                </c:pt>
              </c:strCache>
            </c:strRef>
          </c:tx>
          <c:spPr>
            <a:solidFill>
              <a:schemeClr val="accent1"/>
            </a:solidFill>
            <a:ln>
              <a:noFill/>
            </a:ln>
            <a:effectLst/>
            <a:sp3d/>
          </c:spPr>
          <c:invertIfNegative val="0"/>
          <c:cat>
            <c:strRef>
              <c:f>List1!$A$24:$A$27</c:f>
              <c:strCache>
                <c:ptCount val="4"/>
                <c:pt idx="0">
                  <c:v>tělesné</c:v>
                </c:pt>
                <c:pt idx="1">
                  <c:v>smyslové</c:v>
                </c:pt>
                <c:pt idx="2">
                  <c:v>mentální/duševní</c:v>
                </c:pt>
                <c:pt idx="3">
                  <c:v>vnitřní</c:v>
                </c:pt>
              </c:strCache>
            </c:strRef>
          </c:cat>
          <c:val>
            <c:numRef>
              <c:f>List1!$B$24:$B$27</c:f>
              <c:numCache>
                <c:formatCode>#,##0</c:formatCode>
                <c:ptCount val="4"/>
                <c:pt idx="0">
                  <c:v>208727</c:v>
                </c:pt>
                <c:pt idx="1">
                  <c:v>3444</c:v>
                </c:pt>
                <c:pt idx="2">
                  <c:v>6297</c:v>
                </c:pt>
                <c:pt idx="3">
                  <c:v>123842</c:v>
                </c:pt>
              </c:numCache>
            </c:numRef>
          </c:val>
          <c:extLst>
            <c:ext xmlns:c16="http://schemas.microsoft.com/office/drawing/2014/chart" uri="{C3380CC4-5D6E-409C-BE32-E72D297353CC}">
              <c16:uniqueId val="{00000000-4C76-4643-BEAA-233824C5D734}"/>
            </c:ext>
          </c:extLst>
        </c:ser>
        <c:ser>
          <c:idx val="1"/>
          <c:order val="1"/>
          <c:tx>
            <c:strRef>
              <c:f>List1!$C$23</c:f>
              <c:strCache>
                <c:ptCount val="1"/>
                <c:pt idx="0">
                  <c:v>orientace</c:v>
                </c:pt>
              </c:strCache>
            </c:strRef>
          </c:tx>
          <c:spPr>
            <a:solidFill>
              <a:schemeClr val="accent2"/>
            </a:solidFill>
            <a:ln>
              <a:noFill/>
            </a:ln>
            <a:effectLst/>
            <a:sp3d/>
          </c:spPr>
          <c:invertIfNegative val="0"/>
          <c:cat>
            <c:strRef>
              <c:f>List1!$A$24:$A$27</c:f>
              <c:strCache>
                <c:ptCount val="4"/>
                <c:pt idx="0">
                  <c:v>tělesné</c:v>
                </c:pt>
                <c:pt idx="1">
                  <c:v>smyslové</c:v>
                </c:pt>
                <c:pt idx="2">
                  <c:v>mentální/duševní</c:v>
                </c:pt>
                <c:pt idx="3">
                  <c:v>vnitřní</c:v>
                </c:pt>
              </c:strCache>
            </c:strRef>
          </c:cat>
          <c:val>
            <c:numRef>
              <c:f>List1!$C$24:$C$27</c:f>
              <c:numCache>
                <c:formatCode>#,##0</c:formatCode>
                <c:ptCount val="4"/>
                <c:pt idx="0">
                  <c:v>8363</c:v>
                </c:pt>
                <c:pt idx="1">
                  <c:v>19300</c:v>
                </c:pt>
                <c:pt idx="2">
                  <c:v>29785</c:v>
                </c:pt>
                <c:pt idx="3">
                  <c:v>10599</c:v>
                </c:pt>
              </c:numCache>
            </c:numRef>
          </c:val>
          <c:extLst>
            <c:ext xmlns:c16="http://schemas.microsoft.com/office/drawing/2014/chart" uri="{C3380CC4-5D6E-409C-BE32-E72D297353CC}">
              <c16:uniqueId val="{00000001-4C76-4643-BEAA-233824C5D734}"/>
            </c:ext>
          </c:extLst>
        </c:ser>
        <c:dLbls>
          <c:showLegendKey val="0"/>
          <c:showVal val="0"/>
          <c:showCatName val="0"/>
          <c:showSerName val="0"/>
          <c:showPercent val="0"/>
          <c:showBubbleSize val="0"/>
        </c:dLbls>
        <c:gapWidth val="150"/>
        <c:shape val="box"/>
        <c:axId val="71362048"/>
        <c:axId val="71363584"/>
        <c:axId val="0"/>
      </c:bar3DChart>
      <c:catAx>
        <c:axId val="71362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1363584"/>
        <c:crosses val="autoZero"/>
        <c:auto val="1"/>
        <c:lblAlgn val="ctr"/>
        <c:lblOffset val="100"/>
        <c:noMultiLvlLbl val="0"/>
      </c:catAx>
      <c:valAx>
        <c:axId val="71363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136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E8E9DA-89B6-4E37-B49F-51AE2C1D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5544</Words>
  <Characters>32710</Characters>
  <Application>Microsoft Office Word</Application>
  <DocSecurity>4</DocSecurity>
  <Lines>272</Lines>
  <Paragraphs>76</Paragraphs>
  <ScaleCrop>false</ScaleCrop>
  <HeadingPairs>
    <vt:vector size="2" baseType="variant">
      <vt:variant>
        <vt:lpstr>Název</vt:lpstr>
      </vt:variant>
      <vt:variant>
        <vt:i4>1</vt:i4>
      </vt:variant>
    </vt:vector>
  </HeadingPairs>
  <TitlesOfParts>
    <vt:vector size="1" baseType="lpstr">
      <vt:lpstr>Prováděcí plán TSI PRM v České republice</vt:lpstr>
    </vt:vector>
  </TitlesOfParts>
  <Company>MD</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Prováděcí plán TSI PRM v České republice</dc:title>
  <dc:creator>Spousta Jan Ing.</dc:creator>
  <cp:lastModifiedBy>Soukup Lukáš Ing.</cp:lastModifiedBy>
  <cp:revision>2</cp:revision>
  <cp:lastPrinted>2017-02-17T12:23:00Z</cp:lastPrinted>
  <dcterms:created xsi:type="dcterms:W3CDTF">2020-07-28T13:59:00Z</dcterms:created>
  <dcterms:modified xsi:type="dcterms:W3CDTF">2020-07-28T13:59:00Z</dcterms:modified>
</cp:coreProperties>
</file>