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5C398F" w14:textId="002B397E" w:rsidR="00521539" w:rsidRPr="003B57CB" w:rsidRDefault="00521539" w:rsidP="00D75D7A">
      <w:pPr>
        <w:pStyle w:val="Nzev"/>
      </w:pPr>
      <w:r w:rsidRPr="003B57CB">
        <w:t>Nástroj pro propojení Evropy (CEF)</w:t>
      </w:r>
      <w:r w:rsidR="00242C7B" w:rsidRPr="003B57CB">
        <w:t>:</w:t>
      </w:r>
    </w:p>
    <w:p w14:paraId="0018F8E5" w14:textId="77777777" w:rsidR="000904BD" w:rsidRPr="003B57CB" w:rsidRDefault="00242C7B" w:rsidP="00D75D7A">
      <w:pPr>
        <w:pStyle w:val="Nzev"/>
      </w:pPr>
      <w:r w:rsidRPr="003B57CB">
        <w:t>i</w:t>
      </w:r>
      <w:r w:rsidR="000904BD" w:rsidRPr="003B57CB">
        <w:t xml:space="preserve">nformace o stavu čerpání prostředků </w:t>
      </w:r>
      <w:r w:rsidR="00521539" w:rsidRPr="003B57CB">
        <w:t>a stavu přípravy pro období 2021 - 2027</w:t>
      </w:r>
    </w:p>
    <w:p w14:paraId="591129C7" w14:textId="77777777" w:rsidR="000904BD" w:rsidRPr="00D75D7A" w:rsidRDefault="000904BD" w:rsidP="00D75D7A">
      <w:pPr>
        <w:pStyle w:val="Nadpis1"/>
      </w:pPr>
      <w:r w:rsidRPr="00D75D7A">
        <w:t>Úvod</w:t>
      </w:r>
    </w:p>
    <w:p w14:paraId="027CA72B" w14:textId="7124ACC1" w:rsidR="00EA4C96" w:rsidRDefault="000C08A0" w:rsidP="001F5B9F">
      <w:r>
        <w:t>M</w:t>
      </w:r>
      <w:r w:rsidR="00EA4C96">
        <w:t xml:space="preserve">ateriál shrnuje aktuální stav implementace </w:t>
      </w:r>
      <w:r w:rsidR="00DE6323">
        <w:t xml:space="preserve">českých projektů podpořených z </w:t>
      </w:r>
      <w:r w:rsidR="00EA4C96">
        <w:t xml:space="preserve">Nástroje pro propojení Evropy pro roky 2014 – 2020 (CEF) a dále obsahuje informace o stavu přípravy </w:t>
      </w:r>
      <w:r w:rsidR="00EA4C96" w:rsidRPr="00EA4C96">
        <w:t>Nástroj</w:t>
      </w:r>
      <w:r w:rsidR="00EA4C96">
        <w:t>e</w:t>
      </w:r>
      <w:r w:rsidR="00EA4C96" w:rsidRPr="00EA4C96">
        <w:t xml:space="preserve"> pro propojení Evropy </w:t>
      </w:r>
      <w:r w:rsidR="00EA4C96">
        <w:t>pro roky 2021 – 2027 (CEF2).</w:t>
      </w:r>
    </w:p>
    <w:p w14:paraId="0325BEA5" w14:textId="77777777" w:rsidR="00EA4C96" w:rsidRDefault="00EA4C96" w:rsidP="001F5B9F">
      <w:r>
        <w:t>Cílem je:</w:t>
      </w:r>
    </w:p>
    <w:p w14:paraId="5A0F5EE3" w14:textId="77777777" w:rsidR="00EA4C96" w:rsidRPr="00D542B3" w:rsidRDefault="00EA4C96" w:rsidP="00D542B3">
      <w:pPr>
        <w:pStyle w:val="normln-odrky"/>
      </w:pPr>
      <w:r w:rsidRPr="00D542B3">
        <w:t>vyhodnocení  čerpání  v</w:t>
      </w:r>
      <w:r w:rsidR="00F00199">
        <w:t>e</w:t>
      </w:r>
      <w:r w:rsidRPr="00D542B3">
        <w:t xml:space="preserve"> stávajícím  období 2014 – 2020</w:t>
      </w:r>
      <w:r w:rsidR="006375D2" w:rsidRPr="00D542B3">
        <w:t>;</w:t>
      </w:r>
    </w:p>
    <w:p w14:paraId="1AB81BFB" w14:textId="77777777" w:rsidR="00EA4C96" w:rsidRPr="00D542B3" w:rsidRDefault="00EA4C96" w:rsidP="00D542B3">
      <w:pPr>
        <w:pStyle w:val="normln-odrky"/>
      </w:pPr>
      <w:r w:rsidRPr="00D542B3">
        <w:t>načrtnout výhled čerpání CEF2 po roce 2021</w:t>
      </w:r>
      <w:r w:rsidR="006375D2" w:rsidRPr="00D542B3">
        <w:t>;</w:t>
      </w:r>
    </w:p>
    <w:p w14:paraId="24161F23" w14:textId="77777777" w:rsidR="006375D2" w:rsidRPr="00D542B3" w:rsidRDefault="006375D2" w:rsidP="00D542B3">
      <w:pPr>
        <w:pStyle w:val="normln-odrky"/>
      </w:pPr>
      <w:r w:rsidRPr="00D542B3">
        <w:t>identifikovat překážky v čerpání a nastínit opatření k jejich minimalizaci.</w:t>
      </w:r>
    </w:p>
    <w:p w14:paraId="7FB548F8" w14:textId="77777777" w:rsidR="006375D2" w:rsidRDefault="006375D2" w:rsidP="001F5B9F">
      <w:r>
        <w:t>Informace navazuje na m</w:t>
      </w:r>
      <w:r w:rsidR="00EA4C96">
        <w:t xml:space="preserve">ateriál </w:t>
      </w:r>
      <w:r w:rsidRPr="006375D2">
        <w:t>„</w:t>
      </w:r>
      <w:r w:rsidR="00EA4C96" w:rsidRPr="006375D2">
        <w:t>Informace o stavu čerpání prostředků z Nástroje pro propojení Evropy (CEF)</w:t>
      </w:r>
      <w:r w:rsidRPr="006375D2">
        <w:t xml:space="preserve"> </w:t>
      </w:r>
      <w:r w:rsidR="00EA4C96" w:rsidRPr="006375D2">
        <w:t>a návrhy opatření pro maximalizaci využití alokace kohezní části CEF</w:t>
      </w:r>
      <w:r>
        <w:t xml:space="preserve">“ schválený Výborem pro Evropskou unii usnesením č. 23 </w:t>
      </w:r>
      <w:r w:rsidR="00EA4C96">
        <w:t>ze dne 24. července 2018</w:t>
      </w:r>
      <w:r>
        <w:t>.</w:t>
      </w:r>
    </w:p>
    <w:p w14:paraId="68BD4854" w14:textId="2B549A74" w:rsidR="001F5B9F" w:rsidRPr="001F5B9F" w:rsidRDefault="005D4CF3" w:rsidP="001F5B9F">
      <w:r>
        <w:t>CEF je program přímo řízený</w:t>
      </w:r>
      <w:r w:rsidR="00B5650D" w:rsidRPr="001F5B9F">
        <w:t xml:space="preserve"> Evropskou komisí (EK)</w:t>
      </w:r>
      <w:r>
        <w:t>, resp. Výkonnou agenturou pro inovace a sítě (INEA),</w:t>
      </w:r>
      <w:r w:rsidR="00B5650D" w:rsidRPr="001F5B9F">
        <w:t xml:space="preserve"> zřízený na podporu rozvoje transevropských sítí v oblasti dopravy (TEN-T), energetiky (TEN-E) a telekomunikací. Každá z částí má samostatný</w:t>
      </w:r>
      <w:r w:rsidR="001F5B9F" w:rsidRPr="001F5B9F">
        <w:t xml:space="preserve"> rozpočet a specifická pravidla, materiál je zpracován rezorty, které mají </w:t>
      </w:r>
      <w:r w:rsidR="005F1D50">
        <w:t xml:space="preserve">jednotlivé </w:t>
      </w:r>
      <w:r w:rsidR="005F1D50" w:rsidRPr="001F5B9F">
        <w:t xml:space="preserve">části </w:t>
      </w:r>
      <w:r w:rsidR="001F5B9F" w:rsidRPr="001F5B9F">
        <w:t>v gesci:</w:t>
      </w:r>
    </w:p>
    <w:p w14:paraId="408CB0A2" w14:textId="77777777" w:rsidR="001F5B9F" w:rsidRDefault="001F5B9F" w:rsidP="00D542B3">
      <w:pPr>
        <w:pStyle w:val="normln-odrky"/>
      </w:pPr>
      <w:r>
        <w:t>doprava - Ministerstvo dopravy</w:t>
      </w:r>
      <w:r w:rsidR="00B44F35">
        <w:t xml:space="preserve"> (MD)</w:t>
      </w:r>
      <w:r>
        <w:t>,</w:t>
      </w:r>
    </w:p>
    <w:p w14:paraId="706102D4" w14:textId="77777777" w:rsidR="001F5B9F" w:rsidRDefault="001F5B9F" w:rsidP="00D542B3">
      <w:pPr>
        <w:pStyle w:val="normln-odrky"/>
      </w:pPr>
      <w:r>
        <w:t>energetika - Ministerstvo průmyslu a obchodu</w:t>
      </w:r>
      <w:r w:rsidR="00B44F35">
        <w:t xml:space="preserve"> (MPO)</w:t>
      </w:r>
      <w:r>
        <w:t>,</w:t>
      </w:r>
    </w:p>
    <w:p w14:paraId="54B65FE6" w14:textId="77777777" w:rsidR="00B5650D" w:rsidRDefault="001F5B9F" w:rsidP="00D542B3">
      <w:pPr>
        <w:pStyle w:val="normln-odrky"/>
      </w:pPr>
      <w:r>
        <w:t xml:space="preserve">telekomunikace </w:t>
      </w:r>
      <w:r w:rsidR="00B44F35">
        <w:t>–</w:t>
      </w:r>
      <w:r>
        <w:t xml:space="preserve"> </w:t>
      </w:r>
      <w:r w:rsidR="00B44F35">
        <w:t xml:space="preserve">CEF: </w:t>
      </w:r>
      <w:r>
        <w:t>Ministerstvo vnitra (</w:t>
      </w:r>
      <w:r w:rsidR="00B44F35">
        <w:t>MV</w:t>
      </w:r>
      <w:r>
        <w:t xml:space="preserve">), </w:t>
      </w:r>
      <w:r w:rsidR="00B44F35">
        <w:t>CEF2: MPO</w:t>
      </w:r>
      <w:r>
        <w:t>.</w:t>
      </w:r>
    </w:p>
    <w:p w14:paraId="7389CF25" w14:textId="529BCD07" w:rsidR="00B5650D" w:rsidRDefault="00E0176A" w:rsidP="001F5B9F">
      <w:pPr>
        <w:pStyle w:val="Prosttext"/>
      </w:pPr>
      <w:r>
        <w:t>D</w:t>
      </w:r>
      <w:r w:rsidR="00C04381">
        <w:t>opravní část se odlišuje tím, že zahrnuje kromě tzv. obecné obálky, která obsahuje prostředky dostupné pro všechny členské státy, i tzv. kohezní obálku financovanou z prostředků přesunutých do CEF z Fondu soudržnosti (FS). Pro čerpání kohezní obálky jsou způsobilé pouze členské státy, které mohou če</w:t>
      </w:r>
      <w:r w:rsidR="00504C27">
        <w:t>rpat z FS (tzv. kohezní státy), a to za podmínek obdobných jako u FS (míra spolufinancování až 85 % apod.). T</w:t>
      </w:r>
      <w:r w:rsidR="00C04381">
        <w:t>ato obálka byla pro první tři roky implementace rozdělena do tzv. národních obálek, které byly výlučně k dispozici jednotlivým kohezním členským státům</w:t>
      </w:r>
      <w:r w:rsidR="005F1D50">
        <w:t>, následně byly prostředky soutěženy všemi způsobilými státy.</w:t>
      </w:r>
    </w:p>
    <w:p w14:paraId="08DCC16B" w14:textId="77777777" w:rsidR="000904BD" w:rsidRPr="003B57CB" w:rsidRDefault="000904BD" w:rsidP="00D75D7A">
      <w:pPr>
        <w:pStyle w:val="Nadpis1"/>
      </w:pPr>
      <w:r w:rsidRPr="003B57CB">
        <w:t xml:space="preserve">Stav implementace </w:t>
      </w:r>
      <w:r w:rsidR="00D75D7A">
        <w:t>CEF</w:t>
      </w:r>
    </w:p>
    <w:p w14:paraId="17F4ECD5" w14:textId="77777777" w:rsidR="000032E5" w:rsidRDefault="000032E5" w:rsidP="000032E5">
      <w:r>
        <w:t xml:space="preserve">Celkem bylo z rozpočtu EU na realizaci Nástroje pro propojení Evropy na období 2014 až 2020 vyčleněno </w:t>
      </w:r>
      <w:r w:rsidR="003F019C">
        <w:t>30 192 259 000 EUR</w:t>
      </w:r>
      <w:r>
        <w:t xml:space="preserve"> v běžných cenách. Z této částky připadá </w:t>
      </w:r>
      <w:proofErr w:type="gramStart"/>
      <w:r>
        <w:t>na</w:t>
      </w:r>
      <w:proofErr w:type="gramEnd"/>
      <w:r>
        <w:t>:</w:t>
      </w:r>
    </w:p>
    <w:p w14:paraId="2A2E5B61" w14:textId="77777777" w:rsidR="000032E5" w:rsidRDefault="000032E5" w:rsidP="000032E5">
      <w:r>
        <w:t>a) odvětví dopravy: 24 050 582 000 EUR</w:t>
      </w:r>
      <w:r w:rsidR="003F019C" w:rsidRPr="003F019C">
        <w:t xml:space="preserve"> </w:t>
      </w:r>
      <w:r w:rsidR="003F019C">
        <w:t>(z toho kohezní obálka 11 305 500 000 EUR)</w:t>
      </w:r>
      <w:r>
        <w:t xml:space="preserve">; </w:t>
      </w:r>
    </w:p>
    <w:p w14:paraId="4F747453" w14:textId="77777777" w:rsidR="000032E5" w:rsidRDefault="000032E5" w:rsidP="000032E5">
      <w:r>
        <w:t xml:space="preserve">b) odvětví telekomunikací: </w:t>
      </w:r>
      <w:r w:rsidR="003F019C">
        <w:t>1 066 602 000 EUR</w:t>
      </w:r>
      <w:r>
        <w:t>;</w:t>
      </w:r>
    </w:p>
    <w:p w14:paraId="419F770F" w14:textId="77777777" w:rsidR="000032E5" w:rsidRDefault="000032E5" w:rsidP="000032E5">
      <w:r>
        <w:t xml:space="preserve">c) odvětví energetiky: </w:t>
      </w:r>
      <w:r w:rsidR="003F019C">
        <w:t>5 075 075 000 EUR</w:t>
      </w:r>
      <w:r>
        <w:t>.</w:t>
      </w:r>
    </w:p>
    <w:p w14:paraId="1DA74B4D" w14:textId="77777777" w:rsidR="00DE6323" w:rsidRDefault="00E86709" w:rsidP="00F72744">
      <w:pPr>
        <w:sectPr w:rsidR="00DE6323" w:rsidSect="00872459">
          <w:footerReference w:type="default" r:id="rId8"/>
          <w:pgSz w:w="11906" w:h="16838"/>
          <w:pgMar w:top="1258" w:right="1417" w:bottom="1258" w:left="1417" w:header="708" w:footer="708" w:gutter="0"/>
          <w:cols w:space="708"/>
          <w:docGrid w:linePitch="360"/>
        </w:sectPr>
      </w:pPr>
      <w:r>
        <w:t>Základní p</w:t>
      </w:r>
      <w:r w:rsidR="00F72744">
        <w:t xml:space="preserve">řehled o stavu </w:t>
      </w:r>
      <w:r w:rsidR="00074CBF">
        <w:t xml:space="preserve">implementace </w:t>
      </w:r>
      <w:r w:rsidR="00F72744">
        <w:t>CEF poskytuj</w:t>
      </w:r>
      <w:r w:rsidR="007E3843">
        <w:t>í</w:t>
      </w:r>
      <w:r w:rsidR="00F72744">
        <w:t xml:space="preserve"> tabulk</w:t>
      </w:r>
      <w:r w:rsidR="007E3843">
        <w:t>y</w:t>
      </w:r>
      <w:r w:rsidR="00F72744">
        <w:t xml:space="preserve"> 1</w:t>
      </w:r>
      <w:r w:rsidR="007E3843">
        <w:t xml:space="preserve"> a 2. </w:t>
      </w:r>
      <w:r w:rsidR="00D75D7A">
        <w:t xml:space="preserve">Stav implementace je </w:t>
      </w:r>
      <w:r w:rsidR="007E3843">
        <w:t xml:space="preserve">blíže </w:t>
      </w:r>
      <w:r w:rsidR="00D75D7A">
        <w:t>po</w:t>
      </w:r>
      <w:r w:rsidR="00E047B9">
        <w:t>p</w:t>
      </w:r>
      <w:r w:rsidR="00D75D7A">
        <w:t>sán dále v textu pro jednotlivé části CEF.</w:t>
      </w:r>
    </w:p>
    <w:p w14:paraId="36007C13" w14:textId="77777777" w:rsidR="006D3849" w:rsidRPr="00C91486" w:rsidRDefault="00DE6323" w:rsidP="00F72744">
      <w:r w:rsidRPr="00C91486">
        <w:lastRenderedPageBreak/>
        <w:t xml:space="preserve">Tabulka 1: </w:t>
      </w:r>
      <w:r w:rsidR="00714F08">
        <w:t>Projekty českých příjemců</w:t>
      </w:r>
      <w:r w:rsidRPr="00C91486">
        <w:t xml:space="preserve"> podpořené z CEF</w:t>
      </w:r>
    </w:p>
    <w:tbl>
      <w:tblPr>
        <w:tblStyle w:val="Mkatabulky"/>
        <w:tblW w:w="15451" w:type="dxa"/>
        <w:tblInd w:w="-714" w:type="dxa"/>
        <w:tblLayout w:type="fixed"/>
        <w:tblLook w:val="04A0" w:firstRow="1" w:lastRow="0" w:firstColumn="1" w:lastColumn="0" w:noHBand="0" w:noVBand="1"/>
      </w:tblPr>
      <w:tblGrid>
        <w:gridCol w:w="1679"/>
        <w:gridCol w:w="688"/>
        <w:gridCol w:w="1031"/>
        <w:gridCol w:w="1031"/>
        <w:gridCol w:w="689"/>
        <w:gridCol w:w="1031"/>
        <w:gridCol w:w="1031"/>
        <w:gridCol w:w="689"/>
        <w:gridCol w:w="1031"/>
        <w:gridCol w:w="1031"/>
        <w:gridCol w:w="689"/>
        <w:gridCol w:w="1031"/>
        <w:gridCol w:w="1031"/>
        <w:gridCol w:w="689"/>
        <w:gridCol w:w="1031"/>
        <w:gridCol w:w="1049"/>
      </w:tblGrid>
      <w:tr w:rsidR="0009675E" w14:paraId="048493C3" w14:textId="77777777" w:rsidTr="004826DC">
        <w:trPr>
          <w:trHeight w:val="737"/>
        </w:trPr>
        <w:tc>
          <w:tcPr>
            <w:tcW w:w="1679" w:type="dxa"/>
            <w:tcBorders>
              <w:left w:val="single" w:sz="4" w:space="0" w:color="auto"/>
              <w:bottom w:val="nil"/>
              <w:right w:val="single" w:sz="4" w:space="0" w:color="auto"/>
            </w:tcBorders>
            <w:shd w:val="clear" w:color="auto" w:fill="D9D9D9" w:themeFill="background1" w:themeFillShade="D9"/>
          </w:tcPr>
          <w:p w14:paraId="4BA4BA18" w14:textId="77777777" w:rsidR="0009675E" w:rsidRDefault="0009675E" w:rsidP="0009675E">
            <w:pPr>
              <w:pStyle w:val="Prosttext"/>
              <w:rPr>
                <w:b/>
              </w:rPr>
            </w:pPr>
          </w:p>
          <w:p w14:paraId="098418B8" w14:textId="77777777" w:rsidR="00D716C3" w:rsidRDefault="00D716C3" w:rsidP="0009675E">
            <w:pPr>
              <w:pStyle w:val="Prosttext"/>
              <w:rPr>
                <w:b/>
              </w:rPr>
            </w:pPr>
          </w:p>
        </w:tc>
        <w:tc>
          <w:tcPr>
            <w:tcW w:w="2750"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BB4F0D5" w14:textId="77777777" w:rsidR="0009675E" w:rsidRDefault="0009675E" w:rsidP="0009675E">
            <w:pPr>
              <w:pStyle w:val="Prosttext"/>
              <w:jc w:val="center"/>
              <w:rPr>
                <w:b/>
                <w:szCs w:val="20"/>
              </w:rPr>
            </w:pPr>
            <w:r>
              <w:rPr>
                <w:b/>
              </w:rPr>
              <w:t>Předložené žádosti o podporu</w:t>
            </w:r>
          </w:p>
        </w:tc>
        <w:tc>
          <w:tcPr>
            <w:tcW w:w="2751"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5787F8BD" w14:textId="77777777" w:rsidR="0009675E" w:rsidRDefault="0009675E" w:rsidP="0009675E">
            <w:pPr>
              <w:pStyle w:val="Prosttext"/>
              <w:jc w:val="center"/>
              <w:rPr>
                <w:b/>
                <w:szCs w:val="20"/>
              </w:rPr>
            </w:pPr>
            <w:r>
              <w:rPr>
                <w:b/>
              </w:rPr>
              <w:t>Schválené projekty</w:t>
            </w:r>
          </w:p>
        </w:tc>
        <w:tc>
          <w:tcPr>
            <w:tcW w:w="2751"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165E50F1" w14:textId="77777777" w:rsidR="0009675E" w:rsidRDefault="0009675E" w:rsidP="0009675E">
            <w:pPr>
              <w:pStyle w:val="Prosttext"/>
              <w:jc w:val="center"/>
              <w:rPr>
                <w:b/>
                <w:szCs w:val="20"/>
              </w:rPr>
            </w:pPr>
            <w:r>
              <w:rPr>
                <w:b/>
              </w:rPr>
              <w:t>Projekty v realizaci</w:t>
            </w:r>
          </w:p>
        </w:tc>
        <w:tc>
          <w:tcPr>
            <w:tcW w:w="2751"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3B53DEB4" w14:textId="77777777" w:rsidR="0009675E" w:rsidRDefault="0009675E" w:rsidP="0009675E">
            <w:pPr>
              <w:pStyle w:val="Prosttext"/>
              <w:jc w:val="center"/>
              <w:rPr>
                <w:b/>
                <w:szCs w:val="20"/>
              </w:rPr>
            </w:pPr>
            <w:r>
              <w:rPr>
                <w:b/>
              </w:rPr>
              <w:t>Úspěšně dokončené projekty</w:t>
            </w:r>
          </w:p>
        </w:tc>
        <w:tc>
          <w:tcPr>
            <w:tcW w:w="2769"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1B937F3A" w14:textId="77777777" w:rsidR="0009675E" w:rsidRDefault="0009675E" w:rsidP="0009675E">
            <w:pPr>
              <w:pStyle w:val="Prosttext"/>
              <w:jc w:val="center"/>
              <w:rPr>
                <w:b/>
                <w:szCs w:val="20"/>
              </w:rPr>
            </w:pPr>
            <w:r>
              <w:rPr>
                <w:b/>
              </w:rPr>
              <w:t>Nerealizované / stažené projekty</w:t>
            </w:r>
          </w:p>
        </w:tc>
      </w:tr>
      <w:tr w:rsidR="00E86CA1" w14:paraId="7E18CC8C" w14:textId="77777777" w:rsidTr="004826DC">
        <w:tc>
          <w:tcPr>
            <w:tcW w:w="1679" w:type="dxa"/>
            <w:tcBorders>
              <w:top w:val="nil"/>
              <w:left w:val="single" w:sz="4" w:space="0" w:color="auto"/>
              <w:bottom w:val="single" w:sz="4" w:space="0" w:color="auto"/>
              <w:right w:val="single" w:sz="4" w:space="0" w:color="auto"/>
            </w:tcBorders>
            <w:shd w:val="clear" w:color="auto" w:fill="D9D9D9" w:themeFill="background1" w:themeFillShade="D9"/>
          </w:tcPr>
          <w:p w14:paraId="6D256273" w14:textId="77777777" w:rsidR="0009675E" w:rsidRDefault="0009675E" w:rsidP="0009675E">
            <w:pPr>
              <w:pStyle w:val="Prosttext"/>
              <w:rPr>
                <w:b/>
              </w:rPr>
            </w:pPr>
          </w:p>
        </w:tc>
        <w:tc>
          <w:tcPr>
            <w:tcW w:w="68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E3EC1F9" w14:textId="77777777" w:rsidR="0009675E" w:rsidRDefault="0009675E" w:rsidP="0009675E">
            <w:pPr>
              <w:pStyle w:val="Prosttext"/>
              <w:jc w:val="center"/>
              <w:rPr>
                <w:b/>
                <w:szCs w:val="20"/>
              </w:rPr>
            </w:pPr>
            <w:r>
              <w:rPr>
                <w:b/>
                <w:szCs w:val="20"/>
              </w:rPr>
              <w:t>Počet</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45262" w14:textId="77777777" w:rsidR="0009675E" w:rsidRDefault="0009675E" w:rsidP="0009675E">
            <w:pPr>
              <w:pStyle w:val="Prosttext"/>
              <w:jc w:val="center"/>
              <w:rPr>
                <w:b/>
                <w:szCs w:val="20"/>
              </w:rPr>
            </w:pPr>
            <w:r>
              <w:rPr>
                <w:b/>
                <w:szCs w:val="20"/>
              </w:rPr>
              <w:t>Způsobilé výdaje</w:t>
            </w:r>
          </w:p>
          <w:p w14:paraId="32F96D24" w14:textId="77777777" w:rsidR="0009675E" w:rsidRDefault="0009675E" w:rsidP="0009675E">
            <w:pPr>
              <w:pStyle w:val="Prosttext"/>
              <w:jc w:val="center"/>
              <w:rPr>
                <w:b/>
                <w:szCs w:val="20"/>
              </w:rPr>
            </w:pPr>
            <w:r>
              <w:rPr>
                <w:b/>
                <w:szCs w:val="20"/>
              </w:rPr>
              <w:t>(tis. EUR)</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DCDB5E" w14:textId="77777777" w:rsidR="0009675E" w:rsidRDefault="0009675E" w:rsidP="0009675E">
            <w:pPr>
              <w:pStyle w:val="Prosttext"/>
              <w:jc w:val="center"/>
              <w:rPr>
                <w:b/>
                <w:szCs w:val="20"/>
              </w:rPr>
            </w:pPr>
            <w:r>
              <w:rPr>
                <w:b/>
                <w:szCs w:val="20"/>
              </w:rPr>
              <w:t>Příspěvek CEF</w:t>
            </w:r>
          </w:p>
          <w:p w14:paraId="24D85E19" w14:textId="77777777" w:rsidR="0009675E" w:rsidRDefault="0009675E" w:rsidP="0009675E">
            <w:pPr>
              <w:pStyle w:val="Prosttext"/>
              <w:jc w:val="center"/>
              <w:rPr>
                <w:b/>
                <w:szCs w:val="20"/>
              </w:rPr>
            </w:pPr>
            <w:r>
              <w:rPr>
                <w:b/>
                <w:szCs w:val="20"/>
              </w:rPr>
              <w:t>(tis. EUR)</w:t>
            </w:r>
          </w:p>
        </w:tc>
        <w:tc>
          <w:tcPr>
            <w:tcW w:w="6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9E9A5C" w14:textId="77777777" w:rsidR="0009675E" w:rsidRDefault="0009675E" w:rsidP="0009675E">
            <w:pPr>
              <w:pStyle w:val="Prosttext"/>
              <w:jc w:val="center"/>
              <w:rPr>
                <w:b/>
                <w:szCs w:val="20"/>
              </w:rPr>
            </w:pPr>
            <w:r>
              <w:rPr>
                <w:b/>
                <w:szCs w:val="20"/>
              </w:rPr>
              <w:t>Počet</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E947485" w14:textId="77777777" w:rsidR="0009675E" w:rsidRDefault="0009675E" w:rsidP="0009675E">
            <w:pPr>
              <w:pStyle w:val="Prosttext"/>
              <w:jc w:val="center"/>
              <w:rPr>
                <w:b/>
                <w:szCs w:val="20"/>
              </w:rPr>
            </w:pPr>
            <w:r>
              <w:rPr>
                <w:b/>
                <w:szCs w:val="20"/>
              </w:rPr>
              <w:t>Způsobilé výdaje</w:t>
            </w:r>
          </w:p>
          <w:p w14:paraId="1046D588" w14:textId="77777777" w:rsidR="0009675E" w:rsidRDefault="0009675E" w:rsidP="0009675E">
            <w:pPr>
              <w:pStyle w:val="Prosttext"/>
              <w:jc w:val="center"/>
              <w:rPr>
                <w:b/>
                <w:szCs w:val="20"/>
              </w:rPr>
            </w:pPr>
            <w:r>
              <w:rPr>
                <w:b/>
                <w:szCs w:val="20"/>
              </w:rPr>
              <w:t>(tis. EUR)</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7A7343" w14:textId="77777777" w:rsidR="0009675E" w:rsidRDefault="0009675E" w:rsidP="0009675E">
            <w:pPr>
              <w:pStyle w:val="Prosttext"/>
              <w:jc w:val="center"/>
              <w:rPr>
                <w:b/>
                <w:szCs w:val="20"/>
              </w:rPr>
            </w:pPr>
            <w:r>
              <w:rPr>
                <w:b/>
                <w:szCs w:val="20"/>
              </w:rPr>
              <w:t>Příspěvek CEF</w:t>
            </w:r>
          </w:p>
          <w:p w14:paraId="5CA4954C" w14:textId="77777777" w:rsidR="0009675E" w:rsidRDefault="0009675E" w:rsidP="0009675E">
            <w:pPr>
              <w:pStyle w:val="Prosttext"/>
              <w:jc w:val="center"/>
              <w:rPr>
                <w:b/>
                <w:szCs w:val="20"/>
              </w:rPr>
            </w:pPr>
            <w:r>
              <w:rPr>
                <w:b/>
                <w:szCs w:val="20"/>
              </w:rPr>
              <w:t>(tis. EUR)</w:t>
            </w:r>
          </w:p>
        </w:tc>
        <w:tc>
          <w:tcPr>
            <w:tcW w:w="6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007B26" w14:textId="77777777" w:rsidR="0009675E" w:rsidRDefault="0009675E" w:rsidP="0009675E">
            <w:pPr>
              <w:pStyle w:val="Prosttext"/>
              <w:jc w:val="center"/>
              <w:rPr>
                <w:b/>
                <w:szCs w:val="20"/>
              </w:rPr>
            </w:pPr>
            <w:r>
              <w:rPr>
                <w:b/>
                <w:szCs w:val="20"/>
              </w:rPr>
              <w:t>Počet</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A8121EA" w14:textId="77777777" w:rsidR="0009675E" w:rsidRDefault="0009675E" w:rsidP="0009675E">
            <w:pPr>
              <w:pStyle w:val="Prosttext"/>
              <w:jc w:val="center"/>
              <w:rPr>
                <w:b/>
                <w:szCs w:val="20"/>
              </w:rPr>
            </w:pPr>
            <w:r>
              <w:rPr>
                <w:b/>
                <w:szCs w:val="20"/>
              </w:rPr>
              <w:t>Způsobilé výdaje</w:t>
            </w:r>
          </w:p>
          <w:p w14:paraId="46FF084A" w14:textId="77777777" w:rsidR="0009675E" w:rsidRDefault="0009675E" w:rsidP="0009675E">
            <w:pPr>
              <w:pStyle w:val="Prosttext"/>
              <w:jc w:val="center"/>
              <w:rPr>
                <w:b/>
                <w:szCs w:val="20"/>
              </w:rPr>
            </w:pPr>
            <w:r>
              <w:rPr>
                <w:b/>
                <w:szCs w:val="20"/>
              </w:rPr>
              <w:t>(tis. EUR)</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EDE982" w14:textId="77777777" w:rsidR="0009675E" w:rsidRDefault="0009675E" w:rsidP="0009675E">
            <w:pPr>
              <w:pStyle w:val="Prosttext"/>
              <w:jc w:val="center"/>
              <w:rPr>
                <w:b/>
                <w:szCs w:val="20"/>
              </w:rPr>
            </w:pPr>
            <w:r>
              <w:rPr>
                <w:b/>
                <w:szCs w:val="20"/>
              </w:rPr>
              <w:t>Příspěvek CEF</w:t>
            </w:r>
          </w:p>
          <w:p w14:paraId="0223E5EA" w14:textId="77777777" w:rsidR="0009675E" w:rsidRDefault="0009675E" w:rsidP="0009675E">
            <w:pPr>
              <w:pStyle w:val="Prosttext"/>
              <w:jc w:val="center"/>
              <w:rPr>
                <w:b/>
                <w:szCs w:val="20"/>
              </w:rPr>
            </w:pPr>
            <w:r>
              <w:rPr>
                <w:b/>
                <w:szCs w:val="20"/>
              </w:rPr>
              <w:t>(tis. EUR)</w:t>
            </w:r>
          </w:p>
        </w:tc>
        <w:tc>
          <w:tcPr>
            <w:tcW w:w="6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37F2A3" w14:textId="77777777" w:rsidR="0009675E" w:rsidRDefault="0009675E" w:rsidP="0009675E">
            <w:pPr>
              <w:pStyle w:val="Prosttext"/>
              <w:jc w:val="center"/>
              <w:rPr>
                <w:b/>
                <w:szCs w:val="20"/>
              </w:rPr>
            </w:pPr>
            <w:r>
              <w:rPr>
                <w:b/>
                <w:szCs w:val="20"/>
              </w:rPr>
              <w:t>Počet</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642CA3" w14:textId="77777777" w:rsidR="0009675E" w:rsidRDefault="0009675E" w:rsidP="0009675E">
            <w:pPr>
              <w:pStyle w:val="Prosttext"/>
              <w:jc w:val="center"/>
              <w:rPr>
                <w:b/>
                <w:szCs w:val="20"/>
              </w:rPr>
            </w:pPr>
            <w:r>
              <w:rPr>
                <w:b/>
                <w:szCs w:val="20"/>
              </w:rPr>
              <w:t>Způsobilé výdaje</w:t>
            </w:r>
          </w:p>
          <w:p w14:paraId="6D113663" w14:textId="77777777" w:rsidR="0009675E" w:rsidRDefault="0009675E" w:rsidP="0009675E">
            <w:pPr>
              <w:pStyle w:val="Prosttext"/>
              <w:jc w:val="center"/>
              <w:rPr>
                <w:b/>
                <w:szCs w:val="20"/>
              </w:rPr>
            </w:pPr>
            <w:r>
              <w:rPr>
                <w:b/>
                <w:szCs w:val="20"/>
              </w:rPr>
              <w:t>(tis. EUR)</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860779D" w14:textId="77777777" w:rsidR="0009675E" w:rsidRDefault="0009675E" w:rsidP="0009675E">
            <w:pPr>
              <w:pStyle w:val="Prosttext"/>
              <w:jc w:val="center"/>
              <w:rPr>
                <w:b/>
                <w:szCs w:val="20"/>
              </w:rPr>
            </w:pPr>
            <w:r>
              <w:rPr>
                <w:b/>
                <w:szCs w:val="20"/>
              </w:rPr>
              <w:t>Příspěvek CEF</w:t>
            </w:r>
          </w:p>
          <w:p w14:paraId="37D9A16B" w14:textId="77777777" w:rsidR="0009675E" w:rsidRDefault="0009675E" w:rsidP="0009675E">
            <w:pPr>
              <w:pStyle w:val="Prosttext"/>
              <w:jc w:val="center"/>
              <w:rPr>
                <w:b/>
                <w:szCs w:val="20"/>
              </w:rPr>
            </w:pPr>
            <w:r>
              <w:rPr>
                <w:b/>
                <w:szCs w:val="20"/>
              </w:rPr>
              <w:t>(tis. EUR)</w:t>
            </w:r>
          </w:p>
        </w:tc>
        <w:tc>
          <w:tcPr>
            <w:tcW w:w="68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312687A" w14:textId="77777777" w:rsidR="0009675E" w:rsidRDefault="0009675E" w:rsidP="0009675E">
            <w:pPr>
              <w:pStyle w:val="Prosttext"/>
              <w:jc w:val="center"/>
              <w:rPr>
                <w:b/>
                <w:szCs w:val="20"/>
              </w:rPr>
            </w:pPr>
            <w:r>
              <w:rPr>
                <w:b/>
                <w:szCs w:val="20"/>
              </w:rPr>
              <w:t>Počet</w:t>
            </w:r>
          </w:p>
        </w:tc>
        <w:tc>
          <w:tcPr>
            <w:tcW w:w="103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3EEBA8" w14:textId="77777777" w:rsidR="0009675E" w:rsidRDefault="0009675E" w:rsidP="0009675E">
            <w:pPr>
              <w:pStyle w:val="Prosttext"/>
              <w:jc w:val="center"/>
              <w:rPr>
                <w:b/>
                <w:szCs w:val="20"/>
              </w:rPr>
            </w:pPr>
            <w:r>
              <w:rPr>
                <w:b/>
                <w:szCs w:val="20"/>
              </w:rPr>
              <w:t>Způsobilé výdaje</w:t>
            </w:r>
          </w:p>
          <w:p w14:paraId="5CE375FA" w14:textId="77777777" w:rsidR="0009675E" w:rsidRDefault="0009675E" w:rsidP="0009675E">
            <w:pPr>
              <w:pStyle w:val="Prosttext"/>
              <w:jc w:val="center"/>
              <w:rPr>
                <w:b/>
                <w:szCs w:val="20"/>
              </w:rPr>
            </w:pPr>
            <w:r>
              <w:rPr>
                <w:b/>
                <w:szCs w:val="20"/>
              </w:rPr>
              <w:t>(tis. EUR)</w:t>
            </w:r>
          </w:p>
        </w:tc>
        <w:tc>
          <w:tcPr>
            <w:tcW w:w="1049"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D31F1E2" w14:textId="77777777" w:rsidR="0009675E" w:rsidRDefault="0009675E" w:rsidP="0009675E">
            <w:pPr>
              <w:pStyle w:val="Prosttext"/>
              <w:jc w:val="center"/>
              <w:rPr>
                <w:b/>
                <w:szCs w:val="20"/>
              </w:rPr>
            </w:pPr>
            <w:r>
              <w:rPr>
                <w:b/>
                <w:szCs w:val="20"/>
              </w:rPr>
              <w:t>Příspěvek CEF</w:t>
            </w:r>
          </w:p>
          <w:p w14:paraId="20191A75" w14:textId="77777777" w:rsidR="0009675E" w:rsidRDefault="0009675E" w:rsidP="0009675E">
            <w:pPr>
              <w:pStyle w:val="Prosttext"/>
              <w:jc w:val="center"/>
              <w:rPr>
                <w:b/>
                <w:szCs w:val="20"/>
              </w:rPr>
            </w:pPr>
            <w:r>
              <w:rPr>
                <w:b/>
                <w:szCs w:val="20"/>
              </w:rPr>
              <w:t>(tis. EUR)</w:t>
            </w:r>
          </w:p>
        </w:tc>
      </w:tr>
      <w:tr w:rsidR="0009675E" w14:paraId="3EE2B5AA" w14:textId="77777777" w:rsidTr="004826DC">
        <w:tc>
          <w:tcPr>
            <w:tcW w:w="1679" w:type="dxa"/>
            <w:tcBorders>
              <w:top w:val="single" w:sz="4" w:space="0" w:color="auto"/>
              <w:left w:val="single" w:sz="4" w:space="0" w:color="auto"/>
              <w:bottom w:val="single" w:sz="4" w:space="0" w:color="auto"/>
              <w:right w:val="single" w:sz="4" w:space="0" w:color="auto"/>
            </w:tcBorders>
            <w:hideMark/>
          </w:tcPr>
          <w:p w14:paraId="186C1318" w14:textId="77777777" w:rsidR="0009675E" w:rsidRDefault="0009675E" w:rsidP="0009675E">
            <w:pPr>
              <w:pStyle w:val="Prosttext"/>
              <w:rPr>
                <w:b/>
                <w:sz w:val="22"/>
              </w:rPr>
            </w:pPr>
            <w:r>
              <w:rPr>
                <w:b/>
              </w:rPr>
              <w:t>Doprava</w:t>
            </w:r>
          </w:p>
        </w:tc>
        <w:tc>
          <w:tcPr>
            <w:tcW w:w="688" w:type="dxa"/>
            <w:tcBorders>
              <w:top w:val="single" w:sz="4" w:space="0" w:color="auto"/>
              <w:left w:val="single" w:sz="4" w:space="0" w:color="auto"/>
              <w:bottom w:val="single" w:sz="4" w:space="0" w:color="auto"/>
              <w:right w:val="single" w:sz="4" w:space="0" w:color="auto"/>
            </w:tcBorders>
          </w:tcPr>
          <w:p w14:paraId="0525397E" w14:textId="77777777" w:rsidR="0009675E" w:rsidRPr="00C91486" w:rsidRDefault="00761E47" w:rsidP="0009675E">
            <w:pPr>
              <w:pStyle w:val="Prosttext"/>
              <w:jc w:val="right"/>
              <w:rPr>
                <w:szCs w:val="20"/>
              </w:rPr>
            </w:pPr>
            <w:r w:rsidRPr="00C91486">
              <w:rPr>
                <w:szCs w:val="20"/>
              </w:rPr>
              <w:t>95</w:t>
            </w:r>
          </w:p>
        </w:tc>
        <w:tc>
          <w:tcPr>
            <w:tcW w:w="1031" w:type="dxa"/>
            <w:tcBorders>
              <w:top w:val="single" w:sz="4" w:space="0" w:color="auto"/>
              <w:left w:val="single" w:sz="4" w:space="0" w:color="auto"/>
              <w:bottom w:val="single" w:sz="4" w:space="0" w:color="auto"/>
              <w:right w:val="single" w:sz="4" w:space="0" w:color="auto"/>
            </w:tcBorders>
          </w:tcPr>
          <w:p w14:paraId="001B4BFA" w14:textId="77777777" w:rsidR="0009675E" w:rsidRPr="00C91486" w:rsidRDefault="00761E47" w:rsidP="0009675E">
            <w:pPr>
              <w:pStyle w:val="Prosttext"/>
              <w:jc w:val="right"/>
              <w:rPr>
                <w:szCs w:val="20"/>
              </w:rPr>
            </w:pPr>
            <w:r w:rsidRPr="00C91486">
              <w:rPr>
                <w:szCs w:val="20"/>
              </w:rPr>
              <w:t>4 223 720</w:t>
            </w:r>
          </w:p>
        </w:tc>
        <w:tc>
          <w:tcPr>
            <w:tcW w:w="1031" w:type="dxa"/>
            <w:tcBorders>
              <w:top w:val="single" w:sz="4" w:space="0" w:color="auto"/>
              <w:left w:val="single" w:sz="4" w:space="0" w:color="auto"/>
              <w:bottom w:val="single" w:sz="4" w:space="0" w:color="auto"/>
              <w:right w:val="single" w:sz="4" w:space="0" w:color="auto"/>
            </w:tcBorders>
          </w:tcPr>
          <w:p w14:paraId="323E67F3" w14:textId="77777777" w:rsidR="0009675E" w:rsidRPr="00C91486" w:rsidRDefault="00761E47" w:rsidP="0009675E">
            <w:pPr>
              <w:pStyle w:val="Prosttext"/>
              <w:jc w:val="right"/>
              <w:rPr>
                <w:szCs w:val="20"/>
              </w:rPr>
            </w:pPr>
            <w:r w:rsidRPr="00C91486">
              <w:rPr>
                <w:szCs w:val="20"/>
              </w:rPr>
              <w:t>3 295 068</w:t>
            </w:r>
          </w:p>
        </w:tc>
        <w:tc>
          <w:tcPr>
            <w:tcW w:w="689" w:type="dxa"/>
            <w:tcBorders>
              <w:top w:val="single" w:sz="4" w:space="0" w:color="auto"/>
              <w:left w:val="single" w:sz="4" w:space="0" w:color="auto"/>
              <w:bottom w:val="single" w:sz="4" w:space="0" w:color="auto"/>
              <w:right w:val="single" w:sz="4" w:space="0" w:color="auto"/>
            </w:tcBorders>
          </w:tcPr>
          <w:p w14:paraId="1F269C9D" w14:textId="77777777" w:rsidR="0009675E" w:rsidRPr="00C91486" w:rsidRDefault="00761E47" w:rsidP="0009675E">
            <w:pPr>
              <w:pStyle w:val="Prosttext"/>
              <w:jc w:val="right"/>
              <w:rPr>
                <w:szCs w:val="20"/>
              </w:rPr>
            </w:pPr>
            <w:r w:rsidRPr="00C91486">
              <w:rPr>
                <w:szCs w:val="20"/>
              </w:rPr>
              <w:t>59</w:t>
            </w:r>
          </w:p>
        </w:tc>
        <w:tc>
          <w:tcPr>
            <w:tcW w:w="1031" w:type="dxa"/>
            <w:tcBorders>
              <w:top w:val="single" w:sz="4" w:space="0" w:color="auto"/>
              <w:left w:val="single" w:sz="4" w:space="0" w:color="auto"/>
              <w:bottom w:val="single" w:sz="4" w:space="0" w:color="auto"/>
              <w:right w:val="single" w:sz="4" w:space="0" w:color="auto"/>
            </w:tcBorders>
          </w:tcPr>
          <w:p w14:paraId="2752F1E7" w14:textId="77777777" w:rsidR="0009675E" w:rsidRPr="00C91486" w:rsidRDefault="00761E47" w:rsidP="0009675E">
            <w:pPr>
              <w:pStyle w:val="Prosttext"/>
              <w:jc w:val="right"/>
              <w:rPr>
                <w:szCs w:val="20"/>
              </w:rPr>
            </w:pPr>
            <w:r w:rsidRPr="00C91486">
              <w:rPr>
                <w:szCs w:val="20"/>
              </w:rPr>
              <w:t>1 815 762</w:t>
            </w:r>
          </w:p>
        </w:tc>
        <w:tc>
          <w:tcPr>
            <w:tcW w:w="1031" w:type="dxa"/>
            <w:tcBorders>
              <w:top w:val="single" w:sz="4" w:space="0" w:color="auto"/>
              <w:left w:val="single" w:sz="4" w:space="0" w:color="auto"/>
              <w:bottom w:val="single" w:sz="4" w:space="0" w:color="auto"/>
              <w:right w:val="single" w:sz="4" w:space="0" w:color="auto"/>
            </w:tcBorders>
          </w:tcPr>
          <w:p w14:paraId="3416ED9B" w14:textId="77777777" w:rsidR="0009675E" w:rsidRPr="00C91486" w:rsidRDefault="00761E47" w:rsidP="0009675E">
            <w:pPr>
              <w:pStyle w:val="Prosttext"/>
              <w:jc w:val="right"/>
              <w:rPr>
                <w:szCs w:val="20"/>
              </w:rPr>
            </w:pPr>
            <w:r w:rsidRPr="00C91486">
              <w:rPr>
                <w:szCs w:val="20"/>
              </w:rPr>
              <w:t>1 347 495</w:t>
            </w:r>
          </w:p>
        </w:tc>
        <w:tc>
          <w:tcPr>
            <w:tcW w:w="689" w:type="dxa"/>
            <w:tcBorders>
              <w:top w:val="single" w:sz="4" w:space="0" w:color="auto"/>
              <w:left w:val="single" w:sz="4" w:space="0" w:color="auto"/>
              <w:bottom w:val="single" w:sz="4" w:space="0" w:color="auto"/>
              <w:right w:val="single" w:sz="4" w:space="0" w:color="auto"/>
            </w:tcBorders>
          </w:tcPr>
          <w:p w14:paraId="6EA6201C" w14:textId="77777777" w:rsidR="0009675E" w:rsidRPr="00C91486" w:rsidRDefault="00761E47" w:rsidP="0009675E">
            <w:pPr>
              <w:pStyle w:val="Prosttext"/>
              <w:jc w:val="right"/>
              <w:rPr>
                <w:szCs w:val="20"/>
              </w:rPr>
            </w:pPr>
            <w:r w:rsidRPr="00C91486">
              <w:rPr>
                <w:szCs w:val="20"/>
              </w:rPr>
              <w:t>52</w:t>
            </w:r>
          </w:p>
        </w:tc>
        <w:tc>
          <w:tcPr>
            <w:tcW w:w="1031" w:type="dxa"/>
            <w:tcBorders>
              <w:top w:val="single" w:sz="4" w:space="0" w:color="auto"/>
              <w:left w:val="single" w:sz="4" w:space="0" w:color="auto"/>
              <w:bottom w:val="single" w:sz="4" w:space="0" w:color="auto"/>
              <w:right w:val="single" w:sz="4" w:space="0" w:color="auto"/>
            </w:tcBorders>
          </w:tcPr>
          <w:p w14:paraId="762AB2FA" w14:textId="77777777" w:rsidR="0009675E" w:rsidRPr="00C91486" w:rsidRDefault="00761E47" w:rsidP="0009675E">
            <w:pPr>
              <w:pStyle w:val="Prosttext"/>
              <w:jc w:val="right"/>
              <w:rPr>
                <w:szCs w:val="20"/>
              </w:rPr>
            </w:pPr>
            <w:r w:rsidRPr="00C91486">
              <w:rPr>
                <w:szCs w:val="20"/>
              </w:rPr>
              <w:t>1 551 412</w:t>
            </w:r>
          </w:p>
        </w:tc>
        <w:tc>
          <w:tcPr>
            <w:tcW w:w="1031" w:type="dxa"/>
            <w:tcBorders>
              <w:top w:val="single" w:sz="4" w:space="0" w:color="auto"/>
              <w:left w:val="single" w:sz="4" w:space="0" w:color="auto"/>
              <w:bottom w:val="single" w:sz="4" w:space="0" w:color="auto"/>
              <w:right w:val="single" w:sz="4" w:space="0" w:color="auto"/>
            </w:tcBorders>
          </w:tcPr>
          <w:p w14:paraId="5F2114BC" w14:textId="77777777" w:rsidR="0009675E" w:rsidRPr="00C91486" w:rsidRDefault="00761E47" w:rsidP="0009675E">
            <w:pPr>
              <w:pStyle w:val="Prosttext"/>
              <w:jc w:val="right"/>
              <w:rPr>
                <w:szCs w:val="20"/>
              </w:rPr>
            </w:pPr>
            <w:r w:rsidRPr="00C91486">
              <w:rPr>
                <w:szCs w:val="20"/>
              </w:rPr>
              <w:t>1 126 873</w:t>
            </w:r>
          </w:p>
        </w:tc>
        <w:tc>
          <w:tcPr>
            <w:tcW w:w="689" w:type="dxa"/>
            <w:tcBorders>
              <w:top w:val="single" w:sz="4" w:space="0" w:color="auto"/>
              <w:left w:val="single" w:sz="4" w:space="0" w:color="auto"/>
              <w:bottom w:val="single" w:sz="4" w:space="0" w:color="auto"/>
              <w:right w:val="single" w:sz="4" w:space="0" w:color="auto"/>
            </w:tcBorders>
          </w:tcPr>
          <w:p w14:paraId="13254A24" w14:textId="77777777" w:rsidR="0009675E" w:rsidRPr="00C91486" w:rsidRDefault="00761E47" w:rsidP="0009675E">
            <w:pPr>
              <w:pStyle w:val="Prosttext"/>
              <w:jc w:val="right"/>
              <w:rPr>
                <w:szCs w:val="20"/>
              </w:rPr>
            </w:pPr>
            <w:r w:rsidRPr="00C91486">
              <w:rPr>
                <w:szCs w:val="20"/>
              </w:rPr>
              <w:t>4</w:t>
            </w:r>
          </w:p>
        </w:tc>
        <w:tc>
          <w:tcPr>
            <w:tcW w:w="1031" w:type="dxa"/>
            <w:tcBorders>
              <w:top w:val="single" w:sz="4" w:space="0" w:color="auto"/>
              <w:left w:val="single" w:sz="4" w:space="0" w:color="auto"/>
              <w:bottom w:val="single" w:sz="4" w:space="0" w:color="auto"/>
              <w:right w:val="single" w:sz="4" w:space="0" w:color="auto"/>
            </w:tcBorders>
          </w:tcPr>
          <w:p w14:paraId="1899F264" w14:textId="77777777" w:rsidR="0009675E" w:rsidRPr="00C91486" w:rsidRDefault="00761E47" w:rsidP="0009675E">
            <w:pPr>
              <w:pStyle w:val="Prosttext"/>
              <w:jc w:val="right"/>
              <w:rPr>
                <w:szCs w:val="20"/>
              </w:rPr>
            </w:pPr>
            <w:r w:rsidRPr="00C91486">
              <w:rPr>
                <w:szCs w:val="20"/>
              </w:rPr>
              <w:t>22 808</w:t>
            </w:r>
          </w:p>
        </w:tc>
        <w:tc>
          <w:tcPr>
            <w:tcW w:w="1031" w:type="dxa"/>
            <w:tcBorders>
              <w:top w:val="single" w:sz="4" w:space="0" w:color="auto"/>
              <w:left w:val="single" w:sz="4" w:space="0" w:color="auto"/>
              <w:bottom w:val="single" w:sz="4" w:space="0" w:color="auto"/>
              <w:right w:val="single" w:sz="4" w:space="0" w:color="auto"/>
            </w:tcBorders>
          </w:tcPr>
          <w:p w14:paraId="64F4995A" w14:textId="77777777" w:rsidR="0009675E" w:rsidRPr="00C91486" w:rsidRDefault="00761E47" w:rsidP="0009675E">
            <w:pPr>
              <w:pStyle w:val="Prosttext"/>
              <w:jc w:val="right"/>
              <w:rPr>
                <w:szCs w:val="20"/>
              </w:rPr>
            </w:pPr>
            <w:r w:rsidRPr="00C91486">
              <w:rPr>
                <w:szCs w:val="20"/>
              </w:rPr>
              <w:t>18 576</w:t>
            </w:r>
          </w:p>
        </w:tc>
        <w:tc>
          <w:tcPr>
            <w:tcW w:w="689" w:type="dxa"/>
            <w:tcBorders>
              <w:top w:val="single" w:sz="4" w:space="0" w:color="auto"/>
              <w:left w:val="single" w:sz="4" w:space="0" w:color="auto"/>
              <w:bottom w:val="single" w:sz="4" w:space="0" w:color="auto"/>
              <w:right w:val="single" w:sz="4" w:space="0" w:color="auto"/>
            </w:tcBorders>
          </w:tcPr>
          <w:p w14:paraId="16AC0649" w14:textId="77777777" w:rsidR="0009675E" w:rsidRPr="00C91486" w:rsidRDefault="004D3BA5" w:rsidP="0009675E">
            <w:pPr>
              <w:pStyle w:val="Prosttext"/>
              <w:jc w:val="right"/>
              <w:rPr>
                <w:szCs w:val="20"/>
              </w:rPr>
            </w:pPr>
            <w:r>
              <w:rPr>
                <w:szCs w:val="20"/>
              </w:rPr>
              <w:t>3</w:t>
            </w:r>
          </w:p>
        </w:tc>
        <w:tc>
          <w:tcPr>
            <w:tcW w:w="1031" w:type="dxa"/>
            <w:tcBorders>
              <w:top w:val="single" w:sz="4" w:space="0" w:color="auto"/>
              <w:left w:val="single" w:sz="4" w:space="0" w:color="auto"/>
              <w:bottom w:val="single" w:sz="4" w:space="0" w:color="auto"/>
              <w:right w:val="single" w:sz="4" w:space="0" w:color="auto"/>
            </w:tcBorders>
          </w:tcPr>
          <w:p w14:paraId="6079EA45" w14:textId="77777777" w:rsidR="0009675E" w:rsidRPr="00C91486" w:rsidRDefault="00761E47" w:rsidP="0009675E">
            <w:pPr>
              <w:pStyle w:val="Prosttext"/>
              <w:jc w:val="right"/>
              <w:rPr>
                <w:szCs w:val="20"/>
              </w:rPr>
            </w:pPr>
            <w:r w:rsidRPr="00C91486">
              <w:rPr>
                <w:szCs w:val="20"/>
              </w:rPr>
              <w:t>7 215</w:t>
            </w:r>
          </w:p>
        </w:tc>
        <w:tc>
          <w:tcPr>
            <w:tcW w:w="1049" w:type="dxa"/>
            <w:tcBorders>
              <w:top w:val="single" w:sz="4" w:space="0" w:color="auto"/>
              <w:left w:val="single" w:sz="4" w:space="0" w:color="auto"/>
              <w:bottom w:val="single" w:sz="4" w:space="0" w:color="auto"/>
              <w:right w:val="single" w:sz="4" w:space="0" w:color="auto"/>
            </w:tcBorders>
          </w:tcPr>
          <w:p w14:paraId="401D4B68" w14:textId="77777777" w:rsidR="0009675E" w:rsidRPr="00C91486" w:rsidRDefault="00761E47" w:rsidP="0009675E">
            <w:pPr>
              <w:pStyle w:val="Prosttext"/>
              <w:jc w:val="right"/>
              <w:rPr>
                <w:szCs w:val="20"/>
              </w:rPr>
            </w:pPr>
            <w:r w:rsidRPr="00C91486">
              <w:rPr>
                <w:szCs w:val="20"/>
              </w:rPr>
              <w:t>6 133</w:t>
            </w:r>
          </w:p>
        </w:tc>
      </w:tr>
      <w:tr w:rsidR="0009675E" w14:paraId="298496B3" w14:textId="77777777" w:rsidTr="004826DC">
        <w:tc>
          <w:tcPr>
            <w:tcW w:w="1679" w:type="dxa"/>
            <w:tcBorders>
              <w:top w:val="single" w:sz="4" w:space="0" w:color="auto"/>
              <w:left w:val="single" w:sz="4" w:space="0" w:color="auto"/>
              <w:bottom w:val="single" w:sz="4" w:space="0" w:color="auto"/>
              <w:right w:val="single" w:sz="4" w:space="0" w:color="auto"/>
            </w:tcBorders>
          </w:tcPr>
          <w:p w14:paraId="1A600F48" w14:textId="77777777" w:rsidR="0009675E" w:rsidRDefault="0009675E" w:rsidP="0009675E">
            <w:pPr>
              <w:pStyle w:val="Prosttext"/>
              <w:jc w:val="right"/>
              <w:rPr>
                <w:b/>
              </w:rPr>
            </w:pPr>
            <w:r>
              <w:t>- kohezní obálka</w:t>
            </w:r>
          </w:p>
        </w:tc>
        <w:tc>
          <w:tcPr>
            <w:tcW w:w="688" w:type="dxa"/>
            <w:tcBorders>
              <w:top w:val="single" w:sz="4" w:space="0" w:color="auto"/>
              <w:left w:val="single" w:sz="4" w:space="0" w:color="auto"/>
              <w:bottom w:val="single" w:sz="4" w:space="0" w:color="auto"/>
              <w:right w:val="single" w:sz="4" w:space="0" w:color="auto"/>
            </w:tcBorders>
          </w:tcPr>
          <w:p w14:paraId="7236EC6F" w14:textId="77777777" w:rsidR="0009675E" w:rsidRPr="00C91486" w:rsidRDefault="0009675E" w:rsidP="0009675E">
            <w:pPr>
              <w:pStyle w:val="Prosttext"/>
              <w:jc w:val="right"/>
              <w:rPr>
                <w:szCs w:val="20"/>
              </w:rPr>
            </w:pPr>
            <w:r w:rsidRPr="00C91486">
              <w:rPr>
                <w:szCs w:val="20"/>
              </w:rPr>
              <w:t>81</w:t>
            </w:r>
          </w:p>
        </w:tc>
        <w:tc>
          <w:tcPr>
            <w:tcW w:w="1031" w:type="dxa"/>
            <w:tcBorders>
              <w:top w:val="single" w:sz="4" w:space="0" w:color="auto"/>
              <w:left w:val="single" w:sz="4" w:space="0" w:color="auto"/>
              <w:bottom w:val="single" w:sz="4" w:space="0" w:color="auto"/>
              <w:right w:val="single" w:sz="4" w:space="0" w:color="auto"/>
            </w:tcBorders>
          </w:tcPr>
          <w:p w14:paraId="40194FC4" w14:textId="77777777" w:rsidR="0009675E" w:rsidRPr="00C91486" w:rsidRDefault="0009675E" w:rsidP="0009675E">
            <w:pPr>
              <w:pStyle w:val="Prosttext"/>
              <w:jc w:val="right"/>
              <w:rPr>
                <w:szCs w:val="20"/>
              </w:rPr>
            </w:pPr>
            <w:r w:rsidRPr="00C91486">
              <w:rPr>
                <w:szCs w:val="20"/>
              </w:rPr>
              <w:t>3 926 481</w:t>
            </w:r>
          </w:p>
        </w:tc>
        <w:tc>
          <w:tcPr>
            <w:tcW w:w="1031" w:type="dxa"/>
            <w:tcBorders>
              <w:top w:val="single" w:sz="4" w:space="0" w:color="auto"/>
              <w:left w:val="single" w:sz="4" w:space="0" w:color="auto"/>
              <w:bottom w:val="single" w:sz="4" w:space="0" w:color="auto"/>
              <w:right w:val="single" w:sz="4" w:space="0" w:color="auto"/>
            </w:tcBorders>
          </w:tcPr>
          <w:p w14:paraId="2615EC58" w14:textId="77777777" w:rsidR="0009675E" w:rsidRPr="00C91486" w:rsidRDefault="0009675E" w:rsidP="0009675E">
            <w:pPr>
              <w:pStyle w:val="Prosttext"/>
              <w:jc w:val="right"/>
              <w:rPr>
                <w:szCs w:val="20"/>
              </w:rPr>
            </w:pPr>
            <w:r w:rsidRPr="00C91486">
              <w:rPr>
                <w:szCs w:val="20"/>
              </w:rPr>
              <w:t>3 224 522</w:t>
            </w:r>
          </w:p>
        </w:tc>
        <w:tc>
          <w:tcPr>
            <w:tcW w:w="689" w:type="dxa"/>
            <w:tcBorders>
              <w:top w:val="single" w:sz="4" w:space="0" w:color="auto"/>
              <w:left w:val="single" w:sz="4" w:space="0" w:color="auto"/>
              <w:bottom w:val="single" w:sz="4" w:space="0" w:color="auto"/>
              <w:right w:val="single" w:sz="4" w:space="0" w:color="auto"/>
            </w:tcBorders>
          </w:tcPr>
          <w:p w14:paraId="3218B327" w14:textId="77777777" w:rsidR="0009675E" w:rsidRPr="00C91486" w:rsidRDefault="005B3784" w:rsidP="0009675E">
            <w:pPr>
              <w:pStyle w:val="Prosttext"/>
              <w:jc w:val="right"/>
              <w:rPr>
                <w:szCs w:val="20"/>
              </w:rPr>
            </w:pPr>
            <w:r w:rsidRPr="00C91486">
              <w:rPr>
                <w:szCs w:val="20"/>
              </w:rPr>
              <w:t>50</w:t>
            </w:r>
          </w:p>
        </w:tc>
        <w:tc>
          <w:tcPr>
            <w:tcW w:w="1031" w:type="dxa"/>
            <w:tcBorders>
              <w:top w:val="single" w:sz="4" w:space="0" w:color="auto"/>
              <w:left w:val="single" w:sz="4" w:space="0" w:color="auto"/>
              <w:bottom w:val="single" w:sz="4" w:space="0" w:color="auto"/>
              <w:right w:val="single" w:sz="4" w:space="0" w:color="auto"/>
            </w:tcBorders>
          </w:tcPr>
          <w:p w14:paraId="789DA812" w14:textId="77777777" w:rsidR="0009675E" w:rsidRPr="00C91486" w:rsidRDefault="005B3784" w:rsidP="0009675E">
            <w:pPr>
              <w:pStyle w:val="Prosttext"/>
              <w:jc w:val="right"/>
              <w:rPr>
                <w:szCs w:val="20"/>
              </w:rPr>
            </w:pPr>
            <w:r w:rsidRPr="00C91486">
              <w:rPr>
                <w:szCs w:val="20"/>
              </w:rPr>
              <w:t>1 592 157</w:t>
            </w:r>
          </w:p>
        </w:tc>
        <w:tc>
          <w:tcPr>
            <w:tcW w:w="1031" w:type="dxa"/>
            <w:tcBorders>
              <w:top w:val="single" w:sz="4" w:space="0" w:color="auto"/>
              <w:left w:val="single" w:sz="4" w:space="0" w:color="auto"/>
              <w:bottom w:val="single" w:sz="4" w:space="0" w:color="auto"/>
              <w:right w:val="single" w:sz="4" w:space="0" w:color="auto"/>
            </w:tcBorders>
          </w:tcPr>
          <w:p w14:paraId="5345B0A0" w14:textId="77777777" w:rsidR="0009675E" w:rsidRPr="00C91486" w:rsidRDefault="005B3784" w:rsidP="0009675E">
            <w:pPr>
              <w:pStyle w:val="Prosttext"/>
              <w:jc w:val="right"/>
              <w:rPr>
                <w:szCs w:val="20"/>
              </w:rPr>
            </w:pPr>
            <w:r w:rsidRPr="00C91486">
              <w:rPr>
                <w:szCs w:val="20"/>
              </w:rPr>
              <w:t>1 299 704</w:t>
            </w:r>
          </w:p>
        </w:tc>
        <w:tc>
          <w:tcPr>
            <w:tcW w:w="689" w:type="dxa"/>
            <w:tcBorders>
              <w:top w:val="single" w:sz="4" w:space="0" w:color="auto"/>
              <w:left w:val="single" w:sz="4" w:space="0" w:color="auto"/>
              <w:bottom w:val="single" w:sz="4" w:space="0" w:color="auto"/>
              <w:right w:val="single" w:sz="4" w:space="0" w:color="auto"/>
            </w:tcBorders>
          </w:tcPr>
          <w:p w14:paraId="3395CE28" w14:textId="77777777" w:rsidR="0009675E" w:rsidRPr="00C91486" w:rsidRDefault="005B3784" w:rsidP="005D70F7">
            <w:pPr>
              <w:pStyle w:val="Prosttext"/>
              <w:jc w:val="right"/>
              <w:rPr>
                <w:szCs w:val="20"/>
              </w:rPr>
            </w:pPr>
            <w:r w:rsidRPr="00C91486">
              <w:rPr>
                <w:szCs w:val="20"/>
              </w:rPr>
              <w:t>4</w:t>
            </w:r>
            <w:r w:rsidR="005D70F7" w:rsidRPr="00C91486">
              <w:rPr>
                <w:szCs w:val="20"/>
              </w:rPr>
              <w:t>5</w:t>
            </w:r>
          </w:p>
        </w:tc>
        <w:tc>
          <w:tcPr>
            <w:tcW w:w="1031" w:type="dxa"/>
            <w:tcBorders>
              <w:top w:val="single" w:sz="4" w:space="0" w:color="auto"/>
              <w:left w:val="single" w:sz="4" w:space="0" w:color="auto"/>
              <w:bottom w:val="single" w:sz="4" w:space="0" w:color="auto"/>
              <w:right w:val="single" w:sz="4" w:space="0" w:color="auto"/>
            </w:tcBorders>
          </w:tcPr>
          <w:p w14:paraId="15129AD1" w14:textId="77777777" w:rsidR="0009675E" w:rsidRPr="00C91486" w:rsidRDefault="005D70F7" w:rsidP="005D70F7">
            <w:pPr>
              <w:pStyle w:val="Prosttext"/>
              <w:jc w:val="right"/>
              <w:rPr>
                <w:szCs w:val="20"/>
              </w:rPr>
            </w:pPr>
            <w:r w:rsidRPr="00C91486">
              <w:rPr>
                <w:szCs w:val="20"/>
              </w:rPr>
              <w:t>1 329 098</w:t>
            </w:r>
          </w:p>
        </w:tc>
        <w:tc>
          <w:tcPr>
            <w:tcW w:w="1031" w:type="dxa"/>
            <w:tcBorders>
              <w:top w:val="single" w:sz="4" w:space="0" w:color="auto"/>
              <w:left w:val="single" w:sz="4" w:space="0" w:color="auto"/>
              <w:bottom w:val="single" w:sz="4" w:space="0" w:color="auto"/>
              <w:right w:val="single" w:sz="4" w:space="0" w:color="auto"/>
            </w:tcBorders>
          </w:tcPr>
          <w:p w14:paraId="05CA05F1" w14:textId="77777777" w:rsidR="0009675E" w:rsidRPr="00C91486" w:rsidRDefault="005D70F7" w:rsidP="0009675E">
            <w:pPr>
              <w:pStyle w:val="Prosttext"/>
              <w:jc w:val="right"/>
              <w:rPr>
                <w:szCs w:val="20"/>
              </w:rPr>
            </w:pPr>
            <w:r w:rsidRPr="00C91486">
              <w:rPr>
                <w:szCs w:val="20"/>
              </w:rPr>
              <w:t>1 079 727</w:t>
            </w:r>
          </w:p>
        </w:tc>
        <w:tc>
          <w:tcPr>
            <w:tcW w:w="689" w:type="dxa"/>
            <w:tcBorders>
              <w:top w:val="single" w:sz="4" w:space="0" w:color="auto"/>
              <w:left w:val="single" w:sz="4" w:space="0" w:color="auto"/>
              <w:bottom w:val="single" w:sz="4" w:space="0" w:color="auto"/>
              <w:right w:val="single" w:sz="4" w:space="0" w:color="auto"/>
            </w:tcBorders>
          </w:tcPr>
          <w:p w14:paraId="3252A300" w14:textId="77777777" w:rsidR="0009675E" w:rsidRPr="00C91486" w:rsidRDefault="009774F9" w:rsidP="0009675E">
            <w:pPr>
              <w:pStyle w:val="Prosttext"/>
              <w:jc w:val="right"/>
              <w:rPr>
                <w:szCs w:val="20"/>
              </w:rPr>
            </w:pPr>
            <w:r w:rsidRPr="00C91486">
              <w:rPr>
                <w:szCs w:val="20"/>
              </w:rPr>
              <w:t>2</w:t>
            </w:r>
          </w:p>
        </w:tc>
        <w:tc>
          <w:tcPr>
            <w:tcW w:w="1031" w:type="dxa"/>
            <w:tcBorders>
              <w:top w:val="single" w:sz="4" w:space="0" w:color="auto"/>
              <w:left w:val="single" w:sz="4" w:space="0" w:color="auto"/>
              <w:bottom w:val="single" w:sz="4" w:space="0" w:color="auto"/>
              <w:right w:val="single" w:sz="4" w:space="0" w:color="auto"/>
            </w:tcBorders>
          </w:tcPr>
          <w:p w14:paraId="27441689" w14:textId="77777777" w:rsidR="0009675E" w:rsidRPr="00C91486" w:rsidRDefault="009774F9" w:rsidP="0009675E">
            <w:pPr>
              <w:pStyle w:val="Prosttext"/>
              <w:jc w:val="right"/>
              <w:rPr>
                <w:szCs w:val="20"/>
              </w:rPr>
            </w:pPr>
            <w:r w:rsidRPr="00C91486">
              <w:rPr>
                <w:szCs w:val="20"/>
              </w:rPr>
              <w:t>21 647</w:t>
            </w:r>
          </w:p>
        </w:tc>
        <w:tc>
          <w:tcPr>
            <w:tcW w:w="1031" w:type="dxa"/>
            <w:tcBorders>
              <w:top w:val="single" w:sz="4" w:space="0" w:color="auto"/>
              <w:left w:val="single" w:sz="4" w:space="0" w:color="auto"/>
              <w:bottom w:val="single" w:sz="4" w:space="0" w:color="auto"/>
              <w:right w:val="single" w:sz="4" w:space="0" w:color="auto"/>
            </w:tcBorders>
          </w:tcPr>
          <w:p w14:paraId="7A214FF2" w14:textId="77777777" w:rsidR="0009675E" w:rsidRPr="00C91486" w:rsidRDefault="009774F9" w:rsidP="0009675E">
            <w:pPr>
              <w:pStyle w:val="Prosttext"/>
              <w:jc w:val="right"/>
              <w:rPr>
                <w:szCs w:val="20"/>
              </w:rPr>
            </w:pPr>
            <w:r w:rsidRPr="00C91486">
              <w:rPr>
                <w:szCs w:val="20"/>
              </w:rPr>
              <w:t>17 996</w:t>
            </w:r>
          </w:p>
        </w:tc>
        <w:tc>
          <w:tcPr>
            <w:tcW w:w="689" w:type="dxa"/>
            <w:tcBorders>
              <w:top w:val="single" w:sz="4" w:space="0" w:color="auto"/>
              <w:left w:val="single" w:sz="4" w:space="0" w:color="auto"/>
              <w:bottom w:val="single" w:sz="4" w:space="0" w:color="auto"/>
              <w:right w:val="single" w:sz="4" w:space="0" w:color="auto"/>
            </w:tcBorders>
          </w:tcPr>
          <w:p w14:paraId="6B04F05F" w14:textId="77777777" w:rsidR="0009675E" w:rsidRPr="00C91486" w:rsidRDefault="009774F9" w:rsidP="0009675E">
            <w:pPr>
              <w:pStyle w:val="Prosttext"/>
              <w:jc w:val="right"/>
              <w:rPr>
                <w:szCs w:val="20"/>
              </w:rPr>
            </w:pPr>
            <w:r w:rsidRPr="00C91486">
              <w:rPr>
                <w:szCs w:val="20"/>
              </w:rPr>
              <w:t>3</w:t>
            </w:r>
          </w:p>
        </w:tc>
        <w:tc>
          <w:tcPr>
            <w:tcW w:w="1031" w:type="dxa"/>
            <w:tcBorders>
              <w:top w:val="single" w:sz="4" w:space="0" w:color="auto"/>
              <w:left w:val="single" w:sz="4" w:space="0" w:color="auto"/>
              <w:bottom w:val="single" w:sz="4" w:space="0" w:color="auto"/>
              <w:right w:val="single" w:sz="4" w:space="0" w:color="auto"/>
            </w:tcBorders>
          </w:tcPr>
          <w:p w14:paraId="37865749" w14:textId="77777777" w:rsidR="0009675E" w:rsidRPr="00C91486" w:rsidRDefault="009774F9" w:rsidP="0009675E">
            <w:pPr>
              <w:pStyle w:val="Prosttext"/>
              <w:jc w:val="right"/>
              <w:rPr>
                <w:szCs w:val="20"/>
              </w:rPr>
            </w:pPr>
            <w:r w:rsidRPr="00C91486">
              <w:rPr>
                <w:szCs w:val="20"/>
              </w:rPr>
              <w:t>7 215</w:t>
            </w:r>
          </w:p>
        </w:tc>
        <w:tc>
          <w:tcPr>
            <w:tcW w:w="1049" w:type="dxa"/>
            <w:tcBorders>
              <w:top w:val="single" w:sz="4" w:space="0" w:color="auto"/>
              <w:left w:val="single" w:sz="4" w:space="0" w:color="auto"/>
              <w:bottom w:val="single" w:sz="4" w:space="0" w:color="auto"/>
              <w:right w:val="single" w:sz="4" w:space="0" w:color="auto"/>
            </w:tcBorders>
          </w:tcPr>
          <w:p w14:paraId="37CF5F37" w14:textId="77777777" w:rsidR="0009675E" w:rsidRPr="00C91486" w:rsidRDefault="009774F9" w:rsidP="0009675E">
            <w:pPr>
              <w:pStyle w:val="Prosttext"/>
              <w:jc w:val="right"/>
              <w:rPr>
                <w:szCs w:val="20"/>
              </w:rPr>
            </w:pPr>
            <w:r w:rsidRPr="00C91486">
              <w:rPr>
                <w:szCs w:val="20"/>
              </w:rPr>
              <w:t>6 133</w:t>
            </w:r>
          </w:p>
        </w:tc>
      </w:tr>
      <w:tr w:rsidR="0009675E" w14:paraId="71F86E17" w14:textId="77777777" w:rsidTr="004826DC">
        <w:tc>
          <w:tcPr>
            <w:tcW w:w="1679" w:type="dxa"/>
            <w:tcBorders>
              <w:top w:val="single" w:sz="4" w:space="0" w:color="auto"/>
              <w:left w:val="single" w:sz="4" w:space="0" w:color="auto"/>
              <w:bottom w:val="single" w:sz="4" w:space="0" w:color="auto"/>
              <w:right w:val="single" w:sz="4" w:space="0" w:color="auto"/>
            </w:tcBorders>
          </w:tcPr>
          <w:p w14:paraId="5E962313" w14:textId="77777777" w:rsidR="0009675E" w:rsidRDefault="0009675E" w:rsidP="0009675E">
            <w:pPr>
              <w:pStyle w:val="Prosttext"/>
              <w:jc w:val="right"/>
              <w:rPr>
                <w:b/>
              </w:rPr>
            </w:pPr>
            <w:r>
              <w:t>- obecná obálka</w:t>
            </w:r>
          </w:p>
        </w:tc>
        <w:tc>
          <w:tcPr>
            <w:tcW w:w="688" w:type="dxa"/>
            <w:tcBorders>
              <w:top w:val="single" w:sz="4" w:space="0" w:color="auto"/>
              <w:left w:val="single" w:sz="4" w:space="0" w:color="auto"/>
              <w:bottom w:val="single" w:sz="4" w:space="0" w:color="auto"/>
              <w:right w:val="single" w:sz="4" w:space="0" w:color="auto"/>
            </w:tcBorders>
          </w:tcPr>
          <w:p w14:paraId="40CC65C5" w14:textId="77777777" w:rsidR="0009675E" w:rsidRPr="00C91486" w:rsidRDefault="0009675E" w:rsidP="0009675E">
            <w:pPr>
              <w:pStyle w:val="Prosttext"/>
              <w:jc w:val="right"/>
              <w:rPr>
                <w:szCs w:val="20"/>
              </w:rPr>
            </w:pPr>
            <w:r w:rsidRPr="00C91486">
              <w:rPr>
                <w:szCs w:val="20"/>
              </w:rPr>
              <w:t>14</w:t>
            </w:r>
          </w:p>
        </w:tc>
        <w:tc>
          <w:tcPr>
            <w:tcW w:w="1031" w:type="dxa"/>
            <w:tcBorders>
              <w:top w:val="single" w:sz="4" w:space="0" w:color="auto"/>
              <w:left w:val="single" w:sz="4" w:space="0" w:color="auto"/>
              <w:bottom w:val="single" w:sz="4" w:space="0" w:color="auto"/>
              <w:right w:val="single" w:sz="4" w:space="0" w:color="auto"/>
            </w:tcBorders>
          </w:tcPr>
          <w:p w14:paraId="7C69168C" w14:textId="77777777" w:rsidR="0009675E" w:rsidRPr="00C91486" w:rsidRDefault="0009675E" w:rsidP="0009675E">
            <w:pPr>
              <w:pStyle w:val="Prosttext"/>
              <w:jc w:val="right"/>
              <w:rPr>
                <w:szCs w:val="20"/>
              </w:rPr>
            </w:pPr>
            <w:r w:rsidRPr="00C91486">
              <w:rPr>
                <w:szCs w:val="20"/>
              </w:rPr>
              <w:t>297 239</w:t>
            </w:r>
          </w:p>
        </w:tc>
        <w:tc>
          <w:tcPr>
            <w:tcW w:w="1031" w:type="dxa"/>
            <w:tcBorders>
              <w:top w:val="single" w:sz="4" w:space="0" w:color="auto"/>
              <w:left w:val="single" w:sz="4" w:space="0" w:color="auto"/>
              <w:bottom w:val="single" w:sz="4" w:space="0" w:color="auto"/>
              <w:right w:val="single" w:sz="4" w:space="0" w:color="auto"/>
            </w:tcBorders>
          </w:tcPr>
          <w:p w14:paraId="6692ECD9" w14:textId="77777777" w:rsidR="0009675E" w:rsidRPr="00C91486" w:rsidRDefault="0009675E" w:rsidP="0009675E">
            <w:pPr>
              <w:pStyle w:val="Prosttext"/>
              <w:jc w:val="right"/>
              <w:rPr>
                <w:szCs w:val="20"/>
              </w:rPr>
            </w:pPr>
            <w:r w:rsidRPr="00C91486">
              <w:rPr>
                <w:szCs w:val="20"/>
              </w:rPr>
              <w:t>70 546</w:t>
            </w:r>
          </w:p>
        </w:tc>
        <w:tc>
          <w:tcPr>
            <w:tcW w:w="689" w:type="dxa"/>
            <w:tcBorders>
              <w:top w:val="single" w:sz="4" w:space="0" w:color="auto"/>
              <w:left w:val="single" w:sz="4" w:space="0" w:color="auto"/>
              <w:bottom w:val="single" w:sz="4" w:space="0" w:color="auto"/>
              <w:right w:val="single" w:sz="4" w:space="0" w:color="auto"/>
            </w:tcBorders>
          </w:tcPr>
          <w:p w14:paraId="2D952191" w14:textId="77777777" w:rsidR="0009675E" w:rsidRPr="00C91486" w:rsidRDefault="005B3784" w:rsidP="0009675E">
            <w:pPr>
              <w:pStyle w:val="Prosttext"/>
              <w:jc w:val="right"/>
              <w:rPr>
                <w:szCs w:val="20"/>
              </w:rPr>
            </w:pPr>
            <w:r w:rsidRPr="00C91486">
              <w:rPr>
                <w:szCs w:val="20"/>
              </w:rPr>
              <w:t>9</w:t>
            </w:r>
          </w:p>
        </w:tc>
        <w:tc>
          <w:tcPr>
            <w:tcW w:w="1031" w:type="dxa"/>
            <w:tcBorders>
              <w:top w:val="single" w:sz="4" w:space="0" w:color="auto"/>
              <w:left w:val="single" w:sz="4" w:space="0" w:color="auto"/>
              <w:bottom w:val="single" w:sz="4" w:space="0" w:color="auto"/>
              <w:right w:val="single" w:sz="4" w:space="0" w:color="auto"/>
            </w:tcBorders>
          </w:tcPr>
          <w:p w14:paraId="4D357E42" w14:textId="77777777" w:rsidR="0009675E" w:rsidRPr="00C91486" w:rsidRDefault="005B3784" w:rsidP="0009675E">
            <w:pPr>
              <w:pStyle w:val="Prosttext"/>
              <w:jc w:val="right"/>
              <w:rPr>
                <w:szCs w:val="20"/>
              </w:rPr>
            </w:pPr>
            <w:r w:rsidRPr="00C91486">
              <w:rPr>
                <w:szCs w:val="20"/>
              </w:rPr>
              <w:t>223 605</w:t>
            </w:r>
          </w:p>
        </w:tc>
        <w:tc>
          <w:tcPr>
            <w:tcW w:w="1031" w:type="dxa"/>
            <w:tcBorders>
              <w:top w:val="single" w:sz="4" w:space="0" w:color="auto"/>
              <w:left w:val="single" w:sz="4" w:space="0" w:color="auto"/>
              <w:bottom w:val="single" w:sz="4" w:space="0" w:color="auto"/>
              <w:right w:val="single" w:sz="4" w:space="0" w:color="auto"/>
            </w:tcBorders>
          </w:tcPr>
          <w:p w14:paraId="183987DD" w14:textId="77777777" w:rsidR="0009675E" w:rsidRPr="00C91486" w:rsidRDefault="005B3784" w:rsidP="0009675E">
            <w:pPr>
              <w:pStyle w:val="Prosttext"/>
              <w:jc w:val="right"/>
              <w:rPr>
                <w:szCs w:val="20"/>
              </w:rPr>
            </w:pPr>
            <w:r w:rsidRPr="00C91486">
              <w:rPr>
                <w:szCs w:val="20"/>
              </w:rPr>
              <w:t>47 791</w:t>
            </w:r>
          </w:p>
        </w:tc>
        <w:tc>
          <w:tcPr>
            <w:tcW w:w="689" w:type="dxa"/>
            <w:tcBorders>
              <w:top w:val="single" w:sz="4" w:space="0" w:color="auto"/>
              <w:left w:val="single" w:sz="4" w:space="0" w:color="auto"/>
              <w:bottom w:val="single" w:sz="4" w:space="0" w:color="auto"/>
              <w:right w:val="single" w:sz="4" w:space="0" w:color="auto"/>
            </w:tcBorders>
          </w:tcPr>
          <w:p w14:paraId="721DF39C" w14:textId="77777777" w:rsidR="0009675E" w:rsidRPr="00C91486" w:rsidRDefault="005D70F7" w:rsidP="0009675E">
            <w:pPr>
              <w:pStyle w:val="Prosttext"/>
              <w:jc w:val="right"/>
              <w:rPr>
                <w:szCs w:val="20"/>
              </w:rPr>
            </w:pPr>
            <w:r w:rsidRPr="00C91486">
              <w:rPr>
                <w:szCs w:val="20"/>
              </w:rPr>
              <w:t>7</w:t>
            </w:r>
          </w:p>
        </w:tc>
        <w:tc>
          <w:tcPr>
            <w:tcW w:w="1031" w:type="dxa"/>
            <w:tcBorders>
              <w:top w:val="single" w:sz="4" w:space="0" w:color="auto"/>
              <w:left w:val="single" w:sz="4" w:space="0" w:color="auto"/>
              <w:bottom w:val="single" w:sz="4" w:space="0" w:color="auto"/>
              <w:right w:val="single" w:sz="4" w:space="0" w:color="auto"/>
            </w:tcBorders>
          </w:tcPr>
          <w:p w14:paraId="0217AF12" w14:textId="77777777" w:rsidR="0009675E" w:rsidRPr="00C91486" w:rsidRDefault="005D70F7" w:rsidP="0009675E">
            <w:pPr>
              <w:pStyle w:val="Prosttext"/>
              <w:jc w:val="right"/>
              <w:rPr>
                <w:szCs w:val="20"/>
              </w:rPr>
            </w:pPr>
            <w:r w:rsidRPr="00C91486">
              <w:rPr>
                <w:szCs w:val="20"/>
              </w:rPr>
              <w:t>222 314</w:t>
            </w:r>
          </w:p>
        </w:tc>
        <w:tc>
          <w:tcPr>
            <w:tcW w:w="1031" w:type="dxa"/>
            <w:tcBorders>
              <w:top w:val="single" w:sz="4" w:space="0" w:color="auto"/>
              <w:left w:val="single" w:sz="4" w:space="0" w:color="auto"/>
              <w:bottom w:val="single" w:sz="4" w:space="0" w:color="auto"/>
              <w:right w:val="single" w:sz="4" w:space="0" w:color="auto"/>
            </w:tcBorders>
          </w:tcPr>
          <w:p w14:paraId="61A401B4" w14:textId="77777777" w:rsidR="0009675E" w:rsidRPr="00C91486" w:rsidRDefault="009774F9" w:rsidP="0009675E">
            <w:pPr>
              <w:pStyle w:val="Prosttext"/>
              <w:jc w:val="right"/>
              <w:rPr>
                <w:szCs w:val="20"/>
              </w:rPr>
            </w:pPr>
            <w:r w:rsidRPr="00C91486">
              <w:rPr>
                <w:szCs w:val="20"/>
              </w:rPr>
              <w:t>47 146</w:t>
            </w:r>
          </w:p>
        </w:tc>
        <w:tc>
          <w:tcPr>
            <w:tcW w:w="689" w:type="dxa"/>
            <w:tcBorders>
              <w:top w:val="single" w:sz="4" w:space="0" w:color="auto"/>
              <w:left w:val="single" w:sz="4" w:space="0" w:color="auto"/>
              <w:bottom w:val="single" w:sz="4" w:space="0" w:color="auto"/>
              <w:right w:val="single" w:sz="4" w:space="0" w:color="auto"/>
            </w:tcBorders>
          </w:tcPr>
          <w:p w14:paraId="6BE25120" w14:textId="77777777" w:rsidR="0009675E" w:rsidRPr="00C91486" w:rsidRDefault="009774F9" w:rsidP="0009675E">
            <w:pPr>
              <w:pStyle w:val="Prosttext"/>
              <w:jc w:val="right"/>
              <w:rPr>
                <w:szCs w:val="20"/>
              </w:rPr>
            </w:pPr>
            <w:r w:rsidRPr="00C91486">
              <w:rPr>
                <w:szCs w:val="20"/>
              </w:rPr>
              <w:t>2</w:t>
            </w:r>
          </w:p>
        </w:tc>
        <w:tc>
          <w:tcPr>
            <w:tcW w:w="1031" w:type="dxa"/>
            <w:tcBorders>
              <w:top w:val="single" w:sz="4" w:space="0" w:color="auto"/>
              <w:left w:val="single" w:sz="4" w:space="0" w:color="auto"/>
              <w:bottom w:val="single" w:sz="4" w:space="0" w:color="auto"/>
              <w:right w:val="single" w:sz="4" w:space="0" w:color="auto"/>
            </w:tcBorders>
          </w:tcPr>
          <w:p w14:paraId="644F1755" w14:textId="77777777" w:rsidR="0009675E" w:rsidRPr="00C91486" w:rsidRDefault="009774F9" w:rsidP="0009675E">
            <w:pPr>
              <w:pStyle w:val="Prosttext"/>
              <w:jc w:val="right"/>
              <w:rPr>
                <w:szCs w:val="20"/>
              </w:rPr>
            </w:pPr>
            <w:r w:rsidRPr="00C91486">
              <w:rPr>
                <w:szCs w:val="20"/>
              </w:rPr>
              <w:t>1 161</w:t>
            </w:r>
          </w:p>
        </w:tc>
        <w:tc>
          <w:tcPr>
            <w:tcW w:w="1031" w:type="dxa"/>
            <w:tcBorders>
              <w:top w:val="single" w:sz="4" w:space="0" w:color="auto"/>
              <w:left w:val="single" w:sz="4" w:space="0" w:color="auto"/>
              <w:bottom w:val="single" w:sz="4" w:space="0" w:color="auto"/>
              <w:right w:val="single" w:sz="4" w:space="0" w:color="auto"/>
            </w:tcBorders>
          </w:tcPr>
          <w:p w14:paraId="493F087F" w14:textId="77777777" w:rsidR="0009675E" w:rsidRPr="00C91486" w:rsidRDefault="009774F9" w:rsidP="0009675E">
            <w:pPr>
              <w:pStyle w:val="Prosttext"/>
              <w:jc w:val="right"/>
              <w:rPr>
                <w:szCs w:val="20"/>
              </w:rPr>
            </w:pPr>
            <w:r w:rsidRPr="00C91486">
              <w:rPr>
                <w:szCs w:val="20"/>
              </w:rPr>
              <w:t>580</w:t>
            </w:r>
          </w:p>
        </w:tc>
        <w:tc>
          <w:tcPr>
            <w:tcW w:w="689" w:type="dxa"/>
            <w:tcBorders>
              <w:top w:val="single" w:sz="4" w:space="0" w:color="auto"/>
              <w:left w:val="single" w:sz="4" w:space="0" w:color="auto"/>
              <w:bottom w:val="single" w:sz="4" w:space="0" w:color="auto"/>
              <w:right w:val="single" w:sz="4" w:space="0" w:color="auto"/>
            </w:tcBorders>
          </w:tcPr>
          <w:p w14:paraId="1235CA34" w14:textId="77777777" w:rsidR="0009675E" w:rsidRPr="00C91486" w:rsidRDefault="009774F9" w:rsidP="0009675E">
            <w:pPr>
              <w:pStyle w:val="Prosttext"/>
              <w:jc w:val="right"/>
              <w:rPr>
                <w:szCs w:val="20"/>
              </w:rPr>
            </w:pPr>
            <w:r w:rsidRPr="00C91486">
              <w:rPr>
                <w:szCs w:val="20"/>
              </w:rPr>
              <w:t>-</w:t>
            </w:r>
          </w:p>
        </w:tc>
        <w:tc>
          <w:tcPr>
            <w:tcW w:w="1031" w:type="dxa"/>
            <w:tcBorders>
              <w:top w:val="single" w:sz="4" w:space="0" w:color="auto"/>
              <w:left w:val="single" w:sz="4" w:space="0" w:color="auto"/>
              <w:bottom w:val="single" w:sz="4" w:space="0" w:color="auto"/>
              <w:right w:val="single" w:sz="4" w:space="0" w:color="auto"/>
            </w:tcBorders>
          </w:tcPr>
          <w:p w14:paraId="349AED1B" w14:textId="77777777" w:rsidR="0009675E" w:rsidRPr="00C91486" w:rsidRDefault="009774F9" w:rsidP="0009675E">
            <w:pPr>
              <w:pStyle w:val="Prosttext"/>
              <w:jc w:val="right"/>
              <w:rPr>
                <w:szCs w:val="20"/>
              </w:rPr>
            </w:pPr>
            <w:r w:rsidRPr="00C91486">
              <w:rPr>
                <w:szCs w:val="20"/>
              </w:rPr>
              <w:t>-</w:t>
            </w:r>
          </w:p>
        </w:tc>
        <w:tc>
          <w:tcPr>
            <w:tcW w:w="1049" w:type="dxa"/>
            <w:tcBorders>
              <w:top w:val="single" w:sz="4" w:space="0" w:color="auto"/>
              <w:left w:val="single" w:sz="4" w:space="0" w:color="auto"/>
              <w:bottom w:val="single" w:sz="4" w:space="0" w:color="auto"/>
              <w:right w:val="single" w:sz="4" w:space="0" w:color="auto"/>
            </w:tcBorders>
          </w:tcPr>
          <w:p w14:paraId="3686F1D6" w14:textId="77777777" w:rsidR="0009675E" w:rsidRPr="00C91486" w:rsidRDefault="009774F9" w:rsidP="0009675E">
            <w:pPr>
              <w:pStyle w:val="Prosttext"/>
              <w:jc w:val="right"/>
              <w:rPr>
                <w:szCs w:val="20"/>
              </w:rPr>
            </w:pPr>
            <w:r w:rsidRPr="00C91486">
              <w:rPr>
                <w:szCs w:val="20"/>
              </w:rPr>
              <w:t>-</w:t>
            </w:r>
          </w:p>
        </w:tc>
      </w:tr>
      <w:tr w:rsidR="00F00199" w14:paraId="6474C7D6" w14:textId="77777777" w:rsidTr="004826DC">
        <w:tc>
          <w:tcPr>
            <w:tcW w:w="1679" w:type="dxa"/>
            <w:tcBorders>
              <w:top w:val="single" w:sz="4" w:space="0" w:color="auto"/>
              <w:left w:val="single" w:sz="4" w:space="0" w:color="auto"/>
              <w:bottom w:val="single" w:sz="4" w:space="0" w:color="auto"/>
              <w:right w:val="single" w:sz="4" w:space="0" w:color="auto"/>
            </w:tcBorders>
            <w:hideMark/>
          </w:tcPr>
          <w:p w14:paraId="62A44FE8" w14:textId="77777777" w:rsidR="00F00199" w:rsidRPr="00F00199" w:rsidRDefault="00F00199" w:rsidP="00F00199">
            <w:pPr>
              <w:pStyle w:val="Prosttext"/>
              <w:rPr>
                <w:b/>
              </w:rPr>
            </w:pPr>
            <w:r w:rsidRPr="00F00199">
              <w:rPr>
                <w:b/>
              </w:rPr>
              <w:t>Energetika</w:t>
            </w:r>
          </w:p>
        </w:tc>
        <w:tc>
          <w:tcPr>
            <w:tcW w:w="688" w:type="dxa"/>
            <w:tcBorders>
              <w:top w:val="single" w:sz="4" w:space="0" w:color="auto"/>
              <w:left w:val="single" w:sz="4" w:space="0" w:color="auto"/>
              <w:bottom w:val="single" w:sz="4" w:space="0" w:color="auto"/>
              <w:right w:val="single" w:sz="4" w:space="0" w:color="auto"/>
            </w:tcBorders>
            <w:shd w:val="clear" w:color="auto" w:fill="auto"/>
          </w:tcPr>
          <w:p w14:paraId="549A5251" w14:textId="77777777" w:rsidR="00F00199" w:rsidRPr="00F00199" w:rsidRDefault="00F00199" w:rsidP="00F00199">
            <w:pPr>
              <w:pStyle w:val="Prosttext"/>
              <w:jc w:val="right"/>
              <w:rPr>
                <w:szCs w:val="20"/>
              </w:rPr>
            </w:pPr>
            <w:r w:rsidRPr="00F00199">
              <w:rPr>
                <w:szCs w:val="20"/>
              </w:rPr>
              <w:t>11</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3F54E1DD" w14:textId="77777777" w:rsidR="00F00199" w:rsidRPr="00F00199" w:rsidRDefault="00F00199" w:rsidP="00F00199">
            <w:pPr>
              <w:pStyle w:val="Prosttext"/>
              <w:jc w:val="right"/>
              <w:rPr>
                <w:szCs w:val="20"/>
              </w:rPr>
            </w:pPr>
            <w:r w:rsidRPr="00F00199">
              <w:rPr>
                <w:szCs w:val="20"/>
              </w:rPr>
              <w:t>468 296</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3669BF77" w14:textId="77777777" w:rsidR="00F00199" w:rsidRPr="00F00199" w:rsidRDefault="00F00199" w:rsidP="00F00199">
            <w:pPr>
              <w:pStyle w:val="Prosttext"/>
              <w:jc w:val="right"/>
              <w:rPr>
                <w:szCs w:val="20"/>
              </w:rPr>
            </w:pPr>
            <w:r w:rsidRPr="00F00199">
              <w:rPr>
                <w:szCs w:val="20"/>
              </w:rPr>
              <w:t>61 076</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11E30C74" w14:textId="77777777" w:rsidR="00F00199" w:rsidRPr="00F00199" w:rsidRDefault="00F00199" w:rsidP="00F00199">
            <w:pPr>
              <w:pStyle w:val="Prosttext"/>
              <w:jc w:val="right"/>
              <w:rPr>
                <w:szCs w:val="20"/>
              </w:rPr>
            </w:pPr>
            <w:r w:rsidRPr="00F00199">
              <w:rPr>
                <w:szCs w:val="20"/>
              </w:rPr>
              <w:t>9</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4E6177E9" w14:textId="77777777" w:rsidR="00F00199" w:rsidRPr="00F00199" w:rsidRDefault="00F00199" w:rsidP="00F00199">
            <w:pPr>
              <w:pStyle w:val="Prosttext"/>
              <w:jc w:val="right"/>
              <w:rPr>
                <w:szCs w:val="20"/>
              </w:rPr>
            </w:pPr>
            <w:r w:rsidRPr="00F00199">
              <w:rPr>
                <w:szCs w:val="20"/>
              </w:rPr>
              <w:t>103 825</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0C420136" w14:textId="77777777" w:rsidR="00F00199" w:rsidRPr="00F00199" w:rsidRDefault="00F00199" w:rsidP="00F00199">
            <w:pPr>
              <w:pStyle w:val="Prosttext"/>
              <w:jc w:val="right"/>
              <w:rPr>
                <w:szCs w:val="20"/>
              </w:rPr>
            </w:pPr>
            <w:r w:rsidRPr="00F00199">
              <w:rPr>
                <w:szCs w:val="20"/>
              </w:rPr>
              <w:t>51 913</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5B3526BE" w14:textId="77777777" w:rsidR="00F00199" w:rsidRPr="00F00199" w:rsidRDefault="00F00199" w:rsidP="00F00199">
            <w:pPr>
              <w:pStyle w:val="Prosttext"/>
              <w:jc w:val="right"/>
              <w:rPr>
                <w:szCs w:val="20"/>
              </w:rPr>
            </w:pPr>
            <w:r w:rsidRPr="00F00199">
              <w:rPr>
                <w:szCs w:val="20"/>
              </w:rPr>
              <w:t>2</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211C34B8" w14:textId="77777777" w:rsidR="00F00199" w:rsidRPr="00F00199" w:rsidRDefault="00F00199" w:rsidP="00F00199">
            <w:pPr>
              <w:pStyle w:val="Prosttext"/>
              <w:jc w:val="right"/>
              <w:rPr>
                <w:szCs w:val="20"/>
              </w:rPr>
            </w:pPr>
            <w:r w:rsidRPr="00F00199">
              <w:rPr>
                <w:szCs w:val="20"/>
              </w:rPr>
              <w:t>90 606</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521F4DAF" w14:textId="77777777" w:rsidR="00F00199" w:rsidRPr="00F00199" w:rsidRDefault="00F00199" w:rsidP="00F00199">
            <w:pPr>
              <w:pStyle w:val="Prosttext"/>
              <w:jc w:val="right"/>
              <w:rPr>
                <w:szCs w:val="20"/>
              </w:rPr>
            </w:pPr>
            <w:r w:rsidRPr="00F00199">
              <w:rPr>
                <w:szCs w:val="20"/>
              </w:rPr>
              <w:t>45 303</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15F4206C" w14:textId="77777777" w:rsidR="00F00199" w:rsidRPr="00F00199" w:rsidRDefault="00F00199" w:rsidP="00F00199">
            <w:pPr>
              <w:pStyle w:val="Prosttext"/>
              <w:jc w:val="right"/>
              <w:rPr>
                <w:szCs w:val="20"/>
              </w:rPr>
            </w:pPr>
            <w:r w:rsidRPr="00F00199">
              <w:rPr>
                <w:szCs w:val="20"/>
              </w:rPr>
              <w:t>7</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518C8DA6" w14:textId="77777777" w:rsidR="00F00199" w:rsidRPr="00F00199" w:rsidRDefault="00F00199" w:rsidP="00F00199">
            <w:pPr>
              <w:pStyle w:val="Prosttext"/>
              <w:jc w:val="right"/>
              <w:rPr>
                <w:szCs w:val="20"/>
              </w:rPr>
            </w:pPr>
            <w:r w:rsidRPr="00F00199">
              <w:rPr>
                <w:szCs w:val="20"/>
              </w:rPr>
              <w:t>9 706</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1822FEE9" w14:textId="77777777" w:rsidR="00F00199" w:rsidRPr="00F00199" w:rsidRDefault="00F00199" w:rsidP="00F00199">
            <w:pPr>
              <w:pStyle w:val="Prosttext"/>
              <w:jc w:val="right"/>
              <w:rPr>
                <w:szCs w:val="20"/>
              </w:rPr>
            </w:pPr>
            <w:r w:rsidRPr="00F00199">
              <w:rPr>
                <w:szCs w:val="20"/>
              </w:rPr>
              <w:t>4 701</w:t>
            </w:r>
          </w:p>
        </w:tc>
        <w:tc>
          <w:tcPr>
            <w:tcW w:w="689" w:type="dxa"/>
            <w:tcBorders>
              <w:top w:val="single" w:sz="4" w:space="0" w:color="auto"/>
              <w:left w:val="single" w:sz="4" w:space="0" w:color="auto"/>
              <w:bottom w:val="single" w:sz="4" w:space="0" w:color="auto"/>
              <w:right w:val="single" w:sz="4" w:space="0" w:color="auto"/>
            </w:tcBorders>
            <w:shd w:val="clear" w:color="auto" w:fill="auto"/>
          </w:tcPr>
          <w:p w14:paraId="1199EFD0" w14:textId="77777777" w:rsidR="00F00199" w:rsidRPr="00F00199" w:rsidRDefault="00F00199" w:rsidP="00F00199">
            <w:pPr>
              <w:pStyle w:val="Prosttext"/>
              <w:jc w:val="right"/>
              <w:rPr>
                <w:szCs w:val="20"/>
              </w:rPr>
            </w:pPr>
            <w:r w:rsidRPr="00F00199">
              <w:rPr>
                <w:szCs w:val="20"/>
              </w:rPr>
              <w:t>-</w:t>
            </w:r>
          </w:p>
        </w:tc>
        <w:tc>
          <w:tcPr>
            <w:tcW w:w="1031" w:type="dxa"/>
            <w:tcBorders>
              <w:top w:val="single" w:sz="4" w:space="0" w:color="auto"/>
              <w:left w:val="single" w:sz="4" w:space="0" w:color="auto"/>
              <w:bottom w:val="single" w:sz="4" w:space="0" w:color="auto"/>
              <w:right w:val="single" w:sz="4" w:space="0" w:color="auto"/>
            </w:tcBorders>
            <w:shd w:val="clear" w:color="auto" w:fill="auto"/>
          </w:tcPr>
          <w:p w14:paraId="5991B6C2" w14:textId="77777777" w:rsidR="00F00199" w:rsidRPr="00F00199" w:rsidRDefault="00F00199" w:rsidP="00F00199">
            <w:pPr>
              <w:pStyle w:val="Prosttext"/>
              <w:jc w:val="right"/>
              <w:rPr>
                <w:szCs w:val="20"/>
              </w:rPr>
            </w:pPr>
            <w:r w:rsidRPr="00F00199">
              <w:rPr>
                <w:szCs w:val="20"/>
              </w:rPr>
              <w:t>-</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461D1328" w14:textId="77777777" w:rsidR="00F00199" w:rsidRPr="00F00199" w:rsidRDefault="00F00199" w:rsidP="00F00199">
            <w:pPr>
              <w:pStyle w:val="Prosttext"/>
              <w:jc w:val="right"/>
              <w:rPr>
                <w:szCs w:val="20"/>
              </w:rPr>
            </w:pPr>
            <w:r w:rsidRPr="00F00199">
              <w:rPr>
                <w:szCs w:val="20"/>
              </w:rPr>
              <w:t>-</w:t>
            </w:r>
          </w:p>
        </w:tc>
      </w:tr>
      <w:tr w:rsidR="00F00199" w14:paraId="5D12E6AB" w14:textId="77777777" w:rsidTr="004826DC">
        <w:tc>
          <w:tcPr>
            <w:tcW w:w="1679" w:type="dxa"/>
            <w:tcBorders>
              <w:top w:val="single" w:sz="4" w:space="0" w:color="auto"/>
              <w:left w:val="single" w:sz="4" w:space="0" w:color="auto"/>
              <w:bottom w:val="single" w:sz="4" w:space="0" w:color="auto"/>
              <w:right w:val="single" w:sz="4" w:space="0" w:color="auto"/>
            </w:tcBorders>
            <w:hideMark/>
          </w:tcPr>
          <w:p w14:paraId="6F234291" w14:textId="2C7F61AF" w:rsidR="00467705" w:rsidRPr="004826DC" w:rsidRDefault="00F00199" w:rsidP="004826DC">
            <w:pPr>
              <w:pStyle w:val="Prosttext"/>
              <w:rPr>
                <w:b/>
              </w:rPr>
            </w:pPr>
            <w:r>
              <w:rPr>
                <w:b/>
              </w:rPr>
              <w:t>Telekomunikace</w:t>
            </w:r>
          </w:p>
        </w:tc>
        <w:tc>
          <w:tcPr>
            <w:tcW w:w="688" w:type="dxa"/>
            <w:tcBorders>
              <w:top w:val="single" w:sz="4" w:space="0" w:color="auto"/>
              <w:left w:val="single" w:sz="4" w:space="0" w:color="auto"/>
              <w:bottom w:val="single" w:sz="4" w:space="0" w:color="auto"/>
              <w:right w:val="single" w:sz="4" w:space="0" w:color="auto"/>
            </w:tcBorders>
            <w:hideMark/>
          </w:tcPr>
          <w:p w14:paraId="36BDAF1C" w14:textId="77777777" w:rsidR="001E2794" w:rsidRPr="00C91486" w:rsidRDefault="00F00199" w:rsidP="00F00199">
            <w:pPr>
              <w:pStyle w:val="Prosttext"/>
              <w:jc w:val="right"/>
              <w:rPr>
                <w:szCs w:val="20"/>
              </w:rPr>
            </w:pPr>
            <w:r w:rsidRPr="00C91486">
              <w:rPr>
                <w:szCs w:val="20"/>
              </w:rPr>
              <w:t>35</w:t>
            </w:r>
          </w:p>
        </w:tc>
        <w:tc>
          <w:tcPr>
            <w:tcW w:w="1031" w:type="dxa"/>
            <w:tcBorders>
              <w:top w:val="single" w:sz="4" w:space="0" w:color="auto"/>
              <w:left w:val="single" w:sz="4" w:space="0" w:color="auto"/>
              <w:bottom w:val="single" w:sz="4" w:space="0" w:color="auto"/>
              <w:right w:val="single" w:sz="4" w:space="0" w:color="auto"/>
            </w:tcBorders>
            <w:hideMark/>
          </w:tcPr>
          <w:p w14:paraId="25F39785" w14:textId="77777777" w:rsidR="001E2794" w:rsidRPr="00C91486" w:rsidRDefault="00F00199" w:rsidP="00F00199">
            <w:pPr>
              <w:pStyle w:val="Prosttext"/>
              <w:jc w:val="right"/>
              <w:rPr>
                <w:szCs w:val="20"/>
              </w:rPr>
            </w:pPr>
            <w:r w:rsidRPr="00C91486">
              <w:rPr>
                <w:szCs w:val="20"/>
              </w:rPr>
              <w:t>14 255</w:t>
            </w:r>
          </w:p>
        </w:tc>
        <w:tc>
          <w:tcPr>
            <w:tcW w:w="1031" w:type="dxa"/>
            <w:tcBorders>
              <w:top w:val="single" w:sz="4" w:space="0" w:color="auto"/>
              <w:left w:val="single" w:sz="4" w:space="0" w:color="auto"/>
              <w:bottom w:val="single" w:sz="4" w:space="0" w:color="auto"/>
              <w:right w:val="single" w:sz="4" w:space="0" w:color="auto"/>
            </w:tcBorders>
            <w:hideMark/>
          </w:tcPr>
          <w:p w14:paraId="0D0894B3" w14:textId="77777777" w:rsidR="001E2794" w:rsidRPr="00C91486" w:rsidRDefault="00F00199" w:rsidP="00F00199">
            <w:pPr>
              <w:pStyle w:val="Prosttext"/>
              <w:jc w:val="right"/>
              <w:rPr>
                <w:szCs w:val="20"/>
              </w:rPr>
            </w:pPr>
            <w:r w:rsidRPr="00C91486">
              <w:rPr>
                <w:szCs w:val="20"/>
              </w:rPr>
              <w:t xml:space="preserve">9 937 </w:t>
            </w:r>
          </w:p>
        </w:tc>
        <w:tc>
          <w:tcPr>
            <w:tcW w:w="689" w:type="dxa"/>
            <w:tcBorders>
              <w:top w:val="single" w:sz="4" w:space="0" w:color="auto"/>
              <w:left w:val="single" w:sz="4" w:space="0" w:color="auto"/>
              <w:bottom w:val="single" w:sz="4" w:space="0" w:color="auto"/>
              <w:right w:val="single" w:sz="4" w:space="0" w:color="auto"/>
            </w:tcBorders>
            <w:hideMark/>
          </w:tcPr>
          <w:p w14:paraId="1D3D402A" w14:textId="77777777" w:rsidR="001E2794" w:rsidRPr="00C91486" w:rsidRDefault="00F00199" w:rsidP="00F00199">
            <w:pPr>
              <w:pStyle w:val="Prosttext"/>
              <w:jc w:val="right"/>
              <w:rPr>
                <w:szCs w:val="20"/>
              </w:rPr>
            </w:pPr>
            <w:r w:rsidRPr="00C91486">
              <w:rPr>
                <w:szCs w:val="20"/>
              </w:rPr>
              <w:t>26</w:t>
            </w:r>
          </w:p>
        </w:tc>
        <w:tc>
          <w:tcPr>
            <w:tcW w:w="1031" w:type="dxa"/>
            <w:tcBorders>
              <w:top w:val="single" w:sz="4" w:space="0" w:color="auto"/>
              <w:left w:val="single" w:sz="4" w:space="0" w:color="auto"/>
              <w:bottom w:val="single" w:sz="4" w:space="0" w:color="auto"/>
              <w:right w:val="single" w:sz="4" w:space="0" w:color="auto"/>
            </w:tcBorders>
            <w:hideMark/>
          </w:tcPr>
          <w:p w14:paraId="51D35A62" w14:textId="77777777" w:rsidR="001E2794" w:rsidRPr="00C91486" w:rsidRDefault="00F00199" w:rsidP="00F00199">
            <w:pPr>
              <w:pStyle w:val="Prosttext"/>
              <w:jc w:val="right"/>
              <w:rPr>
                <w:szCs w:val="20"/>
              </w:rPr>
            </w:pPr>
            <w:r w:rsidRPr="00C91486">
              <w:rPr>
                <w:szCs w:val="20"/>
              </w:rPr>
              <w:t>9 980</w:t>
            </w:r>
          </w:p>
        </w:tc>
        <w:tc>
          <w:tcPr>
            <w:tcW w:w="1031" w:type="dxa"/>
            <w:tcBorders>
              <w:top w:val="single" w:sz="4" w:space="0" w:color="auto"/>
              <w:left w:val="single" w:sz="4" w:space="0" w:color="auto"/>
              <w:bottom w:val="single" w:sz="4" w:space="0" w:color="auto"/>
              <w:right w:val="single" w:sz="4" w:space="0" w:color="auto"/>
            </w:tcBorders>
            <w:hideMark/>
          </w:tcPr>
          <w:p w14:paraId="343F3440" w14:textId="77777777" w:rsidR="001E2794" w:rsidRPr="00C91486" w:rsidRDefault="00F00199" w:rsidP="00F00199">
            <w:pPr>
              <w:pStyle w:val="Prosttext"/>
              <w:jc w:val="right"/>
              <w:rPr>
                <w:szCs w:val="20"/>
              </w:rPr>
            </w:pPr>
            <w:r w:rsidRPr="00C91486">
              <w:rPr>
                <w:szCs w:val="20"/>
              </w:rPr>
              <w:t>7 188</w:t>
            </w:r>
          </w:p>
        </w:tc>
        <w:tc>
          <w:tcPr>
            <w:tcW w:w="689" w:type="dxa"/>
            <w:tcBorders>
              <w:top w:val="single" w:sz="4" w:space="0" w:color="auto"/>
              <w:left w:val="single" w:sz="4" w:space="0" w:color="auto"/>
              <w:bottom w:val="single" w:sz="4" w:space="0" w:color="auto"/>
              <w:right w:val="single" w:sz="4" w:space="0" w:color="auto"/>
            </w:tcBorders>
            <w:hideMark/>
          </w:tcPr>
          <w:p w14:paraId="77C43C23" w14:textId="77777777" w:rsidR="00F00199" w:rsidRPr="00C91486" w:rsidRDefault="00F00199" w:rsidP="00F00199">
            <w:pPr>
              <w:pStyle w:val="Prosttext"/>
              <w:jc w:val="right"/>
              <w:rPr>
                <w:szCs w:val="20"/>
              </w:rPr>
            </w:pPr>
            <w:r w:rsidRPr="00C91486">
              <w:rPr>
                <w:szCs w:val="20"/>
              </w:rPr>
              <w:t>13</w:t>
            </w:r>
          </w:p>
        </w:tc>
        <w:tc>
          <w:tcPr>
            <w:tcW w:w="1031" w:type="dxa"/>
            <w:tcBorders>
              <w:top w:val="single" w:sz="4" w:space="0" w:color="auto"/>
              <w:left w:val="single" w:sz="4" w:space="0" w:color="auto"/>
              <w:bottom w:val="single" w:sz="4" w:space="0" w:color="auto"/>
              <w:right w:val="single" w:sz="4" w:space="0" w:color="auto"/>
            </w:tcBorders>
            <w:hideMark/>
          </w:tcPr>
          <w:p w14:paraId="3E43F018" w14:textId="77777777" w:rsidR="00F00199" w:rsidRPr="00C91486" w:rsidRDefault="00F00199" w:rsidP="00F00199">
            <w:pPr>
              <w:pStyle w:val="Prosttext"/>
              <w:jc w:val="right"/>
              <w:rPr>
                <w:szCs w:val="20"/>
              </w:rPr>
            </w:pPr>
            <w:r w:rsidRPr="00C91486">
              <w:rPr>
                <w:szCs w:val="20"/>
              </w:rPr>
              <w:t>3 313</w:t>
            </w:r>
          </w:p>
        </w:tc>
        <w:tc>
          <w:tcPr>
            <w:tcW w:w="1031" w:type="dxa"/>
            <w:tcBorders>
              <w:top w:val="single" w:sz="4" w:space="0" w:color="auto"/>
              <w:left w:val="single" w:sz="4" w:space="0" w:color="auto"/>
              <w:bottom w:val="single" w:sz="4" w:space="0" w:color="auto"/>
              <w:right w:val="single" w:sz="4" w:space="0" w:color="auto"/>
            </w:tcBorders>
            <w:hideMark/>
          </w:tcPr>
          <w:p w14:paraId="4F5E996A" w14:textId="77777777" w:rsidR="00F00199" w:rsidRPr="00C91486" w:rsidRDefault="00F00199" w:rsidP="00F00199">
            <w:pPr>
              <w:pStyle w:val="Prosttext"/>
              <w:jc w:val="right"/>
              <w:rPr>
                <w:szCs w:val="20"/>
              </w:rPr>
            </w:pPr>
            <w:r w:rsidRPr="00C91486">
              <w:rPr>
                <w:szCs w:val="20"/>
              </w:rPr>
              <w:t>2 903</w:t>
            </w:r>
          </w:p>
        </w:tc>
        <w:tc>
          <w:tcPr>
            <w:tcW w:w="689" w:type="dxa"/>
            <w:tcBorders>
              <w:top w:val="single" w:sz="4" w:space="0" w:color="auto"/>
              <w:left w:val="single" w:sz="4" w:space="0" w:color="auto"/>
              <w:bottom w:val="single" w:sz="4" w:space="0" w:color="auto"/>
              <w:right w:val="single" w:sz="4" w:space="0" w:color="auto"/>
            </w:tcBorders>
            <w:hideMark/>
          </w:tcPr>
          <w:p w14:paraId="7B306965" w14:textId="77777777" w:rsidR="00F00199" w:rsidRPr="00C91486" w:rsidRDefault="00F00199" w:rsidP="00F00199">
            <w:pPr>
              <w:pStyle w:val="Prosttext"/>
              <w:jc w:val="right"/>
              <w:rPr>
                <w:szCs w:val="20"/>
              </w:rPr>
            </w:pPr>
            <w:r w:rsidRPr="00C91486">
              <w:rPr>
                <w:szCs w:val="20"/>
              </w:rPr>
              <w:t>13</w:t>
            </w:r>
          </w:p>
        </w:tc>
        <w:tc>
          <w:tcPr>
            <w:tcW w:w="1031" w:type="dxa"/>
            <w:tcBorders>
              <w:top w:val="single" w:sz="4" w:space="0" w:color="auto"/>
              <w:left w:val="single" w:sz="4" w:space="0" w:color="auto"/>
              <w:bottom w:val="single" w:sz="4" w:space="0" w:color="auto"/>
              <w:right w:val="single" w:sz="4" w:space="0" w:color="auto"/>
            </w:tcBorders>
            <w:hideMark/>
          </w:tcPr>
          <w:p w14:paraId="0B484B7E" w14:textId="77777777" w:rsidR="00F00199" w:rsidRPr="00C91486" w:rsidRDefault="00F00199" w:rsidP="00F00199">
            <w:pPr>
              <w:pStyle w:val="Prosttext"/>
              <w:jc w:val="right"/>
              <w:rPr>
                <w:szCs w:val="20"/>
              </w:rPr>
            </w:pPr>
            <w:r w:rsidRPr="00C91486">
              <w:rPr>
                <w:szCs w:val="20"/>
              </w:rPr>
              <w:t>6 667</w:t>
            </w:r>
          </w:p>
        </w:tc>
        <w:tc>
          <w:tcPr>
            <w:tcW w:w="1031" w:type="dxa"/>
            <w:tcBorders>
              <w:top w:val="single" w:sz="4" w:space="0" w:color="auto"/>
              <w:left w:val="single" w:sz="4" w:space="0" w:color="auto"/>
              <w:bottom w:val="single" w:sz="4" w:space="0" w:color="auto"/>
              <w:right w:val="single" w:sz="4" w:space="0" w:color="auto"/>
            </w:tcBorders>
            <w:hideMark/>
          </w:tcPr>
          <w:p w14:paraId="6F84E7BA" w14:textId="77777777" w:rsidR="00F00199" w:rsidRPr="00C91486" w:rsidRDefault="00F00199" w:rsidP="00F00199">
            <w:pPr>
              <w:pStyle w:val="Prosttext"/>
              <w:jc w:val="right"/>
              <w:rPr>
                <w:szCs w:val="20"/>
              </w:rPr>
            </w:pPr>
            <w:r w:rsidRPr="00C91486">
              <w:rPr>
                <w:szCs w:val="20"/>
              </w:rPr>
              <w:t>4 284</w:t>
            </w:r>
          </w:p>
        </w:tc>
        <w:tc>
          <w:tcPr>
            <w:tcW w:w="689" w:type="dxa"/>
            <w:tcBorders>
              <w:top w:val="single" w:sz="4" w:space="0" w:color="auto"/>
              <w:left w:val="single" w:sz="4" w:space="0" w:color="auto"/>
              <w:bottom w:val="single" w:sz="4" w:space="0" w:color="auto"/>
              <w:right w:val="single" w:sz="4" w:space="0" w:color="auto"/>
            </w:tcBorders>
            <w:hideMark/>
          </w:tcPr>
          <w:p w14:paraId="58BACB4C" w14:textId="77777777" w:rsidR="001E2794" w:rsidRPr="00C91486" w:rsidRDefault="00F00199" w:rsidP="00F00199">
            <w:pPr>
              <w:pStyle w:val="Prosttext"/>
              <w:jc w:val="right"/>
              <w:rPr>
                <w:szCs w:val="20"/>
              </w:rPr>
            </w:pPr>
            <w:r>
              <w:rPr>
                <w:szCs w:val="20"/>
              </w:rPr>
              <w:t>-</w:t>
            </w:r>
          </w:p>
        </w:tc>
        <w:tc>
          <w:tcPr>
            <w:tcW w:w="1031" w:type="dxa"/>
            <w:tcBorders>
              <w:top w:val="single" w:sz="4" w:space="0" w:color="auto"/>
              <w:left w:val="single" w:sz="4" w:space="0" w:color="auto"/>
              <w:bottom w:val="single" w:sz="4" w:space="0" w:color="auto"/>
              <w:right w:val="single" w:sz="4" w:space="0" w:color="auto"/>
            </w:tcBorders>
            <w:hideMark/>
          </w:tcPr>
          <w:p w14:paraId="1115FED9" w14:textId="77777777" w:rsidR="001E2794" w:rsidRPr="00C91486" w:rsidRDefault="00F00199" w:rsidP="00F00199">
            <w:pPr>
              <w:pStyle w:val="Prosttext"/>
              <w:jc w:val="right"/>
              <w:rPr>
                <w:szCs w:val="20"/>
              </w:rPr>
            </w:pPr>
            <w:r>
              <w:rPr>
                <w:szCs w:val="20"/>
              </w:rPr>
              <w:t>-</w:t>
            </w:r>
          </w:p>
        </w:tc>
        <w:tc>
          <w:tcPr>
            <w:tcW w:w="1049" w:type="dxa"/>
            <w:tcBorders>
              <w:top w:val="single" w:sz="4" w:space="0" w:color="auto"/>
              <w:left w:val="single" w:sz="4" w:space="0" w:color="auto"/>
              <w:bottom w:val="single" w:sz="4" w:space="0" w:color="auto"/>
              <w:right w:val="single" w:sz="4" w:space="0" w:color="auto"/>
            </w:tcBorders>
            <w:hideMark/>
          </w:tcPr>
          <w:p w14:paraId="13DE9550" w14:textId="77777777" w:rsidR="001E2794" w:rsidRPr="00C91486" w:rsidRDefault="00F00199" w:rsidP="00F00199">
            <w:pPr>
              <w:pStyle w:val="Prosttext"/>
              <w:jc w:val="right"/>
              <w:rPr>
                <w:szCs w:val="20"/>
              </w:rPr>
            </w:pPr>
            <w:r>
              <w:rPr>
                <w:szCs w:val="20"/>
              </w:rPr>
              <w:t>-</w:t>
            </w:r>
          </w:p>
        </w:tc>
      </w:tr>
      <w:tr w:rsidR="004D3BA5" w14:paraId="6EE82AD4" w14:textId="77777777" w:rsidTr="004826DC">
        <w:tc>
          <w:tcPr>
            <w:tcW w:w="16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280856" w14:textId="77777777" w:rsidR="004D3BA5" w:rsidRDefault="004D3BA5" w:rsidP="004D3BA5">
            <w:pPr>
              <w:pStyle w:val="Prosttext"/>
              <w:rPr>
                <w:b/>
              </w:rPr>
            </w:pPr>
            <w:r>
              <w:rPr>
                <w:b/>
              </w:rPr>
              <w:t>CELKEM</w:t>
            </w:r>
          </w:p>
        </w:tc>
        <w:tc>
          <w:tcPr>
            <w:tcW w:w="688" w:type="dxa"/>
            <w:tcBorders>
              <w:top w:val="nil"/>
              <w:left w:val="nil"/>
              <w:bottom w:val="single" w:sz="8" w:space="0" w:color="auto"/>
              <w:right w:val="single" w:sz="8" w:space="0" w:color="auto"/>
            </w:tcBorders>
            <w:shd w:val="clear" w:color="000000" w:fill="D9D9D9"/>
            <w:vAlign w:val="center"/>
          </w:tcPr>
          <w:p w14:paraId="4FD49964" w14:textId="77777777" w:rsidR="004D3BA5" w:rsidRPr="004D3BA5" w:rsidRDefault="004D3BA5" w:rsidP="004D3BA5">
            <w:pPr>
              <w:pStyle w:val="Prosttext"/>
              <w:jc w:val="right"/>
              <w:rPr>
                <w:b/>
                <w:sz w:val="16"/>
                <w:szCs w:val="16"/>
              </w:rPr>
            </w:pPr>
            <w:r w:rsidRPr="004D3BA5">
              <w:rPr>
                <w:rFonts w:cs="Calibri"/>
                <w:b/>
                <w:color w:val="000000"/>
                <w:szCs w:val="20"/>
              </w:rPr>
              <w:t>141</w:t>
            </w:r>
          </w:p>
        </w:tc>
        <w:tc>
          <w:tcPr>
            <w:tcW w:w="1031" w:type="dxa"/>
            <w:tcBorders>
              <w:top w:val="nil"/>
              <w:left w:val="nil"/>
              <w:bottom w:val="single" w:sz="8" w:space="0" w:color="auto"/>
              <w:right w:val="single" w:sz="8" w:space="0" w:color="auto"/>
            </w:tcBorders>
            <w:shd w:val="clear" w:color="000000" w:fill="D9D9D9"/>
            <w:vAlign w:val="center"/>
          </w:tcPr>
          <w:p w14:paraId="2A0D7C7A" w14:textId="77777777" w:rsidR="004D3BA5" w:rsidRPr="004D3BA5" w:rsidRDefault="004D3BA5" w:rsidP="004D3BA5">
            <w:pPr>
              <w:pStyle w:val="Prosttext"/>
              <w:jc w:val="right"/>
              <w:rPr>
                <w:b/>
                <w:sz w:val="16"/>
                <w:szCs w:val="16"/>
              </w:rPr>
            </w:pPr>
            <w:r w:rsidRPr="004D3BA5">
              <w:rPr>
                <w:rFonts w:cs="Calibri"/>
                <w:b/>
                <w:color w:val="000000"/>
                <w:szCs w:val="20"/>
              </w:rPr>
              <w:t>4 706 271</w:t>
            </w:r>
          </w:p>
        </w:tc>
        <w:tc>
          <w:tcPr>
            <w:tcW w:w="1031" w:type="dxa"/>
            <w:tcBorders>
              <w:top w:val="nil"/>
              <w:left w:val="nil"/>
              <w:bottom w:val="single" w:sz="8" w:space="0" w:color="auto"/>
              <w:right w:val="single" w:sz="8" w:space="0" w:color="auto"/>
            </w:tcBorders>
            <w:shd w:val="clear" w:color="000000" w:fill="D9D9D9"/>
            <w:vAlign w:val="center"/>
          </w:tcPr>
          <w:p w14:paraId="626D246B" w14:textId="77777777" w:rsidR="004D3BA5" w:rsidRPr="004D3BA5" w:rsidRDefault="004D3BA5" w:rsidP="004D3BA5">
            <w:pPr>
              <w:pStyle w:val="Prosttext"/>
              <w:jc w:val="right"/>
              <w:rPr>
                <w:b/>
                <w:sz w:val="16"/>
                <w:szCs w:val="16"/>
              </w:rPr>
            </w:pPr>
            <w:r w:rsidRPr="004D3BA5">
              <w:rPr>
                <w:rFonts w:cs="Calibri"/>
                <w:b/>
                <w:color w:val="000000"/>
                <w:szCs w:val="20"/>
              </w:rPr>
              <w:t>3 366 081</w:t>
            </w:r>
          </w:p>
        </w:tc>
        <w:tc>
          <w:tcPr>
            <w:tcW w:w="689" w:type="dxa"/>
            <w:tcBorders>
              <w:top w:val="nil"/>
              <w:left w:val="nil"/>
              <w:bottom w:val="single" w:sz="8" w:space="0" w:color="auto"/>
              <w:right w:val="single" w:sz="8" w:space="0" w:color="auto"/>
            </w:tcBorders>
            <w:shd w:val="clear" w:color="000000" w:fill="D9D9D9"/>
            <w:vAlign w:val="center"/>
          </w:tcPr>
          <w:p w14:paraId="101AFD62" w14:textId="77777777" w:rsidR="004D3BA5" w:rsidRPr="004D3BA5" w:rsidRDefault="004D3BA5" w:rsidP="004D3BA5">
            <w:pPr>
              <w:pStyle w:val="Prosttext"/>
              <w:jc w:val="right"/>
              <w:rPr>
                <w:b/>
                <w:sz w:val="16"/>
                <w:szCs w:val="16"/>
              </w:rPr>
            </w:pPr>
            <w:r w:rsidRPr="004D3BA5">
              <w:rPr>
                <w:rFonts w:cs="Calibri"/>
                <w:b/>
                <w:color w:val="000000"/>
                <w:szCs w:val="20"/>
              </w:rPr>
              <w:t>94</w:t>
            </w:r>
          </w:p>
        </w:tc>
        <w:tc>
          <w:tcPr>
            <w:tcW w:w="1031" w:type="dxa"/>
            <w:tcBorders>
              <w:top w:val="nil"/>
              <w:left w:val="nil"/>
              <w:bottom w:val="single" w:sz="8" w:space="0" w:color="auto"/>
              <w:right w:val="single" w:sz="8" w:space="0" w:color="auto"/>
            </w:tcBorders>
            <w:shd w:val="clear" w:color="000000" w:fill="D9D9D9"/>
            <w:vAlign w:val="center"/>
          </w:tcPr>
          <w:p w14:paraId="76774A47" w14:textId="77777777" w:rsidR="004D3BA5" w:rsidRPr="004D3BA5" w:rsidRDefault="004D3BA5" w:rsidP="004D3BA5">
            <w:pPr>
              <w:pStyle w:val="Prosttext"/>
              <w:jc w:val="right"/>
              <w:rPr>
                <w:b/>
                <w:sz w:val="16"/>
                <w:szCs w:val="16"/>
              </w:rPr>
            </w:pPr>
            <w:r w:rsidRPr="004D3BA5">
              <w:rPr>
                <w:rFonts w:cs="Calibri"/>
                <w:b/>
                <w:color w:val="000000"/>
                <w:szCs w:val="20"/>
              </w:rPr>
              <w:t>1 929 567</w:t>
            </w:r>
          </w:p>
        </w:tc>
        <w:tc>
          <w:tcPr>
            <w:tcW w:w="1031" w:type="dxa"/>
            <w:tcBorders>
              <w:top w:val="nil"/>
              <w:left w:val="nil"/>
              <w:bottom w:val="single" w:sz="8" w:space="0" w:color="auto"/>
              <w:right w:val="single" w:sz="8" w:space="0" w:color="auto"/>
            </w:tcBorders>
            <w:shd w:val="clear" w:color="000000" w:fill="D9D9D9"/>
            <w:vAlign w:val="center"/>
          </w:tcPr>
          <w:p w14:paraId="5969700A" w14:textId="77777777" w:rsidR="004D3BA5" w:rsidRPr="004D3BA5" w:rsidRDefault="004D3BA5" w:rsidP="004D3BA5">
            <w:pPr>
              <w:pStyle w:val="Prosttext"/>
              <w:jc w:val="right"/>
              <w:rPr>
                <w:b/>
                <w:sz w:val="16"/>
                <w:szCs w:val="16"/>
              </w:rPr>
            </w:pPr>
            <w:r w:rsidRPr="004D3BA5">
              <w:rPr>
                <w:rFonts w:cs="Calibri"/>
                <w:b/>
                <w:color w:val="000000"/>
                <w:szCs w:val="20"/>
              </w:rPr>
              <w:t>1 406 596</w:t>
            </w:r>
          </w:p>
        </w:tc>
        <w:tc>
          <w:tcPr>
            <w:tcW w:w="689" w:type="dxa"/>
            <w:tcBorders>
              <w:top w:val="nil"/>
              <w:left w:val="nil"/>
              <w:bottom w:val="single" w:sz="8" w:space="0" w:color="auto"/>
              <w:right w:val="single" w:sz="8" w:space="0" w:color="auto"/>
            </w:tcBorders>
            <w:shd w:val="clear" w:color="000000" w:fill="D9D9D9"/>
            <w:vAlign w:val="center"/>
          </w:tcPr>
          <w:p w14:paraId="3CFC1F5A" w14:textId="77777777" w:rsidR="004D3BA5" w:rsidRPr="004D3BA5" w:rsidRDefault="004D3BA5" w:rsidP="004D3BA5">
            <w:pPr>
              <w:pStyle w:val="Prosttext"/>
              <w:jc w:val="right"/>
              <w:rPr>
                <w:b/>
                <w:sz w:val="16"/>
                <w:szCs w:val="16"/>
              </w:rPr>
            </w:pPr>
            <w:r w:rsidRPr="004D3BA5">
              <w:rPr>
                <w:rFonts w:cs="Calibri"/>
                <w:b/>
                <w:color w:val="000000"/>
                <w:szCs w:val="20"/>
              </w:rPr>
              <w:t>67</w:t>
            </w:r>
          </w:p>
        </w:tc>
        <w:tc>
          <w:tcPr>
            <w:tcW w:w="1031" w:type="dxa"/>
            <w:tcBorders>
              <w:top w:val="nil"/>
              <w:left w:val="nil"/>
              <w:bottom w:val="single" w:sz="8" w:space="0" w:color="auto"/>
              <w:right w:val="single" w:sz="8" w:space="0" w:color="auto"/>
            </w:tcBorders>
            <w:shd w:val="clear" w:color="000000" w:fill="D9D9D9"/>
            <w:vAlign w:val="center"/>
          </w:tcPr>
          <w:p w14:paraId="2F4B92DE" w14:textId="77777777" w:rsidR="004D3BA5" w:rsidRPr="004D3BA5" w:rsidRDefault="004D3BA5" w:rsidP="004D3BA5">
            <w:pPr>
              <w:pStyle w:val="Prosttext"/>
              <w:jc w:val="right"/>
              <w:rPr>
                <w:b/>
                <w:sz w:val="16"/>
                <w:szCs w:val="16"/>
              </w:rPr>
            </w:pPr>
            <w:r w:rsidRPr="004D3BA5">
              <w:rPr>
                <w:rFonts w:cs="Calibri"/>
                <w:b/>
                <w:color w:val="000000"/>
                <w:szCs w:val="20"/>
              </w:rPr>
              <w:t>1 645 331</w:t>
            </w:r>
          </w:p>
        </w:tc>
        <w:tc>
          <w:tcPr>
            <w:tcW w:w="1031" w:type="dxa"/>
            <w:tcBorders>
              <w:top w:val="nil"/>
              <w:left w:val="nil"/>
              <w:bottom w:val="single" w:sz="8" w:space="0" w:color="auto"/>
              <w:right w:val="single" w:sz="8" w:space="0" w:color="auto"/>
            </w:tcBorders>
            <w:shd w:val="clear" w:color="000000" w:fill="D9D9D9"/>
            <w:vAlign w:val="center"/>
          </w:tcPr>
          <w:p w14:paraId="014E19F5" w14:textId="77777777" w:rsidR="004D3BA5" w:rsidRPr="004D3BA5" w:rsidRDefault="004D3BA5" w:rsidP="004D3BA5">
            <w:pPr>
              <w:pStyle w:val="Prosttext"/>
              <w:jc w:val="right"/>
              <w:rPr>
                <w:b/>
                <w:sz w:val="16"/>
                <w:szCs w:val="16"/>
              </w:rPr>
            </w:pPr>
            <w:r w:rsidRPr="004D3BA5">
              <w:rPr>
                <w:rFonts w:cs="Calibri"/>
                <w:b/>
                <w:color w:val="000000"/>
                <w:szCs w:val="20"/>
              </w:rPr>
              <w:t>1 175 079</w:t>
            </w:r>
          </w:p>
        </w:tc>
        <w:tc>
          <w:tcPr>
            <w:tcW w:w="689" w:type="dxa"/>
            <w:tcBorders>
              <w:top w:val="nil"/>
              <w:left w:val="nil"/>
              <w:bottom w:val="single" w:sz="8" w:space="0" w:color="auto"/>
              <w:right w:val="single" w:sz="8" w:space="0" w:color="auto"/>
            </w:tcBorders>
            <w:shd w:val="clear" w:color="000000" w:fill="D9D9D9"/>
            <w:vAlign w:val="center"/>
          </w:tcPr>
          <w:p w14:paraId="2C466E2C" w14:textId="77777777" w:rsidR="004D3BA5" w:rsidRPr="004D3BA5" w:rsidRDefault="004D3BA5" w:rsidP="004D3BA5">
            <w:pPr>
              <w:pStyle w:val="Prosttext"/>
              <w:jc w:val="right"/>
              <w:rPr>
                <w:b/>
                <w:sz w:val="16"/>
                <w:szCs w:val="16"/>
              </w:rPr>
            </w:pPr>
            <w:r w:rsidRPr="004D3BA5">
              <w:rPr>
                <w:rFonts w:cs="Calibri"/>
                <w:b/>
                <w:color w:val="000000"/>
                <w:szCs w:val="20"/>
              </w:rPr>
              <w:t>24</w:t>
            </w:r>
          </w:p>
        </w:tc>
        <w:tc>
          <w:tcPr>
            <w:tcW w:w="1031" w:type="dxa"/>
            <w:tcBorders>
              <w:top w:val="nil"/>
              <w:left w:val="nil"/>
              <w:bottom w:val="single" w:sz="8" w:space="0" w:color="auto"/>
              <w:right w:val="single" w:sz="8" w:space="0" w:color="auto"/>
            </w:tcBorders>
            <w:shd w:val="clear" w:color="000000" w:fill="D9D9D9"/>
            <w:vAlign w:val="center"/>
          </w:tcPr>
          <w:p w14:paraId="24FD613C" w14:textId="77777777" w:rsidR="004D3BA5" w:rsidRPr="004D3BA5" w:rsidRDefault="004D3BA5" w:rsidP="004D3BA5">
            <w:pPr>
              <w:pStyle w:val="Prosttext"/>
              <w:jc w:val="right"/>
              <w:rPr>
                <w:b/>
                <w:sz w:val="16"/>
                <w:szCs w:val="16"/>
              </w:rPr>
            </w:pPr>
            <w:r w:rsidRPr="004D3BA5">
              <w:rPr>
                <w:rFonts w:cs="Calibri"/>
                <w:b/>
                <w:color w:val="000000"/>
                <w:szCs w:val="20"/>
              </w:rPr>
              <w:t>39 181</w:t>
            </w:r>
          </w:p>
        </w:tc>
        <w:tc>
          <w:tcPr>
            <w:tcW w:w="1031" w:type="dxa"/>
            <w:tcBorders>
              <w:top w:val="nil"/>
              <w:left w:val="nil"/>
              <w:bottom w:val="single" w:sz="8" w:space="0" w:color="auto"/>
              <w:right w:val="single" w:sz="8" w:space="0" w:color="auto"/>
            </w:tcBorders>
            <w:shd w:val="clear" w:color="000000" w:fill="D9D9D9"/>
            <w:vAlign w:val="center"/>
          </w:tcPr>
          <w:p w14:paraId="2787F235" w14:textId="77777777" w:rsidR="004D3BA5" w:rsidRPr="004D3BA5" w:rsidRDefault="004D3BA5" w:rsidP="004D3BA5">
            <w:pPr>
              <w:pStyle w:val="Prosttext"/>
              <w:jc w:val="right"/>
              <w:rPr>
                <w:b/>
                <w:sz w:val="16"/>
                <w:szCs w:val="16"/>
              </w:rPr>
            </w:pPr>
            <w:r w:rsidRPr="004D3BA5">
              <w:rPr>
                <w:rFonts w:cs="Calibri"/>
                <w:b/>
                <w:color w:val="000000"/>
                <w:szCs w:val="20"/>
              </w:rPr>
              <w:t>27 561</w:t>
            </w:r>
          </w:p>
        </w:tc>
        <w:tc>
          <w:tcPr>
            <w:tcW w:w="689" w:type="dxa"/>
            <w:tcBorders>
              <w:top w:val="nil"/>
              <w:left w:val="nil"/>
              <w:bottom w:val="single" w:sz="8" w:space="0" w:color="auto"/>
              <w:right w:val="single" w:sz="8" w:space="0" w:color="auto"/>
            </w:tcBorders>
            <w:shd w:val="clear" w:color="000000" w:fill="D9D9D9"/>
            <w:vAlign w:val="center"/>
          </w:tcPr>
          <w:p w14:paraId="2563AE50" w14:textId="77777777" w:rsidR="004D3BA5" w:rsidRPr="004D3BA5" w:rsidRDefault="004D3BA5" w:rsidP="004D3BA5">
            <w:pPr>
              <w:pStyle w:val="Prosttext"/>
              <w:jc w:val="right"/>
              <w:rPr>
                <w:b/>
                <w:sz w:val="16"/>
                <w:szCs w:val="16"/>
              </w:rPr>
            </w:pPr>
            <w:r w:rsidRPr="004D3BA5">
              <w:rPr>
                <w:rFonts w:cs="Calibri"/>
                <w:b/>
                <w:color w:val="000000"/>
                <w:szCs w:val="20"/>
              </w:rPr>
              <w:t>3</w:t>
            </w:r>
          </w:p>
        </w:tc>
        <w:tc>
          <w:tcPr>
            <w:tcW w:w="1031" w:type="dxa"/>
            <w:tcBorders>
              <w:top w:val="nil"/>
              <w:left w:val="nil"/>
              <w:bottom w:val="single" w:sz="8" w:space="0" w:color="auto"/>
              <w:right w:val="single" w:sz="8" w:space="0" w:color="auto"/>
            </w:tcBorders>
            <w:shd w:val="clear" w:color="000000" w:fill="D9D9D9"/>
            <w:vAlign w:val="center"/>
          </w:tcPr>
          <w:p w14:paraId="7C230717" w14:textId="77777777" w:rsidR="004D3BA5" w:rsidRPr="004D3BA5" w:rsidRDefault="004D3BA5" w:rsidP="004D3BA5">
            <w:pPr>
              <w:pStyle w:val="Prosttext"/>
              <w:jc w:val="right"/>
              <w:rPr>
                <w:b/>
                <w:sz w:val="16"/>
                <w:szCs w:val="16"/>
              </w:rPr>
            </w:pPr>
            <w:r w:rsidRPr="004D3BA5">
              <w:rPr>
                <w:rFonts w:cs="Calibri"/>
                <w:b/>
                <w:color w:val="000000"/>
                <w:szCs w:val="20"/>
              </w:rPr>
              <w:t>7 215</w:t>
            </w:r>
          </w:p>
        </w:tc>
        <w:tc>
          <w:tcPr>
            <w:tcW w:w="1049" w:type="dxa"/>
            <w:tcBorders>
              <w:top w:val="nil"/>
              <w:left w:val="nil"/>
              <w:bottom w:val="single" w:sz="8" w:space="0" w:color="auto"/>
              <w:right w:val="single" w:sz="8" w:space="0" w:color="auto"/>
            </w:tcBorders>
            <w:shd w:val="clear" w:color="000000" w:fill="D9D9D9"/>
            <w:vAlign w:val="center"/>
          </w:tcPr>
          <w:p w14:paraId="66D4059C" w14:textId="77777777" w:rsidR="004D3BA5" w:rsidRPr="004D3BA5" w:rsidRDefault="004D3BA5" w:rsidP="004D3BA5">
            <w:pPr>
              <w:pStyle w:val="Prosttext"/>
              <w:jc w:val="right"/>
              <w:rPr>
                <w:b/>
                <w:sz w:val="16"/>
                <w:szCs w:val="16"/>
              </w:rPr>
            </w:pPr>
            <w:r w:rsidRPr="004D3BA5">
              <w:rPr>
                <w:rFonts w:cs="Calibri"/>
                <w:b/>
                <w:color w:val="000000"/>
                <w:szCs w:val="20"/>
              </w:rPr>
              <w:t>6 133</w:t>
            </w:r>
          </w:p>
        </w:tc>
      </w:tr>
    </w:tbl>
    <w:p w14:paraId="5BBFFC34" w14:textId="5A6EE958" w:rsidR="001E2794" w:rsidRDefault="00D716C3" w:rsidP="004826DC">
      <w:pPr>
        <w:tabs>
          <w:tab w:val="left" w:pos="567"/>
        </w:tabs>
        <w:spacing w:after="0"/>
        <w:ind w:left="-425"/>
        <w:rPr>
          <w:i/>
          <w:sz w:val="20"/>
          <w:szCs w:val="20"/>
        </w:rPr>
      </w:pPr>
      <w:r w:rsidRPr="004C6583">
        <w:rPr>
          <w:i/>
          <w:sz w:val="20"/>
          <w:szCs w:val="20"/>
        </w:rPr>
        <w:t xml:space="preserve">Pozn.: </w:t>
      </w:r>
      <w:r w:rsidR="004826DC">
        <w:rPr>
          <w:i/>
          <w:sz w:val="20"/>
          <w:szCs w:val="20"/>
        </w:rPr>
        <w:tab/>
      </w:r>
      <w:r w:rsidRPr="004C6583">
        <w:rPr>
          <w:i/>
          <w:sz w:val="20"/>
          <w:szCs w:val="20"/>
        </w:rPr>
        <w:t>Platnost údajů: 30. 9. 2020</w:t>
      </w:r>
      <w:r w:rsidR="004826DC">
        <w:rPr>
          <w:i/>
          <w:sz w:val="20"/>
          <w:szCs w:val="20"/>
        </w:rPr>
        <w:t>.</w:t>
      </w:r>
      <w:r w:rsidR="004826DC">
        <w:rPr>
          <w:i/>
          <w:sz w:val="20"/>
          <w:szCs w:val="20"/>
        </w:rPr>
        <w:tab/>
      </w:r>
    </w:p>
    <w:p w14:paraId="77AD1EC5" w14:textId="15FF3DB0" w:rsidR="004826DC" w:rsidRPr="004C6583" w:rsidRDefault="004826DC" w:rsidP="004826DC">
      <w:pPr>
        <w:tabs>
          <w:tab w:val="left" w:pos="567"/>
        </w:tabs>
        <w:ind w:left="567" w:right="-2534"/>
        <w:rPr>
          <w:i/>
          <w:sz w:val="20"/>
          <w:szCs w:val="20"/>
        </w:rPr>
      </w:pPr>
      <w:r>
        <w:rPr>
          <w:i/>
          <w:sz w:val="20"/>
          <w:szCs w:val="20"/>
        </w:rPr>
        <w:t>Telekomunikace - k</w:t>
      </w:r>
      <w:r w:rsidRPr="004826DC">
        <w:rPr>
          <w:i/>
          <w:sz w:val="20"/>
          <w:szCs w:val="20"/>
        </w:rPr>
        <w:t>romě projektů CEF Telecom byly přiděleny vouchery v hodnotě 15</w:t>
      </w:r>
      <w:r w:rsidR="002E1E78">
        <w:rPr>
          <w:i/>
          <w:sz w:val="20"/>
          <w:szCs w:val="20"/>
        </w:rPr>
        <w:t xml:space="preserve"> </w:t>
      </w:r>
      <w:r w:rsidRPr="004826DC">
        <w:rPr>
          <w:i/>
          <w:sz w:val="20"/>
          <w:szCs w:val="20"/>
        </w:rPr>
        <w:t>000 EUR celkově 356 obcím v ČR v celkové hodnotě 5</w:t>
      </w:r>
      <w:r w:rsidR="002E1E78">
        <w:rPr>
          <w:i/>
          <w:sz w:val="20"/>
          <w:szCs w:val="20"/>
        </w:rPr>
        <w:t> </w:t>
      </w:r>
      <w:r w:rsidRPr="004826DC">
        <w:rPr>
          <w:i/>
          <w:sz w:val="20"/>
          <w:szCs w:val="20"/>
        </w:rPr>
        <w:t>340</w:t>
      </w:r>
      <w:r w:rsidR="002E1E78">
        <w:rPr>
          <w:i/>
          <w:sz w:val="20"/>
          <w:szCs w:val="20"/>
        </w:rPr>
        <w:t xml:space="preserve"> </w:t>
      </w:r>
      <w:r w:rsidRPr="004826DC">
        <w:rPr>
          <w:i/>
          <w:sz w:val="20"/>
          <w:szCs w:val="20"/>
        </w:rPr>
        <w:t>000 EUR v rámci iniciativy EK „WiFi4EU“(nejedná se však o podporu na základě podaného projekt. Finanční podpora z WiFi4EU je  započtena v tabulce 2)</w:t>
      </w:r>
    </w:p>
    <w:p w14:paraId="6F3B3406" w14:textId="77777777" w:rsidR="00C91486" w:rsidRDefault="003D41CB" w:rsidP="00D410F3">
      <w:pPr>
        <w:ind w:left="993"/>
      </w:pPr>
      <w:r>
        <w:t>T</w:t>
      </w:r>
      <w:r w:rsidR="00C91486">
        <w:t>abulka 2: Čerpání CEF</w:t>
      </w:r>
    </w:p>
    <w:tbl>
      <w:tblPr>
        <w:tblStyle w:val="Mkatabulky"/>
        <w:tblW w:w="11101" w:type="dxa"/>
        <w:tblInd w:w="943" w:type="dxa"/>
        <w:tblLook w:val="04A0" w:firstRow="1" w:lastRow="0" w:firstColumn="1" w:lastColumn="0" w:noHBand="0" w:noVBand="1"/>
      </w:tblPr>
      <w:tblGrid>
        <w:gridCol w:w="2738"/>
        <w:gridCol w:w="2693"/>
        <w:gridCol w:w="1418"/>
        <w:gridCol w:w="1417"/>
        <w:gridCol w:w="1276"/>
        <w:gridCol w:w="1559"/>
      </w:tblGrid>
      <w:tr w:rsidR="003D41CB" w14:paraId="6137866A" w14:textId="77777777" w:rsidTr="00D410F3">
        <w:trPr>
          <w:trHeight w:val="737"/>
        </w:trPr>
        <w:tc>
          <w:tcPr>
            <w:tcW w:w="2738" w:type="dxa"/>
            <w:tcBorders>
              <w:bottom w:val="nil"/>
            </w:tcBorders>
            <w:shd w:val="clear" w:color="auto" w:fill="D9D9D9" w:themeFill="background1" w:themeFillShade="D9"/>
            <w:vAlign w:val="center"/>
          </w:tcPr>
          <w:p w14:paraId="4D47C1EA" w14:textId="77777777" w:rsidR="003D41CB" w:rsidRPr="0038402C" w:rsidRDefault="003D41CB" w:rsidP="00EB775A">
            <w:pPr>
              <w:pStyle w:val="Prosttext"/>
              <w:rPr>
                <w:b/>
              </w:rPr>
            </w:pPr>
          </w:p>
        </w:tc>
        <w:tc>
          <w:tcPr>
            <w:tcW w:w="2693" w:type="dxa"/>
            <w:tcBorders>
              <w:bottom w:val="nil"/>
            </w:tcBorders>
            <w:shd w:val="clear" w:color="auto" w:fill="D9D9D9" w:themeFill="background1" w:themeFillShade="D9"/>
            <w:vAlign w:val="center"/>
          </w:tcPr>
          <w:p w14:paraId="54E71209" w14:textId="77777777" w:rsidR="003D41CB" w:rsidRPr="0038402C" w:rsidRDefault="003D41CB" w:rsidP="00E047B9">
            <w:pPr>
              <w:pStyle w:val="Prosttext"/>
              <w:jc w:val="center"/>
              <w:rPr>
                <w:b/>
                <w:szCs w:val="20"/>
              </w:rPr>
            </w:pPr>
            <w:r>
              <w:rPr>
                <w:b/>
                <w:szCs w:val="20"/>
              </w:rPr>
              <w:t xml:space="preserve">Alokace CEF </w:t>
            </w:r>
          </w:p>
        </w:tc>
        <w:tc>
          <w:tcPr>
            <w:tcW w:w="2835" w:type="dxa"/>
            <w:gridSpan w:val="2"/>
            <w:tcBorders>
              <w:bottom w:val="nil"/>
            </w:tcBorders>
            <w:shd w:val="clear" w:color="auto" w:fill="D9D9D9" w:themeFill="background1" w:themeFillShade="D9"/>
            <w:vAlign w:val="center"/>
          </w:tcPr>
          <w:p w14:paraId="3FABCFEA" w14:textId="77777777" w:rsidR="003D41CB" w:rsidRDefault="003D41CB" w:rsidP="00E047B9">
            <w:pPr>
              <w:pStyle w:val="Prosttext"/>
              <w:jc w:val="center"/>
              <w:rPr>
                <w:b/>
                <w:szCs w:val="20"/>
              </w:rPr>
            </w:pPr>
            <w:r>
              <w:rPr>
                <w:b/>
                <w:szCs w:val="20"/>
              </w:rPr>
              <w:t>Aktuální výše schváleného příspěvku CEF</w:t>
            </w:r>
          </w:p>
        </w:tc>
        <w:tc>
          <w:tcPr>
            <w:tcW w:w="2835" w:type="dxa"/>
            <w:gridSpan w:val="2"/>
            <w:tcBorders>
              <w:bottom w:val="nil"/>
            </w:tcBorders>
            <w:shd w:val="clear" w:color="auto" w:fill="D9D9D9" w:themeFill="background1" w:themeFillShade="D9"/>
            <w:vAlign w:val="center"/>
          </w:tcPr>
          <w:p w14:paraId="3D542C62" w14:textId="77777777" w:rsidR="003D41CB" w:rsidRDefault="003D41CB" w:rsidP="00E047B9">
            <w:pPr>
              <w:pStyle w:val="Prosttext"/>
              <w:jc w:val="center"/>
              <w:rPr>
                <w:b/>
                <w:szCs w:val="20"/>
              </w:rPr>
            </w:pPr>
            <w:r>
              <w:rPr>
                <w:b/>
                <w:szCs w:val="20"/>
              </w:rPr>
              <w:t>Výše obdržených plateb</w:t>
            </w:r>
          </w:p>
        </w:tc>
      </w:tr>
      <w:tr w:rsidR="003D41CB" w14:paraId="6939F708" w14:textId="77777777" w:rsidTr="00D410F3">
        <w:tc>
          <w:tcPr>
            <w:tcW w:w="2738" w:type="dxa"/>
            <w:tcBorders>
              <w:top w:val="nil"/>
            </w:tcBorders>
            <w:shd w:val="clear" w:color="auto" w:fill="D9D9D9" w:themeFill="background1" w:themeFillShade="D9"/>
          </w:tcPr>
          <w:p w14:paraId="2A2C700B" w14:textId="77777777" w:rsidR="003D41CB" w:rsidRPr="0038402C" w:rsidRDefault="003D41CB" w:rsidP="00EB775A">
            <w:pPr>
              <w:pStyle w:val="Prosttext"/>
              <w:rPr>
                <w:b/>
              </w:rPr>
            </w:pPr>
          </w:p>
        </w:tc>
        <w:tc>
          <w:tcPr>
            <w:tcW w:w="2693" w:type="dxa"/>
            <w:tcBorders>
              <w:top w:val="nil"/>
            </w:tcBorders>
            <w:shd w:val="clear" w:color="auto" w:fill="D9D9D9" w:themeFill="background1" w:themeFillShade="D9"/>
            <w:vAlign w:val="center"/>
          </w:tcPr>
          <w:p w14:paraId="05D3202E" w14:textId="77777777" w:rsidR="003D41CB" w:rsidRDefault="003D41CB" w:rsidP="00E047B9">
            <w:pPr>
              <w:pStyle w:val="Prosttext"/>
              <w:jc w:val="center"/>
              <w:rPr>
                <w:b/>
                <w:szCs w:val="20"/>
              </w:rPr>
            </w:pPr>
            <w:r>
              <w:rPr>
                <w:b/>
                <w:szCs w:val="20"/>
              </w:rPr>
              <w:t>EUR</w:t>
            </w:r>
          </w:p>
        </w:tc>
        <w:tc>
          <w:tcPr>
            <w:tcW w:w="1418" w:type="dxa"/>
            <w:tcBorders>
              <w:top w:val="nil"/>
            </w:tcBorders>
            <w:shd w:val="clear" w:color="auto" w:fill="D9D9D9" w:themeFill="background1" w:themeFillShade="D9"/>
            <w:vAlign w:val="center"/>
          </w:tcPr>
          <w:p w14:paraId="0F863172" w14:textId="77777777" w:rsidR="003D41CB" w:rsidRDefault="003D41CB" w:rsidP="00E047B9">
            <w:pPr>
              <w:pStyle w:val="Prosttext"/>
              <w:jc w:val="center"/>
              <w:rPr>
                <w:b/>
                <w:szCs w:val="20"/>
              </w:rPr>
            </w:pPr>
            <w:r>
              <w:rPr>
                <w:b/>
                <w:szCs w:val="20"/>
              </w:rPr>
              <w:t>EUR</w:t>
            </w:r>
          </w:p>
        </w:tc>
        <w:tc>
          <w:tcPr>
            <w:tcW w:w="1417" w:type="dxa"/>
            <w:tcBorders>
              <w:top w:val="nil"/>
            </w:tcBorders>
            <w:shd w:val="clear" w:color="auto" w:fill="D9D9D9" w:themeFill="background1" w:themeFillShade="D9"/>
            <w:vAlign w:val="center"/>
          </w:tcPr>
          <w:p w14:paraId="2A23A6C0" w14:textId="77777777" w:rsidR="003D41CB" w:rsidRDefault="003D41CB" w:rsidP="008528B2">
            <w:pPr>
              <w:pStyle w:val="Prosttext"/>
              <w:jc w:val="center"/>
              <w:rPr>
                <w:b/>
                <w:szCs w:val="20"/>
              </w:rPr>
            </w:pPr>
            <w:r>
              <w:rPr>
                <w:b/>
                <w:szCs w:val="20"/>
              </w:rPr>
              <w:t xml:space="preserve">% </w:t>
            </w:r>
          </w:p>
          <w:p w14:paraId="34C0E067" w14:textId="77777777" w:rsidR="003D41CB" w:rsidRDefault="003D41CB" w:rsidP="008528B2">
            <w:pPr>
              <w:pStyle w:val="Prosttext"/>
              <w:jc w:val="center"/>
              <w:rPr>
                <w:b/>
                <w:szCs w:val="20"/>
              </w:rPr>
            </w:pPr>
            <w:r>
              <w:rPr>
                <w:b/>
                <w:szCs w:val="20"/>
              </w:rPr>
              <w:t>z alokace CEF</w:t>
            </w:r>
          </w:p>
        </w:tc>
        <w:tc>
          <w:tcPr>
            <w:tcW w:w="1276" w:type="dxa"/>
            <w:tcBorders>
              <w:top w:val="nil"/>
            </w:tcBorders>
            <w:shd w:val="clear" w:color="auto" w:fill="D9D9D9" w:themeFill="background1" w:themeFillShade="D9"/>
            <w:vAlign w:val="center"/>
          </w:tcPr>
          <w:p w14:paraId="666DA249" w14:textId="77777777" w:rsidR="003D41CB" w:rsidRDefault="003D41CB" w:rsidP="00E047B9">
            <w:pPr>
              <w:pStyle w:val="Prosttext"/>
              <w:jc w:val="center"/>
              <w:rPr>
                <w:b/>
                <w:szCs w:val="20"/>
              </w:rPr>
            </w:pPr>
            <w:r>
              <w:rPr>
                <w:b/>
                <w:szCs w:val="20"/>
              </w:rPr>
              <w:t>EUR</w:t>
            </w:r>
          </w:p>
        </w:tc>
        <w:tc>
          <w:tcPr>
            <w:tcW w:w="1559" w:type="dxa"/>
            <w:tcBorders>
              <w:top w:val="nil"/>
            </w:tcBorders>
            <w:shd w:val="clear" w:color="auto" w:fill="D9D9D9" w:themeFill="background1" w:themeFillShade="D9"/>
            <w:vAlign w:val="center"/>
          </w:tcPr>
          <w:p w14:paraId="16F7C6AE" w14:textId="77777777" w:rsidR="003D41CB" w:rsidRDefault="003D41CB" w:rsidP="008528B2">
            <w:pPr>
              <w:pStyle w:val="Prosttext"/>
              <w:jc w:val="center"/>
              <w:rPr>
                <w:b/>
                <w:szCs w:val="20"/>
              </w:rPr>
            </w:pPr>
            <w:r>
              <w:rPr>
                <w:b/>
                <w:szCs w:val="20"/>
              </w:rPr>
              <w:t xml:space="preserve">% </w:t>
            </w:r>
          </w:p>
          <w:p w14:paraId="3A8DB3DD" w14:textId="77777777" w:rsidR="003D41CB" w:rsidRDefault="003D41CB" w:rsidP="008528B2">
            <w:pPr>
              <w:pStyle w:val="Prosttext"/>
              <w:jc w:val="center"/>
              <w:rPr>
                <w:b/>
                <w:szCs w:val="20"/>
              </w:rPr>
            </w:pPr>
            <w:r>
              <w:rPr>
                <w:b/>
                <w:szCs w:val="20"/>
              </w:rPr>
              <w:t>z příspěvku CEF</w:t>
            </w:r>
          </w:p>
        </w:tc>
      </w:tr>
      <w:tr w:rsidR="00127535" w:rsidRPr="0038402C" w14:paraId="6D70DEB4" w14:textId="77777777" w:rsidTr="00D410F3">
        <w:tc>
          <w:tcPr>
            <w:tcW w:w="2738" w:type="dxa"/>
          </w:tcPr>
          <w:p w14:paraId="6FC6CE43" w14:textId="77777777" w:rsidR="00127535" w:rsidRPr="0038402C" w:rsidRDefault="00127535" w:rsidP="00127535">
            <w:pPr>
              <w:pStyle w:val="Prosttext"/>
              <w:rPr>
                <w:b/>
              </w:rPr>
            </w:pPr>
            <w:r w:rsidRPr="0038402C">
              <w:rPr>
                <w:b/>
              </w:rPr>
              <w:t>Doprava</w:t>
            </w:r>
          </w:p>
        </w:tc>
        <w:tc>
          <w:tcPr>
            <w:tcW w:w="2693" w:type="dxa"/>
            <w:vAlign w:val="bottom"/>
          </w:tcPr>
          <w:p w14:paraId="38E3D0CF" w14:textId="77777777" w:rsidR="00127535" w:rsidRPr="004E7598" w:rsidRDefault="00127535" w:rsidP="00127535">
            <w:pPr>
              <w:pStyle w:val="Prosttext"/>
              <w:jc w:val="right"/>
              <w:rPr>
                <w:rFonts w:eastAsia="Times New Roman" w:cs="Calibri"/>
                <w:color w:val="000000"/>
                <w:szCs w:val="20"/>
                <w:lang w:eastAsia="cs-CZ"/>
              </w:rPr>
            </w:pPr>
            <w:r w:rsidRPr="004E7598">
              <w:rPr>
                <w:rFonts w:eastAsia="Times New Roman" w:cs="Calibri"/>
                <w:color w:val="000000"/>
                <w:szCs w:val="20"/>
                <w:lang w:eastAsia="cs-CZ"/>
              </w:rPr>
              <w:t xml:space="preserve">24 050 582 000 </w:t>
            </w:r>
          </w:p>
        </w:tc>
        <w:tc>
          <w:tcPr>
            <w:tcW w:w="1418" w:type="dxa"/>
            <w:vAlign w:val="bottom"/>
          </w:tcPr>
          <w:p w14:paraId="16CE6167" w14:textId="77777777" w:rsidR="00127535" w:rsidRPr="004E7598" w:rsidRDefault="00127535" w:rsidP="00127535">
            <w:pPr>
              <w:pStyle w:val="Prosttext"/>
              <w:jc w:val="right"/>
              <w:rPr>
                <w:rFonts w:eastAsia="Times New Roman" w:cs="Calibri"/>
                <w:color w:val="000000"/>
                <w:szCs w:val="20"/>
                <w:lang w:eastAsia="cs-CZ"/>
              </w:rPr>
            </w:pPr>
            <w:r w:rsidRPr="004E7598">
              <w:rPr>
                <w:rFonts w:eastAsia="Times New Roman" w:cs="Calibri"/>
                <w:color w:val="000000"/>
                <w:szCs w:val="20"/>
                <w:lang w:eastAsia="cs-CZ"/>
              </w:rPr>
              <w:t xml:space="preserve">1 145 449 434 </w:t>
            </w:r>
          </w:p>
        </w:tc>
        <w:tc>
          <w:tcPr>
            <w:tcW w:w="1417" w:type="dxa"/>
            <w:vAlign w:val="bottom"/>
          </w:tcPr>
          <w:p w14:paraId="067B7BD9" w14:textId="77777777" w:rsidR="00127535" w:rsidRPr="004E7598" w:rsidRDefault="00127535" w:rsidP="00127535">
            <w:pPr>
              <w:pStyle w:val="Prosttext"/>
              <w:jc w:val="right"/>
              <w:rPr>
                <w:b/>
                <w:szCs w:val="20"/>
              </w:rPr>
            </w:pPr>
            <w:r w:rsidRPr="004E7598">
              <w:rPr>
                <w:rFonts w:cs="Calibri"/>
                <w:color w:val="000000"/>
                <w:szCs w:val="20"/>
              </w:rPr>
              <w:t>4,8</w:t>
            </w:r>
            <w:r>
              <w:rPr>
                <w:rFonts w:cs="Calibri"/>
                <w:color w:val="000000"/>
                <w:szCs w:val="20"/>
              </w:rPr>
              <w:t xml:space="preserve"> </w:t>
            </w:r>
            <w:r w:rsidRPr="004E7598">
              <w:rPr>
                <w:rFonts w:cs="Calibri"/>
                <w:color w:val="000000"/>
                <w:szCs w:val="20"/>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4A4AD5A0" w14:textId="77777777" w:rsidR="00127535" w:rsidRPr="004C6583" w:rsidRDefault="00127535" w:rsidP="00127535">
            <w:pPr>
              <w:pStyle w:val="Prosttext"/>
              <w:jc w:val="right"/>
              <w:rPr>
                <w:rFonts w:eastAsia="Times New Roman" w:cs="Calibri"/>
                <w:color w:val="000000"/>
                <w:szCs w:val="20"/>
                <w:lang w:eastAsia="cs-CZ"/>
              </w:rPr>
            </w:pPr>
            <w:r w:rsidRPr="00127535">
              <w:rPr>
                <w:rFonts w:eastAsia="Times New Roman" w:cs="Calibri"/>
                <w:color w:val="000000"/>
                <w:szCs w:val="20"/>
                <w:lang w:eastAsia="cs-CZ"/>
              </w:rPr>
              <w:t xml:space="preserve">358 609 503 </w:t>
            </w:r>
          </w:p>
        </w:tc>
        <w:tc>
          <w:tcPr>
            <w:tcW w:w="1559" w:type="dxa"/>
            <w:tcBorders>
              <w:top w:val="single" w:sz="4" w:space="0" w:color="auto"/>
              <w:left w:val="nil"/>
              <w:bottom w:val="single" w:sz="4" w:space="0" w:color="auto"/>
              <w:right w:val="single" w:sz="4" w:space="0" w:color="auto"/>
            </w:tcBorders>
            <w:shd w:val="clear" w:color="auto" w:fill="auto"/>
            <w:vAlign w:val="bottom"/>
          </w:tcPr>
          <w:p w14:paraId="33F231E5" w14:textId="77777777" w:rsidR="00127535" w:rsidRPr="00127535" w:rsidRDefault="00127535" w:rsidP="00127535">
            <w:pPr>
              <w:pStyle w:val="Prosttext"/>
              <w:jc w:val="right"/>
              <w:rPr>
                <w:rFonts w:eastAsia="Times New Roman" w:cs="Calibri"/>
                <w:color w:val="000000"/>
                <w:szCs w:val="20"/>
                <w:lang w:eastAsia="cs-CZ"/>
              </w:rPr>
            </w:pPr>
            <w:r w:rsidRPr="00127535">
              <w:rPr>
                <w:rFonts w:eastAsia="Times New Roman" w:cs="Calibri"/>
                <w:color w:val="000000"/>
                <w:szCs w:val="20"/>
                <w:lang w:eastAsia="cs-CZ"/>
              </w:rPr>
              <w:t>31,3%</w:t>
            </w:r>
          </w:p>
        </w:tc>
      </w:tr>
      <w:tr w:rsidR="00127535" w:rsidRPr="0038402C" w14:paraId="620CAE0D" w14:textId="77777777" w:rsidTr="00D410F3">
        <w:tc>
          <w:tcPr>
            <w:tcW w:w="2738" w:type="dxa"/>
          </w:tcPr>
          <w:p w14:paraId="1E1C884B" w14:textId="77777777" w:rsidR="00127535" w:rsidRPr="0038402C" w:rsidRDefault="00127535" w:rsidP="00127535">
            <w:pPr>
              <w:pStyle w:val="Prosttext"/>
              <w:rPr>
                <w:b/>
              </w:rPr>
            </w:pPr>
            <w:r>
              <w:t>- kohezní obálka</w:t>
            </w:r>
          </w:p>
        </w:tc>
        <w:tc>
          <w:tcPr>
            <w:tcW w:w="2693" w:type="dxa"/>
            <w:vAlign w:val="bottom"/>
          </w:tcPr>
          <w:p w14:paraId="47A5641C" w14:textId="77777777" w:rsidR="00127535" w:rsidRPr="004E7598" w:rsidRDefault="00127535" w:rsidP="00127535">
            <w:pPr>
              <w:pStyle w:val="Prosttext"/>
              <w:jc w:val="right"/>
              <w:rPr>
                <w:rFonts w:eastAsia="Times New Roman" w:cs="Calibri"/>
                <w:color w:val="000000"/>
                <w:szCs w:val="20"/>
                <w:lang w:eastAsia="cs-CZ"/>
              </w:rPr>
            </w:pPr>
            <w:r w:rsidRPr="004E7598">
              <w:rPr>
                <w:rFonts w:eastAsia="Times New Roman" w:cs="Calibri"/>
                <w:color w:val="000000"/>
                <w:szCs w:val="20"/>
                <w:lang w:eastAsia="cs-CZ"/>
              </w:rPr>
              <w:t xml:space="preserve">11 305 500 000 </w:t>
            </w:r>
          </w:p>
        </w:tc>
        <w:tc>
          <w:tcPr>
            <w:tcW w:w="1418" w:type="dxa"/>
            <w:vAlign w:val="bottom"/>
          </w:tcPr>
          <w:p w14:paraId="2EFE6F39" w14:textId="77777777" w:rsidR="00127535" w:rsidRPr="004E7598" w:rsidRDefault="00127535" w:rsidP="00127535">
            <w:pPr>
              <w:pStyle w:val="Prosttext"/>
              <w:jc w:val="right"/>
              <w:rPr>
                <w:rFonts w:eastAsia="Times New Roman" w:cs="Calibri"/>
                <w:color w:val="000000"/>
                <w:szCs w:val="20"/>
                <w:lang w:eastAsia="cs-CZ"/>
              </w:rPr>
            </w:pPr>
            <w:r w:rsidRPr="004E7598">
              <w:rPr>
                <w:rFonts w:eastAsia="Times New Roman" w:cs="Calibri"/>
                <w:color w:val="000000"/>
                <w:szCs w:val="20"/>
                <w:lang w:eastAsia="cs-CZ"/>
              </w:rPr>
              <w:t xml:space="preserve">1 097 723 470 </w:t>
            </w:r>
          </w:p>
        </w:tc>
        <w:tc>
          <w:tcPr>
            <w:tcW w:w="1417" w:type="dxa"/>
            <w:vAlign w:val="bottom"/>
          </w:tcPr>
          <w:p w14:paraId="71FDAA81" w14:textId="77777777" w:rsidR="00127535" w:rsidRPr="004E7598" w:rsidRDefault="00127535" w:rsidP="00127535">
            <w:pPr>
              <w:pStyle w:val="Prosttext"/>
              <w:jc w:val="right"/>
              <w:rPr>
                <w:b/>
                <w:szCs w:val="20"/>
              </w:rPr>
            </w:pPr>
            <w:r w:rsidRPr="004E7598">
              <w:rPr>
                <w:rFonts w:cs="Calibri"/>
                <w:color w:val="000000"/>
                <w:szCs w:val="20"/>
              </w:rPr>
              <w:t>9,7</w:t>
            </w:r>
            <w:r>
              <w:rPr>
                <w:rFonts w:cs="Calibri"/>
                <w:color w:val="000000"/>
                <w:szCs w:val="20"/>
              </w:rPr>
              <w:t xml:space="preserve"> </w:t>
            </w:r>
            <w:r w:rsidRPr="004E7598">
              <w:rPr>
                <w:rFonts w:cs="Calibri"/>
                <w:color w:val="000000"/>
                <w:szCs w:val="20"/>
              </w:rPr>
              <w:t>%</w:t>
            </w:r>
          </w:p>
        </w:tc>
        <w:tc>
          <w:tcPr>
            <w:tcW w:w="1276" w:type="dxa"/>
            <w:tcBorders>
              <w:top w:val="nil"/>
              <w:left w:val="single" w:sz="4" w:space="0" w:color="auto"/>
              <w:bottom w:val="single" w:sz="4" w:space="0" w:color="auto"/>
              <w:right w:val="single" w:sz="4" w:space="0" w:color="auto"/>
            </w:tcBorders>
            <w:shd w:val="clear" w:color="auto" w:fill="auto"/>
            <w:vAlign w:val="bottom"/>
          </w:tcPr>
          <w:p w14:paraId="2B831E09" w14:textId="77777777" w:rsidR="00127535" w:rsidRPr="004C6583" w:rsidRDefault="00127535" w:rsidP="00127535">
            <w:pPr>
              <w:pStyle w:val="Prosttext"/>
              <w:jc w:val="right"/>
              <w:rPr>
                <w:rFonts w:eastAsia="Times New Roman" w:cs="Calibri"/>
                <w:color w:val="000000"/>
                <w:szCs w:val="20"/>
                <w:lang w:eastAsia="cs-CZ"/>
              </w:rPr>
            </w:pPr>
            <w:r w:rsidRPr="00127535">
              <w:rPr>
                <w:rFonts w:eastAsia="Times New Roman" w:cs="Calibri"/>
                <w:color w:val="000000"/>
                <w:szCs w:val="20"/>
                <w:lang w:eastAsia="cs-CZ"/>
              </w:rPr>
              <w:t xml:space="preserve">352 228 844 </w:t>
            </w:r>
          </w:p>
        </w:tc>
        <w:tc>
          <w:tcPr>
            <w:tcW w:w="1559" w:type="dxa"/>
            <w:tcBorders>
              <w:top w:val="nil"/>
              <w:left w:val="nil"/>
              <w:bottom w:val="single" w:sz="4" w:space="0" w:color="auto"/>
              <w:right w:val="single" w:sz="4" w:space="0" w:color="auto"/>
            </w:tcBorders>
            <w:shd w:val="clear" w:color="auto" w:fill="auto"/>
            <w:vAlign w:val="bottom"/>
          </w:tcPr>
          <w:p w14:paraId="60240CD2" w14:textId="569CB164" w:rsidR="00127535" w:rsidRPr="00127535" w:rsidRDefault="00127535" w:rsidP="00127535">
            <w:pPr>
              <w:pStyle w:val="Prosttext"/>
              <w:jc w:val="right"/>
              <w:rPr>
                <w:rFonts w:eastAsia="Times New Roman" w:cs="Calibri"/>
                <w:color w:val="000000"/>
                <w:szCs w:val="20"/>
                <w:lang w:eastAsia="cs-CZ"/>
              </w:rPr>
            </w:pPr>
            <w:r w:rsidRPr="00127535">
              <w:rPr>
                <w:rFonts w:eastAsia="Times New Roman" w:cs="Calibri"/>
                <w:color w:val="000000"/>
                <w:szCs w:val="20"/>
                <w:lang w:eastAsia="cs-CZ"/>
              </w:rPr>
              <w:t>32,1%</w:t>
            </w:r>
          </w:p>
        </w:tc>
      </w:tr>
      <w:tr w:rsidR="00127535" w:rsidRPr="0038402C" w14:paraId="5D26F830" w14:textId="77777777" w:rsidTr="00D410F3">
        <w:tc>
          <w:tcPr>
            <w:tcW w:w="2738" w:type="dxa"/>
          </w:tcPr>
          <w:p w14:paraId="1B7E19CB" w14:textId="77777777" w:rsidR="00127535" w:rsidRPr="0038402C" w:rsidRDefault="00127535" w:rsidP="00127535">
            <w:pPr>
              <w:pStyle w:val="Prosttext"/>
              <w:rPr>
                <w:b/>
              </w:rPr>
            </w:pPr>
            <w:r>
              <w:t>- obecná obálka</w:t>
            </w:r>
          </w:p>
        </w:tc>
        <w:tc>
          <w:tcPr>
            <w:tcW w:w="2693" w:type="dxa"/>
            <w:vAlign w:val="bottom"/>
          </w:tcPr>
          <w:p w14:paraId="4FB037E5" w14:textId="77777777" w:rsidR="00127535" w:rsidRPr="004E7598" w:rsidRDefault="00127535" w:rsidP="00127535">
            <w:pPr>
              <w:pStyle w:val="Prosttext"/>
              <w:jc w:val="right"/>
              <w:rPr>
                <w:rFonts w:eastAsia="Times New Roman" w:cs="Calibri"/>
                <w:color w:val="000000"/>
                <w:szCs w:val="20"/>
                <w:lang w:eastAsia="cs-CZ"/>
              </w:rPr>
            </w:pPr>
            <w:r w:rsidRPr="004E7598">
              <w:rPr>
                <w:rFonts w:eastAsia="Times New Roman" w:cs="Calibri"/>
                <w:color w:val="000000"/>
                <w:szCs w:val="20"/>
                <w:lang w:eastAsia="cs-CZ"/>
              </w:rPr>
              <w:t xml:space="preserve">12 745 082 000 </w:t>
            </w:r>
          </w:p>
        </w:tc>
        <w:tc>
          <w:tcPr>
            <w:tcW w:w="1418" w:type="dxa"/>
            <w:vAlign w:val="bottom"/>
          </w:tcPr>
          <w:p w14:paraId="365D1A0B" w14:textId="77777777" w:rsidR="00127535" w:rsidRPr="004E7598" w:rsidRDefault="00127535" w:rsidP="00127535">
            <w:pPr>
              <w:pStyle w:val="Prosttext"/>
              <w:jc w:val="right"/>
              <w:rPr>
                <w:rFonts w:eastAsia="Times New Roman" w:cs="Calibri"/>
                <w:color w:val="000000"/>
                <w:szCs w:val="20"/>
                <w:lang w:eastAsia="cs-CZ"/>
              </w:rPr>
            </w:pPr>
            <w:r w:rsidRPr="004E7598">
              <w:rPr>
                <w:rFonts w:eastAsia="Times New Roman" w:cs="Calibri"/>
                <w:color w:val="000000"/>
                <w:szCs w:val="20"/>
                <w:lang w:eastAsia="cs-CZ"/>
              </w:rPr>
              <w:t xml:space="preserve">47 725 964 </w:t>
            </w:r>
          </w:p>
        </w:tc>
        <w:tc>
          <w:tcPr>
            <w:tcW w:w="1417" w:type="dxa"/>
            <w:vAlign w:val="bottom"/>
          </w:tcPr>
          <w:p w14:paraId="2CBCE746" w14:textId="77777777" w:rsidR="00127535" w:rsidRPr="004E7598" w:rsidRDefault="00127535" w:rsidP="00127535">
            <w:pPr>
              <w:pStyle w:val="Prosttext"/>
              <w:jc w:val="right"/>
              <w:rPr>
                <w:b/>
                <w:szCs w:val="20"/>
              </w:rPr>
            </w:pPr>
            <w:r w:rsidRPr="004E7598">
              <w:rPr>
                <w:rFonts w:cs="Calibri"/>
                <w:color w:val="000000"/>
                <w:szCs w:val="20"/>
              </w:rPr>
              <w:t>0,4</w:t>
            </w:r>
            <w:r>
              <w:rPr>
                <w:rFonts w:cs="Calibri"/>
                <w:color w:val="000000"/>
                <w:szCs w:val="20"/>
              </w:rPr>
              <w:t xml:space="preserve"> </w:t>
            </w:r>
            <w:r w:rsidRPr="004E7598">
              <w:rPr>
                <w:rFonts w:cs="Calibri"/>
                <w:color w:val="000000"/>
                <w:szCs w:val="20"/>
              </w:rPr>
              <w:t>%</w:t>
            </w:r>
          </w:p>
        </w:tc>
        <w:tc>
          <w:tcPr>
            <w:tcW w:w="1276" w:type="dxa"/>
            <w:tcBorders>
              <w:top w:val="nil"/>
              <w:left w:val="single" w:sz="4" w:space="0" w:color="auto"/>
              <w:bottom w:val="single" w:sz="4" w:space="0" w:color="auto"/>
              <w:right w:val="single" w:sz="4" w:space="0" w:color="auto"/>
            </w:tcBorders>
            <w:shd w:val="clear" w:color="auto" w:fill="auto"/>
            <w:vAlign w:val="bottom"/>
          </w:tcPr>
          <w:p w14:paraId="660122A6" w14:textId="77777777" w:rsidR="00127535" w:rsidRPr="004C6583" w:rsidRDefault="00127535" w:rsidP="00127535">
            <w:pPr>
              <w:pStyle w:val="Prosttext"/>
              <w:jc w:val="right"/>
              <w:rPr>
                <w:rFonts w:eastAsia="Times New Roman" w:cs="Calibri"/>
                <w:color w:val="000000"/>
                <w:szCs w:val="20"/>
                <w:lang w:eastAsia="cs-CZ"/>
              </w:rPr>
            </w:pPr>
            <w:r w:rsidRPr="00127535">
              <w:rPr>
                <w:rFonts w:eastAsia="Times New Roman" w:cs="Calibri"/>
                <w:color w:val="000000"/>
                <w:szCs w:val="20"/>
                <w:lang w:eastAsia="cs-CZ"/>
              </w:rPr>
              <w:t xml:space="preserve">6 380 659 </w:t>
            </w:r>
          </w:p>
        </w:tc>
        <w:tc>
          <w:tcPr>
            <w:tcW w:w="1559" w:type="dxa"/>
            <w:tcBorders>
              <w:top w:val="nil"/>
              <w:left w:val="nil"/>
              <w:bottom w:val="single" w:sz="4" w:space="0" w:color="auto"/>
              <w:right w:val="single" w:sz="4" w:space="0" w:color="auto"/>
            </w:tcBorders>
            <w:shd w:val="clear" w:color="auto" w:fill="auto"/>
            <w:vAlign w:val="bottom"/>
          </w:tcPr>
          <w:p w14:paraId="549B1950" w14:textId="77777777" w:rsidR="00127535" w:rsidRPr="00127535" w:rsidRDefault="00127535" w:rsidP="00127535">
            <w:pPr>
              <w:pStyle w:val="Prosttext"/>
              <w:jc w:val="right"/>
              <w:rPr>
                <w:rFonts w:eastAsia="Times New Roman" w:cs="Calibri"/>
                <w:color w:val="000000"/>
                <w:szCs w:val="20"/>
                <w:lang w:eastAsia="cs-CZ"/>
              </w:rPr>
            </w:pPr>
            <w:r w:rsidRPr="00127535">
              <w:rPr>
                <w:rFonts w:eastAsia="Times New Roman" w:cs="Calibri"/>
                <w:color w:val="000000"/>
                <w:szCs w:val="20"/>
                <w:lang w:eastAsia="cs-CZ"/>
              </w:rPr>
              <w:t>13,4%</w:t>
            </w:r>
          </w:p>
        </w:tc>
      </w:tr>
      <w:tr w:rsidR="004C6583" w:rsidRPr="0038402C" w14:paraId="77BF01A2" w14:textId="77777777" w:rsidTr="00D410F3">
        <w:tc>
          <w:tcPr>
            <w:tcW w:w="2738" w:type="dxa"/>
          </w:tcPr>
          <w:p w14:paraId="3B0C3962" w14:textId="77777777" w:rsidR="004C6583" w:rsidRPr="0038402C" w:rsidRDefault="004C6583" w:rsidP="004C6583">
            <w:pPr>
              <w:pStyle w:val="Prosttext"/>
              <w:rPr>
                <w:b/>
              </w:rPr>
            </w:pPr>
            <w:r w:rsidRPr="0038402C">
              <w:rPr>
                <w:b/>
              </w:rPr>
              <w:t>Energetika</w:t>
            </w:r>
          </w:p>
        </w:tc>
        <w:tc>
          <w:tcPr>
            <w:tcW w:w="2693" w:type="dxa"/>
          </w:tcPr>
          <w:p w14:paraId="5F022650" w14:textId="77777777" w:rsidR="004C6583" w:rsidRPr="004E7598" w:rsidRDefault="004C6583" w:rsidP="004C6583">
            <w:pPr>
              <w:pStyle w:val="Prosttext"/>
              <w:jc w:val="right"/>
              <w:rPr>
                <w:rFonts w:eastAsia="Times New Roman" w:cs="Calibri"/>
                <w:color w:val="000000"/>
                <w:szCs w:val="20"/>
                <w:lang w:eastAsia="cs-CZ"/>
              </w:rPr>
            </w:pPr>
            <w:r w:rsidRPr="004E7598">
              <w:rPr>
                <w:rFonts w:eastAsia="Times New Roman" w:cs="Calibri"/>
                <w:color w:val="000000"/>
                <w:szCs w:val="20"/>
                <w:lang w:eastAsia="cs-CZ"/>
              </w:rPr>
              <w:t>5 075 075 000</w:t>
            </w:r>
          </w:p>
        </w:tc>
        <w:tc>
          <w:tcPr>
            <w:tcW w:w="1418" w:type="dxa"/>
          </w:tcPr>
          <w:p w14:paraId="7084B05D" w14:textId="77777777" w:rsidR="004C6583" w:rsidRPr="004E7598" w:rsidRDefault="004C6583" w:rsidP="004C6583">
            <w:pPr>
              <w:pStyle w:val="Prosttext"/>
              <w:jc w:val="right"/>
              <w:rPr>
                <w:rFonts w:eastAsia="Times New Roman" w:cs="Calibri"/>
                <w:color w:val="000000"/>
                <w:szCs w:val="20"/>
                <w:lang w:eastAsia="cs-CZ"/>
              </w:rPr>
            </w:pPr>
            <w:r w:rsidRPr="004E7598">
              <w:rPr>
                <w:rFonts w:eastAsia="Times New Roman" w:cs="Calibri"/>
                <w:color w:val="000000"/>
                <w:szCs w:val="20"/>
                <w:lang w:eastAsia="cs-CZ"/>
              </w:rPr>
              <w:t>50 436 445</w:t>
            </w:r>
          </w:p>
        </w:tc>
        <w:tc>
          <w:tcPr>
            <w:tcW w:w="1417" w:type="dxa"/>
          </w:tcPr>
          <w:p w14:paraId="2D6ECFCE" w14:textId="77777777" w:rsidR="004C6583" w:rsidRPr="004E7598" w:rsidRDefault="004C6583" w:rsidP="004C6583">
            <w:pPr>
              <w:pStyle w:val="Prosttext"/>
              <w:jc w:val="right"/>
              <w:rPr>
                <w:b/>
                <w:szCs w:val="20"/>
              </w:rPr>
            </w:pPr>
            <w:r w:rsidRPr="004E7598">
              <w:rPr>
                <w:rFonts w:eastAsia="Times New Roman" w:cs="Calibri"/>
                <w:color w:val="000000"/>
                <w:szCs w:val="20"/>
                <w:lang w:eastAsia="cs-CZ"/>
              </w:rPr>
              <w:t xml:space="preserve">1,0 </w:t>
            </w:r>
            <w:r w:rsidRPr="007175C5">
              <w:rPr>
                <w:rFonts w:eastAsia="Times New Roman" w:cs="Calibri"/>
                <w:color w:val="000000"/>
                <w:szCs w:val="20"/>
                <w:lang w:eastAsia="cs-CZ"/>
              </w:rPr>
              <w:t>%</w:t>
            </w:r>
          </w:p>
        </w:tc>
        <w:tc>
          <w:tcPr>
            <w:tcW w:w="1276" w:type="dxa"/>
          </w:tcPr>
          <w:p w14:paraId="0F26DA98" w14:textId="77777777" w:rsidR="004C6583" w:rsidRPr="004E7598" w:rsidRDefault="004C6583" w:rsidP="004C6583">
            <w:pPr>
              <w:pStyle w:val="Prosttext"/>
              <w:jc w:val="right"/>
              <w:rPr>
                <w:b/>
                <w:szCs w:val="20"/>
              </w:rPr>
            </w:pPr>
            <w:r w:rsidRPr="007175C5">
              <w:rPr>
                <w:rFonts w:eastAsia="Times New Roman" w:cs="Calibri"/>
                <w:color w:val="000000"/>
                <w:szCs w:val="20"/>
                <w:lang w:eastAsia="cs-CZ"/>
              </w:rPr>
              <w:t xml:space="preserve">6 815 218 </w:t>
            </w:r>
          </w:p>
        </w:tc>
        <w:tc>
          <w:tcPr>
            <w:tcW w:w="1559" w:type="dxa"/>
          </w:tcPr>
          <w:p w14:paraId="609CBB01" w14:textId="77777777" w:rsidR="004C6583" w:rsidRPr="004E7598" w:rsidRDefault="004C6583" w:rsidP="004C6583">
            <w:pPr>
              <w:pStyle w:val="Prosttext"/>
              <w:jc w:val="right"/>
              <w:rPr>
                <w:b/>
                <w:szCs w:val="20"/>
              </w:rPr>
            </w:pPr>
            <w:r w:rsidRPr="007175C5">
              <w:rPr>
                <w:rFonts w:eastAsia="Times New Roman" w:cs="Calibri"/>
                <w:color w:val="000000"/>
                <w:szCs w:val="20"/>
                <w:lang w:eastAsia="cs-CZ"/>
              </w:rPr>
              <w:t>1</w:t>
            </w:r>
            <w:r>
              <w:rPr>
                <w:rFonts w:eastAsia="Times New Roman" w:cs="Calibri"/>
                <w:color w:val="000000"/>
                <w:szCs w:val="20"/>
                <w:lang w:eastAsia="cs-CZ"/>
              </w:rPr>
              <w:t>3,5</w:t>
            </w:r>
            <w:r w:rsidRPr="004E7598">
              <w:rPr>
                <w:rFonts w:eastAsia="Times New Roman" w:cs="Calibri"/>
                <w:color w:val="000000"/>
                <w:szCs w:val="20"/>
                <w:lang w:eastAsia="cs-CZ"/>
              </w:rPr>
              <w:t xml:space="preserve"> </w:t>
            </w:r>
            <w:r w:rsidRPr="007175C5">
              <w:rPr>
                <w:rFonts w:eastAsia="Times New Roman" w:cs="Calibri"/>
                <w:color w:val="000000"/>
                <w:szCs w:val="20"/>
                <w:lang w:eastAsia="cs-CZ"/>
              </w:rPr>
              <w:t>%</w:t>
            </w:r>
          </w:p>
        </w:tc>
      </w:tr>
      <w:tr w:rsidR="004C6583" w:rsidRPr="0038402C" w14:paraId="2E1EBAFF" w14:textId="77777777" w:rsidTr="00D410F3">
        <w:tc>
          <w:tcPr>
            <w:tcW w:w="2738" w:type="dxa"/>
            <w:tcBorders>
              <w:bottom w:val="single" w:sz="4" w:space="0" w:color="auto"/>
            </w:tcBorders>
          </w:tcPr>
          <w:p w14:paraId="75AE8FBF" w14:textId="77777777" w:rsidR="004C6583" w:rsidRPr="0038402C" w:rsidRDefault="004C6583" w:rsidP="004C6583">
            <w:pPr>
              <w:pStyle w:val="Prosttext"/>
              <w:rPr>
                <w:b/>
              </w:rPr>
            </w:pPr>
            <w:r w:rsidRPr="0038402C">
              <w:rPr>
                <w:b/>
              </w:rPr>
              <w:t>Telekomunikace</w:t>
            </w:r>
          </w:p>
        </w:tc>
        <w:tc>
          <w:tcPr>
            <w:tcW w:w="2693" w:type="dxa"/>
            <w:tcBorders>
              <w:bottom w:val="single" w:sz="4" w:space="0" w:color="auto"/>
            </w:tcBorders>
          </w:tcPr>
          <w:p w14:paraId="44CD81CE" w14:textId="77777777" w:rsidR="004C6583" w:rsidRPr="004E7598" w:rsidRDefault="004C6583" w:rsidP="004C6583">
            <w:pPr>
              <w:pStyle w:val="Prosttext"/>
              <w:jc w:val="right"/>
              <w:rPr>
                <w:rFonts w:eastAsia="Times New Roman" w:cs="Calibri"/>
                <w:color w:val="000000"/>
                <w:szCs w:val="20"/>
                <w:lang w:eastAsia="cs-CZ"/>
              </w:rPr>
            </w:pPr>
            <w:r w:rsidRPr="004E7598">
              <w:rPr>
                <w:rFonts w:eastAsia="Times New Roman" w:cs="Calibri"/>
                <w:color w:val="000000"/>
                <w:szCs w:val="20"/>
                <w:lang w:eastAsia="cs-CZ"/>
              </w:rPr>
              <w:t>1 066 602 000</w:t>
            </w:r>
          </w:p>
        </w:tc>
        <w:tc>
          <w:tcPr>
            <w:tcW w:w="1418" w:type="dxa"/>
            <w:tcBorders>
              <w:bottom w:val="single" w:sz="4" w:space="0" w:color="auto"/>
            </w:tcBorders>
          </w:tcPr>
          <w:p w14:paraId="1AF99993" w14:textId="77777777" w:rsidR="004C6583" w:rsidRPr="004E7598" w:rsidRDefault="004C6583" w:rsidP="004C6583">
            <w:pPr>
              <w:pStyle w:val="Prosttext"/>
              <w:jc w:val="right"/>
              <w:rPr>
                <w:rFonts w:eastAsia="Times New Roman" w:cs="Calibri"/>
                <w:color w:val="000000"/>
                <w:szCs w:val="20"/>
                <w:lang w:eastAsia="cs-CZ"/>
              </w:rPr>
            </w:pPr>
            <w:r w:rsidRPr="00E047B9">
              <w:rPr>
                <w:rFonts w:eastAsia="Times New Roman" w:cs="Calibri"/>
                <w:color w:val="000000"/>
                <w:szCs w:val="20"/>
                <w:lang w:eastAsia="cs-CZ"/>
              </w:rPr>
              <w:t>12</w:t>
            </w:r>
            <w:r w:rsidRPr="004E7598">
              <w:rPr>
                <w:rFonts w:eastAsia="Times New Roman" w:cs="Calibri"/>
                <w:color w:val="000000"/>
                <w:szCs w:val="20"/>
                <w:lang w:eastAsia="cs-CZ"/>
              </w:rPr>
              <w:t xml:space="preserve"> </w:t>
            </w:r>
            <w:r w:rsidRPr="00E047B9">
              <w:rPr>
                <w:rFonts w:eastAsia="Times New Roman" w:cs="Calibri"/>
                <w:color w:val="000000"/>
                <w:szCs w:val="20"/>
                <w:lang w:eastAsia="cs-CZ"/>
              </w:rPr>
              <w:t>528</w:t>
            </w:r>
            <w:r w:rsidRPr="004E7598">
              <w:rPr>
                <w:rFonts w:eastAsia="Times New Roman" w:cs="Calibri"/>
                <w:color w:val="000000"/>
                <w:szCs w:val="20"/>
                <w:lang w:eastAsia="cs-CZ"/>
              </w:rPr>
              <w:t xml:space="preserve"> </w:t>
            </w:r>
            <w:r w:rsidRPr="00E047B9">
              <w:rPr>
                <w:rFonts w:eastAsia="Times New Roman" w:cs="Calibri"/>
                <w:color w:val="000000"/>
                <w:szCs w:val="20"/>
                <w:lang w:eastAsia="cs-CZ"/>
              </w:rPr>
              <w:t>186</w:t>
            </w:r>
          </w:p>
        </w:tc>
        <w:tc>
          <w:tcPr>
            <w:tcW w:w="1417" w:type="dxa"/>
            <w:tcBorders>
              <w:bottom w:val="single" w:sz="4" w:space="0" w:color="auto"/>
            </w:tcBorders>
          </w:tcPr>
          <w:p w14:paraId="748558CB" w14:textId="77777777" w:rsidR="004C6583" w:rsidRPr="004E7598" w:rsidRDefault="004C6583" w:rsidP="004C6583">
            <w:pPr>
              <w:pStyle w:val="Prosttext"/>
              <w:jc w:val="right"/>
              <w:rPr>
                <w:szCs w:val="20"/>
              </w:rPr>
            </w:pPr>
            <w:r w:rsidRPr="004E7598">
              <w:rPr>
                <w:szCs w:val="20"/>
              </w:rPr>
              <w:t>1,2 %</w:t>
            </w:r>
          </w:p>
        </w:tc>
        <w:tc>
          <w:tcPr>
            <w:tcW w:w="1276" w:type="dxa"/>
            <w:tcBorders>
              <w:bottom w:val="single" w:sz="4" w:space="0" w:color="auto"/>
            </w:tcBorders>
          </w:tcPr>
          <w:p w14:paraId="3AAC4D05" w14:textId="77777777" w:rsidR="004C6583" w:rsidRPr="004E7598" w:rsidRDefault="000F7DF2" w:rsidP="000F7DF2">
            <w:pPr>
              <w:pStyle w:val="Prosttext"/>
              <w:tabs>
                <w:tab w:val="right" w:pos="1059"/>
              </w:tabs>
              <w:rPr>
                <w:szCs w:val="20"/>
              </w:rPr>
            </w:pPr>
            <w:r>
              <w:rPr>
                <w:szCs w:val="20"/>
              </w:rPr>
              <w:tab/>
            </w:r>
            <w:r w:rsidR="004C6583" w:rsidRPr="00E047B9">
              <w:rPr>
                <w:szCs w:val="20"/>
              </w:rPr>
              <w:t xml:space="preserve"> </w:t>
            </w:r>
            <w:r w:rsidR="004C6583" w:rsidRPr="004E7598">
              <w:rPr>
                <w:szCs w:val="20"/>
              </w:rPr>
              <w:t>7</w:t>
            </w:r>
            <w:r w:rsidR="004C6583" w:rsidRPr="00E047B9">
              <w:rPr>
                <w:szCs w:val="20"/>
              </w:rPr>
              <w:t xml:space="preserve"> 000 000 </w:t>
            </w:r>
          </w:p>
        </w:tc>
        <w:tc>
          <w:tcPr>
            <w:tcW w:w="1559" w:type="dxa"/>
            <w:tcBorders>
              <w:bottom w:val="single" w:sz="4" w:space="0" w:color="auto"/>
            </w:tcBorders>
          </w:tcPr>
          <w:p w14:paraId="7F139A98" w14:textId="77777777" w:rsidR="004C6583" w:rsidRPr="004E7598" w:rsidRDefault="004C6583" w:rsidP="004C6583">
            <w:pPr>
              <w:spacing w:after="0"/>
              <w:jc w:val="right"/>
              <w:rPr>
                <w:szCs w:val="20"/>
              </w:rPr>
            </w:pPr>
            <w:r w:rsidRPr="004E7598">
              <w:rPr>
                <w:szCs w:val="20"/>
              </w:rPr>
              <w:t>5</w:t>
            </w:r>
            <w:r>
              <w:rPr>
                <w:szCs w:val="20"/>
              </w:rPr>
              <w:t>5,9</w:t>
            </w:r>
            <w:r w:rsidRPr="004E7598">
              <w:rPr>
                <w:szCs w:val="20"/>
              </w:rPr>
              <w:t xml:space="preserve"> %</w:t>
            </w:r>
          </w:p>
        </w:tc>
      </w:tr>
      <w:tr w:rsidR="000F7DF2" w:rsidRPr="000F7DF2" w14:paraId="55389563" w14:textId="77777777" w:rsidTr="00D410F3">
        <w:tc>
          <w:tcPr>
            <w:tcW w:w="2738" w:type="dxa"/>
            <w:tcBorders>
              <w:top w:val="single" w:sz="4" w:space="0" w:color="auto"/>
              <w:bottom w:val="single" w:sz="4" w:space="0" w:color="auto"/>
              <w:right w:val="single" w:sz="4" w:space="0" w:color="auto"/>
            </w:tcBorders>
            <w:shd w:val="clear" w:color="auto" w:fill="D9D9D9" w:themeFill="background1" w:themeFillShade="D9"/>
          </w:tcPr>
          <w:p w14:paraId="6BF89330" w14:textId="77777777" w:rsidR="000F7DF2" w:rsidRPr="000F7DF2" w:rsidRDefault="000F7DF2" w:rsidP="000F7DF2">
            <w:pPr>
              <w:pStyle w:val="Prosttext"/>
              <w:rPr>
                <w:b/>
              </w:rPr>
            </w:pPr>
            <w:r w:rsidRPr="000F7DF2">
              <w:rPr>
                <w:b/>
              </w:rPr>
              <w:t>CELKEM</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A338E60" w14:textId="77777777" w:rsidR="000F7DF2" w:rsidRPr="000F7DF2" w:rsidRDefault="000F7DF2" w:rsidP="000F7DF2">
            <w:pPr>
              <w:pStyle w:val="Prosttext"/>
              <w:jc w:val="right"/>
              <w:rPr>
                <w:rFonts w:eastAsia="Times New Roman" w:cs="Calibri"/>
                <w:b/>
                <w:color w:val="000000"/>
                <w:szCs w:val="20"/>
                <w:lang w:eastAsia="cs-CZ"/>
              </w:rPr>
            </w:pPr>
            <w:r w:rsidRPr="000F7DF2">
              <w:rPr>
                <w:rFonts w:eastAsia="Times New Roman" w:cs="Calibri"/>
                <w:b/>
                <w:color w:val="000000"/>
                <w:szCs w:val="20"/>
                <w:lang w:eastAsia="cs-CZ"/>
              </w:rPr>
              <w:t xml:space="preserve">30 192 259 000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6E9CF1E" w14:textId="77777777" w:rsidR="000F7DF2" w:rsidRPr="000F7DF2" w:rsidRDefault="000F7DF2" w:rsidP="000F7DF2">
            <w:pPr>
              <w:pStyle w:val="Prosttext"/>
              <w:jc w:val="right"/>
              <w:rPr>
                <w:rFonts w:eastAsia="Times New Roman" w:cs="Calibri"/>
                <w:b/>
                <w:color w:val="000000"/>
                <w:szCs w:val="20"/>
                <w:lang w:eastAsia="cs-CZ"/>
              </w:rPr>
            </w:pPr>
            <w:r w:rsidRPr="000F7DF2">
              <w:rPr>
                <w:rFonts w:eastAsia="Times New Roman" w:cs="Calibri"/>
                <w:b/>
                <w:color w:val="000000"/>
                <w:szCs w:val="20"/>
                <w:lang w:eastAsia="cs-CZ"/>
              </w:rPr>
              <w:t xml:space="preserve">1 208 414 065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32BB8E5C" w14:textId="77777777" w:rsidR="000F7DF2" w:rsidRPr="000F7DF2" w:rsidRDefault="000F7DF2" w:rsidP="000F7DF2">
            <w:pPr>
              <w:pStyle w:val="Prosttext"/>
              <w:jc w:val="right"/>
              <w:rPr>
                <w:rFonts w:eastAsia="Times New Roman" w:cs="Calibri"/>
                <w:b/>
                <w:color w:val="000000"/>
                <w:szCs w:val="20"/>
                <w:lang w:eastAsia="cs-CZ"/>
              </w:rPr>
            </w:pPr>
            <w:r w:rsidRPr="000F7DF2">
              <w:rPr>
                <w:rFonts w:eastAsia="Times New Roman" w:cs="Calibri"/>
                <w:b/>
                <w:color w:val="000000"/>
                <w:szCs w:val="20"/>
                <w:lang w:eastAsia="cs-CZ"/>
              </w:rPr>
              <w:t>4,0</w:t>
            </w:r>
            <w:r>
              <w:rPr>
                <w:rFonts w:eastAsia="Times New Roman" w:cs="Calibri"/>
                <w:b/>
                <w:color w:val="000000"/>
                <w:szCs w:val="20"/>
                <w:lang w:eastAsia="cs-CZ"/>
              </w:rPr>
              <w:t xml:space="preserve"> </w:t>
            </w:r>
            <w:r w:rsidRPr="000F7DF2">
              <w:rPr>
                <w:rFonts w:eastAsia="Times New Roman" w:cs="Calibri"/>
                <w:b/>
                <w:color w:val="000000"/>
                <w:szCs w:val="20"/>
                <w:lang w:eastAsia="cs-CZ"/>
              </w:rPr>
              <w: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60513ECE" w14:textId="77777777" w:rsidR="000F7DF2" w:rsidRPr="000F7DF2" w:rsidRDefault="000F7DF2" w:rsidP="00127535">
            <w:pPr>
              <w:pStyle w:val="Prosttext"/>
              <w:jc w:val="right"/>
              <w:rPr>
                <w:rFonts w:eastAsia="Times New Roman" w:cs="Calibri"/>
                <w:b/>
                <w:color w:val="000000"/>
                <w:szCs w:val="20"/>
                <w:lang w:eastAsia="cs-CZ"/>
              </w:rPr>
            </w:pPr>
            <w:r w:rsidRPr="000F7DF2">
              <w:rPr>
                <w:rFonts w:eastAsia="Times New Roman" w:cs="Calibri"/>
                <w:b/>
                <w:color w:val="000000"/>
                <w:szCs w:val="20"/>
                <w:lang w:eastAsia="cs-CZ"/>
              </w:rPr>
              <w:t>3</w:t>
            </w:r>
            <w:r w:rsidR="00127535">
              <w:rPr>
                <w:rFonts w:eastAsia="Times New Roman" w:cs="Calibri"/>
                <w:b/>
                <w:color w:val="000000"/>
                <w:szCs w:val="20"/>
                <w:lang w:eastAsia="cs-CZ"/>
              </w:rPr>
              <w:t>72 424 721</w:t>
            </w:r>
            <w:r w:rsidRPr="000F7DF2">
              <w:rPr>
                <w:rFonts w:eastAsia="Times New Roman" w:cs="Calibri"/>
                <w:b/>
                <w:color w:val="000000"/>
                <w:szCs w:val="20"/>
                <w:lang w:eastAsia="cs-CZ"/>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27E34772" w14:textId="77777777" w:rsidR="000F7DF2" w:rsidRPr="000F7DF2" w:rsidRDefault="00127535" w:rsidP="00127535">
            <w:pPr>
              <w:pStyle w:val="Prosttext"/>
              <w:jc w:val="right"/>
              <w:rPr>
                <w:rFonts w:eastAsia="Times New Roman" w:cs="Calibri"/>
                <w:b/>
                <w:color w:val="000000"/>
                <w:szCs w:val="20"/>
                <w:lang w:eastAsia="cs-CZ"/>
              </w:rPr>
            </w:pPr>
            <w:r>
              <w:rPr>
                <w:rFonts w:eastAsia="Times New Roman" w:cs="Calibri"/>
                <w:b/>
                <w:color w:val="000000"/>
                <w:szCs w:val="20"/>
                <w:lang w:eastAsia="cs-CZ"/>
              </w:rPr>
              <w:t>30,8</w:t>
            </w:r>
            <w:r w:rsidR="000F7DF2">
              <w:rPr>
                <w:rFonts w:eastAsia="Times New Roman" w:cs="Calibri"/>
                <w:b/>
                <w:color w:val="000000"/>
                <w:szCs w:val="20"/>
                <w:lang w:eastAsia="cs-CZ"/>
              </w:rPr>
              <w:t xml:space="preserve"> </w:t>
            </w:r>
            <w:r w:rsidR="000F7DF2" w:rsidRPr="000F7DF2">
              <w:rPr>
                <w:rFonts w:eastAsia="Times New Roman" w:cs="Calibri"/>
                <w:b/>
                <w:color w:val="000000"/>
                <w:szCs w:val="20"/>
                <w:lang w:eastAsia="cs-CZ"/>
              </w:rPr>
              <w:t>%</w:t>
            </w:r>
          </w:p>
        </w:tc>
      </w:tr>
    </w:tbl>
    <w:p w14:paraId="76C7E0E9" w14:textId="77777777" w:rsidR="00D716C3" w:rsidRPr="004C6583" w:rsidRDefault="00D716C3" w:rsidP="00D410F3">
      <w:pPr>
        <w:tabs>
          <w:tab w:val="left" w:pos="1701"/>
        </w:tabs>
        <w:spacing w:after="0"/>
        <w:ind w:left="993" w:right="-2817"/>
        <w:rPr>
          <w:i/>
          <w:sz w:val="20"/>
          <w:szCs w:val="20"/>
        </w:rPr>
      </w:pPr>
      <w:r w:rsidRPr="004C6583">
        <w:rPr>
          <w:i/>
          <w:sz w:val="20"/>
          <w:szCs w:val="20"/>
        </w:rPr>
        <w:t xml:space="preserve">Pozn.: </w:t>
      </w:r>
      <w:r w:rsidR="004C6583">
        <w:rPr>
          <w:i/>
          <w:sz w:val="20"/>
          <w:szCs w:val="20"/>
        </w:rPr>
        <w:tab/>
      </w:r>
      <w:r w:rsidRPr="004C6583">
        <w:rPr>
          <w:i/>
          <w:sz w:val="20"/>
          <w:szCs w:val="20"/>
        </w:rPr>
        <w:t xml:space="preserve">Platnost údajů: 30. 9. 2020; údaje jsou orientační, nejsou kalkulovány na základě stejné metody </w:t>
      </w:r>
    </w:p>
    <w:p w14:paraId="6D0C44B3" w14:textId="77777777" w:rsidR="00D716C3" w:rsidRPr="004C6583" w:rsidRDefault="00D716C3" w:rsidP="00D410F3">
      <w:pPr>
        <w:spacing w:after="0"/>
        <w:ind w:left="1701"/>
        <w:rPr>
          <w:i/>
          <w:sz w:val="20"/>
          <w:szCs w:val="20"/>
        </w:rPr>
      </w:pPr>
      <w:r w:rsidRPr="004C6583">
        <w:rPr>
          <w:i/>
          <w:sz w:val="20"/>
          <w:szCs w:val="20"/>
        </w:rPr>
        <w:t xml:space="preserve">Doprava – výše obdržených plateb za projekty, které nejsou financovány prostřednictvím rozpočtu MD, jsou odhadnuty na základě pokroku v realizaci projektů (tj. odhad se vztahuje na </w:t>
      </w:r>
      <w:r w:rsidR="003D41CB" w:rsidRPr="004C6583">
        <w:rPr>
          <w:i/>
          <w:sz w:val="20"/>
          <w:szCs w:val="20"/>
        </w:rPr>
        <w:t xml:space="preserve">12 </w:t>
      </w:r>
      <w:r w:rsidRPr="004C6583">
        <w:rPr>
          <w:i/>
          <w:sz w:val="20"/>
          <w:szCs w:val="20"/>
        </w:rPr>
        <w:t>% schváleného příspěvku CEF)</w:t>
      </w:r>
    </w:p>
    <w:p w14:paraId="0AB48330" w14:textId="6FF038DC" w:rsidR="00C91486" w:rsidRPr="004C6583" w:rsidRDefault="00D716C3" w:rsidP="00D410F3">
      <w:pPr>
        <w:spacing w:after="0"/>
        <w:ind w:left="1701"/>
        <w:rPr>
          <w:i/>
          <w:sz w:val="20"/>
          <w:szCs w:val="20"/>
        </w:rPr>
        <w:sectPr w:rsidR="00C91486" w:rsidRPr="004C6583" w:rsidSect="00D410F3">
          <w:pgSz w:w="16838" w:h="11906" w:orient="landscape"/>
          <w:pgMar w:top="1417" w:right="3513" w:bottom="1417" w:left="1258" w:header="708" w:footer="708" w:gutter="0"/>
          <w:cols w:space="708"/>
          <w:docGrid w:linePitch="360"/>
        </w:sectPr>
      </w:pPr>
      <w:r w:rsidRPr="004C6583">
        <w:rPr>
          <w:i/>
          <w:sz w:val="20"/>
          <w:szCs w:val="20"/>
        </w:rPr>
        <w:t xml:space="preserve">Telekomunikace - výše obdržených plateb za dosud nedokončené projekty je odhadnuta na základě pokroku v realizaci projektů (tj. odhad se vztahuje na </w:t>
      </w:r>
      <w:r w:rsidR="003D41CB" w:rsidRPr="004C6583">
        <w:rPr>
          <w:i/>
          <w:sz w:val="20"/>
          <w:szCs w:val="20"/>
        </w:rPr>
        <w:t xml:space="preserve">cca 33 </w:t>
      </w:r>
      <w:r w:rsidRPr="004C6583">
        <w:rPr>
          <w:i/>
          <w:sz w:val="20"/>
          <w:szCs w:val="20"/>
        </w:rPr>
        <w:t xml:space="preserve">% </w:t>
      </w:r>
      <w:r w:rsidR="003D41CB" w:rsidRPr="004C6583">
        <w:rPr>
          <w:i/>
          <w:sz w:val="20"/>
          <w:szCs w:val="20"/>
        </w:rPr>
        <w:t xml:space="preserve">aktuální výše </w:t>
      </w:r>
      <w:r w:rsidRPr="004C6583">
        <w:rPr>
          <w:i/>
          <w:sz w:val="20"/>
          <w:szCs w:val="20"/>
        </w:rPr>
        <w:t xml:space="preserve">schváleného příspěvku </w:t>
      </w:r>
      <w:r w:rsidR="004C6583">
        <w:rPr>
          <w:i/>
          <w:sz w:val="20"/>
          <w:szCs w:val="20"/>
        </w:rPr>
        <w:t>CEF)</w:t>
      </w:r>
      <w:r w:rsidR="004826DC">
        <w:rPr>
          <w:i/>
          <w:sz w:val="20"/>
          <w:szCs w:val="20"/>
        </w:rPr>
        <w:t>. Údaje za oblast telekomunikací zahrnují čerpání v rámci iniciativy WiFi4EU (356 obcí v ČR = úspěšných žádostí /voucher na 15</w:t>
      </w:r>
      <w:r w:rsidR="002E1E78">
        <w:rPr>
          <w:i/>
          <w:sz w:val="20"/>
          <w:szCs w:val="20"/>
        </w:rPr>
        <w:t xml:space="preserve"> </w:t>
      </w:r>
      <w:r w:rsidR="004826DC">
        <w:rPr>
          <w:i/>
          <w:sz w:val="20"/>
          <w:szCs w:val="20"/>
        </w:rPr>
        <w:t>000 EUR)</w:t>
      </w:r>
    </w:p>
    <w:p w14:paraId="4E96D2F9" w14:textId="77777777" w:rsidR="003B57CB" w:rsidRPr="00D75D7A" w:rsidRDefault="003B57CB" w:rsidP="00D75D7A">
      <w:pPr>
        <w:pStyle w:val="Nadpis2"/>
      </w:pPr>
      <w:r w:rsidRPr="00D75D7A">
        <w:t>Doprava</w:t>
      </w:r>
      <w:r w:rsidR="009E4A4F">
        <w:t xml:space="preserve"> (CEF Transport)</w:t>
      </w:r>
    </w:p>
    <w:p w14:paraId="0B2876B3" w14:textId="77777777" w:rsidR="00D75D7A" w:rsidRPr="00D75D7A" w:rsidRDefault="00D75D7A" w:rsidP="00D75D7A">
      <w:r>
        <w:t>Stav implementace za CEF doprava je zpracován MD.</w:t>
      </w:r>
    </w:p>
    <w:p w14:paraId="2A5E5525" w14:textId="77777777" w:rsidR="00E86709" w:rsidRPr="00D75D7A" w:rsidRDefault="00E86709" w:rsidP="00D75D7A">
      <w:pPr>
        <w:pStyle w:val="Nadpis3"/>
      </w:pPr>
      <w:r w:rsidRPr="00D75D7A">
        <w:t>Výzvy a schválené projekty</w:t>
      </w:r>
    </w:p>
    <w:p w14:paraId="7FF5350B" w14:textId="77777777" w:rsidR="00B03BB6" w:rsidRPr="00D75D7A" w:rsidRDefault="00641201" w:rsidP="00D75D7A">
      <w:pPr>
        <w:pStyle w:val="Podnadpis"/>
      </w:pPr>
      <w:r w:rsidRPr="00D75D7A">
        <w:t xml:space="preserve">Kohezní </w:t>
      </w:r>
      <w:r w:rsidR="00504C27" w:rsidRPr="00D75D7A">
        <w:t>obálka</w:t>
      </w:r>
    </w:p>
    <w:p w14:paraId="7D00E792" w14:textId="77777777" w:rsidR="00641201" w:rsidRDefault="005C25BD" w:rsidP="00F72744">
      <w:r w:rsidRPr="005C25BD">
        <w:t xml:space="preserve">Ve výzvách vyhlášených v prvních třech letech implementace (2014-2016) se podařilo českým subjektům zcela smluvně zavázat </w:t>
      </w:r>
      <w:r w:rsidR="00641201">
        <w:t>národní obálku</w:t>
      </w:r>
      <w:r w:rsidR="00B03BB6">
        <w:t>, kde bylo schváleno celkem 48 projektových žádostí.</w:t>
      </w:r>
    </w:p>
    <w:p w14:paraId="26C0C08E" w14:textId="77777777" w:rsidR="00B03BB6" w:rsidRDefault="00B03BB6" w:rsidP="00F72744">
      <w:r>
        <w:t>Další výzv</w:t>
      </w:r>
      <w:r w:rsidR="00641201">
        <w:t>a</w:t>
      </w:r>
      <w:r>
        <w:t xml:space="preserve"> v kohezním CEF</w:t>
      </w:r>
      <w:r w:rsidR="00641201">
        <w:t xml:space="preserve"> byla vyhlášena v roce 2019 s cílem alokovat prostředky, které se uvolnily na projektech, které byly z důvodu potíží při implementaci částečně nebo zcela nerealizované (viz níže). Tyto prostředky již nebyly rezervované pro členské státy v národních obálkách, ale byly předmětem soutěže.</w:t>
      </w:r>
      <w:r w:rsidR="00FD0EB3">
        <w:t xml:space="preserve"> V této výzvě byly schváleny 2 projekty ze 4 podaných žádostí.</w:t>
      </w:r>
    </w:p>
    <w:p w14:paraId="4BA7CC72" w14:textId="77777777" w:rsidR="00C80206" w:rsidRDefault="00504C27" w:rsidP="00F72744">
      <w:r>
        <w:t>Poslední výzva bude vyhlášena během podzimu.</w:t>
      </w:r>
      <w:r w:rsidR="006D2E9C">
        <w:t xml:space="preserve"> Předpokládá se předložení projektové žádosti ze strany Správy železnic. </w:t>
      </w:r>
      <w:r w:rsidR="00C80206">
        <w:t>Bude záležet na zaměření výzvy, které dosud není známé.</w:t>
      </w:r>
    </w:p>
    <w:p w14:paraId="7F5B087A" w14:textId="77777777" w:rsidR="00504C27" w:rsidRPr="008C2057" w:rsidRDefault="00504C27" w:rsidP="00D75D7A">
      <w:pPr>
        <w:pStyle w:val="Podnadpis"/>
      </w:pPr>
      <w:r w:rsidRPr="008C2057">
        <w:t>Obecná obálka</w:t>
      </w:r>
    </w:p>
    <w:p w14:paraId="62613312" w14:textId="544E2EDB" w:rsidR="006D2E9C" w:rsidRDefault="00504C27" w:rsidP="00F72744">
      <w:r>
        <w:t>O obecnou obálku</w:t>
      </w:r>
      <w:r w:rsidR="00316B55">
        <w:t xml:space="preserve"> byl mezi českými žadateli s ohledem na nižší míru spolufinancování </w:t>
      </w:r>
      <w:r w:rsidR="00706DE3">
        <w:t>(</w:t>
      </w:r>
      <w:r w:rsidR="00926820">
        <w:t>v řadě oblastí exist</w:t>
      </w:r>
      <w:r w:rsidR="000D4FA3">
        <w:t>ovaly</w:t>
      </w:r>
      <w:r w:rsidR="00926820">
        <w:t xml:space="preserve"> dotační tituly s vyšší mírou spolufinancování)</w:t>
      </w:r>
      <w:r w:rsidR="00706DE3">
        <w:t xml:space="preserve"> </w:t>
      </w:r>
      <w:r w:rsidR="006D2E9C">
        <w:t>menší</w:t>
      </w:r>
      <w:r w:rsidR="00316B55">
        <w:t xml:space="preserve"> zájem. Celkově bylo v obecné obálce schváleno </w:t>
      </w:r>
      <w:r w:rsidR="00A976BA">
        <w:t>9</w:t>
      </w:r>
      <w:r w:rsidR="00316B55">
        <w:t xml:space="preserve"> projektů s českým příjemcem. Řada těchto projektů je mezinárodních s hlavním příjemcem z jiné členské země.</w:t>
      </w:r>
      <w:r w:rsidR="00696270">
        <w:t xml:space="preserve"> </w:t>
      </w:r>
      <w:r w:rsidR="007134AE">
        <w:t>Jeden z</w:t>
      </w:r>
      <w:r w:rsidR="006D2E9C">
        <w:t xml:space="preserve"> projektů byl podpořen v rámci tzv. blendingové výzvy, kde podmínkou obdržení dotace bylo zajištění úvěru od Evropské investiční banky (EIB). </w:t>
      </w:r>
    </w:p>
    <w:p w14:paraId="45F11208" w14:textId="77777777" w:rsidR="006D2E9C" w:rsidRDefault="00696270" w:rsidP="00F72744">
      <w:r>
        <w:t>Stejně jako u kohezní obálky se na problémových projektech uvolňují prostředky, které je snaha znovu zazávazkovat v dalších výzvách. Poslední výzva bude vyhlášena během podzimu.</w:t>
      </w:r>
      <w:r w:rsidR="006D2E9C">
        <w:t xml:space="preserve"> Kromě toho ještě dobíhá zvláštní průběžná blendingová výzva zaměřená na budování </w:t>
      </w:r>
      <w:r w:rsidR="004572DD">
        <w:t xml:space="preserve">evropského zabezpečovače </w:t>
      </w:r>
      <w:r w:rsidR="006D2E9C">
        <w:t>ERTMS</w:t>
      </w:r>
      <w:r w:rsidR="0080642D">
        <w:rPr>
          <w:rStyle w:val="Znakapoznpodarou"/>
        </w:rPr>
        <w:footnoteReference w:id="2"/>
      </w:r>
      <w:r w:rsidR="008F7416">
        <w:t>/ETCS</w:t>
      </w:r>
      <w:r w:rsidR="0080642D">
        <w:rPr>
          <w:rStyle w:val="Znakapoznpodarou"/>
        </w:rPr>
        <w:footnoteReference w:id="3"/>
      </w:r>
      <w:r w:rsidR="006D2E9C">
        <w:t xml:space="preserve"> a podporu alternativních paliv – tzv. CEF blending facility. V zásobníku připravovaných projektů je minimálně jeden český projekt.</w:t>
      </w:r>
    </w:p>
    <w:p w14:paraId="4C4D843D" w14:textId="77777777" w:rsidR="008C2057" w:rsidRPr="008C2057" w:rsidRDefault="008C2057" w:rsidP="00D75D7A">
      <w:pPr>
        <w:pStyle w:val="Podnadpis"/>
      </w:pPr>
      <w:r w:rsidRPr="008C2057">
        <w:t>Projekty podle věcného zaměření</w:t>
      </w:r>
    </w:p>
    <w:p w14:paraId="54D6EF00" w14:textId="77777777" w:rsidR="0069308B" w:rsidRDefault="008C2057" w:rsidP="008C2057">
      <w:r>
        <w:t>Z pohledu zaměření se dají projekty</w:t>
      </w:r>
      <w:r w:rsidR="009C709F">
        <w:t xml:space="preserve"> rozdělit na dvě hlavní skupiny </w:t>
      </w:r>
      <w:r>
        <w:t>– budování a modernizace TEN-T. Budování zahrnuje výstavbu nebo zlepšení parametrů železničních tratí, dálnic a vodních cest. Modernizace zahrnuje podporu nových technologií a inovací a jejich nasazení na TEN-T. Jedná se např. o infrastrukturu pro alternativní paliva nebo telematické systémy (ERTMS, ITS</w:t>
      </w:r>
      <w:r w:rsidR="004572DD">
        <w:rPr>
          <w:rStyle w:val="Znakapoznpodarou"/>
        </w:rPr>
        <w:footnoteReference w:id="4"/>
      </w:r>
      <w:r>
        <w:t>, RIS</w:t>
      </w:r>
      <w:r w:rsidR="004572DD">
        <w:rPr>
          <w:rStyle w:val="Znakapoznpodarou"/>
        </w:rPr>
        <w:footnoteReference w:id="5"/>
      </w:r>
      <w:r w:rsidR="008F7416">
        <w:t>, SESAR</w:t>
      </w:r>
      <w:r w:rsidR="008F7416">
        <w:rPr>
          <w:rStyle w:val="Znakapoznpodarou"/>
        </w:rPr>
        <w:footnoteReference w:id="6"/>
      </w:r>
      <w:r>
        <w:t>).</w:t>
      </w:r>
    </w:p>
    <w:p w14:paraId="549BC0D8" w14:textId="605BFC7C" w:rsidR="0080642D" w:rsidRDefault="0069308B" w:rsidP="008C2057">
      <w:r>
        <w:t>Absolutní většina prostředků míří do budování železniční infrastruktur</w:t>
      </w:r>
      <w:r w:rsidR="00533E39">
        <w:t>y</w:t>
      </w:r>
      <w:r>
        <w:t>, a to zejména tratí. Vysoký podíl prostředků připadá i na budování ERTMS, traťové části i vybavení vozidel palubními jednotkami</w:t>
      </w:r>
      <w:r w:rsidR="0080642D">
        <w:t xml:space="preserve"> ETCS</w:t>
      </w:r>
      <w:r>
        <w:t>. Na tuto oblast mělo být vynaloženo více prostředků, budování ERTMS se však potýká s obtížemi (viz dále). Více viz tabulka 3.</w:t>
      </w:r>
    </w:p>
    <w:p w14:paraId="7642033F" w14:textId="77777777" w:rsidR="0080642D" w:rsidRDefault="0080642D">
      <w:pPr>
        <w:spacing w:after="0"/>
        <w:jc w:val="left"/>
      </w:pPr>
      <w:r>
        <w:br w:type="page"/>
      </w:r>
    </w:p>
    <w:p w14:paraId="5D836D7D" w14:textId="77777777" w:rsidR="0069308B" w:rsidRDefault="0069308B" w:rsidP="008C2057">
      <w:r>
        <w:t>Tabulka 3: Věcné zaměření projektů CEF doprava</w:t>
      </w:r>
    </w:p>
    <w:tbl>
      <w:tblPr>
        <w:tblStyle w:val="Mkatabulky"/>
        <w:tblW w:w="9498" w:type="dxa"/>
        <w:tblInd w:w="-5" w:type="dxa"/>
        <w:tblLayout w:type="fixed"/>
        <w:tblLook w:val="04A0" w:firstRow="1" w:lastRow="0" w:firstColumn="1" w:lastColumn="0" w:noHBand="0" w:noVBand="1"/>
      </w:tblPr>
      <w:tblGrid>
        <w:gridCol w:w="2410"/>
        <w:gridCol w:w="851"/>
        <w:gridCol w:w="1417"/>
        <w:gridCol w:w="1276"/>
        <w:gridCol w:w="850"/>
        <w:gridCol w:w="1418"/>
        <w:gridCol w:w="1276"/>
      </w:tblGrid>
      <w:tr w:rsidR="0069308B" w14:paraId="43C8F4DE" w14:textId="77777777" w:rsidTr="0069308B">
        <w:trPr>
          <w:trHeight w:val="737"/>
        </w:trPr>
        <w:tc>
          <w:tcPr>
            <w:tcW w:w="2410" w:type="dxa"/>
            <w:tcBorders>
              <w:left w:val="single" w:sz="4" w:space="0" w:color="auto"/>
              <w:bottom w:val="nil"/>
              <w:right w:val="single" w:sz="4" w:space="0" w:color="auto"/>
            </w:tcBorders>
            <w:shd w:val="clear" w:color="auto" w:fill="D9D9D9" w:themeFill="background1" w:themeFillShade="D9"/>
          </w:tcPr>
          <w:p w14:paraId="160C39F1" w14:textId="77777777" w:rsidR="00DB0722" w:rsidRDefault="00DB0722" w:rsidP="000F7DF2">
            <w:pPr>
              <w:pStyle w:val="Prosttext"/>
              <w:rPr>
                <w:b/>
              </w:rPr>
            </w:pPr>
          </w:p>
          <w:p w14:paraId="6E178ABF" w14:textId="77777777" w:rsidR="00DB0722" w:rsidRDefault="00DB0722" w:rsidP="000F7DF2">
            <w:pPr>
              <w:pStyle w:val="Prosttext"/>
              <w:rPr>
                <w:b/>
              </w:rPr>
            </w:pPr>
          </w:p>
        </w:tc>
        <w:tc>
          <w:tcPr>
            <w:tcW w:w="354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1832A412" w14:textId="77777777" w:rsidR="00DB0722" w:rsidRDefault="00DB0722" w:rsidP="00DB0722">
            <w:pPr>
              <w:pStyle w:val="Prosttext"/>
              <w:jc w:val="center"/>
              <w:rPr>
                <w:b/>
              </w:rPr>
            </w:pPr>
            <w:r>
              <w:rPr>
                <w:b/>
              </w:rPr>
              <w:t>Schválené projekty</w:t>
            </w:r>
          </w:p>
          <w:p w14:paraId="69CD028E" w14:textId="77777777" w:rsidR="00DB0722" w:rsidRDefault="00DB0722" w:rsidP="000F7DF2">
            <w:pPr>
              <w:pStyle w:val="Prosttext"/>
              <w:jc w:val="center"/>
              <w:rPr>
                <w:b/>
                <w:szCs w:val="20"/>
              </w:rPr>
            </w:pPr>
            <w:r>
              <w:rPr>
                <w:b/>
                <w:szCs w:val="20"/>
              </w:rPr>
              <w:t>KOHEZNÍ OBÁLKA</w:t>
            </w:r>
          </w:p>
        </w:tc>
        <w:tc>
          <w:tcPr>
            <w:tcW w:w="354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78E7EE61" w14:textId="77777777" w:rsidR="00DB0722" w:rsidRDefault="00DB0722" w:rsidP="000F7DF2">
            <w:pPr>
              <w:pStyle w:val="Prosttext"/>
              <w:jc w:val="center"/>
              <w:rPr>
                <w:b/>
              </w:rPr>
            </w:pPr>
            <w:r>
              <w:rPr>
                <w:b/>
              </w:rPr>
              <w:t>Schválené projekty</w:t>
            </w:r>
          </w:p>
          <w:p w14:paraId="74B0F58C" w14:textId="77777777" w:rsidR="00DB0722" w:rsidRDefault="00DB0722" w:rsidP="000F7DF2">
            <w:pPr>
              <w:pStyle w:val="Prosttext"/>
              <w:jc w:val="center"/>
              <w:rPr>
                <w:b/>
                <w:szCs w:val="20"/>
              </w:rPr>
            </w:pPr>
            <w:r>
              <w:rPr>
                <w:b/>
              </w:rPr>
              <w:t>OBECNÁ OBÁLKA</w:t>
            </w:r>
          </w:p>
        </w:tc>
      </w:tr>
      <w:tr w:rsidR="00DB0722" w14:paraId="2313BC4F" w14:textId="77777777" w:rsidTr="0069308B">
        <w:tc>
          <w:tcPr>
            <w:tcW w:w="2410" w:type="dxa"/>
            <w:tcBorders>
              <w:top w:val="nil"/>
              <w:left w:val="single" w:sz="4" w:space="0" w:color="auto"/>
              <w:bottom w:val="single" w:sz="4" w:space="0" w:color="auto"/>
              <w:right w:val="single" w:sz="4" w:space="0" w:color="auto"/>
            </w:tcBorders>
            <w:shd w:val="clear" w:color="auto" w:fill="D9D9D9" w:themeFill="background1" w:themeFillShade="D9"/>
          </w:tcPr>
          <w:p w14:paraId="0F66CFFA" w14:textId="77777777" w:rsidR="00DB0722" w:rsidRDefault="00DB0722" w:rsidP="000F7DF2">
            <w:pPr>
              <w:pStyle w:val="Prosttext"/>
              <w:rPr>
                <w:b/>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6456FCD" w14:textId="77777777" w:rsidR="00DB0722" w:rsidRDefault="00DB0722" w:rsidP="000F7DF2">
            <w:pPr>
              <w:pStyle w:val="Prosttext"/>
              <w:jc w:val="center"/>
              <w:rPr>
                <w:b/>
                <w:szCs w:val="20"/>
              </w:rPr>
            </w:pPr>
            <w:r>
              <w:rPr>
                <w:b/>
                <w:szCs w:val="20"/>
              </w:rPr>
              <w:t>Počet</w:t>
            </w: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0DEFE56" w14:textId="77777777" w:rsidR="00DB0722" w:rsidRDefault="00DB0722" w:rsidP="000F7DF2">
            <w:pPr>
              <w:pStyle w:val="Prosttext"/>
              <w:jc w:val="center"/>
              <w:rPr>
                <w:b/>
                <w:szCs w:val="20"/>
              </w:rPr>
            </w:pPr>
            <w:r>
              <w:rPr>
                <w:b/>
                <w:szCs w:val="20"/>
              </w:rPr>
              <w:t>Způsobilé výdaje</w:t>
            </w:r>
          </w:p>
          <w:p w14:paraId="65D0149D" w14:textId="77777777" w:rsidR="00DB0722" w:rsidRDefault="00DB0722" w:rsidP="0069308B">
            <w:pPr>
              <w:pStyle w:val="Prosttext"/>
              <w:jc w:val="center"/>
              <w:rPr>
                <w:b/>
                <w:szCs w:val="20"/>
              </w:rPr>
            </w:pPr>
            <w:r>
              <w:rPr>
                <w:b/>
                <w:szCs w:val="20"/>
              </w:rPr>
              <w:t>(EUR)</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AB3B009" w14:textId="77777777" w:rsidR="00DB0722" w:rsidRDefault="00DB0722" w:rsidP="000F7DF2">
            <w:pPr>
              <w:pStyle w:val="Prosttext"/>
              <w:jc w:val="center"/>
              <w:rPr>
                <w:b/>
                <w:szCs w:val="20"/>
              </w:rPr>
            </w:pPr>
            <w:r>
              <w:rPr>
                <w:b/>
                <w:szCs w:val="20"/>
              </w:rPr>
              <w:t>Příspěvek CEF</w:t>
            </w:r>
          </w:p>
          <w:p w14:paraId="5A7543C7" w14:textId="77777777" w:rsidR="00DB0722" w:rsidRDefault="00DB0722" w:rsidP="0069308B">
            <w:pPr>
              <w:pStyle w:val="Prosttext"/>
              <w:jc w:val="center"/>
              <w:rPr>
                <w:b/>
                <w:szCs w:val="20"/>
              </w:rPr>
            </w:pPr>
            <w:r>
              <w:rPr>
                <w:b/>
                <w:szCs w:val="20"/>
              </w:rPr>
              <w:t>(EUR)</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FB60288" w14:textId="77777777" w:rsidR="00DB0722" w:rsidRDefault="00DB0722" w:rsidP="000F7DF2">
            <w:pPr>
              <w:pStyle w:val="Prosttext"/>
              <w:jc w:val="center"/>
              <w:rPr>
                <w:b/>
                <w:szCs w:val="20"/>
              </w:rPr>
            </w:pPr>
            <w:r>
              <w:rPr>
                <w:b/>
                <w:szCs w:val="20"/>
              </w:rPr>
              <w:t>Počet</w:t>
            </w:r>
          </w:p>
        </w:tc>
        <w:tc>
          <w:tcPr>
            <w:tcW w:w="14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C020E" w14:textId="77777777" w:rsidR="00DB0722" w:rsidRDefault="00DB0722" w:rsidP="000F7DF2">
            <w:pPr>
              <w:pStyle w:val="Prosttext"/>
              <w:jc w:val="center"/>
              <w:rPr>
                <w:b/>
                <w:szCs w:val="20"/>
              </w:rPr>
            </w:pPr>
            <w:r>
              <w:rPr>
                <w:b/>
                <w:szCs w:val="20"/>
              </w:rPr>
              <w:t>Způsobilé výdaje</w:t>
            </w:r>
          </w:p>
          <w:p w14:paraId="6A37CD71" w14:textId="77777777" w:rsidR="00DB0722" w:rsidRDefault="00DB0722" w:rsidP="0069308B">
            <w:pPr>
              <w:pStyle w:val="Prosttext"/>
              <w:jc w:val="center"/>
              <w:rPr>
                <w:b/>
                <w:szCs w:val="20"/>
              </w:rPr>
            </w:pPr>
            <w:r>
              <w:rPr>
                <w:b/>
                <w:szCs w:val="20"/>
              </w:rPr>
              <w:t>(EUR)</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D159A4" w14:textId="77777777" w:rsidR="00DB0722" w:rsidRDefault="00DB0722" w:rsidP="000F7DF2">
            <w:pPr>
              <w:pStyle w:val="Prosttext"/>
              <w:jc w:val="center"/>
              <w:rPr>
                <w:b/>
                <w:szCs w:val="20"/>
              </w:rPr>
            </w:pPr>
            <w:r>
              <w:rPr>
                <w:b/>
                <w:szCs w:val="20"/>
              </w:rPr>
              <w:t>Příspěvek CEF</w:t>
            </w:r>
          </w:p>
          <w:p w14:paraId="6F68D080" w14:textId="77777777" w:rsidR="00DB0722" w:rsidRDefault="00DB0722" w:rsidP="0069308B">
            <w:pPr>
              <w:pStyle w:val="Prosttext"/>
              <w:jc w:val="center"/>
              <w:rPr>
                <w:b/>
                <w:szCs w:val="20"/>
              </w:rPr>
            </w:pPr>
            <w:r>
              <w:rPr>
                <w:b/>
                <w:szCs w:val="20"/>
              </w:rPr>
              <w:t>(EUR)</w:t>
            </w:r>
          </w:p>
        </w:tc>
      </w:tr>
      <w:tr w:rsidR="0069308B" w:rsidRPr="00C91486" w14:paraId="05055E8B" w14:textId="77777777" w:rsidTr="0069308B">
        <w:tc>
          <w:tcPr>
            <w:tcW w:w="2410" w:type="dxa"/>
            <w:tcBorders>
              <w:top w:val="single" w:sz="4" w:space="0" w:color="auto"/>
              <w:left w:val="single" w:sz="4" w:space="0" w:color="auto"/>
              <w:bottom w:val="single" w:sz="4" w:space="0" w:color="auto"/>
              <w:right w:val="single" w:sz="4" w:space="0" w:color="auto"/>
            </w:tcBorders>
          </w:tcPr>
          <w:p w14:paraId="472BD547" w14:textId="77777777" w:rsidR="00DB0722" w:rsidRDefault="00DB0722" w:rsidP="0069308B">
            <w:pPr>
              <w:pStyle w:val="Prosttext"/>
              <w:jc w:val="left"/>
              <w:rPr>
                <w:b/>
                <w:sz w:val="22"/>
              </w:rPr>
            </w:pPr>
            <w:r w:rsidRPr="00DB0722">
              <w:rPr>
                <w:rFonts w:eastAsia="Times New Roman" w:cs="Calibri"/>
                <w:color w:val="000000"/>
                <w:szCs w:val="22"/>
                <w:lang w:eastAsia="cs-CZ"/>
              </w:rPr>
              <w:t>Železnice</w:t>
            </w:r>
          </w:p>
        </w:tc>
        <w:tc>
          <w:tcPr>
            <w:tcW w:w="851" w:type="dxa"/>
            <w:tcBorders>
              <w:top w:val="single" w:sz="4" w:space="0" w:color="auto"/>
              <w:left w:val="single" w:sz="4" w:space="0" w:color="auto"/>
              <w:bottom w:val="single" w:sz="4" w:space="0" w:color="auto"/>
              <w:right w:val="single" w:sz="4" w:space="0" w:color="auto"/>
            </w:tcBorders>
          </w:tcPr>
          <w:p w14:paraId="77A1CF91" w14:textId="77777777" w:rsidR="00DB0722" w:rsidRPr="00C91486" w:rsidRDefault="00DB0722" w:rsidP="0069308B">
            <w:pPr>
              <w:pStyle w:val="Prosttext"/>
              <w:jc w:val="right"/>
              <w:rPr>
                <w:szCs w:val="20"/>
              </w:rPr>
            </w:pPr>
            <w:r w:rsidRPr="00DB0722">
              <w:rPr>
                <w:rFonts w:eastAsia="Times New Roman" w:cs="Calibri"/>
                <w:color w:val="000000"/>
                <w:szCs w:val="22"/>
                <w:lang w:eastAsia="cs-CZ"/>
              </w:rPr>
              <w:t xml:space="preserve">19 </w:t>
            </w:r>
          </w:p>
        </w:tc>
        <w:tc>
          <w:tcPr>
            <w:tcW w:w="1417" w:type="dxa"/>
            <w:tcBorders>
              <w:top w:val="single" w:sz="4" w:space="0" w:color="auto"/>
              <w:left w:val="single" w:sz="4" w:space="0" w:color="auto"/>
              <w:bottom w:val="single" w:sz="4" w:space="0" w:color="auto"/>
              <w:right w:val="single" w:sz="4" w:space="0" w:color="auto"/>
            </w:tcBorders>
          </w:tcPr>
          <w:p w14:paraId="15A4F885" w14:textId="77777777" w:rsidR="00DB0722" w:rsidRPr="00C91486" w:rsidRDefault="00DB0722" w:rsidP="0069308B">
            <w:pPr>
              <w:pStyle w:val="Prosttext"/>
              <w:jc w:val="right"/>
              <w:rPr>
                <w:szCs w:val="20"/>
              </w:rPr>
            </w:pPr>
            <w:r w:rsidRPr="00DB0722">
              <w:rPr>
                <w:rFonts w:eastAsia="Times New Roman" w:cs="Calibri"/>
                <w:color w:val="000000"/>
                <w:szCs w:val="22"/>
                <w:lang w:eastAsia="cs-CZ"/>
              </w:rPr>
              <w:t xml:space="preserve">1 122 398 706 </w:t>
            </w:r>
          </w:p>
        </w:tc>
        <w:tc>
          <w:tcPr>
            <w:tcW w:w="1276" w:type="dxa"/>
            <w:tcBorders>
              <w:top w:val="single" w:sz="4" w:space="0" w:color="auto"/>
              <w:left w:val="single" w:sz="4" w:space="0" w:color="auto"/>
              <w:bottom w:val="single" w:sz="4" w:space="0" w:color="auto"/>
              <w:right w:val="single" w:sz="4" w:space="0" w:color="auto"/>
            </w:tcBorders>
          </w:tcPr>
          <w:p w14:paraId="74DED01E" w14:textId="77777777" w:rsidR="00DB0722" w:rsidRPr="00C91486" w:rsidRDefault="00DB0722" w:rsidP="0069308B">
            <w:pPr>
              <w:pStyle w:val="Prosttext"/>
              <w:jc w:val="right"/>
              <w:rPr>
                <w:szCs w:val="20"/>
              </w:rPr>
            </w:pPr>
            <w:r w:rsidRPr="00DB0722">
              <w:rPr>
                <w:rFonts w:eastAsia="Times New Roman" w:cs="Calibri"/>
                <w:color w:val="000000"/>
                <w:szCs w:val="22"/>
                <w:lang w:eastAsia="cs-CZ"/>
              </w:rPr>
              <w:t xml:space="preserve">905 770 998 </w:t>
            </w:r>
          </w:p>
        </w:tc>
        <w:tc>
          <w:tcPr>
            <w:tcW w:w="850" w:type="dxa"/>
            <w:tcBorders>
              <w:top w:val="single" w:sz="4" w:space="0" w:color="auto"/>
              <w:left w:val="single" w:sz="4" w:space="0" w:color="auto"/>
              <w:bottom w:val="single" w:sz="4" w:space="0" w:color="auto"/>
              <w:right w:val="single" w:sz="4" w:space="0" w:color="auto"/>
            </w:tcBorders>
          </w:tcPr>
          <w:p w14:paraId="22E30BE2" w14:textId="77777777" w:rsidR="00DB0722" w:rsidRPr="00C91486" w:rsidRDefault="00DB0722" w:rsidP="0069308B">
            <w:pPr>
              <w:pStyle w:val="Prosttext"/>
              <w:jc w:val="right"/>
              <w:rPr>
                <w:szCs w:val="20"/>
              </w:rPr>
            </w:pPr>
            <w:r w:rsidRPr="00DB0722">
              <w:rPr>
                <w:rFonts w:eastAsia="Times New Roman" w:cs="Calibri"/>
                <w:color w:val="000000"/>
                <w:szCs w:val="22"/>
                <w:lang w:eastAsia="cs-CZ"/>
              </w:rPr>
              <w:t xml:space="preserve">1 </w:t>
            </w:r>
          </w:p>
        </w:tc>
        <w:tc>
          <w:tcPr>
            <w:tcW w:w="1418" w:type="dxa"/>
            <w:tcBorders>
              <w:top w:val="single" w:sz="4" w:space="0" w:color="auto"/>
              <w:left w:val="single" w:sz="4" w:space="0" w:color="auto"/>
              <w:bottom w:val="single" w:sz="4" w:space="0" w:color="auto"/>
              <w:right w:val="single" w:sz="4" w:space="0" w:color="auto"/>
            </w:tcBorders>
          </w:tcPr>
          <w:p w14:paraId="7B4B8FAD" w14:textId="77777777" w:rsidR="00DB0722" w:rsidRPr="00C91486" w:rsidRDefault="00DB0722" w:rsidP="0069308B">
            <w:pPr>
              <w:pStyle w:val="Prosttext"/>
              <w:jc w:val="right"/>
              <w:rPr>
                <w:szCs w:val="20"/>
              </w:rPr>
            </w:pPr>
            <w:r w:rsidRPr="00DB0722">
              <w:rPr>
                <w:rFonts w:eastAsia="Times New Roman" w:cs="Calibri"/>
                <w:color w:val="000000"/>
                <w:szCs w:val="22"/>
                <w:lang w:eastAsia="cs-CZ"/>
              </w:rPr>
              <w:t xml:space="preserve">191 421 522 </w:t>
            </w:r>
          </w:p>
        </w:tc>
        <w:tc>
          <w:tcPr>
            <w:tcW w:w="1276" w:type="dxa"/>
            <w:tcBorders>
              <w:top w:val="single" w:sz="4" w:space="0" w:color="auto"/>
              <w:left w:val="single" w:sz="4" w:space="0" w:color="auto"/>
              <w:bottom w:val="single" w:sz="4" w:space="0" w:color="auto"/>
              <w:right w:val="single" w:sz="4" w:space="0" w:color="auto"/>
            </w:tcBorders>
          </w:tcPr>
          <w:p w14:paraId="1CD3D0FE" w14:textId="77777777" w:rsidR="00DB0722" w:rsidRPr="00C91486" w:rsidRDefault="00DB0722" w:rsidP="0069308B">
            <w:pPr>
              <w:pStyle w:val="Prosttext"/>
              <w:jc w:val="right"/>
              <w:rPr>
                <w:szCs w:val="20"/>
              </w:rPr>
            </w:pPr>
            <w:r w:rsidRPr="00DB0722">
              <w:rPr>
                <w:rFonts w:eastAsia="Times New Roman" w:cs="Calibri"/>
                <w:color w:val="000000"/>
                <w:szCs w:val="22"/>
                <w:lang w:eastAsia="cs-CZ"/>
              </w:rPr>
              <w:t xml:space="preserve">38 284 304 </w:t>
            </w:r>
          </w:p>
        </w:tc>
      </w:tr>
      <w:tr w:rsidR="00DB0722" w:rsidRPr="00DB0722" w14:paraId="18A26D28" w14:textId="77777777" w:rsidTr="0069308B">
        <w:trPr>
          <w:trHeight w:val="300"/>
        </w:trPr>
        <w:tc>
          <w:tcPr>
            <w:tcW w:w="2410" w:type="dxa"/>
            <w:noWrap/>
          </w:tcPr>
          <w:p w14:paraId="3A08ABCD" w14:textId="77777777" w:rsidR="00DB0722" w:rsidRPr="00DB0722" w:rsidRDefault="00DB0722"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Vnitrozemské vodní cesty</w:t>
            </w:r>
          </w:p>
        </w:tc>
        <w:tc>
          <w:tcPr>
            <w:tcW w:w="851" w:type="dxa"/>
            <w:noWrap/>
          </w:tcPr>
          <w:p w14:paraId="79B39EE0"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 </w:t>
            </w:r>
          </w:p>
        </w:tc>
        <w:tc>
          <w:tcPr>
            <w:tcW w:w="1417" w:type="dxa"/>
            <w:noWrap/>
          </w:tcPr>
          <w:p w14:paraId="7AE2FB8C"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12 572 408 </w:t>
            </w:r>
          </w:p>
        </w:tc>
        <w:tc>
          <w:tcPr>
            <w:tcW w:w="1276" w:type="dxa"/>
            <w:noWrap/>
          </w:tcPr>
          <w:p w14:paraId="70D91395"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10 686 547 </w:t>
            </w:r>
          </w:p>
        </w:tc>
        <w:tc>
          <w:tcPr>
            <w:tcW w:w="850" w:type="dxa"/>
            <w:noWrap/>
          </w:tcPr>
          <w:p w14:paraId="52D1205B"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3BD32C2F"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2F52DAD8"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1A236FF8" w14:textId="77777777" w:rsidTr="0069308B">
        <w:trPr>
          <w:trHeight w:val="300"/>
        </w:trPr>
        <w:tc>
          <w:tcPr>
            <w:tcW w:w="2410" w:type="dxa"/>
            <w:noWrap/>
          </w:tcPr>
          <w:p w14:paraId="2A426575" w14:textId="77777777" w:rsidR="00DB0722" w:rsidRPr="00DB0722" w:rsidRDefault="00DB0722"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Silnice </w:t>
            </w:r>
          </w:p>
        </w:tc>
        <w:tc>
          <w:tcPr>
            <w:tcW w:w="851" w:type="dxa"/>
            <w:noWrap/>
          </w:tcPr>
          <w:p w14:paraId="503B0FBF"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w:t>
            </w:r>
          </w:p>
        </w:tc>
        <w:tc>
          <w:tcPr>
            <w:tcW w:w="1417" w:type="dxa"/>
            <w:noWrap/>
          </w:tcPr>
          <w:p w14:paraId="04D7EEDA"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2 711 774 </w:t>
            </w:r>
          </w:p>
        </w:tc>
        <w:tc>
          <w:tcPr>
            <w:tcW w:w="1276" w:type="dxa"/>
            <w:noWrap/>
          </w:tcPr>
          <w:p w14:paraId="6AF2DA37"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2 305 008 </w:t>
            </w:r>
          </w:p>
        </w:tc>
        <w:tc>
          <w:tcPr>
            <w:tcW w:w="850" w:type="dxa"/>
            <w:noWrap/>
          </w:tcPr>
          <w:p w14:paraId="01AA5297"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7E2F1FD4"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70E4F1F6" w14:textId="77777777" w:rsidR="00DB0722" w:rsidRPr="00DB0722" w:rsidRDefault="00DB0722"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2034085B" w14:textId="77777777" w:rsidTr="0069308B">
        <w:trPr>
          <w:trHeight w:val="300"/>
        </w:trPr>
        <w:tc>
          <w:tcPr>
            <w:tcW w:w="2410" w:type="dxa"/>
            <w:shd w:val="clear" w:color="auto" w:fill="D9D9D9" w:themeFill="background1" w:themeFillShade="D9"/>
            <w:noWrap/>
            <w:hideMark/>
          </w:tcPr>
          <w:p w14:paraId="5C8B2B79" w14:textId="77777777" w:rsidR="00DB0722" w:rsidRPr="00DB0722" w:rsidRDefault="00DB0722" w:rsidP="0069308B">
            <w:pPr>
              <w:spacing w:after="0"/>
              <w:jc w:val="left"/>
              <w:rPr>
                <w:rFonts w:eastAsia="Times New Roman" w:cs="Calibri"/>
                <w:b/>
                <w:color w:val="000000"/>
                <w:szCs w:val="22"/>
                <w:lang w:eastAsia="cs-CZ"/>
              </w:rPr>
            </w:pPr>
            <w:r w:rsidRPr="00DB0722">
              <w:rPr>
                <w:rFonts w:eastAsia="Times New Roman" w:cs="Calibri"/>
                <w:b/>
                <w:color w:val="000000"/>
                <w:szCs w:val="22"/>
                <w:lang w:eastAsia="cs-CZ"/>
              </w:rPr>
              <w:t>Budování TEN-T</w:t>
            </w:r>
          </w:p>
        </w:tc>
        <w:tc>
          <w:tcPr>
            <w:tcW w:w="851" w:type="dxa"/>
            <w:shd w:val="clear" w:color="auto" w:fill="D9D9D9" w:themeFill="background1" w:themeFillShade="D9"/>
            <w:hideMark/>
          </w:tcPr>
          <w:p w14:paraId="620FAB81" w14:textId="77777777" w:rsidR="00DB0722" w:rsidRPr="00DB0722" w:rsidRDefault="00DB0722" w:rsidP="0069308B">
            <w:pPr>
              <w:spacing w:after="0"/>
              <w:jc w:val="right"/>
              <w:rPr>
                <w:rFonts w:eastAsia="Times New Roman" w:cs="Calibri"/>
                <w:b/>
                <w:bCs/>
                <w:color w:val="000000"/>
                <w:szCs w:val="20"/>
                <w:lang w:eastAsia="cs-CZ"/>
              </w:rPr>
            </w:pPr>
            <w:r w:rsidRPr="00DB0722">
              <w:rPr>
                <w:rFonts w:eastAsia="Times New Roman" w:cs="Calibri"/>
                <w:b/>
                <w:bCs/>
                <w:color w:val="000000"/>
                <w:szCs w:val="20"/>
                <w:lang w:eastAsia="cs-CZ"/>
              </w:rPr>
              <w:t xml:space="preserve">22 </w:t>
            </w:r>
          </w:p>
        </w:tc>
        <w:tc>
          <w:tcPr>
            <w:tcW w:w="1417" w:type="dxa"/>
            <w:shd w:val="clear" w:color="auto" w:fill="D9D9D9" w:themeFill="background1" w:themeFillShade="D9"/>
            <w:hideMark/>
          </w:tcPr>
          <w:p w14:paraId="0E3358F2" w14:textId="77777777" w:rsidR="00DB0722" w:rsidRPr="00DB0722" w:rsidRDefault="00DB0722" w:rsidP="0069308B">
            <w:pPr>
              <w:spacing w:after="0"/>
              <w:jc w:val="right"/>
              <w:rPr>
                <w:rFonts w:eastAsia="Times New Roman" w:cs="Calibri"/>
                <w:b/>
                <w:bCs/>
                <w:color w:val="000000"/>
                <w:szCs w:val="20"/>
                <w:lang w:eastAsia="cs-CZ"/>
              </w:rPr>
            </w:pPr>
            <w:r w:rsidRPr="00DB0722">
              <w:rPr>
                <w:rFonts w:eastAsia="Times New Roman" w:cs="Calibri"/>
                <w:b/>
                <w:bCs/>
                <w:color w:val="000000"/>
                <w:szCs w:val="20"/>
                <w:lang w:eastAsia="cs-CZ"/>
              </w:rPr>
              <w:t xml:space="preserve">1 137 682 888 </w:t>
            </w:r>
          </w:p>
        </w:tc>
        <w:tc>
          <w:tcPr>
            <w:tcW w:w="1276" w:type="dxa"/>
            <w:shd w:val="clear" w:color="auto" w:fill="D9D9D9" w:themeFill="background1" w:themeFillShade="D9"/>
            <w:hideMark/>
          </w:tcPr>
          <w:p w14:paraId="62E7F0A9" w14:textId="77777777" w:rsidR="00DB0722" w:rsidRPr="00DB0722" w:rsidRDefault="00DB0722" w:rsidP="0069308B">
            <w:pPr>
              <w:spacing w:after="0"/>
              <w:jc w:val="right"/>
              <w:rPr>
                <w:rFonts w:eastAsia="Times New Roman" w:cs="Calibri"/>
                <w:b/>
                <w:bCs/>
                <w:color w:val="000000"/>
                <w:szCs w:val="20"/>
                <w:lang w:eastAsia="cs-CZ"/>
              </w:rPr>
            </w:pPr>
            <w:r w:rsidRPr="00DB0722">
              <w:rPr>
                <w:rFonts w:eastAsia="Times New Roman" w:cs="Calibri"/>
                <w:b/>
                <w:bCs/>
                <w:color w:val="000000"/>
                <w:szCs w:val="20"/>
                <w:lang w:eastAsia="cs-CZ"/>
              </w:rPr>
              <w:t xml:space="preserve">918 762 553 </w:t>
            </w:r>
          </w:p>
        </w:tc>
        <w:tc>
          <w:tcPr>
            <w:tcW w:w="850" w:type="dxa"/>
            <w:shd w:val="clear" w:color="auto" w:fill="D9D9D9" w:themeFill="background1" w:themeFillShade="D9"/>
            <w:hideMark/>
          </w:tcPr>
          <w:p w14:paraId="77087ECC" w14:textId="77777777" w:rsidR="00DB0722" w:rsidRPr="00DB0722" w:rsidRDefault="00DB0722" w:rsidP="0069308B">
            <w:pPr>
              <w:spacing w:after="0"/>
              <w:jc w:val="right"/>
              <w:rPr>
                <w:rFonts w:eastAsia="Times New Roman" w:cs="Calibri"/>
                <w:b/>
                <w:bCs/>
                <w:color w:val="000000"/>
                <w:szCs w:val="20"/>
                <w:lang w:eastAsia="cs-CZ"/>
              </w:rPr>
            </w:pPr>
            <w:r w:rsidRPr="00DB0722">
              <w:rPr>
                <w:rFonts w:eastAsia="Times New Roman" w:cs="Calibri"/>
                <w:b/>
                <w:bCs/>
                <w:color w:val="000000"/>
                <w:szCs w:val="20"/>
                <w:lang w:eastAsia="cs-CZ"/>
              </w:rPr>
              <w:t xml:space="preserve">1 </w:t>
            </w:r>
          </w:p>
        </w:tc>
        <w:tc>
          <w:tcPr>
            <w:tcW w:w="1418" w:type="dxa"/>
            <w:shd w:val="clear" w:color="auto" w:fill="D9D9D9" w:themeFill="background1" w:themeFillShade="D9"/>
            <w:hideMark/>
          </w:tcPr>
          <w:p w14:paraId="1BF55E89" w14:textId="77777777" w:rsidR="00DB0722" w:rsidRPr="00DB0722" w:rsidRDefault="00DB0722" w:rsidP="0069308B">
            <w:pPr>
              <w:spacing w:after="0"/>
              <w:jc w:val="right"/>
              <w:rPr>
                <w:rFonts w:eastAsia="Times New Roman" w:cs="Calibri"/>
                <w:b/>
                <w:bCs/>
                <w:color w:val="000000"/>
                <w:szCs w:val="20"/>
                <w:lang w:eastAsia="cs-CZ"/>
              </w:rPr>
            </w:pPr>
            <w:r w:rsidRPr="00DB0722">
              <w:rPr>
                <w:rFonts w:eastAsia="Times New Roman" w:cs="Calibri"/>
                <w:b/>
                <w:bCs/>
                <w:color w:val="000000"/>
                <w:szCs w:val="20"/>
                <w:lang w:eastAsia="cs-CZ"/>
              </w:rPr>
              <w:t xml:space="preserve"> 191 421 522 </w:t>
            </w:r>
          </w:p>
        </w:tc>
        <w:tc>
          <w:tcPr>
            <w:tcW w:w="1276" w:type="dxa"/>
            <w:shd w:val="clear" w:color="auto" w:fill="D9D9D9" w:themeFill="background1" w:themeFillShade="D9"/>
            <w:hideMark/>
          </w:tcPr>
          <w:p w14:paraId="2F385C27" w14:textId="77777777" w:rsidR="00DB0722" w:rsidRPr="00DB0722" w:rsidRDefault="00DB0722" w:rsidP="0069308B">
            <w:pPr>
              <w:spacing w:after="0"/>
              <w:jc w:val="right"/>
              <w:rPr>
                <w:rFonts w:eastAsia="Times New Roman" w:cs="Calibri"/>
                <w:b/>
                <w:bCs/>
                <w:color w:val="000000"/>
                <w:szCs w:val="20"/>
                <w:lang w:eastAsia="cs-CZ"/>
              </w:rPr>
            </w:pPr>
            <w:r w:rsidRPr="00DB0722">
              <w:rPr>
                <w:rFonts w:eastAsia="Times New Roman" w:cs="Calibri"/>
                <w:b/>
                <w:bCs/>
                <w:color w:val="000000"/>
                <w:szCs w:val="20"/>
                <w:lang w:eastAsia="cs-CZ"/>
              </w:rPr>
              <w:t xml:space="preserve">38 284 304 </w:t>
            </w:r>
          </w:p>
        </w:tc>
      </w:tr>
      <w:tr w:rsidR="0069308B" w:rsidRPr="00DB0722" w14:paraId="53F5E81C" w14:textId="77777777" w:rsidTr="0069308B">
        <w:trPr>
          <w:trHeight w:val="300"/>
        </w:trPr>
        <w:tc>
          <w:tcPr>
            <w:tcW w:w="2410" w:type="dxa"/>
            <w:noWrap/>
            <w:hideMark/>
          </w:tcPr>
          <w:p w14:paraId="073149C7"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Traťová část ERTMS</w:t>
            </w:r>
          </w:p>
        </w:tc>
        <w:tc>
          <w:tcPr>
            <w:tcW w:w="851" w:type="dxa"/>
            <w:noWrap/>
            <w:hideMark/>
          </w:tcPr>
          <w:p w14:paraId="08E80C0C"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4 </w:t>
            </w:r>
          </w:p>
        </w:tc>
        <w:tc>
          <w:tcPr>
            <w:tcW w:w="1417" w:type="dxa"/>
            <w:noWrap/>
            <w:hideMark/>
          </w:tcPr>
          <w:p w14:paraId="4922D70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73 973 656 </w:t>
            </w:r>
          </w:p>
        </w:tc>
        <w:tc>
          <w:tcPr>
            <w:tcW w:w="1276" w:type="dxa"/>
            <w:noWrap/>
            <w:hideMark/>
          </w:tcPr>
          <w:p w14:paraId="58A07AB1"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62 877 607 </w:t>
            </w:r>
          </w:p>
        </w:tc>
        <w:tc>
          <w:tcPr>
            <w:tcW w:w="850" w:type="dxa"/>
            <w:noWrap/>
            <w:hideMark/>
          </w:tcPr>
          <w:p w14:paraId="1F8FACE6"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65E8A9CD"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hideMark/>
          </w:tcPr>
          <w:p w14:paraId="29C70ACB"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0EC84259" w14:textId="77777777" w:rsidTr="0069308B">
        <w:trPr>
          <w:trHeight w:val="300"/>
        </w:trPr>
        <w:tc>
          <w:tcPr>
            <w:tcW w:w="2410" w:type="dxa"/>
            <w:noWrap/>
            <w:hideMark/>
          </w:tcPr>
          <w:p w14:paraId="1BD65643"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Palubní jednotky ERTMS </w:t>
            </w:r>
          </w:p>
        </w:tc>
        <w:tc>
          <w:tcPr>
            <w:tcW w:w="851" w:type="dxa"/>
            <w:noWrap/>
            <w:hideMark/>
          </w:tcPr>
          <w:p w14:paraId="08B804E3"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4 </w:t>
            </w:r>
          </w:p>
        </w:tc>
        <w:tc>
          <w:tcPr>
            <w:tcW w:w="1417" w:type="dxa"/>
            <w:noWrap/>
            <w:hideMark/>
          </w:tcPr>
          <w:p w14:paraId="16A022F4"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57 342 399 </w:t>
            </w:r>
          </w:p>
        </w:tc>
        <w:tc>
          <w:tcPr>
            <w:tcW w:w="1276" w:type="dxa"/>
            <w:noWrap/>
            <w:hideMark/>
          </w:tcPr>
          <w:p w14:paraId="18699DBF"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48 741 039 </w:t>
            </w:r>
          </w:p>
        </w:tc>
        <w:tc>
          <w:tcPr>
            <w:tcW w:w="850" w:type="dxa"/>
            <w:noWrap/>
            <w:hideMark/>
          </w:tcPr>
          <w:p w14:paraId="26D55738"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w:t>
            </w:r>
          </w:p>
        </w:tc>
        <w:tc>
          <w:tcPr>
            <w:tcW w:w="1418" w:type="dxa"/>
            <w:noWrap/>
            <w:hideMark/>
          </w:tcPr>
          <w:p w14:paraId="617FC6F9"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18 947 345 </w:t>
            </w:r>
          </w:p>
        </w:tc>
        <w:tc>
          <w:tcPr>
            <w:tcW w:w="1276" w:type="dxa"/>
            <w:noWrap/>
            <w:hideMark/>
          </w:tcPr>
          <w:p w14:paraId="7E01312B"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6 407 173 </w:t>
            </w:r>
          </w:p>
        </w:tc>
      </w:tr>
      <w:tr w:rsidR="0069308B" w:rsidRPr="00DB0722" w14:paraId="2284D978" w14:textId="77777777" w:rsidTr="0069308B">
        <w:trPr>
          <w:trHeight w:val="300"/>
        </w:trPr>
        <w:tc>
          <w:tcPr>
            <w:tcW w:w="2410" w:type="dxa"/>
            <w:noWrap/>
            <w:hideMark/>
          </w:tcPr>
          <w:p w14:paraId="33A61066"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ITS </w:t>
            </w:r>
          </w:p>
        </w:tc>
        <w:tc>
          <w:tcPr>
            <w:tcW w:w="851" w:type="dxa"/>
            <w:noWrap/>
            <w:hideMark/>
          </w:tcPr>
          <w:p w14:paraId="04CFD826"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w:t>
            </w:r>
          </w:p>
        </w:tc>
        <w:tc>
          <w:tcPr>
            <w:tcW w:w="1417" w:type="dxa"/>
            <w:noWrap/>
            <w:hideMark/>
          </w:tcPr>
          <w:p w14:paraId="34A3DB09"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19 908 691 </w:t>
            </w:r>
          </w:p>
        </w:tc>
        <w:tc>
          <w:tcPr>
            <w:tcW w:w="1276" w:type="dxa"/>
            <w:noWrap/>
            <w:hideMark/>
          </w:tcPr>
          <w:p w14:paraId="0D16A8B6"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16 922 387 </w:t>
            </w:r>
          </w:p>
        </w:tc>
        <w:tc>
          <w:tcPr>
            <w:tcW w:w="850" w:type="dxa"/>
            <w:noWrap/>
            <w:hideMark/>
          </w:tcPr>
          <w:p w14:paraId="395309B0"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5 </w:t>
            </w:r>
          </w:p>
        </w:tc>
        <w:tc>
          <w:tcPr>
            <w:tcW w:w="1418" w:type="dxa"/>
            <w:noWrap/>
            <w:hideMark/>
          </w:tcPr>
          <w:p w14:paraId="41A767EC"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12 947 559 </w:t>
            </w:r>
          </w:p>
        </w:tc>
        <w:tc>
          <w:tcPr>
            <w:tcW w:w="1276" w:type="dxa"/>
            <w:noWrap/>
            <w:hideMark/>
          </w:tcPr>
          <w:p w14:paraId="4E4AB169"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3 002 779 </w:t>
            </w:r>
          </w:p>
        </w:tc>
      </w:tr>
      <w:tr w:rsidR="0069308B" w:rsidRPr="00DB0722" w14:paraId="08EE8E7B" w14:textId="77777777" w:rsidTr="0069308B">
        <w:trPr>
          <w:trHeight w:val="300"/>
        </w:trPr>
        <w:tc>
          <w:tcPr>
            <w:tcW w:w="2410" w:type="dxa"/>
            <w:noWrap/>
            <w:hideMark/>
          </w:tcPr>
          <w:p w14:paraId="5D979FA4"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Kombinovaná doprava </w:t>
            </w:r>
          </w:p>
        </w:tc>
        <w:tc>
          <w:tcPr>
            <w:tcW w:w="851" w:type="dxa"/>
            <w:noWrap/>
            <w:hideMark/>
          </w:tcPr>
          <w:p w14:paraId="1CD4489F"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w:t>
            </w:r>
          </w:p>
        </w:tc>
        <w:tc>
          <w:tcPr>
            <w:tcW w:w="1417" w:type="dxa"/>
            <w:noWrap/>
            <w:hideMark/>
          </w:tcPr>
          <w:p w14:paraId="16F2C0C6"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19 480 927 </w:t>
            </w:r>
          </w:p>
        </w:tc>
        <w:tc>
          <w:tcPr>
            <w:tcW w:w="1276" w:type="dxa"/>
            <w:noWrap/>
            <w:hideMark/>
          </w:tcPr>
          <w:p w14:paraId="79DA2A91"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14 868 548 </w:t>
            </w:r>
          </w:p>
        </w:tc>
        <w:tc>
          <w:tcPr>
            <w:tcW w:w="850" w:type="dxa"/>
            <w:noWrap/>
          </w:tcPr>
          <w:p w14:paraId="419FF72F"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30DA9F51"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4E1EA6B7"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6EBB87F7" w14:textId="77777777" w:rsidTr="0069308B">
        <w:trPr>
          <w:trHeight w:val="300"/>
        </w:trPr>
        <w:tc>
          <w:tcPr>
            <w:tcW w:w="2410" w:type="dxa"/>
            <w:noWrap/>
            <w:hideMark/>
          </w:tcPr>
          <w:p w14:paraId="42DCA98C"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SESAR</w:t>
            </w:r>
          </w:p>
        </w:tc>
        <w:tc>
          <w:tcPr>
            <w:tcW w:w="851" w:type="dxa"/>
            <w:noWrap/>
            <w:hideMark/>
          </w:tcPr>
          <w:p w14:paraId="266147C9"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4 </w:t>
            </w:r>
          </w:p>
        </w:tc>
        <w:tc>
          <w:tcPr>
            <w:tcW w:w="1417" w:type="dxa"/>
            <w:noWrap/>
            <w:hideMark/>
          </w:tcPr>
          <w:p w14:paraId="7D0BC162"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14 110 213 </w:t>
            </w:r>
          </w:p>
        </w:tc>
        <w:tc>
          <w:tcPr>
            <w:tcW w:w="1276" w:type="dxa"/>
            <w:noWrap/>
            <w:hideMark/>
          </w:tcPr>
          <w:p w14:paraId="4706C4DD"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11 541 607 </w:t>
            </w:r>
          </w:p>
        </w:tc>
        <w:tc>
          <w:tcPr>
            <w:tcW w:w="850" w:type="dxa"/>
            <w:noWrap/>
          </w:tcPr>
          <w:p w14:paraId="69BB1A4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49EC7813"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0FC76006"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00E868E0" w14:textId="77777777" w:rsidTr="0069308B">
        <w:trPr>
          <w:trHeight w:val="300"/>
        </w:trPr>
        <w:tc>
          <w:tcPr>
            <w:tcW w:w="2410" w:type="dxa"/>
            <w:noWrap/>
            <w:hideMark/>
          </w:tcPr>
          <w:p w14:paraId="2B5BFB01"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Odpočívky </w:t>
            </w:r>
          </w:p>
        </w:tc>
        <w:tc>
          <w:tcPr>
            <w:tcW w:w="851" w:type="dxa"/>
            <w:noWrap/>
            <w:hideMark/>
          </w:tcPr>
          <w:p w14:paraId="02B91AF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w:t>
            </w:r>
          </w:p>
        </w:tc>
        <w:tc>
          <w:tcPr>
            <w:tcW w:w="1417" w:type="dxa"/>
            <w:noWrap/>
            <w:hideMark/>
          </w:tcPr>
          <w:p w14:paraId="124C927C"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12 466 725 </w:t>
            </w:r>
          </w:p>
        </w:tc>
        <w:tc>
          <w:tcPr>
            <w:tcW w:w="1276" w:type="dxa"/>
            <w:noWrap/>
            <w:hideMark/>
          </w:tcPr>
          <w:p w14:paraId="1E9C523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10 596 716 </w:t>
            </w:r>
          </w:p>
        </w:tc>
        <w:tc>
          <w:tcPr>
            <w:tcW w:w="850" w:type="dxa"/>
            <w:noWrap/>
          </w:tcPr>
          <w:p w14:paraId="6E0B47DF"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41D116D2"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0D6543D8"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580A4E7D" w14:textId="77777777" w:rsidTr="0069308B">
        <w:trPr>
          <w:trHeight w:val="300"/>
        </w:trPr>
        <w:tc>
          <w:tcPr>
            <w:tcW w:w="2410" w:type="dxa"/>
            <w:noWrap/>
            <w:hideMark/>
          </w:tcPr>
          <w:p w14:paraId="6F0BFDB6"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Alternativní paliva</w:t>
            </w:r>
          </w:p>
        </w:tc>
        <w:tc>
          <w:tcPr>
            <w:tcW w:w="851" w:type="dxa"/>
            <w:noWrap/>
            <w:hideMark/>
          </w:tcPr>
          <w:p w14:paraId="3A1132FE"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5 </w:t>
            </w:r>
          </w:p>
        </w:tc>
        <w:tc>
          <w:tcPr>
            <w:tcW w:w="1417" w:type="dxa"/>
            <w:noWrap/>
            <w:hideMark/>
          </w:tcPr>
          <w:p w14:paraId="40DE13A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11 227 287 </w:t>
            </w:r>
          </w:p>
        </w:tc>
        <w:tc>
          <w:tcPr>
            <w:tcW w:w="1276" w:type="dxa"/>
            <w:noWrap/>
            <w:hideMark/>
          </w:tcPr>
          <w:p w14:paraId="22A52EFC"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9 543 194 </w:t>
            </w:r>
          </w:p>
        </w:tc>
        <w:tc>
          <w:tcPr>
            <w:tcW w:w="850" w:type="dxa"/>
            <w:noWrap/>
            <w:hideMark/>
          </w:tcPr>
          <w:p w14:paraId="3608454D"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 </w:t>
            </w:r>
          </w:p>
        </w:tc>
        <w:tc>
          <w:tcPr>
            <w:tcW w:w="1418" w:type="dxa"/>
            <w:noWrap/>
            <w:hideMark/>
          </w:tcPr>
          <w:p w14:paraId="765766F2"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158 540 </w:t>
            </w:r>
          </w:p>
        </w:tc>
        <w:tc>
          <w:tcPr>
            <w:tcW w:w="1276" w:type="dxa"/>
            <w:noWrap/>
            <w:hideMark/>
          </w:tcPr>
          <w:p w14:paraId="1215592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31 708 </w:t>
            </w:r>
          </w:p>
        </w:tc>
      </w:tr>
      <w:tr w:rsidR="0069308B" w:rsidRPr="00DB0722" w14:paraId="3A2537D0" w14:textId="77777777" w:rsidTr="0069308B">
        <w:trPr>
          <w:trHeight w:val="300"/>
        </w:trPr>
        <w:tc>
          <w:tcPr>
            <w:tcW w:w="2410" w:type="dxa"/>
            <w:noWrap/>
            <w:hideMark/>
          </w:tcPr>
          <w:p w14:paraId="1E71EE06"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Interoperabilita </w:t>
            </w:r>
          </w:p>
        </w:tc>
        <w:tc>
          <w:tcPr>
            <w:tcW w:w="851" w:type="dxa"/>
            <w:noWrap/>
            <w:hideMark/>
          </w:tcPr>
          <w:p w14:paraId="13C52324"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4 </w:t>
            </w:r>
          </w:p>
        </w:tc>
        <w:tc>
          <w:tcPr>
            <w:tcW w:w="1417" w:type="dxa"/>
            <w:noWrap/>
            <w:hideMark/>
          </w:tcPr>
          <w:p w14:paraId="0CE1D015"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2 551 728 </w:t>
            </w:r>
          </w:p>
        </w:tc>
        <w:tc>
          <w:tcPr>
            <w:tcW w:w="1276" w:type="dxa"/>
            <w:noWrap/>
            <w:hideMark/>
          </w:tcPr>
          <w:p w14:paraId="4DF86B5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2 168 969 </w:t>
            </w:r>
          </w:p>
        </w:tc>
        <w:tc>
          <w:tcPr>
            <w:tcW w:w="850" w:type="dxa"/>
            <w:noWrap/>
          </w:tcPr>
          <w:p w14:paraId="4E3B3E9A"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51DD6ACB"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3656C736"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33A5DAB1" w14:textId="77777777" w:rsidTr="0069308B">
        <w:trPr>
          <w:trHeight w:val="315"/>
        </w:trPr>
        <w:tc>
          <w:tcPr>
            <w:tcW w:w="2410" w:type="dxa"/>
            <w:noWrap/>
            <w:hideMark/>
          </w:tcPr>
          <w:p w14:paraId="40DAEE32" w14:textId="77777777" w:rsidR="0069308B" w:rsidRPr="00DB0722" w:rsidRDefault="0069308B" w:rsidP="0069308B">
            <w:pPr>
              <w:spacing w:after="0"/>
              <w:jc w:val="left"/>
              <w:rPr>
                <w:rFonts w:eastAsia="Times New Roman" w:cs="Calibri"/>
                <w:color w:val="000000"/>
                <w:szCs w:val="22"/>
                <w:lang w:eastAsia="cs-CZ"/>
              </w:rPr>
            </w:pPr>
            <w:r w:rsidRPr="00DB0722">
              <w:rPr>
                <w:rFonts w:eastAsia="Times New Roman" w:cs="Calibri"/>
                <w:color w:val="000000"/>
                <w:szCs w:val="22"/>
                <w:lang w:eastAsia="cs-CZ"/>
              </w:rPr>
              <w:t xml:space="preserve"> RIS </w:t>
            </w:r>
          </w:p>
        </w:tc>
        <w:tc>
          <w:tcPr>
            <w:tcW w:w="851" w:type="dxa"/>
            <w:noWrap/>
            <w:hideMark/>
          </w:tcPr>
          <w:p w14:paraId="29F0C085"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 </w:t>
            </w:r>
          </w:p>
        </w:tc>
        <w:tc>
          <w:tcPr>
            <w:tcW w:w="1417" w:type="dxa"/>
            <w:noWrap/>
            <w:hideMark/>
          </w:tcPr>
          <w:p w14:paraId="14166551"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2 001 000 </w:t>
            </w:r>
          </w:p>
        </w:tc>
        <w:tc>
          <w:tcPr>
            <w:tcW w:w="1276" w:type="dxa"/>
            <w:noWrap/>
            <w:hideMark/>
          </w:tcPr>
          <w:p w14:paraId="3A399457"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1 700 850 </w:t>
            </w:r>
          </w:p>
        </w:tc>
        <w:tc>
          <w:tcPr>
            <w:tcW w:w="850" w:type="dxa"/>
            <w:noWrap/>
          </w:tcPr>
          <w:p w14:paraId="4DFCA51F"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noWrap/>
          </w:tcPr>
          <w:p w14:paraId="70577618"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noWrap/>
          </w:tcPr>
          <w:p w14:paraId="665A5CC5" w14:textId="77777777" w:rsidR="0069308B" w:rsidRPr="00DB0722" w:rsidRDefault="0069308B" w:rsidP="0069308B">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r w:rsidR="0069308B" w:rsidRPr="00DB0722" w14:paraId="5525AA03" w14:textId="77777777" w:rsidTr="0069308B">
        <w:trPr>
          <w:trHeight w:val="300"/>
        </w:trPr>
        <w:tc>
          <w:tcPr>
            <w:tcW w:w="2410" w:type="dxa"/>
            <w:shd w:val="clear" w:color="auto" w:fill="D9D9D9" w:themeFill="background1" w:themeFillShade="D9"/>
            <w:noWrap/>
            <w:hideMark/>
          </w:tcPr>
          <w:p w14:paraId="7CC38C11" w14:textId="77777777" w:rsidR="0069308B" w:rsidRPr="00DB0722" w:rsidRDefault="0069308B" w:rsidP="0069308B">
            <w:pPr>
              <w:spacing w:after="0"/>
              <w:jc w:val="left"/>
              <w:rPr>
                <w:rFonts w:eastAsia="Times New Roman" w:cs="Calibri"/>
                <w:b/>
                <w:color w:val="000000"/>
                <w:szCs w:val="22"/>
                <w:lang w:eastAsia="cs-CZ"/>
              </w:rPr>
            </w:pPr>
            <w:r w:rsidRPr="00DB0722">
              <w:rPr>
                <w:rFonts w:eastAsia="Times New Roman" w:cs="Calibri"/>
                <w:b/>
                <w:color w:val="000000"/>
                <w:szCs w:val="22"/>
                <w:lang w:eastAsia="cs-CZ"/>
              </w:rPr>
              <w:t>Modernizace TEN-T</w:t>
            </w:r>
          </w:p>
        </w:tc>
        <w:tc>
          <w:tcPr>
            <w:tcW w:w="851" w:type="dxa"/>
            <w:shd w:val="clear" w:color="auto" w:fill="D9D9D9" w:themeFill="background1" w:themeFillShade="D9"/>
            <w:noWrap/>
            <w:hideMark/>
          </w:tcPr>
          <w:p w14:paraId="74E16B39" w14:textId="77777777" w:rsidR="0069308B" w:rsidRPr="00DB0722" w:rsidRDefault="0069308B" w:rsidP="0069308B">
            <w:pPr>
              <w:spacing w:after="0"/>
              <w:jc w:val="right"/>
              <w:rPr>
                <w:rFonts w:eastAsia="Times New Roman" w:cs="Calibri"/>
                <w:b/>
                <w:color w:val="000000"/>
                <w:szCs w:val="22"/>
                <w:lang w:eastAsia="cs-CZ"/>
              </w:rPr>
            </w:pPr>
            <w:r w:rsidRPr="00DB0722">
              <w:rPr>
                <w:rFonts w:eastAsia="Times New Roman" w:cs="Calibri"/>
                <w:b/>
                <w:color w:val="000000"/>
                <w:szCs w:val="22"/>
                <w:lang w:eastAsia="cs-CZ"/>
              </w:rPr>
              <w:t xml:space="preserve">28 </w:t>
            </w:r>
          </w:p>
        </w:tc>
        <w:tc>
          <w:tcPr>
            <w:tcW w:w="1417" w:type="dxa"/>
            <w:shd w:val="clear" w:color="auto" w:fill="D9D9D9" w:themeFill="background1" w:themeFillShade="D9"/>
            <w:noWrap/>
            <w:hideMark/>
          </w:tcPr>
          <w:p w14:paraId="06DB5E13" w14:textId="77777777" w:rsidR="0069308B" w:rsidRPr="00DB0722" w:rsidRDefault="0069308B" w:rsidP="0069308B">
            <w:pPr>
              <w:spacing w:after="0"/>
              <w:jc w:val="right"/>
              <w:rPr>
                <w:rFonts w:eastAsia="Times New Roman" w:cs="Calibri"/>
                <w:b/>
                <w:color w:val="000000"/>
                <w:szCs w:val="22"/>
                <w:lang w:eastAsia="cs-CZ"/>
              </w:rPr>
            </w:pPr>
            <w:r w:rsidRPr="00DB0722">
              <w:rPr>
                <w:rFonts w:eastAsia="Times New Roman" w:cs="Calibri"/>
                <w:b/>
                <w:color w:val="000000"/>
                <w:szCs w:val="22"/>
                <w:lang w:eastAsia="cs-CZ"/>
              </w:rPr>
              <w:t xml:space="preserve">213 062 626 </w:t>
            </w:r>
          </w:p>
        </w:tc>
        <w:tc>
          <w:tcPr>
            <w:tcW w:w="1276" w:type="dxa"/>
            <w:shd w:val="clear" w:color="auto" w:fill="D9D9D9" w:themeFill="background1" w:themeFillShade="D9"/>
            <w:noWrap/>
            <w:hideMark/>
          </w:tcPr>
          <w:p w14:paraId="28B4B5D4" w14:textId="77777777" w:rsidR="0069308B" w:rsidRPr="00DB0722" w:rsidRDefault="0069308B" w:rsidP="0069308B">
            <w:pPr>
              <w:spacing w:after="0"/>
              <w:jc w:val="right"/>
              <w:rPr>
                <w:rFonts w:eastAsia="Times New Roman" w:cs="Calibri"/>
                <w:b/>
                <w:color w:val="000000"/>
                <w:szCs w:val="22"/>
                <w:lang w:eastAsia="cs-CZ"/>
              </w:rPr>
            </w:pPr>
            <w:r w:rsidRPr="00DB0722">
              <w:rPr>
                <w:rFonts w:eastAsia="Times New Roman" w:cs="Calibri"/>
                <w:b/>
                <w:color w:val="000000"/>
                <w:szCs w:val="22"/>
                <w:lang w:eastAsia="cs-CZ"/>
              </w:rPr>
              <w:t xml:space="preserve">178 960 917 </w:t>
            </w:r>
          </w:p>
        </w:tc>
        <w:tc>
          <w:tcPr>
            <w:tcW w:w="850" w:type="dxa"/>
            <w:shd w:val="clear" w:color="auto" w:fill="D9D9D9" w:themeFill="background1" w:themeFillShade="D9"/>
            <w:noWrap/>
            <w:hideMark/>
          </w:tcPr>
          <w:p w14:paraId="37B03EF6" w14:textId="77777777" w:rsidR="0069308B" w:rsidRPr="00DB0722" w:rsidRDefault="0069308B" w:rsidP="0069308B">
            <w:pPr>
              <w:spacing w:after="0"/>
              <w:jc w:val="right"/>
              <w:rPr>
                <w:rFonts w:eastAsia="Times New Roman" w:cs="Calibri"/>
                <w:b/>
                <w:color w:val="000000"/>
                <w:szCs w:val="22"/>
                <w:lang w:eastAsia="cs-CZ"/>
              </w:rPr>
            </w:pPr>
            <w:r w:rsidRPr="00DB0722">
              <w:rPr>
                <w:rFonts w:eastAsia="Times New Roman" w:cs="Calibri"/>
                <w:b/>
                <w:color w:val="000000"/>
                <w:szCs w:val="22"/>
                <w:lang w:eastAsia="cs-CZ"/>
              </w:rPr>
              <w:t xml:space="preserve">8 </w:t>
            </w:r>
          </w:p>
        </w:tc>
        <w:tc>
          <w:tcPr>
            <w:tcW w:w="1418" w:type="dxa"/>
            <w:shd w:val="clear" w:color="auto" w:fill="D9D9D9" w:themeFill="background1" w:themeFillShade="D9"/>
            <w:noWrap/>
            <w:hideMark/>
          </w:tcPr>
          <w:p w14:paraId="7F6C3F00" w14:textId="77777777" w:rsidR="0069308B" w:rsidRPr="00DB0722" w:rsidRDefault="0069308B" w:rsidP="0069308B">
            <w:pPr>
              <w:spacing w:after="0"/>
              <w:jc w:val="right"/>
              <w:rPr>
                <w:rFonts w:eastAsia="Times New Roman" w:cs="Calibri"/>
                <w:b/>
                <w:color w:val="000000"/>
                <w:szCs w:val="22"/>
                <w:lang w:eastAsia="cs-CZ"/>
              </w:rPr>
            </w:pPr>
            <w:r w:rsidRPr="00DB0722">
              <w:rPr>
                <w:rFonts w:eastAsia="Times New Roman" w:cs="Calibri"/>
                <w:b/>
                <w:color w:val="000000"/>
                <w:szCs w:val="22"/>
                <w:lang w:eastAsia="cs-CZ"/>
              </w:rPr>
              <w:t xml:space="preserve">32 053 444 </w:t>
            </w:r>
          </w:p>
        </w:tc>
        <w:tc>
          <w:tcPr>
            <w:tcW w:w="1276" w:type="dxa"/>
            <w:shd w:val="clear" w:color="auto" w:fill="D9D9D9" w:themeFill="background1" w:themeFillShade="D9"/>
            <w:noWrap/>
            <w:hideMark/>
          </w:tcPr>
          <w:p w14:paraId="76B9E8D2" w14:textId="77777777" w:rsidR="0069308B" w:rsidRPr="00DB0722" w:rsidRDefault="0069308B" w:rsidP="0069308B">
            <w:pPr>
              <w:spacing w:after="0"/>
              <w:jc w:val="right"/>
              <w:rPr>
                <w:rFonts w:eastAsia="Times New Roman" w:cs="Calibri"/>
                <w:b/>
                <w:color w:val="000000"/>
                <w:szCs w:val="22"/>
                <w:lang w:eastAsia="cs-CZ"/>
              </w:rPr>
            </w:pPr>
            <w:r w:rsidRPr="00DB0722">
              <w:rPr>
                <w:rFonts w:eastAsia="Times New Roman" w:cs="Calibri"/>
                <w:b/>
                <w:color w:val="000000"/>
                <w:szCs w:val="22"/>
                <w:lang w:eastAsia="cs-CZ"/>
              </w:rPr>
              <w:t xml:space="preserve">9 441 660 </w:t>
            </w:r>
          </w:p>
        </w:tc>
      </w:tr>
    </w:tbl>
    <w:p w14:paraId="20F81A52" w14:textId="77777777" w:rsidR="006D2E9C" w:rsidRDefault="006D2E9C" w:rsidP="00F72744"/>
    <w:p w14:paraId="69167E79" w14:textId="77777777" w:rsidR="00B17C62" w:rsidRDefault="00067ED0" w:rsidP="00F72744">
      <w:r>
        <w:t>Tabulka 4: Projekty CEF doprava podle typu příjemce</w:t>
      </w:r>
    </w:p>
    <w:tbl>
      <w:tblPr>
        <w:tblStyle w:val="Mkatabulky"/>
        <w:tblW w:w="9498" w:type="dxa"/>
        <w:tblInd w:w="-5" w:type="dxa"/>
        <w:tblLayout w:type="fixed"/>
        <w:tblLook w:val="04A0" w:firstRow="1" w:lastRow="0" w:firstColumn="1" w:lastColumn="0" w:noHBand="0" w:noVBand="1"/>
      </w:tblPr>
      <w:tblGrid>
        <w:gridCol w:w="2552"/>
        <w:gridCol w:w="709"/>
        <w:gridCol w:w="1417"/>
        <w:gridCol w:w="1418"/>
        <w:gridCol w:w="708"/>
        <w:gridCol w:w="1418"/>
        <w:gridCol w:w="1276"/>
      </w:tblGrid>
      <w:tr w:rsidR="00B17C62" w14:paraId="4D183D4E" w14:textId="77777777" w:rsidTr="00370B63">
        <w:trPr>
          <w:trHeight w:val="737"/>
        </w:trPr>
        <w:tc>
          <w:tcPr>
            <w:tcW w:w="2552" w:type="dxa"/>
            <w:tcBorders>
              <w:bottom w:val="nil"/>
            </w:tcBorders>
            <w:shd w:val="clear" w:color="auto" w:fill="D9D9D9" w:themeFill="background1" w:themeFillShade="D9"/>
          </w:tcPr>
          <w:p w14:paraId="1EFEDB20" w14:textId="77777777" w:rsidR="00B17C62" w:rsidRDefault="00B17C62" w:rsidP="000F7DF2">
            <w:pPr>
              <w:pStyle w:val="Prosttext"/>
              <w:rPr>
                <w:b/>
              </w:rPr>
            </w:pPr>
          </w:p>
          <w:p w14:paraId="32291512" w14:textId="77777777" w:rsidR="00B17C62" w:rsidRDefault="00B17C62" w:rsidP="000F7DF2">
            <w:pPr>
              <w:pStyle w:val="Prosttext"/>
              <w:rPr>
                <w:b/>
              </w:rPr>
            </w:pPr>
          </w:p>
        </w:tc>
        <w:tc>
          <w:tcPr>
            <w:tcW w:w="3544" w:type="dxa"/>
            <w:gridSpan w:val="3"/>
            <w:tcBorders>
              <w:bottom w:val="nil"/>
            </w:tcBorders>
            <w:shd w:val="clear" w:color="auto" w:fill="D9D9D9" w:themeFill="background1" w:themeFillShade="D9"/>
            <w:vAlign w:val="center"/>
          </w:tcPr>
          <w:p w14:paraId="6D1A2116" w14:textId="77777777" w:rsidR="00B17C62" w:rsidRDefault="00B17C62" w:rsidP="000F7DF2">
            <w:pPr>
              <w:pStyle w:val="Prosttext"/>
              <w:jc w:val="center"/>
              <w:rPr>
                <w:b/>
              </w:rPr>
            </w:pPr>
            <w:r>
              <w:rPr>
                <w:b/>
              </w:rPr>
              <w:t>Schválené projekty</w:t>
            </w:r>
          </w:p>
          <w:p w14:paraId="1E74491F" w14:textId="77777777" w:rsidR="00B17C62" w:rsidRDefault="00B17C62" w:rsidP="000F7DF2">
            <w:pPr>
              <w:pStyle w:val="Prosttext"/>
              <w:jc w:val="center"/>
              <w:rPr>
                <w:b/>
                <w:szCs w:val="20"/>
              </w:rPr>
            </w:pPr>
            <w:r>
              <w:rPr>
                <w:b/>
                <w:szCs w:val="20"/>
              </w:rPr>
              <w:t>KOHEZNÍ OBÁLKA</w:t>
            </w:r>
          </w:p>
        </w:tc>
        <w:tc>
          <w:tcPr>
            <w:tcW w:w="3402" w:type="dxa"/>
            <w:gridSpan w:val="3"/>
            <w:tcBorders>
              <w:bottom w:val="nil"/>
            </w:tcBorders>
            <w:shd w:val="clear" w:color="auto" w:fill="D9D9D9" w:themeFill="background1" w:themeFillShade="D9"/>
            <w:vAlign w:val="center"/>
          </w:tcPr>
          <w:p w14:paraId="6E25F51D" w14:textId="77777777" w:rsidR="00B17C62" w:rsidRDefault="00B17C62" w:rsidP="000F7DF2">
            <w:pPr>
              <w:pStyle w:val="Prosttext"/>
              <w:jc w:val="center"/>
              <w:rPr>
                <w:b/>
              </w:rPr>
            </w:pPr>
            <w:r>
              <w:rPr>
                <w:b/>
              </w:rPr>
              <w:t>Schválené projekty</w:t>
            </w:r>
          </w:p>
          <w:p w14:paraId="413944FC" w14:textId="77777777" w:rsidR="00B17C62" w:rsidRDefault="00B17C62" w:rsidP="000F7DF2">
            <w:pPr>
              <w:pStyle w:val="Prosttext"/>
              <w:jc w:val="center"/>
              <w:rPr>
                <w:b/>
                <w:szCs w:val="20"/>
              </w:rPr>
            </w:pPr>
            <w:r>
              <w:rPr>
                <w:b/>
              </w:rPr>
              <w:t>OBECNÁ OBÁLKA</w:t>
            </w:r>
          </w:p>
        </w:tc>
      </w:tr>
      <w:tr w:rsidR="00B17C62" w14:paraId="20D6784E" w14:textId="77777777" w:rsidTr="00370B63">
        <w:tc>
          <w:tcPr>
            <w:tcW w:w="2552" w:type="dxa"/>
            <w:tcBorders>
              <w:top w:val="nil"/>
            </w:tcBorders>
            <w:shd w:val="clear" w:color="auto" w:fill="D9D9D9" w:themeFill="background1" w:themeFillShade="D9"/>
          </w:tcPr>
          <w:p w14:paraId="35F4B74C" w14:textId="77777777" w:rsidR="00B17C62" w:rsidRDefault="00B17C62" w:rsidP="000F7DF2">
            <w:pPr>
              <w:pStyle w:val="Prosttext"/>
              <w:rPr>
                <w:b/>
              </w:rPr>
            </w:pPr>
          </w:p>
        </w:tc>
        <w:tc>
          <w:tcPr>
            <w:tcW w:w="709" w:type="dxa"/>
            <w:tcBorders>
              <w:top w:val="nil"/>
            </w:tcBorders>
            <w:shd w:val="clear" w:color="auto" w:fill="D9D9D9" w:themeFill="background1" w:themeFillShade="D9"/>
            <w:vAlign w:val="center"/>
          </w:tcPr>
          <w:p w14:paraId="0828AFE9" w14:textId="77777777" w:rsidR="00B17C62" w:rsidRDefault="00B17C62" w:rsidP="000F7DF2">
            <w:pPr>
              <w:pStyle w:val="Prosttext"/>
              <w:jc w:val="center"/>
              <w:rPr>
                <w:b/>
                <w:szCs w:val="20"/>
              </w:rPr>
            </w:pPr>
            <w:r>
              <w:rPr>
                <w:b/>
                <w:szCs w:val="20"/>
              </w:rPr>
              <w:t>Počet</w:t>
            </w:r>
          </w:p>
        </w:tc>
        <w:tc>
          <w:tcPr>
            <w:tcW w:w="1417" w:type="dxa"/>
            <w:tcBorders>
              <w:top w:val="nil"/>
            </w:tcBorders>
            <w:shd w:val="clear" w:color="auto" w:fill="D9D9D9" w:themeFill="background1" w:themeFillShade="D9"/>
            <w:vAlign w:val="center"/>
          </w:tcPr>
          <w:p w14:paraId="1BF13432" w14:textId="77777777" w:rsidR="00B17C62" w:rsidRDefault="00B17C62" w:rsidP="000F7DF2">
            <w:pPr>
              <w:pStyle w:val="Prosttext"/>
              <w:jc w:val="center"/>
              <w:rPr>
                <w:b/>
                <w:szCs w:val="20"/>
              </w:rPr>
            </w:pPr>
            <w:r>
              <w:rPr>
                <w:b/>
                <w:szCs w:val="20"/>
              </w:rPr>
              <w:t>Způsobilé výdaje</w:t>
            </w:r>
          </w:p>
          <w:p w14:paraId="0F6C1EA2" w14:textId="77777777" w:rsidR="00B17C62" w:rsidRDefault="00B17C62" w:rsidP="000F7DF2">
            <w:pPr>
              <w:pStyle w:val="Prosttext"/>
              <w:jc w:val="center"/>
              <w:rPr>
                <w:b/>
                <w:szCs w:val="20"/>
              </w:rPr>
            </w:pPr>
            <w:r>
              <w:rPr>
                <w:b/>
                <w:szCs w:val="20"/>
              </w:rPr>
              <w:t>(EUR)</w:t>
            </w:r>
          </w:p>
        </w:tc>
        <w:tc>
          <w:tcPr>
            <w:tcW w:w="1418" w:type="dxa"/>
            <w:tcBorders>
              <w:top w:val="nil"/>
            </w:tcBorders>
            <w:shd w:val="clear" w:color="auto" w:fill="D9D9D9" w:themeFill="background1" w:themeFillShade="D9"/>
            <w:vAlign w:val="center"/>
          </w:tcPr>
          <w:p w14:paraId="41DFF6BB" w14:textId="77777777" w:rsidR="00B17C62" w:rsidRDefault="00B17C62" w:rsidP="000F7DF2">
            <w:pPr>
              <w:pStyle w:val="Prosttext"/>
              <w:jc w:val="center"/>
              <w:rPr>
                <w:b/>
                <w:szCs w:val="20"/>
              </w:rPr>
            </w:pPr>
            <w:r>
              <w:rPr>
                <w:b/>
                <w:szCs w:val="20"/>
              </w:rPr>
              <w:t>Příspěvek CEF</w:t>
            </w:r>
          </w:p>
          <w:p w14:paraId="48094185" w14:textId="77777777" w:rsidR="00B17C62" w:rsidRDefault="00B17C62" w:rsidP="000F7DF2">
            <w:pPr>
              <w:pStyle w:val="Prosttext"/>
              <w:jc w:val="center"/>
              <w:rPr>
                <w:b/>
                <w:szCs w:val="20"/>
              </w:rPr>
            </w:pPr>
            <w:r>
              <w:rPr>
                <w:b/>
                <w:szCs w:val="20"/>
              </w:rPr>
              <w:t>(EUR)</w:t>
            </w:r>
          </w:p>
        </w:tc>
        <w:tc>
          <w:tcPr>
            <w:tcW w:w="708" w:type="dxa"/>
            <w:tcBorders>
              <w:top w:val="nil"/>
            </w:tcBorders>
            <w:shd w:val="clear" w:color="auto" w:fill="D9D9D9" w:themeFill="background1" w:themeFillShade="D9"/>
            <w:vAlign w:val="center"/>
          </w:tcPr>
          <w:p w14:paraId="26236023" w14:textId="77777777" w:rsidR="00B17C62" w:rsidRDefault="00B17C62" w:rsidP="000F7DF2">
            <w:pPr>
              <w:pStyle w:val="Prosttext"/>
              <w:jc w:val="center"/>
              <w:rPr>
                <w:b/>
                <w:szCs w:val="20"/>
              </w:rPr>
            </w:pPr>
            <w:r>
              <w:rPr>
                <w:b/>
                <w:szCs w:val="20"/>
              </w:rPr>
              <w:t>Počet</w:t>
            </w:r>
          </w:p>
        </w:tc>
        <w:tc>
          <w:tcPr>
            <w:tcW w:w="1418" w:type="dxa"/>
            <w:tcBorders>
              <w:top w:val="nil"/>
            </w:tcBorders>
            <w:shd w:val="clear" w:color="auto" w:fill="D9D9D9" w:themeFill="background1" w:themeFillShade="D9"/>
            <w:vAlign w:val="center"/>
          </w:tcPr>
          <w:p w14:paraId="362BE9DE" w14:textId="77777777" w:rsidR="00B17C62" w:rsidRDefault="00B17C62" w:rsidP="000F7DF2">
            <w:pPr>
              <w:pStyle w:val="Prosttext"/>
              <w:jc w:val="center"/>
              <w:rPr>
                <w:b/>
                <w:szCs w:val="20"/>
              </w:rPr>
            </w:pPr>
            <w:r>
              <w:rPr>
                <w:b/>
                <w:szCs w:val="20"/>
              </w:rPr>
              <w:t>Způsobilé výdaje</w:t>
            </w:r>
          </w:p>
          <w:p w14:paraId="4DB7CA9B" w14:textId="77777777" w:rsidR="00B17C62" w:rsidRDefault="00B17C62" w:rsidP="000F7DF2">
            <w:pPr>
              <w:pStyle w:val="Prosttext"/>
              <w:jc w:val="center"/>
              <w:rPr>
                <w:b/>
                <w:szCs w:val="20"/>
              </w:rPr>
            </w:pPr>
            <w:r>
              <w:rPr>
                <w:b/>
                <w:szCs w:val="20"/>
              </w:rPr>
              <w:t>(EUR)</w:t>
            </w:r>
          </w:p>
        </w:tc>
        <w:tc>
          <w:tcPr>
            <w:tcW w:w="1276" w:type="dxa"/>
            <w:tcBorders>
              <w:top w:val="nil"/>
            </w:tcBorders>
            <w:shd w:val="clear" w:color="auto" w:fill="D9D9D9" w:themeFill="background1" w:themeFillShade="D9"/>
            <w:vAlign w:val="center"/>
          </w:tcPr>
          <w:p w14:paraId="1EE477CC" w14:textId="77777777" w:rsidR="00B17C62" w:rsidRDefault="00B17C62" w:rsidP="000F7DF2">
            <w:pPr>
              <w:pStyle w:val="Prosttext"/>
              <w:jc w:val="center"/>
              <w:rPr>
                <w:b/>
                <w:szCs w:val="20"/>
              </w:rPr>
            </w:pPr>
            <w:r>
              <w:rPr>
                <w:b/>
                <w:szCs w:val="20"/>
              </w:rPr>
              <w:t>Příspěvek CEF</w:t>
            </w:r>
          </w:p>
          <w:p w14:paraId="3DD49EA2" w14:textId="77777777" w:rsidR="00B17C62" w:rsidRDefault="00B17C62" w:rsidP="000F7DF2">
            <w:pPr>
              <w:pStyle w:val="Prosttext"/>
              <w:jc w:val="center"/>
              <w:rPr>
                <w:b/>
                <w:szCs w:val="20"/>
              </w:rPr>
            </w:pPr>
            <w:r>
              <w:rPr>
                <w:b/>
                <w:szCs w:val="20"/>
              </w:rPr>
              <w:t>(EUR)</w:t>
            </w:r>
          </w:p>
        </w:tc>
      </w:tr>
      <w:tr w:rsidR="00067ED0" w14:paraId="137A586E" w14:textId="77777777" w:rsidTr="00067ED0">
        <w:tc>
          <w:tcPr>
            <w:tcW w:w="2552" w:type="dxa"/>
            <w:shd w:val="clear" w:color="auto" w:fill="auto"/>
          </w:tcPr>
          <w:p w14:paraId="5ED21ECD" w14:textId="77777777" w:rsidR="00067ED0" w:rsidRDefault="00067ED0" w:rsidP="000F7DF2">
            <w:pPr>
              <w:pStyle w:val="Prosttext"/>
              <w:rPr>
                <w:b/>
              </w:rPr>
            </w:pPr>
          </w:p>
        </w:tc>
        <w:tc>
          <w:tcPr>
            <w:tcW w:w="709" w:type="dxa"/>
            <w:shd w:val="clear" w:color="auto" w:fill="auto"/>
            <w:vAlign w:val="center"/>
          </w:tcPr>
          <w:p w14:paraId="3DF48FD7" w14:textId="77777777" w:rsidR="00067ED0" w:rsidRPr="00067ED0" w:rsidRDefault="00067ED0" w:rsidP="00067ED0">
            <w:pPr>
              <w:spacing w:after="0"/>
              <w:jc w:val="right"/>
              <w:rPr>
                <w:rFonts w:eastAsia="Times New Roman" w:cs="Calibri"/>
                <w:color w:val="000000"/>
                <w:szCs w:val="22"/>
                <w:lang w:eastAsia="cs-CZ"/>
              </w:rPr>
            </w:pPr>
          </w:p>
        </w:tc>
        <w:tc>
          <w:tcPr>
            <w:tcW w:w="1417" w:type="dxa"/>
            <w:shd w:val="clear" w:color="auto" w:fill="auto"/>
            <w:vAlign w:val="center"/>
          </w:tcPr>
          <w:p w14:paraId="6A3EFE20" w14:textId="77777777" w:rsidR="00067ED0" w:rsidRPr="00067ED0" w:rsidRDefault="00067ED0" w:rsidP="00067ED0">
            <w:pPr>
              <w:spacing w:after="0"/>
              <w:jc w:val="right"/>
              <w:rPr>
                <w:rFonts w:eastAsia="Times New Roman" w:cs="Calibri"/>
                <w:color w:val="000000"/>
                <w:szCs w:val="22"/>
                <w:lang w:eastAsia="cs-CZ"/>
              </w:rPr>
            </w:pPr>
          </w:p>
        </w:tc>
        <w:tc>
          <w:tcPr>
            <w:tcW w:w="1418" w:type="dxa"/>
            <w:shd w:val="clear" w:color="auto" w:fill="auto"/>
            <w:vAlign w:val="center"/>
          </w:tcPr>
          <w:p w14:paraId="0DA7F55C" w14:textId="77777777" w:rsidR="00067ED0" w:rsidRPr="00067ED0" w:rsidRDefault="00067ED0" w:rsidP="00067ED0">
            <w:pPr>
              <w:spacing w:after="0"/>
              <w:jc w:val="right"/>
              <w:rPr>
                <w:rFonts w:eastAsia="Times New Roman" w:cs="Calibri"/>
                <w:color w:val="000000"/>
                <w:szCs w:val="22"/>
                <w:lang w:eastAsia="cs-CZ"/>
              </w:rPr>
            </w:pPr>
          </w:p>
        </w:tc>
        <w:tc>
          <w:tcPr>
            <w:tcW w:w="708" w:type="dxa"/>
            <w:shd w:val="clear" w:color="auto" w:fill="auto"/>
            <w:vAlign w:val="center"/>
          </w:tcPr>
          <w:p w14:paraId="7F7C74D4" w14:textId="77777777" w:rsidR="00067ED0" w:rsidRPr="00067ED0" w:rsidRDefault="00067ED0" w:rsidP="00067ED0">
            <w:pPr>
              <w:spacing w:after="0"/>
              <w:jc w:val="right"/>
              <w:rPr>
                <w:rFonts w:eastAsia="Times New Roman" w:cs="Calibri"/>
                <w:color w:val="000000"/>
                <w:szCs w:val="22"/>
                <w:lang w:eastAsia="cs-CZ"/>
              </w:rPr>
            </w:pPr>
          </w:p>
        </w:tc>
        <w:tc>
          <w:tcPr>
            <w:tcW w:w="1418" w:type="dxa"/>
            <w:shd w:val="clear" w:color="auto" w:fill="auto"/>
            <w:vAlign w:val="center"/>
          </w:tcPr>
          <w:p w14:paraId="649AE1E0" w14:textId="77777777" w:rsidR="00067ED0" w:rsidRPr="00067ED0" w:rsidRDefault="00067ED0" w:rsidP="00067ED0">
            <w:pPr>
              <w:spacing w:after="0"/>
              <w:jc w:val="right"/>
              <w:rPr>
                <w:rFonts w:eastAsia="Times New Roman" w:cs="Calibri"/>
                <w:color w:val="000000"/>
                <w:szCs w:val="22"/>
                <w:lang w:eastAsia="cs-CZ"/>
              </w:rPr>
            </w:pPr>
          </w:p>
        </w:tc>
        <w:tc>
          <w:tcPr>
            <w:tcW w:w="1276" w:type="dxa"/>
            <w:shd w:val="clear" w:color="auto" w:fill="auto"/>
            <w:vAlign w:val="center"/>
          </w:tcPr>
          <w:p w14:paraId="24D827C4" w14:textId="77777777" w:rsidR="00067ED0" w:rsidRPr="00067ED0" w:rsidRDefault="00067ED0" w:rsidP="00067ED0">
            <w:pPr>
              <w:spacing w:after="0"/>
              <w:jc w:val="right"/>
              <w:rPr>
                <w:rFonts w:eastAsia="Times New Roman" w:cs="Calibri"/>
                <w:color w:val="000000"/>
                <w:szCs w:val="22"/>
                <w:lang w:eastAsia="cs-CZ"/>
              </w:rPr>
            </w:pPr>
          </w:p>
        </w:tc>
      </w:tr>
      <w:tr w:rsidR="00BE19E9" w:rsidRPr="00C91486" w14:paraId="6DEBE85B" w14:textId="77777777" w:rsidTr="00067ED0">
        <w:tc>
          <w:tcPr>
            <w:tcW w:w="2552" w:type="dxa"/>
            <w:shd w:val="clear" w:color="auto" w:fill="D9D9D9" w:themeFill="background1" w:themeFillShade="D9"/>
            <w:vAlign w:val="center"/>
          </w:tcPr>
          <w:p w14:paraId="579F3FB6" w14:textId="77777777" w:rsidR="00BE19E9" w:rsidRPr="00067ED0" w:rsidRDefault="00BE19E9" w:rsidP="00067ED0">
            <w:pPr>
              <w:spacing w:after="0"/>
              <w:jc w:val="left"/>
              <w:rPr>
                <w:rFonts w:eastAsia="Times New Roman" w:cs="Calibri"/>
                <w:b/>
                <w:color w:val="000000"/>
                <w:szCs w:val="22"/>
                <w:lang w:eastAsia="cs-CZ"/>
              </w:rPr>
            </w:pPr>
            <w:r w:rsidRPr="00067ED0">
              <w:rPr>
                <w:rFonts w:eastAsia="Times New Roman" w:cs="Calibri"/>
                <w:b/>
                <w:color w:val="000000"/>
                <w:szCs w:val="22"/>
                <w:lang w:eastAsia="cs-CZ"/>
              </w:rPr>
              <w:t>MD a podřízené organizace</w:t>
            </w:r>
          </w:p>
          <w:p w14:paraId="135C1B76" w14:textId="77777777" w:rsidR="00BE19E9" w:rsidRPr="00067ED0" w:rsidRDefault="00BE19E9" w:rsidP="00067ED0">
            <w:pPr>
              <w:pStyle w:val="normln-odrky"/>
              <w:ind w:left="321" w:hanging="283"/>
              <w:rPr>
                <w:b/>
              </w:rPr>
            </w:pPr>
            <w:r w:rsidRPr="00067ED0">
              <w:rPr>
                <w:b/>
              </w:rPr>
              <w:t>z toho:</w:t>
            </w:r>
          </w:p>
        </w:tc>
        <w:tc>
          <w:tcPr>
            <w:tcW w:w="709" w:type="dxa"/>
            <w:shd w:val="clear" w:color="auto" w:fill="D9D9D9" w:themeFill="background1" w:themeFillShade="D9"/>
            <w:vAlign w:val="center"/>
          </w:tcPr>
          <w:p w14:paraId="4F963863" w14:textId="77777777" w:rsidR="00BE19E9" w:rsidRPr="00067ED0" w:rsidRDefault="00BE19E9"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32 </w:t>
            </w:r>
          </w:p>
        </w:tc>
        <w:tc>
          <w:tcPr>
            <w:tcW w:w="1417" w:type="dxa"/>
            <w:shd w:val="clear" w:color="auto" w:fill="D9D9D9" w:themeFill="background1" w:themeFillShade="D9"/>
            <w:vAlign w:val="center"/>
          </w:tcPr>
          <w:p w14:paraId="50FE027C" w14:textId="77777777" w:rsidR="00BE19E9" w:rsidRPr="00067ED0" w:rsidRDefault="00BE19E9"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1 246 032 960 </w:t>
            </w:r>
          </w:p>
        </w:tc>
        <w:tc>
          <w:tcPr>
            <w:tcW w:w="1418" w:type="dxa"/>
            <w:shd w:val="clear" w:color="auto" w:fill="D9D9D9" w:themeFill="background1" w:themeFillShade="D9"/>
            <w:vAlign w:val="center"/>
          </w:tcPr>
          <w:p w14:paraId="3BB224B1" w14:textId="77777777" w:rsidR="00BE19E9" w:rsidRPr="00067ED0" w:rsidRDefault="00BE19E9" w:rsidP="00067ED0">
            <w:pPr>
              <w:spacing w:after="0"/>
              <w:rPr>
                <w:rFonts w:eastAsia="Times New Roman" w:cs="Calibri"/>
                <w:b/>
                <w:color w:val="000000"/>
                <w:szCs w:val="22"/>
                <w:lang w:eastAsia="cs-CZ"/>
              </w:rPr>
            </w:pPr>
            <w:r w:rsidRPr="00067ED0">
              <w:rPr>
                <w:rFonts w:eastAsia="Times New Roman" w:cs="Calibri"/>
                <w:b/>
                <w:color w:val="000000"/>
                <w:szCs w:val="22"/>
                <w:lang w:eastAsia="cs-CZ"/>
              </w:rPr>
              <w:t xml:space="preserve">1 010 860 113 </w:t>
            </w:r>
          </w:p>
        </w:tc>
        <w:tc>
          <w:tcPr>
            <w:tcW w:w="708" w:type="dxa"/>
            <w:shd w:val="clear" w:color="auto" w:fill="D9D9D9" w:themeFill="background1" w:themeFillShade="D9"/>
            <w:vAlign w:val="center"/>
          </w:tcPr>
          <w:p w14:paraId="3C366561" w14:textId="77777777" w:rsidR="00BE19E9" w:rsidRPr="00067ED0" w:rsidRDefault="00BE19E9"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1 </w:t>
            </w:r>
          </w:p>
        </w:tc>
        <w:tc>
          <w:tcPr>
            <w:tcW w:w="1418" w:type="dxa"/>
            <w:shd w:val="clear" w:color="auto" w:fill="D9D9D9" w:themeFill="background1" w:themeFillShade="D9"/>
            <w:vAlign w:val="center"/>
          </w:tcPr>
          <w:p w14:paraId="0DDC143B" w14:textId="77777777" w:rsidR="00BE19E9" w:rsidRPr="00067ED0" w:rsidRDefault="00BE19E9"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191 421 522 </w:t>
            </w:r>
          </w:p>
        </w:tc>
        <w:tc>
          <w:tcPr>
            <w:tcW w:w="1276" w:type="dxa"/>
            <w:shd w:val="clear" w:color="auto" w:fill="D9D9D9" w:themeFill="background1" w:themeFillShade="D9"/>
            <w:vAlign w:val="center"/>
          </w:tcPr>
          <w:p w14:paraId="4F00D4AE" w14:textId="77777777" w:rsidR="00BE19E9" w:rsidRPr="00067ED0" w:rsidRDefault="00BE19E9"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38 284 304 </w:t>
            </w:r>
          </w:p>
        </w:tc>
      </w:tr>
      <w:tr w:rsidR="00BE19E9" w:rsidRPr="00C91486" w14:paraId="7CA86418" w14:textId="77777777" w:rsidTr="00067ED0">
        <w:tc>
          <w:tcPr>
            <w:tcW w:w="2552" w:type="dxa"/>
            <w:vAlign w:val="center"/>
          </w:tcPr>
          <w:p w14:paraId="0E3DE066" w14:textId="77777777" w:rsidR="00BE19E9" w:rsidRDefault="00BE19E9" w:rsidP="00067ED0">
            <w:pPr>
              <w:pStyle w:val="normln-odrky"/>
              <w:ind w:left="321" w:hanging="283"/>
            </w:pPr>
            <w:r>
              <w:t>Správa železnic</w:t>
            </w:r>
          </w:p>
        </w:tc>
        <w:tc>
          <w:tcPr>
            <w:tcW w:w="709" w:type="dxa"/>
            <w:vAlign w:val="center"/>
          </w:tcPr>
          <w:p w14:paraId="76D66DE9" w14:textId="77777777" w:rsidR="00BE19E9" w:rsidRPr="00067ED0" w:rsidRDefault="00BE19E9"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24 </w:t>
            </w:r>
          </w:p>
        </w:tc>
        <w:tc>
          <w:tcPr>
            <w:tcW w:w="1417" w:type="dxa"/>
            <w:vAlign w:val="center"/>
          </w:tcPr>
          <w:p w14:paraId="1B438114" w14:textId="77777777" w:rsidR="00BE19E9" w:rsidRPr="00067ED0" w:rsidRDefault="00BE19E9"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1 196 372 362 </w:t>
            </w:r>
          </w:p>
        </w:tc>
        <w:tc>
          <w:tcPr>
            <w:tcW w:w="1418" w:type="dxa"/>
            <w:vAlign w:val="center"/>
          </w:tcPr>
          <w:p w14:paraId="07BB9271" w14:textId="77777777" w:rsidR="00BE19E9" w:rsidRPr="00067ED0" w:rsidRDefault="00BE19E9"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968 648 605 </w:t>
            </w:r>
          </w:p>
        </w:tc>
        <w:tc>
          <w:tcPr>
            <w:tcW w:w="708" w:type="dxa"/>
            <w:vAlign w:val="center"/>
          </w:tcPr>
          <w:p w14:paraId="41EDB90A" w14:textId="77777777" w:rsidR="00BE19E9" w:rsidRPr="00067ED0" w:rsidRDefault="00BE19E9"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 </w:t>
            </w:r>
          </w:p>
        </w:tc>
        <w:tc>
          <w:tcPr>
            <w:tcW w:w="1418" w:type="dxa"/>
            <w:vAlign w:val="center"/>
          </w:tcPr>
          <w:p w14:paraId="57E0931E" w14:textId="77777777" w:rsidR="00BE19E9" w:rsidRPr="00067ED0" w:rsidRDefault="00BE19E9"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191 421 522 </w:t>
            </w:r>
          </w:p>
        </w:tc>
        <w:tc>
          <w:tcPr>
            <w:tcW w:w="1276" w:type="dxa"/>
            <w:vAlign w:val="center"/>
          </w:tcPr>
          <w:p w14:paraId="5D78C19C" w14:textId="77777777" w:rsidR="00BE19E9" w:rsidRPr="00067ED0" w:rsidRDefault="00BE19E9"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38 284 304 </w:t>
            </w:r>
          </w:p>
        </w:tc>
      </w:tr>
      <w:tr w:rsidR="00067ED0" w:rsidRPr="00C91486" w14:paraId="74131FF6" w14:textId="77777777" w:rsidTr="00067ED0">
        <w:tc>
          <w:tcPr>
            <w:tcW w:w="2552" w:type="dxa"/>
            <w:shd w:val="clear" w:color="auto" w:fill="D9D9D9" w:themeFill="background1" w:themeFillShade="D9"/>
            <w:vAlign w:val="center"/>
          </w:tcPr>
          <w:p w14:paraId="2E85615B" w14:textId="77777777" w:rsidR="00067ED0" w:rsidRPr="00BE19E9" w:rsidRDefault="00067ED0" w:rsidP="00067ED0">
            <w:pPr>
              <w:pStyle w:val="Prosttext"/>
              <w:jc w:val="left"/>
              <w:rPr>
                <w:rFonts w:cs="Calibri"/>
                <w:b/>
                <w:color w:val="000000"/>
                <w:szCs w:val="22"/>
              </w:rPr>
            </w:pPr>
            <w:r w:rsidRPr="00BE19E9">
              <w:rPr>
                <w:rFonts w:cs="Calibri"/>
                <w:b/>
                <w:color w:val="000000"/>
                <w:szCs w:val="22"/>
              </w:rPr>
              <w:t>Soukromé subjekty</w:t>
            </w:r>
          </w:p>
          <w:p w14:paraId="4DF4BD32" w14:textId="77777777" w:rsidR="00067ED0" w:rsidRPr="00BE19E9" w:rsidRDefault="00067ED0" w:rsidP="00067ED0">
            <w:pPr>
              <w:pStyle w:val="normln-odrky"/>
              <w:ind w:left="321" w:hanging="283"/>
              <w:rPr>
                <w:rFonts w:cs="Calibri"/>
                <w:b/>
                <w:color w:val="000000"/>
                <w:szCs w:val="22"/>
              </w:rPr>
            </w:pPr>
            <w:r w:rsidRPr="00067ED0">
              <w:t>z toho v oblasti:</w:t>
            </w:r>
          </w:p>
        </w:tc>
        <w:tc>
          <w:tcPr>
            <w:tcW w:w="7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0AF889" w14:textId="77777777" w:rsidR="00067ED0" w:rsidRPr="00067ED0" w:rsidRDefault="00067ED0"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18 </w:t>
            </w:r>
          </w:p>
        </w:tc>
        <w:tc>
          <w:tcPr>
            <w:tcW w:w="1417"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ED83A6" w14:textId="77777777" w:rsidR="00067ED0" w:rsidRPr="00067ED0" w:rsidRDefault="00067ED0"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104 712 554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E05604" w14:textId="77777777" w:rsidR="00067ED0" w:rsidRPr="00067ED0" w:rsidRDefault="00067ED0"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86 863 357 </w:t>
            </w:r>
          </w:p>
        </w:tc>
        <w:tc>
          <w:tcPr>
            <w:tcW w:w="70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50A1B6" w14:textId="77777777" w:rsidR="00067ED0" w:rsidRPr="00067ED0" w:rsidRDefault="00067ED0"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4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5876D1" w14:textId="77777777" w:rsidR="00067ED0" w:rsidRPr="00067ED0" w:rsidRDefault="00067ED0"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19 417 021 </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D31681" w14:textId="77777777" w:rsidR="00067ED0" w:rsidRPr="00067ED0" w:rsidRDefault="00067ED0" w:rsidP="00067ED0">
            <w:pPr>
              <w:spacing w:after="0"/>
              <w:jc w:val="right"/>
              <w:rPr>
                <w:rFonts w:eastAsia="Times New Roman" w:cs="Calibri"/>
                <w:b/>
                <w:color w:val="000000"/>
                <w:szCs w:val="22"/>
                <w:lang w:eastAsia="cs-CZ"/>
              </w:rPr>
            </w:pPr>
            <w:r w:rsidRPr="00067ED0">
              <w:rPr>
                <w:rFonts w:eastAsia="Times New Roman" w:cs="Calibri"/>
                <w:b/>
                <w:color w:val="000000"/>
                <w:szCs w:val="22"/>
                <w:lang w:eastAsia="cs-CZ"/>
              </w:rPr>
              <w:t xml:space="preserve">6 594 449 </w:t>
            </w:r>
          </w:p>
        </w:tc>
      </w:tr>
      <w:tr w:rsidR="00067ED0" w:rsidRPr="00C91486" w14:paraId="44B527FF" w14:textId="77777777" w:rsidTr="000F7DF2">
        <w:tc>
          <w:tcPr>
            <w:tcW w:w="2552" w:type="dxa"/>
            <w:vAlign w:val="center"/>
          </w:tcPr>
          <w:p w14:paraId="1CBE1D0D" w14:textId="77777777" w:rsidR="00067ED0" w:rsidRPr="00067ED0" w:rsidRDefault="00067ED0" w:rsidP="00067ED0">
            <w:pPr>
              <w:pStyle w:val="normln-odrky"/>
              <w:ind w:left="321" w:hanging="283"/>
            </w:pPr>
            <w:r>
              <w:t xml:space="preserve">nákladní doprava </w:t>
            </w:r>
          </w:p>
        </w:tc>
        <w:tc>
          <w:tcPr>
            <w:tcW w:w="709" w:type="dxa"/>
            <w:vAlign w:val="center"/>
          </w:tcPr>
          <w:p w14:paraId="446D38CA"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6 </w:t>
            </w:r>
          </w:p>
        </w:tc>
        <w:tc>
          <w:tcPr>
            <w:tcW w:w="1417" w:type="dxa"/>
            <w:vAlign w:val="center"/>
          </w:tcPr>
          <w:p w14:paraId="2D2878A6"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54 438 172 </w:t>
            </w:r>
          </w:p>
        </w:tc>
        <w:tc>
          <w:tcPr>
            <w:tcW w:w="1418" w:type="dxa"/>
            <w:vAlign w:val="center"/>
          </w:tcPr>
          <w:p w14:paraId="04A934ED"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44 582 206 </w:t>
            </w:r>
          </w:p>
        </w:tc>
        <w:tc>
          <w:tcPr>
            <w:tcW w:w="708" w:type="dxa"/>
          </w:tcPr>
          <w:p w14:paraId="6A60198C"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418" w:type="dxa"/>
          </w:tcPr>
          <w:p w14:paraId="03C10B92"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276" w:type="dxa"/>
          </w:tcPr>
          <w:p w14:paraId="1FE58F3F"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r>
      <w:tr w:rsidR="00067ED0" w:rsidRPr="00DB0722" w14:paraId="3AEF77F1" w14:textId="77777777" w:rsidTr="00067ED0">
        <w:trPr>
          <w:trHeight w:val="300"/>
        </w:trPr>
        <w:tc>
          <w:tcPr>
            <w:tcW w:w="2552" w:type="dxa"/>
            <w:noWrap/>
            <w:vAlign w:val="center"/>
          </w:tcPr>
          <w:p w14:paraId="74CC3FBE" w14:textId="77777777" w:rsidR="00067ED0" w:rsidRPr="00067ED0" w:rsidRDefault="00067ED0" w:rsidP="00067ED0">
            <w:pPr>
              <w:pStyle w:val="normln-odrky"/>
              <w:ind w:left="321" w:hanging="283"/>
            </w:pPr>
            <w:r>
              <w:t>osobní doprava</w:t>
            </w:r>
          </w:p>
        </w:tc>
        <w:tc>
          <w:tcPr>
            <w:tcW w:w="709" w:type="dxa"/>
            <w:noWrap/>
            <w:vAlign w:val="center"/>
          </w:tcPr>
          <w:p w14:paraId="5AB6619F"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3 </w:t>
            </w:r>
          </w:p>
        </w:tc>
        <w:tc>
          <w:tcPr>
            <w:tcW w:w="1417" w:type="dxa"/>
            <w:noWrap/>
            <w:vAlign w:val="center"/>
          </w:tcPr>
          <w:p w14:paraId="21CBE582"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24 936 882 </w:t>
            </w:r>
          </w:p>
        </w:tc>
        <w:tc>
          <w:tcPr>
            <w:tcW w:w="1418" w:type="dxa"/>
            <w:noWrap/>
            <w:vAlign w:val="center"/>
          </w:tcPr>
          <w:p w14:paraId="2630706A"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21 196 350 </w:t>
            </w:r>
          </w:p>
        </w:tc>
        <w:tc>
          <w:tcPr>
            <w:tcW w:w="708" w:type="dxa"/>
            <w:noWrap/>
            <w:vAlign w:val="center"/>
          </w:tcPr>
          <w:p w14:paraId="2B555139"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 </w:t>
            </w:r>
          </w:p>
        </w:tc>
        <w:tc>
          <w:tcPr>
            <w:tcW w:w="1418" w:type="dxa"/>
            <w:noWrap/>
            <w:vAlign w:val="center"/>
          </w:tcPr>
          <w:p w14:paraId="0319D2D3"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18 733 000 </w:t>
            </w:r>
          </w:p>
        </w:tc>
        <w:tc>
          <w:tcPr>
            <w:tcW w:w="1276" w:type="dxa"/>
            <w:noWrap/>
            <w:vAlign w:val="center"/>
          </w:tcPr>
          <w:p w14:paraId="10B99756"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6 300 000 </w:t>
            </w:r>
          </w:p>
        </w:tc>
      </w:tr>
      <w:tr w:rsidR="00067ED0" w:rsidRPr="00DB0722" w14:paraId="44E9E20D" w14:textId="77777777" w:rsidTr="000F7DF2">
        <w:trPr>
          <w:trHeight w:val="300"/>
        </w:trPr>
        <w:tc>
          <w:tcPr>
            <w:tcW w:w="2552" w:type="dxa"/>
            <w:noWrap/>
            <w:vAlign w:val="center"/>
          </w:tcPr>
          <w:p w14:paraId="0FD91DCA" w14:textId="77777777" w:rsidR="00067ED0" w:rsidRPr="00067ED0" w:rsidRDefault="00067ED0" w:rsidP="00067ED0">
            <w:pPr>
              <w:pStyle w:val="normln-odrky"/>
              <w:ind w:left="321" w:hanging="283"/>
            </w:pPr>
            <w:r>
              <w:t>řízení letového provozu</w:t>
            </w:r>
          </w:p>
        </w:tc>
        <w:tc>
          <w:tcPr>
            <w:tcW w:w="709" w:type="dxa"/>
            <w:noWrap/>
            <w:vAlign w:val="center"/>
          </w:tcPr>
          <w:p w14:paraId="17587B91"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4 </w:t>
            </w:r>
          </w:p>
        </w:tc>
        <w:tc>
          <w:tcPr>
            <w:tcW w:w="1417" w:type="dxa"/>
            <w:noWrap/>
            <w:vAlign w:val="center"/>
          </w:tcPr>
          <w:p w14:paraId="38893175"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14 110 213 </w:t>
            </w:r>
          </w:p>
        </w:tc>
        <w:tc>
          <w:tcPr>
            <w:tcW w:w="1418" w:type="dxa"/>
            <w:noWrap/>
            <w:vAlign w:val="center"/>
          </w:tcPr>
          <w:p w14:paraId="023B2FCC" w14:textId="77777777" w:rsidR="00067ED0" w:rsidRPr="00DB0722"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11 541 607 </w:t>
            </w:r>
          </w:p>
        </w:tc>
        <w:tc>
          <w:tcPr>
            <w:tcW w:w="708" w:type="dxa"/>
            <w:noWrap/>
          </w:tcPr>
          <w:p w14:paraId="33A553DE" w14:textId="77777777" w:rsidR="00067ED0" w:rsidRPr="00DB0722"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418" w:type="dxa"/>
            <w:noWrap/>
          </w:tcPr>
          <w:p w14:paraId="688F2C50" w14:textId="77777777" w:rsidR="00067ED0" w:rsidRPr="00DB0722"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276" w:type="dxa"/>
            <w:noWrap/>
          </w:tcPr>
          <w:p w14:paraId="57A3E08A" w14:textId="77777777" w:rsidR="00067ED0" w:rsidRPr="00DB0722"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r>
      <w:tr w:rsidR="00067ED0" w:rsidRPr="00DB0722" w14:paraId="68CB95BC" w14:textId="77777777" w:rsidTr="00067ED0">
        <w:trPr>
          <w:trHeight w:val="300"/>
        </w:trPr>
        <w:tc>
          <w:tcPr>
            <w:tcW w:w="2552" w:type="dxa"/>
            <w:noWrap/>
            <w:vAlign w:val="center"/>
          </w:tcPr>
          <w:p w14:paraId="5B91F758" w14:textId="77777777" w:rsidR="00067ED0" w:rsidRDefault="00067ED0" w:rsidP="00067ED0">
            <w:pPr>
              <w:pStyle w:val="normln-odrky"/>
              <w:ind w:left="321" w:hanging="283"/>
            </w:pPr>
            <w:r>
              <w:t xml:space="preserve">energetika </w:t>
            </w:r>
          </w:p>
        </w:tc>
        <w:tc>
          <w:tcPr>
            <w:tcW w:w="709" w:type="dxa"/>
            <w:noWrap/>
            <w:vAlign w:val="center"/>
          </w:tcPr>
          <w:p w14:paraId="09CAD705"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5 </w:t>
            </w:r>
          </w:p>
        </w:tc>
        <w:tc>
          <w:tcPr>
            <w:tcW w:w="1417" w:type="dxa"/>
            <w:noWrap/>
            <w:vAlign w:val="center"/>
          </w:tcPr>
          <w:p w14:paraId="45A78B72"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11 227 287 </w:t>
            </w:r>
          </w:p>
        </w:tc>
        <w:tc>
          <w:tcPr>
            <w:tcW w:w="1418" w:type="dxa"/>
            <w:noWrap/>
            <w:vAlign w:val="center"/>
          </w:tcPr>
          <w:p w14:paraId="479D69D5"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9 543 194 </w:t>
            </w:r>
          </w:p>
        </w:tc>
        <w:tc>
          <w:tcPr>
            <w:tcW w:w="708" w:type="dxa"/>
            <w:noWrap/>
            <w:vAlign w:val="center"/>
          </w:tcPr>
          <w:p w14:paraId="7CF1ECE9"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 </w:t>
            </w:r>
          </w:p>
        </w:tc>
        <w:tc>
          <w:tcPr>
            <w:tcW w:w="1418" w:type="dxa"/>
            <w:noWrap/>
            <w:vAlign w:val="center"/>
          </w:tcPr>
          <w:p w14:paraId="681AB35C"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158 540 </w:t>
            </w:r>
          </w:p>
        </w:tc>
        <w:tc>
          <w:tcPr>
            <w:tcW w:w="1276" w:type="dxa"/>
            <w:noWrap/>
            <w:vAlign w:val="center"/>
          </w:tcPr>
          <w:p w14:paraId="635FAF0E"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31 708 </w:t>
            </w:r>
          </w:p>
        </w:tc>
      </w:tr>
      <w:tr w:rsidR="00067ED0" w:rsidRPr="00DB0722" w14:paraId="5446C7B5" w14:textId="77777777" w:rsidTr="00067ED0">
        <w:trPr>
          <w:trHeight w:val="300"/>
        </w:trPr>
        <w:tc>
          <w:tcPr>
            <w:tcW w:w="2552" w:type="dxa"/>
            <w:noWrap/>
            <w:vAlign w:val="center"/>
          </w:tcPr>
          <w:p w14:paraId="653C2B7B" w14:textId="77777777" w:rsidR="00067ED0" w:rsidRDefault="00067ED0" w:rsidP="00067ED0">
            <w:pPr>
              <w:pStyle w:val="normln-odrky"/>
              <w:ind w:left="321" w:hanging="283"/>
            </w:pPr>
            <w:r>
              <w:t>technologie / IT</w:t>
            </w:r>
          </w:p>
        </w:tc>
        <w:tc>
          <w:tcPr>
            <w:tcW w:w="709" w:type="dxa"/>
            <w:noWrap/>
            <w:vAlign w:val="center"/>
          </w:tcPr>
          <w:p w14:paraId="505CF3E3"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417" w:type="dxa"/>
            <w:noWrap/>
            <w:vAlign w:val="center"/>
          </w:tcPr>
          <w:p w14:paraId="19051C04"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418" w:type="dxa"/>
            <w:noWrap/>
            <w:vAlign w:val="center"/>
          </w:tcPr>
          <w:p w14:paraId="7410830B"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708" w:type="dxa"/>
            <w:noWrap/>
            <w:vAlign w:val="center"/>
          </w:tcPr>
          <w:p w14:paraId="388022AD"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2 </w:t>
            </w:r>
          </w:p>
        </w:tc>
        <w:tc>
          <w:tcPr>
            <w:tcW w:w="1418" w:type="dxa"/>
            <w:noWrap/>
            <w:vAlign w:val="center"/>
          </w:tcPr>
          <w:p w14:paraId="26BF0D0F"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525 481 </w:t>
            </w:r>
          </w:p>
        </w:tc>
        <w:tc>
          <w:tcPr>
            <w:tcW w:w="1276" w:type="dxa"/>
            <w:noWrap/>
            <w:vAlign w:val="center"/>
          </w:tcPr>
          <w:p w14:paraId="0A64B37F"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262 741 </w:t>
            </w:r>
          </w:p>
        </w:tc>
      </w:tr>
      <w:tr w:rsidR="00067ED0" w:rsidRPr="00DB0722" w14:paraId="4A7423B6" w14:textId="77777777" w:rsidTr="00067ED0">
        <w:trPr>
          <w:trHeight w:val="300"/>
        </w:trPr>
        <w:tc>
          <w:tcPr>
            <w:tcW w:w="2552" w:type="dxa"/>
            <w:shd w:val="clear" w:color="auto" w:fill="D9D9D9" w:themeFill="background1" w:themeFillShade="D9"/>
            <w:noWrap/>
            <w:vAlign w:val="center"/>
          </w:tcPr>
          <w:p w14:paraId="3A6849EA" w14:textId="77777777" w:rsidR="00067ED0" w:rsidRDefault="00067ED0" w:rsidP="00067ED0">
            <w:pPr>
              <w:spacing w:after="0"/>
              <w:jc w:val="left"/>
              <w:rPr>
                <w:rFonts w:cs="Calibri"/>
                <w:color w:val="000000"/>
                <w:szCs w:val="22"/>
              </w:rPr>
            </w:pPr>
            <w:r w:rsidRPr="00067ED0">
              <w:rPr>
                <w:rFonts w:eastAsia="Times New Roman" w:cs="Calibri"/>
                <w:b/>
                <w:color w:val="000000"/>
                <w:szCs w:val="22"/>
                <w:lang w:eastAsia="cs-CZ"/>
              </w:rPr>
              <w:t>MD + konsorcium soukromých firem</w:t>
            </w:r>
          </w:p>
        </w:tc>
        <w:tc>
          <w:tcPr>
            <w:tcW w:w="709" w:type="dxa"/>
            <w:shd w:val="clear" w:color="auto" w:fill="D9D9D9" w:themeFill="background1" w:themeFillShade="D9"/>
            <w:noWrap/>
            <w:vAlign w:val="center"/>
          </w:tcPr>
          <w:p w14:paraId="4DE863B5"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417" w:type="dxa"/>
            <w:shd w:val="clear" w:color="auto" w:fill="D9D9D9" w:themeFill="background1" w:themeFillShade="D9"/>
            <w:noWrap/>
            <w:vAlign w:val="center"/>
          </w:tcPr>
          <w:p w14:paraId="6745FE74"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1418" w:type="dxa"/>
            <w:shd w:val="clear" w:color="auto" w:fill="D9D9D9" w:themeFill="background1" w:themeFillShade="D9"/>
            <w:noWrap/>
            <w:vAlign w:val="center"/>
          </w:tcPr>
          <w:p w14:paraId="033F90F8" w14:textId="77777777" w:rsidR="00067ED0" w:rsidRPr="00067ED0" w:rsidRDefault="00067ED0" w:rsidP="00067ED0">
            <w:pPr>
              <w:spacing w:after="0"/>
              <w:jc w:val="right"/>
              <w:rPr>
                <w:rFonts w:eastAsia="Times New Roman" w:cs="Calibri"/>
                <w:color w:val="000000"/>
                <w:szCs w:val="22"/>
                <w:lang w:eastAsia="cs-CZ"/>
              </w:rPr>
            </w:pPr>
            <w:r w:rsidRPr="00DB0722">
              <w:rPr>
                <w:rFonts w:eastAsia="Times New Roman" w:cs="Calibri"/>
                <w:color w:val="000000"/>
                <w:szCs w:val="22"/>
                <w:lang w:eastAsia="cs-CZ"/>
              </w:rPr>
              <w:t>-</w:t>
            </w:r>
          </w:p>
        </w:tc>
        <w:tc>
          <w:tcPr>
            <w:tcW w:w="708" w:type="dxa"/>
            <w:shd w:val="clear" w:color="auto" w:fill="D9D9D9" w:themeFill="background1" w:themeFillShade="D9"/>
            <w:noWrap/>
            <w:vAlign w:val="center"/>
          </w:tcPr>
          <w:p w14:paraId="38A931FE"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4 </w:t>
            </w:r>
          </w:p>
        </w:tc>
        <w:tc>
          <w:tcPr>
            <w:tcW w:w="1418" w:type="dxa"/>
            <w:shd w:val="clear" w:color="auto" w:fill="D9D9D9" w:themeFill="background1" w:themeFillShade="D9"/>
            <w:noWrap/>
            <w:vAlign w:val="center"/>
          </w:tcPr>
          <w:p w14:paraId="4DEFA415"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12 636 423 </w:t>
            </w:r>
          </w:p>
        </w:tc>
        <w:tc>
          <w:tcPr>
            <w:tcW w:w="1276" w:type="dxa"/>
            <w:shd w:val="clear" w:color="auto" w:fill="D9D9D9" w:themeFill="background1" w:themeFillShade="D9"/>
            <w:noWrap/>
            <w:vAlign w:val="center"/>
          </w:tcPr>
          <w:p w14:paraId="7D769D0E" w14:textId="77777777" w:rsidR="00067ED0" w:rsidRPr="00067ED0" w:rsidRDefault="00067ED0" w:rsidP="00067ED0">
            <w:pPr>
              <w:spacing w:after="0"/>
              <w:jc w:val="right"/>
              <w:rPr>
                <w:rFonts w:eastAsia="Times New Roman" w:cs="Calibri"/>
                <w:color w:val="000000"/>
                <w:szCs w:val="22"/>
                <w:lang w:eastAsia="cs-CZ"/>
              </w:rPr>
            </w:pPr>
            <w:r w:rsidRPr="00067ED0">
              <w:rPr>
                <w:rFonts w:eastAsia="Times New Roman" w:cs="Calibri"/>
                <w:color w:val="000000"/>
                <w:szCs w:val="22"/>
                <w:lang w:eastAsia="cs-CZ"/>
              </w:rPr>
              <w:t xml:space="preserve">2 847 211 </w:t>
            </w:r>
          </w:p>
        </w:tc>
      </w:tr>
    </w:tbl>
    <w:p w14:paraId="648AE03F" w14:textId="77777777" w:rsidR="008C2057" w:rsidRDefault="008C2057" w:rsidP="00F72744"/>
    <w:p w14:paraId="3EC9B6A4" w14:textId="77777777" w:rsidR="0080642D" w:rsidRDefault="0080642D">
      <w:pPr>
        <w:spacing w:after="0"/>
        <w:jc w:val="left"/>
        <w:rPr>
          <w:b/>
        </w:rPr>
      </w:pPr>
      <w:r>
        <w:br w:type="page"/>
      </w:r>
    </w:p>
    <w:p w14:paraId="5B707EAE" w14:textId="77777777" w:rsidR="0080642D" w:rsidRPr="008C2057" w:rsidRDefault="0080642D" w:rsidP="0080642D">
      <w:pPr>
        <w:pStyle w:val="Podnadpis"/>
      </w:pPr>
      <w:r w:rsidRPr="008C2057">
        <w:t>Projekty podle typu příjemce</w:t>
      </w:r>
    </w:p>
    <w:p w14:paraId="05B8AF88" w14:textId="4B8C5E6A" w:rsidR="0080642D" w:rsidRDefault="0080642D" w:rsidP="0080642D">
      <w:r>
        <w:t xml:space="preserve">Příjemce tvoří jak veřejné, tak soukromé subjekty. Vzhledem k dominantnímu zaměření </w:t>
      </w:r>
      <w:r w:rsidR="000C08A0">
        <w:t xml:space="preserve">dopravní části CEF </w:t>
      </w:r>
      <w:r>
        <w:t xml:space="preserve">na železnici je zásadním příjemcem Správa železnic, která čerpá téměř 88 % prostředků. Kromě </w:t>
      </w:r>
      <w:r w:rsidR="000C08A0">
        <w:t xml:space="preserve">Správy železnic </w:t>
      </w:r>
      <w:r>
        <w:t>využívají podporu z CEF i další podřízen</w:t>
      </w:r>
      <w:r w:rsidR="00D0441B">
        <w:t>é</w:t>
      </w:r>
      <w:r>
        <w:t xml:space="preserve"> organizace </w:t>
      </w:r>
      <w:r w:rsidR="00AF734A">
        <w:t>MD (Ředitelství vodních cest a Ředitelství silnic a dálnic)</w:t>
      </w:r>
      <w:r>
        <w:t xml:space="preserve">, v oblasti </w:t>
      </w:r>
      <w:r w:rsidR="00AF734A">
        <w:t xml:space="preserve">telematiky </w:t>
      </w:r>
      <w:r>
        <w:t xml:space="preserve">je příjemcem samotné </w:t>
      </w:r>
      <w:r w:rsidR="00AF734A">
        <w:t>MD</w:t>
      </w:r>
      <w:r>
        <w:t xml:space="preserve">. Soukromí příjemci čerpají podporu zejména na vybavování železničních vozidel palubními jednotkami ETCS nebo v oblasti alternativních paliv (dobíjecí stanice) apod. Více viz </w:t>
      </w:r>
      <w:r w:rsidR="006B0ABE">
        <w:br/>
      </w:r>
      <w:r>
        <w:t>tabulka 4.</w:t>
      </w:r>
    </w:p>
    <w:p w14:paraId="1932B17A" w14:textId="77777777" w:rsidR="00C80206" w:rsidRPr="008C2057" w:rsidRDefault="00C80206" w:rsidP="00D75D7A">
      <w:pPr>
        <w:pStyle w:val="Podnadpis"/>
      </w:pPr>
      <w:r w:rsidRPr="008C2057">
        <w:t xml:space="preserve">Projekty z hlediska </w:t>
      </w:r>
      <w:r w:rsidR="008C2057">
        <w:t>mezinárodní účasti</w:t>
      </w:r>
    </w:p>
    <w:p w14:paraId="48CF4A38" w14:textId="630EF766" w:rsidR="00370B63" w:rsidRDefault="00C80206" w:rsidP="00F72744">
      <w:r>
        <w:t>Pro CEF je typická podpora mezinárodních projektů, které jsou při výběru projektů zvýhodněny. Mezinárodní projekt řídí jeden z příjemců (koordinátor), který dále posílá prostředky</w:t>
      </w:r>
      <w:r w:rsidR="005315E3">
        <w:t xml:space="preserve"> ostatním příjemcům.</w:t>
      </w:r>
      <w:r w:rsidR="00370B63">
        <w:t xml:space="preserve"> Mezinárodní projekty jsou zaměřené často na ITS</w:t>
      </w:r>
      <w:r w:rsidR="00D0441B">
        <w:t>,</w:t>
      </w:r>
      <w:r w:rsidR="00370B63">
        <w:t xml:space="preserve"> MD </w:t>
      </w:r>
      <w:r w:rsidR="000F7DF2">
        <w:t xml:space="preserve">(odbor 710) </w:t>
      </w:r>
      <w:r w:rsidR="00370B63">
        <w:t>se aktivně účastí těchto projektů (např. C-ROADS). Účast v mezinárodních projektech přináší příjemcům cenné zkušenosti, kontakty a srovnání.</w:t>
      </w:r>
    </w:p>
    <w:p w14:paraId="535F2953" w14:textId="77777777" w:rsidR="00370B63" w:rsidRDefault="00370B63" w:rsidP="00F72744">
      <w:r>
        <w:t>Tabulka 5: Projekty CEF doprava s / bez mezinárodní účasti</w:t>
      </w:r>
    </w:p>
    <w:tbl>
      <w:tblPr>
        <w:tblStyle w:val="Mkatabulky"/>
        <w:tblW w:w="9498" w:type="dxa"/>
        <w:tblInd w:w="-5" w:type="dxa"/>
        <w:tblLayout w:type="fixed"/>
        <w:tblLook w:val="04A0" w:firstRow="1" w:lastRow="0" w:firstColumn="1" w:lastColumn="0" w:noHBand="0" w:noVBand="1"/>
      </w:tblPr>
      <w:tblGrid>
        <w:gridCol w:w="2410"/>
        <w:gridCol w:w="851"/>
        <w:gridCol w:w="1417"/>
        <w:gridCol w:w="1418"/>
        <w:gridCol w:w="708"/>
        <w:gridCol w:w="1418"/>
        <w:gridCol w:w="1276"/>
      </w:tblGrid>
      <w:tr w:rsidR="00370B63" w14:paraId="2E15B751" w14:textId="77777777" w:rsidTr="00370B63">
        <w:trPr>
          <w:trHeight w:val="737"/>
        </w:trPr>
        <w:tc>
          <w:tcPr>
            <w:tcW w:w="2410" w:type="dxa"/>
            <w:tcBorders>
              <w:bottom w:val="nil"/>
            </w:tcBorders>
            <w:shd w:val="clear" w:color="auto" w:fill="D9D9D9" w:themeFill="background1" w:themeFillShade="D9"/>
          </w:tcPr>
          <w:p w14:paraId="04C12CF9" w14:textId="77777777" w:rsidR="00370B63" w:rsidRDefault="00370B63" w:rsidP="000F7DF2">
            <w:pPr>
              <w:pStyle w:val="Prosttext"/>
              <w:rPr>
                <w:b/>
              </w:rPr>
            </w:pPr>
          </w:p>
          <w:p w14:paraId="01E6FB71" w14:textId="77777777" w:rsidR="00370B63" w:rsidRDefault="00370B63" w:rsidP="000F7DF2">
            <w:pPr>
              <w:pStyle w:val="Prosttext"/>
              <w:rPr>
                <w:b/>
              </w:rPr>
            </w:pPr>
          </w:p>
        </w:tc>
        <w:tc>
          <w:tcPr>
            <w:tcW w:w="3686" w:type="dxa"/>
            <w:gridSpan w:val="3"/>
            <w:tcBorders>
              <w:bottom w:val="nil"/>
            </w:tcBorders>
            <w:shd w:val="clear" w:color="auto" w:fill="D9D9D9" w:themeFill="background1" w:themeFillShade="D9"/>
            <w:vAlign w:val="center"/>
          </w:tcPr>
          <w:p w14:paraId="1548CD42" w14:textId="77777777" w:rsidR="00370B63" w:rsidRDefault="00370B63" w:rsidP="000F7DF2">
            <w:pPr>
              <w:pStyle w:val="Prosttext"/>
              <w:jc w:val="center"/>
              <w:rPr>
                <w:b/>
              </w:rPr>
            </w:pPr>
            <w:r>
              <w:rPr>
                <w:b/>
              </w:rPr>
              <w:t>Schválené projekty</w:t>
            </w:r>
          </w:p>
          <w:p w14:paraId="24F72117" w14:textId="77777777" w:rsidR="00370B63" w:rsidRDefault="00370B63" w:rsidP="000F7DF2">
            <w:pPr>
              <w:pStyle w:val="Prosttext"/>
              <w:jc w:val="center"/>
              <w:rPr>
                <w:b/>
                <w:szCs w:val="20"/>
              </w:rPr>
            </w:pPr>
            <w:r>
              <w:rPr>
                <w:b/>
                <w:szCs w:val="20"/>
              </w:rPr>
              <w:t>KOHEZNÍ OBÁLKA</w:t>
            </w:r>
          </w:p>
        </w:tc>
        <w:tc>
          <w:tcPr>
            <w:tcW w:w="3402" w:type="dxa"/>
            <w:gridSpan w:val="3"/>
            <w:tcBorders>
              <w:bottom w:val="nil"/>
            </w:tcBorders>
            <w:shd w:val="clear" w:color="auto" w:fill="D9D9D9" w:themeFill="background1" w:themeFillShade="D9"/>
            <w:vAlign w:val="center"/>
          </w:tcPr>
          <w:p w14:paraId="37BD3E1B" w14:textId="77777777" w:rsidR="00370B63" w:rsidRDefault="00370B63" w:rsidP="000F7DF2">
            <w:pPr>
              <w:pStyle w:val="Prosttext"/>
              <w:jc w:val="center"/>
              <w:rPr>
                <w:b/>
              </w:rPr>
            </w:pPr>
            <w:r>
              <w:rPr>
                <w:b/>
              </w:rPr>
              <w:t>Schválené projekty</w:t>
            </w:r>
          </w:p>
          <w:p w14:paraId="720467F9" w14:textId="77777777" w:rsidR="00370B63" w:rsidRDefault="00370B63" w:rsidP="000F7DF2">
            <w:pPr>
              <w:pStyle w:val="Prosttext"/>
              <w:jc w:val="center"/>
              <w:rPr>
                <w:b/>
                <w:szCs w:val="20"/>
              </w:rPr>
            </w:pPr>
            <w:r>
              <w:rPr>
                <w:b/>
              </w:rPr>
              <w:t>OBECNÁ OBÁLKA</w:t>
            </w:r>
          </w:p>
        </w:tc>
      </w:tr>
      <w:tr w:rsidR="00370B63" w14:paraId="4D3B83E7" w14:textId="77777777" w:rsidTr="00370B63">
        <w:tc>
          <w:tcPr>
            <w:tcW w:w="2410" w:type="dxa"/>
            <w:tcBorders>
              <w:top w:val="nil"/>
            </w:tcBorders>
            <w:shd w:val="clear" w:color="auto" w:fill="D9D9D9" w:themeFill="background1" w:themeFillShade="D9"/>
          </w:tcPr>
          <w:p w14:paraId="12265BA5" w14:textId="77777777" w:rsidR="00370B63" w:rsidRDefault="00370B63" w:rsidP="000F7DF2">
            <w:pPr>
              <w:pStyle w:val="Prosttext"/>
              <w:rPr>
                <w:b/>
              </w:rPr>
            </w:pPr>
          </w:p>
        </w:tc>
        <w:tc>
          <w:tcPr>
            <w:tcW w:w="851" w:type="dxa"/>
            <w:tcBorders>
              <w:top w:val="nil"/>
            </w:tcBorders>
            <w:shd w:val="clear" w:color="auto" w:fill="D9D9D9" w:themeFill="background1" w:themeFillShade="D9"/>
            <w:vAlign w:val="center"/>
          </w:tcPr>
          <w:p w14:paraId="64968BC7" w14:textId="77777777" w:rsidR="00370B63" w:rsidRDefault="00370B63" w:rsidP="000F7DF2">
            <w:pPr>
              <w:pStyle w:val="Prosttext"/>
              <w:jc w:val="center"/>
              <w:rPr>
                <w:b/>
                <w:szCs w:val="20"/>
              </w:rPr>
            </w:pPr>
            <w:r>
              <w:rPr>
                <w:b/>
                <w:szCs w:val="20"/>
              </w:rPr>
              <w:t>Počet</w:t>
            </w:r>
          </w:p>
        </w:tc>
        <w:tc>
          <w:tcPr>
            <w:tcW w:w="1417" w:type="dxa"/>
            <w:tcBorders>
              <w:top w:val="nil"/>
            </w:tcBorders>
            <w:shd w:val="clear" w:color="auto" w:fill="D9D9D9" w:themeFill="background1" w:themeFillShade="D9"/>
            <w:vAlign w:val="center"/>
          </w:tcPr>
          <w:p w14:paraId="7E7D2C07" w14:textId="77777777" w:rsidR="00370B63" w:rsidRDefault="00370B63" w:rsidP="000F7DF2">
            <w:pPr>
              <w:pStyle w:val="Prosttext"/>
              <w:jc w:val="center"/>
              <w:rPr>
                <w:b/>
                <w:szCs w:val="20"/>
              </w:rPr>
            </w:pPr>
            <w:r>
              <w:rPr>
                <w:b/>
                <w:szCs w:val="20"/>
              </w:rPr>
              <w:t>Způsobilé výdaje</w:t>
            </w:r>
          </w:p>
          <w:p w14:paraId="230F0779" w14:textId="77777777" w:rsidR="00370B63" w:rsidRDefault="00370B63" w:rsidP="000F7DF2">
            <w:pPr>
              <w:pStyle w:val="Prosttext"/>
              <w:jc w:val="center"/>
              <w:rPr>
                <w:b/>
                <w:szCs w:val="20"/>
              </w:rPr>
            </w:pPr>
            <w:r>
              <w:rPr>
                <w:b/>
                <w:szCs w:val="20"/>
              </w:rPr>
              <w:t>(EUR)</w:t>
            </w:r>
          </w:p>
        </w:tc>
        <w:tc>
          <w:tcPr>
            <w:tcW w:w="1418" w:type="dxa"/>
            <w:tcBorders>
              <w:top w:val="nil"/>
            </w:tcBorders>
            <w:shd w:val="clear" w:color="auto" w:fill="D9D9D9" w:themeFill="background1" w:themeFillShade="D9"/>
            <w:vAlign w:val="center"/>
          </w:tcPr>
          <w:p w14:paraId="129E7B69" w14:textId="77777777" w:rsidR="00370B63" w:rsidRDefault="00370B63" w:rsidP="000F7DF2">
            <w:pPr>
              <w:pStyle w:val="Prosttext"/>
              <w:jc w:val="center"/>
              <w:rPr>
                <w:b/>
                <w:szCs w:val="20"/>
              </w:rPr>
            </w:pPr>
            <w:r>
              <w:rPr>
                <w:b/>
                <w:szCs w:val="20"/>
              </w:rPr>
              <w:t>Příspěvek CEF</w:t>
            </w:r>
          </w:p>
          <w:p w14:paraId="64F12570" w14:textId="77777777" w:rsidR="00370B63" w:rsidRDefault="00370B63" w:rsidP="000F7DF2">
            <w:pPr>
              <w:pStyle w:val="Prosttext"/>
              <w:jc w:val="center"/>
              <w:rPr>
                <w:b/>
                <w:szCs w:val="20"/>
              </w:rPr>
            </w:pPr>
            <w:r>
              <w:rPr>
                <w:b/>
                <w:szCs w:val="20"/>
              </w:rPr>
              <w:t>(EUR)</w:t>
            </w:r>
          </w:p>
        </w:tc>
        <w:tc>
          <w:tcPr>
            <w:tcW w:w="708" w:type="dxa"/>
            <w:tcBorders>
              <w:top w:val="nil"/>
            </w:tcBorders>
            <w:shd w:val="clear" w:color="auto" w:fill="D9D9D9" w:themeFill="background1" w:themeFillShade="D9"/>
            <w:vAlign w:val="center"/>
          </w:tcPr>
          <w:p w14:paraId="12361FAB" w14:textId="77777777" w:rsidR="00370B63" w:rsidRDefault="00370B63" w:rsidP="000F7DF2">
            <w:pPr>
              <w:pStyle w:val="Prosttext"/>
              <w:jc w:val="center"/>
              <w:rPr>
                <w:b/>
                <w:szCs w:val="20"/>
              </w:rPr>
            </w:pPr>
            <w:r>
              <w:rPr>
                <w:b/>
                <w:szCs w:val="20"/>
              </w:rPr>
              <w:t>Počet</w:t>
            </w:r>
          </w:p>
        </w:tc>
        <w:tc>
          <w:tcPr>
            <w:tcW w:w="1418" w:type="dxa"/>
            <w:tcBorders>
              <w:top w:val="nil"/>
            </w:tcBorders>
            <w:shd w:val="clear" w:color="auto" w:fill="D9D9D9" w:themeFill="background1" w:themeFillShade="D9"/>
            <w:vAlign w:val="center"/>
          </w:tcPr>
          <w:p w14:paraId="41699EC4" w14:textId="77777777" w:rsidR="00370B63" w:rsidRDefault="00370B63" w:rsidP="000F7DF2">
            <w:pPr>
              <w:pStyle w:val="Prosttext"/>
              <w:jc w:val="center"/>
              <w:rPr>
                <w:b/>
                <w:szCs w:val="20"/>
              </w:rPr>
            </w:pPr>
            <w:r>
              <w:rPr>
                <w:b/>
                <w:szCs w:val="20"/>
              </w:rPr>
              <w:t>Způsobilé výdaje</w:t>
            </w:r>
          </w:p>
          <w:p w14:paraId="0BFC8F29" w14:textId="77777777" w:rsidR="00370B63" w:rsidRDefault="00370B63" w:rsidP="000F7DF2">
            <w:pPr>
              <w:pStyle w:val="Prosttext"/>
              <w:jc w:val="center"/>
              <w:rPr>
                <w:b/>
                <w:szCs w:val="20"/>
              </w:rPr>
            </w:pPr>
            <w:r>
              <w:rPr>
                <w:b/>
                <w:szCs w:val="20"/>
              </w:rPr>
              <w:t>(EUR)</w:t>
            </w:r>
          </w:p>
        </w:tc>
        <w:tc>
          <w:tcPr>
            <w:tcW w:w="1276" w:type="dxa"/>
            <w:tcBorders>
              <w:top w:val="nil"/>
            </w:tcBorders>
            <w:shd w:val="clear" w:color="auto" w:fill="D9D9D9" w:themeFill="background1" w:themeFillShade="D9"/>
            <w:vAlign w:val="center"/>
          </w:tcPr>
          <w:p w14:paraId="730CD615" w14:textId="77777777" w:rsidR="00370B63" w:rsidRDefault="00370B63" w:rsidP="000F7DF2">
            <w:pPr>
              <w:pStyle w:val="Prosttext"/>
              <w:jc w:val="center"/>
              <w:rPr>
                <w:b/>
                <w:szCs w:val="20"/>
              </w:rPr>
            </w:pPr>
            <w:r>
              <w:rPr>
                <w:b/>
                <w:szCs w:val="20"/>
              </w:rPr>
              <w:t>Příspěvek CEF</w:t>
            </w:r>
          </w:p>
          <w:p w14:paraId="4E7DDAB0" w14:textId="77777777" w:rsidR="00370B63" w:rsidRDefault="00370B63" w:rsidP="000F7DF2">
            <w:pPr>
              <w:pStyle w:val="Prosttext"/>
              <w:jc w:val="center"/>
              <w:rPr>
                <w:b/>
                <w:szCs w:val="20"/>
              </w:rPr>
            </w:pPr>
            <w:r>
              <w:rPr>
                <w:b/>
                <w:szCs w:val="20"/>
              </w:rPr>
              <w:t>(EUR)</w:t>
            </w:r>
          </w:p>
        </w:tc>
      </w:tr>
      <w:tr w:rsidR="00370B63" w:rsidRPr="00C91486" w14:paraId="100E2C47" w14:textId="77777777" w:rsidTr="00370B63">
        <w:tc>
          <w:tcPr>
            <w:tcW w:w="2410" w:type="dxa"/>
            <w:shd w:val="clear" w:color="auto" w:fill="auto"/>
            <w:vAlign w:val="bottom"/>
          </w:tcPr>
          <w:p w14:paraId="7F401951" w14:textId="77777777" w:rsidR="00370B63" w:rsidRPr="00370B63" w:rsidRDefault="00370B63" w:rsidP="00354250">
            <w:pPr>
              <w:spacing w:after="0"/>
              <w:jc w:val="left"/>
              <w:rPr>
                <w:rFonts w:eastAsia="Times New Roman" w:cs="Calibri"/>
                <w:color w:val="000000"/>
                <w:szCs w:val="22"/>
                <w:lang w:eastAsia="cs-CZ"/>
              </w:rPr>
            </w:pPr>
            <w:r w:rsidRPr="00370B63">
              <w:rPr>
                <w:rFonts w:eastAsia="Times New Roman" w:cs="Calibri"/>
                <w:color w:val="000000"/>
                <w:szCs w:val="22"/>
                <w:lang w:eastAsia="cs-CZ"/>
              </w:rPr>
              <w:t>S mezinárodní účastí</w:t>
            </w:r>
          </w:p>
        </w:tc>
        <w:tc>
          <w:tcPr>
            <w:tcW w:w="851" w:type="dxa"/>
            <w:shd w:val="clear" w:color="auto" w:fill="auto"/>
            <w:vAlign w:val="bottom"/>
          </w:tcPr>
          <w:p w14:paraId="591847EA" w14:textId="77777777" w:rsidR="00370B63" w:rsidRPr="00370B63"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9 </w:t>
            </w:r>
          </w:p>
        </w:tc>
        <w:tc>
          <w:tcPr>
            <w:tcW w:w="1417" w:type="dxa"/>
            <w:shd w:val="clear" w:color="auto" w:fill="auto"/>
            <w:vAlign w:val="bottom"/>
          </w:tcPr>
          <w:p w14:paraId="138BAFDB" w14:textId="77777777" w:rsidR="00370B63" w:rsidRPr="00370B63"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22 686 500 </w:t>
            </w:r>
          </w:p>
        </w:tc>
        <w:tc>
          <w:tcPr>
            <w:tcW w:w="1418" w:type="dxa"/>
            <w:shd w:val="clear" w:color="auto" w:fill="auto"/>
            <w:vAlign w:val="bottom"/>
          </w:tcPr>
          <w:p w14:paraId="70E621D9" w14:textId="406C3851" w:rsidR="00370B63" w:rsidRPr="00370B63"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18 831</w:t>
            </w:r>
            <w:r w:rsidR="003B6327">
              <w:rPr>
                <w:rFonts w:eastAsia="Times New Roman" w:cs="Calibri"/>
                <w:color w:val="000000"/>
                <w:szCs w:val="22"/>
                <w:lang w:eastAsia="cs-CZ"/>
              </w:rPr>
              <w:t> </w:t>
            </w:r>
            <w:r w:rsidRPr="00370B63">
              <w:rPr>
                <w:rFonts w:eastAsia="Times New Roman" w:cs="Calibri"/>
                <w:color w:val="000000"/>
                <w:szCs w:val="22"/>
                <w:lang w:eastAsia="cs-CZ"/>
              </w:rPr>
              <w:t>451</w:t>
            </w:r>
            <w:r w:rsidR="003B6327">
              <w:rPr>
                <w:rFonts w:eastAsia="Times New Roman" w:cs="Calibri"/>
                <w:color w:val="000000"/>
                <w:szCs w:val="22"/>
                <w:lang w:eastAsia="cs-CZ"/>
              </w:rPr>
              <w:t>*</w:t>
            </w:r>
            <w:r w:rsidRPr="00370B63">
              <w:rPr>
                <w:rFonts w:eastAsia="Times New Roman" w:cs="Calibri"/>
                <w:color w:val="000000"/>
                <w:szCs w:val="22"/>
                <w:lang w:eastAsia="cs-CZ"/>
              </w:rPr>
              <w:t xml:space="preserve"> </w:t>
            </w:r>
          </w:p>
        </w:tc>
        <w:tc>
          <w:tcPr>
            <w:tcW w:w="708" w:type="dxa"/>
            <w:shd w:val="clear" w:color="auto" w:fill="auto"/>
            <w:vAlign w:val="bottom"/>
          </w:tcPr>
          <w:p w14:paraId="47AD7200" w14:textId="77777777" w:rsidR="00370B63" w:rsidRPr="00370B63"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7 </w:t>
            </w:r>
          </w:p>
        </w:tc>
        <w:tc>
          <w:tcPr>
            <w:tcW w:w="1418" w:type="dxa"/>
            <w:shd w:val="clear" w:color="auto" w:fill="auto"/>
            <w:vAlign w:val="bottom"/>
          </w:tcPr>
          <w:p w14:paraId="63FB40B1" w14:textId="77777777" w:rsidR="00370B63" w:rsidRPr="00370B63"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13 320 444 </w:t>
            </w:r>
          </w:p>
        </w:tc>
        <w:tc>
          <w:tcPr>
            <w:tcW w:w="1276" w:type="dxa"/>
            <w:shd w:val="clear" w:color="auto" w:fill="auto"/>
            <w:vAlign w:val="bottom"/>
          </w:tcPr>
          <w:p w14:paraId="38EDA636" w14:textId="12B94F0D" w:rsidR="00370B63" w:rsidRPr="00370B63"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3 141</w:t>
            </w:r>
            <w:r w:rsidR="003B6327">
              <w:rPr>
                <w:rFonts w:eastAsia="Times New Roman" w:cs="Calibri"/>
                <w:color w:val="000000"/>
                <w:szCs w:val="22"/>
                <w:lang w:eastAsia="cs-CZ"/>
              </w:rPr>
              <w:t> </w:t>
            </w:r>
            <w:r w:rsidRPr="00370B63">
              <w:rPr>
                <w:rFonts w:eastAsia="Times New Roman" w:cs="Calibri"/>
                <w:color w:val="000000"/>
                <w:szCs w:val="22"/>
                <w:lang w:eastAsia="cs-CZ"/>
              </w:rPr>
              <w:t>660</w:t>
            </w:r>
            <w:r w:rsidR="003B6327">
              <w:rPr>
                <w:rFonts w:eastAsia="Times New Roman" w:cs="Calibri"/>
                <w:color w:val="000000"/>
                <w:szCs w:val="22"/>
                <w:lang w:eastAsia="cs-CZ"/>
              </w:rPr>
              <w:t>*</w:t>
            </w:r>
            <w:r w:rsidRPr="00370B63">
              <w:rPr>
                <w:rFonts w:eastAsia="Times New Roman" w:cs="Calibri"/>
                <w:color w:val="000000"/>
                <w:szCs w:val="22"/>
                <w:lang w:eastAsia="cs-CZ"/>
              </w:rPr>
              <w:t xml:space="preserve"> </w:t>
            </w:r>
          </w:p>
        </w:tc>
      </w:tr>
      <w:tr w:rsidR="00370B63" w:rsidRPr="00DB0722" w14:paraId="46DF6CB1" w14:textId="77777777" w:rsidTr="00370B63">
        <w:trPr>
          <w:trHeight w:val="300"/>
        </w:trPr>
        <w:tc>
          <w:tcPr>
            <w:tcW w:w="2410" w:type="dxa"/>
            <w:shd w:val="clear" w:color="auto" w:fill="auto"/>
            <w:noWrap/>
            <w:vAlign w:val="center"/>
          </w:tcPr>
          <w:p w14:paraId="0AC55E49" w14:textId="77777777" w:rsidR="00370B63" w:rsidRPr="00DB0722" w:rsidRDefault="00370B63" w:rsidP="00354250">
            <w:pPr>
              <w:spacing w:after="0"/>
              <w:jc w:val="left"/>
              <w:rPr>
                <w:rFonts w:eastAsia="Times New Roman" w:cs="Calibri"/>
                <w:color w:val="000000"/>
                <w:szCs w:val="22"/>
                <w:lang w:eastAsia="cs-CZ"/>
              </w:rPr>
            </w:pPr>
            <w:r w:rsidRPr="00370B63">
              <w:rPr>
                <w:rFonts w:eastAsia="Times New Roman" w:cs="Calibri"/>
                <w:color w:val="000000"/>
                <w:szCs w:val="22"/>
                <w:lang w:eastAsia="cs-CZ"/>
              </w:rPr>
              <w:t>Bez mezinárodní účasti</w:t>
            </w:r>
          </w:p>
        </w:tc>
        <w:tc>
          <w:tcPr>
            <w:tcW w:w="851" w:type="dxa"/>
            <w:shd w:val="clear" w:color="auto" w:fill="auto"/>
            <w:noWrap/>
            <w:vAlign w:val="bottom"/>
          </w:tcPr>
          <w:p w14:paraId="50BEDCBA" w14:textId="77777777" w:rsidR="00370B63" w:rsidRPr="00DB0722"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41 </w:t>
            </w:r>
          </w:p>
        </w:tc>
        <w:tc>
          <w:tcPr>
            <w:tcW w:w="1417" w:type="dxa"/>
            <w:shd w:val="clear" w:color="auto" w:fill="auto"/>
            <w:noWrap/>
            <w:vAlign w:val="bottom"/>
          </w:tcPr>
          <w:p w14:paraId="4526ACFA" w14:textId="77777777" w:rsidR="00370B63" w:rsidRPr="00DB0722"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1 328 059 014 </w:t>
            </w:r>
          </w:p>
        </w:tc>
        <w:tc>
          <w:tcPr>
            <w:tcW w:w="1418" w:type="dxa"/>
            <w:shd w:val="clear" w:color="auto" w:fill="auto"/>
            <w:noWrap/>
            <w:vAlign w:val="bottom"/>
          </w:tcPr>
          <w:p w14:paraId="77C6D1C0" w14:textId="77777777" w:rsidR="00370B63" w:rsidRPr="00DB0722"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1 078 892 019 </w:t>
            </w:r>
          </w:p>
        </w:tc>
        <w:tc>
          <w:tcPr>
            <w:tcW w:w="708" w:type="dxa"/>
            <w:shd w:val="clear" w:color="auto" w:fill="auto"/>
            <w:noWrap/>
            <w:vAlign w:val="bottom"/>
          </w:tcPr>
          <w:p w14:paraId="2169B846" w14:textId="77777777" w:rsidR="00370B63" w:rsidRPr="00DB0722"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2 </w:t>
            </w:r>
          </w:p>
        </w:tc>
        <w:tc>
          <w:tcPr>
            <w:tcW w:w="1418" w:type="dxa"/>
            <w:shd w:val="clear" w:color="auto" w:fill="auto"/>
            <w:noWrap/>
            <w:vAlign w:val="bottom"/>
          </w:tcPr>
          <w:p w14:paraId="6FCF2347" w14:textId="77777777" w:rsidR="00370B63" w:rsidRPr="00DB0722"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210 154 522 </w:t>
            </w:r>
          </w:p>
        </w:tc>
        <w:tc>
          <w:tcPr>
            <w:tcW w:w="1276" w:type="dxa"/>
            <w:shd w:val="clear" w:color="auto" w:fill="auto"/>
            <w:noWrap/>
            <w:vAlign w:val="bottom"/>
          </w:tcPr>
          <w:p w14:paraId="7889506D" w14:textId="77777777" w:rsidR="00370B63" w:rsidRPr="00DB0722" w:rsidRDefault="00370B63" w:rsidP="00370B63">
            <w:pPr>
              <w:spacing w:after="0"/>
              <w:jc w:val="right"/>
              <w:rPr>
                <w:rFonts w:eastAsia="Times New Roman" w:cs="Calibri"/>
                <w:color w:val="000000"/>
                <w:szCs w:val="22"/>
                <w:lang w:eastAsia="cs-CZ"/>
              </w:rPr>
            </w:pPr>
            <w:r w:rsidRPr="00370B63">
              <w:rPr>
                <w:rFonts w:eastAsia="Times New Roman" w:cs="Calibri"/>
                <w:color w:val="000000"/>
                <w:szCs w:val="22"/>
                <w:lang w:eastAsia="cs-CZ"/>
              </w:rPr>
              <w:t xml:space="preserve">44 584 304 </w:t>
            </w:r>
          </w:p>
        </w:tc>
      </w:tr>
    </w:tbl>
    <w:p w14:paraId="0459AF53" w14:textId="77777777" w:rsidR="00067ED0" w:rsidRDefault="003B6327" w:rsidP="00F72744">
      <w:r>
        <w:t>Pozn.: * Příspěvek CEF je uveden pouze za české příjemce</w:t>
      </w:r>
    </w:p>
    <w:p w14:paraId="7FA7C1A4" w14:textId="77777777" w:rsidR="005E1666" w:rsidRDefault="005E1666" w:rsidP="005E1666">
      <w:pPr>
        <w:pStyle w:val="Podnadpis"/>
      </w:pPr>
      <w:r>
        <w:t>Seznam projektů:</w:t>
      </w:r>
    </w:p>
    <w:p w14:paraId="61BC9D26" w14:textId="77777777" w:rsidR="005315E3" w:rsidRDefault="007C5AD2" w:rsidP="00F72744">
      <w:hyperlink r:id="rId9" w:history="1">
        <w:r w:rsidR="00EB775A">
          <w:rPr>
            <w:rStyle w:val="Hypertextovodkaz"/>
          </w:rPr>
          <w:t>https://ec.europa.eu/inea/connecting-europe-facility/cef-transport/projects-by-country</w:t>
        </w:r>
      </w:hyperlink>
    </w:p>
    <w:p w14:paraId="1BE59C4A" w14:textId="77777777" w:rsidR="005315E3" w:rsidRDefault="008C2057" w:rsidP="00D75D7A">
      <w:pPr>
        <w:pStyle w:val="Nadpis3"/>
      </w:pPr>
      <w:r>
        <w:t>Realizace projektů</w:t>
      </w:r>
    </w:p>
    <w:p w14:paraId="52A9826C" w14:textId="77777777" w:rsidR="000F7DF2" w:rsidRDefault="005D4CF3" w:rsidP="00F72744">
      <w:r>
        <w:t xml:space="preserve">Z celkového počtu projektů je stále </w:t>
      </w:r>
      <w:r w:rsidR="000F7DF2">
        <w:t>49 (83</w:t>
      </w:r>
      <w:r>
        <w:t xml:space="preserve"> %</w:t>
      </w:r>
      <w:r w:rsidR="000F7DF2">
        <w:t>)</w:t>
      </w:r>
      <w:r>
        <w:t xml:space="preserve"> v</w:t>
      </w:r>
      <w:r w:rsidR="000F7DF2">
        <w:t> </w:t>
      </w:r>
      <w:r>
        <w:t>realizaci</w:t>
      </w:r>
      <w:r w:rsidR="000F7DF2">
        <w:t>. Z toho však je 8 projektů fyzicky dokončených a zbývá u nich pouze podat závěrečnou zprávu a vyúčtování příjmů a výdajů</w:t>
      </w:r>
      <w:r>
        <w:t xml:space="preserve">. </w:t>
      </w:r>
      <w:r w:rsidR="000F7DF2">
        <w:t>Zatím 4 projekty</w:t>
      </w:r>
      <w:r>
        <w:t xml:space="preserve"> byl</w:t>
      </w:r>
      <w:r w:rsidR="000F7DF2">
        <w:t>y</w:t>
      </w:r>
      <w:r>
        <w:t xml:space="preserve"> úspěšně dokončen</w:t>
      </w:r>
      <w:r w:rsidR="000F7DF2">
        <w:t>y</w:t>
      </w:r>
      <w:r>
        <w:t xml:space="preserve">, </w:t>
      </w:r>
      <w:r w:rsidR="000F7DF2">
        <w:t>3</w:t>
      </w:r>
      <w:r>
        <w:t xml:space="preserve"> projekt</w:t>
      </w:r>
      <w:r w:rsidR="000F7DF2">
        <w:t>y</w:t>
      </w:r>
      <w:r>
        <w:t xml:space="preserve"> </w:t>
      </w:r>
      <w:r w:rsidR="000F7DF2">
        <w:t xml:space="preserve">se </w:t>
      </w:r>
      <w:r>
        <w:t>ne</w:t>
      </w:r>
      <w:r w:rsidR="000F7DF2">
        <w:t xml:space="preserve">podařilo </w:t>
      </w:r>
      <w:r>
        <w:t>realizov</w:t>
      </w:r>
      <w:r w:rsidR="000F7DF2">
        <w:t>at a</w:t>
      </w:r>
      <w:r>
        <w:t xml:space="preserve"> byl</w:t>
      </w:r>
      <w:r w:rsidR="000F7DF2">
        <w:t>y</w:t>
      </w:r>
      <w:r>
        <w:t xml:space="preserve"> stažen</w:t>
      </w:r>
      <w:r w:rsidR="000F7DF2">
        <w:t>y</w:t>
      </w:r>
      <w:r>
        <w:t>.</w:t>
      </w:r>
      <w:r w:rsidR="00733122">
        <w:t xml:space="preserve"> </w:t>
      </w:r>
      <w:r w:rsidR="000F7DF2">
        <w:t>Více v tabulce 6.</w:t>
      </w:r>
    </w:p>
    <w:p w14:paraId="4BFD4446" w14:textId="77777777" w:rsidR="008C2057" w:rsidRDefault="00733122" w:rsidP="00F72744">
      <w:r>
        <w:t>Relativně nízký počet realizovaných projektů je dán skutečností, že se jedná často o složité infrastrukturní projekty, které navíc často zahrnují i přípravu stavby. Realizace projektů CEF může běžet (v závislosti na harmonogramu projektů) až do konce roku 2023, resp. 2024 v případě, že dojde ke zpožděním z důvodu COVID-19.</w:t>
      </w:r>
    </w:p>
    <w:p w14:paraId="4E30FF81" w14:textId="77777777" w:rsidR="009A713E" w:rsidRDefault="000F7DF2" w:rsidP="00F72744">
      <w:r>
        <w:t>Tabulka 6: Projekty CEF doprava podle stavu realizace</w:t>
      </w:r>
    </w:p>
    <w:tbl>
      <w:tblPr>
        <w:tblStyle w:val="Mkatabulky"/>
        <w:tblW w:w="9498" w:type="dxa"/>
        <w:tblInd w:w="-5" w:type="dxa"/>
        <w:tblLayout w:type="fixed"/>
        <w:tblLook w:val="04A0" w:firstRow="1" w:lastRow="0" w:firstColumn="1" w:lastColumn="0" w:noHBand="0" w:noVBand="1"/>
      </w:tblPr>
      <w:tblGrid>
        <w:gridCol w:w="2410"/>
        <w:gridCol w:w="851"/>
        <w:gridCol w:w="1417"/>
        <w:gridCol w:w="1276"/>
        <w:gridCol w:w="850"/>
        <w:gridCol w:w="1418"/>
        <w:gridCol w:w="1276"/>
      </w:tblGrid>
      <w:tr w:rsidR="009A713E" w14:paraId="0C390793" w14:textId="77777777" w:rsidTr="009A713E">
        <w:trPr>
          <w:trHeight w:val="737"/>
        </w:trPr>
        <w:tc>
          <w:tcPr>
            <w:tcW w:w="2410" w:type="dxa"/>
            <w:vMerge w:val="restart"/>
            <w:tcBorders>
              <w:left w:val="single" w:sz="4" w:space="0" w:color="auto"/>
              <w:right w:val="single" w:sz="4" w:space="0" w:color="auto"/>
            </w:tcBorders>
            <w:shd w:val="clear" w:color="auto" w:fill="D9D9D9" w:themeFill="background1" w:themeFillShade="D9"/>
            <w:vAlign w:val="center"/>
          </w:tcPr>
          <w:p w14:paraId="48C6DC0B" w14:textId="77777777" w:rsidR="009A713E" w:rsidRDefault="009A713E" w:rsidP="009A713E">
            <w:pPr>
              <w:pStyle w:val="Prosttext"/>
              <w:jc w:val="center"/>
              <w:rPr>
                <w:b/>
              </w:rPr>
            </w:pPr>
          </w:p>
          <w:p w14:paraId="0FF46638" w14:textId="77777777" w:rsidR="009A713E" w:rsidRDefault="009A713E" w:rsidP="009A713E">
            <w:pPr>
              <w:pStyle w:val="Prosttext"/>
              <w:jc w:val="center"/>
              <w:rPr>
                <w:b/>
              </w:rPr>
            </w:pPr>
            <w:r>
              <w:rPr>
                <w:b/>
              </w:rPr>
              <w:t>Stav projektu</w:t>
            </w:r>
          </w:p>
        </w:tc>
        <w:tc>
          <w:tcPr>
            <w:tcW w:w="354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E022C1D" w14:textId="77777777" w:rsidR="009A713E" w:rsidRDefault="009A713E" w:rsidP="009A713E">
            <w:pPr>
              <w:pStyle w:val="Prosttext"/>
              <w:jc w:val="center"/>
              <w:rPr>
                <w:b/>
                <w:szCs w:val="20"/>
              </w:rPr>
            </w:pPr>
            <w:r>
              <w:rPr>
                <w:b/>
                <w:szCs w:val="20"/>
              </w:rPr>
              <w:t>KOHEZNÍ OBÁLKA</w:t>
            </w:r>
          </w:p>
        </w:tc>
        <w:tc>
          <w:tcPr>
            <w:tcW w:w="3544" w:type="dxa"/>
            <w:gridSpan w:val="3"/>
            <w:tcBorders>
              <w:top w:val="single" w:sz="4" w:space="0" w:color="auto"/>
              <w:left w:val="single" w:sz="4" w:space="0" w:color="auto"/>
              <w:bottom w:val="nil"/>
              <w:right w:val="single" w:sz="4" w:space="0" w:color="auto"/>
            </w:tcBorders>
            <w:shd w:val="clear" w:color="auto" w:fill="D9D9D9" w:themeFill="background1" w:themeFillShade="D9"/>
            <w:vAlign w:val="center"/>
          </w:tcPr>
          <w:p w14:paraId="24633019" w14:textId="77777777" w:rsidR="009A713E" w:rsidRDefault="009A713E" w:rsidP="009A713E">
            <w:pPr>
              <w:pStyle w:val="Prosttext"/>
              <w:jc w:val="center"/>
              <w:rPr>
                <w:b/>
                <w:szCs w:val="20"/>
              </w:rPr>
            </w:pPr>
            <w:r>
              <w:rPr>
                <w:b/>
              </w:rPr>
              <w:t>OBECNÁ OBÁLKA</w:t>
            </w:r>
          </w:p>
        </w:tc>
      </w:tr>
      <w:tr w:rsidR="009A713E" w14:paraId="34BB7BFD" w14:textId="77777777" w:rsidTr="000F7DF2">
        <w:tc>
          <w:tcPr>
            <w:tcW w:w="2410" w:type="dxa"/>
            <w:vMerge/>
            <w:tcBorders>
              <w:left w:val="single" w:sz="4" w:space="0" w:color="auto"/>
              <w:bottom w:val="single" w:sz="4" w:space="0" w:color="auto"/>
              <w:right w:val="single" w:sz="4" w:space="0" w:color="auto"/>
            </w:tcBorders>
            <w:shd w:val="clear" w:color="auto" w:fill="D9D9D9" w:themeFill="background1" w:themeFillShade="D9"/>
          </w:tcPr>
          <w:p w14:paraId="02E459BD" w14:textId="77777777" w:rsidR="009A713E" w:rsidRDefault="009A713E" w:rsidP="009A713E">
            <w:pPr>
              <w:pStyle w:val="Prosttext"/>
              <w:jc w:val="center"/>
              <w:rPr>
                <w:b/>
              </w:rPr>
            </w:pPr>
          </w:p>
        </w:tc>
        <w:tc>
          <w:tcPr>
            <w:tcW w:w="85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D535824" w14:textId="77777777" w:rsidR="009A713E" w:rsidRDefault="009A713E" w:rsidP="009A713E">
            <w:pPr>
              <w:pStyle w:val="Prosttext"/>
              <w:jc w:val="center"/>
              <w:rPr>
                <w:b/>
                <w:szCs w:val="20"/>
              </w:rPr>
            </w:pPr>
            <w:r>
              <w:rPr>
                <w:b/>
                <w:szCs w:val="20"/>
              </w:rPr>
              <w:t>Počet</w:t>
            </w:r>
          </w:p>
        </w:tc>
        <w:tc>
          <w:tcPr>
            <w:tcW w:w="1417"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1692490" w14:textId="77777777" w:rsidR="009A713E" w:rsidRDefault="009A713E" w:rsidP="009A713E">
            <w:pPr>
              <w:pStyle w:val="Prosttext"/>
              <w:jc w:val="center"/>
              <w:rPr>
                <w:b/>
                <w:szCs w:val="20"/>
              </w:rPr>
            </w:pPr>
            <w:r>
              <w:rPr>
                <w:b/>
                <w:szCs w:val="20"/>
              </w:rPr>
              <w:t>Způsobilé výdaje</w:t>
            </w:r>
          </w:p>
          <w:p w14:paraId="49AC7DB9" w14:textId="77777777" w:rsidR="009A713E" w:rsidRDefault="009A713E" w:rsidP="009A713E">
            <w:pPr>
              <w:pStyle w:val="Prosttext"/>
              <w:jc w:val="center"/>
              <w:rPr>
                <w:b/>
                <w:szCs w:val="20"/>
              </w:rPr>
            </w:pPr>
            <w:r>
              <w:rPr>
                <w:b/>
                <w:szCs w:val="20"/>
              </w:rPr>
              <w:t>(EUR)</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5FEF74" w14:textId="77777777" w:rsidR="009A713E" w:rsidRDefault="009A713E" w:rsidP="009A713E">
            <w:pPr>
              <w:pStyle w:val="Prosttext"/>
              <w:jc w:val="center"/>
              <w:rPr>
                <w:b/>
                <w:szCs w:val="20"/>
              </w:rPr>
            </w:pPr>
            <w:r>
              <w:rPr>
                <w:b/>
                <w:szCs w:val="20"/>
              </w:rPr>
              <w:t>Příspěvek CEF</w:t>
            </w:r>
          </w:p>
          <w:p w14:paraId="70723FC1" w14:textId="77777777" w:rsidR="009A713E" w:rsidRDefault="009A713E" w:rsidP="009A713E">
            <w:pPr>
              <w:pStyle w:val="Prosttext"/>
              <w:jc w:val="center"/>
              <w:rPr>
                <w:b/>
                <w:szCs w:val="20"/>
              </w:rPr>
            </w:pPr>
            <w:r>
              <w:rPr>
                <w:b/>
                <w:szCs w:val="20"/>
              </w:rPr>
              <w:t>(EUR)</w:t>
            </w:r>
          </w:p>
        </w:tc>
        <w:tc>
          <w:tcPr>
            <w:tcW w:w="85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04D0D0" w14:textId="77777777" w:rsidR="009A713E" w:rsidRDefault="009A713E" w:rsidP="009A713E">
            <w:pPr>
              <w:pStyle w:val="Prosttext"/>
              <w:jc w:val="center"/>
              <w:rPr>
                <w:b/>
                <w:szCs w:val="20"/>
              </w:rPr>
            </w:pPr>
            <w:r>
              <w:rPr>
                <w:b/>
                <w:szCs w:val="20"/>
              </w:rPr>
              <w:t>Počet</w:t>
            </w:r>
          </w:p>
        </w:tc>
        <w:tc>
          <w:tcPr>
            <w:tcW w:w="1418"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5CBA596" w14:textId="77777777" w:rsidR="009A713E" w:rsidRDefault="009A713E" w:rsidP="009A713E">
            <w:pPr>
              <w:pStyle w:val="Prosttext"/>
              <w:jc w:val="center"/>
              <w:rPr>
                <w:b/>
                <w:szCs w:val="20"/>
              </w:rPr>
            </w:pPr>
            <w:r>
              <w:rPr>
                <w:b/>
                <w:szCs w:val="20"/>
              </w:rPr>
              <w:t>Způsobilé výdaje</w:t>
            </w:r>
          </w:p>
          <w:p w14:paraId="009C4629" w14:textId="77777777" w:rsidR="009A713E" w:rsidRDefault="009A713E" w:rsidP="009A713E">
            <w:pPr>
              <w:pStyle w:val="Prosttext"/>
              <w:jc w:val="center"/>
              <w:rPr>
                <w:b/>
                <w:szCs w:val="20"/>
              </w:rPr>
            </w:pPr>
            <w:r>
              <w:rPr>
                <w:b/>
                <w:szCs w:val="20"/>
              </w:rPr>
              <w:t>(EUR)</w:t>
            </w:r>
          </w:p>
        </w:tc>
        <w:tc>
          <w:tcPr>
            <w:tcW w:w="127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3C3E22" w14:textId="77777777" w:rsidR="009A713E" w:rsidRDefault="009A713E" w:rsidP="009A713E">
            <w:pPr>
              <w:pStyle w:val="Prosttext"/>
              <w:jc w:val="center"/>
              <w:rPr>
                <w:b/>
                <w:szCs w:val="20"/>
              </w:rPr>
            </w:pPr>
            <w:r>
              <w:rPr>
                <w:b/>
                <w:szCs w:val="20"/>
              </w:rPr>
              <w:t>Příspěvek CEF</w:t>
            </w:r>
          </w:p>
          <w:p w14:paraId="50284A69" w14:textId="77777777" w:rsidR="009A713E" w:rsidRDefault="009A713E" w:rsidP="009A713E">
            <w:pPr>
              <w:pStyle w:val="Prosttext"/>
              <w:jc w:val="center"/>
              <w:rPr>
                <w:b/>
                <w:szCs w:val="20"/>
              </w:rPr>
            </w:pPr>
            <w:r>
              <w:rPr>
                <w:b/>
                <w:szCs w:val="20"/>
              </w:rPr>
              <w:t>(EUR)</w:t>
            </w:r>
          </w:p>
        </w:tc>
      </w:tr>
      <w:tr w:rsidR="009A713E" w:rsidRPr="00C91486" w14:paraId="7522F7C4" w14:textId="77777777" w:rsidTr="009A713E">
        <w:tc>
          <w:tcPr>
            <w:tcW w:w="2410" w:type="dxa"/>
            <w:tcBorders>
              <w:top w:val="single" w:sz="4" w:space="0" w:color="auto"/>
              <w:left w:val="single" w:sz="4" w:space="0" w:color="auto"/>
              <w:bottom w:val="single" w:sz="4" w:space="0" w:color="auto"/>
              <w:right w:val="single" w:sz="4" w:space="0" w:color="FFFFFF"/>
            </w:tcBorders>
            <w:shd w:val="clear" w:color="auto" w:fill="auto"/>
            <w:vAlign w:val="center"/>
          </w:tcPr>
          <w:p w14:paraId="17906B56" w14:textId="6A1A4E1B" w:rsidR="009A713E" w:rsidRPr="009A713E" w:rsidRDefault="009A713E" w:rsidP="009A713E">
            <w:pPr>
              <w:spacing w:after="0"/>
              <w:jc w:val="left"/>
              <w:rPr>
                <w:rFonts w:eastAsia="Times New Roman" w:cs="Calibri"/>
                <w:color w:val="000000"/>
                <w:szCs w:val="22"/>
                <w:lang w:eastAsia="cs-CZ"/>
              </w:rPr>
            </w:pPr>
            <w:r w:rsidRPr="009A713E">
              <w:rPr>
                <w:rFonts w:eastAsia="Times New Roman" w:cs="Calibri"/>
                <w:color w:val="000000"/>
                <w:szCs w:val="22"/>
                <w:lang w:eastAsia="cs-CZ"/>
              </w:rPr>
              <w:t xml:space="preserve">Schválen </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1A726E3A" w14:textId="77777777" w:rsidR="009A713E" w:rsidRPr="009A713E"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2 </w:t>
            </w:r>
          </w:p>
        </w:tc>
        <w:tc>
          <w:tcPr>
            <w:tcW w:w="1417" w:type="dxa"/>
            <w:tcBorders>
              <w:top w:val="single" w:sz="4" w:space="0" w:color="auto"/>
              <w:left w:val="nil"/>
              <w:bottom w:val="single" w:sz="4" w:space="0" w:color="auto"/>
              <w:right w:val="single" w:sz="4" w:space="0" w:color="auto"/>
            </w:tcBorders>
            <w:shd w:val="clear" w:color="auto" w:fill="auto"/>
            <w:vAlign w:val="bottom"/>
          </w:tcPr>
          <w:p w14:paraId="32FB7273" w14:textId="77777777" w:rsidR="009A713E" w:rsidRPr="009A713E"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216 829 181 </w:t>
            </w:r>
          </w:p>
        </w:tc>
        <w:tc>
          <w:tcPr>
            <w:tcW w:w="1276" w:type="dxa"/>
            <w:tcBorders>
              <w:top w:val="single" w:sz="4" w:space="0" w:color="auto"/>
              <w:left w:val="nil"/>
              <w:bottom w:val="single" w:sz="4" w:space="0" w:color="auto"/>
              <w:right w:val="single" w:sz="4" w:space="0" w:color="auto"/>
            </w:tcBorders>
            <w:shd w:val="clear" w:color="auto" w:fill="auto"/>
            <w:vAlign w:val="bottom"/>
          </w:tcPr>
          <w:p w14:paraId="73627546" w14:textId="77777777" w:rsidR="009A713E" w:rsidRPr="009A713E"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183 254 063 </w:t>
            </w:r>
          </w:p>
        </w:tc>
        <w:tc>
          <w:tcPr>
            <w:tcW w:w="850" w:type="dxa"/>
            <w:tcBorders>
              <w:top w:val="single" w:sz="4" w:space="0" w:color="auto"/>
              <w:left w:val="nil"/>
              <w:bottom w:val="single" w:sz="4" w:space="0" w:color="auto"/>
              <w:right w:val="single" w:sz="4" w:space="0" w:color="auto"/>
            </w:tcBorders>
            <w:shd w:val="clear" w:color="auto" w:fill="auto"/>
            <w:vAlign w:val="bottom"/>
          </w:tcPr>
          <w:p w14:paraId="2339F3EB" w14:textId="77777777" w:rsidR="009A713E" w:rsidRPr="009A713E"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 </w:t>
            </w:r>
          </w:p>
        </w:tc>
        <w:tc>
          <w:tcPr>
            <w:tcW w:w="1418" w:type="dxa"/>
            <w:tcBorders>
              <w:top w:val="single" w:sz="4" w:space="0" w:color="auto"/>
              <w:left w:val="nil"/>
              <w:bottom w:val="single" w:sz="4" w:space="0" w:color="auto"/>
              <w:right w:val="single" w:sz="4" w:space="0" w:color="auto"/>
            </w:tcBorders>
            <w:shd w:val="clear" w:color="auto" w:fill="auto"/>
            <w:vAlign w:val="bottom"/>
          </w:tcPr>
          <w:p w14:paraId="014F5105" w14:textId="77777777" w:rsidR="009A713E" w:rsidRPr="009A713E"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18 733 000 </w:t>
            </w:r>
          </w:p>
        </w:tc>
        <w:tc>
          <w:tcPr>
            <w:tcW w:w="1276" w:type="dxa"/>
            <w:tcBorders>
              <w:top w:val="single" w:sz="4" w:space="0" w:color="auto"/>
              <w:left w:val="nil"/>
              <w:bottom w:val="single" w:sz="4" w:space="0" w:color="auto"/>
              <w:right w:val="single" w:sz="4" w:space="0" w:color="auto"/>
            </w:tcBorders>
            <w:shd w:val="clear" w:color="auto" w:fill="auto"/>
            <w:vAlign w:val="bottom"/>
          </w:tcPr>
          <w:p w14:paraId="5AE3EDB4" w14:textId="77777777" w:rsidR="009A713E" w:rsidRPr="009A713E"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6 300 000 </w:t>
            </w:r>
          </w:p>
        </w:tc>
      </w:tr>
      <w:tr w:rsidR="009A713E" w:rsidRPr="00DB0722" w14:paraId="552B73C9" w14:textId="77777777" w:rsidTr="009A713E">
        <w:trPr>
          <w:trHeight w:val="300"/>
        </w:trPr>
        <w:tc>
          <w:tcPr>
            <w:tcW w:w="2410" w:type="dxa"/>
            <w:tcBorders>
              <w:top w:val="single" w:sz="4" w:space="0" w:color="auto"/>
              <w:left w:val="single" w:sz="4" w:space="0" w:color="auto"/>
              <w:bottom w:val="single" w:sz="4" w:space="0" w:color="auto"/>
              <w:right w:val="single" w:sz="4" w:space="0" w:color="FFFFFF"/>
            </w:tcBorders>
            <w:shd w:val="clear" w:color="auto" w:fill="auto"/>
            <w:noWrap/>
            <w:vAlign w:val="center"/>
          </w:tcPr>
          <w:p w14:paraId="59881CA7" w14:textId="77777777" w:rsidR="009A713E" w:rsidRPr="00DB0722" w:rsidRDefault="009A713E" w:rsidP="009A713E">
            <w:pPr>
              <w:spacing w:after="0"/>
              <w:jc w:val="left"/>
              <w:rPr>
                <w:rFonts w:eastAsia="Times New Roman" w:cs="Calibri"/>
                <w:color w:val="000000"/>
                <w:szCs w:val="22"/>
                <w:lang w:eastAsia="cs-CZ"/>
              </w:rPr>
            </w:pPr>
            <w:r w:rsidRPr="009A713E">
              <w:rPr>
                <w:rFonts w:eastAsia="Times New Roman" w:cs="Calibri"/>
                <w:color w:val="000000"/>
                <w:szCs w:val="22"/>
                <w:lang w:eastAsia="cs-CZ"/>
              </w:rPr>
              <w:t>V realizaci</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C015A6"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43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50B591F"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1 112 269 292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F66CF9A"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896 473 036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063742E1"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6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110D75DA"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203 581 198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4C6EE3F1"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40 845 580 </w:t>
            </w:r>
          </w:p>
        </w:tc>
      </w:tr>
      <w:tr w:rsidR="009A713E" w:rsidRPr="00DB0722" w14:paraId="42CA75BD" w14:textId="77777777" w:rsidTr="009A713E">
        <w:trPr>
          <w:trHeight w:val="300"/>
        </w:trPr>
        <w:tc>
          <w:tcPr>
            <w:tcW w:w="2410" w:type="dxa"/>
            <w:tcBorders>
              <w:top w:val="single" w:sz="4" w:space="0" w:color="auto"/>
              <w:left w:val="single" w:sz="4" w:space="0" w:color="auto"/>
              <w:bottom w:val="single" w:sz="4" w:space="0" w:color="auto"/>
              <w:right w:val="single" w:sz="4" w:space="0" w:color="FFFFFF"/>
            </w:tcBorders>
            <w:shd w:val="clear" w:color="auto" w:fill="auto"/>
            <w:noWrap/>
            <w:vAlign w:val="center"/>
          </w:tcPr>
          <w:p w14:paraId="7F05BAAF" w14:textId="77777777" w:rsidR="009A713E" w:rsidRPr="00DB0722" w:rsidRDefault="009A713E" w:rsidP="009A713E">
            <w:pPr>
              <w:spacing w:after="0"/>
              <w:jc w:val="left"/>
              <w:rPr>
                <w:rFonts w:eastAsia="Times New Roman" w:cs="Calibri"/>
                <w:color w:val="000000"/>
                <w:szCs w:val="22"/>
                <w:lang w:eastAsia="cs-CZ"/>
              </w:rPr>
            </w:pPr>
            <w:r w:rsidRPr="009A713E">
              <w:rPr>
                <w:rFonts w:eastAsia="Times New Roman" w:cs="Calibri"/>
                <w:color w:val="000000"/>
                <w:szCs w:val="22"/>
                <w:lang w:eastAsia="cs-CZ"/>
              </w:rPr>
              <w:t>Realizace ukončena</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7D585"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7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827123B"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63 477 985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5DF31CC6"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49 735 315 </w:t>
            </w: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2A3D2BD"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 </w:t>
            </w:r>
          </w:p>
        </w:tc>
        <w:tc>
          <w:tcPr>
            <w:tcW w:w="1418" w:type="dxa"/>
            <w:tcBorders>
              <w:top w:val="single" w:sz="4" w:space="0" w:color="auto"/>
              <w:left w:val="nil"/>
              <w:bottom w:val="single" w:sz="4" w:space="0" w:color="auto"/>
              <w:right w:val="single" w:sz="4" w:space="0" w:color="auto"/>
            </w:tcBorders>
            <w:shd w:val="clear" w:color="auto" w:fill="auto"/>
            <w:noWrap/>
            <w:vAlign w:val="bottom"/>
          </w:tcPr>
          <w:p w14:paraId="71D86B55"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9 650 000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169A9172"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1 930 000 </w:t>
            </w:r>
          </w:p>
        </w:tc>
      </w:tr>
      <w:tr w:rsidR="009A713E" w:rsidRPr="00DB0722" w14:paraId="72C7C01F" w14:textId="77777777" w:rsidTr="009A713E">
        <w:trPr>
          <w:trHeight w:val="300"/>
        </w:trPr>
        <w:tc>
          <w:tcPr>
            <w:tcW w:w="2410"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14:paraId="6C13BDC2" w14:textId="77777777" w:rsidR="009A713E" w:rsidRPr="00DB0722" w:rsidRDefault="009A713E" w:rsidP="009A713E">
            <w:pPr>
              <w:spacing w:after="0"/>
              <w:jc w:val="left"/>
              <w:rPr>
                <w:rFonts w:eastAsia="Times New Roman" w:cs="Calibri"/>
                <w:color w:val="000000"/>
                <w:szCs w:val="22"/>
                <w:lang w:eastAsia="cs-CZ"/>
              </w:rPr>
            </w:pPr>
            <w:r w:rsidRPr="009A713E">
              <w:rPr>
                <w:rFonts w:eastAsia="Times New Roman" w:cs="Calibri"/>
                <w:color w:val="000000"/>
                <w:szCs w:val="22"/>
                <w:lang w:eastAsia="cs-CZ"/>
              </w:rPr>
              <w:t>Dokončen</w:t>
            </w: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C639D1C"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2 </w:t>
            </w:r>
          </w:p>
        </w:tc>
        <w:tc>
          <w:tcPr>
            <w:tcW w:w="1417" w:type="dxa"/>
            <w:tcBorders>
              <w:top w:val="single" w:sz="4" w:space="0" w:color="auto"/>
              <w:left w:val="nil"/>
              <w:bottom w:val="single" w:sz="4" w:space="0" w:color="auto"/>
              <w:right w:val="single" w:sz="4" w:space="0" w:color="auto"/>
            </w:tcBorders>
            <w:shd w:val="clear" w:color="auto" w:fill="auto"/>
            <w:vAlign w:val="bottom"/>
            <w:hideMark/>
          </w:tcPr>
          <w:p w14:paraId="248F08BA"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21 647 041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1E4E7AF9"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17 996 371 </w:t>
            </w:r>
          </w:p>
        </w:tc>
        <w:tc>
          <w:tcPr>
            <w:tcW w:w="850" w:type="dxa"/>
            <w:tcBorders>
              <w:top w:val="single" w:sz="4" w:space="0" w:color="auto"/>
              <w:left w:val="nil"/>
              <w:bottom w:val="single" w:sz="4" w:space="0" w:color="auto"/>
              <w:right w:val="single" w:sz="4" w:space="0" w:color="auto"/>
            </w:tcBorders>
            <w:shd w:val="clear" w:color="auto" w:fill="auto"/>
            <w:vAlign w:val="bottom"/>
            <w:hideMark/>
          </w:tcPr>
          <w:p w14:paraId="43D06D29"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2 </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DF89B68"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1 160 768 </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356EB2A2"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580 384 </w:t>
            </w:r>
          </w:p>
        </w:tc>
      </w:tr>
      <w:tr w:rsidR="009A713E" w:rsidRPr="00DB0722" w14:paraId="6F90074E" w14:textId="77777777" w:rsidTr="000F7DF2">
        <w:trPr>
          <w:trHeight w:val="300"/>
        </w:trPr>
        <w:tc>
          <w:tcPr>
            <w:tcW w:w="2410" w:type="dxa"/>
            <w:tcBorders>
              <w:top w:val="single" w:sz="4" w:space="0" w:color="auto"/>
              <w:left w:val="single" w:sz="4" w:space="0" w:color="auto"/>
              <w:bottom w:val="single" w:sz="4" w:space="0" w:color="auto"/>
              <w:right w:val="single" w:sz="4" w:space="0" w:color="FFFFFF"/>
            </w:tcBorders>
            <w:shd w:val="clear" w:color="auto" w:fill="auto"/>
            <w:noWrap/>
            <w:vAlign w:val="center"/>
            <w:hideMark/>
          </w:tcPr>
          <w:p w14:paraId="74226C34" w14:textId="77777777" w:rsidR="009A713E" w:rsidRPr="00DB0722" w:rsidRDefault="009A713E" w:rsidP="009A713E">
            <w:pPr>
              <w:spacing w:after="0"/>
              <w:jc w:val="left"/>
              <w:rPr>
                <w:rFonts w:eastAsia="Times New Roman" w:cs="Calibri"/>
                <w:color w:val="000000"/>
                <w:szCs w:val="22"/>
                <w:lang w:eastAsia="cs-CZ"/>
              </w:rPr>
            </w:pPr>
            <w:r w:rsidRPr="009A713E">
              <w:rPr>
                <w:rFonts w:eastAsia="Times New Roman" w:cs="Calibri"/>
                <w:color w:val="000000"/>
                <w:szCs w:val="22"/>
                <w:lang w:eastAsia="cs-CZ"/>
              </w:rPr>
              <w:t>Stažen / nerealizován</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9E0C56"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3 </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354C2C6A"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7 215 150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4650AAEF" w14:textId="77777777" w:rsidR="009A713E" w:rsidRPr="00DB0722" w:rsidRDefault="009A713E" w:rsidP="009A713E">
            <w:pPr>
              <w:spacing w:after="0"/>
              <w:jc w:val="right"/>
              <w:rPr>
                <w:rFonts w:eastAsia="Times New Roman" w:cs="Calibri"/>
                <w:color w:val="000000"/>
                <w:szCs w:val="22"/>
                <w:lang w:eastAsia="cs-CZ"/>
              </w:rPr>
            </w:pPr>
            <w:r w:rsidRPr="009A713E">
              <w:rPr>
                <w:rFonts w:eastAsia="Times New Roman" w:cs="Calibri"/>
                <w:color w:val="000000"/>
                <w:szCs w:val="22"/>
                <w:lang w:eastAsia="cs-CZ"/>
              </w:rPr>
              <w:t xml:space="preserve">6 132 878 </w:t>
            </w:r>
          </w:p>
        </w:tc>
        <w:tc>
          <w:tcPr>
            <w:tcW w:w="850" w:type="dxa"/>
            <w:tcBorders>
              <w:top w:val="single" w:sz="4" w:space="0" w:color="auto"/>
              <w:left w:val="nil"/>
              <w:bottom w:val="single" w:sz="4" w:space="0" w:color="auto"/>
              <w:right w:val="single" w:sz="4" w:space="0" w:color="auto"/>
            </w:tcBorders>
            <w:shd w:val="clear" w:color="auto" w:fill="auto"/>
            <w:noWrap/>
          </w:tcPr>
          <w:p w14:paraId="1FBA7728" w14:textId="77777777" w:rsidR="009A713E" w:rsidRPr="00DB0722" w:rsidRDefault="009A713E" w:rsidP="009A713E">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418" w:type="dxa"/>
            <w:tcBorders>
              <w:top w:val="single" w:sz="4" w:space="0" w:color="auto"/>
              <w:left w:val="nil"/>
              <w:bottom w:val="single" w:sz="4" w:space="0" w:color="auto"/>
              <w:right w:val="single" w:sz="4" w:space="0" w:color="auto"/>
            </w:tcBorders>
            <w:shd w:val="clear" w:color="auto" w:fill="auto"/>
            <w:noWrap/>
          </w:tcPr>
          <w:p w14:paraId="4F79F553" w14:textId="77777777" w:rsidR="009A713E" w:rsidRPr="00DB0722" w:rsidRDefault="009A713E" w:rsidP="009A713E">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c>
          <w:tcPr>
            <w:tcW w:w="1276" w:type="dxa"/>
            <w:tcBorders>
              <w:top w:val="single" w:sz="4" w:space="0" w:color="auto"/>
              <w:left w:val="nil"/>
              <w:bottom w:val="single" w:sz="4" w:space="0" w:color="auto"/>
              <w:right w:val="single" w:sz="4" w:space="0" w:color="auto"/>
            </w:tcBorders>
            <w:shd w:val="clear" w:color="auto" w:fill="auto"/>
            <w:noWrap/>
          </w:tcPr>
          <w:p w14:paraId="14C5490C" w14:textId="77777777" w:rsidR="009A713E" w:rsidRPr="00DB0722" w:rsidRDefault="009A713E" w:rsidP="009A713E">
            <w:pPr>
              <w:spacing w:after="0"/>
              <w:jc w:val="right"/>
              <w:rPr>
                <w:rFonts w:eastAsia="Times New Roman" w:cs="Calibri"/>
                <w:color w:val="000000"/>
                <w:szCs w:val="22"/>
                <w:lang w:eastAsia="cs-CZ"/>
              </w:rPr>
            </w:pPr>
            <w:r w:rsidRPr="00DB0722">
              <w:rPr>
                <w:rFonts w:eastAsia="Times New Roman" w:cs="Calibri"/>
                <w:color w:val="000000"/>
                <w:szCs w:val="22"/>
                <w:lang w:eastAsia="cs-CZ"/>
              </w:rPr>
              <w:t xml:space="preserve">-   </w:t>
            </w:r>
          </w:p>
        </w:tc>
      </w:tr>
    </w:tbl>
    <w:p w14:paraId="4237FD5D" w14:textId="72F3C000" w:rsidR="0080642D" w:rsidRDefault="0080642D">
      <w:pPr>
        <w:spacing w:after="0"/>
        <w:jc w:val="left"/>
        <w:rPr>
          <w:b/>
        </w:rPr>
      </w:pPr>
      <w:r>
        <w:br w:type="page"/>
      </w:r>
    </w:p>
    <w:p w14:paraId="78FFBA57" w14:textId="77777777" w:rsidR="00B44F35" w:rsidRPr="00B44F35" w:rsidRDefault="00B44F35" w:rsidP="00D75D7A">
      <w:pPr>
        <w:pStyle w:val="Podnadpis"/>
      </w:pPr>
      <w:r w:rsidRPr="00B44F35">
        <w:t>Problémy v realizaci</w:t>
      </w:r>
    </w:p>
    <w:p w14:paraId="059C887B" w14:textId="77777777" w:rsidR="00886A3C" w:rsidRDefault="005D4CF3" w:rsidP="00F72744">
      <w:r>
        <w:t xml:space="preserve">Projekty CEF se napříč všemi členskými státy potýkají se zpožďováním harmonogramů realizace. </w:t>
      </w:r>
      <w:r w:rsidR="002D5504">
        <w:t>Důvodem jsou především prodlevy ve fázích projektů, které se mohou protáhnout v závislosti na využití opravných prostředků ze strany zúčastněných aktérů (územní řízení, stavební řízení, výběrové řízení na dodavatele).</w:t>
      </w:r>
      <w:r w:rsidR="003976D1">
        <w:t xml:space="preserve"> V případě železničních projektů komplikuje realizaci rovněž organizace výluk a koordinace s dalšími stavbami.</w:t>
      </w:r>
    </w:p>
    <w:p w14:paraId="612C874F" w14:textId="63B70519" w:rsidR="00802A7D" w:rsidRDefault="00D410F3" w:rsidP="00802A7D">
      <w:r>
        <w:t>H</w:t>
      </w:r>
      <w:r w:rsidR="00802A7D">
        <w:t>lavním problémem jsou z pohledu ČR projekty na zavádění ETCS</w:t>
      </w:r>
      <w:r w:rsidR="00B10A09">
        <w:t xml:space="preserve">, zejména pořizování palubních jednotek. Projekty na traťovou část se potýkají se zpožděním, zejména ve fázi certifikace zavedené technologie, část projektů bude, mj. s ohledem na nutnost koordinovat realizaci s dalšími stavbami, realizována v omezeném rozsahu. Pořizování palubních jednotek naráží na </w:t>
      </w:r>
      <w:r w:rsidR="006B22A3">
        <w:t>problémy spojené s tím, že se jedná o novou technologii</w:t>
      </w:r>
      <w:r w:rsidR="00C9630A">
        <w:t xml:space="preserve"> s</w:t>
      </w:r>
      <w:r w:rsidR="006B22A3">
        <w:t xml:space="preserve"> </w:t>
      </w:r>
      <w:r w:rsidR="00B10A09">
        <w:t>omezenou konkurenc</w:t>
      </w:r>
      <w:r w:rsidR="00C9630A">
        <w:t>í</w:t>
      </w:r>
      <w:r w:rsidR="00B10A09">
        <w:t xml:space="preserve"> na trhu, </w:t>
      </w:r>
      <w:r w:rsidR="00001471">
        <w:t>jak v oblasti dodávek vlastní technologie, kterou</w:t>
      </w:r>
      <w:r w:rsidR="00B10A09">
        <w:t xml:space="preserve"> nabízí jen několik zahraničních firem</w:t>
      </w:r>
      <w:r w:rsidR="00001471">
        <w:t>, tak v oblasti jejich montáže na železničních vozidlech</w:t>
      </w:r>
      <w:r w:rsidR="006B22A3">
        <w:t>, v kombinaci s vysokou poptávkou v celé Evropě</w:t>
      </w:r>
      <w:r w:rsidR="00001471">
        <w:t xml:space="preserve">. Projekty </w:t>
      </w:r>
      <w:r w:rsidR="006B22A3">
        <w:t xml:space="preserve">dopravců byly </w:t>
      </w:r>
      <w:r w:rsidR="00001471">
        <w:t>následkem těchto</w:t>
      </w:r>
      <w:r w:rsidR="006B22A3">
        <w:t xml:space="preserve"> problémů značně omezeny ve svém rozsahu nebo zcela staženy.</w:t>
      </w:r>
      <w:r w:rsidR="00001471">
        <w:t xml:space="preserve"> </w:t>
      </w:r>
    </w:p>
    <w:p w14:paraId="044FDD7C" w14:textId="0C9E23BA" w:rsidR="006B22A3" w:rsidRDefault="006B22A3" w:rsidP="00F72744">
      <w:r>
        <w:t xml:space="preserve">Jedním z faktorů nedodržování harmonogramů je také skutečnost, že EK nastavila v prvních výzvách velmi </w:t>
      </w:r>
      <w:r w:rsidR="003B6327">
        <w:t xml:space="preserve">krátké </w:t>
      </w:r>
      <w:r>
        <w:t>lhůty pro realizaci projektů, které vedly žadatele k nastavování harmonogramů, které nemohly zohledňovat všechna rizika.</w:t>
      </w:r>
    </w:p>
    <w:p w14:paraId="06F09439" w14:textId="77777777" w:rsidR="00802A7D" w:rsidRDefault="002D5504" w:rsidP="00F72744">
      <w:r>
        <w:t xml:space="preserve">Aktuálním důvodem </w:t>
      </w:r>
      <w:r w:rsidR="006B22A3">
        <w:t xml:space="preserve">prodlužování harmonogramů </w:t>
      </w:r>
      <w:r>
        <w:t>je pandemie COVID-19</w:t>
      </w:r>
      <w:r w:rsidR="006B22A3">
        <w:t>, která přinesla zatím jen drobné problémy v přípravě staveb. Zpožďování je dáno omezenou možností setkávání a pomalejší prací úřadů (např. vyjadřování obcí nebo stavebních úřadů).</w:t>
      </w:r>
    </w:p>
    <w:p w14:paraId="56730EB2" w14:textId="77777777" w:rsidR="005D4CF3" w:rsidRDefault="005D4CF3" w:rsidP="00F72744">
      <w:r>
        <w:t xml:space="preserve">INEA realizaci projektů monitoruje, výsledkem je většinou změna </w:t>
      </w:r>
      <w:r w:rsidR="002D5504">
        <w:t xml:space="preserve">grantové dohody spočívající v úpravě harmonogramu. INEA připouští </w:t>
      </w:r>
      <w:r>
        <w:t xml:space="preserve"> </w:t>
      </w:r>
      <w:r w:rsidR="002D5504">
        <w:t xml:space="preserve">prodloužení projektů až o tři roky, s ohledem na COVID-19 byla umožněna realizace projektů až do konce roku 2024, což znamená další možné prodloužení. Projekt je možné prodloužit pouze v odůvodněných případech. </w:t>
      </w:r>
      <w:r w:rsidR="006B22A3">
        <w:t xml:space="preserve">U části projektů dochází k odstraňování zpožděných aktivit a odpovídající krácení rozpočtů a dotace z CEF. </w:t>
      </w:r>
      <w:r w:rsidR="00A976BA">
        <w:t>Tři</w:t>
      </w:r>
      <w:r w:rsidR="006B22A3">
        <w:t xml:space="preserve"> projekt</w:t>
      </w:r>
      <w:r w:rsidR="00A976BA">
        <w:t>y</w:t>
      </w:r>
      <w:r w:rsidR="006B22A3">
        <w:t xml:space="preserve"> byl</w:t>
      </w:r>
      <w:r w:rsidR="00A976BA">
        <w:t>y</w:t>
      </w:r>
      <w:r w:rsidR="006B22A3">
        <w:t xml:space="preserve"> stažen</w:t>
      </w:r>
      <w:r w:rsidR="00A976BA">
        <w:t>y</w:t>
      </w:r>
      <w:r w:rsidR="006B22A3">
        <w:t xml:space="preserve"> a nebudou vůbec realizovány.</w:t>
      </w:r>
      <w:r w:rsidR="00010456">
        <w:t xml:space="preserve"> </w:t>
      </w:r>
    </w:p>
    <w:p w14:paraId="1707A127" w14:textId="77777777" w:rsidR="006B22A3" w:rsidRDefault="00B44F35" w:rsidP="00D75D7A">
      <w:pPr>
        <w:pStyle w:val="Podnadpis"/>
      </w:pPr>
      <w:r>
        <w:t>O</w:t>
      </w:r>
      <w:r w:rsidRPr="00B44F35">
        <w:t>patření</w:t>
      </w:r>
      <w:r>
        <w:t xml:space="preserve"> k maximalizaci čerpání</w:t>
      </w:r>
    </w:p>
    <w:p w14:paraId="1ABE0A85" w14:textId="77777777" w:rsidR="00010456" w:rsidRDefault="00010456" w:rsidP="00F72744">
      <w:r>
        <w:t>Prostředky CEF se krácením rozpočtu nebo stažením projektu z pohledu ČR ztrácí, protože n</w:t>
      </w:r>
      <w:r w:rsidR="00B44F35">
        <w:t>a rozdíl od realizace Operačního programu Doprava nemůže MD</w:t>
      </w:r>
      <w:r>
        <w:t xml:space="preserve"> alokovat tyto prostředky na jiné projekty. Prostředky v kohezní části CEF se nevrací zpět do národní obálky, ale jsou rozdělovány v rámci nových výzev. Výzvy je možné vyhlásit nejpozději v tomto roce. Prostředky, které se uvolní na projektech v dalších letech, již není možné využít.</w:t>
      </w:r>
    </w:p>
    <w:p w14:paraId="07A65062" w14:textId="77777777" w:rsidR="003238B3" w:rsidRDefault="003238B3" w:rsidP="00F72744">
      <w:r>
        <w:t>MD v první řadě podporuje příjemce v řádné realizaci projektů a řešení problémů, pokud to jeho pravomoci umožňují. Podporuje příjemce ve schvalování dodatků grantových dohod za účelem stanovení realistického harmonogramu realizace.</w:t>
      </w:r>
    </w:p>
    <w:p w14:paraId="12667EB2" w14:textId="77777777" w:rsidR="00CD0173" w:rsidRDefault="003238B3" w:rsidP="00F72744">
      <w:r>
        <w:t xml:space="preserve">Na druhé straně </w:t>
      </w:r>
      <w:r w:rsidR="00010456">
        <w:t>M</w:t>
      </w:r>
      <w:r w:rsidR="00CD0173">
        <w:t>D</w:t>
      </w:r>
      <w:r w:rsidR="00010456">
        <w:t xml:space="preserve"> </w:t>
      </w:r>
      <w:r w:rsidR="00CD0173">
        <w:t xml:space="preserve">usiluje o to, aby příjemci očistili projekty o problémové aktivity, u kterých je nanejvýš pravděpodobné, že je nebude možné včas realizovat. Prostředky tak bude možné využít v dalších výzvách, byť na ně Česká republika nebude mít automaticky nárok. Nicméně </w:t>
      </w:r>
      <w:r w:rsidR="00CD0173" w:rsidRPr="003B6327">
        <w:t>případná ztráta prostředků v dalších letech zhoršuje důvěryhodnost příjemců, resp. ČR, a zhoršuje vyjednávací pozici MD na výborech CEF</w:t>
      </w:r>
      <w:r w:rsidR="00CD0173">
        <w:t>.</w:t>
      </w:r>
    </w:p>
    <w:p w14:paraId="011723E5" w14:textId="77777777" w:rsidR="00CD0173" w:rsidRDefault="00CD0173" w:rsidP="00F72744">
      <w:r>
        <w:t xml:space="preserve">Zároveň MD spolupracuje s příjemci, zejména Správou železnic, na přípravě projektů pro poslední výzvy CEF a snaží se pro ně zajistit výhodné podmínky výzev. Ve výzvě pro rok 2019 se podařilo schválit 3 projekty, z toho 2 v národní obálce. Jeden projekt prošel úspěšně hodnocením, nicméně s ohledem na nedostatek alokace nebyl podpořen. </w:t>
      </w:r>
      <w:r w:rsidR="003238B3">
        <w:t>Výše dotace CEF na nové projekty přibližně odpovídá „ztraceným“ prostředkům v národní obálce, což odpovídá neformálně sdělenému přístupu, že by EK měla alokovat „ztracené“ prostředky zpět jednotlivým členským státům dle výše původních národních obálek.</w:t>
      </w:r>
    </w:p>
    <w:p w14:paraId="6FC8C8A1" w14:textId="77777777" w:rsidR="00CD0173" w:rsidRDefault="00CD0173" w:rsidP="00F72744"/>
    <w:p w14:paraId="04C5AA6D" w14:textId="77777777" w:rsidR="00CD0173" w:rsidRDefault="00733122" w:rsidP="00D75D7A">
      <w:pPr>
        <w:pStyle w:val="Nadpis3"/>
      </w:pPr>
      <w:r>
        <w:t>Čerpání prostředků CEF</w:t>
      </w:r>
    </w:p>
    <w:p w14:paraId="2E27BFD6" w14:textId="77777777" w:rsidR="00733122" w:rsidRDefault="00733122" w:rsidP="00F72744">
      <w:r>
        <w:t>Čerpání prostředků probíhá prostřednictvím záloh, poskytovaných na začátku projektu a pak v případě potřeby každý rok na jaře. Na podzim jsou pak propláceny žádosti o platbu, které podávají příjemci nejméně jednou za dva roky.</w:t>
      </w:r>
    </w:p>
    <w:p w14:paraId="45F73CF9" w14:textId="77777777" w:rsidR="00886A3C" w:rsidRDefault="00886A3C" w:rsidP="009C5924">
      <w:r>
        <w:t>MD sleduje podrobně čerpání projektů, které jsou financovány prostřednictvím jeho rozpočtu. U soukromých příjemců dostává MD ke konci března informace o čerpání v předchozím roce v rámci monitorovacích zpráv (ASR – Action Status Report). Příjemci, jejichž projekt v předchozím roce skončil</w:t>
      </w:r>
      <w:r w:rsidR="009C5924">
        <w:t>,</w:t>
      </w:r>
      <w:r>
        <w:t xml:space="preserve"> nemají navíc povinnost ASR podávat, a tak má MD k dispozici jen velmi neaktuální informace.</w:t>
      </w:r>
      <w:r w:rsidR="009C5924">
        <w:t xml:space="preserve"> Proto pro soukromé subjekty bylo čerpání odhadnuto na základě pokroku projektu a data jeho ukončení.</w:t>
      </w:r>
      <w:r>
        <w:t xml:space="preserve"> </w:t>
      </w:r>
    </w:p>
    <w:p w14:paraId="38EAFA31" w14:textId="77777777" w:rsidR="00886A3C" w:rsidRDefault="00886A3C" w:rsidP="00F72744">
      <w:r>
        <w:t>Tabulka 7: Čerpání CEF doprava</w:t>
      </w:r>
    </w:p>
    <w:tbl>
      <w:tblPr>
        <w:tblStyle w:val="Mkatabulky"/>
        <w:tblW w:w="9348" w:type="dxa"/>
        <w:tblInd w:w="-5" w:type="dxa"/>
        <w:tblLook w:val="04A0" w:firstRow="1" w:lastRow="0" w:firstColumn="1" w:lastColumn="0" w:noHBand="0" w:noVBand="1"/>
      </w:tblPr>
      <w:tblGrid>
        <w:gridCol w:w="2447"/>
        <w:gridCol w:w="1366"/>
        <w:gridCol w:w="1406"/>
        <w:gridCol w:w="1436"/>
        <w:gridCol w:w="1263"/>
        <w:gridCol w:w="1430"/>
      </w:tblGrid>
      <w:tr w:rsidR="00D410F3" w14:paraId="40EA77B5" w14:textId="77777777" w:rsidTr="00D410F3">
        <w:trPr>
          <w:trHeight w:val="737"/>
        </w:trPr>
        <w:tc>
          <w:tcPr>
            <w:tcW w:w="2447" w:type="dxa"/>
            <w:tcBorders>
              <w:bottom w:val="nil"/>
            </w:tcBorders>
            <w:shd w:val="clear" w:color="auto" w:fill="D9D9D9" w:themeFill="background1" w:themeFillShade="D9"/>
            <w:vAlign w:val="center"/>
          </w:tcPr>
          <w:p w14:paraId="298D0C8F" w14:textId="77777777" w:rsidR="00D410F3" w:rsidRPr="0038402C" w:rsidRDefault="00D410F3" w:rsidP="000F7DF2">
            <w:pPr>
              <w:pStyle w:val="Prosttext"/>
              <w:rPr>
                <w:b/>
              </w:rPr>
            </w:pPr>
          </w:p>
        </w:tc>
        <w:tc>
          <w:tcPr>
            <w:tcW w:w="1366" w:type="dxa"/>
            <w:vMerge w:val="restart"/>
            <w:shd w:val="clear" w:color="auto" w:fill="D9D9D9" w:themeFill="background1" w:themeFillShade="D9"/>
            <w:vAlign w:val="center"/>
          </w:tcPr>
          <w:p w14:paraId="23278CDD" w14:textId="77777777" w:rsidR="00D410F3" w:rsidRDefault="00D410F3" w:rsidP="000F7DF2">
            <w:pPr>
              <w:pStyle w:val="Prosttext"/>
              <w:jc w:val="center"/>
              <w:rPr>
                <w:b/>
                <w:szCs w:val="20"/>
              </w:rPr>
            </w:pPr>
            <w:r>
              <w:rPr>
                <w:b/>
                <w:szCs w:val="20"/>
              </w:rPr>
              <w:t>Schválené projekty – příspěvek CEF</w:t>
            </w:r>
          </w:p>
          <w:p w14:paraId="3F53B5A1" w14:textId="77777777" w:rsidR="00D410F3" w:rsidRPr="0038402C" w:rsidRDefault="00D410F3" w:rsidP="000F7DF2">
            <w:pPr>
              <w:pStyle w:val="Prosttext"/>
              <w:jc w:val="center"/>
              <w:rPr>
                <w:b/>
                <w:szCs w:val="20"/>
              </w:rPr>
            </w:pPr>
            <w:r>
              <w:rPr>
                <w:b/>
                <w:szCs w:val="20"/>
              </w:rPr>
              <w:t xml:space="preserve"> </w:t>
            </w:r>
          </w:p>
          <w:p w14:paraId="096BB5F0" w14:textId="77777777" w:rsidR="00D410F3" w:rsidRDefault="00D410F3" w:rsidP="000F7DF2">
            <w:pPr>
              <w:pStyle w:val="Prosttext"/>
              <w:jc w:val="center"/>
              <w:rPr>
                <w:b/>
                <w:szCs w:val="20"/>
              </w:rPr>
            </w:pPr>
            <w:r>
              <w:rPr>
                <w:b/>
                <w:szCs w:val="20"/>
              </w:rPr>
              <w:t>EUR</w:t>
            </w:r>
          </w:p>
          <w:p w14:paraId="042F6081" w14:textId="77777777" w:rsidR="00D410F3" w:rsidRPr="0038402C" w:rsidRDefault="00D410F3" w:rsidP="000F7DF2">
            <w:pPr>
              <w:pStyle w:val="Prosttext"/>
              <w:jc w:val="center"/>
              <w:rPr>
                <w:b/>
                <w:szCs w:val="20"/>
              </w:rPr>
            </w:pPr>
          </w:p>
        </w:tc>
        <w:tc>
          <w:tcPr>
            <w:tcW w:w="2842" w:type="dxa"/>
            <w:gridSpan w:val="2"/>
            <w:tcBorders>
              <w:bottom w:val="nil"/>
            </w:tcBorders>
            <w:shd w:val="clear" w:color="auto" w:fill="D9D9D9" w:themeFill="background1" w:themeFillShade="D9"/>
            <w:vAlign w:val="center"/>
          </w:tcPr>
          <w:p w14:paraId="2895DDB3" w14:textId="77777777" w:rsidR="00D410F3" w:rsidRDefault="00D410F3" w:rsidP="008E4F8B">
            <w:pPr>
              <w:pStyle w:val="Prosttext"/>
              <w:jc w:val="center"/>
              <w:rPr>
                <w:b/>
                <w:szCs w:val="20"/>
              </w:rPr>
            </w:pPr>
            <w:r>
              <w:rPr>
                <w:b/>
                <w:szCs w:val="20"/>
              </w:rPr>
              <w:t>Aktuální výše příspěvku CEF</w:t>
            </w:r>
          </w:p>
        </w:tc>
        <w:tc>
          <w:tcPr>
            <w:tcW w:w="2693" w:type="dxa"/>
            <w:gridSpan w:val="2"/>
            <w:tcBorders>
              <w:bottom w:val="nil"/>
            </w:tcBorders>
            <w:shd w:val="clear" w:color="auto" w:fill="D9D9D9" w:themeFill="background1" w:themeFillShade="D9"/>
            <w:vAlign w:val="center"/>
          </w:tcPr>
          <w:p w14:paraId="1866F5A5" w14:textId="77777777" w:rsidR="00D410F3" w:rsidRDefault="00D410F3" w:rsidP="000F7DF2">
            <w:pPr>
              <w:pStyle w:val="Prosttext"/>
              <w:jc w:val="center"/>
              <w:rPr>
                <w:b/>
                <w:szCs w:val="20"/>
              </w:rPr>
            </w:pPr>
            <w:r>
              <w:rPr>
                <w:b/>
                <w:szCs w:val="20"/>
              </w:rPr>
              <w:t>Výše obdržených plateb</w:t>
            </w:r>
          </w:p>
        </w:tc>
      </w:tr>
      <w:tr w:rsidR="00D410F3" w14:paraId="4D8A9207" w14:textId="77777777" w:rsidTr="00D410F3">
        <w:tc>
          <w:tcPr>
            <w:tcW w:w="2447" w:type="dxa"/>
            <w:tcBorders>
              <w:top w:val="nil"/>
            </w:tcBorders>
            <w:shd w:val="clear" w:color="auto" w:fill="D9D9D9" w:themeFill="background1" w:themeFillShade="D9"/>
          </w:tcPr>
          <w:p w14:paraId="7DFF4081" w14:textId="77777777" w:rsidR="00D410F3" w:rsidRPr="0038402C" w:rsidRDefault="00D410F3" w:rsidP="000F7DF2">
            <w:pPr>
              <w:pStyle w:val="Prosttext"/>
              <w:rPr>
                <w:b/>
              </w:rPr>
            </w:pPr>
          </w:p>
        </w:tc>
        <w:tc>
          <w:tcPr>
            <w:tcW w:w="1366" w:type="dxa"/>
            <w:vMerge/>
            <w:shd w:val="clear" w:color="auto" w:fill="D9D9D9" w:themeFill="background1" w:themeFillShade="D9"/>
            <w:vAlign w:val="center"/>
          </w:tcPr>
          <w:p w14:paraId="445A8854" w14:textId="77777777" w:rsidR="00D410F3" w:rsidRDefault="00D410F3" w:rsidP="000F7DF2">
            <w:pPr>
              <w:pStyle w:val="Prosttext"/>
              <w:jc w:val="center"/>
              <w:rPr>
                <w:b/>
                <w:szCs w:val="20"/>
              </w:rPr>
            </w:pPr>
          </w:p>
        </w:tc>
        <w:tc>
          <w:tcPr>
            <w:tcW w:w="1406" w:type="dxa"/>
            <w:tcBorders>
              <w:top w:val="nil"/>
            </w:tcBorders>
            <w:shd w:val="clear" w:color="auto" w:fill="D9D9D9" w:themeFill="background1" w:themeFillShade="D9"/>
            <w:vAlign w:val="center"/>
          </w:tcPr>
          <w:p w14:paraId="602CD4E8" w14:textId="77777777" w:rsidR="00D410F3" w:rsidRDefault="00D410F3" w:rsidP="000F7DF2">
            <w:pPr>
              <w:pStyle w:val="Prosttext"/>
              <w:jc w:val="center"/>
              <w:rPr>
                <w:b/>
                <w:szCs w:val="20"/>
              </w:rPr>
            </w:pPr>
            <w:r>
              <w:rPr>
                <w:b/>
                <w:szCs w:val="20"/>
              </w:rPr>
              <w:t>EUR</w:t>
            </w:r>
          </w:p>
        </w:tc>
        <w:tc>
          <w:tcPr>
            <w:tcW w:w="1436" w:type="dxa"/>
            <w:tcBorders>
              <w:top w:val="nil"/>
            </w:tcBorders>
            <w:shd w:val="clear" w:color="auto" w:fill="D9D9D9" w:themeFill="background1" w:themeFillShade="D9"/>
            <w:vAlign w:val="center"/>
          </w:tcPr>
          <w:p w14:paraId="32F0B2AE" w14:textId="77777777" w:rsidR="00D410F3" w:rsidRDefault="00D410F3" w:rsidP="000F7DF2">
            <w:pPr>
              <w:pStyle w:val="Prosttext"/>
              <w:jc w:val="center"/>
              <w:rPr>
                <w:b/>
                <w:szCs w:val="20"/>
              </w:rPr>
            </w:pPr>
            <w:r>
              <w:rPr>
                <w:b/>
                <w:szCs w:val="20"/>
              </w:rPr>
              <w:t xml:space="preserve">% </w:t>
            </w:r>
          </w:p>
          <w:p w14:paraId="5703945A" w14:textId="77777777" w:rsidR="00D410F3" w:rsidRDefault="00D410F3" w:rsidP="00A258EB">
            <w:pPr>
              <w:pStyle w:val="Prosttext"/>
              <w:jc w:val="center"/>
              <w:rPr>
                <w:b/>
                <w:szCs w:val="20"/>
              </w:rPr>
            </w:pPr>
            <w:r>
              <w:rPr>
                <w:b/>
                <w:szCs w:val="20"/>
              </w:rPr>
              <w:t>z původní výše příspěvku CEF</w:t>
            </w:r>
          </w:p>
        </w:tc>
        <w:tc>
          <w:tcPr>
            <w:tcW w:w="1263" w:type="dxa"/>
            <w:tcBorders>
              <w:top w:val="nil"/>
            </w:tcBorders>
            <w:shd w:val="clear" w:color="auto" w:fill="D9D9D9" w:themeFill="background1" w:themeFillShade="D9"/>
            <w:vAlign w:val="center"/>
          </w:tcPr>
          <w:p w14:paraId="3F5F240D" w14:textId="77777777" w:rsidR="00D410F3" w:rsidRDefault="00D410F3" w:rsidP="000F7DF2">
            <w:pPr>
              <w:pStyle w:val="Prosttext"/>
              <w:jc w:val="center"/>
              <w:rPr>
                <w:b/>
                <w:szCs w:val="20"/>
              </w:rPr>
            </w:pPr>
            <w:r>
              <w:rPr>
                <w:b/>
                <w:szCs w:val="20"/>
              </w:rPr>
              <w:t>EUR</w:t>
            </w:r>
          </w:p>
        </w:tc>
        <w:tc>
          <w:tcPr>
            <w:tcW w:w="1430" w:type="dxa"/>
            <w:tcBorders>
              <w:top w:val="nil"/>
            </w:tcBorders>
            <w:shd w:val="clear" w:color="auto" w:fill="D9D9D9" w:themeFill="background1" w:themeFillShade="D9"/>
            <w:vAlign w:val="center"/>
          </w:tcPr>
          <w:p w14:paraId="3FF6DB04" w14:textId="77777777" w:rsidR="00D410F3" w:rsidRDefault="00D410F3" w:rsidP="000F7DF2">
            <w:pPr>
              <w:pStyle w:val="Prosttext"/>
              <w:jc w:val="center"/>
              <w:rPr>
                <w:b/>
                <w:szCs w:val="20"/>
              </w:rPr>
            </w:pPr>
            <w:r>
              <w:rPr>
                <w:b/>
                <w:szCs w:val="20"/>
              </w:rPr>
              <w:t xml:space="preserve">% </w:t>
            </w:r>
          </w:p>
          <w:p w14:paraId="7C3D0F8D" w14:textId="77777777" w:rsidR="00D410F3" w:rsidRDefault="00D410F3" w:rsidP="00FE359A">
            <w:pPr>
              <w:pStyle w:val="Prosttext"/>
              <w:jc w:val="center"/>
              <w:rPr>
                <w:b/>
                <w:szCs w:val="20"/>
              </w:rPr>
            </w:pPr>
            <w:r>
              <w:rPr>
                <w:b/>
                <w:szCs w:val="20"/>
              </w:rPr>
              <w:t>z aktuální výše příspěvku CEF</w:t>
            </w:r>
          </w:p>
        </w:tc>
      </w:tr>
      <w:tr w:rsidR="00FE359A" w:rsidRPr="004C6583" w14:paraId="2BCBC81C" w14:textId="77777777" w:rsidTr="00D410F3">
        <w:tc>
          <w:tcPr>
            <w:tcW w:w="2447" w:type="dxa"/>
          </w:tcPr>
          <w:p w14:paraId="5810EF7B" w14:textId="77777777" w:rsidR="00A258EB" w:rsidRPr="00A258EB" w:rsidRDefault="00A258EB" w:rsidP="00A258EB">
            <w:pPr>
              <w:spacing w:after="0"/>
              <w:jc w:val="left"/>
            </w:pPr>
            <w:r w:rsidRPr="00A258EB">
              <w:rPr>
                <w:rFonts w:eastAsia="Times New Roman" w:cs="Calibri"/>
                <w:color w:val="000000"/>
                <w:szCs w:val="22"/>
                <w:lang w:eastAsia="cs-CZ"/>
              </w:rPr>
              <w:t>MD a podřízené organizace</w:t>
            </w:r>
            <w:r w:rsidRPr="00A258EB">
              <w:t xml:space="preserve"> </w:t>
            </w:r>
          </w:p>
          <w:p w14:paraId="1CC032D4" w14:textId="77777777" w:rsidR="000F7DF2" w:rsidRPr="00A258EB" w:rsidRDefault="00A258EB" w:rsidP="00A258EB">
            <w:pPr>
              <w:pStyle w:val="normln-odrky"/>
              <w:ind w:left="321" w:hanging="283"/>
              <w:jc w:val="left"/>
              <w:rPr>
                <w:rFonts w:eastAsia="Times New Roman" w:cs="Calibri"/>
                <w:color w:val="000000"/>
                <w:szCs w:val="22"/>
                <w:lang w:eastAsia="cs-CZ"/>
              </w:rPr>
            </w:pPr>
            <w:r w:rsidRPr="00A258EB">
              <w:t>z toho:</w:t>
            </w:r>
          </w:p>
        </w:tc>
        <w:tc>
          <w:tcPr>
            <w:tcW w:w="1366" w:type="dxa"/>
            <w:vAlign w:val="center"/>
          </w:tcPr>
          <w:p w14:paraId="146AAD22" w14:textId="77777777" w:rsidR="000F7DF2" w:rsidRPr="00A258EB" w:rsidRDefault="00025195" w:rsidP="000F7DF2">
            <w:pPr>
              <w:pStyle w:val="Prosttext"/>
              <w:jc w:val="right"/>
              <w:rPr>
                <w:rFonts w:eastAsia="Times New Roman" w:cs="Calibri"/>
                <w:color w:val="000000"/>
                <w:szCs w:val="20"/>
                <w:lang w:eastAsia="cs-CZ"/>
              </w:rPr>
            </w:pPr>
            <w:r>
              <w:rPr>
                <w:rFonts w:eastAsia="Times New Roman" w:cs="Calibri"/>
                <w:color w:val="000000"/>
                <w:szCs w:val="20"/>
                <w:lang w:eastAsia="cs-CZ"/>
              </w:rPr>
              <w:t>1 082 841 227</w:t>
            </w:r>
          </w:p>
        </w:tc>
        <w:tc>
          <w:tcPr>
            <w:tcW w:w="1406" w:type="dxa"/>
            <w:vAlign w:val="center"/>
          </w:tcPr>
          <w:p w14:paraId="5B80BB14" w14:textId="77777777" w:rsidR="000F7DF2" w:rsidRPr="00A258EB" w:rsidRDefault="000F7DF2" w:rsidP="00025195">
            <w:pPr>
              <w:pStyle w:val="Prosttext"/>
              <w:jc w:val="right"/>
              <w:rPr>
                <w:rFonts w:eastAsia="Times New Roman" w:cs="Calibri"/>
                <w:color w:val="000000"/>
                <w:szCs w:val="20"/>
                <w:lang w:eastAsia="cs-CZ"/>
              </w:rPr>
            </w:pPr>
            <w:r w:rsidRPr="00A258EB">
              <w:rPr>
                <w:rFonts w:eastAsia="Times New Roman" w:cs="Calibri"/>
                <w:color w:val="000000"/>
                <w:szCs w:val="20"/>
                <w:lang w:eastAsia="cs-CZ"/>
              </w:rPr>
              <w:t>1</w:t>
            </w:r>
            <w:r w:rsidR="00025195">
              <w:rPr>
                <w:rFonts w:eastAsia="Times New Roman" w:cs="Calibri"/>
                <w:color w:val="000000"/>
                <w:szCs w:val="20"/>
                <w:lang w:eastAsia="cs-CZ"/>
              </w:rPr>
              <w:t> 049 144 417</w:t>
            </w:r>
          </w:p>
        </w:tc>
        <w:tc>
          <w:tcPr>
            <w:tcW w:w="1436" w:type="dxa"/>
            <w:vAlign w:val="center"/>
          </w:tcPr>
          <w:p w14:paraId="7495E446" w14:textId="77777777" w:rsidR="000F7DF2" w:rsidRPr="00025195" w:rsidRDefault="00025195" w:rsidP="00025195">
            <w:pPr>
              <w:pStyle w:val="Prosttext"/>
              <w:jc w:val="right"/>
              <w:rPr>
                <w:rFonts w:eastAsia="Times New Roman" w:cs="Calibri"/>
                <w:color w:val="000000"/>
                <w:szCs w:val="20"/>
                <w:lang w:eastAsia="cs-CZ"/>
              </w:rPr>
            </w:pPr>
            <w:r>
              <w:rPr>
                <w:rFonts w:eastAsia="Times New Roman" w:cs="Calibri"/>
                <w:color w:val="000000"/>
                <w:szCs w:val="20"/>
                <w:lang w:eastAsia="cs-CZ"/>
              </w:rPr>
              <w:t>96,9</w:t>
            </w:r>
            <w:r w:rsidR="000F7DF2" w:rsidRPr="00025195">
              <w:rPr>
                <w:rFonts w:eastAsia="Times New Roman" w:cs="Calibri"/>
                <w:color w:val="000000"/>
                <w:szCs w:val="20"/>
                <w:lang w:eastAsia="cs-CZ"/>
              </w:rPr>
              <w:t xml:space="preserve"> %</w:t>
            </w:r>
          </w:p>
        </w:tc>
        <w:tc>
          <w:tcPr>
            <w:tcW w:w="1263" w:type="dxa"/>
            <w:tcBorders>
              <w:top w:val="single" w:sz="4" w:space="0" w:color="auto"/>
              <w:left w:val="single" w:sz="4" w:space="0" w:color="auto"/>
              <w:bottom w:val="single" w:sz="4" w:space="0" w:color="auto"/>
              <w:right w:val="single" w:sz="4" w:space="0" w:color="auto"/>
            </w:tcBorders>
            <w:shd w:val="clear" w:color="auto" w:fill="auto"/>
            <w:vAlign w:val="center"/>
          </w:tcPr>
          <w:p w14:paraId="356354DB" w14:textId="77777777" w:rsidR="000F7DF2" w:rsidRPr="00A258EB" w:rsidRDefault="00A258EB" w:rsidP="00025195">
            <w:pPr>
              <w:spacing w:after="0"/>
              <w:jc w:val="right"/>
              <w:rPr>
                <w:rFonts w:eastAsia="Times New Roman" w:cs="Calibri"/>
                <w:color w:val="000000"/>
                <w:szCs w:val="20"/>
                <w:lang w:eastAsia="cs-CZ"/>
              </w:rPr>
            </w:pPr>
            <w:r w:rsidRPr="00025195">
              <w:rPr>
                <w:rFonts w:eastAsia="Times New Roman" w:cs="Calibri"/>
                <w:color w:val="000000"/>
                <w:szCs w:val="20"/>
                <w:lang w:eastAsia="cs-CZ"/>
              </w:rPr>
              <w:t>324 951 213</w:t>
            </w:r>
          </w:p>
        </w:tc>
        <w:tc>
          <w:tcPr>
            <w:tcW w:w="1430" w:type="dxa"/>
            <w:tcBorders>
              <w:top w:val="single" w:sz="4" w:space="0" w:color="auto"/>
              <w:left w:val="nil"/>
              <w:bottom w:val="single" w:sz="4" w:space="0" w:color="auto"/>
              <w:right w:val="single" w:sz="4" w:space="0" w:color="auto"/>
            </w:tcBorders>
            <w:shd w:val="clear" w:color="auto" w:fill="auto"/>
            <w:vAlign w:val="center"/>
          </w:tcPr>
          <w:p w14:paraId="3EBB201D" w14:textId="77777777" w:rsidR="000F7DF2" w:rsidRPr="00025195" w:rsidRDefault="000F7DF2" w:rsidP="00FE359A">
            <w:pPr>
              <w:pStyle w:val="Prosttext"/>
              <w:jc w:val="right"/>
              <w:rPr>
                <w:rFonts w:eastAsia="Times New Roman" w:cs="Calibri"/>
                <w:color w:val="000000"/>
                <w:szCs w:val="20"/>
                <w:lang w:eastAsia="cs-CZ"/>
              </w:rPr>
            </w:pPr>
            <w:r w:rsidRPr="00025195">
              <w:rPr>
                <w:rFonts w:eastAsia="Times New Roman" w:cs="Calibri"/>
                <w:color w:val="000000"/>
                <w:szCs w:val="20"/>
                <w:lang w:eastAsia="cs-CZ"/>
              </w:rPr>
              <w:t>3</w:t>
            </w:r>
            <w:r w:rsidR="00FE359A">
              <w:rPr>
                <w:rFonts w:eastAsia="Times New Roman" w:cs="Calibri"/>
                <w:color w:val="000000"/>
                <w:szCs w:val="20"/>
                <w:lang w:eastAsia="cs-CZ"/>
              </w:rPr>
              <w:t>1,0</w:t>
            </w:r>
            <w:r w:rsidRPr="00025195">
              <w:rPr>
                <w:rFonts w:eastAsia="Times New Roman" w:cs="Calibri"/>
                <w:color w:val="000000"/>
                <w:szCs w:val="20"/>
                <w:lang w:eastAsia="cs-CZ"/>
              </w:rPr>
              <w:t xml:space="preserve"> %</w:t>
            </w:r>
          </w:p>
        </w:tc>
      </w:tr>
      <w:tr w:rsidR="00FE359A" w:rsidRPr="004C6583" w14:paraId="3C3084D1" w14:textId="77777777" w:rsidTr="00D410F3">
        <w:tc>
          <w:tcPr>
            <w:tcW w:w="2447" w:type="dxa"/>
            <w:vAlign w:val="center"/>
          </w:tcPr>
          <w:p w14:paraId="43C8B044" w14:textId="77777777" w:rsidR="000F7DF2" w:rsidRPr="00A258EB" w:rsidRDefault="00A258EB" w:rsidP="00A258EB">
            <w:pPr>
              <w:pStyle w:val="normln-odrky"/>
              <w:ind w:left="321" w:hanging="283"/>
              <w:jc w:val="left"/>
            </w:pPr>
            <w:r w:rsidRPr="00A258EB">
              <w:t>Správa železnic</w:t>
            </w:r>
          </w:p>
        </w:tc>
        <w:tc>
          <w:tcPr>
            <w:tcW w:w="1366" w:type="dxa"/>
            <w:vAlign w:val="center"/>
          </w:tcPr>
          <w:p w14:paraId="051EEF3B" w14:textId="77777777" w:rsidR="000F7DF2" w:rsidRPr="004E7598" w:rsidRDefault="00025195" w:rsidP="00025195">
            <w:pPr>
              <w:pStyle w:val="Prosttext"/>
              <w:jc w:val="right"/>
              <w:rPr>
                <w:rFonts w:eastAsia="Times New Roman" w:cs="Calibri"/>
                <w:color w:val="000000"/>
                <w:szCs w:val="20"/>
                <w:lang w:eastAsia="cs-CZ"/>
              </w:rPr>
            </w:pPr>
            <w:r w:rsidRPr="00025195">
              <w:rPr>
                <w:rFonts w:eastAsia="Times New Roman" w:cs="Calibri"/>
                <w:color w:val="000000"/>
                <w:szCs w:val="20"/>
                <w:lang w:eastAsia="cs-CZ"/>
              </w:rPr>
              <w:t>1 034 855 369</w:t>
            </w:r>
          </w:p>
        </w:tc>
        <w:tc>
          <w:tcPr>
            <w:tcW w:w="1406" w:type="dxa"/>
            <w:vAlign w:val="center"/>
          </w:tcPr>
          <w:p w14:paraId="0ECC6BB3" w14:textId="77777777" w:rsidR="000F7DF2" w:rsidRPr="004E7598" w:rsidRDefault="00025195" w:rsidP="00025195">
            <w:pPr>
              <w:pStyle w:val="Prosttext"/>
              <w:jc w:val="right"/>
              <w:rPr>
                <w:rFonts w:eastAsia="Times New Roman" w:cs="Calibri"/>
                <w:color w:val="000000"/>
                <w:szCs w:val="20"/>
                <w:lang w:eastAsia="cs-CZ"/>
              </w:rPr>
            </w:pPr>
            <w:r w:rsidRPr="00025195">
              <w:rPr>
                <w:rFonts w:eastAsia="Times New Roman" w:cs="Calibri"/>
                <w:color w:val="000000"/>
                <w:szCs w:val="20"/>
                <w:lang w:eastAsia="cs-CZ"/>
              </w:rPr>
              <w:t>1 006 932 909</w:t>
            </w:r>
          </w:p>
        </w:tc>
        <w:tc>
          <w:tcPr>
            <w:tcW w:w="1436" w:type="dxa"/>
            <w:vAlign w:val="center"/>
          </w:tcPr>
          <w:p w14:paraId="534C6D85" w14:textId="77777777" w:rsidR="000F7DF2" w:rsidRPr="00A258EB" w:rsidRDefault="00FE359A" w:rsidP="00A258EB">
            <w:pPr>
              <w:pStyle w:val="Prosttext"/>
              <w:jc w:val="right"/>
              <w:rPr>
                <w:rFonts w:eastAsia="Times New Roman" w:cs="Calibri"/>
                <w:color w:val="000000"/>
                <w:szCs w:val="20"/>
                <w:lang w:eastAsia="cs-CZ"/>
              </w:rPr>
            </w:pPr>
            <w:r>
              <w:rPr>
                <w:rFonts w:eastAsia="Times New Roman" w:cs="Calibri"/>
                <w:color w:val="000000"/>
                <w:szCs w:val="20"/>
                <w:lang w:eastAsia="cs-CZ"/>
              </w:rPr>
              <w:t>97,3 %</w:t>
            </w:r>
          </w:p>
        </w:tc>
        <w:tc>
          <w:tcPr>
            <w:tcW w:w="1263" w:type="dxa"/>
            <w:tcBorders>
              <w:top w:val="nil"/>
              <w:left w:val="single" w:sz="4" w:space="0" w:color="auto"/>
              <w:bottom w:val="single" w:sz="4" w:space="0" w:color="auto"/>
              <w:right w:val="single" w:sz="4" w:space="0" w:color="auto"/>
            </w:tcBorders>
            <w:shd w:val="clear" w:color="auto" w:fill="auto"/>
            <w:vAlign w:val="center"/>
          </w:tcPr>
          <w:p w14:paraId="361269B3" w14:textId="77777777" w:rsidR="000F7DF2" w:rsidRPr="004C6583" w:rsidRDefault="00025195" w:rsidP="00025195">
            <w:pPr>
              <w:pStyle w:val="Prosttext"/>
              <w:jc w:val="right"/>
              <w:rPr>
                <w:rFonts w:eastAsia="Times New Roman" w:cs="Calibri"/>
                <w:color w:val="000000"/>
                <w:szCs w:val="20"/>
                <w:lang w:eastAsia="cs-CZ"/>
              </w:rPr>
            </w:pPr>
            <w:r w:rsidRPr="00025195">
              <w:rPr>
                <w:rFonts w:eastAsia="Times New Roman" w:cs="Calibri"/>
                <w:color w:val="000000"/>
                <w:szCs w:val="20"/>
                <w:lang w:eastAsia="cs-CZ"/>
              </w:rPr>
              <w:t>309 872 225</w:t>
            </w:r>
          </w:p>
        </w:tc>
        <w:tc>
          <w:tcPr>
            <w:tcW w:w="1430" w:type="dxa"/>
            <w:tcBorders>
              <w:top w:val="nil"/>
              <w:left w:val="nil"/>
              <w:bottom w:val="single" w:sz="4" w:space="0" w:color="auto"/>
              <w:right w:val="single" w:sz="4" w:space="0" w:color="auto"/>
            </w:tcBorders>
            <w:shd w:val="clear" w:color="auto" w:fill="auto"/>
            <w:vAlign w:val="center"/>
          </w:tcPr>
          <w:p w14:paraId="7B6DBE75" w14:textId="77777777" w:rsidR="000F7DF2" w:rsidRPr="00A258EB" w:rsidRDefault="00FE359A" w:rsidP="00A258EB">
            <w:pPr>
              <w:pStyle w:val="Prosttext"/>
              <w:jc w:val="right"/>
              <w:rPr>
                <w:rFonts w:eastAsia="Times New Roman" w:cs="Calibri"/>
                <w:color w:val="000000"/>
                <w:szCs w:val="20"/>
                <w:lang w:eastAsia="cs-CZ"/>
              </w:rPr>
            </w:pPr>
            <w:r>
              <w:rPr>
                <w:rFonts w:eastAsia="Times New Roman" w:cs="Calibri"/>
                <w:color w:val="000000"/>
                <w:szCs w:val="20"/>
                <w:lang w:eastAsia="cs-CZ"/>
              </w:rPr>
              <w:t>30,8 %</w:t>
            </w:r>
          </w:p>
        </w:tc>
      </w:tr>
      <w:tr w:rsidR="00FE359A" w:rsidRPr="004C6583" w14:paraId="6475538E" w14:textId="77777777" w:rsidTr="00D410F3">
        <w:tc>
          <w:tcPr>
            <w:tcW w:w="2447" w:type="dxa"/>
            <w:vAlign w:val="center"/>
          </w:tcPr>
          <w:p w14:paraId="2C641893" w14:textId="77777777" w:rsidR="000F7DF2" w:rsidRPr="00A258EB" w:rsidRDefault="00A258EB" w:rsidP="00FE359A">
            <w:pPr>
              <w:pStyle w:val="Prosttext"/>
              <w:jc w:val="left"/>
              <w:rPr>
                <w:rFonts w:eastAsia="Times New Roman" w:cs="Calibri"/>
                <w:color w:val="000000"/>
                <w:szCs w:val="20"/>
                <w:lang w:eastAsia="cs-CZ"/>
              </w:rPr>
            </w:pPr>
            <w:r w:rsidRPr="00A258EB">
              <w:rPr>
                <w:rFonts w:eastAsia="Times New Roman" w:cs="Calibri"/>
                <w:color w:val="000000"/>
                <w:szCs w:val="20"/>
                <w:lang w:eastAsia="cs-CZ"/>
              </w:rPr>
              <w:t>Soukromé subjekty</w:t>
            </w:r>
          </w:p>
        </w:tc>
        <w:tc>
          <w:tcPr>
            <w:tcW w:w="1366" w:type="dxa"/>
            <w:vAlign w:val="center"/>
          </w:tcPr>
          <w:p w14:paraId="170F804B" w14:textId="77777777" w:rsidR="000F7DF2" w:rsidRPr="004E7598" w:rsidRDefault="00FE359A" w:rsidP="00FE359A">
            <w:pPr>
              <w:spacing w:after="0"/>
              <w:jc w:val="right"/>
              <w:rPr>
                <w:rFonts w:eastAsia="Times New Roman" w:cs="Calibri"/>
                <w:color w:val="000000"/>
                <w:szCs w:val="20"/>
                <w:lang w:eastAsia="cs-CZ"/>
              </w:rPr>
            </w:pPr>
            <w:r w:rsidRPr="00FE359A">
              <w:rPr>
                <w:rFonts w:eastAsia="Times New Roman" w:cs="Calibri"/>
                <w:color w:val="000000"/>
                <w:szCs w:val="20"/>
                <w:lang w:eastAsia="cs-CZ"/>
              </w:rPr>
              <w:t>268 671 707</w:t>
            </w:r>
          </w:p>
        </w:tc>
        <w:tc>
          <w:tcPr>
            <w:tcW w:w="1406" w:type="dxa"/>
            <w:vAlign w:val="center"/>
          </w:tcPr>
          <w:p w14:paraId="48B97C43" w14:textId="77777777" w:rsidR="000F7DF2" w:rsidRPr="004E7598" w:rsidRDefault="00FE359A" w:rsidP="00FE359A">
            <w:pPr>
              <w:spacing w:after="0"/>
              <w:jc w:val="right"/>
              <w:rPr>
                <w:rFonts w:eastAsia="Times New Roman" w:cs="Calibri"/>
                <w:color w:val="000000"/>
                <w:szCs w:val="20"/>
                <w:lang w:eastAsia="cs-CZ"/>
              </w:rPr>
            </w:pPr>
            <w:r w:rsidRPr="00FE359A">
              <w:rPr>
                <w:rFonts w:eastAsia="Times New Roman" w:cs="Calibri"/>
                <w:color w:val="000000"/>
                <w:szCs w:val="20"/>
                <w:lang w:eastAsia="cs-CZ"/>
              </w:rPr>
              <w:t>96 305 017</w:t>
            </w:r>
          </w:p>
        </w:tc>
        <w:tc>
          <w:tcPr>
            <w:tcW w:w="1436" w:type="dxa"/>
            <w:vAlign w:val="center"/>
          </w:tcPr>
          <w:p w14:paraId="0EE0E6F7" w14:textId="77777777" w:rsidR="000F7DF2" w:rsidRPr="00A258EB" w:rsidRDefault="00FE359A" w:rsidP="00FE359A">
            <w:pPr>
              <w:pStyle w:val="Prosttext"/>
              <w:jc w:val="right"/>
              <w:rPr>
                <w:rFonts w:eastAsia="Times New Roman" w:cs="Calibri"/>
                <w:color w:val="000000"/>
                <w:szCs w:val="20"/>
                <w:lang w:eastAsia="cs-CZ"/>
              </w:rPr>
            </w:pPr>
            <w:r>
              <w:rPr>
                <w:rFonts w:eastAsia="Times New Roman" w:cs="Calibri"/>
                <w:color w:val="000000"/>
                <w:szCs w:val="20"/>
                <w:lang w:eastAsia="cs-CZ"/>
              </w:rPr>
              <w:t>35,8</w:t>
            </w:r>
            <w:r w:rsidR="000F7DF2" w:rsidRPr="00A258EB">
              <w:rPr>
                <w:rFonts w:eastAsia="Times New Roman" w:cs="Calibri"/>
                <w:color w:val="000000"/>
                <w:szCs w:val="20"/>
                <w:lang w:eastAsia="cs-CZ"/>
              </w:rPr>
              <w:t xml:space="preserve"> %</w:t>
            </w:r>
          </w:p>
        </w:tc>
        <w:tc>
          <w:tcPr>
            <w:tcW w:w="1263" w:type="dxa"/>
            <w:tcBorders>
              <w:top w:val="nil"/>
              <w:left w:val="single" w:sz="4" w:space="0" w:color="auto"/>
              <w:bottom w:val="single" w:sz="4" w:space="0" w:color="auto"/>
              <w:right w:val="single" w:sz="4" w:space="0" w:color="auto"/>
            </w:tcBorders>
            <w:shd w:val="clear" w:color="auto" w:fill="auto"/>
            <w:vAlign w:val="center"/>
          </w:tcPr>
          <w:p w14:paraId="6509564A" w14:textId="77777777" w:rsidR="000F7DF2" w:rsidRPr="00A258EB" w:rsidRDefault="00FE359A" w:rsidP="00FE359A">
            <w:pPr>
              <w:spacing w:after="0"/>
              <w:jc w:val="right"/>
              <w:rPr>
                <w:rFonts w:eastAsia="Times New Roman" w:cs="Calibri"/>
                <w:color w:val="000000"/>
                <w:szCs w:val="20"/>
                <w:lang w:eastAsia="cs-CZ"/>
              </w:rPr>
            </w:pPr>
            <w:r w:rsidRPr="00FE359A">
              <w:rPr>
                <w:rFonts w:eastAsia="Times New Roman" w:cs="Calibri"/>
                <w:color w:val="000000"/>
                <w:szCs w:val="20"/>
                <w:lang w:eastAsia="cs-CZ"/>
              </w:rPr>
              <w:t>33 658 290</w:t>
            </w:r>
          </w:p>
        </w:tc>
        <w:tc>
          <w:tcPr>
            <w:tcW w:w="1430" w:type="dxa"/>
            <w:tcBorders>
              <w:top w:val="nil"/>
              <w:left w:val="nil"/>
              <w:bottom w:val="single" w:sz="4" w:space="0" w:color="auto"/>
              <w:right w:val="single" w:sz="4" w:space="0" w:color="auto"/>
            </w:tcBorders>
            <w:shd w:val="clear" w:color="auto" w:fill="auto"/>
            <w:vAlign w:val="center"/>
          </w:tcPr>
          <w:p w14:paraId="32403671" w14:textId="77777777" w:rsidR="000F7DF2" w:rsidRPr="00A258EB" w:rsidRDefault="00FE359A" w:rsidP="00FE359A">
            <w:pPr>
              <w:pStyle w:val="Prosttext"/>
              <w:jc w:val="right"/>
              <w:rPr>
                <w:rFonts w:eastAsia="Times New Roman" w:cs="Calibri"/>
                <w:color w:val="000000"/>
                <w:szCs w:val="20"/>
                <w:lang w:eastAsia="cs-CZ"/>
              </w:rPr>
            </w:pPr>
            <w:r>
              <w:rPr>
                <w:rFonts w:eastAsia="Times New Roman" w:cs="Calibri"/>
                <w:color w:val="000000"/>
                <w:szCs w:val="20"/>
                <w:lang w:eastAsia="cs-CZ"/>
              </w:rPr>
              <w:t>34,9</w:t>
            </w:r>
            <w:r w:rsidR="000F7DF2" w:rsidRPr="00A258EB">
              <w:rPr>
                <w:rFonts w:eastAsia="Times New Roman" w:cs="Calibri"/>
                <w:color w:val="000000"/>
                <w:szCs w:val="20"/>
                <w:lang w:eastAsia="cs-CZ"/>
              </w:rPr>
              <w:t xml:space="preserve"> %</w:t>
            </w:r>
          </w:p>
        </w:tc>
      </w:tr>
      <w:tr w:rsidR="00FE359A" w:rsidRPr="0038402C" w14:paraId="291E546E" w14:textId="77777777" w:rsidTr="00D410F3">
        <w:tc>
          <w:tcPr>
            <w:tcW w:w="2447" w:type="dxa"/>
            <w:shd w:val="clear" w:color="auto" w:fill="D9D9D9" w:themeFill="background1" w:themeFillShade="D9"/>
          </w:tcPr>
          <w:p w14:paraId="04136BDF" w14:textId="77777777" w:rsidR="000F7DF2" w:rsidRPr="0038402C" w:rsidRDefault="000F7DF2" w:rsidP="000F7DF2">
            <w:pPr>
              <w:pStyle w:val="Prosttext"/>
              <w:rPr>
                <w:b/>
              </w:rPr>
            </w:pPr>
            <w:r>
              <w:rPr>
                <w:b/>
              </w:rPr>
              <w:t>CELKEM</w:t>
            </w:r>
          </w:p>
        </w:tc>
        <w:tc>
          <w:tcPr>
            <w:tcW w:w="1366" w:type="dxa"/>
            <w:shd w:val="clear" w:color="auto" w:fill="D9D9D9" w:themeFill="background1" w:themeFillShade="D9"/>
          </w:tcPr>
          <w:p w14:paraId="781DF218" w14:textId="77777777" w:rsidR="000F7DF2" w:rsidRPr="0038402C" w:rsidRDefault="00FE359A" w:rsidP="00FE359A">
            <w:pPr>
              <w:pStyle w:val="Prosttext"/>
              <w:jc w:val="right"/>
              <w:rPr>
                <w:b/>
              </w:rPr>
            </w:pPr>
            <w:r w:rsidRPr="00FE359A">
              <w:rPr>
                <w:b/>
              </w:rPr>
              <w:t>1 351 512 934</w:t>
            </w:r>
          </w:p>
        </w:tc>
        <w:tc>
          <w:tcPr>
            <w:tcW w:w="1406" w:type="dxa"/>
            <w:shd w:val="clear" w:color="auto" w:fill="D9D9D9" w:themeFill="background1" w:themeFillShade="D9"/>
          </w:tcPr>
          <w:p w14:paraId="2FDD89BE" w14:textId="77777777" w:rsidR="000F7DF2" w:rsidRPr="0038402C" w:rsidRDefault="00FE359A" w:rsidP="00FE359A">
            <w:pPr>
              <w:pStyle w:val="Prosttext"/>
              <w:jc w:val="right"/>
              <w:rPr>
                <w:b/>
              </w:rPr>
            </w:pPr>
            <w:r w:rsidRPr="00FE359A">
              <w:rPr>
                <w:b/>
              </w:rPr>
              <w:t>1 145 449 434</w:t>
            </w:r>
          </w:p>
        </w:tc>
        <w:tc>
          <w:tcPr>
            <w:tcW w:w="1436" w:type="dxa"/>
            <w:shd w:val="clear" w:color="auto" w:fill="D9D9D9" w:themeFill="background1" w:themeFillShade="D9"/>
          </w:tcPr>
          <w:p w14:paraId="60F9FDC9" w14:textId="77777777" w:rsidR="000F7DF2" w:rsidRPr="0038402C" w:rsidRDefault="00FE359A" w:rsidP="00FE359A">
            <w:pPr>
              <w:pStyle w:val="Prosttext"/>
              <w:jc w:val="right"/>
              <w:rPr>
                <w:b/>
              </w:rPr>
            </w:pPr>
            <w:r>
              <w:rPr>
                <w:b/>
              </w:rPr>
              <w:t>84,7 %</w:t>
            </w:r>
          </w:p>
        </w:tc>
        <w:tc>
          <w:tcPr>
            <w:tcW w:w="1263" w:type="dxa"/>
            <w:shd w:val="clear" w:color="auto" w:fill="D9D9D9" w:themeFill="background1" w:themeFillShade="D9"/>
          </w:tcPr>
          <w:p w14:paraId="7189F7F6" w14:textId="77777777" w:rsidR="000F7DF2" w:rsidRPr="0038402C" w:rsidRDefault="00FE359A" w:rsidP="00FE359A">
            <w:pPr>
              <w:pStyle w:val="Prosttext"/>
              <w:jc w:val="right"/>
              <w:rPr>
                <w:b/>
              </w:rPr>
            </w:pPr>
            <w:r w:rsidRPr="00FE359A">
              <w:rPr>
                <w:b/>
              </w:rPr>
              <w:t>358 609 503</w:t>
            </w:r>
          </w:p>
        </w:tc>
        <w:tc>
          <w:tcPr>
            <w:tcW w:w="1430" w:type="dxa"/>
            <w:shd w:val="clear" w:color="auto" w:fill="D9D9D9" w:themeFill="background1" w:themeFillShade="D9"/>
          </w:tcPr>
          <w:p w14:paraId="54FA8071" w14:textId="77777777" w:rsidR="000F7DF2" w:rsidRPr="0038402C" w:rsidRDefault="00FE359A" w:rsidP="00FE359A">
            <w:pPr>
              <w:pStyle w:val="Prosttext"/>
              <w:jc w:val="right"/>
              <w:rPr>
                <w:b/>
              </w:rPr>
            </w:pPr>
            <w:r>
              <w:rPr>
                <w:b/>
              </w:rPr>
              <w:t>31,3 %</w:t>
            </w:r>
          </w:p>
        </w:tc>
      </w:tr>
    </w:tbl>
    <w:p w14:paraId="0B99D096" w14:textId="77777777" w:rsidR="00886A3C" w:rsidRDefault="00886A3C" w:rsidP="00F72744"/>
    <w:p w14:paraId="26E3CF0E" w14:textId="29CD4F25" w:rsidR="00733122" w:rsidRDefault="00733122" w:rsidP="00F72744">
      <w:r>
        <w:t xml:space="preserve">Čerpání prostředků </w:t>
      </w:r>
      <w:r w:rsidR="003976D1">
        <w:t>odpovídá stavu realizace projektů</w:t>
      </w:r>
      <w:r w:rsidR="006B0ABE">
        <w:t xml:space="preserve"> a</w:t>
      </w:r>
      <w:r w:rsidR="003976D1">
        <w:t xml:space="preserve"> </w:t>
      </w:r>
      <w:r>
        <w:t xml:space="preserve">je </w:t>
      </w:r>
      <w:r w:rsidR="006B4DD5">
        <w:t xml:space="preserve">do značné míry </w:t>
      </w:r>
      <w:r>
        <w:t xml:space="preserve">ovlivněno tím, že </w:t>
      </w:r>
      <w:r w:rsidR="003976D1">
        <w:t>většina prostředků připadá až na vlastní stavbu, která probíhá až po časově náročné přípravě projektů a výběru dodavatele.</w:t>
      </w:r>
      <w:r w:rsidR="00407B4D">
        <w:t xml:space="preserve"> V údajích se ještě neprojevují platby (kromě 3 výjimek), které mají přijít na podzim na základě podaných žádostí o platbu. Řada projektů bude ukončena až v dalších letech, 11 projektů v roce 2021, 9 projektů v roce 2022 a 3 ještě později. Lze očekávat, že u některých ještě dojde k prodloužení realizace.</w:t>
      </w:r>
    </w:p>
    <w:p w14:paraId="0C8B0748" w14:textId="77777777" w:rsidR="008F7416" w:rsidRDefault="008F7416" w:rsidP="008F7416">
      <w:pPr>
        <w:pStyle w:val="Podnadpis"/>
      </w:pPr>
      <w:r>
        <w:t>Národní obálka</w:t>
      </w:r>
    </w:p>
    <w:p w14:paraId="4CA31BAA" w14:textId="77777777" w:rsidR="008F7416" w:rsidRDefault="008F7416" w:rsidP="00F72744">
      <w:r>
        <w:t>Jak je patrné z tabulky 7, dochází v některých případech ke snížení příspěvku CEF. Tato skutečnost může být dána vysoutěžením nižší ceny, než se předpokládalo při přípravě projektové žádosti, nebo problémy s realizací projektů. Nerealizace některých aktivit se projeví krácením příspěvku CEF, v krajním případě nerealizací projektu a odebráním příspěvku v plné výši.</w:t>
      </w:r>
    </w:p>
    <w:p w14:paraId="28691FAD" w14:textId="77777777" w:rsidR="008F7416" w:rsidRDefault="008F7416" w:rsidP="00F72744">
      <w:r>
        <w:t>Tímto způsobem došlo v národní obálce k poměrně vysokým ztrátám, které připadají převážně na projekty na palubní jednotky ETCS.</w:t>
      </w:r>
      <w:r w:rsidR="0080642D">
        <w:t xml:space="preserve"> Investorské organizace MD realizují projekty bez </w:t>
      </w:r>
      <w:r w:rsidR="008369AF">
        <w:t>zásadních</w:t>
      </w:r>
      <w:r w:rsidR="0080642D">
        <w:t xml:space="preserve"> ztrát, nižší míru čerpání vykazují projekty Ředitelství silnic a dálnic, které zahrnují komplikovanou přípravu staveb. S ohledem na objem projekt</w:t>
      </w:r>
      <w:r w:rsidR="008369AF">
        <w:t>ů se však jedná o nižší částku než u Správy železnic. Viz tabulka 8.</w:t>
      </w:r>
    </w:p>
    <w:p w14:paraId="63F0FE4C" w14:textId="77777777" w:rsidR="00407B4D" w:rsidRDefault="008E4F8B" w:rsidP="00F72744">
      <w:r>
        <w:t xml:space="preserve">Tabulka 8: </w:t>
      </w:r>
      <w:r w:rsidR="00407B4D">
        <w:t>Národní obálka</w:t>
      </w:r>
      <w:r>
        <w:t xml:space="preserve"> – krácené prostředky</w:t>
      </w:r>
    </w:p>
    <w:tbl>
      <w:tblPr>
        <w:tblStyle w:val="Mkatabulky"/>
        <w:tblW w:w="9067" w:type="dxa"/>
        <w:tblLayout w:type="fixed"/>
        <w:tblLook w:val="04A0" w:firstRow="1" w:lastRow="0" w:firstColumn="1" w:lastColumn="0" w:noHBand="0" w:noVBand="1"/>
      </w:tblPr>
      <w:tblGrid>
        <w:gridCol w:w="2266"/>
        <w:gridCol w:w="2407"/>
        <w:gridCol w:w="2126"/>
        <w:gridCol w:w="2268"/>
      </w:tblGrid>
      <w:tr w:rsidR="008C14C8" w:rsidRPr="0019173E" w14:paraId="2F87732A" w14:textId="77777777" w:rsidTr="008C14C8">
        <w:trPr>
          <w:trHeight w:val="753"/>
        </w:trPr>
        <w:tc>
          <w:tcPr>
            <w:tcW w:w="2266" w:type="dxa"/>
            <w:shd w:val="clear" w:color="auto" w:fill="D9D9D9" w:themeFill="background1" w:themeFillShade="D9"/>
            <w:noWrap/>
            <w:vAlign w:val="center"/>
            <w:hideMark/>
          </w:tcPr>
          <w:p w14:paraId="2F588A45" w14:textId="77777777" w:rsidR="008C14C8" w:rsidRPr="008E4F8B" w:rsidRDefault="008C14C8" w:rsidP="008E4F8B">
            <w:pPr>
              <w:pStyle w:val="Prosttext"/>
              <w:jc w:val="center"/>
              <w:rPr>
                <w:b/>
                <w:szCs w:val="20"/>
              </w:rPr>
            </w:pPr>
            <w:r>
              <w:rPr>
                <w:b/>
                <w:szCs w:val="20"/>
              </w:rPr>
              <w:t>Skupina projektů</w:t>
            </w:r>
          </w:p>
        </w:tc>
        <w:tc>
          <w:tcPr>
            <w:tcW w:w="2407" w:type="dxa"/>
            <w:shd w:val="clear" w:color="auto" w:fill="D9D9D9" w:themeFill="background1" w:themeFillShade="D9"/>
            <w:vAlign w:val="center"/>
            <w:hideMark/>
          </w:tcPr>
          <w:p w14:paraId="72BD38AE" w14:textId="77777777" w:rsidR="008C14C8" w:rsidRPr="008E4F8B" w:rsidRDefault="008C14C8" w:rsidP="008E4F8B">
            <w:pPr>
              <w:pStyle w:val="Prosttext"/>
              <w:jc w:val="center"/>
              <w:rPr>
                <w:b/>
                <w:szCs w:val="20"/>
              </w:rPr>
            </w:pPr>
            <w:r w:rsidRPr="008E4F8B">
              <w:rPr>
                <w:b/>
                <w:szCs w:val="20"/>
              </w:rPr>
              <w:t xml:space="preserve"> </w:t>
            </w:r>
            <w:r>
              <w:rPr>
                <w:b/>
                <w:szCs w:val="20"/>
              </w:rPr>
              <w:t>S</w:t>
            </w:r>
            <w:r w:rsidRPr="008E4F8B">
              <w:rPr>
                <w:b/>
                <w:szCs w:val="20"/>
              </w:rPr>
              <w:t>chválený příspěvek CEF</w:t>
            </w:r>
            <w:r w:rsidRPr="008E4F8B">
              <w:rPr>
                <w:b/>
                <w:szCs w:val="20"/>
              </w:rPr>
              <w:br/>
              <w:t xml:space="preserve">(EUR) </w:t>
            </w:r>
          </w:p>
        </w:tc>
        <w:tc>
          <w:tcPr>
            <w:tcW w:w="2126" w:type="dxa"/>
            <w:shd w:val="clear" w:color="auto" w:fill="D9D9D9" w:themeFill="background1" w:themeFillShade="D9"/>
            <w:vAlign w:val="center"/>
            <w:hideMark/>
          </w:tcPr>
          <w:p w14:paraId="60344D37" w14:textId="77777777" w:rsidR="008C14C8" w:rsidRPr="008E4F8B" w:rsidRDefault="008C14C8" w:rsidP="008E4F8B">
            <w:pPr>
              <w:pStyle w:val="Prosttext"/>
              <w:jc w:val="center"/>
              <w:rPr>
                <w:b/>
                <w:szCs w:val="20"/>
              </w:rPr>
            </w:pPr>
            <w:r>
              <w:rPr>
                <w:b/>
                <w:szCs w:val="20"/>
              </w:rPr>
              <w:t>Krácené prostředky</w:t>
            </w:r>
            <w:r w:rsidRPr="008E4F8B">
              <w:rPr>
                <w:b/>
                <w:szCs w:val="20"/>
              </w:rPr>
              <w:t xml:space="preserve"> (EUR) </w:t>
            </w:r>
          </w:p>
        </w:tc>
        <w:tc>
          <w:tcPr>
            <w:tcW w:w="2268" w:type="dxa"/>
            <w:shd w:val="clear" w:color="auto" w:fill="D9D9D9" w:themeFill="background1" w:themeFillShade="D9"/>
            <w:vAlign w:val="center"/>
            <w:hideMark/>
          </w:tcPr>
          <w:p w14:paraId="5183274C" w14:textId="77777777" w:rsidR="008C14C8" w:rsidRPr="008E4F8B" w:rsidRDefault="008C14C8" w:rsidP="008C14C8">
            <w:pPr>
              <w:pStyle w:val="Prosttext"/>
              <w:jc w:val="center"/>
              <w:rPr>
                <w:b/>
                <w:szCs w:val="20"/>
              </w:rPr>
            </w:pPr>
            <w:r w:rsidRPr="008E4F8B">
              <w:rPr>
                <w:b/>
                <w:szCs w:val="20"/>
              </w:rPr>
              <w:t xml:space="preserve"> % </w:t>
            </w:r>
            <w:r>
              <w:rPr>
                <w:b/>
                <w:szCs w:val="20"/>
              </w:rPr>
              <w:t>ze schváleného příspěvku CEF</w:t>
            </w:r>
          </w:p>
        </w:tc>
      </w:tr>
      <w:tr w:rsidR="008C14C8" w:rsidRPr="0019173E" w14:paraId="70B57B16" w14:textId="77777777" w:rsidTr="008C14C8">
        <w:trPr>
          <w:trHeight w:val="375"/>
        </w:trPr>
        <w:tc>
          <w:tcPr>
            <w:tcW w:w="2266" w:type="dxa"/>
            <w:noWrap/>
            <w:hideMark/>
          </w:tcPr>
          <w:p w14:paraId="7A59E2F4" w14:textId="77777777" w:rsidR="008C14C8" w:rsidRPr="0019173E" w:rsidRDefault="008C14C8" w:rsidP="0080642D">
            <w:pPr>
              <w:jc w:val="left"/>
            </w:pPr>
            <w:r>
              <w:t xml:space="preserve">Palubní jednotky </w:t>
            </w:r>
            <w:r w:rsidRPr="0019173E">
              <w:t>E</w:t>
            </w:r>
            <w:r>
              <w:t>TCS</w:t>
            </w:r>
          </w:p>
        </w:tc>
        <w:tc>
          <w:tcPr>
            <w:tcW w:w="2407" w:type="dxa"/>
            <w:noWrap/>
            <w:hideMark/>
          </w:tcPr>
          <w:p w14:paraId="65649C88" w14:textId="77777777" w:rsidR="008C14C8" w:rsidRPr="0019173E" w:rsidRDefault="008C14C8" w:rsidP="008E4F8B">
            <w:pPr>
              <w:jc w:val="right"/>
            </w:pPr>
            <w:r w:rsidRPr="0019173E">
              <w:t>219 075 701</w:t>
            </w:r>
          </w:p>
        </w:tc>
        <w:tc>
          <w:tcPr>
            <w:tcW w:w="2126" w:type="dxa"/>
            <w:noWrap/>
            <w:hideMark/>
          </w:tcPr>
          <w:p w14:paraId="5FD5EAD7" w14:textId="77777777" w:rsidR="008C14C8" w:rsidRPr="0019173E" w:rsidRDefault="008C14C8" w:rsidP="008E4F8B">
            <w:pPr>
              <w:jc w:val="right"/>
            </w:pPr>
            <w:r>
              <w:t xml:space="preserve">- </w:t>
            </w:r>
            <w:r w:rsidRPr="0019173E">
              <w:t>170 334 662</w:t>
            </w:r>
          </w:p>
        </w:tc>
        <w:tc>
          <w:tcPr>
            <w:tcW w:w="2268" w:type="dxa"/>
            <w:noWrap/>
            <w:hideMark/>
          </w:tcPr>
          <w:p w14:paraId="2C9F275A" w14:textId="77777777" w:rsidR="008C14C8" w:rsidRPr="0019173E" w:rsidRDefault="008C14C8" w:rsidP="008E4F8B">
            <w:pPr>
              <w:jc w:val="right"/>
            </w:pPr>
            <w:r w:rsidRPr="0019173E">
              <w:t>-78%</w:t>
            </w:r>
          </w:p>
        </w:tc>
      </w:tr>
      <w:tr w:rsidR="008C14C8" w:rsidRPr="0019173E" w14:paraId="708F6CEC" w14:textId="77777777" w:rsidTr="008C14C8">
        <w:trPr>
          <w:trHeight w:val="375"/>
        </w:trPr>
        <w:tc>
          <w:tcPr>
            <w:tcW w:w="2266" w:type="dxa"/>
            <w:noWrap/>
            <w:hideMark/>
          </w:tcPr>
          <w:p w14:paraId="7D40018F" w14:textId="77777777" w:rsidR="008C14C8" w:rsidRPr="0019173E" w:rsidRDefault="008C14C8" w:rsidP="008369AF">
            <w:pPr>
              <w:jc w:val="left"/>
            </w:pPr>
            <w:r w:rsidRPr="0019173E">
              <w:t>S</w:t>
            </w:r>
            <w:r>
              <w:t>práva železnic</w:t>
            </w:r>
          </w:p>
        </w:tc>
        <w:tc>
          <w:tcPr>
            <w:tcW w:w="2407" w:type="dxa"/>
            <w:noWrap/>
            <w:hideMark/>
          </w:tcPr>
          <w:p w14:paraId="1B88D3D9" w14:textId="77777777" w:rsidR="008C14C8" w:rsidRPr="0019173E" w:rsidRDefault="008C14C8" w:rsidP="008E4F8B">
            <w:pPr>
              <w:jc w:val="right"/>
            </w:pPr>
            <w:r w:rsidRPr="008E4F8B">
              <w:t>813</w:t>
            </w:r>
            <w:r>
              <w:t xml:space="preserve"> </w:t>
            </w:r>
            <w:r w:rsidRPr="008E4F8B">
              <w:t>317</w:t>
            </w:r>
            <w:r>
              <w:t xml:space="preserve"> </w:t>
            </w:r>
            <w:r w:rsidRPr="008E4F8B">
              <w:t>002</w:t>
            </w:r>
          </w:p>
        </w:tc>
        <w:tc>
          <w:tcPr>
            <w:tcW w:w="2126" w:type="dxa"/>
            <w:noWrap/>
            <w:hideMark/>
          </w:tcPr>
          <w:p w14:paraId="6B33D9E9" w14:textId="77777777" w:rsidR="008C14C8" w:rsidRPr="0019173E" w:rsidRDefault="008C14C8" w:rsidP="008E4F8B">
            <w:pPr>
              <w:jc w:val="right"/>
            </w:pPr>
            <w:r>
              <w:t xml:space="preserve">- </w:t>
            </w:r>
            <w:r w:rsidRPr="0019173E">
              <w:t>27 922 460</w:t>
            </w:r>
          </w:p>
        </w:tc>
        <w:tc>
          <w:tcPr>
            <w:tcW w:w="2268" w:type="dxa"/>
            <w:noWrap/>
            <w:hideMark/>
          </w:tcPr>
          <w:p w14:paraId="3F3BB4AF" w14:textId="77777777" w:rsidR="008C14C8" w:rsidRPr="0019173E" w:rsidRDefault="008C14C8" w:rsidP="008E4F8B">
            <w:pPr>
              <w:jc w:val="right"/>
            </w:pPr>
            <w:r w:rsidRPr="0019173E">
              <w:t>-3%</w:t>
            </w:r>
          </w:p>
        </w:tc>
      </w:tr>
      <w:tr w:rsidR="008C14C8" w:rsidRPr="0019173E" w14:paraId="709D2361" w14:textId="77777777" w:rsidTr="008C14C8">
        <w:trPr>
          <w:trHeight w:val="375"/>
        </w:trPr>
        <w:tc>
          <w:tcPr>
            <w:tcW w:w="2266" w:type="dxa"/>
            <w:noWrap/>
            <w:hideMark/>
          </w:tcPr>
          <w:p w14:paraId="49528149" w14:textId="77777777" w:rsidR="008C14C8" w:rsidRPr="0019173E" w:rsidRDefault="008C14C8" w:rsidP="008E4F8B">
            <w:pPr>
              <w:jc w:val="left"/>
            </w:pPr>
            <w:r>
              <w:t>Ředitelství silnic a dálnic</w:t>
            </w:r>
          </w:p>
        </w:tc>
        <w:tc>
          <w:tcPr>
            <w:tcW w:w="2407" w:type="dxa"/>
            <w:noWrap/>
            <w:hideMark/>
          </w:tcPr>
          <w:p w14:paraId="7D36A88E" w14:textId="77777777" w:rsidR="008C14C8" w:rsidRPr="0019173E" w:rsidRDefault="008C14C8" w:rsidP="008E4F8B">
            <w:pPr>
              <w:spacing w:after="0"/>
              <w:jc w:val="right"/>
            </w:pPr>
            <w:r>
              <w:rPr>
                <w:rFonts w:cs="Calibri"/>
                <w:color w:val="000000"/>
                <w:sz w:val="22"/>
                <w:szCs w:val="22"/>
              </w:rPr>
              <w:t>154 928 75</w:t>
            </w:r>
          </w:p>
        </w:tc>
        <w:tc>
          <w:tcPr>
            <w:tcW w:w="2126" w:type="dxa"/>
            <w:noWrap/>
            <w:hideMark/>
          </w:tcPr>
          <w:p w14:paraId="34ED4407" w14:textId="77777777" w:rsidR="008C14C8" w:rsidRPr="0019173E" w:rsidRDefault="008C14C8" w:rsidP="008E4F8B">
            <w:pPr>
              <w:jc w:val="right"/>
            </w:pPr>
            <w:r>
              <w:t xml:space="preserve">- </w:t>
            </w:r>
            <w:r w:rsidRPr="0019173E">
              <w:t>1 756 536</w:t>
            </w:r>
          </w:p>
        </w:tc>
        <w:tc>
          <w:tcPr>
            <w:tcW w:w="2268" w:type="dxa"/>
            <w:noWrap/>
            <w:hideMark/>
          </w:tcPr>
          <w:p w14:paraId="0D577E83" w14:textId="77777777" w:rsidR="008C14C8" w:rsidRPr="0019173E" w:rsidRDefault="008C14C8" w:rsidP="008E4F8B">
            <w:pPr>
              <w:jc w:val="right"/>
            </w:pPr>
            <w:r w:rsidRPr="0019173E">
              <w:t>-11%</w:t>
            </w:r>
          </w:p>
        </w:tc>
      </w:tr>
      <w:tr w:rsidR="008C14C8" w:rsidRPr="0019173E" w14:paraId="1CDFD290" w14:textId="77777777" w:rsidTr="008C14C8">
        <w:trPr>
          <w:trHeight w:val="375"/>
        </w:trPr>
        <w:tc>
          <w:tcPr>
            <w:tcW w:w="2266" w:type="dxa"/>
            <w:shd w:val="clear" w:color="auto" w:fill="D9D9D9" w:themeFill="background1" w:themeFillShade="D9"/>
            <w:noWrap/>
            <w:hideMark/>
          </w:tcPr>
          <w:p w14:paraId="57633E7E" w14:textId="77777777" w:rsidR="008C14C8" w:rsidRPr="008E4F8B" w:rsidRDefault="008C14C8" w:rsidP="008E4F8B">
            <w:pPr>
              <w:pStyle w:val="Prosttext"/>
              <w:jc w:val="left"/>
              <w:rPr>
                <w:b/>
              </w:rPr>
            </w:pPr>
            <w:r w:rsidRPr="008E4F8B">
              <w:rPr>
                <w:b/>
              </w:rPr>
              <w:t>CELKEM</w:t>
            </w:r>
          </w:p>
        </w:tc>
        <w:tc>
          <w:tcPr>
            <w:tcW w:w="2407" w:type="dxa"/>
            <w:shd w:val="clear" w:color="auto" w:fill="D9D9D9" w:themeFill="background1" w:themeFillShade="D9"/>
            <w:noWrap/>
            <w:hideMark/>
          </w:tcPr>
          <w:p w14:paraId="1561442A" w14:textId="77777777" w:rsidR="008C14C8" w:rsidRPr="008E4F8B" w:rsidRDefault="008C14C8" w:rsidP="008E4F8B">
            <w:pPr>
              <w:pStyle w:val="Prosttext"/>
              <w:jc w:val="right"/>
              <w:rPr>
                <w:b/>
              </w:rPr>
            </w:pPr>
            <w:r w:rsidRPr="008E4F8B">
              <w:rPr>
                <w:b/>
              </w:rPr>
              <w:t>1 117 542 180</w:t>
            </w:r>
          </w:p>
        </w:tc>
        <w:tc>
          <w:tcPr>
            <w:tcW w:w="2126" w:type="dxa"/>
            <w:shd w:val="clear" w:color="auto" w:fill="D9D9D9" w:themeFill="background1" w:themeFillShade="D9"/>
            <w:noWrap/>
            <w:hideMark/>
          </w:tcPr>
          <w:p w14:paraId="4F80B14F" w14:textId="77777777" w:rsidR="008C14C8" w:rsidRPr="008E4F8B" w:rsidRDefault="008C14C8" w:rsidP="008E4F8B">
            <w:pPr>
              <w:pStyle w:val="Prosttext"/>
              <w:jc w:val="right"/>
              <w:rPr>
                <w:b/>
              </w:rPr>
            </w:pPr>
            <w:r w:rsidRPr="008E4F8B">
              <w:rPr>
                <w:b/>
              </w:rPr>
              <w:t>201 980 505</w:t>
            </w:r>
          </w:p>
        </w:tc>
        <w:tc>
          <w:tcPr>
            <w:tcW w:w="2268" w:type="dxa"/>
            <w:shd w:val="clear" w:color="auto" w:fill="D9D9D9" w:themeFill="background1" w:themeFillShade="D9"/>
            <w:noWrap/>
            <w:hideMark/>
          </w:tcPr>
          <w:p w14:paraId="171F0A6E" w14:textId="77777777" w:rsidR="008C14C8" w:rsidRPr="008E4F8B" w:rsidRDefault="008C14C8" w:rsidP="008E4F8B">
            <w:pPr>
              <w:pStyle w:val="Prosttext"/>
              <w:jc w:val="right"/>
              <w:rPr>
                <w:b/>
              </w:rPr>
            </w:pPr>
            <w:r w:rsidRPr="008E4F8B">
              <w:rPr>
                <w:b/>
              </w:rPr>
              <w:t>-18%</w:t>
            </w:r>
          </w:p>
        </w:tc>
      </w:tr>
    </w:tbl>
    <w:p w14:paraId="519DA56B" w14:textId="77777777" w:rsidR="008C14C8" w:rsidRDefault="008C14C8" w:rsidP="008C14C8"/>
    <w:p w14:paraId="27DFE22C" w14:textId="4461F73D" w:rsidR="008C14C8" w:rsidRDefault="008C14C8" w:rsidP="008C14C8">
      <w:r>
        <w:t xml:space="preserve">Vzniklou ztrátu se MD ve spolupráci se Správou železnic </w:t>
      </w:r>
      <w:r w:rsidR="00C65934">
        <w:t xml:space="preserve">snaží kompenzovat </w:t>
      </w:r>
      <w:r>
        <w:t xml:space="preserve">schválením nových projektů. V první výzvě na dočerpání prostředků v kohezní obálce byly podpořeny 2 projekty Správy železnic s příspěvkem CEF ve výši </w:t>
      </w:r>
      <w:r w:rsidRPr="008C14C8">
        <w:t>183 254</w:t>
      </w:r>
      <w:r>
        <w:t> </w:t>
      </w:r>
      <w:r w:rsidRPr="008C14C8">
        <w:t>063</w:t>
      </w:r>
      <w:r>
        <w:t xml:space="preserve"> EUR.</w:t>
      </w:r>
      <w:r w:rsidRPr="008C14C8">
        <w:t xml:space="preserve">    </w:t>
      </w:r>
    </w:p>
    <w:p w14:paraId="52F485D4" w14:textId="77777777" w:rsidR="00DD48D5" w:rsidRDefault="00DD48D5" w:rsidP="00DD48D5">
      <w:pPr>
        <w:pStyle w:val="Nadpis3"/>
      </w:pPr>
      <w:r>
        <w:t>Zkušenosti příjemců</w:t>
      </w:r>
    </w:p>
    <w:p w14:paraId="09BEF9AD" w14:textId="77777777" w:rsidR="00291A33" w:rsidRDefault="00291A33" w:rsidP="00291A33">
      <w:r>
        <w:t>Příjemci byli osloveni ohledně zkušeností prostřednictvím jednoduchého dotazníku. Z šetření vyplynulo, že s implementací mají příjemci vesměs pozitivní zkušenosti, byť existují i určitá negativa.</w:t>
      </w:r>
    </w:p>
    <w:p w14:paraId="7E7D0549" w14:textId="77777777" w:rsidR="00291A33" w:rsidRDefault="00291A33" w:rsidP="00291A33">
      <w:pPr>
        <w:pStyle w:val="Podnadpis"/>
      </w:pPr>
      <w:r>
        <w:t>Výhody</w:t>
      </w:r>
    </w:p>
    <w:p w14:paraId="1D40BE81" w14:textId="77777777" w:rsidR="009D3D9C" w:rsidRDefault="00291A33" w:rsidP="009D3D9C">
      <w:pPr>
        <w:spacing w:after="160" w:line="256" w:lineRule="auto"/>
      </w:pPr>
      <w:r>
        <w:t xml:space="preserve">Příjemci si velmi chválí webové stránky INEA a zejména vstřícnost jejích pracovníků. </w:t>
      </w:r>
      <w:r w:rsidR="006D72A9">
        <w:t>Soukromé subjekty považují za přínosné poskytování zálohových plateb, které jim usnadňuje financování projektu.</w:t>
      </w:r>
      <w:r w:rsidR="009D3D9C">
        <w:t xml:space="preserve"> </w:t>
      </w:r>
    </w:p>
    <w:p w14:paraId="57D90D70" w14:textId="7D56ACDB" w:rsidR="009D3D9C" w:rsidRDefault="009D3D9C" w:rsidP="009D3D9C">
      <w:pPr>
        <w:spacing w:after="160" w:line="256" w:lineRule="auto"/>
      </w:pPr>
      <w:r>
        <w:t>Byť s určitými výhradami je p</w:t>
      </w:r>
      <w:r w:rsidR="007E0006">
        <w:t>ozitivem š</w:t>
      </w:r>
      <w:r w:rsidR="005E2ED1">
        <w:t xml:space="preserve">íře a </w:t>
      </w:r>
      <w:r w:rsidR="007E0006">
        <w:t xml:space="preserve">způsob specifikace </w:t>
      </w:r>
      <w:r w:rsidR="005E2ED1">
        <w:t>způsobilých výdajů</w:t>
      </w:r>
      <w:r w:rsidR="007E0006">
        <w:t xml:space="preserve">, která umožňuje </w:t>
      </w:r>
      <w:r>
        <w:t>navržení projektu podle potřeb žadatele</w:t>
      </w:r>
      <w:r w:rsidR="005E2ED1">
        <w:t>.</w:t>
      </w:r>
      <w:r>
        <w:t xml:space="preserve"> CEF rovněž umožňuje některé aktivity, které nejsou možné v Operačním programu Doprava</w:t>
      </w:r>
      <w:r w:rsidR="00184BDE">
        <w:t xml:space="preserve"> (OPD)</w:t>
      </w:r>
      <w:r>
        <w:t>. Je možné lépe zavádět inovativní řešení oproti OPD, neboť nasazené řešení je možné nejprve testovat a odladit předtím, než bude řešení zcela připraven</w:t>
      </w:r>
      <w:r w:rsidR="00D606EC">
        <w:t>o</w:t>
      </w:r>
      <w:r>
        <w:t xml:space="preserve"> pro masové nasazení. </w:t>
      </w:r>
    </w:p>
    <w:p w14:paraId="3CE572D4" w14:textId="03F1CB97" w:rsidR="009D3D9C" w:rsidRDefault="009D3D9C" w:rsidP="009D3D9C">
      <w:pPr>
        <w:spacing w:after="160" w:line="256" w:lineRule="auto"/>
      </w:pPr>
      <w:r>
        <w:t>V</w:t>
      </w:r>
      <w:r w:rsidR="00C65934">
        <w:t>elmi pozitivně</w:t>
      </w:r>
      <w:r>
        <w:t xml:space="preserve"> hodnotí příjemci informační systém T</w:t>
      </w:r>
      <w:r w:rsidR="005E2ED1">
        <w:t>ENTEC</w:t>
      </w:r>
      <w:r>
        <w:t xml:space="preserve"> sloužící pro administraci projektových žádostí a ASR</w:t>
      </w:r>
      <w:r w:rsidR="00C65934">
        <w:t>. P</w:t>
      </w:r>
      <w:r>
        <w:t xml:space="preserve">říjemci </w:t>
      </w:r>
      <w:r w:rsidR="00C65934">
        <w:t xml:space="preserve">ho </w:t>
      </w:r>
      <w:r>
        <w:t>navrhují rozšířit i na další implementační procesy.</w:t>
      </w:r>
    </w:p>
    <w:p w14:paraId="4973137F" w14:textId="77777777" w:rsidR="00291A33" w:rsidRDefault="00291A33" w:rsidP="00291A33">
      <w:pPr>
        <w:pStyle w:val="Podnadpis"/>
      </w:pPr>
      <w:r>
        <w:t>Nevýhody</w:t>
      </w:r>
    </w:p>
    <w:p w14:paraId="7C23EC4B" w14:textId="6EB51949" w:rsidR="00537F0B" w:rsidRDefault="00291A33" w:rsidP="00291A33">
      <w:r>
        <w:t>Jako pravděpodobně u všech dotačních programů si příjemci stěžují na množství informací, jejich kom</w:t>
      </w:r>
      <w:r w:rsidR="006D72A9">
        <w:t>plikovanost a nejednotný výklad, měnící se podmínky a někdy nedostatečn</w:t>
      </w:r>
      <w:r w:rsidR="008A3BD8">
        <w:t>ou</w:t>
      </w:r>
      <w:r w:rsidR="006D72A9">
        <w:t xml:space="preserve"> rychlost zodpovídání dotazů. </w:t>
      </w:r>
      <w:r w:rsidR="005E2ED1">
        <w:t>Příjemci realizující více projektů si stěžují na nejednotný přístup</w:t>
      </w:r>
      <w:r w:rsidR="00056F47">
        <w:t xml:space="preserve"> a nedostatečné metodické ukotvení.</w:t>
      </w:r>
      <w:r w:rsidR="009D3D9C">
        <w:t xml:space="preserve"> </w:t>
      </w:r>
      <w:r w:rsidR="006D72A9">
        <w:t>Poměrně dost negativ vidí příjemci na hodnocení projektů, které není příliš transparentní (vágní kritéria, omezená zpětná vazba).</w:t>
      </w:r>
      <w:r w:rsidR="009D3D9C">
        <w:t xml:space="preserve"> </w:t>
      </w:r>
    </w:p>
    <w:p w14:paraId="092CFCAD" w14:textId="77777777" w:rsidR="004E05DA" w:rsidRPr="00291A33" w:rsidRDefault="009D3D9C" w:rsidP="00291A33">
      <w:r>
        <w:t xml:space="preserve">Administrativně náročné je podávání </w:t>
      </w:r>
      <w:r w:rsidR="004E05DA">
        <w:t>ASR</w:t>
      </w:r>
      <w:r>
        <w:t xml:space="preserve"> (např. nutnost vypočítávat věcný pokrok všech aktivit projektu), ale alespoň probíhá jen </w:t>
      </w:r>
      <w:r w:rsidR="004E05DA">
        <w:t xml:space="preserve"> jednou ročně, což je pozitivní.</w:t>
      </w:r>
      <w:r>
        <w:t xml:space="preserve"> Za relativně málo náročnou považují příjemci naopak přípravu žádosti o platbu, ale ta by měla probíhat v TENTEC a měla by být provázána s ASR.</w:t>
      </w:r>
      <w:r w:rsidR="00537F0B">
        <w:t xml:space="preserve"> Problematický je také blending, který naráží na vysoce administrativně náročné vyjednávání s EIB.</w:t>
      </w:r>
    </w:p>
    <w:p w14:paraId="1DE61D0A" w14:textId="6715AB89" w:rsidR="00291A33" w:rsidRDefault="00537F0B" w:rsidP="00320B77">
      <w:r>
        <w:t xml:space="preserve">Komunikace s pracovníky </w:t>
      </w:r>
      <w:r w:rsidR="00AF734A">
        <w:t xml:space="preserve">MD </w:t>
      </w:r>
      <w:r>
        <w:t xml:space="preserve">je na dobré úrovni (někteří příjemci by ocenili rychlejší přípravu CEF 2), někteří žadatelé by ale ocenili rozšíření činnosti </w:t>
      </w:r>
      <w:r w:rsidR="00AF734A">
        <w:t>MD</w:t>
      </w:r>
      <w:r>
        <w:t xml:space="preserve">. </w:t>
      </w:r>
      <w:r w:rsidR="009D3D9C" w:rsidRPr="00BD3194">
        <w:t>Na národní úrovni není žádná webová stránka k</w:t>
      </w:r>
      <w:r w:rsidRPr="00BD3194">
        <w:t> </w:t>
      </w:r>
      <w:r w:rsidR="009D3D9C" w:rsidRPr="00BD3194">
        <w:t>CEFu</w:t>
      </w:r>
      <w:r w:rsidRPr="00BD3194">
        <w:t>, c</w:t>
      </w:r>
      <w:r w:rsidR="009D3D9C" w:rsidRPr="00BD3194">
        <w:t>hybí metodická podpora</w:t>
      </w:r>
      <w:r w:rsidRPr="00BD3194">
        <w:t xml:space="preserve">, větší možnost konzultovat problémy příjemců, větší podpora </w:t>
      </w:r>
      <w:r w:rsidR="00AF734A">
        <w:t>MD</w:t>
      </w:r>
      <w:r w:rsidR="00AF734A" w:rsidRPr="00BD3194">
        <w:t xml:space="preserve"> </w:t>
      </w:r>
      <w:r w:rsidRPr="00BD3194">
        <w:t>vůči INEA. Soukromí žadatelé upozorňují, že bez konzultačních společností není možné projekt realizovat</w:t>
      </w:r>
      <w:r>
        <w:t>.</w:t>
      </w:r>
    </w:p>
    <w:p w14:paraId="1FF4D835" w14:textId="77777777" w:rsidR="003976D1" w:rsidRDefault="00D75D7A" w:rsidP="00D75D7A">
      <w:pPr>
        <w:pStyle w:val="Nadpis2"/>
      </w:pPr>
      <w:r>
        <w:t>Energetika</w:t>
      </w:r>
      <w:r w:rsidR="009E4A4F">
        <w:t xml:space="preserve"> (CEF Energy)</w:t>
      </w:r>
    </w:p>
    <w:p w14:paraId="0F173F5A" w14:textId="77777777" w:rsidR="00D75D7A" w:rsidRPr="00D75D7A" w:rsidRDefault="00D75D7A" w:rsidP="00D75D7A">
      <w:r>
        <w:t xml:space="preserve">Stav implementace za CEF </w:t>
      </w:r>
      <w:r w:rsidR="006B4DD5">
        <w:t>- energetika</w:t>
      </w:r>
      <w:r>
        <w:t xml:space="preserve"> je zpracován MPO.</w:t>
      </w:r>
      <w:r w:rsidR="002963C9">
        <w:t xml:space="preserve"> </w:t>
      </w:r>
      <w:r w:rsidR="002963C9" w:rsidRPr="002963C9">
        <w:t>Materiál popisuje stav realizace CEF zejména z hlediska zapojení českých subjektů do čerpání podpory v energetice k 25. září 2020 a naznačuje očekávaný další vývoj implementace nástroje CEF.</w:t>
      </w:r>
    </w:p>
    <w:p w14:paraId="09E607DC" w14:textId="77777777" w:rsidR="002963C9" w:rsidRDefault="002963C9" w:rsidP="002963C9">
      <w:pPr>
        <w:pStyle w:val="Nadpis3"/>
      </w:pPr>
      <w:r w:rsidRPr="002963C9">
        <w:t>Vyhodnocení výzev v CEF v odvětví energetiky</w:t>
      </w:r>
    </w:p>
    <w:p w14:paraId="58C8442F" w14:textId="77777777" w:rsidR="002963C9" w:rsidRDefault="002963C9" w:rsidP="002963C9">
      <w:r>
        <w:t>Implementace CEF v oblasti energetiky probíhá prostřednictvím financování předem vybraných projektů společného zájmu (Projects of Common Interest</w:t>
      </w:r>
      <w:r w:rsidR="00533E39">
        <w:t xml:space="preserve"> - PCI</w:t>
      </w:r>
      <w:r>
        <w:t>). Seznam projektů (unijního) společného zájmu je každé dva roky aktualizován na základě analýzy potřeb jednotného energetického trhu. Aktuálně je platný seznam projektů společného zájmu na roky 2020 a 2021 (v platnosti od 31. března 2020).</w:t>
      </w:r>
    </w:p>
    <w:p w14:paraId="15ECA0EF" w14:textId="6131AD5F" w:rsidR="002963C9" w:rsidRDefault="002963C9" w:rsidP="002963C9">
      <w:r>
        <w:t>V prvních dvou seznamech PCI</w:t>
      </w:r>
      <w:r w:rsidR="00983891">
        <w:t xml:space="preserve"> </w:t>
      </w:r>
      <w:r>
        <w:t xml:space="preserve"> v oblasti elektroenergetiky (Nařízení Komise (EU) č. 1391/2013, Nařízení Komise (EU) č. 2016/89) měla ČR celkem 5 projektů. Všechny projekty v seznamech zahrnují pouze vnitrostátní vedení s omezeným/nepřímým vlivem na přeshraniční kapacitu sousedních států (DE, AT, SK a PL). Skutečnost, že se jedná o vnitrostátní vedení, má negativní vliv na možnost žádat dotace na realizace staveb</w:t>
      </w:r>
      <w:r w:rsidR="00C65934">
        <w:t xml:space="preserve"> („works“)</w:t>
      </w:r>
      <w:r>
        <w:t>, které tvoří většinový podíl z částky finančních prostředků alokovaných na dotace k projektům PCI (dle informací agentury INEA z června 2017 bylo poskytnuto pro studie celkem 266,9 mil. EUR oproti  1300 mil. EUR pro „</w:t>
      </w:r>
      <w:r w:rsidR="00D606EC">
        <w:t>w</w:t>
      </w:r>
      <w:r>
        <w:t>orks“).  U realizací staveb je totiž jednou z podmínek nutných pro přidělení dotace získání rozhodnutí o přidělení  tzv. přeshraničního rozdělení nákladů (cross-border cost allocation, „CBCA“). Při rozhodování o tomto přeshraničním rozdělení nákladů jsou zohledněny hospodářské, sociální a environmentální náklady a přínosy projektů v dotčených členských státech a potenciální potřeba finanční podpory. V procesu rozhodování o přeshraničním rozdělení nákladů usilují příslušné vnitrostátní regulační orgány, po konzultaci s dotčenými provozovateli přenosových a přepravních soustav, o vzájemnou dohodu. Vzhledem k očekávaným problémům souvisejícím zejména s nutností prokázaní dopadů týkajících se síťových sazeb na každý dotčený členský stát včetně prokázání pozitivní regionální nebo celounijní externality, které by projekt přinesl, předkladatel projektů (ČEPS, a.s.), po diskuzi s Energetickým regulačním úřadem (ERÚ) žádosti o dotace na realizace akcí nepodávala a omezila se pouze na žádosti o dotace na tzv. studie („studies“), kde výše uvedena podmínka o přidělení CBCA není vyžadována.</w:t>
      </w:r>
    </w:p>
    <w:p w14:paraId="31E6ACD8" w14:textId="77777777" w:rsidR="002963C9" w:rsidRDefault="002963C9" w:rsidP="002963C9">
      <w:r>
        <w:t xml:space="preserve">Ve třetím seznamu PCI, Nařízení Komise (EU) č. 2018/540, pro roky 2018/2019 došlo ke změně v oblasti elektroenergetiky oproti minulým seznamům PCI. Došlo k vyřazení vedení Mírovka – Čebín a „rozdělení“ vedení „Kočín – Mírovka – smyčka na vedení V 413“ na dva projekty. Celkový počet projektů společnosti ČEPS, a.s., zůstal nezměněn, nicméně nový seznam PCI je fakticky o jedno vedení kratší. Nově v oblasti Smart Grids získala </w:t>
      </w:r>
      <w:proofErr w:type="gramStart"/>
      <w:r>
        <w:t>společnost E.ON</w:t>
      </w:r>
      <w:proofErr w:type="gramEnd"/>
      <w:r>
        <w:t xml:space="preserve"> Distribuce, a.s., status PCI u projektu ACON (Again Connected Networks). Jedná se o přeshraniční projekt na úrovni distribuční soustavy se Slovenskem. </w:t>
      </w:r>
    </w:p>
    <w:p w14:paraId="7981A0E6" w14:textId="77777777" w:rsidR="002963C9" w:rsidRDefault="002963C9" w:rsidP="002963C9">
      <w:r>
        <w:t xml:space="preserve">V dosud vyhlášených výzvách v letech 2014-2019 uspělo v energetice celkem devět žádostí v celkovém objemu cca 51,9 mil. EUR z celkového objemu 5 350 mil. EUR v energetické části CEF, což představuje přibližně 1 % (viz Tab. </w:t>
      </w:r>
      <w:proofErr w:type="gramStart"/>
      <w:r>
        <w:t>č.</w:t>
      </w:r>
      <w:proofErr w:type="gramEnd"/>
      <w:r>
        <w:t xml:space="preserve"> 1: Přehled projektů vybraných ke spolufinancování z energetické části CEF). </w:t>
      </w:r>
    </w:p>
    <w:p w14:paraId="7D068DDD" w14:textId="6888AA02" w:rsidR="002963C9" w:rsidRDefault="002963C9" w:rsidP="002963C9">
      <w:r>
        <w:t xml:space="preserve">Ve výzvě CEF vypsané v roce 2018 uspěl projekt ACON Smart Grids. Jedná se o mezinárodní projekt realizovaný </w:t>
      </w:r>
      <w:proofErr w:type="gramStart"/>
      <w:r>
        <w:t>společnostmi E.ON</w:t>
      </w:r>
      <w:proofErr w:type="gramEnd"/>
      <w:r>
        <w:t xml:space="preserve"> Distribuce, a.s</w:t>
      </w:r>
      <w:r w:rsidR="00C65934">
        <w:t>.</w:t>
      </w:r>
      <w:r>
        <w:t xml:space="preserve"> a Západoslovenská distribučná a.s., podporovaný společnostmi ČEPS a SEPS. Celková částka z fondu CEF činila cca 91 mil. EUR (z toho pro českou stranu cca 45,3 mil. EUR). Cílem je podpořit rozvoj chytrých distribučních soustav. </w:t>
      </w:r>
    </w:p>
    <w:p w14:paraId="2B7CEB7A" w14:textId="4BCD11A4" w:rsidR="00354250" w:rsidRPr="00354250" w:rsidRDefault="00354250" w:rsidP="00354250">
      <w:r>
        <w:t>Tabulka 9: Přehled projektů vybraných ke spolufinancování z energetické části CEF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
        <w:gridCol w:w="2385"/>
        <w:gridCol w:w="2925"/>
        <w:gridCol w:w="1330"/>
        <w:gridCol w:w="2105"/>
      </w:tblGrid>
      <w:tr w:rsidR="00354250" w14:paraId="56213DD1"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29D8BD9" w14:textId="77777777" w:rsidR="00354250" w:rsidRPr="00E651FA" w:rsidRDefault="00354250" w:rsidP="00354250">
            <w:pPr>
              <w:jc w:val="left"/>
              <w:rPr>
                <w:b/>
                <w:sz w:val="20"/>
              </w:rPr>
            </w:pPr>
          </w:p>
        </w:tc>
        <w:tc>
          <w:tcPr>
            <w:tcW w:w="2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10AC3D2" w14:textId="77777777" w:rsidR="00354250" w:rsidRPr="00E651FA" w:rsidRDefault="00354250" w:rsidP="00354250">
            <w:pPr>
              <w:jc w:val="left"/>
              <w:rPr>
                <w:b/>
                <w:sz w:val="20"/>
              </w:rPr>
            </w:pPr>
            <w:r w:rsidRPr="00E651FA">
              <w:rPr>
                <w:b/>
                <w:sz w:val="20"/>
              </w:rPr>
              <w:t>Název projektu</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5072DC6" w14:textId="77777777" w:rsidR="00354250" w:rsidRPr="00E651FA" w:rsidRDefault="00354250" w:rsidP="00354250">
            <w:pPr>
              <w:jc w:val="left"/>
              <w:rPr>
                <w:b/>
                <w:sz w:val="20"/>
              </w:rPr>
            </w:pPr>
            <w:r w:rsidRPr="00E651FA">
              <w:rPr>
                <w:b/>
                <w:sz w:val="20"/>
              </w:rPr>
              <w:t>Název akce</w:t>
            </w:r>
          </w:p>
        </w:tc>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F73E0A5" w14:textId="77777777" w:rsidR="00354250" w:rsidRPr="00E651FA" w:rsidRDefault="00354250" w:rsidP="00354250">
            <w:pPr>
              <w:jc w:val="left"/>
              <w:rPr>
                <w:b/>
                <w:sz w:val="20"/>
              </w:rPr>
            </w:pPr>
            <w:r w:rsidRPr="00E651FA">
              <w:rPr>
                <w:b/>
                <w:sz w:val="20"/>
              </w:rPr>
              <w:t>Příjemce</w:t>
            </w:r>
          </w:p>
        </w:tc>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B7DDA01" w14:textId="77777777" w:rsidR="00354250" w:rsidRPr="00E651FA" w:rsidRDefault="00354250" w:rsidP="00354250">
            <w:pPr>
              <w:jc w:val="left"/>
              <w:rPr>
                <w:b/>
                <w:sz w:val="20"/>
              </w:rPr>
            </w:pPr>
            <w:r w:rsidRPr="00E651FA">
              <w:rPr>
                <w:b/>
                <w:sz w:val="20"/>
              </w:rPr>
              <w:t>Výše příspěvku z CEF v EUR</w:t>
            </w:r>
          </w:p>
        </w:tc>
      </w:tr>
      <w:tr w:rsidR="00354250" w14:paraId="293C0D14"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544D52AA" w14:textId="77777777" w:rsidR="00354250" w:rsidRPr="00E651FA" w:rsidRDefault="00354250" w:rsidP="00354250">
            <w:pPr>
              <w:jc w:val="left"/>
              <w:rPr>
                <w:sz w:val="20"/>
              </w:rPr>
            </w:pPr>
            <w:r w:rsidRPr="00E651FA">
              <w:rPr>
                <w:sz w:val="20"/>
              </w:rPr>
              <w:t>1</w:t>
            </w:r>
          </w:p>
        </w:tc>
        <w:tc>
          <w:tcPr>
            <w:tcW w:w="2385" w:type="dxa"/>
            <w:tcBorders>
              <w:top w:val="single" w:sz="4" w:space="0" w:color="auto"/>
              <w:left w:val="single" w:sz="4" w:space="0" w:color="auto"/>
              <w:bottom w:val="single" w:sz="4" w:space="0" w:color="auto"/>
              <w:right w:val="single" w:sz="4" w:space="0" w:color="auto"/>
            </w:tcBorders>
            <w:noWrap/>
            <w:hideMark/>
          </w:tcPr>
          <w:p w14:paraId="3569387F" w14:textId="77777777" w:rsidR="00354250" w:rsidRPr="00E651FA" w:rsidRDefault="00354250" w:rsidP="00354250">
            <w:pPr>
              <w:jc w:val="left"/>
              <w:rPr>
                <w:sz w:val="20"/>
              </w:rPr>
            </w:pPr>
            <w:r w:rsidRPr="00E651FA">
              <w:rPr>
                <w:sz w:val="20"/>
              </w:rPr>
              <w:t>Spojení Vernéřov - Vítkov</w:t>
            </w:r>
          </w:p>
        </w:tc>
        <w:tc>
          <w:tcPr>
            <w:tcW w:w="2925" w:type="dxa"/>
            <w:tcBorders>
              <w:top w:val="single" w:sz="4" w:space="0" w:color="auto"/>
              <w:left w:val="single" w:sz="4" w:space="0" w:color="auto"/>
              <w:bottom w:val="single" w:sz="4" w:space="0" w:color="auto"/>
              <w:right w:val="single" w:sz="4" w:space="0" w:color="auto"/>
            </w:tcBorders>
            <w:noWrap/>
            <w:hideMark/>
          </w:tcPr>
          <w:p w14:paraId="20A939D4" w14:textId="77777777" w:rsidR="00354250" w:rsidRPr="00E651FA" w:rsidRDefault="00354250" w:rsidP="00354250">
            <w:pPr>
              <w:jc w:val="left"/>
              <w:rPr>
                <w:sz w:val="20"/>
              </w:rPr>
            </w:pPr>
            <w:r w:rsidRPr="00E651FA">
              <w:rPr>
                <w:sz w:val="20"/>
              </w:rPr>
              <w:t>Přípravná dokumentace a studie</w:t>
            </w:r>
          </w:p>
        </w:tc>
        <w:tc>
          <w:tcPr>
            <w:tcW w:w="1330" w:type="dxa"/>
            <w:tcBorders>
              <w:top w:val="single" w:sz="4" w:space="0" w:color="auto"/>
              <w:left w:val="single" w:sz="4" w:space="0" w:color="auto"/>
              <w:bottom w:val="single" w:sz="4" w:space="0" w:color="auto"/>
              <w:right w:val="single" w:sz="4" w:space="0" w:color="auto"/>
            </w:tcBorders>
            <w:noWrap/>
            <w:hideMark/>
          </w:tcPr>
          <w:p w14:paraId="171C3DC1" w14:textId="77777777" w:rsidR="00354250" w:rsidRPr="00E651FA" w:rsidRDefault="00354250" w:rsidP="00354250">
            <w:pPr>
              <w:jc w:val="left"/>
              <w:rPr>
                <w:sz w:val="20"/>
              </w:rPr>
            </w:pPr>
            <w:r w:rsidRPr="00E651FA">
              <w:rPr>
                <w:sz w:val="20"/>
              </w:rPr>
              <w:t>ČEPS</w:t>
            </w:r>
          </w:p>
        </w:tc>
        <w:tc>
          <w:tcPr>
            <w:tcW w:w="2105" w:type="dxa"/>
            <w:tcBorders>
              <w:top w:val="single" w:sz="4" w:space="0" w:color="auto"/>
              <w:left w:val="single" w:sz="4" w:space="0" w:color="auto"/>
              <w:bottom w:val="single" w:sz="4" w:space="0" w:color="auto"/>
              <w:right w:val="single" w:sz="4" w:space="0" w:color="auto"/>
            </w:tcBorders>
            <w:noWrap/>
            <w:hideMark/>
          </w:tcPr>
          <w:p w14:paraId="3179D062" w14:textId="77777777" w:rsidR="00354250" w:rsidRPr="00E651FA" w:rsidRDefault="00354250" w:rsidP="00354250">
            <w:pPr>
              <w:jc w:val="left"/>
              <w:rPr>
                <w:sz w:val="20"/>
              </w:rPr>
            </w:pPr>
            <w:r w:rsidRPr="00E651FA">
              <w:rPr>
                <w:sz w:val="20"/>
              </w:rPr>
              <w:t>1 013 024</w:t>
            </w:r>
          </w:p>
        </w:tc>
      </w:tr>
      <w:tr w:rsidR="00354250" w14:paraId="76B27ACB"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7FCE8B0F" w14:textId="77777777" w:rsidR="00354250" w:rsidRPr="00E651FA" w:rsidRDefault="00354250" w:rsidP="00354250">
            <w:pPr>
              <w:jc w:val="left"/>
              <w:rPr>
                <w:sz w:val="20"/>
              </w:rPr>
            </w:pPr>
            <w:r w:rsidRPr="00E651FA">
              <w:rPr>
                <w:sz w:val="20"/>
              </w:rPr>
              <w:t>2</w:t>
            </w:r>
          </w:p>
        </w:tc>
        <w:tc>
          <w:tcPr>
            <w:tcW w:w="2385" w:type="dxa"/>
            <w:tcBorders>
              <w:top w:val="single" w:sz="4" w:space="0" w:color="auto"/>
              <w:left w:val="single" w:sz="4" w:space="0" w:color="auto"/>
              <w:bottom w:val="single" w:sz="4" w:space="0" w:color="auto"/>
              <w:right w:val="single" w:sz="4" w:space="0" w:color="auto"/>
            </w:tcBorders>
            <w:noWrap/>
            <w:hideMark/>
          </w:tcPr>
          <w:p w14:paraId="31B9B3A3" w14:textId="77777777" w:rsidR="00354250" w:rsidRPr="00E651FA" w:rsidRDefault="00354250" w:rsidP="00354250">
            <w:pPr>
              <w:jc w:val="left"/>
              <w:rPr>
                <w:sz w:val="20"/>
              </w:rPr>
            </w:pPr>
            <w:r w:rsidRPr="00E651FA">
              <w:rPr>
                <w:sz w:val="20"/>
              </w:rPr>
              <w:t>STORK II (spojení PL – CZ)</w:t>
            </w:r>
          </w:p>
        </w:tc>
        <w:tc>
          <w:tcPr>
            <w:tcW w:w="2925" w:type="dxa"/>
            <w:tcBorders>
              <w:top w:val="single" w:sz="4" w:space="0" w:color="auto"/>
              <w:left w:val="single" w:sz="4" w:space="0" w:color="auto"/>
              <w:bottom w:val="single" w:sz="4" w:space="0" w:color="auto"/>
              <w:right w:val="single" w:sz="4" w:space="0" w:color="auto"/>
            </w:tcBorders>
            <w:noWrap/>
            <w:hideMark/>
          </w:tcPr>
          <w:p w14:paraId="3C2D515A" w14:textId="77777777" w:rsidR="00354250" w:rsidRPr="00E651FA" w:rsidRDefault="00354250" w:rsidP="00354250">
            <w:pPr>
              <w:jc w:val="left"/>
              <w:rPr>
                <w:sz w:val="20"/>
              </w:rPr>
            </w:pPr>
            <w:r w:rsidRPr="00E651FA">
              <w:rPr>
                <w:sz w:val="20"/>
              </w:rPr>
              <w:t>Přípravná dokumentace a studie</w:t>
            </w:r>
          </w:p>
        </w:tc>
        <w:tc>
          <w:tcPr>
            <w:tcW w:w="1330" w:type="dxa"/>
            <w:tcBorders>
              <w:top w:val="single" w:sz="4" w:space="0" w:color="auto"/>
              <w:left w:val="single" w:sz="4" w:space="0" w:color="auto"/>
              <w:bottom w:val="single" w:sz="4" w:space="0" w:color="auto"/>
              <w:right w:val="single" w:sz="4" w:space="0" w:color="auto"/>
            </w:tcBorders>
            <w:noWrap/>
            <w:hideMark/>
          </w:tcPr>
          <w:p w14:paraId="3196BB12" w14:textId="77777777" w:rsidR="00354250" w:rsidRPr="00E651FA" w:rsidRDefault="00354250" w:rsidP="00354250">
            <w:pPr>
              <w:jc w:val="left"/>
              <w:rPr>
                <w:sz w:val="20"/>
              </w:rPr>
            </w:pPr>
            <w:r w:rsidRPr="00E651FA">
              <w:rPr>
                <w:sz w:val="20"/>
              </w:rPr>
              <w:t>NET4GAS</w:t>
            </w:r>
          </w:p>
        </w:tc>
        <w:tc>
          <w:tcPr>
            <w:tcW w:w="2105" w:type="dxa"/>
            <w:tcBorders>
              <w:top w:val="single" w:sz="4" w:space="0" w:color="auto"/>
              <w:left w:val="single" w:sz="4" w:space="0" w:color="auto"/>
              <w:bottom w:val="single" w:sz="4" w:space="0" w:color="auto"/>
              <w:right w:val="single" w:sz="4" w:space="0" w:color="auto"/>
            </w:tcBorders>
            <w:noWrap/>
            <w:hideMark/>
          </w:tcPr>
          <w:p w14:paraId="7E935F0D" w14:textId="77777777" w:rsidR="00354250" w:rsidRPr="00E651FA" w:rsidRDefault="00354250" w:rsidP="00354250">
            <w:pPr>
              <w:jc w:val="left"/>
              <w:rPr>
                <w:sz w:val="20"/>
              </w:rPr>
            </w:pPr>
            <w:r w:rsidRPr="00E651FA">
              <w:rPr>
                <w:sz w:val="20"/>
              </w:rPr>
              <w:t>927 250</w:t>
            </w:r>
          </w:p>
        </w:tc>
      </w:tr>
      <w:tr w:rsidR="00354250" w14:paraId="2A17BDCD"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381DAE5D" w14:textId="77777777" w:rsidR="00354250" w:rsidRPr="00E651FA" w:rsidRDefault="00354250" w:rsidP="00354250">
            <w:pPr>
              <w:jc w:val="left"/>
              <w:rPr>
                <w:sz w:val="20"/>
              </w:rPr>
            </w:pPr>
            <w:r w:rsidRPr="00E651FA">
              <w:rPr>
                <w:sz w:val="20"/>
              </w:rPr>
              <w:t>3</w:t>
            </w:r>
          </w:p>
        </w:tc>
        <w:tc>
          <w:tcPr>
            <w:tcW w:w="2385" w:type="dxa"/>
            <w:tcBorders>
              <w:top w:val="single" w:sz="4" w:space="0" w:color="auto"/>
              <w:left w:val="single" w:sz="4" w:space="0" w:color="auto"/>
              <w:bottom w:val="single" w:sz="4" w:space="0" w:color="auto"/>
              <w:right w:val="single" w:sz="4" w:space="0" w:color="auto"/>
            </w:tcBorders>
            <w:noWrap/>
            <w:hideMark/>
          </w:tcPr>
          <w:p w14:paraId="65B6FFEC" w14:textId="77777777" w:rsidR="00354250" w:rsidRPr="00E651FA" w:rsidRDefault="00354250" w:rsidP="00354250">
            <w:pPr>
              <w:jc w:val="left"/>
              <w:rPr>
                <w:sz w:val="20"/>
              </w:rPr>
            </w:pPr>
            <w:r w:rsidRPr="00E651FA">
              <w:rPr>
                <w:sz w:val="20"/>
              </w:rPr>
              <w:t>BACI (spojení AT - CZ)</w:t>
            </w:r>
          </w:p>
        </w:tc>
        <w:tc>
          <w:tcPr>
            <w:tcW w:w="2925" w:type="dxa"/>
            <w:tcBorders>
              <w:top w:val="single" w:sz="4" w:space="0" w:color="auto"/>
              <w:left w:val="single" w:sz="4" w:space="0" w:color="auto"/>
              <w:bottom w:val="single" w:sz="4" w:space="0" w:color="auto"/>
              <w:right w:val="single" w:sz="4" w:space="0" w:color="auto"/>
            </w:tcBorders>
            <w:noWrap/>
            <w:hideMark/>
          </w:tcPr>
          <w:p w14:paraId="3884EE48" w14:textId="77777777" w:rsidR="00354250" w:rsidRPr="00E651FA" w:rsidRDefault="00354250" w:rsidP="00354250">
            <w:pPr>
              <w:jc w:val="left"/>
              <w:rPr>
                <w:sz w:val="20"/>
              </w:rPr>
            </w:pPr>
            <w:r w:rsidRPr="00E651FA">
              <w:rPr>
                <w:sz w:val="20"/>
              </w:rPr>
              <w:t>Přípravná dokumentace a studie</w:t>
            </w:r>
          </w:p>
        </w:tc>
        <w:tc>
          <w:tcPr>
            <w:tcW w:w="1330" w:type="dxa"/>
            <w:tcBorders>
              <w:top w:val="single" w:sz="4" w:space="0" w:color="auto"/>
              <w:left w:val="single" w:sz="4" w:space="0" w:color="auto"/>
              <w:bottom w:val="single" w:sz="4" w:space="0" w:color="auto"/>
              <w:right w:val="single" w:sz="4" w:space="0" w:color="auto"/>
            </w:tcBorders>
            <w:noWrap/>
            <w:hideMark/>
          </w:tcPr>
          <w:p w14:paraId="5EB6090F" w14:textId="77777777" w:rsidR="00354250" w:rsidRPr="00E651FA" w:rsidRDefault="00354250" w:rsidP="00354250">
            <w:pPr>
              <w:jc w:val="left"/>
              <w:rPr>
                <w:sz w:val="20"/>
              </w:rPr>
            </w:pPr>
            <w:r w:rsidRPr="00E651FA">
              <w:rPr>
                <w:sz w:val="20"/>
              </w:rPr>
              <w:t>NET4GAS</w:t>
            </w:r>
          </w:p>
        </w:tc>
        <w:tc>
          <w:tcPr>
            <w:tcW w:w="2105" w:type="dxa"/>
            <w:tcBorders>
              <w:top w:val="single" w:sz="4" w:space="0" w:color="auto"/>
              <w:left w:val="single" w:sz="4" w:space="0" w:color="auto"/>
              <w:bottom w:val="single" w:sz="4" w:space="0" w:color="auto"/>
              <w:right w:val="single" w:sz="4" w:space="0" w:color="auto"/>
            </w:tcBorders>
            <w:noWrap/>
            <w:hideMark/>
          </w:tcPr>
          <w:p w14:paraId="08867A8A" w14:textId="77777777" w:rsidR="00354250" w:rsidRPr="00E651FA" w:rsidRDefault="00354250" w:rsidP="00354250">
            <w:pPr>
              <w:jc w:val="left"/>
              <w:rPr>
                <w:sz w:val="20"/>
              </w:rPr>
            </w:pPr>
            <w:r w:rsidRPr="00E651FA">
              <w:rPr>
                <w:sz w:val="20"/>
              </w:rPr>
              <w:t>30 845</w:t>
            </w:r>
          </w:p>
        </w:tc>
      </w:tr>
      <w:tr w:rsidR="00354250" w14:paraId="1070B7C4"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6BD927C1" w14:textId="77777777" w:rsidR="00354250" w:rsidRPr="00E651FA" w:rsidRDefault="00354250" w:rsidP="00354250">
            <w:pPr>
              <w:jc w:val="left"/>
              <w:rPr>
                <w:sz w:val="20"/>
              </w:rPr>
            </w:pPr>
            <w:r w:rsidRPr="00E651FA">
              <w:rPr>
                <w:sz w:val="20"/>
              </w:rPr>
              <w:t>4</w:t>
            </w:r>
          </w:p>
        </w:tc>
        <w:tc>
          <w:tcPr>
            <w:tcW w:w="2385" w:type="dxa"/>
            <w:tcBorders>
              <w:top w:val="single" w:sz="4" w:space="0" w:color="auto"/>
              <w:left w:val="single" w:sz="4" w:space="0" w:color="auto"/>
              <w:bottom w:val="single" w:sz="4" w:space="0" w:color="auto"/>
              <w:right w:val="single" w:sz="4" w:space="0" w:color="auto"/>
            </w:tcBorders>
            <w:noWrap/>
            <w:hideMark/>
          </w:tcPr>
          <w:p w14:paraId="04D6FF7E" w14:textId="77777777" w:rsidR="00354250" w:rsidRPr="00E651FA" w:rsidRDefault="00354250" w:rsidP="00354250">
            <w:pPr>
              <w:jc w:val="left"/>
              <w:rPr>
                <w:sz w:val="20"/>
              </w:rPr>
            </w:pPr>
            <w:r w:rsidRPr="00E651FA">
              <w:rPr>
                <w:sz w:val="20"/>
              </w:rPr>
              <w:t>Spojení Vernéřov - Vítkov</w:t>
            </w:r>
          </w:p>
        </w:tc>
        <w:tc>
          <w:tcPr>
            <w:tcW w:w="2925" w:type="dxa"/>
            <w:tcBorders>
              <w:top w:val="single" w:sz="4" w:space="0" w:color="auto"/>
              <w:left w:val="single" w:sz="4" w:space="0" w:color="auto"/>
              <w:bottom w:val="single" w:sz="4" w:space="0" w:color="auto"/>
              <w:right w:val="single" w:sz="4" w:space="0" w:color="auto"/>
            </w:tcBorders>
            <w:noWrap/>
            <w:hideMark/>
          </w:tcPr>
          <w:p w14:paraId="4714394C" w14:textId="77777777" w:rsidR="00354250" w:rsidRPr="00E651FA" w:rsidRDefault="00354250" w:rsidP="00354250">
            <w:pPr>
              <w:jc w:val="left"/>
              <w:rPr>
                <w:sz w:val="20"/>
              </w:rPr>
            </w:pPr>
            <w:r w:rsidRPr="00E651FA">
              <w:rPr>
                <w:sz w:val="20"/>
              </w:rPr>
              <w:t>Závěrečná dokumentace</w:t>
            </w:r>
          </w:p>
        </w:tc>
        <w:tc>
          <w:tcPr>
            <w:tcW w:w="1330" w:type="dxa"/>
            <w:tcBorders>
              <w:top w:val="single" w:sz="4" w:space="0" w:color="auto"/>
              <w:left w:val="single" w:sz="4" w:space="0" w:color="auto"/>
              <w:bottom w:val="single" w:sz="4" w:space="0" w:color="auto"/>
              <w:right w:val="single" w:sz="4" w:space="0" w:color="auto"/>
            </w:tcBorders>
            <w:noWrap/>
            <w:hideMark/>
          </w:tcPr>
          <w:p w14:paraId="6DE6FF1C" w14:textId="77777777" w:rsidR="00354250" w:rsidRPr="00E651FA" w:rsidRDefault="00354250" w:rsidP="00354250">
            <w:pPr>
              <w:jc w:val="left"/>
              <w:rPr>
                <w:sz w:val="20"/>
              </w:rPr>
            </w:pPr>
            <w:r w:rsidRPr="00E651FA">
              <w:rPr>
                <w:sz w:val="20"/>
              </w:rPr>
              <w:t>ČEPS</w:t>
            </w:r>
          </w:p>
        </w:tc>
        <w:tc>
          <w:tcPr>
            <w:tcW w:w="2105" w:type="dxa"/>
            <w:tcBorders>
              <w:top w:val="single" w:sz="4" w:space="0" w:color="auto"/>
              <w:left w:val="single" w:sz="4" w:space="0" w:color="auto"/>
              <w:bottom w:val="single" w:sz="4" w:space="0" w:color="auto"/>
              <w:right w:val="single" w:sz="4" w:space="0" w:color="auto"/>
            </w:tcBorders>
            <w:noWrap/>
            <w:hideMark/>
          </w:tcPr>
          <w:p w14:paraId="51D5C198" w14:textId="77777777" w:rsidR="00354250" w:rsidRPr="00E651FA" w:rsidRDefault="00354250" w:rsidP="00354250">
            <w:pPr>
              <w:jc w:val="left"/>
              <w:rPr>
                <w:sz w:val="20"/>
              </w:rPr>
            </w:pPr>
            <w:r w:rsidRPr="00E651FA">
              <w:rPr>
                <w:sz w:val="20"/>
              </w:rPr>
              <w:t>286 000</w:t>
            </w:r>
          </w:p>
        </w:tc>
      </w:tr>
      <w:tr w:rsidR="00354250" w14:paraId="303DD1D1"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4F46A1FC" w14:textId="77777777" w:rsidR="00354250" w:rsidRPr="00E651FA" w:rsidRDefault="00354250" w:rsidP="00354250">
            <w:pPr>
              <w:jc w:val="left"/>
              <w:rPr>
                <w:sz w:val="20"/>
              </w:rPr>
            </w:pPr>
            <w:r w:rsidRPr="00E651FA">
              <w:rPr>
                <w:sz w:val="20"/>
              </w:rPr>
              <w:t>5</w:t>
            </w:r>
          </w:p>
        </w:tc>
        <w:tc>
          <w:tcPr>
            <w:tcW w:w="2385" w:type="dxa"/>
            <w:tcBorders>
              <w:top w:val="single" w:sz="4" w:space="0" w:color="auto"/>
              <w:left w:val="single" w:sz="4" w:space="0" w:color="auto"/>
              <w:bottom w:val="single" w:sz="4" w:space="0" w:color="auto"/>
              <w:right w:val="single" w:sz="4" w:space="0" w:color="auto"/>
            </w:tcBorders>
            <w:noWrap/>
            <w:hideMark/>
          </w:tcPr>
          <w:p w14:paraId="63C11AD5" w14:textId="77777777" w:rsidR="00354250" w:rsidRPr="00E651FA" w:rsidRDefault="00354250" w:rsidP="00354250">
            <w:pPr>
              <w:jc w:val="left"/>
              <w:rPr>
                <w:sz w:val="20"/>
              </w:rPr>
            </w:pPr>
            <w:r w:rsidRPr="00E651FA">
              <w:rPr>
                <w:sz w:val="20"/>
              </w:rPr>
              <w:t>Spojení Vítkov – Přeštice</w:t>
            </w:r>
          </w:p>
        </w:tc>
        <w:tc>
          <w:tcPr>
            <w:tcW w:w="2925" w:type="dxa"/>
            <w:tcBorders>
              <w:top w:val="single" w:sz="4" w:space="0" w:color="auto"/>
              <w:left w:val="single" w:sz="4" w:space="0" w:color="auto"/>
              <w:bottom w:val="single" w:sz="4" w:space="0" w:color="auto"/>
              <w:right w:val="single" w:sz="4" w:space="0" w:color="auto"/>
            </w:tcBorders>
            <w:noWrap/>
            <w:hideMark/>
          </w:tcPr>
          <w:p w14:paraId="022F58DD" w14:textId="77777777" w:rsidR="00354250" w:rsidRPr="00E651FA" w:rsidRDefault="00354250" w:rsidP="00354250">
            <w:pPr>
              <w:jc w:val="left"/>
              <w:rPr>
                <w:sz w:val="20"/>
              </w:rPr>
            </w:pPr>
            <w:r w:rsidRPr="00E651FA">
              <w:rPr>
                <w:sz w:val="20"/>
              </w:rPr>
              <w:t>Dokumentace pro územní rozhodnutí</w:t>
            </w:r>
          </w:p>
        </w:tc>
        <w:tc>
          <w:tcPr>
            <w:tcW w:w="1330" w:type="dxa"/>
            <w:tcBorders>
              <w:top w:val="single" w:sz="4" w:space="0" w:color="auto"/>
              <w:left w:val="single" w:sz="4" w:space="0" w:color="auto"/>
              <w:bottom w:val="single" w:sz="4" w:space="0" w:color="auto"/>
              <w:right w:val="single" w:sz="4" w:space="0" w:color="auto"/>
            </w:tcBorders>
            <w:noWrap/>
            <w:hideMark/>
          </w:tcPr>
          <w:p w14:paraId="6D70D6F2" w14:textId="77777777" w:rsidR="00354250" w:rsidRPr="00E651FA" w:rsidRDefault="00354250" w:rsidP="00354250">
            <w:pPr>
              <w:jc w:val="left"/>
              <w:rPr>
                <w:sz w:val="20"/>
              </w:rPr>
            </w:pPr>
            <w:r w:rsidRPr="00E651FA">
              <w:rPr>
                <w:sz w:val="20"/>
              </w:rPr>
              <w:t>ČEPS</w:t>
            </w:r>
          </w:p>
        </w:tc>
        <w:tc>
          <w:tcPr>
            <w:tcW w:w="2105" w:type="dxa"/>
            <w:tcBorders>
              <w:top w:val="single" w:sz="4" w:space="0" w:color="auto"/>
              <w:left w:val="single" w:sz="4" w:space="0" w:color="auto"/>
              <w:bottom w:val="single" w:sz="4" w:space="0" w:color="auto"/>
              <w:right w:val="single" w:sz="4" w:space="0" w:color="auto"/>
            </w:tcBorders>
            <w:noWrap/>
            <w:hideMark/>
          </w:tcPr>
          <w:p w14:paraId="1CF2F8C1" w14:textId="77777777" w:rsidR="00354250" w:rsidRPr="00E651FA" w:rsidRDefault="00354250" w:rsidP="00354250">
            <w:pPr>
              <w:jc w:val="left"/>
              <w:rPr>
                <w:sz w:val="20"/>
              </w:rPr>
            </w:pPr>
            <w:r w:rsidRPr="00E651FA">
              <w:rPr>
                <w:sz w:val="20"/>
              </w:rPr>
              <w:t>951 000</w:t>
            </w:r>
          </w:p>
        </w:tc>
      </w:tr>
      <w:tr w:rsidR="00354250" w14:paraId="5F632FD5"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4EA70043" w14:textId="77777777" w:rsidR="00354250" w:rsidRPr="00E651FA" w:rsidRDefault="00354250" w:rsidP="00354250">
            <w:pPr>
              <w:jc w:val="left"/>
              <w:rPr>
                <w:sz w:val="20"/>
              </w:rPr>
            </w:pPr>
            <w:r w:rsidRPr="00E651FA">
              <w:rPr>
                <w:sz w:val="20"/>
              </w:rPr>
              <w:t>6</w:t>
            </w:r>
          </w:p>
        </w:tc>
        <w:tc>
          <w:tcPr>
            <w:tcW w:w="2385" w:type="dxa"/>
            <w:tcBorders>
              <w:top w:val="single" w:sz="4" w:space="0" w:color="auto"/>
              <w:left w:val="single" w:sz="4" w:space="0" w:color="auto"/>
              <w:bottom w:val="single" w:sz="4" w:space="0" w:color="auto"/>
              <w:right w:val="single" w:sz="4" w:space="0" w:color="auto"/>
            </w:tcBorders>
            <w:noWrap/>
            <w:hideMark/>
          </w:tcPr>
          <w:p w14:paraId="77C1F329" w14:textId="77777777" w:rsidR="00354250" w:rsidRPr="00E651FA" w:rsidRDefault="00354250" w:rsidP="00354250">
            <w:pPr>
              <w:jc w:val="left"/>
              <w:rPr>
                <w:sz w:val="20"/>
              </w:rPr>
            </w:pPr>
            <w:r w:rsidRPr="00E651FA">
              <w:rPr>
                <w:sz w:val="20"/>
              </w:rPr>
              <w:t>Spojení Vítkov – Přeštice</w:t>
            </w:r>
          </w:p>
        </w:tc>
        <w:tc>
          <w:tcPr>
            <w:tcW w:w="2925" w:type="dxa"/>
            <w:tcBorders>
              <w:top w:val="single" w:sz="4" w:space="0" w:color="auto"/>
              <w:left w:val="single" w:sz="4" w:space="0" w:color="auto"/>
              <w:bottom w:val="single" w:sz="4" w:space="0" w:color="auto"/>
              <w:right w:val="single" w:sz="4" w:space="0" w:color="auto"/>
            </w:tcBorders>
            <w:noWrap/>
            <w:hideMark/>
          </w:tcPr>
          <w:p w14:paraId="669A7084" w14:textId="77777777" w:rsidR="00354250" w:rsidRPr="00E651FA" w:rsidRDefault="00354250" w:rsidP="00354250">
            <w:pPr>
              <w:jc w:val="left"/>
              <w:rPr>
                <w:sz w:val="20"/>
              </w:rPr>
            </w:pPr>
            <w:r w:rsidRPr="00E651FA">
              <w:rPr>
                <w:sz w:val="20"/>
              </w:rPr>
              <w:t>Závěrečná dokumentace</w:t>
            </w:r>
          </w:p>
        </w:tc>
        <w:tc>
          <w:tcPr>
            <w:tcW w:w="1330" w:type="dxa"/>
            <w:tcBorders>
              <w:top w:val="single" w:sz="4" w:space="0" w:color="auto"/>
              <w:left w:val="single" w:sz="4" w:space="0" w:color="auto"/>
              <w:bottom w:val="single" w:sz="4" w:space="0" w:color="auto"/>
              <w:right w:val="single" w:sz="4" w:space="0" w:color="auto"/>
            </w:tcBorders>
            <w:noWrap/>
            <w:hideMark/>
          </w:tcPr>
          <w:p w14:paraId="4DDB6546" w14:textId="77777777" w:rsidR="00354250" w:rsidRPr="00E651FA" w:rsidRDefault="00354250" w:rsidP="00354250">
            <w:pPr>
              <w:jc w:val="left"/>
              <w:rPr>
                <w:sz w:val="20"/>
              </w:rPr>
            </w:pPr>
            <w:r w:rsidRPr="00E651FA">
              <w:rPr>
                <w:sz w:val="20"/>
              </w:rPr>
              <w:t>ČEPS</w:t>
            </w:r>
          </w:p>
        </w:tc>
        <w:tc>
          <w:tcPr>
            <w:tcW w:w="2105" w:type="dxa"/>
            <w:tcBorders>
              <w:top w:val="single" w:sz="4" w:space="0" w:color="auto"/>
              <w:left w:val="single" w:sz="4" w:space="0" w:color="auto"/>
              <w:bottom w:val="single" w:sz="4" w:space="0" w:color="auto"/>
              <w:right w:val="single" w:sz="4" w:space="0" w:color="auto"/>
            </w:tcBorders>
            <w:noWrap/>
            <w:hideMark/>
          </w:tcPr>
          <w:p w14:paraId="74C908CA" w14:textId="77777777" w:rsidR="00354250" w:rsidRPr="00E651FA" w:rsidRDefault="00354250" w:rsidP="00354250">
            <w:pPr>
              <w:jc w:val="left"/>
              <w:rPr>
                <w:sz w:val="20"/>
              </w:rPr>
            </w:pPr>
            <w:r w:rsidRPr="00E651FA">
              <w:rPr>
                <w:sz w:val="20"/>
              </w:rPr>
              <w:t>1 314 082</w:t>
            </w:r>
          </w:p>
        </w:tc>
      </w:tr>
      <w:tr w:rsidR="00354250" w14:paraId="7D4F236E"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7B2EE15B" w14:textId="77777777" w:rsidR="00354250" w:rsidRPr="00E651FA" w:rsidRDefault="00354250" w:rsidP="00354250">
            <w:pPr>
              <w:jc w:val="left"/>
              <w:rPr>
                <w:sz w:val="20"/>
              </w:rPr>
            </w:pPr>
            <w:r w:rsidRPr="00E651FA">
              <w:rPr>
                <w:sz w:val="20"/>
              </w:rPr>
              <w:t>7</w:t>
            </w:r>
          </w:p>
        </w:tc>
        <w:tc>
          <w:tcPr>
            <w:tcW w:w="2385" w:type="dxa"/>
            <w:tcBorders>
              <w:top w:val="single" w:sz="4" w:space="0" w:color="auto"/>
              <w:left w:val="single" w:sz="4" w:space="0" w:color="auto"/>
              <w:bottom w:val="single" w:sz="4" w:space="0" w:color="auto"/>
              <w:right w:val="single" w:sz="4" w:space="0" w:color="auto"/>
            </w:tcBorders>
            <w:noWrap/>
            <w:hideMark/>
          </w:tcPr>
          <w:p w14:paraId="50885E3D" w14:textId="77777777" w:rsidR="00354250" w:rsidRPr="00E651FA" w:rsidRDefault="00354250" w:rsidP="00354250">
            <w:pPr>
              <w:jc w:val="left"/>
              <w:rPr>
                <w:sz w:val="20"/>
              </w:rPr>
            </w:pPr>
            <w:r w:rsidRPr="00E651FA">
              <w:rPr>
                <w:sz w:val="20"/>
              </w:rPr>
              <w:t>Vedení 2x400 kV Kočín – Mírovka</w:t>
            </w:r>
          </w:p>
        </w:tc>
        <w:tc>
          <w:tcPr>
            <w:tcW w:w="2925" w:type="dxa"/>
            <w:tcBorders>
              <w:top w:val="single" w:sz="4" w:space="0" w:color="auto"/>
              <w:left w:val="single" w:sz="4" w:space="0" w:color="auto"/>
              <w:bottom w:val="single" w:sz="4" w:space="0" w:color="auto"/>
              <w:right w:val="single" w:sz="4" w:space="0" w:color="auto"/>
            </w:tcBorders>
            <w:noWrap/>
            <w:hideMark/>
          </w:tcPr>
          <w:p w14:paraId="1A941F82" w14:textId="77777777" w:rsidR="00354250" w:rsidRPr="00E651FA" w:rsidRDefault="00354250" w:rsidP="00354250">
            <w:pPr>
              <w:jc w:val="left"/>
              <w:rPr>
                <w:sz w:val="20"/>
              </w:rPr>
            </w:pPr>
            <w:r w:rsidRPr="00E651FA">
              <w:rPr>
                <w:sz w:val="20"/>
              </w:rPr>
              <w:t>Závěrečná projektová dokumentace</w:t>
            </w:r>
          </w:p>
        </w:tc>
        <w:tc>
          <w:tcPr>
            <w:tcW w:w="1330" w:type="dxa"/>
            <w:tcBorders>
              <w:top w:val="single" w:sz="4" w:space="0" w:color="auto"/>
              <w:left w:val="single" w:sz="4" w:space="0" w:color="auto"/>
              <w:bottom w:val="single" w:sz="4" w:space="0" w:color="auto"/>
              <w:right w:val="single" w:sz="4" w:space="0" w:color="auto"/>
            </w:tcBorders>
            <w:noWrap/>
            <w:hideMark/>
          </w:tcPr>
          <w:p w14:paraId="3F896D6F" w14:textId="77777777" w:rsidR="00354250" w:rsidRPr="00E651FA" w:rsidRDefault="00354250" w:rsidP="00354250">
            <w:pPr>
              <w:jc w:val="left"/>
              <w:rPr>
                <w:sz w:val="20"/>
              </w:rPr>
            </w:pPr>
            <w:r w:rsidRPr="00E651FA">
              <w:rPr>
                <w:sz w:val="20"/>
              </w:rPr>
              <w:t>ČEPS</w:t>
            </w:r>
          </w:p>
        </w:tc>
        <w:tc>
          <w:tcPr>
            <w:tcW w:w="2105" w:type="dxa"/>
            <w:tcBorders>
              <w:top w:val="single" w:sz="4" w:space="0" w:color="auto"/>
              <w:left w:val="single" w:sz="4" w:space="0" w:color="auto"/>
              <w:bottom w:val="single" w:sz="4" w:space="0" w:color="auto"/>
              <w:right w:val="single" w:sz="4" w:space="0" w:color="auto"/>
            </w:tcBorders>
            <w:noWrap/>
            <w:hideMark/>
          </w:tcPr>
          <w:p w14:paraId="1637FF70" w14:textId="77777777" w:rsidR="00354250" w:rsidRPr="00E651FA" w:rsidRDefault="00354250" w:rsidP="00354250">
            <w:pPr>
              <w:jc w:val="left"/>
              <w:rPr>
                <w:sz w:val="20"/>
              </w:rPr>
            </w:pPr>
            <w:r w:rsidRPr="00E651FA">
              <w:rPr>
                <w:sz w:val="20"/>
              </w:rPr>
              <w:t>1 818 000</w:t>
            </w:r>
          </w:p>
        </w:tc>
      </w:tr>
      <w:tr w:rsidR="00354250" w14:paraId="48F3B364"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600F388E" w14:textId="77777777" w:rsidR="00354250" w:rsidRPr="00E651FA" w:rsidRDefault="00354250" w:rsidP="00354250">
            <w:pPr>
              <w:jc w:val="left"/>
              <w:rPr>
                <w:sz w:val="20"/>
              </w:rPr>
            </w:pPr>
            <w:r w:rsidRPr="00E651FA">
              <w:rPr>
                <w:sz w:val="20"/>
              </w:rPr>
              <w:t>8</w:t>
            </w:r>
          </w:p>
        </w:tc>
        <w:tc>
          <w:tcPr>
            <w:tcW w:w="2385" w:type="dxa"/>
            <w:tcBorders>
              <w:top w:val="single" w:sz="4" w:space="0" w:color="auto"/>
              <w:left w:val="single" w:sz="4" w:space="0" w:color="auto"/>
              <w:bottom w:val="single" w:sz="4" w:space="0" w:color="auto"/>
              <w:right w:val="single" w:sz="4" w:space="0" w:color="auto"/>
            </w:tcBorders>
            <w:noWrap/>
            <w:hideMark/>
          </w:tcPr>
          <w:p w14:paraId="42F99AB1" w14:textId="77777777" w:rsidR="00354250" w:rsidRPr="00E651FA" w:rsidRDefault="00354250" w:rsidP="00354250">
            <w:pPr>
              <w:jc w:val="left"/>
              <w:rPr>
                <w:sz w:val="20"/>
              </w:rPr>
            </w:pPr>
            <w:r w:rsidRPr="00E651FA">
              <w:rPr>
                <w:sz w:val="20"/>
              </w:rPr>
              <w:t>Modernizace KS Břeclav (CZ-PL propoj)</w:t>
            </w:r>
          </w:p>
        </w:tc>
        <w:tc>
          <w:tcPr>
            <w:tcW w:w="2925" w:type="dxa"/>
            <w:tcBorders>
              <w:top w:val="single" w:sz="4" w:space="0" w:color="auto"/>
              <w:left w:val="single" w:sz="4" w:space="0" w:color="auto"/>
              <w:bottom w:val="single" w:sz="4" w:space="0" w:color="auto"/>
              <w:right w:val="single" w:sz="4" w:space="0" w:color="auto"/>
            </w:tcBorders>
            <w:noWrap/>
            <w:hideMark/>
          </w:tcPr>
          <w:p w14:paraId="7CB062D8" w14:textId="77777777" w:rsidR="00354250" w:rsidRPr="00E651FA" w:rsidRDefault="00354250" w:rsidP="00354250">
            <w:pPr>
              <w:jc w:val="left"/>
              <w:rPr>
                <w:sz w:val="20"/>
              </w:rPr>
            </w:pPr>
            <w:r w:rsidRPr="00E651FA">
              <w:rPr>
                <w:sz w:val="20"/>
              </w:rPr>
              <w:t>Přípravná dokumentace</w:t>
            </w:r>
          </w:p>
        </w:tc>
        <w:tc>
          <w:tcPr>
            <w:tcW w:w="1330" w:type="dxa"/>
            <w:tcBorders>
              <w:top w:val="single" w:sz="4" w:space="0" w:color="auto"/>
              <w:left w:val="single" w:sz="4" w:space="0" w:color="auto"/>
              <w:bottom w:val="single" w:sz="4" w:space="0" w:color="auto"/>
              <w:right w:val="single" w:sz="4" w:space="0" w:color="auto"/>
            </w:tcBorders>
            <w:noWrap/>
            <w:hideMark/>
          </w:tcPr>
          <w:p w14:paraId="15CD03EA" w14:textId="77777777" w:rsidR="00354250" w:rsidRPr="00E651FA" w:rsidRDefault="00354250" w:rsidP="00354250">
            <w:pPr>
              <w:jc w:val="left"/>
              <w:rPr>
                <w:sz w:val="20"/>
              </w:rPr>
            </w:pPr>
            <w:r w:rsidRPr="00E651FA">
              <w:rPr>
                <w:sz w:val="20"/>
              </w:rPr>
              <w:t>NET4GAS</w:t>
            </w:r>
          </w:p>
        </w:tc>
        <w:tc>
          <w:tcPr>
            <w:tcW w:w="2105" w:type="dxa"/>
            <w:tcBorders>
              <w:top w:val="single" w:sz="4" w:space="0" w:color="auto"/>
              <w:left w:val="single" w:sz="4" w:space="0" w:color="auto"/>
              <w:bottom w:val="single" w:sz="4" w:space="0" w:color="auto"/>
              <w:right w:val="single" w:sz="4" w:space="0" w:color="auto"/>
            </w:tcBorders>
            <w:noWrap/>
            <w:hideMark/>
          </w:tcPr>
          <w:p w14:paraId="751BDCD4" w14:textId="77777777" w:rsidR="00354250" w:rsidRPr="00E651FA" w:rsidRDefault="00354250" w:rsidP="00354250">
            <w:pPr>
              <w:jc w:val="left"/>
              <w:rPr>
                <w:sz w:val="20"/>
              </w:rPr>
            </w:pPr>
            <w:r w:rsidRPr="00E651FA">
              <w:rPr>
                <w:sz w:val="20"/>
              </w:rPr>
              <w:t>268 750</w:t>
            </w:r>
          </w:p>
        </w:tc>
      </w:tr>
      <w:tr w:rsidR="00354250" w14:paraId="6F0E9B44"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noWrap/>
            <w:hideMark/>
          </w:tcPr>
          <w:p w14:paraId="4835DF44" w14:textId="77777777" w:rsidR="00354250" w:rsidRPr="00E651FA" w:rsidRDefault="00354250" w:rsidP="00354250">
            <w:pPr>
              <w:jc w:val="left"/>
              <w:rPr>
                <w:sz w:val="20"/>
              </w:rPr>
            </w:pPr>
            <w:r w:rsidRPr="00E651FA">
              <w:rPr>
                <w:sz w:val="20"/>
              </w:rPr>
              <w:t>9</w:t>
            </w:r>
          </w:p>
        </w:tc>
        <w:tc>
          <w:tcPr>
            <w:tcW w:w="2385" w:type="dxa"/>
            <w:tcBorders>
              <w:top w:val="single" w:sz="4" w:space="0" w:color="auto"/>
              <w:left w:val="single" w:sz="4" w:space="0" w:color="auto"/>
              <w:bottom w:val="single" w:sz="4" w:space="0" w:color="auto"/>
              <w:right w:val="single" w:sz="4" w:space="0" w:color="auto"/>
            </w:tcBorders>
            <w:noWrap/>
            <w:hideMark/>
          </w:tcPr>
          <w:p w14:paraId="55C308AC" w14:textId="77777777" w:rsidR="00354250" w:rsidRPr="00E651FA" w:rsidRDefault="00354250" w:rsidP="00354250">
            <w:pPr>
              <w:jc w:val="left"/>
              <w:rPr>
                <w:sz w:val="20"/>
              </w:rPr>
            </w:pPr>
            <w:r w:rsidRPr="00E651FA">
              <w:rPr>
                <w:sz w:val="20"/>
              </w:rPr>
              <w:t>ACON (Smart Grids)</w:t>
            </w:r>
          </w:p>
        </w:tc>
        <w:tc>
          <w:tcPr>
            <w:tcW w:w="2925" w:type="dxa"/>
            <w:tcBorders>
              <w:top w:val="single" w:sz="4" w:space="0" w:color="auto"/>
              <w:left w:val="single" w:sz="4" w:space="0" w:color="auto"/>
              <w:bottom w:val="single" w:sz="4" w:space="0" w:color="auto"/>
              <w:right w:val="single" w:sz="4" w:space="0" w:color="auto"/>
            </w:tcBorders>
            <w:noWrap/>
            <w:hideMark/>
          </w:tcPr>
          <w:p w14:paraId="36308793" w14:textId="77777777" w:rsidR="00354250" w:rsidRPr="00E651FA" w:rsidRDefault="00354250" w:rsidP="00354250">
            <w:pPr>
              <w:jc w:val="left"/>
              <w:rPr>
                <w:sz w:val="20"/>
              </w:rPr>
            </w:pPr>
            <w:r w:rsidRPr="00E651FA">
              <w:rPr>
                <w:sz w:val="20"/>
              </w:rPr>
              <w:t>Práce</w:t>
            </w:r>
          </w:p>
        </w:tc>
        <w:tc>
          <w:tcPr>
            <w:tcW w:w="1330" w:type="dxa"/>
            <w:tcBorders>
              <w:top w:val="single" w:sz="4" w:space="0" w:color="auto"/>
              <w:left w:val="single" w:sz="4" w:space="0" w:color="auto"/>
              <w:bottom w:val="single" w:sz="4" w:space="0" w:color="auto"/>
              <w:right w:val="single" w:sz="4" w:space="0" w:color="auto"/>
            </w:tcBorders>
            <w:noWrap/>
            <w:hideMark/>
          </w:tcPr>
          <w:p w14:paraId="7ECDEB1D" w14:textId="77777777" w:rsidR="00354250" w:rsidRPr="00E651FA" w:rsidRDefault="00354250" w:rsidP="00354250">
            <w:pPr>
              <w:jc w:val="left"/>
              <w:rPr>
                <w:sz w:val="20"/>
              </w:rPr>
            </w:pPr>
            <w:proofErr w:type="gramStart"/>
            <w:r w:rsidRPr="00E651FA">
              <w:rPr>
                <w:sz w:val="20"/>
              </w:rPr>
              <w:t>E.ON</w:t>
            </w:r>
            <w:proofErr w:type="gramEnd"/>
            <w:r w:rsidRPr="00E651FA">
              <w:rPr>
                <w:sz w:val="20"/>
              </w:rPr>
              <w:t xml:space="preserve"> Distribuce</w:t>
            </w:r>
          </w:p>
        </w:tc>
        <w:tc>
          <w:tcPr>
            <w:tcW w:w="2105" w:type="dxa"/>
            <w:tcBorders>
              <w:top w:val="single" w:sz="4" w:space="0" w:color="auto"/>
              <w:left w:val="single" w:sz="4" w:space="0" w:color="auto"/>
              <w:bottom w:val="single" w:sz="4" w:space="0" w:color="auto"/>
              <w:right w:val="single" w:sz="4" w:space="0" w:color="auto"/>
            </w:tcBorders>
            <w:noWrap/>
            <w:hideMark/>
          </w:tcPr>
          <w:p w14:paraId="3CC1BA23" w14:textId="77777777" w:rsidR="00354250" w:rsidRPr="00E651FA" w:rsidRDefault="00354250" w:rsidP="00354250">
            <w:pPr>
              <w:jc w:val="left"/>
              <w:rPr>
                <w:sz w:val="20"/>
              </w:rPr>
            </w:pPr>
            <w:r w:rsidRPr="00E651FA">
              <w:rPr>
                <w:sz w:val="20"/>
              </w:rPr>
              <w:t>45 279 618</w:t>
            </w:r>
          </w:p>
        </w:tc>
      </w:tr>
      <w:tr w:rsidR="00354250" w14:paraId="2EC617A4" w14:textId="77777777" w:rsidTr="00354250">
        <w:trPr>
          <w:trHeight w:val="300"/>
        </w:trPr>
        <w:tc>
          <w:tcPr>
            <w:tcW w:w="31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E6775A5" w14:textId="77777777" w:rsidR="00354250" w:rsidRPr="00E651FA" w:rsidRDefault="00354250" w:rsidP="00354250">
            <w:pPr>
              <w:jc w:val="left"/>
              <w:rPr>
                <w:b/>
                <w:sz w:val="20"/>
              </w:rPr>
            </w:pPr>
            <w:r w:rsidRPr="00E651FA">
              <w:rPr>
                <w:b/>
                <w:sz w:val="20"/>
              </w:rPr>
              <w:t>-</w:t>
            </w:r>
          </w:p>
        </w:tc>
        <w:tc>
          <w:tcPr>
            <w:tcW w:w="238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218EAD3" w14:textId="77777777" w:rsidR="00354250" w:rsidRPr="00E651FA" w:rsidRDefault="00354250" w:rsidP="00354250">
            <w:pPr>
              <w:jc w:val="left"/>
              <w:rPr>
                <w:b/>
                <w:sz w:val="20"/>
              </w:rPr>
            </w:pPr>
            <w:r w:rsidRPr="00E651FA">
              <w:rPr>
                <w:b/>
                <w:sz w:val="20"/>
              </w:rPr>
              <w:t>Celkem</w:t>
            </w:r>
          </w:p>
        </w:tc>
        <w:tc>
          <w:tcPr>
            <w:tcW w:w="292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0F556C1" w14:textId="77777777" w:rsidR="00354250" w:rsidRPr="00E651FA" w:rsidRDefault="00354250" w:rsidP="00354250">
            <w:pPr>
              <w:jc w:val="left"/>
              <w:rPr>
                <w:b/>
                <w:sz w:val="20"/>
              </w:rPr>
            </w:pPr>
            <w:r w:rsidRPr="00E651FA">
              <w:rPr>
                <w:b/>
                <w:sz w:val="20"/>
              </w:rPr>
              <w:t>-</w:t>
            </w:r>
          </w:p>
        </w:tc>
        <w:tc>
          <w:tcPr>
            <w:tcW w:w="1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F0DE323" w14:textId="77777777" w:rsidR="00354250" w:rsidRPr="00E651FA" w:rsidRDefault="00354250" w:rsidP="00354250">
            <w:pPr>
              <w:jc w:val="left"/>
              <w:rPr>
                <w:b/>
                <w:sz w:val="20"/>
              </w:rPr>
            </w:pPr>
            <w:r w:rsidRPr="00E651FA">
              <w:rPr>
                <w:b/>
                <w:sz w:val="20"/>
              </w:rPr>
              <w:t>-</w:t>
            </w:r>
          </w:p>
        </w:tc>
        <w:tc>
          <w:tcPr>
            <w:tcW w:w="21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2CF88F6" w14:textId="77777777" w:rsidR="00354250" w:rsidRPr="00E651FA" w:rsidRDefault="00354250" w:rsidP="00354250">
            <w:pPr>
              <w:jc w:val="left"/>
              <w:rPr>
                <w:b/>
                <w:sz w:val="20"/>
              </w:rPr>
            </w:pPr>
            <w:r w:rsidRPr="00E651FA">
              <w:rPr>
                <w:b/>
                <w:sz w:val="20"/>
              </w:rPr>
              <w:t> 51 888 569</w:t>
            </w:r>
          </w:p>
        </w:tc>
      </w:tr>
    </w:tbl>
    <w:p w14:paraId="7F7D504A" w14:textId="77777777" w:rsidR="002963C9" w:rsidRDefault="002963C9" w:rsidP="002963C9">
      <w:r>
        <w:t xml:space="preserve">V roce 2019 obdržela </w:t>
      </w:r>
      <w:proofErr w:type="gramStart"/>
      <w:r>
        <w:t>společnost E.ON</w:t>
      </w:r>
      <w:proofErr w:type="gramEnd"/>
      <w:r>
        <w:t xml:space="preserve"> Distribuce, a.s., zálohovou platbu ve výši cca 2,1 mil. EUR. Další platba bude dle plánu realizována až v roce 2021. Odhadovaná hodnota je cca 2,5 mil. EUR.</w:t>
      </w:r>
    </w:p>
    <w:p w14:paraId="057E3493" w14:textId="50C3D259" w:rsidR="00320B77" w:rsidRDefault="00320B77" w:rsidP="00320B77">
      <w:r>
        <w:t xml:space="preserve">V průběhu let 2014-2018 podala společnost ČEPS, a.s., v rámci programu CEF-PCI </w:t>
      </w:r>
      <w:r w:rsidR="00AF3424">
        <w:t xml:space="preserve">pět </w:t>
      </w:r>
      <w:r>
        <w:t xml:space="preserve">žádostí o dotace na dokumentace a studie k akcím zařazeným na seznamu PCI, na které byly následně uzavřeny dotační smlouvy GA (Grant Agreement). Jde aktuálně o pět tzv. clusterů zahrnujících rozvodny a vedení 400 kV Vernéřov-Vítkov, Vítkov-Přeštice, Přeštice-Kočín, Kočín-Mírovka, Mírovka-Smyčka V413/416.  </w:t>
      </w:r>
    </w:p>
    <w:p w14:paraId="55B3B176" w14:textId="77777777" w:rsidR="00320B77" w:rsidRDefault="00320B77" w:rsidP="00320B77">
      <w:r>
        <w:t>Tři dotační projekty již byly ukončeny závěrečnou zprávou a vyplaceny (Dokumentace k územnímu rozhodnutí na akci vedení Vernéřov-Vítkov a rozvodna 400 kV Vítkov, Dokumentace k územnímu rozhodnutí vedení Vítkov-Přeštice a Dokumentace k provedení stavby pro rozvodnu 400 kV Vítkov).</w:t>
      </w:r>
    </w:p>
    <w:p w14:paraId="21CE33C2" w14:textId="77777777" w:rsidR="002963C9" w:rsidRDefault="002963C9" w:rsidP="002963C9">
      <w:r>
        <w:t>Zbývající akce (Dokumentace k provedení stavby pro vedení Kočín-Mírovka) byla ukončena k 30. červnu 2018 a byl vypracován „</w:t>
      </w:r>
      <w:proofErr w:type="spellStart"/>
      <w:r>
        <w:t>Final</w:t>
      </w:r>
      <w:proofErr w:type="spellEnd"/>
      <w:r>
        <w:t xml:space="preserve"> Report“, na jehož základě došlo k proplacení zbylé oprávněné částky. Po jednání na INEA nebyly zpracovány poslední 2 milníky, jejichž termín nemohl být dodržen z důvodu novely stavebního zákona.</w:t>
      </w:r>
    </w:p>
    <w:p w14:paraId="7EA44CE0" w14:textId="77777777" w:rsidR="002963C9" w:rsidRDefault="002963C9" w:rsidP="002963C9">
      <w:r>
        <w:t xml:space="preserve">V dubnu 2018 byla podepsána grantová dohoda na studie k akci Přeštice-Vítkov. I tato akce byla úspěšně dokončena závěrečnou zprávou a finanční prostředky tak byly vyplaceny. </w:t>
      </w:r>
    </w:p>
    <w:p w14:paraId="00261E72" w14:textId="77083435" w:rsidR="002963C9" w:rsidRDefault="002963C9" w:rsidP="002963C9">
      <w:r>
        <w:t xml:space="preserve">Rovněž v oblasti plynárenství lze podporu z CEF fondů čerpat pouze na projekty z aktuálně platného listu PCI. Dne 31. března 2020 nabylo účinnosti </w:t>
      </w:r>
      <w:r w:rsidR="00D606EC">
        <w:t>N</w:t>
      </w:r>
      <w:r>
        <w:t>ařízení Komise v přenesené pravomoci (EU) 2020/389 ze dne 31. října 2019, kterým se mění nařízení Evropského parlamentu a Rady (EU) č. 347/2013 (dále jen „PCI nařízení“). Podle tohoto nařízení již nejsou projekty označené jako BACI a Česko-polský propoj na seznamu projektů společného zájmu (PCI) a nelze na ně čerpat dotaci z programu CEF. V předchozích letech byly možnosti získat dotace poměrně omezené. Co se týká věcného čerpání dotací jako takového, ovlivňovaly míru úspěšnosti českých projektů tři hlavní faktory:</w:t>
      </w:r>
    </w:p>
    <w:p w14:paraId="516AB2A3" w14:textId="77777777" w:rsidR="002963C9" w:rsidRDefault="002963C9" w:rsidP="004F1556">
      <w:pPr>
        <w:pStyle w:val="normln-odrky"/>
        <w:numPr>
          <w:ilvl w:val="0"/>
          <w:numId w:val="30"/>
        </w:numPr>
      </w:pPr>
      <w:r>
        <w:t xml:space="preserve">Opakovaný posun (odklad) projektu CPI  - EK považovala projekt Česko-polský propojovací plynovod (CPI) jako nezralý pro dotace na stavební práce z CEF, protože v červnu roku 2016 došlo k odložení projektu polským partnerem (GAZ-SYSTEM) o 4 roky, tj. na konec roku 2022. To bylo v září změněno na zpoždění pouze dva roky (konec 2020), aby to bylo v prosinci téhož roku znovu odloženo na konec roku 2022 podepsáním memoranda mezi premiéry obou zemí. To zapříčinilo ztrátu dotací na stavbu pro tento projekt ve výši 62,659 mil. EUR (z toho pro ČR 16,829 mil. EUR). V roce 2019 bylo zprovoznění projektu z důvodu dlouhotrvajících povolovacích procesů a na základě posunu na polské straně odsunuto.  Po vzájemné dohodě obou partnerů projektu nyní poběží aktivity na jiném projektu, a to v souladu s tzv. přírůstkovou kapacitou dle Nařízení Komise (EU) 2017/459. </w:t>
      </w:r>
    </w:p>
    <w:p w14:paraId="0553EC0A" w14:textId="77777777" w:rsidR="002963C9" w:rsidRDefault="002963C9" w:rsidP="004F1556">
      <w:pPr>
        <w:pStyle w:val="normln-odrky"/>
        <w:numPr>
          <w:ilvl w:val="0"/>
          <w:numId w:val="30"/>
        </w:numPr>
      </w:pPr>
      <w:r>
        <w:t xml:space="preserve">Nevyjasněný přístup ERÚ k oběma projektům -  komplikovaná situace v případě projektu CPI, kde má český regulátor odlišný přístup k přeshraniční alokaci zdrojů a systému pobídek než regulátor partnerské země - Polska. Na české straně není v rozhodnutí o přeshraniční alokaci nákladů pokryta návratnost investice ve výši 103,5 mil. EUR. To komplikuje další kroky v projektu a dosažení vyšší zralosti projektu pro CEF spolufinancování. ERÚ dlouhodobě projekt BACI nepodporuje a z jeho pohledu by neměl být ani součástí Desetiletého plánu rozvoje přepravní soustavy v ČR. Bez přeshraniční alokace nákladů udělené ERÚ projekt nemůže žádat o dotace z CEF na stavební práce. </w:t>
      </w:r>
    </w:p>
    <w:p w14:paraId="7F92EECE" w14:textId="77777777" w:rsidR="002963C9" w:rsidRDefault="002963C9" w:rsidP="004F1556">
      <w:pPr>
        <w:pStyle w:val="normln-odrky"/>
        <w:numPr>
          <w:ilvl w:val="0"/>
          <w:numId w:val="30"/>
        </w:numPr>
      </w:pPr>
      <w:r>
        <w:t xml:space="preserve">Obecně rychlost povolování liniových staveb – složité, opakované a ne zcela vyjasněné postupy zejména v povolovací části projektu, které fakticky omezovaly a stále omezují rychlejší progresi projektů jako takových a tím pádem postupu žádosti a čerpání dotací. Kroky v povolovací proceduře nejsou plně respektovány povolujícími orgány (před-aplikační a aplikační fáze povolování PCI projektů a jejich trvání) a tudíž celý proces bohužel nefunguje. V před-aplikační fázi má každý dotčený orgán poskytnout investorovi projektu seznam požadavků a ty se již nemají měnit ani doplňovat. To bylo učiněno a investor dle něho dokumentaci zkompletoval a podal společně se žádostí o územní rozhodnutí. MMR však dále vyžadovalo další dokumenty a vždy přerušilo územní řízení do doložení nových dokumentů. Chybí dále také konkrétní opatření v případě, že v průběhu povolovacího řízení získá daný projekt PCI status. Není jasně definováno, jestli je v tomto případě třeba začít povolovací řízení od začátku, bohužel tomu tak </w:t>
      </w:r>
      <w:proofErr w:type="gramStart"/>
      <w:r>
        <w:t>bylo</w:t>
      </w:r>
      <w:proofErr w:type="gramEnd"/>
      <w:r>
        <w:t xml:space="preserve"> u </w:t>
      </w:r>
      <w:proofErr w:type="gramStart"/>
      <w:r>
        <w:t>CPI</w:t>
      </w:r>
      <w:proofErr w:type="gramEnd"/>
      <w:r>
        <w:t xml:space="preserve"> a smysl nařízení pomoci zrychlit povolování nebyl v ČR vůbec naplněn, naopak se řízení prodloužilo (první žádost o územní rozhodnutí podána již v 04/2014, dosud žádné nevydáno). Projekt tudíž nemůže za posledních pět let doložit žádný vývoj směřující k povolení výstavby a jeho zralost pro dotace na stavbu je zpochybněna. Projekt byl pozastaven po dohodě s polskou stranou. Nyní se pracuje na jiném projektu na základě poptávky po přírůstkové kapacitě. Oba partneři (NET4GAS, s.r.o. a GAZ-SYSTEM </w:t>
      </w:r>
      <w:proofErr w:type="gramStart"/>
      <w:r>
        <w:t>S.A.</w:t>
      </w:r>
      <w:proofErr w:type="gramEnd"/>
      <w:r>
        <w:t xml:space="preserve">) se vzájemně dohodli, že zaměří své aktivity na činnosti realizované v souladu s tzv. přírůstkovou kapacitou dle Nařízení Komise (EU) 2017/459. </w:t>
      </w:r>
    </w:p>
    <w:p w14:paraId="42E0575C" w14:textId="77777777" w:rsidR="002963C9" w:rsidRDefault="002963C9" w:rsidP="002963C9">
      <w:r>
        <w:t xml:space="preserve">Na české straně bude dále realizován pro potřeby posílení výstupní kapacity v regionu severní Moravy projekt Moravia </w:t>
      </w:r>
      <w:proofErr w:type="spellStart"/>
      <w:r>
        <w:t>Capacity</w:t>
      </w:r>
      <w:proofErr w:type="spellEnd"/>
      <w:r>
        <w:t xml:space="preserve"> </w:t>
      </w:r>
      <w:proofErr w:type="spellStart"/>
      <w:r>
        <w:t>Extension</w:t>
      </w:r>
      <w:proofErr w:type="spellEnd"/>
      <w:r>
        <w:t xml:space="preserve"> v úseku Tvrdonice – Bezměrov, v dimenzi DN 1000. Předpokládané zprovoznění tohoto projektu se plánuje na rok 2022. </w:t>
      </w:r>
    </w:p>
    <w:p w14:paraId="33844E72" w14:textId="77777777" w:rsidR="002963C9" w:rsidRDefault="002963C9" w:rsidP="002963C9">
      <w:r>
        <w:t>Všechny výše uvedené faktory vedou jak k omezení možnosti čerpání dotací z hlediska nedostatečného faktického posunu projektů, tak i z hlediska EK, která nepovažuje projekty za dostatečně zralé pro spolufinancování stavebních prací.</w:t>
      </w:r>
    </w:p>
    <w:p w14:paraId="75C24613" w14:textId="77777777" w:rsidR="00D75D7A" w:rsidRDefault="002963C9" w:rsidP="002963C9">
      <w:r>
        <w:t>V oblasti plynárenství společnost NET4GAS, s.r.o. uspěla se žádostí o dotaci v roce 2017 na projekt modernizace kompresní stanice Břeclav. Přidělená maximální pomoc je 268 750 EUR. Podpora je pro vypracování studie proveditelnosti, úvodní projekt včetně dokumentace pro stavební povolení a dokumentace pro výběr materiálu a zhotovitel stavebních prací. V dalších letech společnost NET4GAS, s.r.o. již o další dotace nežádala a nyní ani nemůže, jelikož nemá žádný projekt na PCI listu.</w:t>
      </w:r>
    </w:p>
    <w:p w14:paraId="39073EDD" w14:textId="77777777" w:rsidR="002963C9" w:rsidRDefault="002963C9" w:rsidP="002963C9">
      <w:pPr>
        <w:pStyle w:val="Podnadpis"/>
      </w:pPr>
      <w:r>
        <w:t>Seznam projektů:</w:t>
      </w:r>
    </w:p>
    <w:p w14:paraId="660376C7" w14:textId="77777777" w:rsidR="002963C9" w:rsidRPr="00D75D7A" w:rsidRDefault="007C5AD2" w:rsidP="002963C9">
      <w:hyperlink r:id="rId10" w:history="1">
        <w:r w:rsidR="002963C9">
          <w:rPr>
            <w:rStyle w:val="Hypertextovodkaz"/>
          </w:rPr>
          <w:t>https://ec.europa.eu/inea/connecting-europe-facility/cef-energy/projects-by-country</w:t>
        </w:r>
      </w:hyperlink>
    </w:p>
    <w:p w14:paraId="2DF0AFF9" w14:textId="77777777" w:rsidR="002963C9" w:rsidRDefault="002963C9" w:rsidP="002963C9">
      <w:pPr>
        <w:pStyle w:val="Nadpis3"/>
        <w:rPr>
          <w:rFonts w:cs="Times New Roman"/>
          <w:szCs w:val="26"/>
        </w:rPr>
      </w:pPr>
      <w:r>
        <w:t>Plán dalších výzev</w:t>
      </w:r>
    </w:p>
    <w:p w14:paraId="059BAAB8" w14:textId="77777777" w:rsidR="002963C9" w:rsidRDefault="002963C9" w:rsidP="002963C9">
      <w:r>
        <w:t xml:space="preserve">V oblasti elektroenergetiky nemá v současné době společnost ČEPS, a. s., žádný dostatečně zralý projekt pro předložení do další výzvy (situaci však stále monitoruje ve spolupráci s poradenskou firmou). </w:t>
      </w:r>
    </w:p>
    <w:p w14:paraId="3FF0FE5B" w14:textId="10C7C5CD" w:rsidR="002963C9" w:rsidRDefault="002963C9" w:rsidP="002963C9">
      <w:r>
        <w:t xml:space="preserve">Provozovatelé distribučních soustav, </w:t>
      </w:r>
      <w:proofErr w:type="gramStart"/>
      <w:r>
        <w:t>společnosti E.ON</w:t>
      </w:r>
      <w:proofErr w:type="gramEnd"/>
      <w:r>
        <w:t xml:space="preserve"> Distribuce, a.s. a Bayernwerk </w:t>
      </w:r>
      <w:proofErr w:type="spellStart"/>
      <w:r>
        <w:t>Netz</w:t>
      </w:r>
      <w:proofErr w:type="spellEnd"/>
      <w:r>
        <w:t xml:space="preserve"> </w:t>
      </w:r>
      <w:proofErr w:type="spellStart"/>
      <w:r>
        <w:t>GmbH</w:t>
      </w:r>
      <w:proofErr w:type="spellEnd"/>
      <w:r>
        <w:t>, v současné době připravují PCI projekt „Gabreta Smart Grids“ pro zařazení na 5. Unijní seznam. Projekt je zaměřen na podporu rozvoje chytrých distribučních soustav. Aktuální identifikovaný celkový finanční potenciál za obě společnosti je cca 670 mil. EUR. V současné době probíhají konzultace o finální výši projektového rozpočtu (např. s agenturou JRC a DG ENER). Pokud bude projekt úspěšně zařazen na Unijní seznam PCI, tak je možné předpokládat předložení žádosti o dotaci z CEF Energy (CEF2).</w:t>
      </w:r>
    </w:p>
    <w:p w14:paraId="1B5AB4AA" w14:textId="77777777" w:rsidR="001850E7" w:rsidRPr="001850E7" w:rsidRDefault="002963C9">
      <w:r w:rsidRPr="001850E7">
        <w:t>V oblasti plynárenství v současné době nefigurují projekty společnosti NET4GAS na aktuálním (čtvrtém) seznamu projektů společného zájmu a tudíž nelze na ně získat dotaci z programu CEF</w:t>
      </w:r>
      <w:r>
        <w:t>.</w:t>
      </w:r>
    </w:p>
    <w:p w14:paraId="01D19BCD" w14:textId="77777777" w:rsidR="00D179DA" w:rsidRDefault="00D179DA" w:rsidP="00D179DA">
      <w:pPr>
        <w:pStyle w:val="Nadpis3"/>
      </w:pPr>
      <w:r w:rsidRPr="00D179DA">
        <w:t>Shrnutí</w:t>
      </w:r>
    </w:p>
    <w:p w14:paraId="6152CA3B" w14:textId="2FB0BAD5" w:rsidR="00D179DA" w:rsidRDefault="00D179DA" w:rsidP="00D179DA">
      <w:r>
        <w:t xml:space="preserve">V energetické části CEF získalo ve výzvách z let 2014 a 2018 podporu celkem devět projektů s českou účastí v objemu 51,9 mil. EUR z celkového objemu 5 </w:t>
      </w:r>
      <w:r w:rsidR="00F00199">
        <w:t>07</w:t>
      </w:r>
      <w:r>
        <w:t>5 mil. EUR v této části CEF, což představuje přibližně 1 %. Jeden z původně podpořených projektů oblasti plynárenství (STORK II) však následně o podporu přišel z důvodu posunu polskou stranou v realizaci. Tím došlo k výraznému snížení velikosti závazku EU financovat projekty českých žadatelů a tím pádem i následné schopnosti vyčerpat z programu minimálně tu část prostředků, které jsou do něj vkládány ze státního rozpočtu. S přihlédnutím k tomu, že společnost ČEPS, a.s., v současné době nedisponuje žádným projektem zařazeným na seznamu PCI v dostatečné míře zralosti tak, aby bylo vhodné podávat žádost o dotace (situaci však stále monitoruje ve spolupráci s poradenskou firmou),</w:t>
      </w:r>
      <w:r w:rsidR="00AF3424" w:rsidDel="00AF3424">
        <w:t xml:space="preserve"> </w:t>
      </w:r>
      <w:r w:rsidR="00AF3424" w:rsidRPr="00AF3424">
        <w:t xml:space="preserve"> bude ČEPS v budoucnu i nadále věnovat úsilí přípravě projektů vhodných k zařazení na seznam PCI, jako je např. projekt přeshraničního propojení 400 kV Otrokovice – </w:t>
      </w:r>
      <w:proofErr w:type="spellStart"/>
      <w:r w:rsidR="00AF3424" w:rsidRPr="00AF3424">
        <w:t>Ladce</w:t>
      </w:r>
      <w:proofErr w:type="spellEnd"/>
      <w:r w:rsidR="00AF3424" w:rsidRPr="00AF3424">
        <w:t>.</w:t>
      </w:r>
    </w:p>
    <w:p w14:paraId="40253392" w14:textId="77777777" w:rsidR="007A4B17" w:rsidRDefault="007A4B17" w:rsidP="004F1556">
      <w:pPr>
        <w:pStyle w:val="Nadpis3"/>
      </w:pPr>
      <w:r>
        <w:t>Čerpání prostředků CEF</w:t>
      </w:r>
    </w:p>
    <w:p w14:paraId="6E38355D" w14:textId="77777777" w:rsidR="00FB3A9E" w:rsidRDefault="00FB3A9E">
      <w:r>
        <w:t xml:space="preserve">Čerpání prostředků po jednotlivých příjemcích znázorňuje tabulka </w:t>
      </w:r>
      <w:r w:rsidR="00A976BA">
        <w:t>10</w:t>
      </w:r>
      <w:r>
        <w:t>.</w:t>
      </w:r>
    </w:p>
    <w:p w14:paraId="7D641C01" w14:textId="77777777" w:rsidR="00FB3A9E" w:rsidRPr="00FB3A9E" w:rsidRDefault="00FB3A9E">
      <w:r>
        <w:t xml:space="preserve">Tabulka </w:t>
      </w:r>
      <w:r w:rsidR="00E651FA">
        <w:t>10</w:t>
      </w:r>
      <w:r>
        <w:t>: Čerpání prostředků v oblasti energetiky</w:t>
      </w:r>
    </w:p>
    <w:tbl>
      <w:tblPr>
        <w:tblStyle w:val="Mkatabulky"/>
        <w:tblW w:w="9214" w:type="dxa"/>
        <w:tblInd w:w="-5" w:type="dxa"/>
        <w:tblLook w:val="04A0" w:firstRow="1" w:lastRow="0" w:firstColumn="1" w:lastColumn="0" w:noHBand="0" w:noVBand="1"/>
      </w:tblPr>
      <w:tblGrid>
        <w:gridCol w:w="1985"/>
        <w:gridCol w:w="1843"/>
        <w:gridCol w:w="1275"/>
        <w:gridCol w:w="1560"/>
        <w:gridCol w:w="1275"/>
        <w:gridCol w:w="1276"/>
      </w:tblGrid>
      <w:tr w:rsidR="00FB3A9E" w14:paraId="6A2114FE" w14:textId="77777777" w:rsidTr="004F1556">
        <w:trPr>
          <w:trHeight w:val="737"/>
        </w:trPr>
        <w:tc>
          <w:tcPr>
            <w:tcW w:w="1985" w:type="dxa"/>
            <w:tcBorders>
              <w:bottom w:val="nil"/>
            </w:tcBorders>
            <w:shd w:val="clear" w:color="auto" w:fill="D9D9D9" w:themeFill="background1" w:themeFillShade="D9"/>
            <w:vAlign w:val="center"/>
          </w:tcPr>
          <w:p w14:paraId="04934FDF" w14:textId="77777777" w:rsidR="007A4B17" w:rsidRPr="0038402C" w:rsidRDefault="007A4B17" w:rsidP="004F1556">
            <w:pPr>
              <w:pStyle w:val="Prosttext"/>
              <w:rPr>
                <w:b/>
              </w:rPr>
            </w:pPr>
          </w:p>
        </w:tc>
        <w:tc>
          <w:tcPr>
            <w:tcW w:w="1843" w:type="dxa"/>
            <w:tcBorders>
              <w:bottom w:val="nil"/>
            </w:tcBorders>
            <w:shd w:val="clear" w:color="auto" w:fill="D9D9D9" w:themeFill="background1" w:themeFillShade="D9"/>
            <w:vAlign w:val="center"/>
          </w:tcPr>
          <w:p w14:paraId="226BDB15" w14:textId="77777777" w:rsidR="007A4B17" w:rsidRPr="0038402C" w:rsidRDefault="007A4B17" w:rsidP="007A4B17">
            <w:pPr>
              <w:pStyle w:val="Prosttext"/>
              <w:jc w:val="center"/>
              <w:rPr>
                <w:b/>
                <w:szCs w:val="20"/>
              </w:rPr>
            </w:pPr>
            <w:r w:rsidRPr="007A4B17">
              <w:rPr>
                <w:rFonts w:eastAsia="Times New Roman" w:cs="Calibri"/>
                <w:b/>
                <w:bCs/>
                <w:color w:val="000000"/>
                <w:szCs w:val="20"/>
                <w:lang w:eastAsia="cs-CZ"/>
              </w:rPr>
              <w:t>Schválené pro</w:t>
            </w:r>
            <w:r>
              <w:rPr>
                <w:rFonts w:eastAsia="Times New Roman" w:cs="Calibri"/>
                <w:b/>
                <w:bCs/>
                <w:color w:val="000000"/>
                <w:szCs w:val="20"/>
                <w:lang w:eastAsia="cs-CZ"/>
              </w:rPr>
              <w:t xml:space="preserve">jekty </w:t>
            </w:r>
            <w:r w:rsidRPr="007A4B17">
              <w:rPr>
                <w:rFonts w:eastAsia="Times New Roman" w:cs="Calibri"/>
                <w:b/>
                <w:bCs/>
                <w:color w:val="000000"/>
                <w:szCs w:val="20"/>
                <w:lang w:eastAsia="cs-CZ"/>
              </w:rPr>
              <w:t>(příspěvek CEF)</w:t>
            </w:r>
          </w:p>
        </w:tc>
        <w:tc>
          <w:tcPr>
            <w:tcW w:w="2835" w:type="dxa"/>
            <w:gridSpan w:val="2"/>
            <w:tcBorders>
              <w:bottom w:val="nil"/>
            </w:tcBorders>
            <w:shd w:val="clear" w:color="auto" w:fill="D9D9D9" w:themeFill="background1" w:themeFillShade="D9"/>
            <w:vAlign w:val="center"/>
          </w:tcPr>
          <w:p w14:paraId="1EC06988" w14:textId="77777777" w:rsidR="007A4B17" w:rsidRDefault="007A4B17" w:rsidP="004F1556">
            <w:pPr>
              <w:pStyle w:val="Prosttext"/>
              <w:jc w:val="center"/>
              <w:rPr>
                <w:b/>
                <w:szCs w:val="20"/>
              </w:rPr>
            </w:pPr>
            <w:r>
              <w:rPr>
                <w:b/>
                <w:szCs w:val="20"/>
              </w:rPr>
              <w:t>Aktuální výše schváleného příspěvku CEF</w:t>
            </w:r>
          </w:p>
        </w:tc>
        <w:tc>
          <w:tcPr>
            <w:tcW w:w="2551" w:type="dxa"/>
            <w:gridSpan w:val="2"/>
            <w:tcBorders>
              <w:bottom w:val="nil"/>
            </w:tcBorders>
            <w:shd w:val="clear" w:color="auto" w:fill="D9D9D9" w:themeFill="background1" w:themeFillShade="D9"/>
            <w:vAlign w:val="center"/>
          </w:tcPr>
          <w:p w14:paraId="569D4306" w14:textId="77777777" w:rsidR="007A4B17" w:rsidRDefault="007A4B17" w:rsidP="004F1556">
            <w:pPr>
              <w:pStyle w:val="Prosttext"/>
              <w:jc w:val="center"/>
              <w:rPr>
                <w:b/>
                <w:szCs w:val="20"/>
              </w:rPr>
            </w:pPr>
            <w:r>
              <w:rPr>
                <w:b/>
                <w:szCs w:val="20"/>
              </w:rPr>
              <w:t>Výše obdržených plateb</w:t>
            </w:r>
          </w:p>
        </w:tc>
      </w:tr>
      <w:tr w:rsidR="00FB3A9E" w14:paraId="3BB9F948" w14:textId="77777777" w:rsidTr="004F1556">
        <w:tc>
          <w:tcPr>
            <w:tcW w:w="1985" w:type="dxa"/>
            <w:tcBorders>
              <w:top w:val="nil"/>
            </w:tcBorders>
            <w:shd w:val="clear" w:color="auto" w:fill="D9D9D9" w:themeFill="background1" w:themeFillShade="D9"/>
          </w:tcPr>
          <w:p w14:paraId="122F4FFC" w14:textId="77777777" w:rsidR="007A4B17" w:rsidRPr="0038402C" w:rsidRDefault="007A4B17" w:rsidP="004F1556">
            <w:pPr>
              <w:pStyle w:val="Prosttext"/>
              <w:rPr>
                <w:b/>
              </w:rPr>
            </w:pPr>
          </w:p>
        </w:tc>
        <w:tc>
          <w:tcPr>
            <w:tcW w:w="1843" w:type="dxa"/>
            <w:tcBorders>
              <w:top w:val="nil"/>
            </w:tcBorders>
            <w:shd w:val="clear" w:color="auto" w:fill="D9D9D9" w:themeFill="background1" w:themeFillShade="D9"/>
            <w:vAlign w:val="center"/>
          </w:tcPr>
          <w:p w14:paraId="3C1C25C1" w14:textId="77777777" w:rsidR="007A4B17" w:rsidRDefault="007A4B17" w:rsidP="004F1556">
            <w:pPr>
              <w:pStyle w:val="Prosttext"/>
              <w:jc w:val="center"/>
              <w:rPr>
                <w:b/>
                <w:szCs w:val="20"/>
              </w:rPr>
            </w:pPr>
            <w:r>
              <w:rPr>
                <w:b/>
                <w:szCs w:val="20"/>
              </w:rPr>
              <w:t>EUR</w:t>
            </w:r>
          </w:p>
        </w:tc>
        <w:tc>
          <w:tcPr>
            <w:tcW w:w="1275" w:type="dxa"/>
            <w:tcBorders>
              <w:top w:val="nil"/>
            </w:tcBorders>
            <w:shd w:val="clear" w:color="auto" w:fill="D9D9D9" w:themeFill="background1" w:themeFillShade="D9"/>
            <w:vAlign w:val="center"/>
          </w:tcPr>
          <w:p w14:paraId="1EE1213A" w14:textId="77777777" w:rsidR="007A4B17" w:rsidRDefault="007A4B17" w:rsidP="004F1556">
            <w:pPr>
              <w:pStyle w:val="Prosttext"/>
              <w:jc w:val="center"/>
              <w:rPr>
                <w:b/>
                <w:szCs w:val="20"/>
              </w:rPr>
            </w:pPr>
            <w:r>
              <w:rPr>
                <w:b/>
                <w:szCs w:val="20"/>
              </w:rPr>
              <w:t>EUR</w:t>
            </w:r>
          </w:p>
        </w:tc>
        <w:tc>
          <w:tcPr>
            <w:tcW w:w="1560" w:type="dxa"/>
            <w:tcBorders>
              <w:top w:val="nil"/>
            </w:tcBorders>
            <w:shd w:val="clear" w:color="auto" w:fill="D9D9D9" w:themeFill="background1" w:themeFillShade="D9"/>
            <w:vAlign w:val="center"/>
          </w:tcPr>
          <w:p w14:paraId="3DC465D1" w14:textId="77777777" w:rsidR="007A4B17" w:rsidRDefault="007A4B17" w:rsidP="004F1556">
            <w:pPr>
              <w:pStyle w:val="Prosttext"/>
              <w:jc w:val="center"/>
              <w:rPr>
                <w:b/>
                <w:szCs w:val="20"/>
              </w:rPr>
            </w:pPr>
            <w:r>
              <w:rPr>
                <w:b/>
                <w:szCs w:val="20"/>
              </w:rPr>
              <w:t xml:space="preserve">% </w:t>
            </w:r>
          </w:p>
          <w:p w14:paraId="3282E229" w14:textId="77777777" w:rsidR="007A4B17" w:rsidRDefault="007A4B17" w:rsidP="007A4B17">
            <w:pPr>
              <w:pStyle w:val="Prosttext"/>
              <w:jc w:val="center"/>
              <w:rPr>
                <w:b/>
                <w:szCs w:val="20"/>
              </w:rPr>
            </w:pPr>
            <w:r>
              <w:rPr>
                <w:b/>
                <w:szCs w:val="20"/>
              </w:rPr>
              <w:t>z původní výše příspěvku CEF</w:t>
            </w:r>
          </w:p>
        </w:tc>
        <w:tc>
          <w:tcPr>
            <w:tcW w:w="1275" w:type="dxa"/>
            <w:tcBorders>
              <w:top w:val="nil"/>
            </w:tcBorders>
            <w:shd w:val="clear" w:color="auto" w:fill="D9D9D9" w:themeFill="background1" w:themeFillShade="D9"/>
            <w:vAlign w:val="center"/>
          </w:tcPr>
          <w:p w14:paraId="622B1390" w14:textId="77777777" w:rsidR="007A4B17" w:rsidRDefault="007A4B17" w:rsidP="004F1556">
            <w:pPr>
              <w:pStyle w:val="Prosttext"/>
              <w:jc w:val="center"/>
              <w:rPr>
                <w:b/>
                <w:szCs w:val="20"/>
              </w:rPr>
            </w:pPr>
            <w:r>
              <w:rPr>
                <w:b/>
                <w:szCs w:val="20"/>
              </w:rPr>
              <w:t>EUR</w:t>
            </w:r>
          </w:p>
        </w:tc>
        <w:tc>
          <w:tcPr>
            <w:tcW w:w="1276" w:type="dxa"/>
            <w:tcBorders>
              <w:top w:val="nil"/>
            </w:tcBorders>
            <w:shd w:val="clear" w:color="auto" w:fill="D9D9D9" w:themeFill="background1" w:themeFillShade="D9"/>
            <w:vAlign w:val="center"/>
          </w:tcPr>
          <w:p w14:paraId="299A5EE5" w14:textId="77777777" w:rsidR="007A4B17" w:rsidRDefault="007A4B17" w:rsidP="004F1556">
            <w:pPr>
              <w:pStyle w:val="Prosttext"/>
              <w:jc w:val="center"/>
              <w:rPr>
                <w:b/>
                <w:szCs w:val="20"/>
              </w:rPr>
            </w:pPr>
            <w:r>
              <w:rPr>
                <w:b/>
                <w:szCs w:val="20"/>
              </w:rPr>
              <w:t xml:space="preserve">% </w:t>
            </w:r>
          </w:p>
          <w:p w14:paraId="22373A08" w14:textId="77777777" w:rsidR="007A4B17" w:rsidRDefault="007A4B17" w:rsidP="004F1556">
            <w:pPr>
              <w:pStyle w:val="Prosttext"/>
              <w:jc w:val="center"/>
              <w:rPr>
                <w:b/>
                <w:szCs w:val="20"/>
              </w:rPr>
            </w:pPr>
            <w:r>
              <w:rPr>
                <w:b/>
                <w:szCs w:val="20"/>
              </w:rPr>
              <w:t>z příspěvku CEF</w:t>
            </w:r>
          </w:p>
        </w:tc>
      </w:tr>
      <w:tr w:rsidR="00FB3A9E" w:rsidRPr="004E7598" w14:paraId="0B99A644" w14:textId="77777777" w:rsidTr="004F1556">
        <w:tc>
          <w:tcPr>
            <w:tcW w:w="1985" w:type="dxa"/>
          </w:tcPr>
          <w:p w14:paraId="689D17B8" w14:textId="77777777" w:rsidR="00FB3A9E" w:rsidRPr="0038402C" w:rsidRDefault="00FB3A9E" w:rsidP="004F1556">
            <w:pPr>
              <w:pStyle w:val="Prosttext"/>
              <w:jc w:val="right"/>
              <w:rPr>
                <w:b/>
              </w:rPr>
            </w:pPr>
            <w:proofErr w:type="gramStart"/>
            <w:r w:rsidRPr="007A4B17">
              <w:rPr>
                <w:rFonts w:eastAsia="Times New Roman" w:cs="Calibri"/>
                <w:bCs/>
                <w:color w:val="000000"/>
                <w:szCs w:val="22"/>
                <w:lang w:eastAsia="cs-CZ"/>
              </w:rPr>
              <w:t>E.ON</w:t>
            </w:r>
            <w:proofErr w:type="gramEnd"/>
            <w:r w:rsidRPr="007A4B17">
              <w:rPr>
                <w:rFonts w:eastAsia="Times New Roman" w:cs="Calibri"/>
                <w:bCs/>
                <w:color w:val="000000"/>
                <w:szCs w:val="22"/>
                <w:lang w:eastAsia="cs-CZ"/>
              </w:rPr>
              <w:t xml:space="preserve"> Distribuce a.s.</w:t>
            </w:r>
          </w:p>
        </w:tc>
        <w:tc>
          <w:tcPr>
            <w:tcW w:w="1843" w:type="dxa"/>
            <w:shd w:val="clear" w:color="auto" w:fill="auto"/>
            <w:vAlign w:val="bottom"/>
          </w:tcPr>
          <w:p w14:paraId="6DA3E281" w14:textId="77777777" w:rsidR="00FB3A9E" w:rsidRPr="004E7598" w:rsidRDefault="00FB3A9E">
            <w:pPr>
              <w:pStyle w:val="Prosttext"/>
              <w:jc w:val="right"/>
              <w:rPr>
                <w:rFonts w:eastAsia="Times New Roman" w:cs="Calibri"/>
                <w:color w:val="000000"/>
                <w:szCs w:val="20"/>
                <w:lang w:eastAsia="cs-CZ"/>
              </w:rPr>
            </w:pPr>
            <w:r w:rsidRPr="007A4B17">
              <w:rPr>
                <w:rFonts w:eastAsia="Times New Roman" w:cs="Calibri"/>
                <w:color w:val="000000"/>
                <w:szCs w:val="22"/>
                <w:lang w:eastAsia="cs-CZ"/>
              </w:rPr>
              <w:t xml:space="preserve">45 279 618 </w:t>
            </w:r>
          </w:p>
        </w:tc>
        <w:tc>
          <w:tcPr>
            <w:tcW w:w="1275" w:type="dxa"/>
            <w:shd w:val="clear" w:color="auto" w:fill="auto"/>
            <w:vAlign w:val="bottom"/>
          </w:tcPr>
          <w:p w14:paraId="433567F3" w14:textId="77777777" w:rsidR="00FB3A9E" w:rsidRPr="004E7598" w:rsidRDefault="00FB3A9E">
            <w:pPr>
              <w:pStyle w:val="Prosttext"/>
              <w:jc w:val="right"/>
              <w:rPr>
                <w:rFonts w:eastAsia="Times New Roman" w:cs="Calibri"/>
                <w:color w:val="000000"/>
                <w:szCs w:val="20"/>
                <w:lang w:eastAsia="cs-CZ"/>
              </w:rPr>
            </w:pPr>
            <w:r w:rsidRPr="007A4B17">
              <w:rPr>
                <w:rFonts w:eastAsia="Times New Roman" w:cs="Calibri"/>
                <w:color w:val="000000"/>
                <w:szCs w:val="22"/>
                <w:lang w:eastAsia="cs-CZ"/>
              </w:rPr>
              <w:t xml:space="preserve">45 279 618 </w:t>
            </w:r>
          </w:p>
        </w:tc>
        <w:tc>
          <w:tcPr>
            <w:tcW w:w="1560" w:type="dxa"/>
            <w:shd w:val="clear" w:color="auto" w:fill="auto"/>
            <w:vAlign w:val="bottom"/>
          </w:tcPr>
          <w:p w14:paraId="72E19D21" w14:textId="77777777" w:rsidR="00FB3A9E" w:rsidRPr="004E7598" w:rsidRDefault="00FB3A9E">
            <w:pPr>
              <w:pStyle w:val="Prosttext"/>
              <w:jc w:val="right"/>
              <w:rPr>
                <w:b/>
                <w:szCs w:val="20"/>
              </w:rPr>
            </w:pPr>
            <w:r w:rsidRPr="007A4B17">
              <w:rPr>
                <w:rFonts w:eastAsia="Times New Roman" w:cs="Calibri"/>
                <w:color w:val="000000"/>
                <w:szCs w:val="22"/>
                <w:lang w:eastAsia="cs-CZ"/>
              </w:rPr>
              <w:t>100</w:t>
            </w:r>
            <w:r w:rsidR="00F00199">
              <w:rPr>
                <w:rFonts w:eastAsia="Times New Roman" w:cs="Calibri"/>
                <w:color w:val="000000"/>
                <w:szCs w:val="22"/>
                <w:lang w:eastAsia="cs-CZ"/>
              </w:rPr>
              <w:t xml:space="preserve"> </w:t>
            </w:r>
            <w:r w:rsidRPr="007A4B17">
              <w:rPr>
                <w:rFonts w:eastAsia="Times New Roman" w:cs="Calibri"/>
                <w:color w:val="000000"/>
                <w:szCs w:val="22"/>
                <w:lang w:eastAsia="cs-CZ"/>
              </w:rPr>
              <w:t>%</w:t>
            </w:r>
          </w:p>
        </w:tc>
        <w:tc>
          <w:tcPr>
            <w:tcW w:w="1275" w:type="dxa"/>
            <w:shd w:val="clear" w:color="auto" w:fill="auto"/>
            <w:vAlign w:val="bottom"/>
          </w:tcPr>
          <w:p w14:paraId="5456029C" w14:textId="77777777" w:rsidR="00FB3A9E" w:rsidRPr="004E7598" w:rsidRDefault="00FB3A9E" w:rsidP="004F1556">
            <w:pPr>
              <w:pStyle w:val="Prosttext"/>
              <w:jc w:val="right"/>
              <w:rPr>
                <w:b/>
                <w:szCs w:val="20"/>
              </w:rPr>
            </w:pPr>
            <w:r w:rsidRPr="007A4B17">
              <w:rPr>
                <w:rFonts w:eastAsia="Times New Roman" w:cs="Calibri"/>
                <w:color w:val="000000"/>
                <w:szCs w:val="22"/>
                <w:lang w:eastAsia="cs-CZ"/>
              </w:rPr>
              <w:t xml:space="preserve">2 114 164 </w:t>
            </w:r>
          </w:p>
        </w:tc>
        <w:tc>
          <w:tcPr>
            <w:tcW w:w="1276" w:type="dxa"/>
            <w:shd w:val="clear" w:color="auto" w:fill="auto"/>
            <w:vAlign w:val="bottom"/>
          </w:tcPr>
          <w:p w14:paraId="02AEEBD3" w14:textId="77777777" w:rsidR="00FB3A9E" w:rsidRPr="004E7598" w:rsidRDefault="00FB3A9E" w:rsidP="004F1556">
            <w:pPr>
              <w:pStyle w:val="Prosttext"/>
              <w:jc w:val="right"/>
              <w:rPr>
                <w:b/>
                <w:szCs w:val="20"/>
              </w:rPr>
            </w:pPr>
            <w:r w:rsidRPr="007A4B17">
              <w:rPr>
                <w:rFonts w:eastAsia="Times New Roman" w:cs="Calibri"/>
                <w:color w:val="000000"/>
                <w:szCs w:val="22"/>
                <w:lang w:eastAsia="cs-CZ"/>
              </w:rPr>
              <w:t>5</w:t>
            </w:r>
            <w:r w:rsidR="00F00199">
              <w:rPr>
                <w:rFonts w:eastAsia="Times New Roman" w:cs="Calibri"/>
                <w:color w:val="000000"/>
                <w:szCs w:val="22"/>
                <w:lang w:eastAsia="cs-CZ"/>
              </w:rPr>
              <w:t xml:space="preserve"> </w:t>
            </w:r>
            <w:r w:rsidRPr="007A4B17">
              <w:rPr>
                <w:rFonts w:eastAsia="Times New Roman" w:cs="Calibri"/>
                <w:color w:val="000000"/>
                <w:szCs w:val="22"/>
                <w:lang w:eastAsia="cs-CZ"/>
              </w:rPr>
              <w:t>%</w:t>
            </w:r>
          </w:p>
        </w:tc>
      </w:tr>
      <w:tr w:rsidR="00FB3A9E" w:rsidRPr="004E7598" w14:paraId="5CE3A959" w14:textId="77777777" w:rsidTr="004F1556">
        <w:tc>
          <w:tcPr>
            <w:tcW w:w="1985" w:type="dxa"/>
          </w:tcPr>
          <w:p w14:paraId="208C436B" w14:textId="77777777" w:rsidR="00FB3A9E" w:rsidRPr="0038402C" w:rsidRDefault="00FB3A9E" w:rsidP="004F1556">
            <w:pPr>
              <w:pStyle w:val="Prosttext"/>
              <w:jc w:val="right"/>
              <w:rPr>
                <w:b/>
              </w:rPr>
            </w:pPr>
            <w:r w:rsidRPr="007A4B17">
              <w:rPr>
                <w:rFonts w:eastAsia="Times New Roman" w:cs="Calibri"/>
                <w:bCs/>
                <w:color w:val="000000"/>
                <w:szCs w:val="22"/>
                <w:lang w:eastAsia="cs-CZ"/>
              </w:rPr>
              <w:t>ČEPS, a.s.</w:t>
            </w:r>
          </w:p>
        </w:tc>
        <w:tc>
          <w:tcPr>
            <w:tcW w:w="1843" w:type="dxa"/>
            <w:shd w:val="clear" w:color="auto" w:fill="auto"/>
            <w:vAlign w:val="bottom"/>
          </w:tcPr>
          <w:p w14:paraId="400319A2" w14:textId="77777777" w:rsidR="00FB3A9E" w:rsidRPr="004E7598" w:rsidRDefault="00F00199">
            <w:pPr>
              <w:pStyle w:val="Prosttext"/>
              <w:jc w:val="right"/>
              <w:rPr>
                <w:rFonts w:eastAsia="Times New Roman" w:cs="Calibri"/>
                <w:color w:val="000000"/>
                <w:szCs w:val="20"/>
                <w:lang w:eastAsia="cs-CZ"/>
              </w:rPr>
            </w:pPr>
            <w:r>
              <w:rPr>
                <w:rFonts w:eastAsia="Times New Roman" w:cs="Calibri"/>
                <w:color w:val="000000"/>
                <w:szCs w:val="22"/>
                <w:lang w:eastAsia="cs-CZ"/>
              </w:rPr>
              <w:t>5 382 106</w:t>
            </w:r>
          </w:p>
        </w:tc>
        <w:tc>
          <w:tcPr>
            <w:tcW w:w="1275" w:type="dxa"/>
            <w:shd w:val="clear" w:color="auto" w:fill="auto"/>
            <w:vAlign w:val="bottom"/>
          </w:tcPr>
          <w:p w14:paraId="51FB282A" w14:textId="77777777" w:rsidR="00FB3A9E" w:rsidRPr="004E7598" w:rsidRDefault="00F00199">
            <w:pPr>
              <w:pStyle w:val="Prosttext"/>
              <w:jc w:val="right"/>
              <w:rPr>
                <w:rFonts w:eastAsia="Times New Roman" w:cs="Calibri"/>
                <w:color w:val="000000"/>
                <w:szCs w:val="20"/>
                <w:lang w:eastAsia="cs-CZ"/>
              </w:rPr>
            </w:pPr>
            <w:r>
              <w:rPr>
                <w:rFonts w:eastAsia="Times New Roman" w:cs="Calibri"/>
                <w:color w:val="000000"/>
                <w:szCs w:val="22"/>
                <w:lang w:eastAsia="cs-CZ"/>
              </w:rPr>
              <w:t>5 382 106</w:t>
            </w:r>
          </w:p>
        </w:tc>
        <w:tc>
          <w:tcPr>
            <w:tcW w:w="1560" w:type="dxa"/>
            <w:shd w:val="clear" w:color="auto" w:fill="auto"/>
            <w:vAlign w:val="bottom"/>
          </w:tcPr>
          <w:p w14:paraId="2B40C05B" w14:textId="77777777" w:rsidR="00FB3A9E" w:rsidRPr="004E7598" w:rsidRDefault="00FB3A9E">
            <w:pPr>
              <w:pStyle w:val="Prosttext"/>
              <w:jc w:val="right"/>
              <w:rPr>
                <w:b/>
                <w:szCs w:val="20"/>
              </w:rPr>
            </w:pPr>
            <w:r w:rsidRPr="007A4B17">
              <w:rPr>
                <w:rFonts w:eastAsia="Times New Roman" w:cs="Calibri"/>
                <w:color w:val="000000"/>
                <w:szCs w:val="22"/>
                <w:lang w:eastAsia="cs-CZ"/>
              </w:rPr>
              <w:t>100</w:t>
            </w:r>
            <w:r w:rsidR="00F00199">
              <w:rPr>
                <w:rFonts w:eastAsia="Times New Roman" w:cs="Calibri"/>
                <w:color w:val="000000"/>
                <w:szCs w:val="22"/>
                <w:lang w:eastAsia="cs-CZ"/>
              </w:rPr>
              <w:t xml:space="preserve"> </w:t>
            </w:r>
            <w:r w:rsidRPr="007A4B17">
              <w:rPr>
                <w:rFonts w:eastAsia="Times New Roman" w:cs="Calibri"/>
                <w:color w:val="000000"/>
                <w:szCs w:val="22"/>
                <w:lang w:eastAsia="cs-CZ"/>
              </w:rPr>
              <w:t>%</w:t>
            </w:r>
          </w:p>
        </w:tc>
        <w:tc>
          <w:tcPr>
            <w:tcW w:w="1275" w:type="dxa"/>
            <w:shd w:val="clear" w:color="auto" w:fill="auto"/>
            <w:vAlign w:val="bottom"/>
          </w:tcPr>
          <w:p w14:paraId="6E202884" w14:textId="77777777" w:rsidR="00FB3A9E" w:rsidRPr="004E7598" w:rsidRDefault="00FB3A9E" w:rsidP="004F1556">
            <w:pPr>
              <w:pStyle w:val="Prosttext"/>
              <w:jc w:val="right"/>
              <w:rPr>
                <w:b/>
                <w:szCs w:val="20"/>
              </w:rPr>
            </w:pPr>
            <w:r w:rsidRPr="007A4B17">
              <w:rPr>
                <w:rFonts w:eastAsia="Times New Roman" w:cs="Calibri"/>
                <w:color w:val="000000"/>
                <w:szCs w:val="22"/>
                <w:lang w:eastAsia="cs-CZ"/>
              </w:rPr>
              <w:t xml:space="preserve">3 905 827 </w:t>
            </w:r>
          </w:p>
        </w:tc>
        <w:tc>
          <w:tcPr>
            <w:tcW w:w="1276" w:type="dxa"/>
            <w:shd w:val="clear" w:color="auto" w:fill="auto"/>
            <w:vAlign w:val="bottom"/>
          </w:tcPr>
          <w:p w14:paraId="62BF3867" w14:textId="77777777" w:rsidR="00FB3A9E" w:rsidRPr="004E7598" w:rsidRDefault="00F00199" w:rsidP="004F1556">
            <w:pPr>
              <w:pStyle w:val="Prosttext"/>
              <w:jc w:val="right"/>
              <w:rPr>
                <w:b/>
                <w:szCs w:val="20"/>
              </w:rPr>
            </w:pPr>
            <w:r>
              <w:rPr>
                <w:rFonts w:eastAsia="Times New Roman" w:cs="Calibri"/>
                <w:color w:val="000000"/>
                <w:szCs w:val="22"/>
                <w:lang w:eastAsia="cs-CZ"/>
              </w:rPr>
              <w:t xml:space="preserve">73 </w:t>
            </w:r>
            <w:r w:rsidR="00FB3A9E" w:rsidRPr="007A4B17">
              <w:rPr>
                <w:rFonts w:eastAsia="Times New Roman" w:cs="Calibri"/>
                <w:color w:val="000000"/>
                <w:szCs w:val="22"/>
                <w:lang w:eastAsia="cs-CZ"/>
              </w:rPr>
              <w:t>%</w:t>
            </w:r>
          </w:p>
        </w:tc>
      </w:tr>
      <w:tr w:rsidR="00FB3A9E" w:rsidRPr="004E7598" w14:paraId="14FCB998" w14:textId="77777777" w:rsidTr="004F1556">
        <w:tc>
          <w:tcPr>
            <w:tcW w:w="1985" w:type="dxa"/>
          </w:tcPr>
          <w:p w14:paraId="24E4A4AF" w14:textId="77777777" w:rsidR="00FB3A9E" w:rsidRPr="0038402C" w:rsidRDefault="00FB3A9E" w:rsidP="004F1556">
            <w:pPr>
              <w:pStyle w:val="Prosttext"/>
              <w:jc w:val="right"/>
              <w:rPr>
                <w:b/>
              </w:rPr>
            </w:pPr>
            <w:r w:rsidRPr="007A4B17">
              <w:rPr>
                <w:rFonts w:eastAsia="Times New Roman" w:cs="Calibri"/>
                <w:color w:val="000000"/>
                <w:szCs w:val="22"/>
                <w:lang w:eastAsia="cs-CZ"/>
              </w:rPr>
              <w:t>NET4GAS, s.r.o.</w:t>
            </w:r>
          </w:p>
        </w:tc>
        <w:tc>
          <w:tcPr>
            <w:tcW w:w="1843" w:type="dxa"/>
            <w:shd w:val="clear" w:color="auto" w:fill="auto"/>
            <w:vAlign w:val="bottom"/>
          </w:tcPr>
          <w:p w14:paraId="728E8FE2" w14:textId="77777777" w:rsidR="00FB3A9E" w:rsidRPr="004E7598" w:rsidRDefault="00F00199">
            <w:pPr>
              <w:pStyle w:val="Prosttext"/>
              <w:jc w:val="right"/>
              <w:rPr>
                <w:rFonts w:eastAsia="Times New Roman" w:cs="Calibri"/>
                <w:color w:val="000000"/>
                <w:szCs w:val="20"/>
                <w:lang w:eastAsia="cs-CZ"/>
              </w:rPr>
            </w:pPr>
            <w:r>
              <w:rPr>
                <w:rFonts w:eastAsia="Times New Roman" w:cs="Calibri"/>
                <w:color w:val="000000"/>
                <w:szCs w:val="22"/>
                <w:lang w:eastAsia="cs-CZ"/>
              </w:rPr>
              <w:t>1 251 000</w:t>
            </w:r>
          </w:p>
        </w:tc>
        <w:tc>
          <w:tcPr>
            <w:tcW w:w="1275" w:type="dxa"/>
            <w:shd w:val="clear" w:color="auto" w:fill="auto"/>
            <w:vAlign w:val="bottom"/>
          </w:tcPr>
          <w:p w14:paraId="6232C7C9" w14:textId="77777777" w:rsidR="00FB3A9E" w:rsidRPr="004E7598" w:rsidRDefault="00F00199">
            <w:pPr>
              <w:pStyle w:val="Prosttext"/>
              <w:jc w:val="right"/>
              <w:rPr>
                <w:rFonts w:eastAsia="Times New Roman" w:cs="Calibri"/>
                <w:color w:val="000000"/>
                <w:szCs w:val="20"/>
                <w:lang w:eastAsia="cs-CZ"/>
              </w:rPr>
            </w:pPr>
            <w:r>
              <w:rPr>
                <w:rFonts w:eastAsia="Times New Roman" w:cs="Calibri"/>
                <w:bCs/>
                <w:color w:val="000000"/>
                <w:szCs w:val="22"/>
                <w:lang w:eastAsia="cs-CZ"/>
              </w:rPr>
              <w:t> 818 817</w:t>
            </w:r>
          </w:p>
        </w:tc>
        <w:tc>
          <w:tcPr>
            <w:tcW w:w="1560" w:type="dxa"/>
            <w:shd w:val="clear" w:color="auto" w:fill="auto"/>
            <w:vAlign w:val="bottom"/>
          </w:tcPr>
          <w:p w14:paraId="51275F6E" w14:textId="77777777" w:rsidR="00FB3A9E" w:rsidRPr="004E7598" w:rsidRDefault="00F00199">
            <w:pPr>
              <w:pStyle w:val="Prosttext"/>
              <w:jc w:val="right"/>
              <w:rPr>
                <w:b/>
                <w:szCs w:val="20"/>
              </w:rPr>
            </w:pPr>
            <w:r>
              <w:rPr>
                <w:rFonts w:eastAsia="Times New Roman" w:cs="Calibri"/>
                <w:color w:val="000000"/>
                <w:szCs w:val="22"/>
                <w:lang w:eastAsia="cs-CZ"/>
              </w:rPr>
              <w:t xml:space="preserve">66 </w:t>
            </w:r>
            <w:r w:rsidR="00FB3A9E" w:rsidRPr="007A4B17">
              <w:rPr>
                <w:rFonts w:eastAsia="Times New Roman" w:cs="Calibri"/>
                <w:color w:val="000000"/>
                <w:szCs w:val="22"/>
                <w:lang w:eastAsia="cs-CZ"/>
              </w:rPr>
              <w:t>%</w:t>
            </w:r>
          </w:p>
        </w:tc>
        <w:tc>
          <w:tcPr>
            <w:tcW w:w="1275" w:type="dxa"/>
            <w:shd w:val="clear" w:color="auto" w:fill="auto"/>
            <w:vAlign w:val="bottom"/>
          </w:tcPr>
          <w:p w14:paraId="6E84F100" w14:textId="77777777" w:rsidR="00FB3A9E" w:rsidRPr="004E7598" w:rsidRDefault="00FB3A9E">
            <w:pPr>
              <w:pStyle w:val="Prosttext"/>
              <w:jc w:val="right"/>
              <w:rPr>
                <w:b/>
                <w:szCs w:val="20"/>
              </w:rPr>
            </w:pPr>
            <w:r w:rsidRPr="007A4B17">
              <w:rPr>
                <w:rFonts w:eastAsia="Times New Roman" w:cs="Calibri"/>
                <w:bCs/>
                <w:color w:val="000000"/>
                <w:szCs w:val="22"/>
                <w:lang w:eastAsia="cs-CZ"/>
              </w:rPr>
              <w:t xml:space="preserve">795 227 </w:t>
            </w:r>
          </w:p>
        </w:tc>
        <w:tc>
          <w:tcPr>
            <w:tcW w:w="1276" w:type="dxa"/>
            <w:shd w:val="clear" w:color="auto" w:fill="auto"/>
            <w:vAlign w:val="bottom"/>
          </w:tcPr>
          <w:p w14:paraId="7D1E785E" w14:textId="77777777" w:rsidR="00FB3A9E" w:rsidRPr="004E7598" w:rsidRDefault="00F00199">
            <w:pPr>
              <w:pStyle w:val="Prosttext"/>
              <w:jc w:val="right"/>
              <w:rPr>
                <w:b/>
                <w:szCs w:val="20"/>
              </w:rPr>
            </w:pPr>
            <w:r>
              <w:rPr>
                <w:rFonts w:eastAsia="Times New Roman" w:cs="Calibri"/>
                <w:color w:val="000000"/>
                <w:szCs w:val="22"/>
                <w:lang w:eastAsia="cs-CZ"/>
              </w:rPr>
              <w:t xml:space="preserve">97 </w:t>
            </w:r>
            <w:r w:rsidR="00FB3A9E" w:rsidRPr="007A4B17">
              <w:rPr>
                <w:rFonts w:eastAsia="Times New Roman" w:cs="Calibri"/>
                <w:color w:val="000000"/>
                <w:szCs w:val="22"/>
                <w:lang w:eastAsia="cs-CZ"/>
              </w:rPr>
              <w:t>%</w:t>
            </w:r>
          </w:p>
        </w:tc>
      </w:tr>
      <w:tr w:rsidR="00FB3A9E" w:rsidRPr="0038402C" w14:paraId="76492730" w14:textId="77777777" w:rsidTr="004F1556">
        <w:tc>
          <w:tcPr>
            <w:tcW w:w="1985" w:type="dxa"/>
            <w:shd w:val="clear" w:color="auto" w:fill="D9D9D9" w:themeFill="background1" w:themeFillShade="D9"/>
          </w:tcPr>
          <w:p w14:paraId="3E68B10B" w14:textId="77777777" w:rsidR="00FB3A9E" w:rsidRPr="0038402C" w:rsidRDefault="00FB3A9E" w:rsidP="004F1556">
            <w:pPr>
              <w:pStyle w:val="Prosttext"/>
              <w:jc w:val="right"/>
              <w:rPr>
                <w:b/>
              </w:rPr>
            </w:pPr>
            <w:r>
              <w:rPr>
                <w:b/>
              </w:rPr>
              <w:t>CELKEM</w:t>
            </w:r>
          </w:p>
        </w:tc>
        <w:tc>
          <w:tcPr>
            <w:tcW w:w="1843" w:type="dxa"/>
            <w:shd w:val="clear" w:color="auto" w:fill="D9D9D9" w:themeFill="background1" w:themeFillShade="D9"/>
          </w:tcPr>
          <w:p w14:paraId="515CCF02" w14:textId="77777777" w:rsidR="00FB3A9E" w:rsidRPr="0038402C" w:rsidRDefault="00F00199" w:rsidP="004F1556">
            <w:pPr>
              <w:pStyle w:val="Prosttext"/>
              <w:jc w:val="right"/>
              <w:rPr>
                <w:b/>
              </w:rPr>
            </w:pPr>
            <w:r>
              <w:rPr>
                <w:b/>
              </w:rPr>
              <w:t>51 912 724</w:t>
            </w:r>
          </w:p>
        </w:tc>
        <w:tc>
          <w:tcPr>
            <w:tcW w:w="1275" w:type="dxa"/>
            <w:shd w:val="clear" w:color="auto" w:fill="D9D9D9" w:themeFill="background1" w:themeFillShade="D9"/>
          </w:tcPr>
          <w:p w14:paraId="707E5BA9" w14:textId="77777777" w:rsidR="00FB3A9E" w:rsidRPr="0038402C" w:rsidRDefault="00F00199" w:rsidP="004F1556">
            <w:pPr>
              <w:pStyle w:val="Prosttext"/>
              <w:jc w:val="right"/>
              <w:rPr>
                <w:b/>
              </w:rPr>
            </w:pPr>
            <w:r>
              <w:rPr>
                <w:b/>
              </w:rPr>
              <w:t>51  480 541</w:t>
            </w:r>
          </w:p>
        </w:tc>
        <w:tc>
          <w:tcPr>
            <w:tcW w:w="1560" w:type="dxa"/>
            <w:shd w:val="clear" w:color="auto" w:fill="D9D9D9" w:themeFill="background1" w:themeFillShade="D9"/>
            <w:vAlign w:val="bottom"/>
          </w:tcPr>
          <w:p w14:paraId="3A8F5DBA" w14:textId="77777777" w:rsidR="00FB3A9E" w:rsidRPr="0038402C" w:rsidRDefault="00F00199" w:rsidP="00F00199">
            <w:pPr>
              <w:pStyle w:val="Prosttext"/>
              <w:jc w:val="right"/>
              <w:rPr>
                <w:b/>
              </w:rPr>
            </w:pPr>
            <w:r>
              <w:rPr>
                <w:b/>
              </w:rPr>
              <w:t xml:space="preserve">99 </w:t>
            </w:r>
            <w:r w:rsidR="00FB3A9E" w:rsidRPr="004F1556">
              <w:rPr>
                <w:b/>
              </w:rPr>
              <w:t>%</w:t>
            </w:r>
          </w:p>
        </w:tc>
        <w:tc>
          <w:tcPr>
            <w:tcW w:w="1275" w:type="dxa"/>
            <w:shd w:val="clear" w:color="auto" w:fill="D9D9D9" w:themeFill="background1" w:themeFillShade="D9"/>
            <w:vAlign w:val="bottom"/>
          </w:tcPr>
          <w:p w14:paraId="290B81D0" w14:textId="77777777" w:rsidR="00FB3A9E" w:rsidRPr="0038402C" w:rsidRDefault="00FB3A9E" w:rsidP="004F1556">
            <w:pPr>
              <w:pStyle w:val="Prosttext"/>
              <w:jc w:val="right"/>
              <w:rPr>
                <w:b/>
              </w:rPr>
            </w:pPr>
            <w:r w:rsidRPr="004F1556">
              <w:rPr>
                <w:b/>
              </w:rPr>
              <w:t xml:space="preserve">6 815 218 </w:t>
            </w:r>
          </w:p>
        </w:tc>
        <w:tc>
          <w:tcPr>
            <w:tcW w:w="1276" w:type="dxa"/>
            <w:shd w:val="clear" w:color="auto" w:fill="D9D9D9" w:themeFill="background1" w:themeFillShade="D9"/>
            <w:vAlign w:val="bottom"/>
          </w:tcPr>
          <w:p w14:paraId="397FC8DA" w14:textId="77777777" w:rsidR="00FB3A9E" w:rsidRPr="0038402C" w:rsidRDefault="00FB3A9E" w:rsidP="00F00199">
            <w:pPr>
              <w:pStyle w:val="Prosttext"/>
              <w:jc w:val="right"/>
              <w:rPr>
                <w:b/>
              </w:rPr>
            </w:pPr>
            <w:r w:rsidRPr="004F1556">
              <w:rPr>
                <w:b/>
              </w:rPr>
              <w:t>1</w:t>
            </w:r>
            <w:r w:rsidR="00F00199">
              <w:rPr>
                <w:b/>
              </w:rPr>
              <w:t xml:space="preserve">3 </w:t>
            </w:r>
            <w:r w:rsidRPr="004F1556">
              <w:rPr>
                <w:b/>
              </w:rPr>
              <w:t>%</w:t>
            </w:r>
          </w:p>
        </w:tc>
      </w:tr>
    </w:tbl>
    <w:p w14:paraId="6F714E07" w14:textId="77777777" w:rsidR="001850E7" w:rsidRDefault="001850E7" w:rsidP="00D179DA"/>
    <w:p w14:paraId="68CB4A77" w14:textId="29FC508D" w:rsidR="007A4B17" w:rsidRDefault="001850E7" w:rsidP="00D179DA">
      <w:r>
        <w:t xml:space="preserve">Čerpání CEF je významně ovlivněno skutečností, že v </w:t>
      </w:r>
      <w:r w:rsidRPr="001850E7">
        <w:t>rámci projektu Česko-polského obousměrného plynovodu nedošlo k podpisu grantové dohody a plánované aktivity se z důvodu posunu termínu na polské straně nerealizovaly.</w:t>
      </w:r>
    </w:p>
    <w:p w14:paraId="59F4B509" w14:textId="77777777" w:rsidR="004F1556" w:rsidRDefault="004F1556" w:rsidP="004F1556">
      <w:pPr>
        <w:pStyle w:val="Nadpis3"/>
      </w:pPr>
      <w:r>
        <w:t>Zkušenosti příjemců</w:t>
      </w:r>
    </w:p>
    <w:p w14:paraId="1BD1F323" w14:textId="77777777" w:rsidR="00FF6FB9" w:rsidRDefault="00F00199" w:rsidP="00F00199">
      <w:r>
        <w:t xml:space="preserve">Příjemci byli osloveni ohledně zkušeností prostřednictvím jednoduchého dotazníku. Z šetření vyplynulo, že </w:t>
      </w:r>
      <w:r w:rsidR="00FF6FB9">
        <w:t>s implementací mají příjemci vesměs pozitivní zkušenosti, některé výhrady mají k zaměření výzev a legislativnímu rámci, který může být překážkou většího čerpání.</w:t>
      </w:r>
    </w:p>
    <w:p w14:paraId="60694986" w14:textId="77777777" w:rsidR="00FF6FB9" w:rsidRDefault="00FF6FB9" w:rsidP="00FF6FB9">
      <w:pPr>
        <w:pStyle w:val="Podnadpis"/>
      </w:pPr>
      <w:r>
        <w:t>Výhody</w:t>
      </w:r>
    </w:p>
    <w:p w14:paraId="42368248" w14:textId="77777777" w:rsidR="00FF6FB9" w:rsidRDefault="00FF6FB9" w:rsidP="00FF6FB9">
      <w:r w:rsidRPr="00654029">
        <w:t>Ve srovnání s podmínkami čerpání dotačních prostředků z ESIF neurčuje CEF velké množství dodatečných specifických podmínek</w:t>
      </w:r>
      <w:r>
        <w:t xml:space="preserve"> pro</w:t>
      </w:r>
      <w:r w:rsidRPr="00654029">
        <w:t xml:space="preserve"> realizac</w:t>
      </w:r>
      <w:r>
        <w:t>i projektu</w:t>
      </w:r>
      <w:r w:rsidRPr="00654029">
        <w:t xml:space="preserve"> (např. specifický způsob výběru dodavatelů, vedení analytického účetnictví, rozsah předkládaných dokumentů ke kontrole před proplacením, možnost využití platných dodavatelských smluv atp.). Velkou výhodou je následný nízký dopad do interních procesů realizátora projektu.</w:t>
      </w:r>
      <w:r>
        <w:t xml:space="preserve"> Obecně je tedy dostačující řízení dle zásady – realizovatelnost v souladu s evropskou a národní legislativou. Dalším pozitivem je proces „certifikace“ skutečně prokazovaných výdajů přes externího auditora zajišťovaného příjemcem. Díky tomuto procesu mají příjemci možnost lépe plánovat jednotlivé kroky v rámci realizace projektu – např. dotační </w:t>
      </w:r>
      <w:proofErr w:type="spellStart"/>
      <w:r>
        <w:t>cashflow</w:t>
      </w:r>
      <w:proofErr w:type="spellEnd"/>
      <w:r>
        <w:t>. Další výhodou je uvedení veškerých podmínek v rámci jednoho dokumentu – grantové smlouvy. Nedochází tedy k informační roztříštěnosti a nutnosti dohledávat specifické příručky a pravidla – např. pro zadávání zakázek.</w:t>
      </w:r>
      <w:r w:rsidRPr="00FF6FB9">
        <w:t xml:space="preserve"> </w:t>
      </w:r>
      <w:r>
        <w:t>Komunikace s agenturou INEA byla vždy vstřícná, bez problémů se dalo domluvit. Pracovníci INEA byli vždy ochotni vysvětlit, pomoct, poradit.</w:t>
      </w:r>
    </w:p>
    <w:p w14:paraId="4030CD83" w14:textId="77777777" w:rsidR="00FF6FB9" w:rsidRDefault="00FF6FB9" w:rsidP="00FF6FB9">
      <w:pPr>
        <w:pStyle w:val="Podnadpis"/>
      </w:pPr>
      <w:r>
        <w:t>Nevýhody</w:t>
      </w:r>
    </w:p>
    <w:p w14:paraId="2B48EDC3" w14:textId="4FAAFC86" w:rsidR="00F00199" w:rsidRPr="00354250" w:rsidRDefault="00F00199" w:rsidP="00F00199">
      <w:r>
        <w:t xml:space="preserve">Nevýhodou v zaměření podpory CEF je, že podporované investice jsou limitovány parametry aktuálně platného nařízení TEN-E. Z tohoto důvodu není možné zahrnout do CEF projektu všechny potřebné typy investic. Zcela jednoznačným příkladem je nemožnost podporovat investice na úrovni nízkého napětí, kdy je tato napěťová hladina zcela stěžejní pro rozvoj Smart </w:t>
      </w:r>
      <w:proofErr w:type="spellStart"/>
      <w:r>
        <w:t>Grid</w:t>
      </w:r>
      <w:proofErr w:type="spellEnd"/>
      <w:r>
        <w:t xml:space="preserve">. Dalším příkladem může být nemožnost podpory „bateriových úložišť“, které se do budoucna mohou stát významným nástrojem pro řízení distribuční soustavy (za podmínky příznivé legislativy pro provozovatele distribučních soustav). </w:t>
      </w:r>
      <w:r w:rsidRPr="00354250">
        <w:rPr>
          <w:bCs/>
        </w:rPr>
        <w:t xml:space="preserve">Cestou pro zlepšení této situace je aktivní přístup v procesu projednávání aktualizace TEN-E a zahrnutí možnosti podpory investic na úrovni </w:t>
      </w:r>
      <w:r w:rsidR="00AF3424" w:rsidRPr="00354250">
        <w:rPr>
          <w:bCs/>
        </w:rPr>
        <w:t xml:space="preserve">nízkého napětí </w:t>
      </w:r>
      <w:r w:rsidRPr="00354250">
        <w:rPr>
          <w:bCs/>
        </w:rPr>
        <w:t>a další</w:t>
      </w:r>
      <w:r w:rsidR="00AF3424" w:rsidRPr="00354250">
        <w:rPr>
          <w:bCs/>
        </w:rPr>
        <w:t>ch</w:t>
      </w:r>
      <w:r w:rsidRPr="00354250">
        <w:rPr>
          <w:bCs/>
        </w:rPr>
        <w:t>.</w:t>
      </w:r>
    </w:p>
    <w:p w14:paraId="27D61D25" w14:textId="07AAEE9F" w:rsidR="00F00199" w:rsidRPr="00354250" w:rsidRDefault="00F00199" w:rsidP="00F00199">
      <w:r w:rsidRPr="00354250">
        <w:t xml:space="preserve">Z pohledu příjemce dotace je primárně poměrně složité se zorientovat v problematice PCI a CEF projekt, kdy jeden podmiňuje druhý. Bylo by tedy podle </w:t>
      </w:r>
      <w:r w:rsidR="00AF3424" w:rsidRPr="00354250">
        <w:t>zkušenosti příjemce</w:t>
      </w:r>
      <w:r w:rsidRPr="00354250">
        <w:t xml:space="preserve"> vhodné proces sloučit do „jedné žádosti“ v rámci které by byla možnost být zařazen na seznam PCI </w:t>
      </w:r>
      <w:r w:rsidR="00AF3424" w:rsidRPr="00354250">
        <w:t>a současně</w:t>
      </w:r>
      <w:r w:rsidRPr="00354250">
        <w:t xml:space="preserve"> na seznam </w:t>
      </w:r>
      <w:r w:rsidR="00AF3424" w:rsidRPr="00354250">
        <w:t>žadatelů o podporu</w:t>
      </w:r>
      <w:r w:rsidR="00354250">
        <w:t xml:space="preserve"> </w:t>
      </w:r>
      <w:r w:rsidR="00AF3424" w:rsidRPr="00354250">
        <w:t>z</w:t>
      </w:r>
      <w:r w:rsidRPr="00354250">
        <w:t xml:space="preserve"> CEF. Obsahově jsou jednotlivé žádosti z pohledu zadávaných dat velmi podobné. Celý proces by se zároveň zkrátil odhadem o 15 měsíců.</w:t>
      </w:r>
    </w:p>
    <w:p w14:paraId="5C28DCF8" w14:textId="77777777" w:rsidR="00FF6FB9" w:rsidRDefault="00FF6FB9" w:rsidP="00FF6FB9">
      <w:r>
        <w:t xml:space="preserve">Odhlašování ze systému </w:t>
      </w:r>
      <w:proofErr w:type="spellStart"/>
      <w:r>
        <w:t>TENTec</w:t>
      </w:r>
      <w:proofErr w:type="spellEnd"/>
      <w:r>
        <w:t xml:space="preserve"> bylo problematické. Velkou nevýhodou tohoto systému je, že k danému projektu může být přihlášen pouze 1 uživatel – kontaktní osoba daného projektu, nikdo jiný.</w:t>
      </w:r>
    </w:p>
    <w:p w14:paraId="18113EAA" w14:textId="77777777" w:rsidR="00D75D7A" w:rsidRDefault="00D75D7A" w:rsidP="00D75D7A">
      <w:pPr>
        <w:pStyle w:val="Nadpis2"/>
      </w:pPr>
      <w:r>
        <w:t>Telekomunikace</w:t>
      </w:r>
      <w:r w:rsidR="009E4A4F">
        <w:t xml:space="preserve"> (CEF Telecom)</w:t>
      </w:r>
    </w:p>
    <w:p w14:paraId="689DC42A" w14:textId="77777777" w:rsidR="00D75D7A" w:rsidRDefault="00D75D7A" w:rsidP="00D75D7A">
      <w:r>
        <w:t>Stav implementace za CEF</w:t>
      </w:r>
      <w:r w:rsidR="006B4DD5">
        <w:t xml:space="preserve"> -</w:t>
      </w:r>
      <w:r>
        <w:t xml:space="preserve"> </w:t>
      </w:r>
      <w:r w:rsidR="006B4DD5">
        <w:t>telekomunikace</w:t>
      </w:r>
      <w:r>
        <w:t xml:space="preserve"> je zpracován MV.</w:t>
      </w:r>
    </w:p>
    <w:p w14:paraId="077B793F" w14:textId="77777777" w:rsidR="002A18B5" w:rsidRPr="00166142" w:rsidRDefault="002A18B5" w:rsidP="002A18B5">
      <w:pPr>
        <w:pStyle w:val="Nadpis3"/>
        <w:spacing w:after="100" w:afterAutospacing="1"/>
        <w:rPr>
          <w:sz w:val="26"/>
          <w:szCs w:val="26"/>
        </w:rPr>
      </w:pPr>
      <w:r w:rsidRPr="00166142">
        <w:rPr>
          <w:sz w:val="26"/>
          <w:szCs w:val="26"/>
        </w:rPr>
        <w:t xml:space="preserve">Vyhodnocení výzev </w:t>
      </w:r>
    </w:p>
    <w:p w14:paraId="26E70E46" w14:textId="77777777" w:rsidR="002A18B5" w:rsidRPr="006B4DD5" w:rsidRDefault="002A18B5" w:rsidP="002A18B5">
      <w:pPr>
        <w:spacing w:after="60"/>
      </w:pPr>
      <w:r w:rsidRPr="004F1556">
        <w:t>V roce 2014</w:t>
      </w:r>
      <w:r w:rsidRPr="006B4DD5">
        <w:t xml:space="preserve"> byly vypsány grantové výzvy</w:t>
      </w:r>
      <w:r w:rsidRPr="004F1556">
        <w:t xml:space="preserve"> </w:t>
      </w:r>
      <w:r w:rsidRPr="006B4DD5">
        <w:t xml:space="preserve">v oblasti </w:t>
      </w:r>
      <w:proofErr w:type="spellStart"/>
      <w:r w:rsidRPr="006B4DD5">
        <w:t>Europeana</w:t>
      </w:r>
      <w:proofErr w:type="spellEnd"/>
      <w:r w:rsidRPr="006B4DD5">
        <w:t>, Bezpečnější Internet, a na jaře 2015 v oblasti Elektronická identifikace a autentizace (</w:t>
      </w:r>
      <w:proofErr w:type="spellStart"/>
      <w:r w:rsidRPr="006B4DD5">
        <w:t>eID</w:t>
      </w:r>
      <w:proofErr w:type="spellEnd"/>
      <w:r w:rsidRPr="006B4DD5">
        <w:t xml:space="preserve">) s alokací v celkové výši </w:t>
      </w:r>
      <w:r w:rsidRPr="004F1556">
        <w:t>27,3 mil. EUR</w:t>
      </w:r>
      <w:r w:rsidRPr="006B4DD5">
        <w:t xml:space="preserve">. </w:t>
      </w:r>
    </w:p>
    <w:p w14:paraId="091B699A" w14:textId="77777777" w:rsidR="002A18B5" w:rsidRPr="006B4DD5" w:rsidRDefault="002A18B5" w:rsidP="002A18B5">
      <w:r w:rsidRPr="004F1556">
        <w:t xml:space="preserve">Do výzvy v oblasti </w:t>
      </w:r>
      <w:proofErr w:type="spellStart"/>
      <w:r w:rsidRPr="004F1556">
        <w:t>Europeana</w:t>
      </w:r>
      <w:proofErr w:type="spellEnd"/>
      <w:r w:rsidRPr="006B4DD5">
        <w:t xml:space="preserve"> zaměřené na digitalizaci uměleckých děl se nezapojil žádný český subjekt. </w:t>
      </w:r>
      <w:r w:rsidRPr="004F1556">
        <w:t>Do oblasti Bezpečnější internet</w:t>
      </w:r>
      <w:r w:rsidRPr="006B4DD5">
        <w:t xml:space="preserve"> se hlásily dva projekty s českou účastí, z nichž jeden v hodnocení uspěl. Projekt Národního centra bezpečnějšího internetu získal grant 193</w:t>
      </w:r>
      <w:r w:rsidR="006B4DD5">
        <w:t xml:space="preserve"> </w:t>
      </w:r>
      <w:r w:rsidRPr="006B4DD5">
        <w:t xml:space="preserve">169 EUR z CEF. Ve výzvě </w:t>
      </w:r>
      <w:r w:rsidRPr="004F1556">
        <w:t>Elektronická identifikace a autentizace</w:t>
      </w:r>
      <w:r w:rsidRPr="006B4DD5">
        <w:t xml:space="preserve"> byly oba české projekty (sdružení </w:t>
      </w:r>
      <w:proofErr w:type="gramStart"/>
      <w:r w:rsidRPr="006B4DD5">
        <w:t>CZ.NIC</w:t>
      </w:r>
      <w:proofErr w:type="gramEnd"/>
      <w:r w:rsidRPr="006B4DD5">
        <w:t xml:space="preserve"> a společnost </w:t>
      </w:r>
      <w:proofErr w:type="spellStart"/>
      <w:r w:rsidRPr="006B4DD5">
        <w:t>ViaSKY</w:t>
      </w:r>
      <w:proofErr w:type="spellEnd"/>
      <w:r w:rsidRPr="006B4DD5">
        <w:t xml:space="preserve">) přijaty k financování, každý projekt získal po 200 000 EUR. </w:t>
      </w:r>
      <w:r w:rsidRPr="004F1556">
        <w:t>V rámci pracovního programu 2014 tak byla z telekomunikační části CEF čerpána částka ve výši 593 169 EUR, uspěly 3 ze 4 projektů</w:t>
      </w:r>
      <w:r w:rsidRPr="006B4DD5">
        <w:t xml:space="preserve">. </w:t>
      </w:r>
    </w:p>
    <w:p w14:paraId="7BAEE812" w14:textId="77777777" w:rsidR="002A18B5" w:rsidRPr="006B4DD5" w:rsidRDefault="002A18B5" w:rsidP="002A18B5">
      <w:r w:rsidRPr="004F1556">
        <w:t>V roce 2015</w:t>
      </w:r>
      <w:r w:rsidRPr="006B4DD5">
        <w:t xml:space="preserve"> byly vypsány další výzvy</w:t>
      </w:r>
      <w:r w:rsidRPr="004F1556">
        <w:t xml:space="preserve"> </w:t>
      </w:r>
      <w:r w:rsidRPr="006B4DD5">
        <w:t xml:space="preserve">pro 8 digitálních služeb s celkovým možným financováním ve výši </w:t>
      </w:r>
      <w:r w:rsidRPr="004F1556">
        <w:rPr>
          <w:bCs/>
        </w:rPr>
        <w:t>45,6 mil. EUR na evropské telekomunikační projekty</w:t>
      </w:r>
      <w:r w:rsidRPr="006B4DD5">
        <w:t xml:space="preserve">. Čtyři české subjekty se hlásily do výzev: </w:t>
      </w:r>
      <w:proofErr w:type="spellStart"/>
      <w:r w:rsidRPr="006B4DD5">
        <w:t>Safer</w:t>
      </w:r>
      <w:proofErr w:type="spellEnd"/>
      <w:r w:rsidRPr="006B4DD5">
        <w:t xml:space="preserve"> Internet, Public Open data, </w:t>
      </w:r>
      <w:proofErr w:type="spellStart"/>
      <w:r w:rsidRPr="006B4DD5">
        <w:t>eHealth</w:t>
      </w:r>
      <w:proofErr w:type="spellEnd"/>
      <w:r w:rsidRPr="006B4DD5">
        <w:t xml:space="preserve"> a </w:t>
      </w:r>
      <w:proofErr w:type="spellStart"/>
      <w:r w:rsidRPr="006B4DD5">
        <w:t>eDelivery</w:t>
      </w:r>
      <w:proofErr w:type="spellEnd"/>
      <w:r w:rsidRPr="006B4DD5">
        <w:t xml:space="preserve">. V oblasti </w:t>
      </w:r>
      <w:proofErr w:type="spellStart"/>
      <w:r w:rsidRPr="006B4DD5">
        <w:t>eDelivery</w:t>
      </w:r>
      <w:proofErr w:type="spellEnd"/>
      <w:r w:rsidRPr="006B4DD5">
        <w:t xml:space="preserve"> český subjekt (</w:t>
      </w:r>
      <w:proofErr w:type="spellStart"/>
      <w:r w:rsidRPr="006B4DD5">
        <w:t>ViaSKY</w:t>
      </w:r>
      <w:proofErr w:type="spellEnd"/>
      <w:r w:rsidRPr="006B4DD5">
        <w:t>) neuspěl v hodnocení. V </w:t>
      </w:r>
      <w:proofErr w:type="spellStart"/>
      <w:r w:rsidRPr="006B4DD5">
        <w:t>Safer</w:t>
      </w:r>
      <w:proofErr w:type="spellEnd"/>
      <w:r w:rsidRPr="006B4DD5">
        <w:t xml:space="preserve"> Internetu český projekt uspěl s účastí dvou českých subjektů (Národního centra bezpečnějšího intern</w:t>
      </w:r>
      <w:r w:rsidRPr="005E1666">
        <w:t xml:space="preserve">etu a </w:t>
      </w:r>
      <w:proofErr w:type="gramStart"/>
      <w:r w:rsidRPr="005E1666">
        <w:t>CZ.NIC</w:t>
      </w:r>
      <w:proofErr w:type="gramEnd"/>
      <w:r w:rsidRPr="005E1666">
        <w:t xml:space="preserve">) a získal grant ve výši 544 946 EUR. Další mezinárodní projekt (6 partnerů) uspěl v oblasti Open data, kde českým koordinátorem je </w:t>
      </w:r>
      <w:proofErr w:type="gramStart"/>
      <w:r w:rsidRPr="005E1666">
        <w:t>CZ.NIC</w:t>
      </w:r>
      <w:proofErr w:type="gramEnd"/>
      <w:r w:rsidRPr="005E1666">
        <w:t xml:space="preserve"> a účastníkem je i ČTÚ, grant činil 200 513 EUR. V oblasti </w:t>
      </w:r>
      <w:proofErr w:type="spellStart"/>
      <w:r w:rsidRPr="005E1666">
        <w:t>eHealth</w:t>
      </w:r>
      <w:proofErr w:type="spellEnd"/>
      <w:r w:rsidRPr="005E1666">
        <w:t xml:space="preserve"> uspěl projekt Kraje Vysočina a získal grant ve výši 358.107 EUR. </w:t>
      </w:r>
      <w:r w:rsidRPr="004F1556">
        <w:t xml:space="preserve">V rámci pracovního programu 2015 byla z telekomunikační části CEF čerpána částka ve výši </w:t>
      </w:r>
      <w:r w:rsidRPr="004F1556">
        <w:rPr>
          <w:bCs/>
        </w:rPr>
        <w:t xml:space="preserve">1 103 566 </w:t>
      </w:r>
      <w:r w:rsidRPr="004F1556">
        <w:t>EUR, uspěly 3 ze 4 projektů</w:t>
      </w:r>
      <w:r w:rsidRPr="006B4DD5">
        <w:t>.</w:t>
      </w:r>
    </w:p>
    <w:p w14:paraId="000A0469" w14:textId="77777777" w:rsidR="002A18B5" w:rsidRPr="006B4DD5" w:rsidRDefault="002A18B5" w:rsidP="002A18B5">
      <w:r w:rsidRPr="004F1556">
        <w:t>V</w:t>
      </w:r>
      <w:r w:rsidRPr="006B4DD5">
        <w:t> </w:t>
      </w:r>
      <w:r w:rsidRPr="004F1556">
        <w:t>roce 2016</w:t>
      </w:r>
      <w:r w:rsidRPr="006B4DD5">
        <w:t xml:space="preserve"> byly vypsány výzvy v hodnotě </w:t>
      </w:r>
      <w:r w:rsidRPr="004F1556">
        <w:t>71,1 mil. EUR</w:t>
      </w:r>
      <w:r w:rsidRPr="006B4DD5">
        <w:t xml:space="preserve"> na 11 výzev infrastruktur digitálních služeb. U digitální </w:t>
      </w:r>
      <w:r w:rsidR="00A752CA" w:rsidRPr="006B4DD5">
        <w:t>služb</w:t>
      </w:r>
      <w:r w:rsidR="00A752CA">
        <w:t>y</w:t>
      </w:r>
      <w:r w:rsidR="00A752CA" w:rsidRPr="006B4DD5">
        <w:t xml:space="preserve"> </w:t>
      </w:r>
      <w:r w:rsidRPr="006B4DD5">
        <w:t>Elektronická výměna informací ze sociálního zabezpečení uspěl projekt Kanceláře zdravotního pojištění a získal grant ve výši 617 955 EUR. Do výzvy k propojování obchodních rejstříků se zapoj</w:t>
      </w:r>
      <w:r w:rsidRPr="005E1666">
        <w:t xml:space="preserve">ilo Ministerstvo spravedlnosti ČR v rámci mezinárodního konsorcia. Dalším úspěšným žadatelem byl v rámci výzvy </w:t>
      </w:r>
      <w:proofErr w:type="spellStart"/>
      <w:r w:rsidRPr="005E1666">
        <w:t>eHealth</w:t>
      </w:r>
      <w:proofErr w:type="spellEnd"/>
      <w:r w:rsidRPr="005E1666">
        <w:t xml:space="preserve"> Kraj Vysočina společně s Ministerstvem zdravotnictví a grant činí 358 107 EUR. </w:t>
      </w:r>
      <w:r w:rsidR="00882248">
        <w:t>Ještě jedním</w:t>
      </w:r>
      <w:r w:rsidR="00882248" w:rsidRPr="005E1666">
        <w:t xml:space="preserve"> </w:t>
      </w:r>
      <w:r w:rsidRPr="005E1666">
        <w:t xml:space="preserve">úspěšným žadatelem bylo v rámci výzvy Kybernetická bezpečnost sdružení </w:t>
      </w:r>
      <w:proofErr w:type="gramStart"/>
      <w:r w:rsidRPr="005E1666">
        <w:t>CZ.NIC</w:t>
      </w:r>
      <w:proofErr w:type="gramEnd"/>
      <w:r w:rsidRPr="005E1666">
        <w:t xml:space="preserve">, které na projekt získalo prostředky ve výši 563 705 EUR. V roce 2016 neprošly hodnocením dva české projekty, jeden ve výzvě pro oblast elektronické doručování a druhý k elektronické fakturaci, oba </w:t>
      </w:r>
      <w:r w:rsidR="00882248">
        <w:t xml:space="preserve">projekty </w:t>
      </w:r>
      <w:r w:rsidRPr="005E1666">
        <w:t xml:space="preserve">podával subjekt </w:t>
      </w:r>
      <w:proofErr w:type="spellStart"/>
      <w:r w:rsidRPr="005E1666">
        <w:t>eDelivery</w:t>
      </w:r>
      <w:proofErr w:type="spellEnd"/>
      <w:r w:rsidRPr="005E1666">
        <w:t xml:space="preserve">. </w:t>
      </w:r>
      <w:r w:rsidRPr="004F1556">
        <w:t xml:space="preserve">V rámci pracovního programu 2016 byla z telekomunikační části CEF čerpána částka ve výši </w:t>
      </w:r>
      <w:r w:rsidRPr="004F1556">
        <w:rPr>
          <w:bCs/>
        </w:rPr>
        <w:t xml:space="preserve">1 181 700 </w:t>
      </w:r>
      <w:r w:rsidRPr="004F1556">
        <w:t>EUR, uspěly 2 ze 4 projektů</w:t>
      </w:r>
      <w:r w:rsidRPr="006B4DD5">
        <w:t>.</w:t>
      </w:r>
    </w:p>
    <w:p w14:paraId="1B57EC04" w14:textId="77777777" w:rsidR="002A18B5" w:rsidRPr="004F1556" w:rsidRDefault="002A18B5" w:rsidP="002A18B5">
      <w:r w:rsidRPr="004F1556">
        <w:t>V roce 2017</w:t>
      </w:r>
      <w:r w:rsidRPr="006B4DD5">
        <w:t xml:space="preserve"> byly vypsány výzvy pro předkládání návrhů na </w:t>
      </w:r>
      <w:r w:rsidR="00882248" w:rsidRPr="006B4DD5">
        <w:t xml:space="preserve">evropské telekomunikační </w:t>
      </w:r>
      <w:r w:rsidRPr="006B4DD5">
        <w:t>projekt</w:t>
      </w:r>
      <w:r w:rsidR="00882248">
        <w:t>y</w:t>
      </w:r>
      <w:r w:rsidRPr="006B4DD5">
        <w:t xml:space="preserve"> s celkovým možným financováním ve výši </w:t>
      </w:r>
      <w:r w:rsidRPr="004F1556">
        <w:t>maximálně 77 mil. EUR</w:t>
      </w:r>
      <w:r w:rsidRPr="006B4DD5">
        <w:t xml:space="preserve">. Žádosti podaly následující organizace: Kancelář zdravotního pojištění s pokračováním projektu EESSI v rámci výzvy k EESSI, </w:t>
      </w:r>
      <w:proofErr w:type="gramStart"/>
      <w:r w:rsidRPr="006B4DD5">
        <w:t>CZ.NIC</w:t>
      </w:r>
      <w:proofErr w:type="gramEnd"/>
      <w:r w:rsidRPr="006B4DD5">
        <w:t xml:space="preserve"> do výzvy ke kybernetické bezpečnosti, Kraj Vysočina v rámci konsorcia do výzvy k </w:t>
      </w:r>
      <w:proofErr w:type="spellStart"/>
      <w:r w:rsidRPr="006B4DD5">
        <w:t>eID</w:t>
      </w:r>
      <w:proofErr w:type="spellEnd"/>
      <w:r w:rsidRPr="006B4DD5">
        <w:t xml:space="preserve"> a e-podpi</w:t>
      </w:r>
      <w:r w:rsidRPr="005E1666">
        <w:t xml:space="preserve">s, Kraj Vysočina s projektem v oblasti </w:t>
      </w:r>
      <w:proofErr w:type="spellStart"/>
      <w:r w:rsidRPr="005E1666">
        <w:t>eHealth</w:t>
      </w:r>
      <w:proofErr w:type="spellEnd"/>
      <w:r w:rsidRPr="005E1666">
        <w:t xml:space="preserve">, Všeobecná nemocnice Praha v rámci konsorcia s UK v oblasti </w:t>
      </w:r>
      <w:proofErr w:type="spellStart"/>
      <w:r w:rsidRPr="005E1666">
        <w:t>eHealth</w:t>
      </w:r>
      <w:proofErr w:type="spellEnd"/>
      <w:r w:rsidRPr="005E1666">
        <w:t xml:space="preserve"> a společnost </w:t>
      </w:r>
      <w:proofErr w:type="spellStart"/>
      <w:r w:rsidRPr="005E1666">
        <w:t>eDelivery</w:t>
      </w:r>
      <w:proofErr w:type="spellEnd"/>
      <w:r w:rsidRPr="005E1666">
        <w:t xml:space="preserve"> v rámci výzev </w:t>
      </w:r>
      <w:proofErr w:type="spellStart"/>
      <w:r w:rsidRPr="005E1666">
        <w:t>eDelivery</w:t>
      </w:r>
      <w:proofErr w:type="spellEnd"/>
      <w:r w:rsidRPr="005E1666">
        <w:t xml:space="preserve">, </w:t>
      </w:r>
      <w:proofErr w:type="spellStart"/>
      <w:r w:rsidRPr="005E1666">
        <w:t>eID</w:t>
      </w:r>
      <w:proofErr w:type="spellEnd"/>
      <w:r w:rsidRPr="005E1666">
        <w:t xml:space="preserve"> a </w:t>
      </w:r>
      <w:proofErr w:type="spellStart"/>
      <w:r w:rsidRPr="005E1666">
        <w:t>eProcurement</w:t>
      </w:r>
      <w:proofErr w:type="spellEnd"/>
      <w:r w:rsidRPr="005E1666">
        <w:t>. Pět žadatelů bylo úspěšných, jeden žadatel (</w:t>
      </w:r>
      <w:proofErr w:type="spellStart"/>
      <w:r w:rsidRPr="005E1666">
        <w:t>eDelivery</w:t>
      </w:r>
      <w:proofErr w:type="spellEnd"/>
      <w:r w:rsidRPr="005E1666">
        <w:t xml:space="preserve">) byl se 2 projekty neúspěšný. </w:t>
      </w:r>
      <w:r w:rsidRPr="004F1556">
        <w:t xml:space="preserve">V rámci pracovního programu 2017 tak byla z telekomunikační části čerpána částka ve výši </w:t>
      </w:r>
      <w:r w:rsidRPr="004F1556">
        <w:rPr>
          <w:bCs/>
        </w:rPr>
        <w:t xml:space="preserve">1 406 474,50 </w:t>
      </w:r>
      <w:r w:rsidRPr="004F1556">
        <w:t>EUR.</w:t>
      </w:r>
    </w:p>
    <w:p w14:paraId="17060DF4" w14:textId="77777777" w:rsidR="002A18B5" w:rsidRPr="004F1556" w:rsidRDefault="002A18B5" w:rsidP="002A18B5">
      <w:r w:rsidRPr="004F1556">
        <w:t>V roce 2018</w:t>
      </w:r>
      <w:r w:rsidRPr="006B4DD5">
        <w:t xml:space="preserve"> bylo vypsáno celkem pět výzev pro 14 digitálních služeb s celkovým možným financováním </w:t>
      </w:r>
      <w:r w:rsidRPr="004F1556">
        <w:t xml:space="preserve">84,4 mil. EUR </w:t>
      </w:r>
      <w:r w:rsidRPr="006B4DD5">
        <w:t xml:space="preserve">na evropské telekomunikační projekty. Šest českých subjektů se hlásilo do výzev a financování obdržely následující organizace: </w:t>
      </w:r>
      <w:proofErr w:type="gramStart"/>
      <w:r w:rsidRPr="006B4DD5">
        <w:t>CZ.NIC</w:t>
      </w:r>
      <w:proofErr w:type="gramEnd"/>
      <w:r w:rsidRPr="006B4DD5">
        <w:t xml:space="preserve"> (</w:t>
      </w:r>
      <w:proofErr w:type="spellStart"/>
      <w:r w:rsidRPr="006B4DD5">
        <w:t>Safer</w:t>
      </w:r>
      <w:proofErr w:type="spellEnd"/>
      <w:r w:rsidRPr="006B4DD5">
        <w:t xml:space="preserve"> Internet), Vysoké Učení technické (</w:t>
      </w:r>
      <w:proofErr w:type="spellStart"/>
      <w:r w:rsidRPr="006B4DD5">
        <w:t>Automated</w:t>
      </w:r>
      <w:proofErr w:type="spellEnd"/>
      <w:r w:rsidRPr="006B4DD5">
        <w:t xml:space="preserve"> </w:t>
      </w:r>
      <w:proofErr w:type="spellStart"/>
      <w:r w:rsidRPr="006B4DD5">
        <w:t>Translation</w:t>
      </w:r>
      <w:proofErr w:type="spellEnd"/>
      <w:r w:rsidRPr="006B4DD5">
        <w:t>), ČEZ a.s. (</w:t>
      </w:r>
      <w:proofErr w:type="spellStart"/>
      <w:r w:rsidRPr="006B4DD5">
        <w:t>Cyber</w:t>
      </w:r>
      <w:proofErr w:type="spellEnd"/>
      <w:r w:rsidRPr="006B4DD5">
        <w:t xml:space="preserve"> </w:t>
      </w:r>
      <w:proofErr w:type="spellStart"/>
      <w:r w:rsidRPr="006B4DD5">
        <w:t>Security</w:t>
      </w:r>
      <w:proofErr w:type="spellEnd"/>
      <w:r w:rsidRPr="006B4DD5">
        <w:t xml:space="preserve">). Zbylé úspěšné organizace se výzev účastní v rámci mezinárodního konsorcia (ČVUT, </w:t>
      </w:r>
      <w:proofErr w:type="spellStart"/>
      <w:r w:rsidRPr="006B4DD5">
        <w:t>TamTam</w:t>
      </w:r>
      <w:proofErr w:type="spellEnd"/>
      <w:r w:rsidRPr="006B4DD5">
        <w:t xml:space="preserve"> a Všeobecná fak</w:t>
      </w:r>
      <w:r w:rsidR="00402DD9">
        <w:t>ultní</w:t>
      </w:r>
      <w:r w:rsidRPr="006B4DD5">
        <w:t xml:space="preserve"> nemocnice Praha). </w:t>
      </w:r>
      <w:r w:rsidRPr="004F1556">
        <w:t xml:space="preserve">V rámci pracovního programu 2018 uspělo 6 z 9 projektů a byla čerpána částka ve výši </w:t>
      </w:r>
      <w:r w:rsidRPr="004F1556">
        <w:rPr>
          <w:bCs/>
        </w:rPr>
        <w:t xml:space="preserve">1 923 734 </w:t>
      </w:r>
      <w:r w:rsidRPr="004F1556">
        <w:t xml:space="preserve">EUR. </w:t>
      </w:r>
    </w:p>
    <w:p w14:paraId="5E52091A" w14:textId="607CA8DB" w:rsidR="002A18B5" w:rsidRPr="004F1556" w:rsidRDefault="002A18B5" w:rsidP="002A18B5">
      <w:r w:rsidRPr="004F1556">
        <w:t>V roce 2019</w:t>
      </w:r>
      <w:r w:rsidRPr="006B4DD5">
        <w:t xml:space="preserve"> byly vypsány dvě výzvy pro předkládání návrhů na </w:t>
      </w:r>
      <w:r w:rsidR="00402DD9" w:rsidRPr="006B4DD5">
        <w:t xml:space="preserve">evropské telekomunikační </w:t>
      </w:r>
      <w:r w:rsidRPr="006B4DD5">
        <w:t xml:space="preserve">projekty s celkovým možným financováním ve výši </w:t>
      </w:r>
      <w:r w:rsidRPr="004F1556">
        <w:t>maximálně 44,2 mil. EUR</w:t>
      </w:r>
      <w:r w:rsidRPr="006B4DD5">
        <w:t>. České subjekty se hlásily do následujících výzev: elektronická identifikace (</w:t>
      </w:r>
      <w:proofErr w:type="gramStart"/>
      <w:r w:rsidRPr="006B4DD5">
        <w:t>CZ.NIC</w:t>
      </w:r>
      <w:proofErr w:type="gramEnd"/>
      <w:r w:rsidRPr="006B4DD5">
        <w:t xml:space="preserve">), </w:t>
      </w:r>
      <w:proofErr w:type="spellStart"/>
      <w:r w:rsidRPr="006B4DD5">
        <w:t>kyberbezpečnost</w:t>
      </w:r>
      <w:proofErr w:type="spellEnd"/>
      <w:r w:rsidRPr="006B4DD5">
        <w:t xml:space="preserve"> (AFCEA), </w:t>
      </w:r>
      <w:proofErr w:type="spellStart"/>
      <w:r w:rsidRPr="006B4DD5">
        <w:t>Europeana</w:t>
      </w:r>
      <w:proofErr w:type="spellEnd"/>
      <w:r w:rsidRPr="006B4DD5">
        <w:t xml:space="preserve"> (Národní knihovna ČR), </w:t>
      </w:r>
      <w:proofErr w:type="spellStart"/>
      <w:r w:rsidRPr="006B4DD5">
        <w:t>eJustice</w:t>
      </w:r>
      <w:proofErr w:type="spellEnd"/>
      <w:r w:rsidRPr="006B4DD5">
        <w:t xml:space="preserve"> (Ministerstvo spravedlnosti), Open Data (Karlova univerzita a Masarykova univerzita) a Evropská platforma pro digitální vzdělávání a zaměstnanost - </w:t>
      </w:r>
      <w:proofErr w:type="spellStart"/>
      <w:r w:rsidRPr="006B4DD5">
        <w:t>Digikoalice</w:t>
      </w:r>
      <w:proofErr w:type="spellEnd"/>
      <w:r w:rsidRPr="006B4DD5">
        <w:t xml:space="preserve"> (Národní ústav pro vzdělávání). </w:t>
      </w:r>
      <w:r w:rsidRPr="004F1556">
        <w:t xml:space="preserve">V rámci pracovního programu </w:t>
      </w:r>
      <w:r w:rsidR="00F83227" w:rsidRPr="004F1556">
        <w:t>201</w:t>
      </w:r>
      <w:r w:rsidR="00F83227">
        <w:t>9</w:t>
      </w:r>
      <w:r w:rsidR="00F83227" w:rsidRPr="004F1556">
        <w:t xml:space="preserve"> </w:t>
      </w:r>
      <w:r w:rsidRPr="004F1556">
        <w:t xml:space="preserve">uspělo 6 projektů a byla čerpána částka ve výši </w:t>
      </w:r>
      <w:r w:rsidRPr="004F1556">
        <w:rPr>
          <w:bCs/>
        </w:rPr>
        <w:t xml:space="preserve">979 543 </w:t>
      </w:r>
      <w:r w:rsidRPr="004F1556">
        <w:t>EUR.</w:t>
      </w:r>
    </w:p>
    <w:p w14:paraId="0C3424E2" w14:textId="77777777" w:rsidR="002A18B5" w:rsidRPr="005E1666" w:rsidRDefault="002A18B5" w:rsidP="002A18B5">
      <w:r w:rsidRPr="004F1556">
        <w:t>V roce 2020</w:t>
      </w:r>
      <w:r w:rsidRPr="006B4DD5">
        <w:t xml:space="preserve"> jsou vypsány dvě výzvy pro předkládání návrhů na projekty s celkovým možným financováním ve výši </w:t>
      </w:r>
      <w:r w:rsidRPr="004F1556">
        <w:t xml:space="preserve">maximálně 67,4 mil. EUR. </w:t>
      </w:r>
      <w:r w:rsidRPr="006B4DD5">
        <w:t>První výzva byla ukončena a je nyní vyhodnocována, druhá výzva je otevřena a projekty mohou být předkládány do 25. listopadu 2020. O úspěšnosti zapojení českých subjektů ne</w:t>
      </w:r>
      <w:r w:rsidR="00402DD9">
        <w:t>jsou</w:t>
      </w:r>
      <w:r w:rsidRPr="006B4DD5">
        <w:t xml:space="preserve"> prozatím žádné informace.</w:t>
      </w:r>
    </w:p>
    <w:p w14:paraId="47779DEF" w14:textId="77777777" w:rsidR="002A18B5" w:rsidRPr="005E1666" w:rsidRDefault="002A18B5" w:rsidP="002A18B5">
      <w:pPr>
        <w:spacing w:after="60"/>
      </w:pPr>
      <w:r w:rsidRPr="004F1556">
        <w:t xml:space="preserve">Celkově bylo v rámci těchto výzev v období 2014-2020 vyčerpáno českými subjekty 7 188 187,50 EUR </w:t>
      </w:r>
      <w:r w:rsidRPr="006B4DD5">
        <w:t xml:space="preserve">(rok 2020 ještě probíhá). Jedná se o 26 úspěšných projektů, 9 projektů neprošlo hodnocením a byly vyřazeny EK a nedostaly doporučení pro financování. Z 9 neúspěšných projektů bylo 6 projektů podáno v letech 2015-2018 jedním žadatelem, jedná se o společnost </w:t>
      </w:r>
      <w:proofErr w:type="spellStart"/>
      <w:r w:rsidRPr="006B4DD5">
        <w:t>eDelivery</w:t>
      </w:r>
      <w:proofErr w:type="spellEnd"/>
      <w:r w:rsidRPr="006B4DD5">
        <w:t xml:space="preserve"> (dříve </w:t>
      </w:r>
      <w:proofErr w:type="spellStart"/>
      <w:r w:rsidRPr="006B4DD5">
        <w:t>ViaSky</w:t>
      </w:r>
      <w:proofErr w:type="spellEnd"/>
      <w:r w:rsidRPr="006B4DD5">
        <w:t>).</w:t>
      </w:r>
    </w:p>
    <w:p w14:paraId="52F2BDA1" w14:textId="77777777" w:rsidR="002A18B5" w:rsidRPr="007E3843" w:rsidRDefault="007E3843" w:rsidP="002A18B5">
      <w:pPr>
        <w:spacing w:after="60"/>
        <w:rPr>
          <w:b/>
        </w:rPr>
      </w:pPr>
      <w:r w:rsidRPr="007E3843">
        <w:rPr>
          <w:b/>
        </w:rPr>
        <w:t>CZ.PEPS</w:t>
      </w:r>
    </w:p>
    <w:p w14:paraId="4561A13B" w14:textId="77777777" w:rsidR="002A18B5" w:rsidRPr="007E3843" w:rsidRDefault="002A18B5" w:rsidP="006A1085">
      <w:r w:rsidRPr="006A1085">
        <w:t xml:space="preserve">Vlajkovou lodí mezi realizovanými projekty je úspěšný projekt „CZ.PEPS“ v rámci výzvy k elektronické identifikaci, v němž společnost </w:t>
      </w:r>
      <w:proofErr w:type="gramStart"/>
      <w:r w:rsidRPr="006A1085">
        <w:t>CZ.NIC</w:t>
      </w:r>
      <w:proofErr w:type="gramEnd"/>
      <w:r w:rsidRPr="006A1085">
        <w:t xml:space="preserve"> vyvinula národní </w:t>
      </w:r>
      <w:proofErr w:type="spellStart"/>
      <w:r w:rsidRPr="006A1085">
        <w:t>eIDAS</w:t>
      </w:r>
      <w:proofErr w:type="spellEnd"/>
      <w:r w:rsidRPr="006A1085">
        <w:t xml:space="preserve"> uzel, jenž je součástí Národního bodu pro identifikaci a autentizaci (NIA). Jedná se o řešení, které propojuje jednotlivé národní systémy a umožňuje online přihlašování „mezi členskými zeměmi“ ke službě poskytované v jednom členském státě prostřednictvím prostředku elektronické</w:t>
      </w:r>
      <w:r w:rsidRPr="007E3843">
        <w:t xml:space="preserve"> identifikace (například </w:t>
      </w:r>
      <w:proofErr w:type="spellStart"/>
      <w:r w:rsidRPr="007E3843">
        <w:t>eOP</w:t>
      </w:r>
      <w:proofErr w:type="spellEnd"/>
      <w:r w:rsidRPr="007E3843">
        <w:t>) vydaného v jiné členské zemi. V </w:t>
      </w:r>
      <w:r w:rsidR="00411C1F">
        <w:t>tomto</w:t>
      </w:r>
      <w:r w:rsidR="00411C1F" w:rsidRPr="007E3843">
        <w:t xml:space="preserve"> </w:t>
      </w:r>
      <w:r w:rsidRPr="007E3843">
        <w:t>případě jde o propojení mezi NIA a zahraničními systémy. </w:t>
      </w:r>
    </w:p>
    <w:p w14:paraId="4D7322CF" w14:textId="77777777" w:rsidR="002A18B5" w:rsidRPr="007E3843" w:rsidRDefault="007E3843" w:rsidP="002A18B5">
      <w:pPr>
        <w:spacing w:after="60"/>
        <w:rPr>
          <w:b/>
        </w:rPr>
      </w:pPr>
      <w:r>
        <w:rPr>
          <w:b/>
        </w:rPr>
        <w:t>WiFi4EU</w:t>
      </w:r>
    </w:p>
    <w:p w14:paraId="550B38E3" w14:textId="77777777" w:rsidR="002A18B5" w:rsidRPr="004F1556" w:rsidRDefault="002A18B5" w:rsidP="002A18B5">
      <w:pPr>
        <w:spacing w:after="60"/>
      </w:pPr>
      <w:r w:rsidRPr="004F1556">
        <w:t>Od roku 2018 je do programu CEF Telecom nově zařazeno téma na podporu vybudování internetového připojení na veřejných prostranstvích (WiFi4EU).</w:t>
      </w:r>
    </w:p>
    <w:p w14:paraId="2A924691" w14:textId="77777777" w:rsidR="002A18B5" w:rsidRPr="005E1666" w:rsidRDefault="002A18B5" w:rsidP="006A1085">
      <w:r w:rsidRPr="006B4DD5">
        <w:t>Rozpočet programu WiFi4EU činí 120 mil. EUR a je rozdělován geograficky vyváženým způsobem mezi členské státy a země EHP, které se účastní programu CEF Telecom. Voucher v hodnotě 15.000 EUR je přidělován v jednotlivých výzvách dle pořadí podání žádosti obcí zaznamenané</w:t>
      </w:r>
      <w:r w:rsidR="00381643">
        <w:t>m</w:t>
      </w:r>
      <w:r w:rsidRPr="006B4DD5">
        <w:t xml:space="preserve"> v informačním systému Komise a při splnění podmínek definova</w:t>
      </w:r>
      <w:r w:rsidRPr="005E1666">
        <w:t>ných ve výzvě.</w:t>
      </w:r>
    </w:p>
    <w:p w14:paraId="48A9E3F2" w14:textId="77777777" w:rsidR="002A18B5" w:rsidRPr="004F1556" w:rsidRDefault="002A18B5" w:rsidP="00210949">
      <w:pPr>
        <w:spacing w:after="0"/>
      </w:pPr>
      <w:r w:rsidRPr="005E1666">
        <w:t>Podání žádosti předchází registrace obcí na evropském portálu WiFi4EU. V ČR se na tento portál registrovalo více než 800 obcí. V den, kdy byla spuštěna první výzva, se během první hodiny stihlo přihlásit více než 10 000 obcí z celé EU (z ČR více než 400 obcí). Na portálu WiFi4EU se během hromadného podávání žádostí vyskytly technické problémy a po celou dobu otevřené výzvy byl mimo provoz. Nakonec, navzdory velkému zájmu a počtu doručených žádostí, byla Evropská komise nucena celou výzvu zrušit. Po důkladném šetření dospěla k závěru, že kvůli technické chybě nemohli žadatelé podat přihlášku za rovných podmínek. První výzva byla znovu otevřena na podzim roku 2018.</w:t>
      </w:r>
    </w:p>
    <w:p w14:paraId="389A8864" w14:textId="77777777" w:rsidR="002A18B5" w:rsidRPr="006B4DD5" w:rsidRDefault="002A18B5" w:rsidP="00F3791E">
      <w:r w:rsidRPr="004F1556">
        <w:t xml:space="preserve">V rámci první </w:t>
      </w:r>
      <w:r w:rsidRPr="006B4DD5">
        <w:t>(podzim 2018),</w:t>
      </w:r>
      <w:r w:rsidRPr="004F1556">
        <w:t xml:space="preserve"> druhé </w:t>
      </w:r>
      <w:r w:rsidRPr="006B4DD5">
        <w:t>(jaro 2019),</w:t>
      </w:r>
      <w:r w:rsidRPr="004F1556">
        <w:t xml:space="preserve"> třetí </w:t>
      </w:r>
      <w:r w:rsidRPr="006B4DD5">
        <w:t>(podzim 2019)</w:t>
      </w:r>
      <w:r w:rsidRPr="004F1556">
        <w:t xml:space="preserve"> a čtvrté výzvy </w:t>
      </w:r>
      <w:r w:rsidRPr="006B4DD5">
        <w:t>(jaro 2020)</w:t>
      </w:r>
      <w:r w:rsidRPr="004F1556">
        <w:t xml:space="preserve"> WiFi4EU </w:t>
      </w:r>
      <w:r w:rsidRPr="006B4DD5">
        <w:t>bylo v České republice úspěšných</w:t>
      </w:r>
      <w:r w:rsidRPr="004F1556">
        <w:t xml:space="preserve"> 356 obcí, </w:t>
      </w:r>
      <w:r w:rsidRPr="006B4DD5">
        <w:t>které obdržely poukázku v hodnotě 15 000 EUR</w:t>
      </w:r>
      <w:r w:rsidRPr="004F1556">
        <w:t xml:space="preserve"> </w:t>
      </w:r>
      <w:r w:rsidRPr="006B4DD5">
        <w:t>na vybudování</w:t>
      </w:r>
      <w:r w:rsidRPr="004F1556">
        <w:t xml:space="preserve"> </w:t>
      </w:r>
      <w:r w:rsidRPr="006B4DD5">
        <w:t>vysokorychlostního připojení k internetu pro místní komunity v centrech veřejného života.</w:t>
      </w:r>
    </w:p>
    <w:p w14:paraId="1B6F3720" w14:textId="77777777" w:rsidR="002A18B5" w:rsidRPr="004F1556" w:rsidRDefault="002A18B5" w:rsidP="002A18B5">
      <w:r w:rsidRPr="004F1556">
        <w:t xml:space="preserve">Celková částka přidělená </w:t>
      </w:r>
      <w:r w:rsidR="00F3791E">
        <w:t xml:space="preserve">356 </w:t>
      </w:r>
      <w:r w:rsidRPr="004F1556">
        <w:t>českým obcím za všechny čtyři výzvy 5 340 000 EUR.</w:t>
      </w:r>
    </w:p>
    <w:p w14:paraId="14A29574" w14:textId="77777777" w:rsidR="005E1666" w:rsidRDefault="005E1666" w:rsidP="004F1556">
      <w:pPr>
        <w:pStyle w:val="Podnadpis"/>
      </w:pPr>
      <w:r>
        <w:t>Seznam projektů:</w:t>
      </w:r>
    </w:p>
    <w:p w14:paraId="3C4C39EA" w14:textId="4C628453" w:rsidR="00354250" w:rsidRDefault="007C5AD2" w:rsidP="00D75D7A">
      <w:pPr>
        <w:rPr>
          <w:rStyle w:val="Hypertextovodkaz"/>
        </w:rPr>
      </w:pPr>
      <w:hyperlink r:id="rId11" w:history="1">
        <w:r w:rsidR="005E1666">
          <w:rPr>
            <w:rStyle w:val="Hypertextovodkaz"/>
          </w:rPr>
          <w:t>https://ec.europa.eu/inea/connecting-europe-facility/cef-telecom/projects-by-country</w:t>
        </w:r>
      </w:hyperlink>
    </w:p>
    <w:p w14:paraId="7A7B5404" w14:textId="77777777" w:rsidR="00354250" w:rsidRDefault="00354250">
      <w:pPr>
        <w:spacing w:after="0"/>
        <w:jc w:val="left"/>
        <w:rPr>
          <w:rStyle w:val="Hypertextovodkaz"/>
        </w:rPr>
      </w:pPr>
      <w:r>
        <w:rPr>
          <w:rStyle w:val="Hypertextovodkaz"/>
        </w:rPr>
        <w:br w:type="page"/>
      </w:r>
    </w:p>
    <w:p w14:paraId="53569761" w14:textId="77777777" w:rsidR="00CB7812" w:rsidRDefault="00CB7812" w:rsidP="00CB7812">
      <w:pPr>
        <w:pStyle w:val="Nadpis3"/>
      </w:pPr>
      <w:r>
        <w:t>Čerpání prostředků CEF</w:t>
      </w:r>
    </w:p>
    <w:p w14:paraId="3BFA481E" w14:textId="77777777" w:rsidR="00A60BE1" w:rsidRDefault="00A60BE1" w:rsidP="00A60BE1">
      <w:r>
        <w:t xml:space="preserve">Čerpání prostředků s rozlišením na výzvy CEF Telecom a iniciativu WIFI4EU znázorňuje tabulka </w:t>
      </w:r>
      <w:r w:rsidR="00A976BA">
        <w:t>11</w:t>
      </w:r>
      <w:r>
        <w:t>.</w:t>
      </w:r>
    </w:p>
    <w:p w14:paraId="0BAD859C" w14:textId="77777777" w:rsidR="00A60BE1" w:rsidRPr="00D35757" w:rsidRDefault="00A60BE1" w:rsidP="00A60BE1">
      <w:r>
        <w:t xml:space="preserve">Tabulka </w:t>
      </w:r>
      <w:r w:rsidR="00E651FA">
        <w:t>11</w:t>
      </w:r>
      <w:r>
        <w:t>: Čerpání prostředků v oblasti telekomunikací</w:t>
      </w:r>
    </w:p>
    <w:tbl>
      <w:tblPr>
        <w:tblStyle w:val="Mkatabulky"/>
        <w:tblW w:w="9214" w:type="dxa"/>
        <w:tblInd w:w="-5" w:type="dxa"/>
        <w:tblLook w:val="04A0" w:firstRow="1" w:lastRow="0" w:firstColumn="1" w:lastColumn="0" w:noHBand="0" w:noVBand="1"/>
      </w:tblPr>
      <w:tblGrid>
        <w:gridCol w:w="1985"/>
        <w:gridCol w:w="1843"/>
        <w:gridCol w:w="1275"/>
        <w:gridCol w:w="1560"/>
        <w:gridCol w:w="1275"/>
        <w:gridCol w:w="1276"/>
      </w:tblGrid>
      <w:tr w:rsidR="00CB7812" w14:paraId="76F3ECE5" w14:textId="77777777" w:rsidTr="004F1556">
        <w:trPr>
          <w:trHeight w:val="737"/>
        </w:trPr>
        <w:tc>
          <w:tcPr>
            <w:tcW w:w="1985" w:type="dxa"/>
            <w:tcBorders>
              <w:bottom w:val="nil"/>
            </w:tcBorders>
            <w:shd w:val="clear" w:color="auto" w:fill="D9D9D9" w:themeFill="background1" w:themeFillShade="D9"/>
            <w:vAlign w:val="center"/>
          </w:tcPr>
          <w:p w14:paraId="1AEB7BEE" w14:textId="77777777" w:rsidR="00CB7812" w:rsidRPr="0038402C" w:rsidRDefault="00CB7812" w:rsidP="004F1556">
            <w:pPr>
              <w:pStyle w:val="Prosttext"/>
              <w:rPr>
                <w:b/>
              </w:rPr>
            </w:pPr>
          </w:p>
        </w:tc>
        <w:tc>
          <w:tcPr>
            <w:tcW w:w="1843" w:type="dxa"/>
            <w:tcBorders>
              <w:bottom w:val="nil"/>
            </w:tcBorders>
            <w:shd w:val="clear" w:color="auto" w:fill="D9D9D9" w:themeFill="background1" w:themeFillShade="D9"/>
            <w:vAlign w:val="center"/>
          </w:tcPr>
          <w:p w14:paraId="56FE0D29" w14:textId="77777777" w:rsidR="00CB7812" w:rsidRPr="0038402C" w:rsidRDefault="00CB7812" w:rsidP="004F1556">
            <w:pPr>
              <w:pStyle w:val="Prosttext"/>
              <w:jc w:val="center"/>
              <w:rPr>
                <w:b/>
                <w:szCs w:val="20"/>
              </w:rPr>
            </w:pPr>
            <w:r w:rsidRPr="007A4B17">
              <w:rPr>
                <w:rFonts w:eastAsia="Times New Roman" w:cs="Calibri"/>
                <w:b/>
                <w:bCs/>
                <w:color w:val="000000"/>
                <w:szCs w:val="20"/>
                <w:lang w:eastAsia="cs-CZ"/>
              </w:rPr>
              <w:t>Schválené pro</w:t>
            </w:r>
            <w:r>
              <w:rPr>
                <w:rFonts w:eastAsia="Times New Roman" w:cs="Calibri"/>
                <w:b/>
                <w:bCs/>
                <w:color w:val="000000"/>
                <w:szCs w:val="20"/>
                <w:lang w:eastAsia="cs-CZ"/>
              </w:rPr>
              <w:t xml:space="preserve">jekty </w:t>
            </w:r>
            <w:r w:rsidRPr="007A4B17">
              <w:rPr>
                <w:rFonts w:eastAsia="Times New Roman" w:cs="Calibri"/>
                <w:b/>
                <w:bCs/>
                <w:color w:val="000000"/>
                <w:szCs w:val="20"/>
                <w:lang w:eastAsia="cs-CZ"/>
              </w:rPr>
              <w:t>(příspěvek CEF)</w:t>
            </w:r>
          </w:p>
        </w:tc>
        <w:tc>
          <w:tcPr>
            <w:tcW w:w="2835" w:type="dxa"/>
            <w:gridSpan w:val="2"/>
            <w:tcBorders>
              <w:bottom w:val="nil"/>
            </w:tcBorders>
            <w:shd w:val="clear" w:color="auto" w:fill="D9D9D9" w:themeFill="background1" w:themeFillShade="D9"/>
            <w:vAlign w:val="center"/>
          </w:tcPr>
          <w:p w14:paraId="6B4BC478" w14:textId="77777777" w:rsidR="00CB7812" w:rsidRDefault="00CB7812" w:rsidP="004F1556">
            <w:pPr>
              <w:pStyle w:val="Prosttext"/>
              <w:jc w:val="center"/>
              <w:rPr>
                <w:b/>
                <w:szCs w:val="20"/>
              </w:rPr>
            </w:pPr>
            <w:r>
              <w:rPr>
                <w:b/>
                <w:szCs w:val="20"/>
              </w:rPr>
              <w:t>Aktuální výše schváleného příspěvku CEF</w:t>
            </w:r>
          </w:p>
        </w:tc>
        <w:tc>
          <w:tcPr>
            <w:tcW w:w="2551" w:type="dxa"/>
            <w:gridSpan w:val="2"/>
            <w:tcBorders>
              <w:bottom w:val="nil"/>
            </w:tcBorders>
            <w:shd w:val="clear" w:color="auto" w:fill="D9D9D9" w:themeFill="background1" w:themeFillShade="D9"/>
            <w:vAlign w:val="center"/>
          </w:tcPr>
          <w:p w14:paraId="54BD22FB" w14:textId="77777777" w:rsidR="00CB7812" w:rsidRDefault="00CB7812" w:rsidP="004F1556">
            <w:pPr>
              <w:pStyle w:val="Prosttext"/>
              <w:jc w:val="center"/>
              <w:rPr>
                <w:b/>
                <w:szCs w:val="20"/>
              </w:rPr>
            </w:pPr>
            <w:r>
              <w:rPr>
                <w:b/>
                <w:szCs w:val="20"/>
              </w:rPr>
              <w:t>Výše obdržených plateb</w:t>
            </w:r>
          </w:p>
        </w:tc>
      </w:tr>
      <w:tr w:rsidR="00CB7812" w14:paraId="552E46AC" w14:textId="77777777" w:rsidTr="004F1556">
        <w:tc>
          <w:tcPr>
            <w:tcW w:w="1985" w:type="dxa"/>
            <w:tcBorders>
              <w:top w:val="nil"/>
            </w:tcBorders>
            <w:shd w:val="clear" w:color="auto" w:fill="D9D9D9" w:themeFill="background1" w:themeFillShade="D9"/>
          </w:tcPr>
          <w:p w14:paraId="06D3F4BF" w14:textId="77777777" w:rsidR="00CB7812" w:rsidRPr="0038402C" w:rsidRDefault="00CB7812" w:rsidP="004F1556">
            <w:pPr>
              <w:pStyle w:val="Prosttext"/>
              <w:rPr>
                <w:b/>
              </w:rPr>
            </w:pPr>
          </w:p>
        </w:tc>
        <w:tc>
          <w:tcPr>
            <w:tcW w:w="1843" w:type="dxa"/>
            <w:tcBorders>
              <w:top w:val="nil"/>
            </w:tcBorders>
            <w:shd w:val="clear" w:color="auto" w:fill="D9D9D9" w:themeFill="background1" w:themeFillShade="D9"/>
            <w:vAlign w:val="center"/>
          </w:tcPr>
          <w:p w14:paraId="0C60F811" w14:textId="77777777" w:rsidR="00CB7812" w:rsidRDefault="00CB7812" w:rsidP="004F1556">
            <w:pPr>
              <w:pStyle w:val="Prosttext"/>
              <w:jc w:val="center"/>
              <w:rPr>
                <w:b/>
                <w:szCs w:val="20"/>
              </w:rPr>
            </w:pPr>
            <w:r>
              <w:rPr>
                <w:b/>
                <w:szCs w:val="20"/>
              </w:rPr>
              <w:t>EUR</w:t>
            </w:r>
          </w:p>
        </w:tc>
        <w:tc>
          <w:tcPr>
            <w:tcW w:w="1275" w:type="dxa"/>
            <w:tcBorders>
              <w:top w:val="nil"/>
            </w:tcBorders>
            <w:shd w:val="clear" w:color="auto" w:fill="D9D9D9" w:themeFill="background1" w:themeFillShade="D9"/>
            <w:vAlign w:val="center"/>
          </w:tcPr>
          <w:p w14:paraId="7F194BE2" w14:textId="77777777" w:rsidR="00CB7812" w:rsidRDefault="00CB7812" w:rsidP="004F1556">
            <w:pPr>
              <w:pStyle w:val="Prosttext"/>
              <w:jc w:val="center"/>
              <w:rPr>
                <w:b/>
                <w:szCs w:val="20"/>
              </w:rPr>
            </w:pPr>
            <w:r>
              <w:rPr>
                <w:b/>
                <w:szCs w:val="20"/>
              </w:rPr>
              <w:t>EUR</w:t>
            </w:r>
          </w:p>
        </w:tc>
        <w:tc>
          <w:tcPr>
            <w:tcW w:w="1560" w:type="dxa"/>
            <w:tcBorders>
              <w:top w:val="nil"/>
            </w:tcBorders>
            <w:shd w:val="clear" w:color="auto" w:fill="D9D9D9" w:themeFill="background1" w:themeFillShade="D9"/>
            <w:vAlign w:val="center"/>
          </w:tcPr>
          <w:p w14:paraId="088127A6" w14:textId="77777777" w:rsidR="00CB7812" w:rsidRDefault="00CB7812" w:rsidP="004F1556">
            <w:pPr>
              <w:pStyle w:val="Prosttext"/>
              <w:jc w:val="center"/>
              <w:rPr>
                <w:b/>
                <w:szCs w:val="20"/>
              </w:rPr>
            </w:pPr>
            <w:r>
              <w:rPr>
                <w:b/>
                <w:szCs w:val="20"/>
              </w:rPr>
              <w:t xml:space="preserve">% </w:t>
            </w:r>
          </w:p>
          <w:p w14:paraId="5DDAB93C" w14:textId="77777777" w:rsidR="00CB7812" w:rsidRDefault="00CB7812" w:rsidP="004F1556">
            <w:pPr>
              <w:pStyle w:val="Prosttext"/>
              <w:jc w:val="center"/>
              <w:rPr>
                <w:b/>
                <w:szCs w:val="20"/>
              </w:rPr>
            </w:pPr>
            <w:r>
              <w:rPr>
                <w:b/>
                <w:szCs w:val="20"/>
              </w:rPr>
              <w:t>z původní výše příspěvku CEF</w:t>
            </w:r>
          </w:p>
        </w:tc>
        <w:tc>
          <w:tcPr>
            <w:tcW w:w="1275" w:type="dxa"/>
            <w:tcBorders>
              <w:top w:val="nil"/>
            </w:tcBorders>
            <w:shd w:val="clear" w:color="auto" w:fill="D9D9D9" w:themeFill="background1" w:themeFillShade="D9"/>
            <w:vAlign w:val="center"/>
          </w:tcPr>
          <w:p w14:paraId="2B0119E6" w14:textId="77777777" w:rsidR="00CB7812" w:rsidRDefault="00CB7812" w:rsidP="004F1556">
            <w:pPr>
              <w:pStyle w:val="Prosttext"/>
              <w:jc w:val="center"/>
              <w:rPr>
                <w:b/>
                <w:szCs w:val="20"/>
              </w:rPr>
            </w:pPr>
            <w:r>
              <w:rPr>
                <w:b/>
                <w:szCs w:val="20"/>
              </w:rPr>
              <w:t>EUR</w:t>
            </w:r>
          </w:p>
        </w:tc>
        <w:tc>
          <w:tcPr>
            <w:tcW w:w="1276" w:type="dxa"/>
            <w:tcBorders>
              <w:top w:val="nil"/>
            </w:tcBorders>
            <w:shd w:val="clear" w:color="auto" w:fill="D9D9D9" w:themeFill="background1" w:themeFillShade="D9"/>
            <w:vAlign w:val="center"/>
          </w:tcPr>
          <w:p w14:paraId="644B63FE" w14:textId="77777777" w:rsidR="00CB7812" w:rsidRDefault="00CB7812" w:rsidP="004F1556">
            <w:pPr>
              <w:pStyle w:val="Prosttext"/>
              <w:jc w:val="center"/>
              <w:rPr>
                <w:b/>
                <w:szCs w:val="20"/>
              </w:rPr>
            </w:pPr>
            <w:r>
              <w:rPr>
                <w:b/>
                <w:szCs w:val="20"/>
              </w:rPr>
              <w:t xml:space="preserve">% </w:t>
            </w:r>
          </w:p>
          <w:p w14:paraId="3B480681" w14:textId="77777777" w:rsidR="00CB7812" w:rsidRDefault="00CB7812" w:rsidP="004F1556">
            <w:pPr>
              <w:pStyle w:val="Prosttext"/>
              <w:jc w:val="center"/>
              <w:rPr>
                <w:b/>
                <w:szCs w:val="20"/>
              </w:rPr>
            </w:pPr>
            <w:r>
              <w:rPr>
                <w:b/>
                <w:szCs w:val="20"/>
              </w:rPr>
              <w:t>z příspěvku CEF</w:t>
            </w:r>
          </w:p>
        </w:tc>
      </w:tr>
      <w:tr w:rsidR="00CB7812" w:rsidRPr="004E7598" w14:paraId="2945E45A" w14:textId="77777777" w:rsidTr="004F1556">
        <w:tc>
          <w:tcPr>
            <w:tcW w:w="1985" w:type="dxa"/>
          </w:tcPr>
          <w:p w14:paraId="6B5A1D15" w14:textId="77777777" w:rsidR="00CB7812" w:rsidRPr="0038402C" w:rsidRDefault="00CB7812" w:rsidP="004F1556">
            <w:pPr>
              <w:pStyle w:val="Prosttext"/>
              <w:jc w:val="left"/>
              <w:rPr>
                <w:b/>
              </w:rPr>
            </w:pPr>
            <w:r>
              <w:rPr>
                <w:rFonts w:eastAsia="Times New Roman" w:cs="Calibri"/>
                <w:bCs/>
                <w:color w:val="000000"/>
                <w:szCs w:val="22"/>
                <w:lang w:eastAsia="cs-CZ"/>
              </w:rPr>
              <w:t>Výzvy CEF Telecom</w:t>
            </w:r>
          </w:p>
        </w:tc>
        <w:tc>
          <w:tcPr>
            <w:tcW w:w="1843" w:type="dxa"/>
            <w:shd w:val="clear" w:color="auto" w:fill="auto"/>
            <w:vAlign w:val="bottom"/>
          </w:tcPr>
          <w:p w14:paraId="7B1A9E58" w14:textId="77777777" w:rsidR="00CB7812" w:rsidRPr="004E7598" w:rsidRDefault="00CB7812">
            <w:pPr>
              <w:pStyle w:val="Prosttext"/>
              <w:jc w:val="right"/>
              <w:rPr>
                <w:rFonts w:eastAsia="Times New Roman" w:cs="Calibri"/>
                <w:color w:val="000000"/>
                <w:szCs w:val="20"/>
                <w:lang w:eastAsia="cs-CZ"/>
              </w:rPr>
            </w:pPr>
            <w:r w:rsidRPr="00CB7812">
              <w:rPr>
                <w:rFonts w:eastAsia="Times New Roman" w:cs="Calibri"/>
                <w:color w:val="000000"/>
                <w:szCs w:val="22"/>
                <w:lang w:eastAsia="cs-CZ"/>
              </w:rPr>
              <w:t xml:space="preserve">7 188 186 </w:t>
            </w:r>
          </w:p>
        </w:tc>
        <w:tc>
          <w:tcPr>
            <w:tcW w:w="1275" w:type="dxa"/>
            <w:shd w:val="clear" w:color="auto" w:fill="auto"/>
            <w:vAlign w:val="bottom"/>
          </w:tcPr>
          <w:p w14:paraId="47398F94" w14:textId="77777777" w:rsidR="00CB7812" w:rsidRPr="004E7598" w:rsidRDefault="00CB7812">
            <w:pPr>
              <w:pStyle w:val="Prosttext"/>
              <w:jc w:val="right"/>
              <w:rPr>
                <w:rFonts w:eastAsia="Times New Roman" w:cs="Calibri"/>
                <w:color w:val="000000"/>
                <w:szCs w:val="20"/>
                <w:lang w:eastAsia="cs-CZ"/>
              </w:rPr>
            </w:pPr>
            <w:r w:rsidRPr="00CB7812">
              <w:rPr>
                <w:rFonts w:eastAsia="Times New Roman" w:cs="Calibri"/>
                <w:color w:val="000000"/>
                <w:szCs w:val="22"/>
                <w:lang w:eastAsia="cs-CZ"/>
              </w:rPr>
              <w:t xml:space="preserve">7 188 186 </w:t>
            </w:r>
          </w:p>
        </w:tc>
        <w:tc>
          <w:tcPr>
            <w:tcW w:w="1560" w:type="dxa"/>
            <w:shd w:val="clear" w:color="auto" w:fill="auto"/>
            <w:vAlign w:val="bottom"/>
          </w:tcPr>
          <w:p w14:paraId="0645F31E" w14:textId="77777777" w:rsidR="00CB7812" w:rsidRPr="004E7598" w:rsidRDefault="00CB7812">
            <w:pPr>
              <w:pStyle w:val="Prosttext"/>
              <w:jc w:val="right"/>
              <w:rPr>
                <w:b/>
                <w:szCs w:val="20"/>
              </w:rPr>
            </w:pPr>
            <w:r w:rsidRPr="00CB7812">
              <w:rPr>
                <w:rFonts w:eastAsia="Times New Roman" w:cs="Calibri"/>
                <w:color w:val="000000"/>
                <w:szCs w:val="22"/>
                <w:lang w:eastAsia="cs-CZ"/>
              </w:rPr>
              <w:t>100</w:t>
            </w:r>
            <w:r w:rsidR="00A60BE1">
              <w:rPr>
                <w:rFonts w:eastAsia="Times New Roman" w:cs="Calibri"/>
                <w:color w:val="000000"/>
                <w:szCs w:val="22"/>
                <w:lang w:eastAsia="cs-CZ"/>
              </w:rPr>
              <w:t xml:space="preserve"> </w:t>
            </w:r>
            <w:r w:rsidRPr="00CB7812">
              <w:rPr>
                <w:rFonts w:eastAsia="Times New Roman" w:cs="Calibri"/>
                <w:color w:val="000000"/>
                <w:szCs w:val="22"/>
                <w:lang w:eastAsia="cs-CZ"/>
              </w:rPr>
              <w:t>%</w:t>
            </w:r>
          </w:p>
        </w:tc>
        <w:tc>
          <w:tcPr>
            <w:tcW w:w="1275" w:type="dxa"/>
            <w:vMerge w:val="restart"/>
            <w:shd w:val="clear" w:color="auto" w:fill="auto"/>
            <w:vAlign w:val="center"/>
          </w:tcPr>
          <w:p w14:paraId="448C6AEA" w14:textId="77777777" w:rsidR="00CB7812" w:rsidRPr="004E7598" w:rsidRDefault="00CB7812">
            <w:pPr>
              <w:pStyle w:val="Prosttext"/>
              <w:jc w:val="right"/>
              <w:rPr>
                <w:b/>
                <w:szCs w:val="20"/>
              </w:rPr>
            </w:pPr>
            <w:r>
              <w:rPr>
                <w:rFonts w:eastAsia="Times New Roman" w:cs="Calibri"/>
                <w:color w:val="000000"/>
                <w:szCs w:val="22"/>
                <w:lang w:eastAsia="cs-CZ"/>
              </w:rPr>
              <w:t>7 000 000</w:t>
            </w:r>
          </w:p>
        </w:tc>
        <w:tc>
          <w:tcPr>
            <w:tcW w:w="1276" w:type="dxa"/>
            <w:vMerge w:val="restart"/>
            <w:shd w:val="clear" w:color="auto" w:fill="auto"/>
            <w:vAlign w:val="center"/>
          </w:tcPr>
          <w:p w14:paraId="59EE6281" w14:textId="77777777" w:rsidR="00CB7812" w:rsidRPr="004E7598" w:rsidRDefault="00A60BE1">
            <w:pPr>
              <w:pStyle w:val="Prosttext"/>
              <w:jc w:val="right"/>
              <w:rPr>
                <w:b/>
                <w:szCs w:val="20"/>
              </w:rPr>
            </w:pPr>
            <w:r>
              <w:rPr>
                <w:rFonts w:eastAsia="Times New Roman" w:cs="Calibri"/>
                <w:color w:val="000000"/>
                <w:szCs w:val="22"/>
                <w:lang w:eastAsia="cs-CZ"/>
              </w:rPr>
              <w:t>56 %</w:t>
            </w:r>
          </w:p>
        </w:tc>
      </w:tr>
      <w:tr w:rsidR="00CB7812" w:rsidRPr="004E7598" w14:paraId="35BF6FBD" w14:textId="77777777" w:rsidTr="004F1556">
        <w:tc>
          <w:tcPr>
            <w:tcW w:w="1985" w:type="dxa"/>
          </w:tcPr>
          <w:p w14:paraId="79562357" w14:textId="77777777" w:rsidR="00CB7812" w:rsidRPr="0038402C" w:rsidRDefault="00CB7812" w:rsidP="004F1556">
            <w:pPr>
              <w:pStyle w:val="Prosttext"/>
              <w:jc w:val="left"/>
              <w:rPr>
                <w:b/>
              </w:rPr>
            </w:pPr>
            <w:r>
              <w:rPr>
                <w:rFonts w:eastAsia="Times New Roman" w:cs="Calibri"/>
                <w:bCs/>
                <w:color w:val="000000"/>
                <w:szCs w:val="22"/>
                <w:lang w:eastAsia="cs-CZ"/>
              </w:rPr>
              <w:t>WIFI4EU</w:t>
            </w:r>
          </w:p>
        </w:tc>
        <w:tc>
          <w:tcPr>
            <w:tcW w:w="1843" w:type="dxa"/>
            <w:shd w:val="clear" w:color="auto" w:fill="auto"/>
            <w:vAlign w:val="bottom"/>
          </w:tcPr>
          <w:p w14:paraId="7896A7DB" w14:textId="77777777" w:rsidR="00CB7812" w:rsidRPr="004E7598" w:rsidRDefault="00CB7812">
            <w:pPr>
              <w:pStyle w:val="Prosttext"/>
              <w:jc w:val="right"/>
              <w:rPr>
                <w:rFonts w:eastAsia="Times New Roman" w:cs="Calibri"/>
                <w:color w:val="000000"/>
                <w:szCs w:val="20"/>
                <w:lang w:eastAsia="cs-CZ"/>
              </w:rPr>
            </w:pPr>
            <w:r w:rsidRPr="00CB7812">
              <w:rPr>
                <w:rFonts w:eastAsia="Times New Roman" w:cs="Calibri"/>
                <w:color w:val="000000"/>
                <w:szCs w:val="22"/>
                <w:lang w:eastAsia="cs-CZ"/>
              </w:rPr>
              <w:t xml:space="preserve">5 340 000 </w:t>
            </w:r>
          </w:p>
        </w:tc>
        <w:tc>
          <w:tcPr>
            <w:tcW w:w="1275" w:type="dxa"/>
            <w:shd w:val="clear" w:color="auto" w:fill="auto"/>
            <w:vAlign w:val="bottom"/>
          </w:tcPr>
          <w:p w14:paraId="46B26216" w14:textId="77777777" w:rsidR="00CB7812" w:rsidRPr="004E7598" w:rsidRDefault="00CB7812">
            <w:pPr>
              <w:pStyle w:val="Prosttext"/>
              <w:jc w:val="right"/>
              <w:rPr>
                <w:rFonts w:eastAsia="Times New Roman" w:cs="Calibri"/>
                <w:color w:val="000000"/>
                <w:szCs w:val="20"/>
                <w:lang w:eastAsia="cs-CZ"/>
              </w:rPr>
            </w:pPr>
            <w:r w:rsidRPr="00CB7812">
              <w:rPr>
                <w:rFonts w:eastAsia="Times New Roman" w:cs="Calibri"/>
                <w:color w:val="000000"/>
                <w:szCs w:val="22"/>
                <w:lang w:eastAsia="cs-CZ"/>
              </w:rPr>
              <w:t xml:space="preserve">5 340 000 </w:t>
            </w:r>
          </w:p>
        </w:tc>
        <w:tc>
          <w:tcPr>
            <w:tcW w:w="1560" w:type="dxa"/>
            <w:shd w:val="clear" w:color="auto" w:fill="auto"/>
            <w:vAlign w:val="bottom"/>
          </w:tcPr>
          <w:p w14:paraId="4469C4A0" w14:textId="77777777" w:rsidR="00CB7812" w:rsidRPr="004E7598" w:rsidRDefault="00CB7812">
            <w:pPr>
              <w:pStyle w:val="Prosttext"/>
              <w:jc w:val="right"/>
              <w:rPr>
                <w:b/>
                <w:szCs w:val="20"/>
              </w:rPr>
            </w:pPr>
            <w:r w:rsidRPr="00CB7812">
              <w:rPr>
                <w:rFonts w:eastAsia="Times New Roman" w:cs="Calibri"/>
                <w:color w:val="000000"/>
                <w:szCs w:val="22"/>
                <w:lang w:eastAsia="cs-CZ"/>
              </w:rPr>
              <w:t>100</w:t>
            </w:r>
            <w:r w:rsidR="00A60BE1">
              <w:rPr>
                <w:rFonts w:eastAsia="Times New Roman" w:cs="Calibri"/>
                <w:color w:val="000000"/>
                <w:szCs w:val="22"/>
                <w:lang w:eastAsia="cs-CZ"/>
              </w:rPr>
              <w:t xml:space="preserve"> </w:t>
            </w:r>
            <w:r w:rsidRPr="00CB7812">
              <w:rPr>
                <w:rFonts w:eastAsia="Times New Roman" w:cs="Calibri"/>
                <w:color w:val="000000"/>
                <w:szCs w:val="22"/>
                <w:lang w:eastAsia="cs-CZ"/>
              </w:rPr>
              <w:t>%</w:t>
            </w:r>
          </w:p>
        </w:tc>
        <w:tc>
          <w:tcPr>
            <w:tcW w:w="1275" w:type="dxa"/>
            <w:vMerge/>
            <w:shd w:val="clear" w:color="auto" w:fill="auto"/>
            <w:vAlign w:val="bottom"/>
          </w:tcPr>
          <w:p w14:paraId="28A917C7" w14:textId="77777777" w:rsidR="00CB7812" w:rsidRPr="004E7598" w:rsidRDefault="00CB7812">
            <w:pPr>
              <w:pStyle w:val="Prosttext"/>
              <w:jc w:val="right"/>
              <w:rPr>
                <w:b/>
                <w:szCs w:val="20"/>
              </w:rPr>
            </w:pPr>
          </w:p>
        </w:tc>
        <w:tc>
          <w:tcPr>
            <w:tcW w:w="1276" w:type="dxa"/>
            <w:vMerge/>
            <w:shd w:val="clear" w:color="auto" w:fill="auto"/>
            <w:vAlign w:val="bottom"/>
          </w:tcPr>
          <w:p w14:paraId="7A01E51D" w14:textId="77777777" w:rsidR="00CB7812" w:rsidRPr="004E7598" w:rsidRDefault="00CB7812">
            <w:pPr>
              <w:pStyle w:val="Prosttext"/>
              <w:jc w:val="right"/>
              <w:rPr>
                <w:b/>
                <w:szCs w:val="20"/>
              </w:rPr>
            </w:pPr>
          </w:p>
        </w:tc>
      </w:tr>
      <w:tr w:rsidR="00A60BE1" w:rsidRPr="0038402C" w14:paraId="34FB22B0" w14:textId="77777777" w:rsidTr="004F1556">
        <w:tc>
          <w:tcPr>
            <w:tcW w:w="1985" w:type="dxa"/>
            <w:shd w:val="clear" w:color="auto" w:fill="D9D9D9" w:themeFill="background1" w:themeFillShade="D9"/>
          </w:tcPr>
          <w:p w14:paraId="0C2E7636" w14:textId="77777777" w:rsidR="00A60BE1" w:rsidRPr="0038402C" w:rsidRDefault="00A60BE1" w:rsidP="004F1556">
            <w:pPr>
              <w:pStyle w:val="Prosttext"/>
              <w:jc w:val="left"/>
              <w:rPr>
                <w:b/>
              </w:rPr>
            </w:pPr>
            <w:r>
              <w:rPr>
                <w:b/>
              </w:rPr>
              <w:t>CELKEM</w:t>
            </w:r>
          </w:p>
        </w:tc>
        <w:tc>
          <w:tcPr>
            <w:tcW w:w="1843" w:type="dxa"/>
            <w:shd w:val="clear" w:color="auto" w:fill="D9D9D9" w:themeFill="background1" w:themeFillShade="D9"/>
            <w:vAlign w:val="bottom"/>
          </w:tcPr>
          <w:p w14:paraId="6D79B335" w14:textId="77777777" w:rsidR="00A60BE1" w:rsidRPr="0038402C" w:rsidRDefault="00A60BE1">
            <w:pPr>
              <w:pStyle w:val="Prosttext"/>
              <w:jc w:val="right"/>
              <w:rPr>
                <w:b/>
              </w:rPr>
            </w:pPr>
            <w:r w:rsidRPr="00CB7812">
              <w:rPr>
                <w:rFonts w:eastAsia="Times New Roman" w:cs="Calibri"/>
                <w:color w:val="000000"/>
                <w:szCs w:val="22"/>
                <w:lang w:eastAsia="cs-CZ"/>
              </w:rPr>
              <w:t xml:space="preserve">12 528 186 </w:t>
            </w:r>
          </w:p>
        </w:tc>
        <w:tc>
          <w:tcPr>
            <w:tcW w:w="1275" w:type="dxa"/>
            <w:shd w:val="clear" w:color="auto" w:fill="D9D9D9" w:themeFill="background1" w:themeFillShade="D9"/>
            <w:vAlign w:val="bottom"/>
          </w:tcPr>
          <w:p w14:paraId="70DCDDEE" w14:textId="77777777" w:rsidR="00A60BE1" w:rsidRPr="0038402C" w:rsidRDefault="00A60BE1">
            <w:pPr>
              <w:pStyle w:val="Prosttext"/>
              <w:jc w:val="right"/>
              <w:rPr>
                <w:b/>
              </w:rPr>
            </w:pPr>
            <w:r w:rsidRPr="00CB7812">
              <w:rPr>
                <w:rFonts w:eastAsia="Times New Roman" w:cs="Calibri"/>
                <w:color w:val="000000"/>
                <w:szCs w:val="22"/>
                <w:lang w:eastAsia="cs-CZ"/>
              </w:rPr>
              <w:t xml:space="preserve">12 528 186 </w:t>
            </w:r>
          </w:p>
        </w:tc>
        <w:tc>
          <w:tcPr>
            <w:tcW w:w="1560" w:type="dxa"/>
            <w:shd w:val="clear" w:color="auto" w:fill="D9D9D9" w:themeFill="background1" w:themeFillShade="D9"/>
            <w:vAlign w:val="bottom"/>
          </w:tcPr>
          <w:p w14:paraId="643AE008" w14:textId="77777777" w:rsidR="00A60BE1" w:rsidRPr="0038402C" w:rsidRDefault="00A60BE1">
            <w:pPr>
              <w:pStyle w:val="Prosttext"/>
              <w:jc w:val="right"/>
              <w:rPr>
                <w:b/>
              </w:rPr>
            </w:pPr>
            <w:r w:rsidRPr="00CB7812">
              <w:rPr>
                <w:rFonts w:eastAsia="Times New Roman" w:cs="Calibri"/>
                <w:color w:val="000000"/>
                <w:szCs w:val="22"/>
                <w:lang w:eastAsia="cs-CZ"/>
              </w:rPr>
              <w:t>100</w:t>
            </w:r>
            <w:r>
              <w:rPr>
                <w:rFonts w:eastAsia="Times New Roman" w:cs="Calibri"/>
                <w:color w:val="000000"/>
                <w:szCs w:val="22"/>
                <w:lang w:eastAsia="cs-CZ"/>
              </w:rPr>
              <w:t xml:space="preserve"> </w:t>
            </w:r>
            <w:r w:rsidRPr="00CB7812">
              <w:rPr>
                <w:rFonts w:eastAsia="Times New Roman" w:cs="Calibri"/>
                <w:color w:val="000000"/>
                <w:szCs w:val="22"/>
                <w:lang w:eastAsia="cs-CZ"/>
              </w:rPr>
              <w:t>%</w:t>
            </w:r>
          </w:p>
        </w:tc>
        <w:tc>
          <w:tcPr>
            <w:tcW w:w="1275" w:type="dxa"/>
            <w:shd w:val="clear" w:color="auto" w:fill="D9D9D9" w:themeFill="background1" w:themeFillShade="D9"/>
            <w:vAlign w:val="bottom"/>
          </w:tcPr>
          <w:p w14:paraId="41B17463" w14:textId="77777777" w:rsidR="00A60BE1" w:rsidRPr="0038402C" w:rsidRDefault="00A60BE1">
            <w:pPr>
              <w:pStyle w:val="Prosttext"/>
              <w:jc w:val="right"/>
              <w:rPr>
                <w:b/>
              </w:rPr>
            </w:pPr>
            <w:r w:rsidRPr="00CB7812">
              <w:rPr>
                <w:rFonts w:eastAsia="Times New Roman" w:cs="Calibri"/>
                <w:color w:val="000000"/>
                <w:szCs w:val="22"/>
                <w:lang w:eastAsia="cs-CZ"/>
              </w:rPr>
              <w:t xml:space="preserve">7 000 000 </w:t>
            </w:r>
          </w:p>
        </w:tc>
        <w:tc>
          <w:tcPr>
            <w:tcW w:w="1276" w:type="dxa"/>
            <w:shd w:val="clear" w:color="auto" w:fill="D9D9D9" w:themeFill="background1" w:themeFillShade="D9"/>
            <w:vAlign w:val="bottom"/>
          </w:tcPr>
          <w:p w14:paraId="4FCADFDE" w14:textId="77777777" w:rsidR="00A60BE1" w:rsidRPr="0038402C" w:rsidRDefault="00A60BE1">
            <w:pPr>
              <w:pStyle w:val="Prosttext"/>
              <w:jc w:val="right"/>
              <w:rPr>
                <w:b/>
              </w:rPr>
            </w:pPr>
            <w:r w:rsidRPr="00CB7812">
              <w:rPr>
                <w:rFonts w:eastAsia="Times New Roman" w:cs="Calibri"/>
                <w:color w:val="000000"/>
                <w:szCs w:val="22"/>
                <w:lang w:eastAsia="cs-CZ"/>
              </w:rPr>
              <w:t>56</w:t>
            </w:r>
            <w:r>
              <w:rPr>
                <w:rFonts w:eastAsia="Times New Roman" w:cs="Calibri"/>
                <w:color w:val="000000"/>
                <w:szCs w:val="22"/>
                <w:lang w:eastAsia="cs-CZ"/>
              </w:rPr>
              <w:t xml:space="preserve"> </w:t>
            </w:r>
            <w:r w:rsidRPr="00CB7812">
              <w:rPr>
                <w:rFonts w:eastAsia="Times New Roman" w:cs="Calibri"/>
                <w:color w:val="000000"/>
                <w:szCs w:val="22"/>
                <w:lang w:eastAsia="cs-CZ"/>
              </w:rPr>
              <w:t>%</w:t>
            </w:r>
          </w:p>
        </w:tc>
      </w:tr>
    </w:tbl>
    <w:p w14:paraId="216E8804" w14:textId="77777777" w:rsidR="00CB7812" w:rsidRDefault="00CB7812" w:rsidP="00D75D7A"/>
    <w:p w14:paraId="2864BF45" w14:textId="77777777" w:rsidR="00A60BE1" w:rsidRDefault="00A60BE1" w:rsidP="00A60BE1">
      <w:pPr>
        <w:sectPr w:rsidR="00A60BE1" w:rsidSect="00872459">
          <w:pgSz w:w="11906" w:h="16838"/>
          <w:pgMar w:top="1258" w:right="1417" w:bottom="1258" w:left="1417" w:header="708" w:footer="708" w:gutter="0"/>
          <w:cols w:space="708"/>
          <w:docGrid w:linePitch="360"/>
        </w:sectPr>
      </w:pPr>
      <w:r>
        <w:t>Čerpání (výše obdržených plateb) nelze přesně vyčíslit, jedná se o všechny dokončené projekty 4.284.910 EUR, k těmto prostředkům byl</w:t>
      </w:r>
      <w:r w:rsidR="00716F36">
        <w:t>a</w:t>
      </w:r>
      <w:r>
        <w:t xml:space="preserve"> připočtena část plateb u projektů v realizaci a některé proplacené vouchery WiFi4EU.</w:t>
      </w:r>
    </w:p>
    <w:p w14:paraId="3C0A8E49" w14:textId="77777777" w:rsidR="00A60BE1" w:rsidRDefault="00A60BE1" w:rsidP="00A60BE1"/>
    <w:p w14:paraId="7C0166A6" w14:textId="77777777" w:rsidR="00B03BB6" w:rsidRDefault="00D75D7A" w:rsidP="00D75D7A">
      <w:pPr>
        <w:pStyle w:val="Nadpis1"/>
      </w:pPr>
      <w:r>
        <w:t>Stav přípravy CEF</w:t>
      </w:r>
      <w:r w:rsidR="00073B95">
        <w:t xml:space="preserve"> </w:t>
      </w:r>
      <w:r>
        <w:t>2</w:t>
      </w:r>
    </w:p>
    <w:p w14:paraId="5CCBF03B" w14:textId="77777777" w:rsidR="00D75D7A" w:rsidRDefault="00073B95" w:rsidP="007E111C">
      <w:r>
        <w:t xml:space="preserve">Program CEF bude existovat i v období 2021 – 2027, bude opět zaměřen na </w:t>
      </w:r>
      <w:r w:rsidR="007E111C">
        <w:t xml:space="preserve">transevropské sítě v oblasti </w:t>
      </w:r>
      <w:r>
        <w:t>dopravy</w:t>
      </w:r>
      <w:r w:rsidR="007E111C">
        <w:t>, energetiky</w:t>
      </w:r>
      <w:r w:rsidR="007E111C" w:rsidRPr="007E111C">
        <w:t xml:space="preserve"> </w:t>
      </w:r>
      <w:r w:rsidR="007E111C">
        <w:t>a telekomunikací (resp. „digitálního odvětví)</w:t>
      </w:r>
      <w:r>
        <w:t>.</w:t>
      </w:r>
      <w:r w:rsidR="007E111C">
        <w:t xml:space="preserve"> Oproti CEF 2014 – 2020 bude mít oblast telekomunikací v gesci primárně MPO, neboť zaměření v této oblasti se posunulo více směrem k zavádění digitálních sítí s velmi vysokou kapacitou a systémů 5G, které je v gesci MPO.</w:t>
      </w:r>
    </w:p>
    <w:p w14:paraId="16CBE014" w14:textId="77777777" w:rsidR="007E111C" w:rsidRPr="007E111C" w:rsidRDefault="007E111C" w:rsidP="007E111C">
      <w:r>
        <w:t xml:space="preserve">Klíčové normy pro CEF 2, tj. víceletý finanční rámec 2021 – 2027 a nařízení k CEF, nebyly dosud schváleny. </w:t>
      </w:r>
      <w:r w:rsidR="001A5051">
        <w:t>U</w:t>
      </w:r>
      <w:r>
        <w:t>vedené informace vychází z aktuálních dokumentů.</w:t>
      </w:r>
    </w:p>
    <w:p w14:paraId="26600E2C" w14:textId="77777777" w:rsidR="007E111C" w:rsidRDefault="007E111C" w:rsidP="007E111C">
      <w:pPr>
        <w:pStyle w:val="Nadpis2"/>
      </w:pPr>
      <w:r>
        <w:t>Legislativa</w:t>
      </w:r>
    </w:p>
    <w:p w14:paraId="4E0C7C95" w14:textId="7BCAD017" w:rsidR="007E111C" w:rsidRDefault="00D606EC" w:rsidP="007E111C">
      <w:r>
        <w:t>Na v</w:t>
      </w:r>
      <w:r w:rsidR="007E111C">
        <w:t>ícelet</w:t>
      </w:r>
      <w:r>
        <w:t>ém</w:t>
      </w:r>
      <w:r w:rsidR="007E111C">
        <w:t xml:space="preserve"> finanční</w:t>
      </w:r>
      <w:r>
        <w:t>m</w:t>
      </w:r>
      <w:r w:rsidR="007E111C">
        <w:t xml:space="preserve"> rám</w:t>
      </w:r>
      <w:r>
        <w:t>ci</w:t>
      </w:r>
      <w:r w:rsidR="007E111C">
        <w:t xml:space="preserve"> 2021 – 2027 (VFR), který stanovuje alokaci CEF </w:t>
      </w:r>
      <w:r w:rsidR="00713AB7">
        <w:t xml:space="preserve">2 </w:t>
      </w:r>
      <w:r w:rsidR="007E111C">
        <w:t>a některé klíčové parametry, byl</w:t>
      </w:r>
      <w:r>
        <w:t>a nalezena shoda Evropské rady dne</w:t>
      </w:r>
      <w:r w:rsidR="007E111C">
        <w:t xml:space="preserve"> </w:t>
      </w:r>
      <w:r w:rsidR="00FF6FB9">
        <w:t>21</w:t>
      </w:r>
      <w:r w:rsidR="007E111C">
        <w:t xml:space="preserve">. července </w:t>
      </w:r>
      <w:r w:rsidR="00FF6FB9">
        <w:t>2020</w:t>
      </w:r>
      <w:r w:rsidR="007E111C">
        <w:t xml:space="preserve">. </w:t>
      </w:r>
      <w:r>
        <w:t xml:space="preserve">Nyní k němu probíhají trialogy mezi Radou, EK a EP. </w:t>
      </w:r>
      <w:r w:rsidR="007E111C">
        <w:t xml:space="preserve">Nařízení k CEF bylo </w:t>
      </w:r>
      <w:r w:rsidR="00A527AF">
        <w:t xml:space="preserve">předběžně </w:t>
      </w:r>
      <w:r w:rsidR="007E111C">
        <w:t xml:space="preserve">schváleno v Radě již na jaře 2019, nyní se </w:t>
      </w:r>
      <w:r w:rsidR="00A527AF">
        <w:t>do něj implementují ustanovení z VFR</w:t>
      </w:r>
      <w:r w:rsidR="007E111C">
        <w:t>.</w:t>
      </w:r>
      <w:r w:rsidR="00A527AF">
        <w:t xml:space="preserve"> </w:t>
      </w:r>
      <w:r w:rsidR="007E111C">
        <w:t>Ke schválení obou norem je ještě potřeba souhlas Evropského parlamentu, lze tedy očekávat, že ještě dojde k </w:t>
      </w:r>
      <w:r w:rsidR="00C65934">
        <w:t xml:space="preserve">dílčím </w:t>
      </w:r>
      <w:r w:rsidR="007E111C">
        <w:t>změnám.</w:t>
      </w:r>
    </w:p>
    <w:p w14:paraId="50144EB9" w14:textId="77777777" w:rsidR="00985953" w:rsidRDefault="00985953" w:rsidP="00985953">
      <w:r>
        <w:t>Celkem by mělo být z rozpočtu EU na realizaci CEF 2 na období 20</w:t>
      </w:r>
      <w:r w:rsidR="00FF6FB9">
        <w:t>21</w:t>
      </w:r>
      <w:r>
        <w:t xml:space="preserve"> až 202</w:t>
      </w:r>
      <w:r w:rsidR="00FF6FB9">
        <w:t>7</w:t>
      </w:r>
      <w:r>
        <w:t xml:space="preserve"> vyčleněno </w:t>
      </w:r>
      <w:r w:rsidRPr="00985953">
        <w:t>33 710 000 000</w:t>
      </w:r>
      <w:r>
        <w:t xml:space="preserve"> EUR v běžných cenách, tj. o cca 3 mld. EUR více než v předchozím období. Z této částky připadá na (v závorkách alokace CEF 2014 – 2020):</w:t>
      </w:r>
    </w:p>
    <w:p w14:paraId="361CECF1" w14:textId="77777777" w:rsidR="00985953" w:rsidRDefault="00985953" w:rsidP="004F1556">
      <w:pPr>
        <w:pStyle w:val="normln-odrky"/>
        <w:numPr>
          <w:ilvl w:val="0"/>
          <w:numId w:val="34"/>
        </w:numPr>
      </w:pPr>
      <w:r>
        <w:t xml:space="preserve">odvětví dopravy: </w:t>
      </w:r>
      <w:r>
        <w:tab/>
      </w:r>
      <w:r>
        <w:tab/>
      </w:r>
      <w:r>
        <w:tab/>
      </w:r>
      <w:r w:rsidRPr="00985953">
        <w:t>25 807 000</w:t>
      </w:r>
      <w:r>
        <w:t> </w:t>
      </w:r>
      <w:r w:rsidRPr="00985953">
        <w:t>000</w:t>
      </w:r>
      <w:r>
        <w:t xml:space="preserve"> EUR (24 050 582 000 EUR)</w:t>
      </w:r>
    </w:p>
    <w:p w14:paraId="0EBABC4F" w14:textId="77777777" w:rsidR="00985953" w:rsidRDefault="00985953" w:rsidP="004F1556">
      <w:pPr>
        <w:pStyle w:val="normln-odrky"/>
        <w:numPr>
          <w:ilvl w:val="0"/>
          <w:numId w:val="0"/>
        </w:numPr>
        <w:ind w:left="720" w:firstLine="696"/>
      </w:pPr>
      <w:r>
        <w:t xml:space="preserve">z toho </w:t>
      </w:r>
      <w:r>
        <w:tab/>
        <w:t xml:space="preserve">- kohezní obálka </w:t>
      </w:r>
      <w:r>
        <w:tab/>
        <w:t>11 286 000 000 EUR (11 305 500 000 EUR);</w:t>
      </w:r>
    </w:p>
    <w:p w14:paraId="2CD6E59D" w14:textId="63F40C26" w:rsidR="00985953" w:rsidRDefault="00985953" w:rsidP="004F1556">
      <w:pPr>
        <w:pStyle w:val="normln-odrky"/>
        <w:numPr>
          <w:ilvl w:val="0"/>
          <w:numId w:val="0"/>
        </w:numPr>
        <w:ind w:left="720" w:firstLine="696"/>
      </w:pPr>
      <w:r>
        <w:tab/>
        <w:t xml:space="preserve">- vojenská mobilita </w:t>
      </w:r>
      <w:r>
        <w:tab/>
        <w:t xml:space="preserve">   </w:t>
      </w:r>
      <w:r w:rsidR="00C65934">
        <w:tab/>
        <w:t xml:space="preserve">   </w:t>
      </w:r>
      <w:r>
        <w:rPr>
          <w:noProof/>
        </w:rPr>
        <w:t>1 691 000 000 EUR (0 EUR);</w:t>
      </w:r>
    </w:p>
    <w:p w14:paraId="4B337361" w14:textId="77777777" w:rsidR="00985953" w:rsidRDefault="00985953" w:rsidP="004F1556">
      <w:pPr>
        <w:pStyle w:val="normln-odrky"/>
        <w:numPr>
          <w:ilvl w:val="0"/>
          <w:numId w:val="34"/>
        </w:numPr>
      </w:pPr>
      <w:r>
        <w:t>digitá</w:t>
      </w:r>
      <w:r w:rsidR="00A90324">
        <w:t>l</w:t>
      </w:r>
      <w:r>
        <w:t>ní odvětví (telekomunikace):</w:t>
      </w:r>
      <w:r>
        <w:tab/>
        <w:t xml:space="preserve">   </w:t>
      </w:r>
      <w:r w:rsidRPr="00985953">
        <w:t>2 065 000</w:t>
      </w:r>
      <w:r>
        <w:t> </w:t>
      </w:r>
      <w:r w:rsidRPr="00985953">
        <w:t>000</w:t>
      </w:r>
      <w:r>
        <w:t xml:space="preserve"> EUR (1 066 602 000 EUR);</w:t>
      </w:r>
    </w:p>
    <w:p w14:paraId="0FDE24B0" w14:textId="77777777" w:rsidR="00985953" w:rsidRDefault="00985953" w:rsidP="004F1556">
      <w:pPr>
        <w:pStyle w:val="normln-odrky"/>
        <w:numPr>
          <w:ilvl w:val="0"/>
          <w:numId w:val="34"/>
        </w:numPr>
      </w:pPr>
      <w:r>
        <w:t xml:space="preserve">odvětví energetiky: </w:t>
      </w:r>
      <w:r>
        <w:tab/>
      </w:r>
      <w:r>
        <w:tab/>
      </w:r>
      <w:r>
        <w:tab/>
        <w:t xml:space="preserve">   </w:t>
      </w:r>
      <w:r w:rsidRPr="00985953">
        <w:t>5 838 000</w:t>
      </w:r>
      <w:r>
        <w:t> </w:t>
      </w:r>
      <w:r w:rsidRPr="00985953">
        <w:t>000</w:t>
      </w:r>
      <w:r>
        <w:t xml:space="preserve"> EUR (5 075 075 000 EUR).</w:t>
      </w:r>
    </w:p>
    <w:p w14:paraId="58321C3F" w14:textId="77777777" w:rsidR="00713AB7" w:rsidRDefault="009C709F" w:rsidP="00713AB7">
      <w:pPr>
        <w:pStyle w:val="Textkomente"/>
      </w:pPr>
      <w:r>
        <w:t>Míra spolufinancování bude v obecné obálce 30 % pro stavby a 50 % pro studie s řadou výjimek, kde je možné spolufinancování navýšit. V kohezní obálce bude obdobně jako ve FS míra spolufinancování 85 %.</w:t>
      </w:r>
      <w:r w:rsidR="00713AB7">
        <w:t xml:space="preserve"> V rámci dosahování klimatického cíle na EU úrovni se předpokládá směřování minimálně 60 % prostředků z rozpočtu CEF 2 do oblasti klimatu.</w:t>
      </w:r>
    </w:p>
    <w:p w14:paraId="15729274" w14:textId="77777777" w:rsidR="009C709F" w:rsidRDefault="009C709F" w:rsidP="007E111C"/>
    <w:p w14:paraId="67691F64" w14:textId="77777777" w:rsidR="00A527AF" w:rsidRDefault="00A527AF" w:rsidP="007E111C">
      <w:r>
        <w:t xml:space="preserve">Níže jsou uvedeny </w:t>
      </w:r>
      <w:r w:rsidR="009C709F">
        <w:t>podrobnější</w:t>
      </w:r>
      <w:r>
        <w:t xml:space="preserve"> informace pro jednotlivé části z pohledu dotčených rezortů.</w:t>
      </w:r>
    </w:p>
    <w:p w14:paraId="46E62275" w14:textId="77777777" w:rsidR="00A527AF" w:rsidRDefault="00A527AF" w:rsidP="00A527AF">
      <w:pPr>
        <w:pStyle w:val="Nadpis3"/>
      </w:pPr>
      <w:r>
        <w:t>Doprava</w:t>
      </w:r>
      <w:r w:rsidR="00C40CB3">
        <w:t xml:space="preserve"> (CEF Transport)</w:t>
      </w:r>
    </w:p>
    <w:p w14:paraId="05C4C843" w14:textId="77777777" w:rsidR="00607DA1" w:rsidRDefault="001A5051" w:rsidP="001A5051">
      <w:r>
        <w:t xml:space="preserve">V oblasti dopravy bude CEF 2 zaměřen podobně jako jeho předchůdce. </w:t>
      </w:r>
      <w:r w:rsidR="009C709F">
        <w:t xml:space="preserve">V oblasti budování TEN-T jsou způsobilé </w:t>
      </w:r>
      <w:r w:rsidR="00607DA1">
        <w:t>projekty na hlavní síti a přeshraniční a chybějící spojení na globální síti. Deklaruje se vyšší zaměření na čisté formy dopravy, takže podpora silničních projektů bude velmi omezená. V oblasti modernizace TEN-T se bude opět podporovat ERTMS, infrastruktura pro alternativní paliva, telematika, kombinovaná doprava atd. Poměr prostředků vynaložených na budování a modernizaci TEN-T bude v obecné obálce 60:40, v kohezní obálce 85:15.</w:t>
      </w:r>
    </w:p>
    <w:p w14:paraId="69435913" w14:textId="77777777" w:rsidR="00C503B7" w:rsidRDefault="00C503B7" w:rsidP="00C503B7">
      <w:pPr>
        <w:pStyle w:val="Podnadpis"/>
      </w:pPr>
      <w:r>
        <w:t>Vojenská mobilita</w:t>
      </w:r>
    </w:p>
    <w:p w14:paraId="57BD2A95" w14:textId="77777777" w:rsidR="001A5051" w:rsidRDefault="00607DA1" w:rsidP="001A5051">
      <w:r>
        <w:t>N</w:t>
      </w:r>
      <w:r w:rsidR="001A5051">
        <w:t>ovinkou je nová obálka pro přizpůsobení TEN-T potřebám vojenské mobility</w:t>
      </w:r>
      <w:r w:rsidR="009C709F">
        <w:t>. Financovány by měly být projekty tzv. dvojího (civilně-vojenského) využití, které budou mít kromě přínosů pro civilní dopravu přínos pro vojenskou přepravu. Výdaje budou způsobilé jen do výše dosažení parametrů pro civilní potřeby, navýšení nad tento rámec si musí členské státy hradit samy. Za tímto účelem zpracovává EK analýzu civilních a vojenských potřeb, která pro tyto oblasti dopravy stanovuje standardy.</w:t>
      </w:r>
    </w:p>
    <w:p w14:paraId="0F177990" w14:textId="77777777" w:rsidR="00C503B7" w:rsidRPr="00EE7894" w:rsidRDefault="00C503B7" w:rsidP="00C503B7">
      <w:pPr>
        <w:pStyle w:val="Podnadpis"/>
        <w:rPr>
          <w:rStyle w:val="Zdraznnjemn"/>
          <w:i w:val="0"/>
        </w:rPr>
      </w:pPr>
      <w:r w:rsidRPr="00EE7894">
        <w:rPr>
          <w:rStyle w:val="Zdraznnjemn"/>
          <w:i w:val="0"/>
        </w:rPr>
        <w:t>Národní obálka</w:t>
      </w:r>
    </w:p>
    <w:p w14:paraId="129F3E37" w14:textId="7BFDBA7D" w:rsidR="00EB775A" w:rsidRDefault="009C709F" w:rsidP="001A5051">
      <w:r>
        <w:t>V oblasti implementace</w:t>
      </w:r>
      <w:r w:rsidR="00607DA1">
        <w:t xml:space="preserve"> kohezní obálky nastane i přes odpor většiny kohezních států (mimo pobaltských států) významná změna, když do národních obálek</w:t>
      </w:r>
      <w:r w:rsidR="00D606EC">
        <w:t xml:space="preserve">, </w:t>
      </w:r>
      <w:r w:rsidR="00BD3194">
        <w:t>které budou obdobně jako ve stávajícím období zachovány po první 3 roky implementace</w:t>
      </w:r>
      <w:r w:rsidR="00D606EC">
        <w:t>,</w:t>
      </w:r>
      <w:r w:rsidR="00607DA1">
        <w:t xml:space="preserve"> bude rozděleno pouze 70 % prostředků převedených z FS. Zbylých 30 % bude rozděleno prostřednictvím soutěžních výzev zaměřených zejména na přeshraniční spojení. </w:t>
      </w:r>
      <w:r w:rsidR="00EB775A">
        <w:t>Existence soutěžních výzev v kohezní obálce zároveň znamená snížení šancí na čerpání v obecné obálce, neboť nejkvalitnější projekty budou muset být podány do soutěže v kohezní obálce.</w:t>
      </w:r>
    </w:p>
    <w:p w14:paraId="0222809A" w14:textId="1B419107" w:rsidR="009C709F" w:rsidRDefault="00607DA1" w:rsidP="001A5051">
      <w:r>
        <w:t xml:space="preserve">Další kontroverzní ustanovení </w:t>
      </w:r>
      <w:r w:rsidR="006B0247">
        <w:t xml:space="preserve">obsažené </w:t>
      </w:r>
      <w:r>
        <w:t xml:space="preserve">ve VFR určuje zvláštní alokaci z obecné obálky, která bude za podmínek podobných jako v kohezní obálce alokována na přeshraniční spojení mezi kohezními státy. Tj. </w:t>
      </w:r>
      <w:r w:rsidR="00C503B7">
        <w:t xml:space="preserve">vylučuje podporu připravovaných přeshraničních spojení ČR </w:t>
      </w:r>
      <w:r w:rsidR="00AE54EC">
        <w:t>s</w:t>
      </w:r>
      <w:r w:rsidR="00C503B7">
        <w:t xml:space="preserve"> Německem, případně Rakouskem. Všechny tyto změny vnímá MD jako snahu finančně podpořit z CEF strategický projekt vysokorychlostní železnice </w:t>
      </w:r>
      <w:proofErr w:type="spellStart"/>
      <w:r w:rsidR="00C503B7">
        <w:t>Rail</w:t>
      </w:r>
      <w:proofErr w:type="spellEnd"/>
      <w:r w:rsidR="00C503B7">
        <w:t xml:space="preserve"> </w:t>
      </w:r>
      <w:proofErr w:type="spellStart"/>
      <w:r w:rsidR="00C503B7">
        <w:t>Baltica</w:t>
      </w:r>
      <w:proofErr w:type="spellEnd"/>
      <w:r w:rsidR="00C503B7">
        <w:t>, který má zajistit moderní spojení pobaltských zemí přes Polsko na evropskou železniční síť.</w:t>
      </w:r>
    </w:p>
    <w:p w14:paraId="00AC4567" w14:textId="77777777" w:rsidR="00EE7894" w:rsidRDefault="00EE7894" w:rsidP="00EE7894">
      <w:pPr>
        <w:pStyle w:val="Podnadpis"/>
      </w:pPr>
      <w:r>
        <w:t>Příprava Víceletého pracovního programu 2021 – 2023</w:t>
      </w:r>
    </w:p>
    <w:p w14:paraId="6BEF2F66" w14:textId="77777777" w:rsidR="00EE7894" w:rsidRPr="00EE7894" w:rsidRDefault="00EB775A" w:rsidP="00EE7894">
      <w:r>
        <w:t>Novinkou pro CEF 2 je povinnost schválit do konce roku pracovní program, vč. harmonogramu výzev, pro roky 2021 – 2023. EK dosud nepředstavila jeho návrh, měla by tak ale učinit v nejbližší době. Zatím proběhla neformální diskuze, MD usiluje při přípravě programu o co nejvyšší flexibilitu v národní obálce.</w:t>
      </w:r>
    </w:p>
    <w:p w14:paraId="51FA489F" w14:textId="77777777" w:rsidR="00C503B7" w:rsidRDefault="00C503B7" w:rsidP="00C503B7">
      <w:pPr>
        <w:pStyle w:val="Nadpis3"/>
      </w:pPr>
      <w:r>
        <w:t>Energetika</w:t>
      </w:r>
      <w:r w:rsidR="00C40CB3">
        <w:t xml:space="preserve"> (CEF Energy)</w:t>
      </w:r>
    </w:p>
    <w:p w14:paraId="09C0CA11" w14:textId="77777777" w:rsidR="00FF6FB9" w:rsidRPr="00363C03" w:rsidRDefault="00FF6FB9" w:rsidP="00FF6FB9">
      <w:r>
        <w:rPr>
          <w:noProof/>
        </w:rPr>
        <w:t>V oblasti energetiky se CEF2 zaměří na dokončení transevropských energetických sítí prostřednictvím rozvoje projektů společného zájmu souvisejících s další integrací vnitřního trhu s energií a interoperabilitou sítí; udržitelný rozvoj umožněním dekarbonizace, zejména prostřednictvím integrace obnovitelných zdrojů energie spolu s rozvojem vhodné infrastruktury; a zabezpečení dodávek energie mimo jiné dosažením vyšší inteligence a digitalizace infrastruktury.</w:t>
      </w:r>
    </w:p>
    <w:p w14:paraId="44149A89" w14:textId="77777777" w:rsidR="00C503B7" w:rsidRDefault="00C503B7" w:rsidP="00C503B7">
      <w:pPr>
        <w:pStyle w:val="Nadpis3"/>
      </w:pPr>
      <w:r>
        <w:t>Telekomunikace</w:t>
      </w:r>
      <w:r w:rsidR="00C40CB3">
        <w:t xml:space="preserve"> (CEF Digital)</w:t>
      </w:r>
    </w:p>
    <w:p w14:paraId="657941A0" w14:textId="77777777" w:rsidR="00363C03" w:rsidRPr="00361693" w:rsidRDefault="00363C03" w:rsidP="00363C03">
      <w:pPr>
        <w:spacing w:before="120"/>
        <w:rPr>
          <w:noProof/>
        </w:rPr>
      </w:pPr>
      <w:r w:rsidRPr="00361693">
        <w:rPr>
          <w:noProof/>
        </w:rPr>
        <w:t xml:space="preserve">V oblasti </w:t>
      </w:r>
      <w:r w:rsidRPr="00361693">
        <w:rPr>
          <w:b/>
          <w:i/>
          <w:noProof/>
        </w:rPr>
        <w:t>digitalizace</w:t>
      </w:r>
      <w:r w:rsidRPr="00361693">
        <w:rPr>
          <w:noProof/>
        </w:rPr>
        <w:t xml:space="preserve"> má CEF2 přispět k rozvoji digitálních sítí s velmi vysokou kapacitou a úrovní bezpečnosti a podpořit všechny inovativní digitální služby včetně propojené mobility a dalších služeb veřejného zájmu. V oblasti zavádění 5G sítí je kladen důraz na požadavek v zajištění nepřerušovaného mobilního signálu 5G podél koridorů. Dále má přispět k tomu, aby všichni hlavní socioekonomičtí aktéři, jako jsou školy, nemocnice, dopravní uzly, hlavní poskytovatelé veřejných služeb a silně digitalizované podniky, měli do roku 2025 přístup k širokopásmovému připojení (1 Gbit/s) zaměřenému na budoucnost. Rovněž má přispět k celkovému připojení evropských území k internetu, a to i těch nejvzdálenějších regionů.</w:t>
      </w:r>
    </w:p>
    <w:p w14:paraId="77D77861" w14:textId="77777777" w:rsidR="007A4B17" w:rsidRDefault="00363C03" w:rsidP="00363C03">
      <w:pPr>
        <w:pStyle w:val="Prosttext"/>
        <w:rPr>
          <w:noProof/>
        </w:rPr>
      </w:pPr>
      <w:r>
        <w:rPr>
          <w:noProof/>
        </w:rPr>
        <w:t>Vzhledem k tomu, že v zaměření CEF v oblasti telekomunikací došlo k posunu směrem k budování digitálních sítí, předpokládá se, že CEF D</w:t>
      </w:r>
      <w:r w:rsidR="007A4B17">
        <w:rPr>
          <w:noProof/>
        </w:rPr>
        <w:t>igital bude primárně v gesci MPO.</w:t>
      </w:r>
    </w:p>
    <w:p w14:paraId="2032189A" w14:textId="77777777" w:rsidR="00363C03" w:rsidRDefault="00363C03" w:rsidP="005E1666">
      <w:pPr>
        <w:pStyle w:val="Prosttext"/>
        <w:rPr>
          <w:rFonts w:cs="Calibri"/>
          <w:szCs w:val="22"/>
        </w:rPr>
      </w:pPr>
    </w:p>
    <w:p w14:paraId="3CE68D0F" w14:textId="77777777" w:rsidR="00C503B7" w:rsidRPr="00C503B7" w:rsidRDefault="00EE7894" w:rsidP="00EE7894">
      <w:pPr>
        <w:pStyle w:val="Nadpis2"/>
      </w:pPr>
      <w:r>
        <w:t>Absorpční kapacita a příprava implementace na národní úrovni</w:t>
      </w:r>
    </w:p>
    <w:p w14:paraId="73BE4C5E" w14:textId="77777777" w:rsidR="004F1556" w:rsidRDefault="004F1556" w:rsidP="004F1556">
      <w:pPr>
        <w:pStyle w:val="Nadpis3"/>
      </w:pPr>
      <w:r>
        <w:t>Doprava (CEF Transport)</w:t>
      </w:r>
    </w:p>
    <w:p w14:paraId="66849CC5" w14:textId="77777777" w:rsidR="00245E2E" w:rsidRDefault="00245E2E" w:rsidP="004F1556">
      <w:r>
        <w:t>Příprava probíhá jednak na úrovni zajištění absorpční kapacity a dále ve věci nastavení procesů zajišťovaných MD a souvisejících podmínek pro žadatele.</w:t>
      </w:r>
    </w:p>
    <w:p w14:paraId="72B536D9" w14:textId="183A20F0" w:rsidR="004E07BB" w:rsidRDefault="00245E2E" w:rsidP="004F1556">
      <w:r>
        <w:t xml:space="preserve">MD připravuje </w:t>
      </w:r>
      <w:r w:rsidR="008B2F33">
        <w:t>postup koordinace</w:t>
      </w:r>
      <w:r>
        <w:t xml:space="preserve"> předkládání projektů do jednotlivých obálek CEF</w:t>
      </w:r>
      <w:r w:rsidR="004F4053">
        <w:t xml:space="preserve"> a dalších nástrojů,  </w:t>
      </w:r>
      <w:r>
        <w:t xml:space="preserve">zejména </w:t>
      </w:r>
      <w:r w:rsidR="004E07BB">
        <w:t xml:space="preserve">OPD a </w:t>
      </w:r>
      <w:r>
        <w:t>Nástroje na podporu oživení a odolnosti</w:t>
      </w:r>
      <w:r w:rsidR="00184BDE">
        <w:t xml:space="preserve"> (</w:t>
      </w:r>
      <w:proofErr w:type="gramStart"/>
      <w:r w:rsidR="00184BDE">
        <w:t xml:space="preserve">RRF) </w:t>
      </w:r>
      <w:r>
        <w:t xml:space="preserve">. </w:t>
      </w:r>
      <w:r w:rsidR="004F4053">
        <w:t xml:space="preserve"> Příprav</w:t>
      </w:r>
      <w:r w:rsidR="00184BDE">
        <w:t>u</w:t>
      </w:r>
      <w:proofErr w:type="gramEnd"/>
      <w:r w:rsidR="00184BDE">
        <w:t xml:space="preserve"> však komplikuje nedokončená legislativa a implementační rámec jednotlivých dotačních titulů.</w:t>
      </w:r>
    </w:p>
    <w:p w14:paraId="2D06261C" w14:textId="081EC1B9" w:rsidR="00245E2E" w:rsidRDefault="00184BDE" w:rsidP="004F1556">
      <w:r>
        <w:t>MD plánuje část aktivit zařadit výlučně do CEF nebo OPD</w:t>
      </w:r>
      <w:r w:rsidR="00713AB7">
        <w:t>, případně RRF</w:t>
      </w:r>
      <w:r w:rsidR="004E07BB">
        <w:t>.</w:t>
      </w:r>
      <w:r>
        <w:t xml:space="preserve"> </w:t>
      </w:r>
      <w:r w:rsidR="00713AB7">
        <w:t xml:space="preserve">Velkou část aktivit bude možné financovat z CEF 2 i OPD. Předkládání projektů podřízených organizací MD bude koordinováno z úrovně MD tak, aby primárně byly nejvhodnější projekty předkládány do CEF 2. Oblasti, </w:t>
      </w:r>
      <w:r w:rsidR="004E07BB">
        <w:t>kde se předpokládá účast soukromých příjemců, bude koordinována pomocí nastavení výzev. S vyhlášením prvních výzev CEF 2 počítá EK v roce 2021, výzvy OPD3 by měly v oblastech překryvů následovat až v dalších letech. Podmínky by měly být podobné jako v CEF, zejména co se týče míry spolufinancování.</w:t>
      </w:r>
      <w:r w:rsidR="00713AB7">
        <w:t xml:space="preserve"> </w:t>
      </w:r>
    </w:p>
    <w:p w14:paraId="5FF0BCA3" w14:textId="77777777" w:rsidR="004E07BB" w:rsidRDefault="004E07BB" w:rsidP="004E07BB">
      <w:pPr>
        <w:pStyle w:val="Podnadpis"/>
      </w:pPr>
      <w:r>
        <w:t>Absorpční kapacita</w:t>
      </w:r>
    </w:p>
    <w:p w14:paraId="3181A975" w14:textId="192ABF25" w:rsidR="00B8748D" w:rsidRPr="00B8748D" w:rsidRDefault="00B8748D" w:rsidP="00B8748D">
      <w:pPr>
        <w:rPr>
          <w:bCs/>
        </w:rPr>
      </w:pPr>
      <w:r w:rsidRPr="00B8748D">
        <w:rPr>
          <w:bCs/>
        </w:rPr>
        <w:t>MD pravidelně komunikuje výši absorpční kapacity se Správou železnic a ŘSD, oslovilo i další předpokládané významné příjemce.</w:t>
      </w:r>
      <w:r>
        <w:rPr>
          <w:bCs/>
        </w:rPr>
        <w:t xml:space="preserve"> Rozhodnutí o financování předložení projektů do CEF 2 však komplikují v úvodu nastíněné problémy. MD předpokládá stanovit </w:t>
      </w:r>
      <w:r w:rsidR="008B2F33">
        <w:rPr>
          <w:bCs/>
        </w:rPr>
        <w:t xml:space="preserve">postup koordinace </w:t>
      </w:r>
      <w:r>
        <w:rPr>
          <w:bCs/>
        </w:rPr>
        <w:t xml:space="preserve">pro podávání projektů do konce roku 2020. </w:t>
      </w:r>
    </w:p>
    <w:p w14:paraId="564ECB17" w14:textId="77777777" w:rsidR="00245E2E" w:rsidRDefault="00EC58FD" w:rsidP="00245E2E">
      <w:pPr>
        <w:pStyle w:val="Podnadpis"/>
      </w:pPr>
      <w:r>
        <w:t>Kohezní</w:t>
      </w:r>
      <w:r w:rsidR="00245E2E">
        <w:t xml:space="preserve"> obálka</w:t>
      </w:r>
    </w:p>
    <w:p w14:paraId="27D2062D" w14:textId="77777777" w:rsidR="00EC58FD" w:rsidRDefault="00EC58FD" w:rsidP="004F1556">
      <w:r>
        <w:t>Kohezní obálka bude zahrnovat:</w:t>
      </w:r>
    </w:p>
    <w:p w14:paraId="3F43B780" w14:textId="77777777" w:rsidR="00EC58FD" w:rsidRDefault="00EC58FD" w:rsidP="00EC58FD">
      <w:pPr>
        <w:pStyle w:val="normln-odrky"/>
        <w:tabs>
          <w:tab w:val="right" w:pos="5812"/>
        </w:tabs>
      </w:pPr>
      <w:r>
        <w:t>národní obálky pro roky 2021 – 2023</w:t>
      </w:r>
      <w:r>
        <w:tab/>
      </w:r>
      <w:r w:rsidRPr="00EC58FD">
        <w:t>1,373 mld. EUR</w:t>
      </w:r>
    </w:p>
    <w:p w14:paraId="23E38A76" w14:textId="77777777" w:rsidR="00EC58FD" w:rsidRDefault="00EC58FD" w:rsidP="00EC58FD">
      <w:pPr>
        <w:pStyle w:val="normln-odrky"/>
        <w:tabs>
          <w:tab w:val="right" w:pos="5812"/>
        </w:tabs>
      </w:pPr>
      <w:r>
        <w:t xml:space="preserve">soutěžní výzvy </w:t>
      </w:r>
      <w:r>
        <w:tab/>
        <w:t xml:space="preserve">     589 mil. EUR</w:t>
      </w:r>
    </w:p>
    <w:p w14:paraId="6B4385FD" w14:textId="3D2475FC" w:rsidR="00245E2E" w:rsidRPr="00EC58FD" w:rsidRDefault="00EC58FD" w:rsidP="00EC58FD">
      <w:pPr>
        <w:rPr>
          <w:bCs/>
        </w:rPr>
      </w:pPr>
      <w:r w:rsidRPr="00EC58FD">
        <w:rPr>
          <w:bCs/>
        </w:rPr>
        <w:t>MD počítá s obdobným složením projektů v národní obálce (alokace cca 1,4 mld. EUR) jako v</w:t>
      </w:r>
      <w:r w:rsidR="006B0247">
        <w:rPr>
          <w:bCs/>
        </w:rPr>
        <w:t> </w:t>
      </w:r>
      <w:r w:rsidRPr="00EC58FD">
        <w:rPr>
          <w:bCs/>
        </w:rPr>
        <w:t>CEF</w:t>
      </w:r>
      <w:r w:rsidR="006B0247">
        <w:rPr>
          <w:bCs/>
        </w:rPr>
        <w:t> </w:t>
      </w:r>
      <w:r w:rsidRPr="00EC58FD">
        <w:rPr>
          <w:bCs/>
        </w:rPr>
        <w:t>2014</w:t>
      </w:r>
      <w:r w:rsidR="006B0247">
        <w:rPr>
          <w:bCs/>
        </w:rPr>
        <w:t> </w:t>
      </w:r>
      <w:r w:rsidRPr="00EC58FD">
        <w:rPr>
          <w:bCs/>
        </w:rPr>
        <w:t xml:space="preserve">– 2020. </w:t>
      </w:r>
      <w:r w:rsidR="00245E2E" w:rsidRPr="00EC58FD">
        <w:rPr>
          <w:bCs/>
        </w:rPr>
        <w:t xml:space="preserve">Stěžejní roli bude </w:t>
      </w:r>
      <w:r w:rsidRPr="00EC58FD">
        <w:rPr>
          <w:bCs/>
        </w:rPr>
        <w:t>hrát opět Správa železnic. MD se bude snažit, aby bylo možné podpořit maximum silničních projektů, ale výraznější zapojení není realistické. Zásadní bude pokrýt 15</w:t>
      </w:r>
      <w:r w:rsidR="006B0247">
        <w:rPr>
          <w:bCs/>
        </w:rPr>
        <w:t> </w:t>
      </w:r>
      <w:r w:rsidRPr="00EC58FD">
        <w:rPr>
          <w:bCs/>
        </w:rPr>
        <w:t>% alokace na modernizaci TEN-T, což by mělo být dosaženo zejména projekty na zavádění ETCS, případně infrastrukturu pro alternativní paliva apod. Dalším zásadním úkolem bude připravit kvalitní projekty do soutěžních výzev v kohezní obálce (alokace cca 0,6 mld. EUR)</w:t>
      </w:r>
      <w:r w:rsidR="006B0247">
        <w:rPr>
          <w:bCs/>
        </w:rPr>
        <w:t>.</w:t>
      </w:r>
    </w:p>
    <w:p w14:paraId="187832CC" w14:textId="34F342FA" w:rsidR="00B8748D" w:rsidRDefault="003265EE" w:rsidP="00EC58FD">
      <w:pPr>
        <w:rPr>
          <w:bCs/>
        </w:rPr>
      </w:pPr>
      <w:r>
        <w:rPr>
          <w:bCs/>
        </w:rPr>
        <w:t>MD sleduje projekty Správy železnic způsobilé pro CEF ve výši cca 260 mld. Kč (celkové náklady)</w:t>
      </w:r>
      <w:r w:rsidR="006B0247">
        <w:rPr>
          <w:bCs/>
        </w:rPr>
        <w:t>. P</w:t>
      </w:r>
      <w:r>
        <w:rPr>
          <w:bCs/>
        </w:rPr>
        <w:t>o očištění od projektů s předpokládanými problémy v přípravě nebo s menším věcným dopadem lze  uvažovat o předložení projektů ve</w:t>
      </w:r>
      <w:r w:rsidR="00810607">
        <w:rPr>
          <w:bCs/>
        </w:rPr>
        <w:t xml:space="preserve"> výši cca 125 mld. Kč. Do toho nejsou započítané velmi rozsáhlé projekty přípravy vysokorychlostních tratí, které by mělo být také možno financovat, ale jedná se o projekty rizikové s pohledu posunů v realizaci. </w:t>
      </w:r>
    </w:p>
    <w:p w14:paraId="56418790" w14:textId="5B5F7A13" w:rsidR="00810607" w:rsidRDefault="00810607" w:rsidP="00EC58FD">
      <w:pPr>
        <w:rPr>
          <w:bCs/>
        </w:rPr>
      </w:pPr>
      <w:r>
        <w:rPr>
          <w:bCs/>
        </w:rPr>
        <w:t>Zásobník silniční</w:t>
      </w:r>
      <w:r w:rsidR="009E722E">
        <w:rPr>
          <w:bCs/>
        </w:rPr>
        <w:t>ch</w:t>
      </w:r>
      <w:r>
        <w:rPr>
          <w:bCs/>
        </w:rPr>
        <w:t xml:space="preserve"> projektů najisto převyšuje možnosti podpory v CEF. Něk</w:t>
      </w:r>
      <w:r w:rsidR="00184BDE">
        <w:rPr>
          <w:bCs/>
        </w:rPr>
        <w:t xml:space="preserve">olik </w:t>
      </w:r>
      <w:r>
        <w:rPr>
          <w:bCs/>
        </w:rPr>
        <w:t>projekt</w:t>
      </w:r>
      <w:r w:rsidR="00184BDE">
        <w:rPr>
          <w:bCs/>
        </w:rPr>
        <w:t>ů</w:t>
      </w:r>
      <w:r>
        <w:rPr>
          <w:bCs/>
        </w:rPr>
        <w:t xml:space="preserve"> na TEN-T připravuje také Ředitelství vodních cest.</w:t>
      </w:r>
    </w:p>
    <w:p w14:paraId="2AFA75C8" w14:textId="78DB22B6" w:rsidR="00810607" w:rsidRDefault="00810607" w:rsidP="00EC58FD">
      <w:pPr>
        <w:rPr>
          <w:bCs/>
        </w:rPr>
      </w:pPr>
      <w:r>
        <w:rPr>
          <w:bCs/>
        </w:rPr>
        <w:t xml:space="preserve">V oblasti modernizace TEN-T bude ležet těžiště na podpoře ETCS, dva hlavní dopravci deklarují potřebu vybavit v nejbližších letech cca 600 existujících vozidel a </w:t>
      </w:r>
      <w:r w:rsidR="006B0247">
        <w:rPr>
          <w:bCs/>
        </w:rPr>
        <w:t xml:space="preserve">přibližně </w:t>
      </w:r>
      <w:r>
        <w:rPr>
          <w:bCs/>
        </w:rPr>
        <w:t>stejné množství nových vozidel. V oblasti alternativních paliv je potřeba v souladu s Národním plánem čisté mobility zajistit vybudování 19 000 – 35 000</w:t>
      </w:r>
      <w:r w:rsidR="004E07BB">
        <w:rPr>
          <w:bCs/>
        </w:rPr>
        <w:t xml:space="preserve"> dobíjecích / plnicích stanic</w:t>
      </w:r>
      <w:r>
        <w:rPr>
          <w:bCs/>
        </w:rPr>
        <w:t xml:space="preserve">. MD předpokládá, že za těchto okolností nebude problém </w:t>
      </w:r>
      <w:r w:rsidR="00A15D9D">
        <w:rPr>
          <w:bCs/>
        </w:rPr>
        <w:t>naplnit alokaci na modernizaci TEN-T.</w:t>
      </w:r>
    </w:p>
    <w:p w14:paraId="658544A8" w14:textId="77777777" w:rsidR="00B8748D" w:rsidRPr="00B8748D" w:rsidRDefault="00B8748D" w:rsidP="00EC58FD">
      <w:pPr>
        <w:rPr>
          <w:b/>
          <w:bCs/>
        </w:rPr>
      </w:pPr>
      <w:r w:rsidRPr="00B8748D">
        <w:rPr>
          <w:b/>
          <w:bCs/>
        </w:rPr>
        <w:t>Obecná obálka</w:t>
      </w:r>
    </w:p>
    <w:p w14:paraId="44A7DA6A" w14:textId="09CF8AF8" w:rsidR="006636B8" w:rsidRDefault="00B8748D" w:rsidP="006636B8">
      <w:pPr>
        <w:rPr>
          <w:bCs/>
        </w:rPr>
      </w:pPr>
      <w:r w:rsidRPr="00B8748D">
        <w:rPr>
          <w:bCs/>
        </w:rPr>
        <w:t>MD uvažuje o zahrnutí společného česko-německého projektu přípravy nové vysokorychlostní železniční trati mezi Ústím nad Labem a Drážďany. Předkládání dalších projektů Správy železnic bude záviset na možnostech spolufinancování, neboť v obecné obálce lze dosáhnout běžně pouze na 30% míru spolufinancování</w:t>
      </w:r>
      <w:r w:rsidR="008871A9">
        <w:rPr>
          <w:bCs/>
        </w:rPr>
        <w:t>, a d</w:t>
      </w:r>
      <w:r w:rsidR="006636B8">
        <w:rPr>
          <w:bCs/>
        </w:rPr>
        <w:t>ále na harmonogramu a zaměření výzev CEF, neboť MD bude muset rozhodovat, zda projekty bude předkládat do soutěžních výzev v kohezní nebo obecné obálce. Prioritou při tom bude schválení maxima projektů v kohezní obálce (viz také kapitola 3.1.1).</w:t>
      </w:r>
    </w:p>
    <w:p w14:paraId="33AA0CEF" w14:textId="77777777" w:rsidR="00B8748D" w:rsidRPr="00B8748D" w:rsidRDefault="00B8748D" w:rsidP="00EC58FD">
      <w:pPr>
        <w:rPr>
          <w:bCs/>
        </w:rPr>
      </w:pPr>
      <w:r w:rsidRPr="00B8748D">
        <w:rPr>
          <w:bCs/>
        </w:rPr>
        <w:t>Předpokládá se účast MD v mezinárodních projektech na ITS/C-ITS. MD bude podporovat předkládání projektů soukromých subjektů.</w:t>
      </w:r>
    </w:p>
    <w:p w14:paraId="1DBEFF79" w14:textId="77777777" w:rsidR="007C7B73" w:rsidRPr="007C7B73" w:rsidRDefault="007C7B73" w:rsidP="007C7B73">
      <w:pPr>
        <w:rPr>
          <w:b/>
          <w:bCs/>
        </w:rPr>
      </w:pPr>
      <w:r w:rsidRPr="007C7B73">
        <w:rPr>
          <w:b/>
          <w:bCs/>
        </w:rPr>
        <w:t>Vojenská mobilita</w:t>
      </w:r>
    </w:p>
    <w:p w14:paraId="435B85D8" w14:textId="77777777" w:rsidR="007C7B73" w:rsidRPr="003265EE" w:rsidRDefault="007C7B73" w:rsidP="007C7B73">
      <w:pPr>
        <w:rPr>
          <w:bCs/>
        </w:rPr>
      </w:pPr>
      <w:r w:rsidRPr="003265EE">
        <w:rPr>
          <w:bCs/>
        </w:rPr>
        <w:t xml:space="preserve">Obálka na vojenskou mobilitu CEF ve výši 1,691 mld. EUR (pro všechny členské státy) bude implementována projekty </w:t>
      </w:r>
      <w:proofErr w:type="spellStart"/>
      <w:r w:rsidRPr="003265EE">
        <w:rPr>
          <w:bCs/>
        </w:rPr>
        <w:t>předvybranými</w:t>
      </w:r>
      <w:proofErr w:type="spellEnd"/>
      <w:r w:rsidRPr="003265EE">
        <w:rPr>
          <w:bCs/>
        </w:rPr>
        <w:t xml:space="preserve"> do zásobníku projektů. MD vytipovalo 6 projektů pro předložení </w:t>
      </w:r>
      <w:r w:rsidR="003265EE" w:rsidRPr="003265EE">
        <w:rPr>
          <w:bCs/>
        </w:rPr>
        <w:t>do zásobníku, které bude v nejbližších týdnech konzultovat s EK. MD se bude snažit o financování silničních projektů, které mají jinde menší šanci na podporu.</w:t>
      </w:r>
    </w:p>
    <w:p w14:paraId="292A94D9" w14:textId="77777777" w:rsidR="00B8748D" w:rsidRPr="00B8748D" w:rsidRDefault="007C7B73" w:rsidP="00EC58FD">
      <w:pPr>
        <w:rPr>
          <w:b/>
          <w:bCs/>
        </w:rPr>
      </w:pPr>
      <w:r>
        <w:rPr>
          <w:b/>
          <w:bCs/>
        </w:rPr>
        <w:t>Činnosti MD ve vztahu k příjemcům a žadatelům</w:t>
      </w:r>
    </w:p>
    <w:p w14:paraId="619D1974" w14:textId="77777777" w:rsidR="00B8748D" w:rsidRDefault="007C7B73" w:rsidP="007C7B73">
      <w:r>
        <w:t>S ohledem na problémy s projekty na palubní jednotky ETCS bude MD od soukromých příjemců požadovat vyšší garanci realizace projektu v předložené projekty. Projekty budou muset být více připravené, v případě ETCS bude pravděpodobně MD požadovat pro schválení projektu min. zahájení výběrového řízení, aby bylo možné uzavřít grantovou dohodu až po výběru dodavatele a stanovení reálné výše způsobilých nákladů.</w:t>
      </w:r>
    </w:p>
    <w:p w14:paraId="543219F8" w14:textId="722673B9" w:rsidR="00326B50" w:rsidRDefault="007C7B73" w:rsidP="004F1556">
      <w:r>
        <w:t xml:space="preserve">V souvislosti s výše uvedeným bude </w:t>
      </w:r>
      <w:r w:rsidR="00B8748D">
        <w:t xml:space="preserve">MD </w:t>
      </w:r>
      <w:r>
        <w:t>muset upravit svoje postupy ve vztahu k příjemcům. P</w:t>
      </w:r>
      <w:r w:rsidR="00B8748D">
        <w:t xml:space="preserve">lánuje </w:t>
      </w:r>
      <w:r>
        <w:t>zejména zpracovat základní podmínky pro žadatele a upravit systém sdílení informací. MD zvažuje rozšíření svých činností ve smyslu poskytování lepších služeb příjemcům (webové stránky, metodická podpora), k tomu by však bylo nutné zajistit rozšíření administrativní kapacity, která je v tuto chvíli nedostatečná.</w:t>
      </w:r>
    </w:p>
    <w:p w14:paraId="62E66210" w14:textId="619BB88C" w:rsidR="00245E2E" w:rsidRDefault="00CF06A7" w:rsidP="004F1556">
      <w:r>
        <w:t>Zároveň určité aktivity plánuje v oblasti unijních nástrojů Ministerstvo pro místní rozvoj. MD s ním bude úzce spolupracovat.</w:t>
      </w:r>
    </w:p>
    <w:p w14:paraId="2E03C906" w14:textId="0F61F7AE" w:rsidR="007C5AD2" w:rsidRPr="007C5AD2" w:rsidRDefault="007C5AD2" w:rsidP="004F1556">
      <w:pPr>
        <w:rPr>
          <w:b/>
          <w:bCs/>
        </w:rPr>
      </w:pPr>
      <w:r w:rsidRPr="007C5AD2">
        <w:rPr>
          <w:b/>
          <w:bCs/>
        </w:rPr>
        <w:t>Překážky v čerpání</w:t>
      </w:r>
    </w:p>
    <w:p w14:paraId="41611171" w14:textId="237AD2E3" w:rsidR="007C5AD2" w:rsidRPr="00AE6788" w:rsidRDefault="007C5AD2" w:rsidP="004F1556">
      <w:r w:rsidRPr="00AE6788">
        <w:t xml:space="preserve">Ministerstvo dopravy považuje za nejvýznamnější překážky </w:t>
      </w:r>
      <w:r w:rsidR="009563C1" w:rsidRPr="00AE6788">
        <w:t xml:space="preserve">čerpání </w:t>
      </w:r>
      <w:r w:rsidR="009563C1" w:rsidRPr="00AE6788">
        <w:t>z CEF 2</w:t>
      </w:r>
      <w:r w:rsidR="009563C1" w:rsidRPr="00AE6788">
        <w:t xml:space="preserve"> vyjma </w:t>
      </w:r>
      <w:r w:rsidRPr="00AE6788">
        <w:t>legislativní</w:t>
      </w:r>
      <w:r w:rsidR="009563C1" w:rsidRPr="00AE6788">
        <w:t>ho</w:t>
      </w:r>
      <w:r w:rsidRPr="00AE6788">
        <w:t xml:space="preserve"> nastavení:</w:t>
      </w:r>
    </w:p>
    <w:p w14:paraId="7180B773" w14:textId="6D2E5BE3" w:rsidR="007C5AD2" w:rsidRPr="00AE6788" w:rsidRDefault="007C5AD2" w:rsidP="007C5AD2">
      <w:pPr>
        <w:pStyle w:val="normln-odrky"/>
      </w:pPr>
      <w:r w:rsidRPr="00AE6788">
        <w:t>průtahy a nejistotu v oblasti přípravy staveb. Tato problematika se netýká specificky CEF a je soustavně řešena;</w:t>
      </w:r>
    </w:p>
    <w:p w14:paraId="2835E02F" w14:textId="0DE3033D" w:rsidR="007C5AD2" w:rsidRPr="00AE6788" w:rsidRDefault="007C5AD2" w:rsidP="007C5AD2">
      <w:pPr>
        <w:pStyle w:val="normln-odrky"/>
      </w:pPr>
      <w:r w:rsidRPr="00AE6788">
        <w:t xml:space="preserve">nejistotu ohledně spolufinancování v obecné obálce. MD by uvítalo </w:t>
      </w:r>
      <w:r w:rsidR="009563C1" w:rsidRPr="00AE6788">
        <w:t>ujištění</w:t>
      </w:r>
      <w:r w:rsidRPr="00AE6788">
        <w:t xml:space="preserve"> Ministerstva financí, že každý projekt</w:t>
      </w:r>
      <w:r w:rsidR="00166E22" w:rsidRPr="00AE6788">
        <w:t xml:space="preserve"> státních organizací</w:t>
      </w:r>
      <w:r w:rsidRPr="00AE6788">
        <w:t>, který získá dotaci z CEF bude mít zajištěno spolufinancování</w:t>
      </w:r>
      <w:r w:rsidR="00166E22" w:rsidRPr="00AE6788">
        <w:t xml:space="preserve"> ze státního rozpočtu</w:t>
      </w:r>
      <w:r w:rsidRPr="00AE6788">
        <w:t xml:space="preserve">; </w:t>
      </w:r>
    </w:p>
    <w:p w14:paraId="606CE253" w14:textId="11588BF3" w:rsidR="007C5AD2" w:rsidRPr="00AE6788" w:rsidRDefault="007C5AD2" w:rsidP="007C5AD2">
      <w:pPr>
        <w:pStyle w:val="normln-odrky"/>
      </w:pPr>
      <w:r w:rsidRPr="00AE6788">
        <w:t>nedostatečnou administrativní kapacitu na straně MD. Řešením by bylo navýšení systematizovaných míst, financování lze zajistit z technické pomoci CEF.</w:t>
      </w:r>
      <w:bookmarkStart w:id="0" w:name="_GoBack"/>
      <w:bookmarkEnd w:id="0"/>
    </w:p>
    <w:p w14:paraId="412B6488" w14:textId="77777777" w:rsidR="007C5AD2" w:rsidRDefault="007C5AD2" w:rsidP="004F1556"/>
    <w:p w14:paraId="3B4CE15F" w14:textId="77777777" w:rsidR="00363C03" w:rsidRDefault="00363C03" w:rsidP="00363C03">
      <w:pPr>
        <w:pStyle w:val="Nadpis3"/>
      </w:pPr>
      <w:r>
        <w:t>Energetika (CEF Energy)</w:t>
      </w:r>
    </w:p>
    <w:p w14:paraId="0F6EC006" w14:textId="3525CBA1" w:rsidR="00FF6FB9" w:rsidRDefault="00FF6FB9" w:rsidP="00FF6FB9">
      <w:pPr>
        <w:rPr>
          <w:bCs/>
        </w:rPr>
      </w:pPr>
      <w:r>
        <w:rPr>
          <w:bCs/>
        </w:rPr>
        <w:t xml:space="preserve">V oblasti digitalizace elektroenergetické infrastruktury zpracovalo MPO aktualizaci Národního akčního plánu pro chytré sítě 2019 – 2030, kterou vláda v září 2019 projednala a přijala. MPO uvítalo česko – německý projekt k modernizaci distribučních sítí </w:t>
      </w:r>
      <w:proofErr w:type="gramStart"/>
      <w:r>
        <w:rPr>
          <w:bCs/>
        </w:rPr>
        <w:t>společností E.ON</w:t>
      </w:r>
      <w:proofErr w:type="gramEnd"/>
      <w:r>
        <w:rPr>
          <w:bCs/>
        </w:rPr>
        <w:t xml:space="preserve"> Distribuce a.s. a Bayernwerk, které v současné době připravují PCI projekt – Gabreta Smart Grids – pro zařazení na 5. Unijní seznam PCI. Projekt je zaměřen na podporu rozvoje „smart grids“.  Aktuální identifikovaný finanční potenciál za obě společnosti je cca 670 </w:t>
      </w:r>
      <w:r w:rsidR="009E722E">
        <w:rPr>
          <w:bCs/>
        </w:rPr>
        <w:t xml:space="preserve">mil. </w:t>
      </w:r>
      <w:r>
        <w:rPr>
          <w:bCs/>
        </w:rPr>
        <w:t>EUR. V současné době probíhají konzultace o finální výši rozpočtu (např. i s agenturou JRC a DG ENER). Pokud bude projekt úspěšně zařazen na seznam PCI</w:t>
      </w:r>
      <w:r w:rsidR="00AF3424">
        <w:rPr>
          <w:bCs/>
        </w:rPr>
        <w:t xml:space="preserve">, </w:t>
      </w:r>
      <w:proofErr w:type="spellStart"/>
      <w:r w:rsidR="00AF3424">
        <w:rPr>
          <w:bCs/>
        </w:rPr>
        <w:t>je</w:t>
      </w:r>
      <w:r w:rsidR="009E722E">
        <w:rPr>
          <w:bCs/>
        </w:rPr>
        <w:t>předpokládáno</w:t>
      </w:r>
      <w:proofErr w:type="spellEnd"/>
      <w:r w:rsidR="009E722E">
        <w:rPr>
          <w:bCs/>
        </w:rPr>
        <w:t xml:space="preserve"> </w:t>
      </w:r>
      <w:r>
        <w:rPr>
          <w:bCs/>
        </w:rPr>
        <w:t>předložení žádosti o dotaci z CEF Energy (CEF2).</w:t>
      </w:r>
    </w:p>
    <w:p w14:paraId="26C956BC" w14:textId="77777777" w:rsidR="00363C03" w:rsidRDefault="00363C03" w:rsidP="00363C03">
      <w:pPr>
        <w:pStyle w:val="Nadpis3"/>
      </w:pPr>
      <w:r>
        <w:t>Telekomunikace (CEF Digital)</w:t>
      </w:r>
    </w:p>
    <w:p w14:paraId="151138C0" w14:textId="77777777" w:rsidR="0016039E" w:rsidRPr="007B450E" w:rsidRDefault="0016039E" w:rsidP="0016039E">
      <w:pPr>
        <w:spacing w:before="120"/>
        <w:rPr>
          <w:bCs/>
        </w:rPr>
      </w:pPr>
      <w:r w:rsidRPr="007B450E">
        <w:rPr>
          <w:bCs/>
        </w:rPr>
        <w:t xml:space="preserve">V oblasti CEF Digital - 5G koridorů MPO podepsalo deklaraci o spolupráci s Bavorskem a navrhlo zahrnout </w:t>
      </w:r>
      <w:r w:rsidRPr="007B450E">
        <w:rPr>
          <w:b/>
          <w:bCs/>
        </w:rPr>
        <w:t>5G koridor Mnichov – Praha</w:t>
      </w:r>
      <w:r w:rsidRPr="007B450E">
        <w:rPr>
          <w:bCs/>
        </w:rPr>
        <w:t xml:space="preserve"> do indikativního seznamu koridorů (Indicative list of 5G corridors). Tento koridor je součástí projednávání relevantních pracovních programů na expertní úrovni CEF a přípravná fáze koridoru bude projednávána ve 4Q letošního roku.</w:t>
      </w:r>
    </w:p>
    <w:p w14:paraId="50BAD80B" w14:textId="77777777" w:rsidR="00DD48D5" w:rsidRDefault="00DD48D5" w:rsidP="00363C03">
      <w:pPr>
        <w:spacing w:before="120"/>
        <w:rPr>
          <w:sz w:val="24"/>
          <w:szCs w:val="22"/>
        </w:rPr>
      </w:pPr>
    </w:p>
    <w:p w14:paraId="2AFF03FA" w14:textId="77777777" w:rsidR="00C503B7" w:rsidRPr="001A5051" w:rsidRDefault="00C503B7" w:rsidP="001A5051"/>
    <w:sectPr w:rsidR="00C503B7" w:rsidRPr="001A5051" w:rsidSect="00872459">
      <w:pgSz w:w="11906" w:h="16838"/>
      <w:pgMar w:top="1258" w:right="1417" w:bottom="1258"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742769" w16cid:durableId="1ED3AC48"/>
  <w16cid:commentId w16cid:paraId="5ED49EED" w16cid:durableId="1ED3AC65"/>
  <w16cid:commentId w16cid:paraId="5B12FE08" w16cid:durableId="1ED3B8B4"/>
  <w16cid:commentId w16cid:paraId="543C8FAB" w16cid:durableId="1ED3B551"/>
  <w16cid:commentId w16cid:paraId="6A7983B0" w16cid:durableId="1ED3A1EA"/>
  <w16cid:commentId w16cid:paraId="5E1ADCBF" w16cid:durableId="1ED3B715"/>
  <w16cid:commentId w16cid:paraId="7E8582BD" w16cid:durableId="1ED3A1EB"/>
  <w16cid:commentId w16cid:paraId="650C8F9A" w16cid:durableId="1ED3B75D"/>
  <w16cid:commentId w16cid:paraId="13A7E79A" w16cid:durableId="1ED3B84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EBB3D" w14:textId="77777777" w:rsidR="007C5AD2" w:rsidRDefault="007C5AD2" w:rsidP="001F5B9F">
      <w:r>
        <w:separator/>
      </w:r>
    </w:p>
  </w:endnote>
  <w:endnote w:type="continuationSeparator" w:id="0">
    <w:p w14:paraId="0882D2C4" w14:textId="77777777" w:rsidR="007C5AD2" w:rsidRDefault="007C5AD2" w:rsidP="001F5B9F">
      <w:r>
        <w:continuationSeparator/>
      </w:r>
    </w:p>
  </w:endnote>
  <w:endnote w:type="continuationNotice" w:id="1">
    <w:p w14:paraId="2B85BDBE" w14:textId="77777777" w:rsidR="007C5AD2" w:rsidRDefault="007C5AD2" w:rsidP="001F5B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3A837D" w14:textId="0342EFFF" w:rsidR="007C5AD2" w:rsidRDefault="007C5AD2" w:rsidP="001F5B9F">
    <w:pPr>
      <w:pStyle w:val="Zpat"/>
    </w:pPr>
    <w:r>
      <w:fldChar w:fldCharType="begin"/>
    </w:r>
    <w:r>
      <w:instrText>PAGE   \* MERGEFORMAT</w:instrText>
    </w:r>
    <w:r>
      <w:fldChar w:fldCharType="separate"/>
    </w:r>
    <w:r w:rsidR="00AE6788">
      <w:rPr>
        <w:noProof/>
      </w:rPr>
      <w:t>18</w:t>
    </w:r>
    <w:r>
      <w:rPr>
        <w:noProof/>
      </w:rPr>
      <w:fldChar w:fldCharType="end"/>
    </w:r>
  </w:p>
  <w:p w14:paraId="53D2F733" w14:textId="77777777" w:rsidR="007C5AD2" w:rsidRDefault="007C5AD2" w:rsidP="001F5B9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A199" w14:textId="77777777" w:rsidR="007C5AD2" w:rsidRDefault="007C5AD2" w:rsidP="001F5B9F">
      <w:r>
        <w:separator/>
      </w:r>
    </w:p>
  </w:footnote>
  <w:footnote w:type="continuationSeparator" w:id="0">
    <w:p w14:paraId="522193A1" w14:textId="77777777" w:rsidR="007C5AD2" w:rsidRDefault="007C5AD2" w:rsidP="001F5B9F">
      <w:r>
        <w:continuationSeparator/>
      </w:r>
    </w:p>
  </w:footnote>
  <w:footnote w:type="continuationNotice" w:id="1">
    <w:p w14:paraId="6808FF5E" w14:textId="77777777" w:rsidR="007C5AD2" w:rsidRDefault="007C5AD2" w:rsidP="001F5B9F"/>
  </w:footnote>
  <w:footnote w:id="2">
    <w:p w14:paraId="4D91494A" w14:textId="77777777" w:rsidR="007C5AD2" w:rsidRDefault="007C5AD2" w:rsidP="0080642D">
      <w:pPr>
        <w:pStyle w:val="Textpoznpodarou"/>
      </w:pPr>
      <w:r>
        <w:rPr>
          <w:rStyle w:val="Znakapoznpodarou"/>
        </w:rPr>
        <w:footnoteRef/>
      </w:r>
      <w:r>
        <w:t xml:space="preserve"> ERTMS - E</w:t>
      </w:r>
      <w:r w:rsidRPr="004572DD">
        <w:t>vropský systém řízení železniční dopravy</w:t>
      </w:r>
      <w:r>
        <w:t xml:space="preserve"> / </w:t>
      </w:r>
      <w:proofErr w:type="spellStart"/>
      <w:r>
        <w:t>European</w:t>
      </w:r>
      <w:proofErr w:type="spellEnd"/>
      <w:r>
        <w:t xml:space="preserve"> </w:t>
      </w:r>
      <w:proofErr w:type="spellStart"/>
      <w:r>
        <w:t>Rail</w:t>
      </w:r>
      <w:proofErr w:type="spellEnd"/>
      <w:r>
        <w:t xml:space="preserve"> </w:t>
      </w:r>
      <w:proofErr w:type="spellStart"/>
      <w:r>
        <w:t>Traffic</w:t>
      </w:r>
      <w:proofErr w:type="spellEnd"/>
      <w:r>
        <w:t xml:space="preserve"> Management </w:t>
      </w:r>
      <w:proofErr w:type="spellStart"/>
      <w:r>
        <w:t>System</w:t>
      </w:r>
      <w:proofErr w:type="spellEnd"/>
      <w:r>
        <w:t xml:space="preserve">   </w:t>
      </w:r>
    </w:p>
  </w:footnote>
  <w:footnote w:id="3">
    <w:p w14:paraId="59B58DB3" w14:textId="77777777" w:rsidR="007C5AD2" w:rsidRDefault="007C5AD2">
      <w:pPr>
        <w:pStyle w:val="Textpoznpodarou"/>
      </w:pPr>
      <w:r>
        <w:rPr>
          <w:rStyle w:val="Znakapoznpodarou"/>
        </w:rPr>
        <w:footnoteRef/>
      </w:r>
      <w:r>
        <w:t xml:space="preserve"> ETCS - E</w:t>
      </w:r>
      <w:r w:rsidRPr="008F7416">
        <w:t xml:space="preserve">vropský vlakový zabezpečovací systém </w:t>
      </w:r>
      <w:r>
        <w:t xml:space="preserve">/ </w:t>
      </w:r>
      <w:proofErr w:type="spellStart"/>
      <w:r w:rsidRPr="008F7416">
        <w:t>European</w:t>
      </w:r>
      <w:proofErr w:type="spellEnd"/>
      <w:r w:rsidRPr="008F7416">
        <w:t xml:space="preserve"> </w:t>
      </w:r>
      <w:proofErr w:type="spellStart"/>
      <w:r w:rsidRPr="008F7416">
        <w:t>Train</w:t>
      </w:r>
      <w:proofErr w:type="spellEnd"/>
      <w:r w:rsidRPr="008F7416">
        <w:t xml:space="preserve"> </w:t>
      </w:r>
      <w:proofErr w:type="spellStart"/>
      <w:r w:rsidRPr="008F7416">
        <w:t>Control</w:t>
      </w:r>
      <w:proofErr w:type="spellEnd"/>
      <w:r w:rsidRPr="008F7416">
        <w:t xml:space="preserve"> </w:t>
      </w:r>
      <w:proofErr w:type="spellStart"/>
      <w:r>
        <w:t>System</w:t>
      </w:r>
      <w:proofErr w:type="spellEnd"/>
      <w:r>
        <w:t xml:space="preserve"> tvoří jeden ze subsystémů ERTMS. Skládá se z traťové části a palubních jednotek na vozidlech. Zajišťuje </w:t>
      </w:r>
      <w:r w:rsidRPr="0080642D">
        <w:t xml:space="preserve">bezpečnost vlakové dopravy a </w:t>
      </w:r>
      <w:r>
        <w:t xml:space="preserve">umožňuje </w:t>
      </w:r>
      <w:r w:rsidRPr="0080642D">
        <w:t>aktivní zásah do řízení vlaku v případě selhání nebo omylu strojvedoucího.</w:t>
      </w:r>
    </w:p>
  </w:footnote>
  <w:footnote w:id="4">
    <w:p w14:paraId="2509E27F" w14:textId="77777777" w:rsidR="007C5AD2" w:rsidRDefault="007C5AD2">
      <w:pPr>
        <w:pStyle w:val="Textpoznpodarou"/>
      </w:pPr>
      <w:r w:rsidRPr="004572DD">
        <w:rPr>
          <w:rStyle w:val="Znakapoznpodarou"/>
        </w:rPr>
        <w:footnoteRef/>
      </w:r>
      <w:r>
        <w:t xml:space="preserve"> ITS - Inteligentní dopravní systémy / </w:t>
      </w:r>
      <w:proofErr w:type="spellStart"/>
      <w:r>
        <w:t>Intelligent</w:t>
      </w:r>
      <w:proofErr w:type="spellEnd"/>
      <w:r>
        <w:t xml:space="preserve"> Transport </w:t>
      </w:r>
      <w:proofErr w:type="spellStart"/>
      <w:r>
        <w:t>S</w:t>
      </w:r>
      <w:r w:rsidRPr="004572DD">
        <w:t>ystem</w:t>
      </w:r>
      <w:proofErr w:type="spellEnd"/>
    </w:p>
  </w:footnote>
  <w:footnote w:id="5">
    <w:p w14:paraId="0742ED25" w14:textId="77777777" w:rsidR="007C5AD2" w:rsidRDefault="007C5AD2">
      <w:pPr>
        <w:pStyle w:val="Textpoznpodarou"/>
      </w:pPr>
      <w:r>
        <w:rPr>
          <w:rStyle w:val="Znakapoznpodarou"/>
        </w:rPr>
        <w:footnoteRef/>
      </w:r>
      <w:r>
        <w:t xml:space="preserve"> RIS - Říční informační služby / </w:t>
      </w:r>
      <w:r w:rsidRPr="004572DD">
        <w:t xml:space="preserve">River </w:t>
      </w:r>
      <w:proofErr w:type="spellStart"/>
      <w:r w:rsidRPr="004572DD">
        <w:t>Information</w:t>
      </w:r>
      <w:proofErr w:type="spellEnd"/>
      <w:r w:rsidRPr="004572DD">
        <w:t xml:space="preserve"> </w:t>
      </w:r>
      <w:proofErr w:type="spellStart"/>
      <w:r w:rsidRPr="004572DD">
        <w:t>Services</w:t>
      </w:r>
      <w:proofErr w:type="spellEnd"/>
    </w:p>
  </w:footnote>
  <w:footnote w:id="6">
    <w:p w14:paraId="2D90511A" w14:textId="77777777" w:rsidR="007C5AD2" w:rsidRDefault="007C5AD2">
      <w:pPr>
        <w:pStyle w:val="Textpoznpodarou"/>
      </w:pPr>
      <w:r>
        <w:rPr>
          <w:rStyle w:val="Znakapoznpodarou"/>
        </w:rPr>
        <w:footnoteRef/>
      </w:r>
      <w:r>
        <w:t xml:space="preserve"> SESAR - </w:t>
      </w:r>
      <w:r w:rsidRPr="008F7416">
        <w:t xml:space="preserve">Single </w:t>
      </w:r>
      <w:proofErr w:type="spellStart"/>
      <w:r w:rsidRPr="008F7416">
        <w:t>European</w:t>
      </w:r>
      <w:proofErr w:type="spellEnd"/>
      <w:r w:rsidRPr="008F7416">
        <w:t xml:space="preserve"> </w:t>
      </w:r>
      <w:proofErr w:type="spellStart"/>
      <w:r w:rsidRPr="008F7416">
        <w:t>Sky</w:t>
      </w:r>
      <w:proofErr w:type="spellEnd"/>
      <w:r w:rsidRPr="008F7416">
        <w:t xml:space="preserve"> ATM </w:t>
      </w:r>
      <w:proofErr w:type="spellStart"/>
      <w:r w:rsidRPr="008F7416">
        <w:t>Research</w:t>
      </w:r>
      <w:proofErr w:type="spellEnd"/>
      <w:r w:rsidRPr="008F7416">
        <w:t xml:space="preserve"> označuje technologickou součást iniciativy EU </w:t>
      </w:r>
      <w:r>
        <w:t>s názvem Jednotné evropské nebe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300"/>
    <w:multiLevelType w:val="hybridMultilevel"/>
    <w:tmpl w:val="58AE95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027F0139"/>
    <w:multiLevelType w:val="hybridMultilevel"/>
    <w:tmpl w:val="FAB8ECEC"/>
    <w:lvl w:ilvl="0" w:tplc="D36EB568">
      <w:start w:val="6"/>
      <w:numFmt w:val="bullet"/>
      <w:pStyle w:val="normln-odrky"/>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EAC01A5"/>
    <w:multiLevelType w:val="hybridMultilevel"/>
    <w:tmpl w:val="A00A297A"/>
    <w:lvl w:ilvl="0" w:tplc="79FACB1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3F6EB6"/>
    <w:multiLevelType w:val="multilevel"/>
    <w:tmpl w:val="4F1405F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80723"/>
    <w:multiLevelType w:val="hybridMultilevel"/>
    <w:tmpl w:val="0D12E0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4441D96"/>
    <w:multiLevelType w:val="hybridMultilevel"/>
    <w:tmpl w:val="134C954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7BC3AE9"/>
    <w:multiLevelType w:val="hybridMultilevel"/>
    <w:tmpl w:val="5C1C24B2"/>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D033FC4"/>
    <w:multiLevelType w:val="multilevel"/>
    <w:tmpl w:val="60B6974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ECD42F2"/>
    <w:multiLevelType w:val="multilevel"/>
    <w:tmpl w:val="5E16E05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9" w15:restartNumberingAfterBreak="0">
    <w:nsid w:val="1F790A20"/>
    <w:multiLevelType w:val="hybridMultilevel"/>
    <w:tmpl w:val="44B409F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5A3BC9"/>
    <w:multiLevelType w:val="hybridMultilevel"/>
    <w:tmpl w:val="87AC5A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1333E3D"/>
    <w:multiLevelType w:val="hybridMultilevel"/>
    <w:tmpl w:val="EDA20B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14F6A12"/>
    <w:multiLevelType w:val="multilevel"/>
    <w:tmpl w:val="6F0458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469567B"/>
    <w:multiLevelType w:val="hybridMultilevel"/>
    <w:tmpl w:val="D7B8402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67D1A76"/>
    <w:multiLevelType w:val="hybridMultilevel"/>
    <w:tmpl w:val="6608CA1A"/>
    <w:lvl w:ilvl="0" w:tplc="F3E425B2">
      <w:start w:val="1"/>
      <w:numFmt w:val="decimal"/>
      <w:lvlText w:val="%1."/>
      <w:lvlJc w:val="left"/>
      <w:pPr>
        <w:ind w:left="720" w:hanging="360"/>
      </w:pPr>
      <w:rPr>
        <w:rFonts w:asciiTheme="minorHAnsi" w:eastAsiaTheme="minorHAnsi" w:hAnsiTheme="minorHAnsi" w:cstheme="minorBidi"/>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930212D"/>
    <w:multiLevelType w:val="hybridMultilevel"/>
    <w:tmpl w:val="D74885EE"/>
    <w:lvl w:ilvl="0" w:tplc="0405000F">
      <w:start w:val="1"/>
      <w:numFmt w:val="decimal"/>
      <w:lvlText w:val="%1."/>
      <w:lvlJc w:val="left"/>
      <w:pPr>
        <w:ind w:left="1069"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CC45EFC"/>
    <w:multiLevelType w:val="hybridMultilevel"/>
    <w:tmpl w:val="4A1ED9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A07D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594751"/>
    <w:multiLevelType w:val="hybridMultilevel"/>
    <w:tmpl w:val="569402F2"/>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cs="Times New Roman" w:hint="default"/>
      </w:rPr>
    </w:lvl>
  </w:abstractNum>
  <w:abstractNum w:abstractNumId="20" w15:restartNumberingAfterBreak="0">
    <w:nsid w:val="559E5A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80508EF"/>
    <w:multiLevelType w:val="hybridMultilevel"/>
    <w:tmpl w:val="2E18A240"/>
    <w:lvl w:ilvl="0" w:tplc="5E626BCA">
      <w:start w:val="1"/>
      <w:numFmt w:val="none"/>
      <w:lvlText w:val="3."/>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8AC137E"/>
    <w:multiLevelType w:val="hybridMultilevel"/>
    <w:tmpl w:val="04CA1BC8"/>
    <w:lvl w:ilvl="0" w:tplc="E8827168">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2FA6AFD"/>
    <w:multiLevelType w:val="hybridMultilevel"/>
    <w:tmpl w:val="B94E848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384044F"/>
    <w:multiLevelType w:val="multilevel"/>
    <w:tmpl w:val="04940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4D554D"/>
    <w:multiLevelType w:val="hybridMultilevel"/>
    <w:tmpl w:val="6B66B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CEB3A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213E9B"/>
    <w:multiLevelType w:val="multilevel"/>
    <w:tmpl w:val="BD54E5E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31C4340"/>
    <w:multiLevelType w:val="hybridMultilevel"/>
    <w:tmpl w:val="B76408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A737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78533C"/>
    <w:multiLevelType w:val="hybridMultilevel"/>
    <w:tmpl w:val="81C2774C"/>
    <w:lvl w:ilvl="0" w:tplc="D8781B08">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DF546F"/>
    <w:multiLevelType w:val="hybridMultilevel"/>
    <w:tmpl w:val="F6E42792"/>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D6F4EA0"/>
    <w:multiLevelType w:val="hybridMultilevel"/>
    <w:tmpl w:val="78F28044"/>
    <w:lvl w:ilvl="0" w:tplc="2C88D3C2">
      <w:start w:val="6"/>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F0B0D15"/>
    <w:multiLevelType w:val="hybridMultilevel"/>
    <w:tmpl w:val="15908B52"/>
    <w:lvl w:ilvl="0" w:tplc="CA2238C4">
      <w:start w:val="5"/>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24"/>
  </w:num>
  <w:num w:numId="4">
    <w:abstractNumId w:val="0"/>
  </w:num>
  <w:num w:numId="5">
    <w:abstractNumId w:val="25"/>
  </w:num>
  <w:num w:numId="6">
    <w:abstractNumId w:val="0"/>
  </w:num>
  <w:num w:numId="7">
    <w:abstractNumId w:val="11"/>
  </w:num>
  <w:num w:numId="8">
    <w:abstractNumId w:val="15"/>
  </w:num>
  <w:num w:numId="9">
    <w:abstractNumId w:val="4"/>
  </w:num>
  <w:num w:numId="10">
    <w:abstractNumId w:val="23"/>
  </w:num>
  <w:num w:numId="11">
    <w:abstractNumId w:val="22"/>
  </w:num>
  <w:num w:numId="12">
    <w:abstractNumId w:val="33"/>
  </w:num>
  <w:num w:numId="13">
    <w:abstractNumId w:val="30"/>
  </w:num>
  <w:num w:numId="14">
    <w:abstractNumId w:val="28"/>
  </w:num>
  <w:num w:numId="15">
    <w:abstractNumId w:val="2"/>
  </w:num>
  <w:num w:numId="16">
    <w:abstractNumId w:val="32"/>
  </w:num>
  <w:num w:numId="17">
    <w:abstractNumId w:val="1"/>
  </w:num>
  <w:num w:numId="18">
    <w:abstractNumId w:val="17"/>
  </w:num>
  <w:num w:numId="19">
    <w:abstractNumId w:val="26"/>
  </w:num>
  <w:num w:numId="20">
    <w:abstractNumId w:val="3"/>
  </w:num>
  <w:num w:numId="21">
    <w:abstractNumId w:val="7"/>
  </w:num>
  <w:num w:numId="22">
    <w:abstractNumId w:val="20"/>
  </w:num>
  <w:num w:numId="23">
    <w:abstractNumId w:val="29"/>
  </w:num>
  <w:num w:numId="24">
    <w:abstractNumId w:val="12"/>
  </w:num>
  <w:num w:numId="25">
    <w:abstractNumId w:val="27"/>
  </w:num>
  <w:num w:numId="26">
    <w:abstractNumId w:val="8"/>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6"/>
  </w:num>
  <w:num w:numId="30">
    <w:abstractNumId w:val="31"/>
  </w:num>
  <w:num w:numId="31">
    <w:abstractNumId w:val="1"/>
  </w:num>
  <w:num w:numId="32">
    <w:abstractNumId w:val="19"/>
  </w:num>
  <w:num w:numId="33">
    <w:abstractNumId w:val="13"/>
  </w:num>
  <w:num w:numId="34">
    <w:abstractNumId w:val="18"/>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9"/>
  </w:num>
  <w:num w:numId="44">
    <w:abstractNumId w:val="5"/>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48C"/>
    <w:rsid w:val="00001471"/>
    <w:rsid w:val="00003117"/>
    <w:rsid w:val="000032E5"/>
    <w:rsid w:val="00003EFD"/>
    <w:rsid w:val="00006FB5"/>
    <w:rsid w:val="00010456"/>
    <w:rsid w:val="00020A3F"/>
    <w:rsid w:val="00024D18"/>
    <w:rsid w:val="00025195"/>
    <w:rsid w:val="00025D85"/>
    <w:rsid w:val="00027EFF"/>
    <w:rsid w:val="000303E5"/>
    <w:rsid w:val="00035192"/>
    <w:rsid w:val="00035C32"/>
    <w:rsid w:val="00036A55"/>
    <w:rsid w:val="00041297"/>
    <w:rsid w:val="000514A3"/>
    <w:rsid w:val="000523C1"/>
    <w:rsid w:val="000556D4"/>
    <w:rsid w:val="00056F47"/>
    <w:rsid w:val="00057024"/>
    <w:rsid w:val="0006198D"/>
    <w:rsid w:val="00061F9B"/>
    <w:rsid w:val="00062983"/>
    <w:rsid w:val="0006302A"/>
    <w:rsid w:val="00067ED0"/>
    <w:rsid w:val="000737D4"/>
    <w:rsid w:val="00073B95"/>
    <w:rsid w:val="000744FC"/>
    <w:rsid w:val="00074CBF"/>
    <w:rsid w:val="00077C1F"/>
    <w:rsid w:val="00080726"/>
    <w:rsid w:val="00081C30"/>
    <w:rsid w:val="00082265"/>
    <w:rsid w:val="000847EE"/>
    <w:rsid w:val="00087131"/>
    <w:rsid w:val="000904BD"/>
    <w:rsid w:val="0009391B"/>
    <w:rsid w:val="00094004"/>
    <w:rsid w:val="0009459D"/>
    <w:rsid w:val="0009675E"/>
    <w:rsid w:val="000978E4"/>
    <w:rsid w:val="000A19F2"/>
    <w:rsid w:val="000A48C8"/>
    <w:rsid w:val="000A78DF"/>
    <w:rsid w:val="000B2CD3"/>
    <w:rsid w:val="000B3399"/>
    <w:rsid w:val="000B5A7D"/>
    <w:rsid w:val="000C06D7"/>
    <w:rsid w:val="000C08A0"/>
    <w:rsid w:val="000C297C"/>
    <w:rsid w:val="000C3663"/>
    <w:rsid w:val="000C4BDC"/>
    <w:rsid w:val="000C5593"/>
    <w:rsid w:val="000D4D85"/>
    <w:rsid w:val="000D4FA3"/>
    <w:rsid w:val="000D7336"/>
    <w:rsid w:val="000E0721"/>
    <w:rsid w:val="000E20DD"/>
    <w:rsid w:val="000E35A1"/>
    <w:rsid w:val="000E3E90"/>
    <w:rsid w:val="000E7235"/>
    <w:rsid w:val="000F05DA"/>
    <w:rsid w:val="000F08F7"/>
    <w:rsid w:val="000F634B"/>
    <w:rsid w:val="000F7DF2"/>
    <w:rsid w:val="00104867"/>
    <w:rsid w:val="001065E8"/>
    <w:rsid w:val="00114304"/>
    <w:rsid w:val="00115459"/>
    <w:rsid w:val="00115D48"/>
    <w:rsid w:val="00116EE8"/>
    <w:rsid w:val="00120CDF"/>
    <w:rsid w:val="00123ED6"/>
    <w:rsid w:val="00124474"/>
    <w:rsid w:val="0012627E"/>
    <w:rsid w:val="00127535"/>
    <w:rsid w:val="00127819"/>
    <w:rsid w:val="00131D41"/>
    <w:rsid w:val="001349D1"/>
    <w:rsid w:val="00150140"/>
    <w:rsid w:val="00154678"/>
    <w:rsid w:val="0016039E"/>
    <w:rsid w:val="00164087"/>
    <w:rsid w:val="00164F1F"/>
    <w:rsid w:val="00166E22"/>
    <w:rsid w:val="0017025C"/>
    <w:rsid w:val="001712C7"/>
    <w:rsid w:val="00172C82"/>
    <w:rsid w:val="001739BF"/>
    <w:rsid w:val="00174A9F"/>
    <w:rsid w:val="00175ED4"/>
    <w:rsid w:val="00184BDE"/>
    <w:rsid w:val="001850E7"/>
    <w:rsid w:val="0019173E"/>
    <w:rsid w:val="001918F0"/>
    <w:rsid w:val="00195C96"/>
    <w:rsid w:val="00196B01"/>
    <w:rsid w:val="001A2939"/>
    <w:rsid w:val="001A486E"/>
    <w:rsid w:val="001A5051"/>
    <w:rsid w:val="001B1AB9"/>
    <w:rsid w:val="001B3359"/>
    <w:rsid w:val="001B4D23"/>
    <w:rsid w:val="001B6C9F"/>
    <w:rsid w:val="001B7F70"/>
    <w:rsid w:val="001C51B6"/>
    <w:rsid w:val="001D2E73"/>
    <w:rsid w:val="001D5B14"/>
    <w:rsid w:val="001E2794"/>
    <w:rsid w:val="001E2974"/>
    <w:rsid w:val="001F5B9F"/>
    <w:rsid w:val="001F672B"/>
    <w:rsid w:val="0020424E"/>
    <w:rsid w:val="002047EB"/>
    <w:rsid w:val="002052D0"/>
    <w:rsid w:val="00210949"/>
    <w:rsid w:val="00213D30"/>
    <w:rsid w:val="00225817"/>
    <w:rsid w:val="00231398"/>
    <w:rsid w:val="0023200F"/>
    <w:rsid w:val="002320F8"/>
    <w:rsid w:val="00232EAF"/>
    <w:rsid w:val="00237AF6"/>
    <w:rsid w:val="00240F74"/>
    <w:rsid w:val="00242C7B"/>
    <w:rsid w:val="00245E2E"/>
    <w:rsid w:val="002518F5"/>
    <w:rsid w:val="00255618"/>
    <w:rsid w:val="002614E0"/>
    <w:rsid w:val="00264B57"/>
    <w:rsid w:val="00271824"/>
    <w:rsid w:val="00271CF7"/>
    <w:rsid w:val="00271D76"/>
    <w:rsid w:val="002737DA"/>
    <w:rsid w:val="002743F9"/>
    <w:rsid w:val="002761CE"/>
    <w:rsid w:val="0028064A"/>
    <w:rsid w:val="00283156"/>
    <w:rsid w:val="00287403"/>
    <w:rsid w:val="00291591"/>
    <w:rsid w:val="00291A33"/>
    <w:rsid w:val="0029387C"/>
    <w:rsid w:val="0029598F"/>
    <w:rsid w:val="002963C9"/>
    <w:rsid w:val="00296FA7"/>
    <w:rsid w:val="002A035B"/>
    <w:rsid w:val="002A0C8D"/>
    <w:rsid w:val="002A18B5"/>
    <w:rsid w:val="002B41DB"/>
    <w:rsid w:val="002B71E9"/>
    <w:rsid w:val="002C0CD4"/>
    <w:rsid w:val="002D228D"/>
    <w:rsid w:val="002D246D"/>
    <w:rsid w:val="002D5504"/>
    <w:rsid w:val="002D612E"/>
    <w:rsid w:val="002D7006"/>
    <w:rsid w:val="002D75C9"/>
    <w:rsid w:val="002E1E78"/>
    <w:rsid w:val="002E4F75"/>
    <w:rsid w:val="002F6523"/>
    <w:rsid w:val="0030083E"/>
    <w:rsid w:val="00301E3E"/>
    <w:rsid w:val="00303219"/>
    <w:rsid w:val="00303AAC"/>
    <w:rsid w:val="003048E3"/>
    <w:rsid w:val="00311447"/>
    <w:rsid w:val="00311653"/>
    <w:rsid w:val="0031294A"/>
    <w:rsid w:val="00316B55"/>
    <w:rsid w:val="00320B77"/>
    <w:rsid w:val="00322E60"/>
    <w:rsid w:val="003238B3"/>
    <w:rsid w:val="0032534A"/>
    <w:rsid w:val="00325451"/>
    <w:rsid w:val="003264C0"/>
    <w:rsid w:val="003265EE"/>
    <w:rsid w:val="00326B50"/>
    <w:rsid w:val="00327A8C"/>
    <w:rsid w:val="00333585"/>
    <w:rsid w:val="0033476F"/>
    <w:rsid w:val="00341B29"/>
    <w:rsid w:val="00343C86"/>
    <w:rsid w:val="00345149"/>
    <w:rsid w:val="00345930"/>
    <w:rsid w:val="00351FF2"/>
    <w:rsid w:val="00354250"/>
    <w:rsid w:val="00356EF2"/>
    <w:rsid w:val="00361693"/>
    <w:rsid w:val="00361E88"/>
    <w:rsid w:val="00362030"/>
    <w:rsid w:val="00363C03"/>
    <w:rsid w:val="00370B63"/>
    <w:rsid w:val="00372684"/>
    <w:rsid w:val="00380CEE"/>
    <w:rsid w:val="00381643"/>
    <w:rsid w:val="00391773"/>
    <w:rsid w:val="003919CE"/>
    <w:rsid w:val="00391F75"/>
    <w:rsid w:val="00393102"/>
    <w:rsid w:val="00396DFE"/>
    <w:rsid w:val="00396F51"/>
    <w:rsid w:val="003976D1"/>
    <w:rsid w:val="003A120F"/>
    <w:rsid w:val="003A1EC5"/>
    <w:rsid w:val="003A4B3F"/>
    <w:rsid w:val="003B21DC"/>
    <w:rsid w:val="003B527D"/>
    <w:rsid w:val="003B57CB"/>
    <w:rsid w:val="003B6327"/>
    <w:rsid w:val="003C2A19"/>
    <w:rsid w:val="003C64E8"/>
    <w:rsid w:val="003D2F49"/>
    <w:rsid w:val="003D41CB"/>
    <w:rsid w:val="003D6918"/>
    <w:rsid w:val="003D6D0C"/>
    <w:rsid w:val="003D6D93"/>
    <w:rsid w:val="003E6C10"/>
    <w:rsid w:val="003E789D"/>
    <w:rsid w:val="003F019C"/>
    <w:rsid w:val="003F16EE"/>
    <w:rsid w:val="003F19F9"/>
    <w:rsid w:val="00402DD9"/>
    <w:rsid w:val="00404746"/>
    <w:rsid w:val="00404C70"/>
    <w:rsid w:val="004055D8"/>
    <w:rsid w:val="00406153"/>
    <w:rsid w:val="00406DD9"/>
    <w:rsid w:val="00407B4D"/>
    <w:rsid w:val="00407C7B"/>
    <w:rsid w:val="00411C1F"/>
    <w:rsid w:val="00412375"/>
    <w:rsid w:val="00414791"/>
    <w:rsid w:val="00420226"/>
    <w:rsid w:val="00420BCF"/>
    <w:rsid w:val="00422353"/>
    <w:rsid w:val="00424D3D"/>
    <w:rsid w:val="0042771A"/>
    <w:rsid w:val="00431A56"/>
    <w:rsid w:val="004322AE"/>
    <w:rsid w:val="004346FC"/>
    <w:rsid w:val="00442015"/>
    <w:rsid w:val="00443E50"/>
    <w:rsid w:val="0044508B"/>
    <w:rsid w:val="00445319"/>
    <w:rsid w:val="004525B5"/>
    <w:rsid w:val="0045316D"/>
    <w:rsid w:val="00456E7C"/>
    <w:rsid w:val="004572DD"/>
    <w:rsid w:val="0045787B"/>
    <w:rsid w:val="00467705"/>
    <w:rsid w:val="00470BF0"/>
    <w:rsid w:val="00471687"/>
    <w:rsid w:val="00471756"/>
    <w:rsid w:val="00473684"/>
    <w:rsid w:val="00476374"/>
    <w:rsid w:val="0047712D"/>
    <w:rsid w:val="004826DC"/>
    <w:rsid w:val="0048294E"/>
    <w:rsid w:val="004833EC"/>
    <w:rsid w:val="00486132"/>
    <w:rsid w:val="004877AD"/>
    <w:rsid w:val="004950D7"/>
    <w:rsid w:val="0049681C"/>
    <w:rsid w:val="004A27DC"/>
    <w:rsid w:val="004A3E12"/>
    <w:rsid w:val="004A5C16"/>
    <w:rsid w:val="004B2ACD"/>
    <w:rsid w:val="004B5CA1"/>
    <w:rsid w:val="004C2CA0"/>
    <w:rsid w:val="004C3FEB"/>
    <w:rsid w:val="004C6583"/>
    <w:rsid w:val="004D3BA5"/>
    <w:rsid w:val="004E05DA"/>
    <w:rsid w:val="004E07BB"/>
    <w:rsid w:val="004E17E7"/>
    <w:rsid w:val="004E1E9B"/>
    <w:rsid w:val="004E30EE"/>
    <w:rsid w:val="004E7598"/>
    <w:rsid w:val="004F1556"/>
    <w:rsid w:val="004F4053"/>
    <w:rsid w:val="00500D5F"/>
    <w:rsid w:val="005015A2"/>
    <w:rsid w:val="00503431"/>
    <w:rsid w:val="00504C27"/>
    <w:rsid w:val="00506E29"/>
    <w:rsid w:val="00510FD2"/>
    <w:rsid w:val="00515EA0"/>
    <w:rsid w:val="00521539"/>
    <w:rsid w:val="0052250E"/>
    <w:rsid w:val="005252BC"/>
    <w:rsid w:val="005315E3"/>
    <w:rsid w:val="00531919"/>
    <w:rsid w:val="0053388A"/>
    <w:rsid w:val="00533E39"/>
    <w:rsid w:val="00537F0B"/>
    <w:rsid w:val="00540CE1"/>
    <w:rsid w:val="00542746"/>
    <w:rsid w:val="00542D4C"/>
    <w:rsid w:val="00544C6C"/>
    <w:rsid w:val="005461BA"/>
    <w:rsid w:val="005563AA"/>
    <w:rsid w:val="00557E98"/>
    <w:rsid w:val="00561020"/>
    <w:rsid w:val="00562B7F"/>
    <w:rsid w:val="00564B53"/>
    <w:rsid w:val="005652D6"/>
    <w:rsid w:val="00567D0F"/>
    <w:rsid w:val="005701D2"/>
    <w:rsid w:val="00574B54"/>
    <w:rsid w:val="005770D9"/>
    <w:rsid w:val="00581C26"/>
    <w:rsid w:val="00584D81"/>
    <w:rsid w:val="00590669"/>
    <w:rsid w:val="00590DE2"/>
    <w:rsid w:val="00593572"/>
    <w:rsid w:val="005A0935"/>
    <w:rsid w:val="005A20C0"/>
    <w:rsid w:val="005A2A5E"/>
    <w:rsid w:val="005A4180"/>
    <w:rsid w:val="005A5B27"/>
    <w:rsid w:val="005A6713"/>
    <w:rsid w:val="005A6DF8"/>
    <w:rsid w:val="005A75B6"/>
    <w:rsid w:val="005B0130"/>
    <w:rsid w:val="005B05FE"/>
    <w:rsid w:val="005B3784"/>
    <w:rsid w:val="005B794C"/>
    <w:rsid w:val="005B7BBF"/>
    <w:rsid w:val="005C0824"/>
    <w:rsid w:val="005C25BD"/>
    <w:rsid w:val="005C2E2F"/>
    <w:rsid w:val="005C4796"/>
    <w:rsid w:val="005C5A36"/>
    <w:rsid w:val="005D3616"/>
    <w:rsid w:val="005D4CF3"/>
    <w:rsid w:val="005D70F7"/>
    <w:rsid w:val="005E124C"/>
    <w:rsid w:val="005E1666"/>
    <w:rsid w:val="005E2ED1"/>
    <w:rsid w:val="005E3790"/>
    <w:rsid w:val="005F1C27"/>
    <w:rsid w:val="005F1D50"/>
    <w:rsid w:val="005F2291"/>
    <w:rsid w:val="005F6392"/>
    <w:rsid w:val="006031EC"/>
    <w:rsid w:val="00603D59"/>
    <w:rsid w:val="006055D1"/>
    <w:rsid w:val="006057BC"/>
    <w:rsid w:val="006066F1"/>
    <w:rsid w:val="00607DA1"/>
    <w:rsid w:val="00610DCA"/>
    <w:rsid w:val="0061163E"/>
    <w:rsid w:val="00611A83"/>
    <w:rsid w:val="00615A11"/>
    <w:rsid w:val="0061616B"/>
    <w:rsid w:val="0062024A"/>
    <w:rsid w:val="00621CEC"/>
    <w:rsid w:val="006223A6"/>
    <w:rsid w:val="0062571B"/>
    <w:rsid w:val="006277F9"/>
    <w:rsid w:val="00627F67"/>
    <w:rsid w:val="006310A9"/>
    <w:rsid w:val="0063266E"/>
    <w:rsid w:val="00634047"/>
    <w:rsid w:val="00634A7B"/>
    <w:rsid w:val="006355F9"/>
    <w:rsid w:val="006375D2"/>
    <w:rsid w:val="00641201"/>
    <w:rsid w:val="006413CE"/>
    <w:rsid w:val="00642FCB"/>
    <w:rsid w:val="00645526"/>
    <w:rsid w:val="00647103"/>
    <w:rsid w:val="00647379"/>
    <w:rsid w:val="00651CD3"/>
    <w:rsid w:val="00652CB6"/>
    <w:rsid w:val="006636B8"/>
    <w:rsid w:val="00665D5E"/>
    <w:rsid w:val="00667433"/>
    <w:rsid w:val="0067170A"/>
    <w:rsid w:val="006818AB"/>
    <w:rsid w:val="00682660"/>
    <w:rsid w:val="00683CCA"/>
    <w:rsid w:val="006840E8"/>
    <w:rsid w:val="006848DB"/>
    <w:rsid w:val="00691207"/>
    <w:rsid w:val="00692F52"/>
    <w:rsid w:val="0069308B"/>
    <w:rsid w:val="00694698"/>
    <w:rsid w:val="00696270"/>
    <w:rsid w:val="0069745F"/>
    <w:rsid w:val="006A1085"/>
    <w:rsid w:val="006A3172"/>
    <w:rsid w:val="006B0247"/>
    <w:rsid w:val="006B0ABE"/>
    <w:rsid w:val="006B22A3"/>
    <w:rsid w:val="006B330B"/>
    <w:rsid w:val="006B4057"/>
    <w:rsid w:val="006B49BF"/>
    <w:rsid w:val="006B4DD5"/>
    <w:rsid w:val="006B698D"/>
    <w:rsid w:val="006C01D6"/>
    <w:rsid w:val="006C1515"/>
    <w:rsid w:val="006C1F16"/>
    <w:rsid w:val="006C7F87"/>
    <w:rsid w:val="006D2E9C"/>
    <w:rsid w:val="006D3849"/>
    <w:rsid w:val="006D72A9"/>
    <w:rsid w:val="006E622F"/>
    <w:rsid w:val="006E6E6E"/>
    <w:rsid w:val="006E7466"/>
    <w:rsid w:val="006F16D9"/>
    <w:rsid w:val="006F2949"/>
    <w:rsid w:val="006F4B5D"/>
    <w:rsid w:val="00701B7E"/>
    <w:rsid w:val="0070304F"/>
    <w:rsid w:val="00703DE6"/>
    <w:rsid w:val="00706DE3"/>
    <w:rsid w:val="007134AE"/>
    <w:rsid w:val="00713AB7"/>
    <w:rsid w:val="00714F08"/>
    <w:rsid w:val="0071567A"/>
    <w:rsid w:val="00716624"/>
    <w:rsid w:val="00716F36"/>
    <w:rsid w:val="007175C5"/>
    <w:rsid w:val="00717A0F"/>
    <w:rsid w:val="007214A0"/>
    <w:rsid w:val="007267E7"/>
    <w:rsid w:val="007279D5"/>
    <w:rsid w:val="00733122"/>
    <w:rsid w:val="00742A5F"/>
    <w:rsid w:val="00743A28"/>
    <w:rsid w:val="007444A4"/>
    <w:rsid w:val="00746523"/>
    <w:rsid w:val="00746536"/>
    <w:rsid w:val="00752F14"/>
    <w:rsid w:val="00753045"/>
    <w:rsid w:val="0075572D"/>
    <w:rsid w:val="007608D0"/>
    <w:rsid w:val="007618DD"/>
    <w:rsid w:val="00761E47"/>
    <w:rsid w:val="00767010"/>
    <w:rsid w:val="0076737C"/>
    <w:rsid w:val="00771873"/>
    <w:rsid w:val="00773482"/>
    <w:rsid w:val="00777288"/>
    <w:rsid w:val="0078626C"/>
    <w:rsid w:val="00790190"/>
    <w:rsid w:val="007A257E"/>
    <w:rsid w:val="007A4B17"/>
    <w:rsid w:val="007B0A85"/>
    <w:rsid w:val="007B0CAA"/>
    <w:rsid w:val="007B110C"/>
    <w:rsid w:val="007B3015"/>
    <w:rsid w:val="007B450E"/>
    <w:rsid w:val="007B78FC"/>
    <w:rsid w:val="007C44DA"/>
    <w:rsid w:val="007C5AD2"/>
    <w:rsid w:val="007C6D41"/>
    <w:rsid w:val="007C6E8C"/>
    <w:rsid w:val="007C7B73"/>
    <w:rsid w:val="007D1B38"/>
    <w:rsid w:val="007D63AE"/>
    <w:rsid w:val="007D67E9"/>
    <w:rsid w:val="007E0006"/>
    <w:rsid w:val="007E111C"/>
    <w:rsid w:val="007E3843"/>
    <w:rsid w:val="007F220D"/>
    <w:rsid w:val="007F293A"/>
    <w:rsid w:val="007F4625"/>
    <w:rsid w:val="008004A0"/>
    <w:rsid w:val="00802A7D"/>
    <w:rsid w:val="00804A0C"/>
    <w:rsid w:val="00806163"/>
    <w:rsid w:val="0080642D"/>
    <w:rsid w:val="00810607"/>
    <w:rsid w:val="008112A3"/>
    <w:rsid w:val="008126CE"/>
    <w:rsid w:val="00820C04"/>
    <w:rsid w:val="008229F5"/>
    <w:rsid w:val="008246CD"/>
    <w:rsid w:val="008307B4"/>
    <w:rsid w:val="00832986"/>
    <w:rsid w:val="008333C7"/>
    <w:rsid w:val="008369AF"/>
    <w:rsid w:val="00841A02"/>
    <w:rsid w:val="008422A2"/>
    <w:rsid w:val="008468EE"/>
    <w:rsid w:val="0085050C"/>
    <w:rsid w:val="008528B2"/>
    <w:rsid w:val="008528BD"/>
    <w:rsid w:val="00853FF0"/>
    <w:rsid w:val="00857800"/>
    <w:rsid w:val="00860C63"/>
    <w:rsid w:val="008660AF"/>
    <w:rsid w:val="00866787"/>
    <w:rsid w:val="00871A2A"/>
    <w:rsid w:val="00872459"/>
    <w:rsid w:val="00873906"/>
    <w:rsid w:val="008747F1"/>
    <w:rsid w:val="00875FC8"/>
    <w:rsid w:val="00882083"/>
    <w:rsid w:val="00882248"/>
    <w:rsid w:val="00883FB8"/>
    <w:rsid w:val="00884993"/>
    <w:rsid w:val="00885BA2"/>
    <w:rsid w:val="0088661B"/>
    <w:rsid w:val="00886A3C"/>
    <w:rsid w:val="008871A9"/>
    <w:rsid w:val="00891613"/>
    <w:rsid w:val="008928C9"/>
    <w:rsid w:val="00896507"/>
    <w:rsid w:val="00897C1F"/>
    <w:rsid w:val="008A15DB"/>
    <w:rsid w:val="008A24C7"/>
    <w:rsid w:val="008A344D"/>
    <w:rsid w:val="008A3BD8"/>
    <w:rsid w:val="008A3D10"/>
    <w:rsid w:val="008A5930"/>
    <w:rsid w:val="008A5C3E"/>
    <w:rsid w:val="008A7021"/>
    <w:rsid w:val="008B2F33"/>
    <w:rsid w:val="008B4B8F"/>
    <w:rsid w:val="008B4C24"/>
    <w:rsid w:val="008B5767"/>
    <w:rsid w:val="008B68BF"/>
    <w:rsid w:val="008C14C8"/>
    <w:rsid w:val="008C2057"/>
    <w:rsid w:val="008C3B92"/>
    <w:rsid w:val="008D4103"/>
    <w:rsid w:val="008D46BA"/>
    <w:rsid w:val="008E3C07"/>
    <w:rsid w:val="008E4255"/>
    <w:rsid w:val="008E4E29"/>
    <w:rsid w:val="008E4F8B"/>
    <w:rsid w:val="008E6E7C"/>
    <w:rsid w:val="008F2FA5"/>
    <w:rsid w:val="008F37C5"/>
    <w:rsid w:val="008F45E8"/>
    <w:rsid w:val="008F7416"/>
    <w:rsid w:val="0090798B"/>
    <w:rsid w:val="00912EEC"/>
    <w:rsid w:val="00915AC1"/>
    <w:rsid w:val="009178E6"/>
    <w:rsid w:val="00921548"/>
    <w:rsid w:val="0092359E"/>
    <w:rsid w:val="00924D7D"/>
    <w:rsid w:val="00926820"/>
    <w:rsid w:val="009270AC"/>
    <w:rsid w:val="00934E00"/>
    <w:rsid w:val="00935C87"/>
    <w:rsid w:val="00946CD4"/>
    <w:rsid w:val="009563C1"/>
    <w:rsid w:val="00961062"/>
    <w:rsid w:val="00961E59"/>
    <w:rsid w:val="009669B1"/>
    <w:rsid w:val="00972C58"/>
    <w:rsid w:val="0097432D"/>
    <w:rsid w:val="009774F9"/>
    <w:rsid w:val="009807D5"/>
    <w:rsid w:val="00983891"/>
    <w:rsid w:val="00985953"/>
    <w:rsid w:val="00987B28"/>
    <w:rsid w:val="0099537B"/>
    <w:rsid w:val="009A28F8"/>
    <w:rsid w:val="009A713E"/>
    <w:rsid w:val="009B28C7"/>
    <w:rsid w:val="009B6F09"/>
    <w:rsid w:val="009C1130"/>
    <w:rsid w:val="009C1955"/>
    <w:rsid w:val="009C4A09"/>
    <w:rsid w:val="009C4B08"/>
    <w:rsid w:val="009C5076"/>
    <w:rsid w:val="009C5924"/>
    <w:rsid w:val="009C709F"/>
    <w:rsid w:val="009C7B9C"/>
    <w:rsid w:val="009D0A8F"/>
    <w:rsid w:val="009D3D9C"/>
    <w:rsid w:val="009D6E04"/>
    <w:rsid w:val="009E4A4F"/>
    <w:rsid w:val="009E53FE"/>
    <w:rsid w:val="009E5997"/>
    <w:rsid w:val="009E722E"/>
    <w:rsid w:val="009F396C"/>
    <w:rsid w:val="009F5CB0"/>
    <w:rsid w:val="009F66A2"/>
    <w:rsid w:val="00A00156"/>
    <w:rsid w:val="00A006C7"/>
    <w:rsid w:val="00A013BF"/>
    <w:rsid w:val="00A046FB"/>
    <w:rsid w:val="00A075FC"/>
    <w:rsid w:val="00A07915"/>
    <w:rsid w:val="00A12F73"/>
    <w:rsid w:val="00A14719"/>
    <w:rsid w:val="00A15D9D"/>
    <w:rsid w:val="00A16575"/>
    <w:rsid w:val="00A17E2B"/>
    <w:rsid w:val="00A20550"/>
    <w:rsid w:val="00A2412A"/>
    <w:rsid w:val="00A258EB"/>
    <w:rsid w:val="00A277B3"/>
    <w:rsid w:val="00A31E82"/>
    <w:rsid w:val="00A35CB3"/>
    <w:rsid w:val="00A37D52"/>
    <w:rsid w:val="00A410B1"/>
    <w:rsid w:val="00A4205D"/>
    <w:rsid w:val="00A439DC"/>
    <w:rsid w:val="00A44A4D"/>
    <w:rsid w:val="00A460BD"/>
    <w:rsid w:val="00A50753"/>
    <w:rsid w:val="00A50C4B"/>
    <w:rsid w:val="00A527AF"/>
    <w:rsid w:val="00A60BE1"/>
    <w:rsid w:val="00A614B4"/>
    <w:rsid w:val="00A64380"/>
    <w:rsid w:val="00A64420"/>
    <w:rsid w:val="00A659F9"/>
    <w:rsid w:val="00A66B9E"/>
    <w:rsid w:val="00A705D2"/>
    <w:rsid w:val="00A70EB6"/>
    <w:rsid w:val="00A752CA"/>
    <w:rsid w:val="00A811BB"/>
    <w:rsid w:val="00A83464"/>
    <w:rsid w:val="00A8507C"/>
    <w:rsid w:val="00A858FB"/>
    <w:rsid w:val="00A877C5"/>
    <w:rsid w:val="00A90324"/>
    <w:rsid w:val="00A9184D"/>
    <w:rsid w:val="00A94AF2"/>
    <w:rsid w:val="00A96ECB"/>
    <w:rsid w:val="00A976BA"/>
    <w:rsid w:val="00AA544E"/>
    <w:rsid w:val="00AB0689"/>
    <w:rsid w:val="00AB2EDF"/>
    <w:rsid w:val="00AB71F8"/>
    <w:rsid w:val="00AC4AF6"/>
    <w:rsid w:val="00AD364E"/>
    <w:rsid w:val="00AD3D67"/>
    <w:rsid w:val="00AD56B8"/>
    <w:rsid w:val="00AD5927"/>
    <w:rsid w:val="00AD60EA"/>
    <w:rsid w:val="00AD610A"/>
    <w:rsid w:val="00AE54EC"/>
    <w:rsid w:val="00AE6788"/>
    <w:rsid w:val="00AF3424"/>
    <w:rsid w:val="00AF4307"/>
    <w:rsid w:val="00AF734A"/>
    <w:rsid w:val="00AF791A"/>
    <w:rsid w:val="00B00FC5"/>
    <w:rsid w:val="00B010C5"/>
    <w:rsid w:val="00B03BB6"/>
    <w:rsid w:val="00B05F25"/>
    <w:rsid w:val="00B07E0E"/>
    <w:rsid w:val="00B10A09"/>
    <w:rsid w:val="00B12018"/>
    <w:rsid w:val="00B17C62"/>
    <w:rsid w:val="00B21315"/>
    <w:rsid w:val="00B23114"/>
    <w:rsid w:val="00B27035"/>
    <w:rsid w:val="00B27AAB"/>
    <w:rsid w:val="00B304F0"/>
    <w:rsid w:val="00B308C0"/>
    <w:rsid w:val="00B3123A"/>
    <w:rsid w:val="00B3476A"/>
    <w:rsid w:val="00B3733F"/>
    <w:rsid w:val="00B37D44"/>
    <w:rsid w:val="00B40A63"/>
    <w:rsid w:val="00B44F35"/>
    <w:rsid w:val="00B45B0A"/>
    <w:rsid w:val="00B524A5"/>
    <w:rsid w:val="00B52CB0"/>
    <w:rsid w:val="00B53CC2"/>
    <w:rsid w:val="00B556F6"/>
    <w:rsid w:val="00B558BE"/>
    <w:rsid w:val="00B5650D"/>
    <w:rsid w:val="00B6101E"/>
    <w:rsid w:val="00B625F6"/>
    <w:rsid w:val="00B64820"/>
    <w:rsid w:val="00B64D19"/>
    <w:rsid w:val="00B65176"/>
    <w:rsid w:val="00B661AD"/>
    <w:rsid w:val="00B67152"/>
    <w:rsid w:val="00B72A52"/>
    <w:rsid w:val="00B73236"/>
    <w:rsid w:val="00B81927"/>
    <w:rsid w:val="00B8228C"/>
    <w:rsid w:val="00B84157"/>
    <w:rsid w:val="00B86A32"/>
    <w:rsid w:val="00B8748D"/>
    <w:rsid w:val="00B90435"/>
    <w:rsid w:val="00B91E76"/>
    <w:rsid w:val="00B94EF5"/>
    <w:rsid w:val="00BA7E2E"/>
    <w:rsid w:val="00BA7F5C"/>
    <w:rsid w:val="00BB02A2"/>
    <w:rsid w:val="00BB1315"/>
    <w:rsid w:val="00BB2C04"/>
    <w:rsid w:val="00BB3A49"/>
    <w:rsid w:val="00BB4BC6"/>
    <w:rsid w:val="00BB7E1C"/>
    <w:rsid w:val="00BC394E"/>
    <w:rsid w:val="00BC4C57"/>
    <w:rsid w:val="00BD00CF"/>
    <w:rsid w:val="00BD3194"/>
    <w:rsid w:val="00BD4ABF"/>
    <w:rsid w:val="00BE19E9"/>
    <w:rsid w:val="00BE2F39"/>
    <w:rsid w:val="00BE67B7"/>
    <w:rsid w:val="00C00723"/>
    <w:rsid w:val="00C015C2"/>
    <w:rsid w:val="00C04381"/>
    <w:rsid w:val="00C0491B"/>
    <w:rsid w:val="00C054D5"/>
    <w:rsid w:val="00C0576B"/>
    <w:rsid w:val="00C06A5F"/>
    <w:rsid w:val="00C133C7"/>
    <w:rsid w:val="00C1347C"/>
    <w:rsid w:val="00C144A1"/>
    <w:rsid w:val="00C15677"/>
    <w:rsid w:val="00C1676B"/>
    <w:rsid w:val="00C2352A"/>
    <w:rsid w:val="00C25C9B"/>
    <w:rsid w:val="00C27A8C"/>
    <w:rsid w:val="00C3288F"/>
    <w:rsid w:val="00C33143"/>
    <w:rsid w:val="00C33714"/>
    <w:rsid w:val="00C357DD"/>
    <w:rsid w:val="00C40857"/>
    <w:rsid w:val="00C40CB3"/>
    <w:rsid w:val="00C44B1D"/>
    <w:rsid w:val="00C4596B"/>
    <w:rsid w:val="00C478EA"/>
    <w:rsid w:val="00C503B7"/>
    <w:rsid w:val="00C5343D"/>
    <w:rsid w:val="00C53951"/>
    <w:rsid w:val="00C552FA"/>
    <w:rsid w:val="00C605BA"/>
    <w:rsid w:val="00C631DA"/>
    <w:rsid w:val="00C65934"/>
    <w:rsid w:val="00C66BE7"/>
    <w:rsid w:val="00C750F9"/>
    <w:rsid w:val="00C754EC"/>
    <w:rsid w:val="00C80206"/>
    <w:rsid w:val="00C91486"/>
    <w:rsid w:val="00C9277E"/>
    <w:rsid w:val="00C941B2"/>
    <w:rsid w:val="00C9557D"/>
    <w:rsid w:val="00C9630A"/>
    <w:rsid w:val="00CA05EE"/>
    <w:rsid w:val="00CA2022"/>
    <w:rsid w:val="00CA77FF"/>
    <w:rsid w:val="00CB37A7"/>
    <w:rsid w:val="00CB3AFD"/>
    <w:rsid w:val="00CB6F1F"/>
    <w:rsid w:val="00CB7812"/>
    <w:rsid w:val="00CB7C45"/>
    <w:rsid w:val="00CC0EE7"/>
    <w:rsid w:val="00CC2AA0"/>
    <w:rsid w:val="00CC48DA"/>
    <w:rsid w:val="00CC5BF3"/>
    <w:rsid w:val="00CC63D2"/>
    <w:rsid w:val="00CC67A1"/>
    <w:rsid w:val="00CC684C"/>
    <w:rsid w:val="00CC72CD"/>
    <w:rsid w:val="00CD0173"/>
    <w:rsid w:val="00CD0FB2"/>
    <w:rsid w:val="00CD5217"/>
    <w:rsid w:val="00CD6D68"/>
    <w:rsid w:val="00CE35CC"/>
    <w:rsid w:val="00CE3AEA"/>
    <w:rsid w:val="00CE4648"/>
    <w:rsid w:val="00CE5195"/>
    <w:rsid w:val="00CF06A7"/>
    <w:rsid w:val="00CF66D5"/>
    <w:rsid w:val="00D00735"/>
    <w:rsid w:val="00D0441B"/>
    <w:rsid w:val="00D05CB2"/>
    <w:rsid w:val="00D10BD2"/>
    <w:rsid w:val="00D1302E"/>
    <w:rsid w:val="00D13AC9"/>
    <w:rsid w:val="00D14AB4"/>
    <w:rsid w:val="00D16989"/>
    <w:rsid w:val="00D179DA"/>
    <w:rsid w:val="00D23065"/>
    <w:rsid w:val="00D27E81"/>
    <w:rsid w:val="00D3076E"/>
    <w:rsid w:val="00D329DD"/>
    <w:rsid w:val="00D32C8D"/>
    <w:rsid w:val="00D33516"/>
    <w:rsid w:val="00D338E0"/>
    <w:rsid w:val="00D34018"/>
    <w:rsid w:val="00D36401"/>
    <w:rsid w:val="00D37A26"/>
    <w:rsid w:val="00D40CBB"/>
    <w:rsid w:val="00D40F7F"/>
    <w:rsid w:val="00D410F3"/>
    <w:rsid w:val="00D4569B"/>
    <w:rsid w:val="00D45EF2"/>
    <w:rsid w:val="00D542B3"/>
    <w:rsid w:val="00D5585C"/>
    <w:rsid w:val="00D5688C"/>
    <w:rsid w:val="00D606EC"/>
    <w:rsid w:val="00D6198F"/>
    <w:rsid w:val="00D61A4A"/>
    <w:rsid w:val="00D61BF9"/>
    <w:rsid w:val="00D61ED2"/>
    <w:rsid w:val="00D65EB7"/>
    <w:rsid w:val="00D6758C"/>
    <w:rsid w:val="00D716C3"/>
    <w:rsid w:val="00D75565"/>
    <w:rsid w:val="00D75D7A"/>
    <w:rsid w:val="00D8027C"/>
    <w:rsid w:val="00D83921"/>
    <w:rsid w:val="00D877B5"/>
    <w:rsid w:val="00D9185D"/>
    <w:rsid w:val="00D929C5"/>
    <w:rsid w:val="00D93B4B"/>
    <w:rsid w:val="00DA5500"/>
    <w:rsid w:val="00DA6077"/>
    <w:rsid w:val="00DA790B"/>
    <w:rsid w:val="00DB0722"/>
    <w:rsid w:val="00DB27A9"/>
    <w:rsid w:val="00DB4D03"/>
    <w:rsid w:val="00DC3BC5"/>
    <w:rsid w:val="00DC4CAB"/>
    <w:rsid w:val="00DD48D5"/>
    <w:rsid w:val="00DD7FFC"/>
    <w:rsid w:val="00DE0954"/>
    <w:rsid w:val="00DE1DB3"/>
    <w:rsid w:val="00DE2F20"/>
    <w:rsid w:val="00DE45B3"/>
    <w:rsid w:val="00DE6323"/>
    <w:rsid w:val="00DF0241"/>
    <w:rsid w:val="00DF2111"/>
    <w:rsid w:val="00DF26C9"/>
    <w:rsid w:val="00DF5074"/>
    <w:rsid w:val="00DF69D5"/>
    <w:rsid w:val="00E00C8B"/>
    <w:rsid w:val="00E0176A"/>
    <w:rsid w:val="00E0355D"/>
    <w:rsid w:val="00E047B9"/>
    <w:rsid w:val="00E10434"/>
    <w:rsid w:val="00E12751"/>
    <w:rsid w:val="00E156BB"/>
    <w:rsid w:val="00E16BB6"/>
    <w:rsid w:val="00E17A62"/>
    <w:rsid w:val="00E23F42"/>
    <w:rsid w:val="00E31E45"/>
    <w:rsid w:val="00E35636"/>
    <w:rsid w:val="00E40CA6"/>
    <w:rsid w:val="00E437E2"/>
    <w:rsid w:val="00E4437F"/>
    <w:rsid w:val="00E44D91"/>
    <w:rsid w:val="00E4630D"/>
    <w:rsid w:val="00E46B41"/>
    <w:rsid w:val="00E50E18"/>
    <w:rsid w:val="00E534E4"/>
    <w:rsid w:val="00E651FA"/>
    <w:rsid w:val="00E65B75"/>
    <w:rsid w:val="00E6639C"/>
    <w:rsid w:val="00E6648C"/>
    <w:rsid w:val="00E664AE"/>
    <w:rsid w:val="00E66BCB"/>
    <w:rsid w:val="00E66DD3"/>
    <w:rsid w:val="00E6750E"/>
    <w:rsid w:val="00E71501"/>
    <w:rsid w:val="00E71D46"/>
    <w:rsid w:val="00E73AF9"/>
    <w:rsid w:val="00E747A9"/>
    <w:rsid w:val="00E835FA"/>
    <w:rsid w:val="00E84579"/>
    <w:rsid w:val="00E854E8"/>
    <w:rsid w:val="00E85D4A"/>
    <w:rsid w:val="00E86709"/>
    <w:rsid w:val="00E86B7D"/>
    <w:rsid w:val="00E86CA1"/>
    <w:rsid w:val="00E87253"/>
    <w:rsid w:val="00E87A9C"/>
    <w:rsid w:val="00E90D0C"/>
    <w:rsid w:val="00E93B32"/>
    <w:rsid w:val="00E952B2"/>
    <w:rsid w:val="00E9602E"/>
    <w:rsid w:val="00EA1051"/>
    <w:rsid w:val="00EA1F2B"/>
    <w:rsid w:val="00EA20A1"/>
    <w:rsid w:val="00EA3BA8"/>
    <w:rsid w:val="00EA4C96"/>
    <w:rsid w:val="00EA4F04"/>
    <w:rsid w:val="00EA77BA"/>
    <w:rsid w:val="00EB08FA"/>
    <w:rsid w:val="00EB2EB8"/>
    <w:rsid w:val="00EB406C"/>
    <w:rsid w:val="00EB775A"/>
    <w:rsid w:val="00EC10F9"/>
    <w:rsid w:val="00EC1D57"/>
    <w:rsid w:val="00EC3683"/>
    <w:rsid w:val="00EC58FD"/>
    <w:rsid w:val="00ED355F"/>
    <w:rsid w:val="00ED653E"/>
    <w:rsid w:val="00EE66C8"/>
    <w:rsid w:val="00EE7894"/>
    <w:rsid w:val="00EF2407"/>
    <w:rsid w:val="00EF2644"/>
    <w:rsid w:val="00EF555E"/>
    <w:rsid w:val="00EF55ED"/>
    <w:rsid w:val="00EF7185"/>
    <w:rsid w:val="00F00199"/>
    <w:rsid w:val="00F006AB"/>
    <w:rsid w:val="00F016BF"/>
    <w:rsid w:val="00F025B8"/>
    <w:rsid w:val="00F02C9A"/>
    <w:rsid w:val="00F05DC0"/>
    <w:rsid w:val="00F13176"/>
    <w:rsid w:val="00F14980"/>
    <w:rsid w:val="00F161AF"/>
    <w:rsid w:val="00F35080"/>
    <w:rsid w:val="00F3791E"/>
    <w:rsid w:val="00F37F86"/>
    <w:rsid w:val="00F40B23"/>
    <w:rsid w:val="00F418C2"/>
    <w:rsid w:val="00F42104"/>
    <w:rsid w:val="00F46D05"/>
    <w:rsid w:val="00F50263"/>
    <w:rsid w:val="00F50FB0"/>
    <w:rsid w:val="00F54BDB"/>
    <w:rsid w:val="00F61D2D"/>
    <w:rsid w:val="00F6381A"/>
    <w:rsid w:val="00F64B85"/>
    <w:rsid w:val="00F656AF"/>
    <w:rsid w:val="00F70352"/>
    <w:rsid w:val="00F71D28"/>
    <w:rsid w:val="00F72744"/>
    <w:rsid w:val="00F771C6"/>
    <w:rsid w:val="00F83227"/>
    <w:rsid w:val="00F83A09"/>
    <w:rsid w:val="00F84602"/>
    <w:rsid w:val="00F857EB"/>
    <w:rsid w:val="00F90ECC"/>
    <w:rsid w:val="00F9164B"/>
    <w:rsid w:val="00F92F4B"/>
    <w:rsid w:val="00F9587E"/>
    <w:rsid w:val="00FA2BFD"/>
    <w:rsid w:val="00FA3604"/>
    <w:rsid w:val="00FA7315"/>
    <w:rsid w:val="00FB3A9E"/>
    <w:rsid w:val="00FC0E55"/>
    <w:rsid w:val="00FC14AC"/>
    <w:rsid w:val="00FC41B9"/>
    <w:rsid w:val="00FC5F6F"/>
    <w:rsid w:val="00FD0EB3"/>
    <w:rsid w:val="00FD21F2"/>
    <w:rsid w:val="00FD2973"/>
    <w:rsid w:val="00FD3793"/>
    <w:rsid w:val="00FD4011"/>
    <w:rsid w:val="00FD4978"/>
    <w:rsid w:val="00FE359A"/>
    <w:rsid w:val="00FF2EA8"/>
    <w:rsid w:val="00FF391A"/>
    <w:rsid w:val="00FF6F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63F13FB"/>
  <w15:docId w15:val="{13DF2384-9CDC-4641-8DC2-F7C280BC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58EB"/>
    <w:pPr>
      <w:spacing w:after="120"/>
      <w:jc w:val="both"/>
    </w:pPr>
    <w:rPr>
      <w:rFonts w:eastAsiaTheme="minorHAnsi" w:cstheme="minorBidi"/>
      <w:szCs w:val="21"/>
      <w:lang w:eastAsia="en-US"/>
    </w:rPr>
  </w:style>
  <w:style w:type="paragraph" w:styleId="Nadpis1">
    <w:name w:val="heading 1"/>
    <w:basedOn w:val="Nadpis2"/>
    <w:next w:val="Normln"/>
    <w:link w:val="Nadpis1Char"/>
    <w:uiPriority w:val="99"/>
    <w:qFormat/>
    <w:rsid w:val="00D75D7A"/>
    <w:pPr>
      <w:numPr>
        <w:ilvl w:val="0"/>
      </w:numPr>
      <w:ind w:left="431" w:hanging="431"/>
      <w:outlineLvl w:val="0"/>
    </w:pPr>
    <w:rPr>
      <w:sz w:val="28"/>
      <w:szCs w:val="28"/>
    </w:rPr>
  </w:style>
  <w:style w:type="paragraph" w:styleId="Nadpis2">
    <w:name w:val="heading 2"/>
    <w:basedOn w:val="Nadpis3"/>
    <w:next w:val="Normln"/>
    <w:link w:val="Nadpis2Char"/>
    <w:uiPriority w:val="99"/>
    <w:qFormat/>
    <w:rsid w:val="00D75D7A"/>
    <w:pPr>
      <w:numPr>
        <w:ilvl w:val="1"/>
      </w:numPr>
      <w:ind w:left="578" w:hanging="578"/>
      <w:outlineLvl w:val="1"/>
    </w:pPr>
    <w:rPr>
      <w:sz w:val="26"/>
      <w:szCs w:val="26"/>
    </w:rPr>
  </w:style>
  <w:style w:type="paragraph" w:styleId="Nadpis3">
    <w:name w:val="heading 3"/>
    <w:basedOn w:val="Normln"/>
    <w:next w:val="Normln"/>
    <w:link w:val="Nadpis3Char"/>
    <w:uiPriority w:val="99"/>
    <w:qFormat/>
    <w:rsid w:val="00D75D7A"/>
    <w:pPr>
      <w:keepNext/>
      <w:keepLines/>
      <w:numPr>
        <w:ilvl w:val="2"/>
        <w:numId w:val="26"/>
      </w:numPr>
      <w:spacing w:before="120"/>
      <w:outlineLvl w:val="2"/>
    </w:pPr>
    <w:rPr>
      <w:rFonts w:ascii="Calibri Light" w:eastAsia="Times New Roman" w:hAnsi="Calibri Light"/>
      <w:b/>
      <w:color w:val="1F4D78"/>
      <w:sz w:val="24"/>
      <w:szCs w:val="24"/>
    </w:rPr>
  </w:style>
  <w:style w:type="paragraph" w:styleId="Nadpis4">
    <w:name w:val="heading 4"/>
    <w:basedOn w:val="Normln"/>
    <w:next w:val="Normln"/>
    <w:link w:val="Nadpis4Char"/>
    <w:uiPriority w:val="99"/>
    <w:qFormat/>
    <w:locked/>
    <w:rsid w:val="007608D0"/>
    <w:pPr>
      <w:keepNext/>
      <w:keepLines/>
      <w:numPr>
        <w:ilvl w:val="3"/>
        <w:numId w:val="26"/>
      </w:numPr>
      <w:spacing w:before="40" w:after="0"/>
      <w:outlineLvl w:val="3"/>
    </w:pPr>
    <w:rPr>
      <w:rFonts w:eastAsia="Times New Roman" w:cs="Calibri"/>
      <w:b/>
      <w:iCs/>
      <w:color w:val="365F91"/>
    </w:rPr>
  </w:style>
  <w:style w:type="paragraph" w:styleId="Nadpis5">
    <w:name w:val="heading 5"/>
    <w:basedOn w:val="Normln"/>
    <w:next w:val="Normln"/>
    <w:link w:val="Nadpis5Char"/>
    <w:semiHidden/>
    <w:unhideWhenUsed/>
    <w:qFormat/>
    <w:locked/>
    <w:rsid w:val="003B57CB"/>
    <w:pPr>
      <w:keepNext/>
      <w:keepLines/>
      <w:numPr>
        <w:ilvl w:val="4"/>
        <w:numId w:val="26"/>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locked/>
    <w:rsid w:val="003B57CB"/>
    <w:pPr>
      <w:keepNext/>
      <w:keepLines/>
      <w:numPr>
        <w:ilvl w:val="5"/>
        <w:numId w:val="26"/>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locked/>
    <w:rsid w:val="003B57CB"/>
    <w:pPr>
      <w:keepNext/>
      <w:keepLines/>
      <w:numPr>
        <w:ilvl w:val="6"/>
        <w:numId w:val="26"/>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semiHidden/>
    <w:unhideWhenUsed/>
    <w:qFormat/>
    <w:locked/>
    <w:rsid w:val="003B57CB"/>
    <w:pPr>
      <w:keepNext/>
      <w:keepLines/>
      <w:numPr>
        <w:ilvl w:val="7"/>
        <w:numId w:val="26"/>
      </w:numPr>
      <w:spacing w:before="40" w:after="0"/>
      <w:outlineLvl w:val="7"/>
    </w:pPr>
    <w:rPr>
      <w:rFonts w:asciiTheme="majorHAnsi" w:eastAsiaTheme="majorEastAsia" w:hAnsiTheme="majorHAnsi" w:cstheme="majorBidi"/>
      <w:color w:val="272727" w:themeColor="text1" w:themeTint="D8"/>
      <w:sz w:val="21"/>
    </w:rPr>
  </w:style>
  <w:style w:type="paragraph" w:styleId="Nadpis9">
    <w:name w:val="heading 9"/>
    <w:basedOn w:val="Normln"/>
    <w:next w:val="Normln"/>
    <w:link w:val="Nadpis9Char"/>
    <w:semiHidden/>
    <w:unhideWhenUsed/>
    <w:qFormat/>
    <w:locked/>
    <w:rsid w:val="003B57CB"/>
    <w:pPr>
      <w:keepNext/>
      <w:keepLines/>
      <w:numPr>
        <w:ilvl w:val="8"/>
        <w:numId w:val="26"/>
      </w:numPr>
      <w:spacing w:before="40" w:after="0"/>
      <w:outlineLvl w:val="8"/>
    </w:pPr>
    <w:rPr>
      <w:rFonts w:asciiTheme="majorHAnsi" w:eastAsiaTheme="majorEastAsia" w:hAnsiTheme="majorHAnsi" w:cstheme="majorBidi"/>
      <w:i/>
      <w:iCs/>
      <w:color w:val="272727" w:themeColor="text1" w:themeTint="D8"/>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D75D7A"/>
    <w:rPr>
      <w:rFonts w:ascii="Calibri Light" w:eastAsia="Times New Roman" w:hAnsi="Calibri Light" w:cstheme="minorBidi"/>
      <w:b/>
      <w:color w:val="1F4D78"/>
      <w:sz w:val="28"/>
      <w:szCs w:val="28"/>
      <w:lang w:eastAsia="en-US"/>
    </w:rPr>
  </w:style>
  <w:style w:type="character" w:customStyle="1" w:styleId="Nadpis2Char">
    <w:name w:val="Nadpis 2 Char"/>
    <w:basedOn w:val="Standardnpsmoodstavce"/>
    <w:link w:val="Nadpis2"/>
    <w:uiPriority w:val="99"/>
    <w:locked/>
    <w:rsid w:val="00D75D7A"/>
    <w:rPr>
      <w:rFonts w:ascii="Calibri Light" w:eastAsia="Times New Roman" w:hAnsi="Calibri Light" w:cstheme="minorBidi"/>
      <w:b/>
      <w:color w:val="1F4D78"/>
      <w:sz w:val="26"/>
      <w:szCs w:val="26"/>
      <w:lang w:eastAsia="en-US"/>
    </w:rPr>
  </w:style>
  <w:style w:type="character" w:customStyle="1" w:styleId="Nadpis3Char">
    <w:name w:val="Nadpis 3 Char"/>
    <w:basedOn w:val="Standardnpsmoodstavce"/>
    <w:link w:val="Nadpis3"/>
    <w:uiPriority w:val="99"/>
    <w:locked/>
    <w:rsid w:val="00D75D7A"/>
    <w:rPr>
      <w:rFonts w:ascii="Calibri Light" w:eastAsia="Times New Roman" w:hAnsi="Calibri Light" w:cstheme="minorBidi"/>
      <w:b/>
      <w:color w:val="1F4D78"/>
      <w:sz w:val="24"/>
      <w:szCs w:val="24"/>
      <w:lang w:eastAsia="en-US"/>
    </w:rPr>
  </w:style>
  <w:style w:type="character" w:customStyle="1" w:styleId="Nadpis4Char">
    <w:name w:val="Nadpis 4 Char"/>
    <w:basedOn w:val="Standardnpsmoodstavce"/>
    <w:link w:val="Nadpis4"/>
    <w:uiPriority w:val="99"/>
    <w:locked/>
    <w:rsid w:val="007608D0"/>
    <w:rPr>
      <w:rFonts w:eastAsia="Times New Roman" w:cs="Calibri"/>
      <w:b/>
      <w:iCs/>
      <w:color w:val="365F91"/>
      <w:szCs w:val="21"/>
      <w:lang w:eastAsia="en-US"/>
    </w:rPr>
  </w:style>
  <w:style w:type="paragraph" w:styleId="Nzev">
    <w:name w:val="Title"/>
    <w:basedOn w:val="Nadpis1"/>
    <w:next w:val="Normln"/>
    <w:link w:val="NzevChar"/>
    <w:uiPriority w:val="99"/>
    <w:qFormat/>
    <w:rsid w:val="003B57CB"/>
    <w:pPr>
      <w:numPr>
        <w:numId w:val="0"/>
      </w:numPr>
      <w:ind w:left="432"/>
      <w:jc w:val="center"/>
    </w:pPr>
    <w:rPr>
      <w:sz w:val="36"/>
      <w:szCs w:val="36"/>
    </w:rPr>
  </w:style>
  <w:style w:type="character" w:customStyle="1" w:styleId="NzevChar">
    <w:name w:val="Název Char"/>
    <w:basedOn w:val="Standardnpsmoodstavce"/>
    <w:link w:val="Nzev"/>
    <w:uiPriority w:val="99"/>
    <w:locked/>
    <w:rsid w:val="003B57CB"/>
    <w:rPr>
      <w:rFonts w:ascii="Calibri Light" w:eastAsia="Times New Roman" w:hAnsi="Calibri Light" w:cstheme="minorBidi"/>
      <w:b/>
      <w:color w:val="2E74B5"/>
      <w:sz w:val="36"/>
      <w:szCs w:val="36"/>
      <w:lang w:eastAsia="en-US"/>
    </w:rPr>
  </w:style>
  <w:style w:type="paragraph" w:styleId="Odstavecseseznamem">
    <w:name w:val="List Paragraph"/>
    <w:basedOn w:val="Normln"/>
    <w:uiPriority w:val="34"/>
    <w:qFormat/>
    <w:rsid w:val="000303E5"/>
    <w:pPr>
      <w:ind w:left="720"/>
      <w:contextualSpacing/>
    </w:pPr>
  </w:style>
  <w:style w:type="paragraph" w:styleId="Textpoznpodarou">
    <w:name w:val="footnote text"/>
    <w:basedOn w:val="Normln"/>
    <w:link w:val="TextpoznpodarouChar"/>
    <w:uiPriority w:val="99"/>
    <w:semiHidden/>
    <w:rsid w:val="00FA7315"/>
    <w:pPr>
      <w:spacing w:after="0"/>
    </w:pPr>
    <w:rPr>
      <w:sz w:val="20"/>
      <w:szCs w:val="20"/>
    </w:rPr>
  </w:style>
  <w:style w:type="character" w:customStyle="1" w:styleId="TextpoznpodarouChar">
    <w:name w:val="Text pozn. pod čarou Char"/>
    <w:basedOn w:val="Standardnpsmoodstavce"/>
    <w:link w:val="Textpoznpodarou"/>
    <w:uiPriority w:val="99"/>
    <w:semiHidden/>
    <w:locked/>
    <w:rsid w:val="00FA7315"/>
    <w:rPr>
      <w:rFonts w:cs="Times New Roman"/>
      <w:sz w:val="20"/>
      <w:szCs w:val="20"/>
    </w:rPr>
  </w:style>
  <w:style w:type="character" w:styleId="Znakapoznpodarou">
    <w:name w:val="footnote reference"/>
    <w:basedOn w:val="Standardnpsmoodstavce"/>
    <w:uiPriority w:val="99"/>
    <w:semiHidden/>
    <w:rsid w:val="00FA7315"/>
    <w:rPr>
      <w:rFonts w:cs="Times New Roman"/>
      <w:vertAlign w:val="superscript"/>
    </w:rPr>
  </w:style>
  <w:style w:type="paragraph" w:customStyle="1" w:styleId="Odstavecseseznamem1">
    <w:name w:val="Odstavec se seznamem1"/>
    <w:basedOn w:val="Normln"/>
    <w:uiPriority w:val="99"/>
    <w:rsid w:val="006E7466"/>
    <w:pPr>
      <w:spacing w:after="0"/>
      <w:ind w:left="720"/>
      <w:contextualSpacing/>
    </w:pPr>
    <w:rPr>
      <w:rFonts w:ascii="Times New Roman" w:eastAsia="Times New Roman" w:hAnsi="Times New Roman"/>
      <w:sz w:val="24"/>
      <w:szCs w:val="24"/>
      <w:lang w:eastAsia="cs-CZ"/>
    </w:rPr>
  </w:style>
  <w:style w:type="character" w:styleId="Odkaznakoment">
    <w:name w:val="annotation reference"/>
    <w:basedOn w:val="Standardnpsmoodstavce"/>
    <w:uiPriority w:val="99"/>
    <w:semiHidden/>
    <w:rsid w:val="000A19F2"/>
    <w:rPr>
      <w:rFonts w:cs="Times New Roman"/>
      <w:sz w:val="16"/>
      <w:szCs w:val="16"/>
    </w:rPr>
  </w:style>
  <w:style w:type="paragraph" w:styleId="Textkomente">
    <w:name w:val="annotation text"/>
    <w:basedOn w:val="Normln"/>
    <w:link w:val="TextkomenteChar"/>
    <w:uiPriority w:val="99"/>
    <w:semiHidden/>
    <w:rsid w:val="000A19F2"/>
    <w:rPr>
      <w:sz w:val="20"/>
      <w:szCs w:val="20"/>
    </w:rPr>
  </w:style>
  <w:style w:type="character" w:customStyle="1" w:styleId="TextkomenteChar">
    <w:name w:val="Text komentáře Char"/>
    <w:basedOn w:val="Standardnpsmoodstavce"/>
    <w:link w:val="Textkomente"/>
    <w:uiPriority w:val="99"/>
    <w:semiHidden/>
    <w:locked/>
    <w:rsid w:val="000A19F2"/>
    <w:rPr>
      <w:rFonts w:cs="Times New Roman"/>
      <w:sz w:val="20"/>
      <w:szCs w:val="20"/>
    </w:rPr>
  </w:style>
  <w:style w:type="paragraph" w:styleId="Pedmtkomente">
    <w:name w:val="annotation subject"/>
    <w:basedOn w:val="Textkomente"/>
    <w:next w:val="Textkomente"/>
    <w:link w:val="PedmtkomenteChar"/>
    <w:uiPriority w:val="99"/>
    <w:semiHidden/>
    <w:rsid w:val="000A19F2"/>
    <w:rPr>
      <w:b/>
      <w:bCs/>
    </w:rPr>
  </w:style>
  <w:style w:type="character" w:customStyle="1" w:styleId="PedmtkomenteChar">
    <w:name w:val="Předmět komentáře Char"/>
    <w:basedOn w:val="TextkomenteChar"/>
    <w:link w:val="Pedmtkomente"/>
    <w:uiPriority w:val="99"/>
    <w:semiHidden/>
    <w:locked/>
    <w:rsid w:val="000A19F2"/>
    <w:rPr>
      <w:rFonts w:cs="Times New Roman"/>
      <w:b/>
      <w:bCs/>
      <w:sz w:val="20"/>
      <w:szCs w:val="20"/>
    </w:rPr>
  </w:style>
  <w:style w:type="paragraph" w:styleId="Textbubliny">
    <w:name w:val="Balloon Text"/>
    <w:basedOn w:val="Normln"/>
    <w:link w:val="TextbublinyChar"/>
    <w:uiPriority w:val="99"/>
    <w:semiHidden/>
    <w:rsid w:val="000A19F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0A19F2"/>
    <w:rPr>
      <w:rFonts w:ascii="Segoe UI" w:hAnsi="Segoe UI" w:cs="Segoe UI"/>
      <w:sz w:val="18"/>
      <w:szCs w:val="18"/>
    </w:rPr>
  </w:style>
  <w:style w:type="table" w:styleId="Mkatabulky">
    <w:name w:val="Table Grid"/>
    <w:basedOn w:val="Normlntabulka"/>
    <w:uiPriority w:val="39"/>
    <w:rsid w:val="00C1347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737D4"/>
    <w:pPr>
      <w:tabs>
        <w:tab w:val="center" w:pos="4536"/>
        <w:tab w:val="right" w:pos="9072"/>
      </w:tabs>
      <w:spacing w:after="0"/>
    </w:pPr>
  </w:style>
  <w:style w:type="character" w:customStyle="1" w:styleId="ZhlavChar">
    <w:name w:val="Záhlaví Char"/>
    <w:basedOn w:val="Standardnpsmoodstavce"/>
    <w:link w:val="Zhlav"/>
    <w:uiPriority w:val="99"/>
    <w:locked/>
    <w:rsid w:val="000737D4"/>
    <w:rPr>
      <w:rFonts w:cs="Times New Roman"/>
    </w:rPr>
  </w:style>
  <w:style w:type="paragraph" w:styleId="Zpat">
    <w:name w:val="footer"/>
    <w:basedOn w:val="Normln"/>
    <w:link w:val="ZpatChar"/>
    <w:uiPriority w:val="99"/>
    <w:rsid w:val="000737D4"/>
    <w:pPr>
      <w:tabs>
        <w:tab w:val="center" w:pos="4536"/>
        <w:tab w:val="right" w:pos="9072"/>
      </w:tabs>
      <w:spacing w:after="0"/>
    </w:pPr>
  </w:style>
  <w:style w:type="character" w:customStyle="1" w:styleId="ZpatChar">
    <w:name w:val="Zápatí Char"/>
    <w:basedOn w:val="Standardnpsmoodstavce"/>
    <w:link w:val="Zpat"/>
    <w:uiPriority w:val="99"/>
    <w:locked/>
    <w:rsid w:val="000737D4"/>
    <w:rPr>
      <w:rFonts w:cs="Times New Roman"/>
    </w:rPr>
  </w:style>
  <w:style w:type="paragraph" w:styleId="Revize">
    <w:name w:val="Revision"/>
    <w:hidden/>
    <w:uiPriority w:val="99"/>
    <w:semiHidden/>
    <w:rsid w:val="000737D4"/>
    <w:rPr>
      <w:lang w:eastAsia="en-US"/>
    </w:rPr>
  </w:style>
  <w:style w:type="character" w:styleId="Hypertextovodkaz">
    <w:name w:val="Hyperlink"/>
    <w:basedOn w:val="Standardnpsmoodstavce"/>
    <w:uiPriority w:val="99"/>
    <w:rsid w:val="00665D5E"/>
    <w:rPr>
      <w:rFonts w:cs="Times New Roman"/>
      <w:color w:val="0000FF"/>
      <w:u w:val="single"/>
    </w:rPr>
  </w:style>
  <w:style w:type="character" w:styleId="Sledovanodkaz">
    <w:name w:val="FollowedHyperlink"/>
    <w:basedOn w:val="Standardnpsmoodstavce"/>
    <w:uiPriority w:val="99"/>
    <w:semiHidden/>
    <w:rsid w:val="00AB71F8"/>
    <w:rPr>
      <w:rFonts w:cs="Times New Roman"/>
      <w:color w:val="800080"/>
      <w:u w:val="single"/>
    </w:rPr>
  </w:style>
  <w:style w:type="paragraph" w:styleId="Titulek">
    <w:name w:val="caption"/>
    <w:basedOn w:val="Normln"/>
    <w:next w:val="Normln"/>
    <w:uiPriority w:val="99"/>
    <w:qFormat/>
    <w:locked/>
    <w:rsid w:val="00D5688C"/>
    <w:pPr>
      <w:spacing w:after="200"/>
    </w:pPr>
    <w:rPr>
      <w:i/>
      <w:iCs/>
      <w:color w:val="1F497D"/>
      <w:sz w:val="18"/>
      <w:szCs w:val="18"/>
    </w:rPr>
  </w:style>
  <w:style w:type="character" w:styleId="Siln">
    <w:name w:val="Strong"/>
    <w:basedOn w:val="Standardnpsmoodstavce"/>
    <w:uiPriority w:val="22"/>
    <w:qFormat/>
    <w:locked/>
    <w:rsid w:val="007A257E"/>
    <w:rPr>
      <w:b/>
      <w:bCs/>
    </w:rPr>
  </w:style>
  <w:style w:type="paragraph" w:styleId="Normlnweb">
    <w:name w:val="Normal (Web)"/>
    <w:basedOn w:val="Normln"/>
    <w:uiPriority w:val="99"/>
    <w:semiHidden/>
    <w:unhideWhenUsed/>
    <w:rsid w:val="008B68BF"/>
    <w:pPr>
      <w:spacing w:before="100" w:beforeAutospacing="1" w:after="100" w:afterAutospacing="1"/>
    </w:pPr>
    <w:rPr>
      <w:rFonts w:ascii="Times New Roman" w:hAnsi="Times New Roman"/>
      <w:sz w:val="24"/>
      <w:szCs w:val="24"/>
      <w:lang w:eastAsia="cs-CZ"/>
    </w:rPr>
  </w:style>
  <w:style w:type="character" w:customStyle="1" w:styleId="UnresolvedMention">
    <w:name w:val="Unresolved Mention"/>
    <w:basedOn w:val="Standardnpsmoodstavce"/>
    <w:uiPriority w:val="99"/>
    <w:semiHidden/>
    <w:unhideWhenUsed/>
    <w:rsid w:val="00593572"/>
    <w:rPr>
      <w:color w:val="808080"/>
      <w:shd w:val="clear" w:color="auto" w:fill="E6E6E6"/>
    </w:rPr>
  </w:style>
  <w:style w:type="paragraph" w:styleId="Prosttext">
    <w:name w:val="Plain Text"/>
    <w:basedOn w:val="Normln"/>
    <w:link w:val="ProsttextChar"/>
    <w:uiPriority w:val="99"/>
    <w:unhideWhenUsed/>
    <w:rsid w:val="00EA4C96"/>
    <w:pPr>
      <w:spacing w:after="0"/>
    </w:pPr>
  </w:style>
  <w:style w:type="character" w:customStyle="1" w:styleId="ProsttextChar">
    <w:name w:val="Prostý text Char"/>
    <w:basedOn w:val="Standardnpsmoodstavce"/>
    <w:link w:val="Prosttext"/>
    <w:uiPriority w:val="99"/>
    <w:rsid w:val="00EA4C96"/>
    <w:rPr>
      <w:rFonts w:eastAsiaTheme="minorHAnsi" w:cstheme="minorBidi"/>
      <w:szCs w:val="21"/>
      <w:lang w:eastAsia="en-US"/>
    </w:rPr>
  </w:style>
  <w:style w:type="paragraph" w:customStyle="1" w:styleId="normln-odrky">
    <w:name w:val="normální - odrážky"/>
    <w:basedOn w:val="Normln"/>
    <w:link w:val="normln-odrkyChar"/>
    <w:qFormat/>
    <w:rsid w:val="00D542B3"/>
    <w:pPr>
      <w:numPr>
        <w:numId w:val="17"/>
      </w:numPr>
      <w:contextualSpacing/>
    </w:pPr>
  </w:style>
  <w:style w:type="character" w:styleId="Zdraznnintenzivn">
    <w:name w:val="Intense Emphasis"/>
    <w:basedOn w:val="Standardnpsmoodstavce"/>
    <w:uiPriority w:val="21"/>
    <w:qFormat/>
    <w:rsid w:val="00E0176A"/>
    <w:rPr>
      <w:i/>
      <w:iCs/>
      <w:color w:val="4F81BD" w:themeColor="accent1"/>
    </w:rPr>
  </w:style>
  <w:style w:type="character" w:customStyle="1" w:styleId="normln-odrkyChar">
    <w:name w:val="normální - odrážky Char"/>
    <w:basedOn w:val="Standardnpsmoodstavce"/>
    <w:link w:val="normln-odrky"/>
    <w:rsid w:val="00D542B3"/>
    <w:rPr>
      <w:rFonts w:eastAsiaTheme="minorHAnsi" w:cstheme="minorBidi"/>
      <w:szCs w:val="21"/>
      <w:lang w:eastAsia="en-US"/>
    </w:rPr>
  </w:style>
  <w:style w:type="character" w:customStyle="1" w:styleId="Nadpis5Char">
    <w:name w:val="Nadpis 5 Char"/>
    <w:basedOn w:val="Standardnpsmoodstavce"/>
    <w:link w:val="Nadpis5"/>
    <w:semiHidden/>
    <w:rsid w:val="003B57CB"/>
    <w:rPr>
      <w:rFonts w:asciiTheme="majorHAnsi" w:eastAsiaTheme="majorEastAsia" w:hAnsiTheme="majorHAnsi" w:cstheme="majorBidi"/>
      <w:color w:val="365F91" w:themeColor="accent1" w:themeShade="BF"/>
      <w:szCs w:val="21"/>
      <w:lang w:eastAsia="en-US"/>
    </w:rPr>
  </w:style>
  <w:style w:type="character" w:customStyle="1" w:styleId="Nadpis6Char">
    <w:name w:val="Nadpis 6 Char"/>
    <w:basedOn w:val="Standardnpsmoodstavce"/>
    <w:link w:val="Nadpis6"/>
    <w:semiHidden/>
    <w:rsid w:val="003B57CB"/>
    <w:rPr>
      <w:rFonts w:asciiTheme="majorHAnsi" w:eastAsiaTheme="majorEastAsia" w:hAnsiTheme="majorHAnsi" w:cstheme="majorBidi"/>
      <w:color w:val="243F60" w:themeColor="accent1" w:themeShade="7F"/>
      <w:szCs w:val="21"/>
      <w:lang w:eastAsia="en-US"/>
    </w:rPr>
  </w:style>
  <w:style w:type="character" w:customStyle="1" w:styleId="Nadpis7Char">
    <w:name w:val="Nadpis 7 Char"/>
    <w:basedOn w:val="Standardnpsmoodstavce"/>
    <w:link w:val="Nadpis7"/>
    <w:semiHidden/>
    <w:rsid w:val="003B57CB"/>
    <w:rPr>
      <w:rFonts w:asciiTheme="majorHAnsi" w:eastAsiaTheme="majorEastAsia" w:hAnsiTheme="majorHAnsi" w:cstheme="majorBidi"/>
      <w:i/>
      <w:iCs/>
      <w:color w:val="243F60" w:themeColor="accent1" w:themeShade="7F"/>
      <w:szCs w:val="21"/>
      <w:lang w:eastAsia="en-US"/>
    </w:rPr>
  </w:style>
  <w:style w:type="character" w:customStyle="1" w:styleId="Nadpis8Char">
    <w:name w:val="Nadpis 8 Char"/>
    <w:basedOn w:val="Standardnpsmoodstavce"/>
    <w:link w:val="Nadpis8"/>
    <w:semiHidden/>
    <w:rsid w:val="003B57CB"/>
    <w:rPr>
      <w:rFonts w:asciiTheme="majorHAnsi" w:eastAsiaTheme="majorEastAsia" w:hAnsiTheme="majorHAnsi" w:cstheme="majorBidi"/>
      <w:color w:val="272727" w:themeColor="text1" w:themeTint="D8"/>
      <w:sz w:val="21"/>
      <w:szCs w:val="21"/>
      <w:lang w:eastAsia="en-US"/>
    </w:rPr>
  </w:style>
  <w:style w:type="character" w:customStyle="1" w:styleId="Nadpis9Char">
    <w:name w:val="Nadpis 9 Char"/>
    <w:basedOn w:val="Standardnpsmoodstavce"/>
    <w:link w:val="Nadpis9"/>
    <w:semiHidden/>
    <w:rsid w:val="003B57CB"/>
    <w:rPr>
      <w:rFonts w:asciiTheme="majorHAnsi" w:eastAsiaTheme="majorEastAsia" w:hAnsiTheme="majorHAnsi" w:cstheme="majorBidi"/>
      <w:i/>
      <w:iCs/>
      <w:color w:val="272727" w:themeColor="text1" w:themeTint="D8"/>
      <w:sz w:val="21"/>
      <w:szCs w:val="21"/>
      <w:lang w:eastAsia="en-US"/>
    </w:rPr>
  </w:style>
  <w:style w:type="paragraph" w:styleId="Podnadpis">
    <w:name w:val="Subtitle"/>
    <w:basedOn w:val="Normln"/>
    <w:next w:val="Normln"/>
    <w:link w:val="PodnadpisChar"/>
    <w:qFormat/>
    <w:locked/>
    <w:rsid w:val="00D75D7A"/>
    <w:rPr>
      <w:b/>
    </w:rPr>
  </w:style>
  <w:style w:type="character" w:customStyle="1" w:styleId="PodnadpisChar">
    <w:name w:val="Podnadpis Char"/>
    <w:basedOn w:val="Standardnpsmoodstavce"/>
    <w:link w:val="Podnadpis"/>
    <w:rsid w:val="00D75D7A"/>
    <w:rPr>
      <w:rFonts w:eastAsiaTheme="minorHAnsi" w:cstheme="minorBidi"/>
      <w:b/>
      <w:szCs w:val="21"/>
      <w:lang w:eastAsia="en-US"/>
    </w:rPr>
  </w:style>
  <w:style w:type="character" w:styleId="Zdraznnjemn">
    <w:name w:val="Subtle Emphasis"/>
    <w:basedOn w:val="Standardnpsmoodstavce"/>
    <w:uiPriority w:val="19"/>
    <w:qFormat/>
    <w:rsid w:val="00C503B7"/>
    <w:rPr>
      <w:i/>
      <w:iCs/>
      <w:color w:val="404040" w:themeColor="text1" w:themeTint="BF"/>
    </w:rPr>
  </w:style>
  <w:style w:type="paragraph" w:customStyle="1" w:styleId="Text1">
    <w:name w:val="Text 1"/>
    <w:basedOn w:val="Normln"/>
    <w:rsid w:val="00985953"/>
    <w:pPr>
      <w:spacing w:before="120"/>
      <w:ind w:left="850"/>
    </w:pPr>
    <w:rPr>
      <w:rFonts w:ascii="Times New Roman" w:eastAsia="Times New Roman" w:hAnsi="Times New Roman" w:cs="Times New Roman"/>
      <w:snapToGrid w:val="0"/>
      <w:sz w:val="24"/>
      <w:szCs w:val="24"/>
      <w:lang w:eastAsia="en-GB"/>
    </w:rPr>
  </w:style>
  <w:style w:type="paragraph" w:customStyle="1" w:styleId="Bullet0">
    <w:name w:val="Bullet 0"/>
    <w:basedOn w:val="Normln"/>
    <w:rsid w:val="00985953"/>
    <w:pPr>
      <w:numPr>
        <w:numId w:val="32"/>
      </w:numPr>
      <w:spacing w:before="120"/>
    </w:pPr>
    <w:rPr>
      <w:rFonts w:ascii="Times New Roman" w:eastAsia="Times New Roman" w:hAnsi="Times New Roman" w:cs="Times New Roman"/>
      <w:noProof/>
      <w:snapToGrid w:val="0"/>
      <w:sz w:val="24"/>
      <w:szCs w:val="24"/>
      <w:lang w:eastAsia="cs-CZ"/>
    </w:rPr>
  </w:style>
  <w:style w:type="paragraph" w:customStyle="1" w:styleId="Default">
    <w:name w:val="Default"/>
    <w:basedOn w:val="Normln"/>
    <w:rsid w:val="00EC58FD"/>
    <w:pPr>
      <w:autoSpaceDE w:val="0"/>
      <w:autoSpaceDN w:val="0"/>
      <w:spacing w:after="0"/>
      <w:jc w:val="left"/>
    </w:pPr>
    <w:rPr>
      <w:rFonts w:ascii="Times New Roman"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7368">
      <w:bodyDiv w:val="1"/>
      <w:marLeft w:val="0"/>
      <w:marRight w:val="0"/>
      <w:marTop w:val="0"/>
      <w:marBottom w:val="0"/>
      <w:divBdr>
        <w:top w:val="none" w:sz="0" w:space="0" w:color="auto"/>
        <w:left w:val="none" w:sz="0" w:space="0" w:color="auto"/>
        <w:bottom w:val="none" w:sz="0" w:space="0" w:color="auto"/>
        <w:right w:val="none" w:sz="0" w:space="0" w:color="auto"/>
      </w:divBdr>
    </w:div>
    <w:div w:id="5251099">
      <w:bodyDiv w:val="1"/>
      <w:marLeft w:val="0"/>
      <w:marRight w:val="0"/>
      <w:marTop w:val="0"/>
      <w:marBottom w:val="0"/>
      <w:divBdr>
        <w:top w:val="none" w:sz="0" w:space="0" w:color="auto"/>
        <w:left w:val="none" w:sz="0" w:space="0" w:color="auto"/>
        <w:bottom w:val="none" w:sz="0" w:space="0" w:color="auto"/>
        <w:right w:val="none" w:sz="0" w:space="0" w:color="auto"/>
      </w:divBdr>
    </w:div>
    <w:div w:id="80757131">
      <w:bodyDiv w:val="1"/>
      <w:marLeft w:val="0"/>
      <w:marRight w:val="0"/>
      <w:marTop w:val="0"/>
      <w:marBottom w:val="0"/>
      <w:divBdr>
        <w:top w:val="none" w:sz="0" w:space="0" w:color="auto"/>
        <w:left w:val="none" w:sz="0" w:space="0" w:color="auto"/>
        <w:bottom w:val="none" w:sz="0" w:space="0" w:color="auto"/>
        <w:right w:val="none" w:sz="0" w:space="0" w:color="auto"/>
      </w:divBdr>
    </w:div>
    <w:div w:id="90393067">
      <w:bodyDiv w:val="1"/>
      <w:marLeft w:val="0"/>
      <w:marRight w:val="0"/>
      <w:marTop w:val="0"/>
      <w:marBottom w:val="0"/>
      <w:divBdr>
        <w:top w:val="none" w:sz="0" w:space="0" w:color="auto"/>
        <w:left w:val="none" w:sz="0" w:space="0" w:color="auto"/>
        <w:bottom w:val="none" w:sz="0" w:space="0" w:color="auto"/>
        <w:right w:val="none" w:sz="0" w:space="0" w:color="auto"/>
      </w:divBdr>
    </w:div>
    <w:div w:id="93938688">
      <w:bodyDiv w:val="1"/>
      <w:marLeft w:val="0"/>
      <w:marRight w:val="0"/>
      <w:marTop w:val="0"/>
      <w:marBottom w:val="0"/>
      <w:divBdr>
        <w:top w:val="none" w:sz="0" w:space="0" w:color="auto"/>
        <w:left w:val="none" w:sz="0" w:space="0" w:color="auto"/>
        <w:bottom w:val="none" w:sz="0" w:space="0" w:color="auto"/>
        <w:right w:val="none" w:sz="0" w:space="0" w:color="auto"/>
      </w:divBdr>
    </w:div>
    <w:div w:id="160700077">
      <w:bodyDiv w:val="1"/>
      <w:marLeft w:val="0"/>
      <w:marRight w:val="0"/>
      <w:marTop w:val="0"/>
      <w:marBottom w:val="0"/>
      <w:divBdr>
        <w:top w:val="none" w:sz="0" w:space="0" w:color="auto"/>
        <w:left w:val="none" w:sz="0" w:space="0" w:color="auto"/>
        <w:bottom w:val="none" w:sz="0" w:space="0" w:color="auto"/>
        <w:right w:val="none" w:sz="0" w:space="0" w:color="auto"/>
      </w:divBdr>
    </w:div>
    <w:div w:id="220363295">
      <w:bodyDiv w:val="1"/>
      <w:marLeft w:val="0"/>
      <w:marRight w:val="0"/>
      <w:marTop w:val="0"/>
      <w:marBottom w:val="0"/>
      <w:divBdr>
        <w:top w:val="none" w:sz="0" w:space="0" w:color="auto"/>
        <w:left w:val="none" w:sz="0" w:space="0" w:color="auto"/>
        <w:bottom w:val="none" w:sz="0" w:space="0" w:color="auto"/>
        <w:right w:val="none" w:sz="0" w:space="0" w:color="auto"/>
      </w:divBdr>
    </w:div>
    <w:div w:id="243881107">
      <w:bodyDiv w:val="1"/>
      <w:marLeft w:val="0"/>
      <w:marRight w:val="0"/>
      <w:marTop w:val="0"/>
      <w:marBottom w:val="0"/>
      <w:divBdr>
        <w:top w:val="none" w:sz="0" w:space="0" w:color="auto"/>
        <w:left w:val="none" w:sz="0" w:space="0" w:color="auto"/>
        <w:bottom w:val="none" w:sz="0" w:space="0" w:color="auto"/>
        <w:right w:val="none" w:sz="0" w:space="0" w:color="auto"/>
      </w:divBdr>
    </w:div>
    <w:div w:id="252512126">
      <w:bodyDiv w:val="1"/>
      <w:marLeft w:val="0"/>
      <w:marRight w:val="0"/>
      <w:marTop w:val="0"/>
      <w:marBottom w:val="0"/>
      <w:divBdr>
        <w:top w:val="none" w:sz="0" w:space="0" w:color="auto"/>
        <w:left w:val="none" w:sz="0" w:space="0" w:color="auto"/>
        <w:bottom w:val="none" w:sz="0" w:space="0" w:color="auto"/>
        <w:right w:val="none" w:sz="0" w:space="0" w:color="auto"/>
      </w:divBdr>
    </w:div>
    <w:div w:id="270279597">
      <w:bodyDiv w:val="1"/>
      <w:marLeft w:val="0"/>
      <w:marRight w:val="0"/>
      <w:marTop w:val="0"/>
      <w:marBottom w:val="0"/>
      <w:divBdr>
        <w:top w:val="none" w:sz="0" w:space="0" w:color="auto"/>
        <w:left w:val="none" w:sz="0" w:space="0" w:color="auto"/>
        <w:bottom w:val="none" w:sz="0" w:space="0" w:color="auto"/>
        <w:right w:val="none" w:sz="0" w:space="0" w:color="auto"/>
      </w:divBdr>
    </w:div>
    <w:div w:id="320086624">
      <w:bodyDiv w:val="1"/>
      <w:marLeft w:val="0"/>
      <w:marRight w:val="0"/>
      <w:marTop w:val="0"/>
      <w:marBottom w:val="0"/>
      <w:divBdr>
        <w:top w:val="none" w:sz="0" w:space="0" w:color="auto"/>
        <w:left w:val="none" w:sz="0" w:space="0" w:color="auto"/>
        <w:bottom w:val="none" w:sz="0" w:space="0" w:color="auto"/>
        <w:right w:val="none" w:sz="0" w:space="0" w:color="auto"/>
      </w:divBdr>
    </w:div>
    <w:div w:id="345249423">
      <w:bodyDiv w:val="1"/>
      <w:marLeft w:val="0"/>
      <w:marRight w:val="0"/>
      <w:marTop w:val="0"/>
      <w:marBottom w:val="0"/>
      <w:divBdr>
        <w:top w:val="none" w:sz="0" w:space="0" w:color="auto"/>
        <w:left w:val="none" w:sz="0" w:space="0" w:color="auto"/>
        <w:bottom w:val="none" w:sz="0" w:space="0" w:color="auto"/>
        <w:right w:val="none" w:sz="0" w:space="0" w:color="auto"/>
      </w:divBdr>
    </w:div>
    <w:div w:id="349917753">
      <w:bodyDiv w:val="1"/>
      <w:marLeft w:val="0"/>
      <w:marRight w:val="0"/>
      <w:marTop w:val="0"/>
      <w:marBottom w:val="0"/>
      <w:divBdr>
        <w:top w:val="none" w:sz="0" w:space="0" w:color="auto"/>
        <w:left w:val="none" w:sz="0" w:space="0" w:color="auto"/>
        <w:bottom w:val="none" w:sz="0" w:space="0" w:color="auto"/>
        <w:right w:val="none" w:sz="0" w:space="0" w:color="auto"/>
      </w:divBdr>
    </w:div>
    <w:div w:id="351224551">
      <w:marLeft w:val="0"/>
      <w:marRight w:val="0"/>
      <w:marTop w:val="0"/>
      <w:marBottom w:val="0"/>
      <w:divBdr>
        <w:top w:val="none" w:sz="0" w:space="0" w:color="auto"/>
        <w:left w:val="none" w:sz="0" w:space="0" w:color="auto"/>
        <w:bottom w:val="none" w:sz="0" w:space="0" w:color="auto"/>
        <w:right w:val="none" w:sz="0" w:space="0" w:color="auto"/>
      </w:divBdr>
    </w:div>
    <w:div w:id="351224552">
      <w:marLeft w:val="0"/>
      <w:marRight w:val="0"/>
      <w:marTop w:val="0"/>
      <w:marBottom w:val="0"/>
      <w:divBdr>
        <w:top w:val="none" w:sz="0" w:space="0" w:color="auto"/>
        <w:left w:val="none" w:sz="0" w:space="0" w:color="auto"/>
        <w:bottom w:val="none" w:sz="0" w:space="0" w:color="auto"/>
        <w:right w:val="none" w:sz="0" w:space="0" w:color="auto"/>
      </w:divBdr>
    </w:div>
    <w:div w:id="351224555">
      <w:marLeft w:val="0"/>
      <w:marRight w:val="0"/>
      <w:marTop w:val="0"/>
      <w:marBottom w:val="0"/>
      <w:divBdr>
        <w:top w:val="none" w:sz="0" w:space="0" w:color="auto"/>
        <w:left w:val="none" w:sz="0" w:space="0" w:color="auto"/>
        <w:bottom w:val="none" w:sz="0" w:space="0" w:color="auto"/>
        <w:right w:val="none" w:sz="0" w:space="0" w:color="auto"/>
      </w:divBdr>
    </w:div>
    <w:div w:id="351224556">
      <w:marLeft w:val="0"/>
      <w:marRight w:val="0"/>
      <w:marTop w:val="0"/>
      <w:marBottom w:val="0"/>
      <w:divBdr>
        <w:top w:val="none" w:sz="0" w:space="0" w:color="auto"/>
        <w:left w:val="none" w:sz="0" w:space="0" w:color="auto"/>
        <w:bottom w:val="none" w:sz="0" w:space="0" w:color="auto"/>
        <w:right w:val="none" w:sz="0" w:space="0" w:color="auto"/>
      </w:divBdr>
    </w:div>
    <w:div w:id="351224557">
      <w:marLeft w:val="0"/>
      <w:marRight w:val="0"/>
      <w:marTop w:val="0"/>
      <w:marBottom w:val="0"/>
      <w:divBdr>
        <w:top w:val="none" w:sz="0" w:space="0" w:color="auto"/>
        <w:left w:val="none" w:sz="0" w:space="0" w:color="auto"/>
        <w:bottom w:val="none" w:sz="0" w:space="0" w:color="auto"/>
        <w:right w:val="none" w:sz="0" w:space="0" w:color="auto"/>
      </w:divBdr>
    </w:div>
    <w:div w:id="351224559">
      <w:marLeft w:val="0"/>
      <w:marRight w:val="0"/>
      <w:marTop w:val="0"/>
      <w:marBottom w:val="450"/>
      <w:divBdr>
        <w:top w:val="none" w:sz="0" w:space="0" w:color="auto"/>
        <w:left w:val="none" w:sz="0" w:space="0" w:color="auto"/>
        <w:bottom w:val="none" w:sz="0" w:space="0" w:color="auto"/>
        <w:right w:val="none" w:sz="0" w:space="0" w:color="auto"/>
      </w:divBdr>
      <w:divsChild>
        <w:div w:id="351224598">
          <w:marLeft w:val="0"/>
          <w:marRight w:val="0"/>
          <w:marTop w:val="0"/>
          <w:marBottom w:val="0"/>
          <w:divBdr>
            <w:top w:val="none" w:sz="0" w:space="0" w:color="auto"/>
            <w:left w:val="none" w:sz="0" w:space="0" w:color="auto"/>
            <w:bottom w:val="none" w:sz="0" w:space="0" w:color="auto"/>
            <w:right w:val="none" w:sz="0" w:space="0" w:color="auto"/>
          </w:divBdr>
          <w:divsChild>
            <w:div w:id="351224560">
              <w:marLeft w:val="0"/>
              <w:marRight w:val="0"/>
              <w:marTop w:val="0"/>
              <w:marBottom w:val="0"/>
              <w:divBdr>
                <w:top w:val="none" w:sz="0" w:space="0" w:color="auto"/>
                <w:left w:val="none" w:sz="0" w:space="0" w:color="auto"/>
                <w:bottom w:val="none" w:sz="0" w:space="0" w:color="auto"/>
                <w:right w:val="none" w:sz="0" w:space="0" w:color="auto"/>
              </w:divBdr>
              <w:divsChild>
                <w:div w:id="351224609">
                  <w:marLeft w:val="0"/>
                  <w:marRight w:val="0"/>
                  <w:marTop w:val="0"/>
                  <w:marBottom w:val="0"/>
                  <w:divBdr>
                    <w:top w:val="none" w:sz="0" w:space="0" w:color="auto"/>
                    <w:left w:val="none" w:sz="0" w:space="0" w:color="auto"/>
                    <w:bottom w:val="none" w:sz="0" w:space="0" w:color="auto"/>
                    <w:right w:val="none" w:sz="0" w:space="0" w:color="auto"/>
                  </w:divBdr>
                  <w:divsChild>
                    <w:div w:id="351224553">
                      <w:marLeft w:val="0"/>
                      <w:marRight w:val="0"/>
                      <w:marTop w:val="0"/>
                      <w:marBottom w:val="0"/>
                      <w:divBdr>
                        <w:top w:val="none" w:sz="0" w:space="0" w:color="auto"/>
                        <w:left w:val="none" w:sz="0" w:space="0" w:color="auto"/>
                        <w:bottom w:val="none" w:sz="0" w:space="0" w:color="auto"/>
                        <w:right w:val="none" w:sz="0" w:space="0" w:color="auto"/>
                      </w:divBdr>
                      <w:divsChild>
                        <w:div w:id="351224601">
                          <w:marLeft w:val="0"/>
                          <w:marRight w:val="0"/>
                          <w:marTop w:val="0"/>
                          <w:marBottom w:val="0"/>
                          <w:divBdr>
                            <w:top w:val="none" w:sz="0" w:space="0" w:color="auto"/>
                            <w:left w:val="none" w:sz="0" w:space="0" w:color="auto"/>
                            <w:bottom w:val="none" w:sz="0" w:space="0" w:color="auto"/>
                            <w:right w:val="none" w:sz="0" w:space="0" w:color="auto"/>
                          </w:divBdr>
                          <w:divsChild>
                            <w:div w:id="351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4561">
      <w:marLeft w:val="0"/>
      <w:marRight w:val="0"/>
      <w:marTop w:val="0"/>
      <w:marBottom w:val="0"/>
      <w:divBdr>
        <w:top w:val="none" w:sz="0" w:space="0" w:color="auto"/>
        <w:left w:val="none" w:sz="0" w:space="0" w:color="auto"/>
        <w:bottom w:val="none" w:sz="0" w:space="0" w:color="auto"/>
        <w:right w:val="none" w:sz="0" w:space="0" w:color="auto"/>
      </w:divBdr>
    </w:div>
    <w:div w:id="351224562">
      <w:marLeft w:val="0"/>
      <w:marRight w:val="0"/>
      <w:marTop w:val="0"/>
      <w:marBottom w:val="450"/>
      <w:divBdr>
        <w:top w:val="none" w:sz="0" w:space="0" w:color="auto"/>
        <w:left w:val="none" w:sz="0" w:space="0" w:color="auto"/>
        <w:bottom w:val="none" w:sz="0" w:space="0" w:color="auto"/>
        <w:right w:val="none" w:sz="0" w:space="0" w:color="auto"/>
      </w:divBdr>
      <w:divsChild>
        <w:div w:id="351224585">
          <w:marLeft w:val="0"/>
          <w:marRight w:val="0"/>
          <w:marTop w:val="0"/>
          <w:marBottom w:val="0"/>
          <w:divBdr>
            <w:top w:val="none" w:sz="0" w:space="0" w:color="auto"/>
            <w:left w:val="none" w:sz="0" w:space="0" w:color="auto"/>
            <w:bottom w:val="none" w:sz="0" w:space="0" w:color="auto"/>
            <w:right w:val="none" w:sz="0" w:space="0" w:color="auto"/>
          </w:divBdr>
          <w:divsChild>
            <w:div w:id="351224590">
              <w:marLeft w:val="0"/>
              <w:marRight w:val="0"/>
              <w:marTop w:val="0"/>
              <w:marBottom w:val="0"/>
              <w:divBdr>
                <w:top w:val="none" w:sz="0" w:space="0" w:color="auto"/>
                <w:left w:val="none" w:sz="0" w:space="0" w:color="auto"/>
                <w:bottom w:val="none" w:sz="0" w:space="0" w:color="auto"/>
                <w:right w:val="none" w:sz="0" w:space="0" w:color="auto"/>
              </w:divBdr>
              <w:divsChild>
                <w:div w:id="351224599">
                  <w:marLeft w:val="0"/>
                  <w:marRight w:val="0"/>
                  <w:marTop w:val="0"/>
                  <w:marBottom w:val="0"/>
                  <w:divBdr>
                    <w:top w:val="none" w:sz="0" w:space="0" w:color="auto"/>
                    <w:left w:val="none" w:sz="0" w:space="0" w:color="auto"/>
                    <w:bottom w:val="none" w:sz="0" w:space="0" w:color="auto"/>
                    <w:right w:val="none" w:sz="0" w:space="0" w:color="auto"/>
                  </w:divBdr>
                  <w:divsChild>
                    <w:div w:id="351224568">
                      <w:marLeft w:val="0"/>
                      <w:marRight w:val="0"/>
                      <w:marTop w:val="0"/>
                      <w:marBottom w:val="0"/>
                      <w:divBdr>
                        <w:top w:val="none" w:sz="0" w:space="0" w:color="auto"/>
                        <w:left w:val="none" w:sz="0" w:space="0" w:color="auto"/>
                        <w:bottom w:val="none" w:sz="0" w:space="0" w:color="auto"/>
                        <w:right w:val="none" w:sz="0" w:space="0" w:color="auto"/>
                      </w:divBdr>
                      <w:divsChild>
                        <w:div w:id="351224577">
                          <w:marLeft w:val="0"/>
                          <w:marRight w:val="0"/>
                          <w:marTop w:val="0"/>
                          <w:marBottom w:val="0"/>
                          <w:divBdr>
                            <w:top w:val="none" w:sz="0" w:space="0" w:color="auto"/>
                            <w:left w:val="none" w:sz="0" w:space="0" w:color="auto"/>
                            <w:bottom w:val="none" w:sz="0" w:space="0" w:color="auto"/>
                            <w:right w:val="none" w:sz="0" w:space="0" w:color="auto"/>
                          </w:divBdr>
                          <w:divsChild>
                            <w:div w:id="35122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4563">
      <w:marLeft w:val="0"/>
      <w:marRight w:val="0"/>
      <w:marTop w:val="0"/>
      <w:marBottom w:val="0"/>
      <w:divBdr>
        <w:top w:val="none" w:sz="0" w:space="0" w:color="auto"/>
        <w:left w:val="none" w:sz="0" w:space="0" w:color="auto"/>
        <w:bottom w:val="none" w:sz="0" w:space="0" w:color="auto"/>
        <w:right w:val="none" w:sz="0" w:space="0" w:color="auto"/>
      </w:divBdr>
    </w:div>
    <w:div w:id="351224565">
      <w:marLeft w:val="0"/>
      <w:marRight w:val="0"/>
      <w:marTop w:val="0"/>
      <w:marBottom w:val="0"/>
      <w:divBdr>
        <w:top w:val="none" w:sz="0" w:space="0" w:color="auto"/>
        <w:left w:val="none" w:sz="0" w:space="0" w:color="auto"/>
        <w:bottom w:val="none" w:sz="0" w:space="0" w:color="auto"/>
        <w:right w:val="none" w:sz="0" w:space="0" w:color="auto"/>
      </w:divBdr>
    </w:div>
    <w:div w:id="351224566">
      <w:marLeft w:val="0"/>
      <w:marRight w:val="0"/>
      <w:marTop w:val="0"/>
      <w:marBottom w:val="0"/>
      <w:divBdr>
        <w:top w:val="none" w:sz="0" w:space="0" w:color="auto"/>
        <w:left w:val="none" w:sz="0" w:space="0" w:color="auto"/>
        <w:bottom w:val="none" w:sz="0" w:space="0" w:color="auto"/>
        <w:right w:val="none" w:sz="0" w:space="0" w:color="auto"/>
      </w:divBdr>
    </w:div>
    <w:div w:id="351224567">
      <w:marLeft w:val="0"/>
      <w:marRight w:val="0"/>
      <w:marTop w:val="0"/>
      <w:marBottom w:val="0"/>
      <w:divBdr>
        <w:top w:val="none" w:sz="0" w:space="0" w:color="auto"/>
        <w:left w:val="none" w:sz="0" w:space="0" w:color="auto"/>
        <w:bottom w:val="none" w:sz="0" w:space="0" w:color="auto"/>
        <w:right w:val="none" w:sz="0" w:space="0" w:color="auto"/>
      </w:divBdr>
    </w:div>
    <w:div w:id="351224570">
      <w:marLeft w:val="0"/>
      <w:marRight w:val="0"/>
      <w:marTop w:val="0"/>
      <w:marBottom w:val="0"/>
      <w:divBdr>
        <w:top w:val="none" w:sz="0" w:space="0" w:color="auto"/>
        <w:left w:val="none" w:sz="0" w:space="0" w:color="auto"/>
        <w:bottom w:val="none" w:sz="0" w:space="0" w:color="auto"/>
        <w:right w:val="none" w:sz="0" w:space="0" w:color="auto"/>
      </w:divBdr>
      <w:divsChild>
        <w:div w:id="351224569">
          <w:marLeft w:val="0"/>
          <w:marRight w:val="0"/>
          <w:marTop w:val="150"/>
          <w:marBottom w:val="0"/>
          <w:divBdr>
            <w:top w:val="none" w:sz="0" w:space="0" w:color="auto"/>
            <w:left w:val="none" w:sz="0" w:space="0" w:color="auto"/>
            <w:bottom w:val="none" w:sz="0" w:space="0" w:color="auto"/>
            <w:right w:val="none" w:sz="0" w:space="0" w:color="auto"/>
          </w:divBdr>
          <w:divsChild>
            <w:div w:id="351224594">
              <w:marLeft w:val="-225"/>
              <w:marRight w:val="-225"/>
              <w:marTop w:val="0"/>
              <w:marBottom w:val="0"/>
              <w:divBdr>
                <w:top w:val="none" w:sz="0" w:space="0" w:color="auto"/>
                <w:left w:val="none" w:sz="0" w:space="0" w:color="auto"/>
                <w:bottom w:val="none" w:sz="0" w:space="0" w:color="auto"/>
                <w:right w:val="none" w:sz="0" w:space="0" w:color="auto"/>
              </w:divBdr>
              <w:divsChild>
                <w:div w:id="351224600">
                  <w:marLeft w:val="0"/>
                  <w:marRight w:val="0"/>
                  <w:marTop w:val="0"/>
                  <w:marBottom w:val="0"/>
                  <w:divBdr>
                    <w:top w:val="none" w:sz="0" w:space="0" w:color="auto"/>
                    <w:left w:val="none" w:sz="0" w:space="0" w:color="auto"/>
                    <w:bottom w:val="none" w:sz="0" w:space="0" w:color="auto"/>
                    <w:right w:val="none" w:sz="0" w:space="0" w:color="auto"/>
                  </w:divBdr>
                  <w:divsChild>
                    <w:div w:id="351224589">
                      <w:marLeft w:val="-225"/>
                      <w:marRight w:val="-225"/>
                      <w:marTop w:val="0"/>
                      <w:marBottom w:val="0"/>
                      <w:divBdr>
                        <w:top w:val="none" w:sz="0" w:space="0" w:color="auto"/>
                        <w:left w:val="none" w:sz="0" w:space="0" w:color="auto"/>
                        <w:bottom w:val="none" w:sz="0" w:space="0" w:color="auto"/>
                        <w:right w:val="none" w:sz="0" w:space="0" w:color="auto"/>
                      </w:divBdr>
                      <w:divsChild>
                        <w:div w:id="351224602">
                          <w:marLeft w:val="0"/>
                          <w:marRight w:val="0"/>
                          <w:marTop w:val="0"/>
                          <w:marBottom w:val="0"/>
                          <w:divBdr>
                            <w:top w:val="none" w:sz="0" w:space="0" w:color="auto"/>
                            <w:left w:val="none" w:sz="0" w:space="0" w:color="auto"/>
                            <w:bottom w:val="none" w:sz="0" w:space="0" w:color="auto"/>
                            <w:right w:val="none" w:sz="0" w:space="0" w:color="auto"/>
                          </w:divBdr>
                          <w:divsChild>
                            <w:div w:id="351224586">
                              <w:marLeft w:val="0"/>
                              <w:marRight w:val="0"/>
                              <w:marTop w:val="0"/>
                              <w:marBottom w:val="0"/>
                              <w:divBdr>
                                <w:top w:val="none" w:sz="0" w:space="0" w:color="auto"/>
                                <w:left w:val="none" w:sz="0" w:space="0" w:color="auto"/>
                                <w:bottom w:val="none" w:sz="0" w:space="0" w:color="auto"/>
                                <w:right w:val="none" w:sz="0" w:space="0" w:color="auto"/>
                              </w:divBdr>
                              <w:divsChild>
                                <w:div w:id="351224578">
                                  <w:marLeft w:val="0"/>
                                  <w:marRight w:val="0"/>
                                  <w:marTop w:val="0"/>
                                  <w:marBottom w:val="0"/>
                                  <w:divBdr>
                                    <w:top w:val="none" w:sz="0" w:space="0" w:color="auto"/>
                                    <w:left w:val="none" w:sz="0" w:space="0" w:color="auto"/>
                                    <w:bottom w:val="none" w:sz="0" w:space="0" w:color="auto"/>
                                    <w:right w:val="none" w:sz="0" w:space="0" w:color="auto"/>
                                  </w:divBdr>
                                  <w:divsChild>
                                    <w:div w:id="351224588">
                                      <w:marLeft w:val="0"/>
                                      <w:marRight w:val="0"/>
                                      <w:marTop w:val="0"/>
                                      <w:marBottom w:val="0"/>
                                      <w:divBdr>
                                        <w:top w:val="none" w:sz="0" w:space="0" w:color="auto"/>
                                        <w:left w:val="none" w:sz="0" w:space="0" w:color="auto"/>
                                        <w:bottom w:val="none" w:sz="0" w:space="0" w:color="auto"/>
                                        <w:right w:val="none" w:sz="0" w:space="0" w:color="auto"/>
                                      </w:divBdr>
                                      <w:divsChild>
                                        <w:div w:id="351224583">
                                          <w:marLeft w:val="0"/>
                                          <w:marRight w:val="0"/>
                                          <w:marTop w:val="0"/>
                                          <w:marBottom w:val="0"/>
                                          <w:divBdr>
                                            <w:top w:val="none" w:sz="0" w:space="0" w:color="auto"/>
                                            <w:left w:val="none" w:sz="0" w:space="0" w:color="auto"/>
                                            <w:bottom w:val="none" w:sz="0" w:space="0" w:color="auto"/>
                                            <w:right w:val="none" w:sz="0" w:space="0" w:color="auto"/>
                                          </w:divBdr>
                                          <w:divsChild>
                                            <w:div w:id="351224574">
                                              <w:marLeft w:val="0"/>
                                              <w:marRight w:val="0"/>
                                              <w:marTop w:val="0"/>
                                              <w:marBottom w:val="0"/>
                                              <w:divBdr>
                                                <w:top w:val="none" w:sz="0" w:space="0" w:color="auto"/>
                                                <w:left w:val="none" w:sz="0" w:space="0" w:color="auto"/>
                                                <w:bottom w:val="none" w:sz="0" w:space="0" w:color="auto"/>
                                                <w:right w:val="none" w:sz="0" w:space="0" w:color="auto"/>
                                              </w:divBdr>
                                              <w:divsChild>
                                                <w:div w:id="351224579">
                                                  <w:marLeft w:val="0"/>
                                                  <w:marRight w:val="0"/>
                                                  <w:marTop w:val="0"/>
                                                  <w:marBottom w:val="0"/>
                                                  <w:divBdr>
                                                    <w:top w:val="none" w:sz="0" w:space="0" w:color="auto"/>
                                                    <w:left w:val="none" w:sz="0" w:space="0" w:color="auto"/>
                                                    <w:bottom w:val="none" w:sz="0" w:space="0" w:color="auto"/>
                                                    <w:right w:val="none" w:sz="0" w:space="0" w:color="auto"/>
                                                  </w:divBdr>
                                                  <w:divsChild>
                                                    <w:div w:id="351224592">
                                                      <w:marLeft w:val="0"/>
                                                      <w:marRight w:val="0"/>
                                                      <w:marTop w:val="0"/>
                                                      <w:marBottom w:val="0"/>
                                                      <w:divBdr>
                                                        <w:top w:val="none" w:sz="0" w:space="0" w:color="auto"/>
                                                        <w:left w:val="none" w:sz="0" w:space="0" w:color="auto"/>
                                                        <w:bottom w:val="none" w:sz="0" w:space="0" w:color="auto"/>
                                                        <w:right w:val="none" w:sz="0" w:space="0" w:color="auto"/>
                                                      </w:divBdr>
                                                      <w:divsChild>
                                                        <w:div w:id="3512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1224571">
      <w:marLeft w:val="0"/>
      <w:marRight w:val="0"/>
      <w:marTop w:val="0"/>
      <w:marBottom w:val="0"/>
      <w:divBdr>
        <w:top w:val="none" w:sz="0" w:space="0" w:color="auto"/>
        <w:left w:val="none" w:sz="0" w:space="0" w:color="auto"/>
        <w:bottom w:val="none" w:sz="0" w:space="0" w:color="auto"/>
        <w:right w:val="none" w:sz="0" w:space="0" w:color="auto"/>
      </w:divBdr>
    </w:div>
    <w:div w:id="351224572">
      <w:marLeft w:val="0"/>
      <w:marRight w:val="0"/>
      <w:marTop w:val="0"/>
      <w:marBottom w:val="0"/>
      <w:divBdr>
        <w:top w:val="none" w:sz="0" w:space="0" w:color="auto"/>
        <w:left w:val="none" w:sz="0" w:space="0" w:color="auto"/>
        <w:bottom w:val="none" w:sz="0" w:space="0" w:color="auto"/>
        <w:right w:val="none" w:sz="0" w:space="0" w:color="auto"/>
      </w:divBdr>
    </w:div>
    <w:div w:id="351224575">
      <w:marLeft w:val="0"/>
      <w:marRight w:val="0"/>
      <w:marTop w:val="0"/>
      <w:marBottom w:val="0"/>
      <w:divBdr>
        <w:top w:val="none" w:sz="0" w:space="0" w:color="auto"/>
        <w:left w:val="none" w:sz="0" w:space="0" w:color="auto"/>
        <w:bottom w:val="none" w:sz="0" w:space="0" w:color="auto"/>
        <w:right w:val="none" w:sz="0" w:space="0" w:color="auto"/>
      </w:divBdr>
    </w:div>
    <w:div w:id="351224576">
      <w:marLeft w:val="0"/>
      <w:marRight w:val="0"/>
      <w:marTop w:val="0"/>
      <w:marBottom w:val="0"/>
      <w:divBdr>
        <w:top w:val="none" w:sz="0" w:space="0" w:color="auto"/>
        <w:left w:val="none" w:sz="0" w:space="0" w:color="auto"/>
        <w:bottom w:val="none" w:sz="0" w:space="0" w:color="auto"/>
        <w:right w:val="none" w:sz="0" w:space="0" w:color="auto"/>
      </w:divBdr>
    </w:div>
    <w:div w:id="351224580">
      <w:marLeft w:val="0"/>
      <w:marRight w:val="0"/>
      <w:marTop w:val="0"/>
      <w:marBottom w:val="0"/>
      <w:divBdr>
        <w:top w:val="none" w:sz="0" w:space="0" w:color="auto"/>
        <w:left w:val="none" w:sz="0" w:space="0" w:color="auto"/>
        <w:bottom w:val="none" w:sz="0" w:space="0" w:color="auto"/>
        <w:right w:val="none" w:sz="0" w:space="0" w:color="auto"/>
      </w:divBdr>
    </w:div>
    <w:div w:id="351224581">
      <w:marLeft w:val="0"/>
      <w:marRight w:val="0"/>
      <w:marTop w:val="0"/>
      <w:marBottom w:val="0"/>
      <w:divBdr>
        <w:top w:val="none" w:sz="0" w:space="0" w:color="auto"/>
        <w:left w:val="none" w:sz="0" w:space="0" w:color="auto"/>
        <w:bottom w:val="none" w:sz="0" w:space="0" w:color="auto"/>
        <w:right w:val="none" w:sz="0" w:space="0" w:color="auto"/>
      </w:divBdr>
    </w:div>
    <w:div w:id="351224582">
      <w:marLeft w:val="0"/>
      <w:marRight w:val="0"/>
      <w:marTop w:val="0"/>
      <w:marBottom w:val="0"/>
      <w:divBdr>
        <w:top w:val="none" w:sz="0" w:space="0" w:color="auto"/>
        <w:left w:val="none" w:sz="0" w:space="0" w:color="auto"/>
        <w:bottom w:val="none" w:sz="0" w:space="0" w:color="auto"/>
        <w:right w:val="none" w:sz="0" w:space="0" w:color="auto"/>
      </w:divBdr>
    </w:div>
    <w:div w:id="351224584">
      <w:marLeft w:val="0"/>
      <w:marRight w:val="0"/>
      <w:marTop w:val="0"/>
      <w:marBottom w:val="0"/>
      <w:divBdr>
        <w:top w:val="none" w:sz="0" w:space="0" w:color="auto"/>
        <w:left w:val="none" w:sz="0" w:space="0" w:color="auto"/>
        <w:bottom w:val="none" w:sz="0" w:space="0" w:color="auto"/>
        <w:right w:val="none" w:sz="0" w:space="0" w:color="auto"/>
      </w:divBdr>
    </w:div>
    <w:div w:id="351224587">
      <w:marLeft w:val="0"/>
      <w:marRight w:val="0"/>
      <w:marTop w:val="0"/>
      <w:marBottom w:val="0"/>
      <w:divBdr>
        <w:top w:val="none" w:sz="0" w:space="0" w:color="auto"/>
        <w:left w:val="none" w:sz="0" w:space="0" w:color="auto"/>
        <w:bottom w:val="none" w:sz="0" w:space="0" w:color="auto"/>
        <w:right w:val="none" w:sz="0" w:space="0" w:color="auto"/>
      </w:divBdr>
    </w:div>
    <w:div w:id="351224593">
      <w:marLeft w:val="0"/>
      <w:marRight w:val="0"/>
      <w:marTop w:val="0"/>
      <w:marBottom w:val="0"/>
      <w:divBdr>
        <w:top w:val="none" w:sz="0" w:space="0" w:color="auto"/>
        <w:left w:val="none" w:sz="0" w:space="0" w:color="auto"/>
        <w:bottom w:val="none" w:sz="0" w:space="0" w:color="auto"/>
        <w:right w:val="none" w:sz="0" w:space="0" w:color="auto"/>
      </w:divBdr>
    </w:div>
    <w:div w:id="351224595">
      <w:marLeft w:val="0"/>
      <w:marRight w:val="0"/>
      <w:marTop w:val="0"/>
      <w:marBottom w:val="0"/>
      <w:divBdr>
        <w:top w:val="none" w:sz="0" w:space="0" w:color="auto"/>
        <w:left w:val="none" w:sz="0" w:space="0" w:color="auto"/>
        <w:bottom w:val="none" w:sz="0" w:space="0" w:color="auto"/>
        <w:right w:val="none" w:sz="0" w:space="0" w:color="auto"/>
      </w:divBdr>
    </w:div>
    <w:div w:id="351224596">
      <w:marLeft w:val="0"/>
      <w:marRight w:val="0"/>
      <w:marTop w:val="0"/>
      <w:marBottom w:val="0"/>
      <w:divBdr>
        <w:top w:val="none" w:sz="0" w:space="0" w:color="auto"/>
        <w:left w:val="none" w:sz="0" w:space="0" w:color="auto"/>
        <w:bottom w:val="none" w:sz="0" w:space="0" w:color="auto"/>
        <w:right w:val="none" w:sz="0" w:space="0" w:color="auto"/>
      </w:divBdr>
    </w:div>
    <w:div w:id="351224604">
      <w:marLeft w:val="0"/>
      <w:marRight w:val="0"/>
      <w:marTop w:val="0"/>
      <w:marBottom w:val="450"/>
      <w:divBdr>
        <w:top w:val="none" w:sz="0" w:space="0" w:color="auto"/>
        <w:left w:val="none" w:sz="0" w:space="0" w:color="auto"/>
        <w:bottom w:val="none" w:sz="0" w:space="0" w:color="auto"/>
        <w:right w:val="none" w:sz="0" w:space="0" w:color="auto"/>
      </w:divBdr>
      <w:divsChild>
        <w:div w:id="351224573">
          <w:marLeft w:val="0"/>
          <w:marRight w:val="0"/>
          <w:marTop w:val="0"/>
          <w:marBottom w:val="0"/>
          <w:divBdr>
            <w:top w:val="none" w:sz="0" w:space="0" w:color="auto"/>
            <w:left w:val="none" w:sz="0" w:space="0" w:color="auto"/>
            <w:bottom w:val="none" w:sz="0" w:space="0" w:color="auto"/>
            <w:right w:val="none" w:sz="0" w:space="0" w:color="auto"/>
          </w:divBdr>
          <w:divsChild>
            <w:div w:id="351224605">
              <w:marLeft w:val="0"/>
              <w:marRight w:val="0"/>
              <w:marTop w:val="0"/>
              <w:marBottom w:val="0"/>
              <w:divBdr>
                <w:top w:val="none" w:sz="0" w:space="0" w:color="auto"/>
                <w:left w:val="none" w:sz="0" w:space="0" w:color="auto"/>
                <w:bottom w:val="none" w:sz="0" w:space="0" w:color="auto"/>
                <w:right w:val="none" w:sz="0" w:space="0" w:color="auto"/>
              </w:divBdr>
              <w:divsChild>
                <w:div w:id="351224564">
                  <w:marLeft w:val="0"/>
                  <w:marRight w:val="0"/>
                  <w:marTop w:val="0"/>
                  <w:marBottom w:val="0"/>
                  <w:divBdr>
                    <w:top w:val="none" w:sz="0" w:space="0" w:color="auto"/>
                    <w:left w:val="none" w:sz="0" w:space="0" w:color="auto"/>
                    <w:bottom w:val="none" w:sz="0" w:space="0" w:color="auto"/>
                    <w:right w:val="none" w:sz="0" w:space="0" w:color="auto"/>
                  </w:divBdr>
                  <w:divsChild>
                    <w:div w:id="351224554">
                      <w:marLeft w:val="0"/>
                      <w:marRight w:val="0"/>
                      <w:marTop w:val="0"/>
                      <w:marBottom w:val="0"/>
                      <w:divBdr>
                        <w:top w:val="none" w:sz="0" w:space="0" w:color="auto"/>
                        <w:left w:val="none" w:sz="0" w:space="0" w:color="auto"/>
                        <w:bottom w:val="none" w:sz="0" w:space="0" w:color="auto"/>
                        <w:right w:val="none" w:sz="0" w:space="0" w:color="auto"/>
                      </w:divBdr>
                      <w:divsChild>
                        <w:div w:id="351224610">
                          <w:marLeft w:val="0"/>
                          <w:marRight w:val="0"/>
                          <w:marTop w:val="0"/>
                          <w:marBottom w:val="0"/>
                          <w:divBdr>
                            <w:top w:val="none" w:sz="0" w:space="0" w:color="auto"/>
                            <w:left w:val="none" w:sz="0" w:space="0" w:color="auto"/>
                            <w:bottom w:val="none" w:sz="0" w:space="0" w:color="auto"/>
                            <w:right w:val="none" w:sz="0" w:space="0" w:color="auto"/>
                          </w:divBdr>
                          <w:divsChild>
                            <w:div w:id="351224597">
                              <w:marLeft w:val="0"/>
                              <w:marRight w:val="0"/>
                              <w:marTop w:val="0"/>
                              <w:marBottom w:val="0"/>
                              <w:divBdr>
                                <w:top w:val="none" w:sz="0" w:space="0" w:color="auto"/>
                                <w:left w:val="none" w:sz="0" w:space="0" w:color="auto"/>
                                <w:bottom w:val="none" w:sz="0" w:space="0" w:color="auto"/>
                                <w:right w:val="none" w:sz="0" w:space="0" w:color="auto"/>
                              </w:divBdr>
                            </w:div>
                            <w:div w:id="35122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224607">
      <w:marLeft w:val="0"/>
      <w:marRight w:val="0"/>
      <w:marTop w:val="0"/>
      <w:marBottom w:val="0"/>
      <w:divBdr>
        <w:top w:val="none" w:sz="0" w:space="0" w:color="auto"/>
        <w:left w:val="none" w:sz="0" w:space="0" w:color="auto"/>
        <w:bottom w:val="none" w:sz="0" w:space="0" w:color="auto"/>
        <w:right w:val="none" w:sz="0" w:space="0" w:color="auto"/>
      </w:divBdr>
    </w:div>
    <w:div w:id="351224608">
      <w:marLeft w:val="0"/>
      <w:marRight w:val="0"/>
      <w:marTop w:val="0"/>
      <w:marBottom w:val="0"/>
      <w:divBdr>
        <w:top w:val="none" w:sz="0" w:space="0" w:color="auto"/>
        <w:left w:val="none" w:sz="0" w:space="0" w:color="auto"/>
        <w:bottom w:val="none" w:sz="0" w:space="0" w:color="auto"/>
        <w:right w:val="none" w:sz="0" w:space="0" w:color="auto"/>
      </w:divBdr>
    </w:div>
    <w:div w:id="351224611">
      <w:marLeft w:val="0"/>
      <w:marRight w:val="0"/>
      <w:marTop w:val="0"/>
      <w:marBottom w:val="0"/>
      <w:divBdr>
        <w:top w:val="none" w:sz="0" w:space="0" w:color="auto"/>
        <w:left w:val="none" w:sz="0" w:space="0" w:color="auto"/>
        <w:bottom w:val="none" w:sz="0" w:space="0" w:color="auto"/>
        <w:right w:val="none" w:sz="0" w:space="0" w:color="auto"/>
      </w:divBdr>
    </w:div>
    <w:div w:id="351224612">
      <w:marLeft w:val="0"/>
      <w:marRight w:val="0"/>
      <w:marTop w:val="0"/>
      <w:marBottom w:val="0"/>
      <w:divBdr>
        <w:top w:val="none" w:sz="0" w:space="0" w:color="auto"/>
        <w:left w:val="none" w:sz="0" w:space="0" w:color="auto"/>
        <w:bottom w:val="none" w:sz="0" w:space="0" w:color="auto"/>
        <w:right w:val="none" w:sz="0" w:space="0" w:color="auto"/>
      </w:divBdr>
    </w:div>
    <w:div w:id="351224613">
      <w:marLeft w:val="0"/>
      <w:marRight w:val="0"/>
      <w:marTop w:val="0"/>
      <w:marBottom w:val="0"/>
      <w:divBdr>
        <w:top w:val="none" w:sz="0" w:space="0" w:color="auto"/>
        <w:left w:val="none" w:sz="0" w:space="0" w:color="auto"/>
        <w:bottom w:val="none" w:sz="0" w:space="0" w:color="auto"/>
        <w:right w:val="none" w:sz="0" w:space="0" w:color="auto"/>
      </w:divBdr>
    </w:div>
    <w:div w:id="351224614">
      <w:marLeft w:val="0"/>
      <w:marRight w:val="0"/>
      <w:marTop w:val="0"/>
      <w:marBottom w:val="0"/>
      <w:divBdr>
        <w:top w:val="none" w:sz="0" w:space="0" w:color="auto"/>
        <w:left w:val="none" w:sz="0" w:space="0" w:color="auto"/>
        <w:bottom w:val="none" w:sz="0" w:space="0" w:color="auto"/>
        <w:right w:val="none" w:sz="0" w:space="0" w:color="auto"/>
      </w:divBdr>
    </w:div>
    <w:div w:id="351224615">
      <w:marLeft w:val="0"/>
      <w:marRight w:val="0"/>
      <w:marTop w:val="0"/>
      <w:marBottom w:val="0"/>
      <w:divBdr>
        <w:top w:val="none" w:sz="0" w:space="0" w:color="auto"/>
        <w:left w:val="none" w:sz="0" w:space="0" w:color="auto"/>
        <w:bottom w:val="none" w:sz="0" w:space="0" w:color="auto"/>
        <w:right w:val="none" w:sz="0" w:space="0" w:color="auto"/>
      </w:divBdr>
    </w:div>
    <w:div w:id="351301441">
      <w:bodyDiv w:val="1"/>
      <w:marLeft w:val="0"/>
      <w:marRight w:val="0"/>
      <w:marTop w:val="0"/>
      <w:marBottom w:val="0"/>
      <w:divBdr>
        <w:top w:val="none" w:sz="0" w:space="0" w:color="auto"/>
        <w:left w:val="none" w:sz="0" w:space="0" w:color="auto"/>
        <w:bottom w:val="none" w:sz="0" w:space="0" w:color="auto"/>
        <w:right w:val="none" w:sz="0" w:space="0" w:color="auto"/>
      </w:divBdr>
    </w:div>
    <w:div w:id="398746086">
      <w:bodyDiv w:val="1"/>
      <w:marLeft w:val="0"/>
      <w:marRight w:val="0"/>
      <w:marTop w:val="0"/>
      <w:marBottom w:val="0"/>
      <w:divBdr>
        <w:top w:val="none" w:sz="0" w:space="0" w:color="auto"/>
        <w:left w:val="none" w:sz="0" w:space="0" w:color="auto"/>
        <w:bottom w:val="none" w:sz="0" w:space="0" w:color="auto"/>
        <w:right w:val="none" w:sz="0" w:space="0" w:color="auto"/>
      </w:divBdr>
    </w:div>
    <w:div w:id="431710356">
      <w:bodyDiv w:val="1"/>
      <w:marLeft w:val="0"/>
      <w:marRight w:val="0"/>
      <w:marTop w:val="0"/>
      <w:marBottom w:val="0"/>
      <w:divBdr>
        <w:top w:val="none" w:sz="0" w:space="0" w:color="auto"/>
        <w:left w:val="none" w:sz="0" w:space="0" w:color="auto"/>
        <w:bottom w:val="none" w:sz="0" w:space="0" w:color="auto"/>
        <w:right w:val="none" w:sz="0" w:space="0" w:color="auto"/>
      </w:divBdr>
    </w:div>
    <w:div w:id="446197891">
      <w:bodyDiv w:val="1"/>
      <w:marLeft w:val="0"/>
      <w:marRight w:val="0"/>
      <w:marTop w:val="0"/>
      <w:marBottom w:val="0"/>
      <w:divBdr>
        <w:top w:val="none" w:sz="0" w:space="0" w:color="auto"/>
        <w:left w:val="none" w:sz="0" w:space="0" w:color="auto"/>
        <w:bottom w:val="none" w:sz="0" w:space="0" w:color="auto"/>
        <w:right w:val="none" w:sz="0" w:space="0" w:color="auto"/>
      </w:divBdr>
    </w:div>
    <w:div w:id="484903825">
      <w:bodyDiv w:val="1"/>
      <w:marLeft w:val="0"/>
      <w:marRight w:val="0"/>
      <w:marTop w:val="0"/>
      <w:marBottom w:val="0"/>
      <w:divBdr>
        <w:top w:val="none" w:sz="0" w:space="0" w:color="auto"/>
        <w:left w:val="none" w:sz="0" w:space="0" w:color="auto"/>
        <w:bottom w:val="none" w:sz="0" w:space="0" w:color="auto"/>
        <w:right w:val="none" w:sz="0" w:space="0" w:color="auto"/>
      </w:divBdr>
    </w:div>
    <w:div w:id="516620849">
      <w:bodyDiv w:val="1"/>
      <w:marLeft w:val="0"/>
      <w:marRight w:val="0"/>
      <w:marTop w:val="0"/>
      <w:marBottom w:val="0"/>
      <w:divBdr>
        <w:top w:val="none" w:sz="0" w:space="0" w:color="auto"/>
        <w:left w:val="none" w:sz="0" w:space="0" w:color="auto"/>
        <w:bottom w:val="none" w:sz="0" w:space="0" w:color="auto"/>
        <w:right w:val="none" w:sz="0" w:space="0" w:color="auto"/>
      </w:divBdr>
    </w:div>
    <w:div w:id="570968323">
      <w:bodyDiv w:val="1"/>
      <w:marLeft w:val="0"/>
      <w:marRight w:val="0"/>
      <w:marTop w:val="0"/>
      <w:marBottom w:val="0"/>
      <w:divBdr>
        <w:top w:val="none" w:sz="0" w:space="0" w:color="auto"/>
        <w:left w:val="none" w:sz="0" w:space="0" w:color="auto"/>
        <w:bottom w:val="none" w:sz="0" w:space="0" w:color="auto"/>
        <w:right w:val="none" w:sz="0" w:space="0" w:color="auto"/>
      </w:divBdr>
    </w:div>
    <w:div w:id="677080233">
      <w:bodyDiv w:val="1"/>
      <w:marLeft w:val="0"/>
      <w:marRight w:val="0"/>
      <w:marTop w:val="0"/>
      <w:marBottom w:val="0"/>
      <w:divBdr>
        <w:top w:val="none" w:sz="0" w:space="0" w:color="auto"/>
        <w:left w:val="none" w:sz="0" w:space="0" w:color="auto"/>
        <w:bottom w:val="none" w:sz="0" w:space="0" w:color="auto"/>
        <w:right w:val="none" w:sz="0" w:space="0" w:color="auto"/>
      </w:divBdr>
    </w:div>
    <w:div w:id="715158614">
      <w:bodyDiv w:val="1"/>
      <w:marLeft w:val="0"/>
      <w:marRight w:val="0"/>
      <w:marTop w:val="0"/>
      <w:marBottom w:val="0"/>
      <w:divBdr>
        <w:top w:val="none" w:sz="0" w:space="0" w:color="auto"/>
        <w:left w:val="none" w:sz="0" w:space="0" w:color="auto"/>
        <w:bottom w:val="none" w:sz="0" w:space="0" w:color="auto"/>
        <w:right w:val="none" w:sz="0" w:space="0" w:color="auto"/>
      </w:divBdr>
    </w:div>
    <w:div w:id="780683958">
      <w:bodyDiv w:val="1"/>
      <w:marLeft w:val="0"/>
      <w:marRight w:val="0"/>
      <w:marTop w:val="0"/>
      <w:marBottom w:val="0"/>
      <w:divBdr>
        <w:top w:val="none" w:sz="0" w:space="0" w:color="auto"/>
        <w:left w:val="none" w:sz="0" w:space="0" w:color="auto"/>
        <w:bottom w:val="none" w:sz="0" w:space="0" w:color="auto"/>
        <w:right w:val="none" w:sz="0" w:space="0" w:color="auto"/>
      </w:divBdr>
    </w:div>
    <w:div w:id="783422153">
      <w:bodyDiv w:val="1"/>
      <w:marLeft w:val="0"/>
      <w:marRight w:val="0"/>
      <w:marTop w:val="0"/>
      <w:marBottom w:val="0"/>
      <w:divBdr>
        <w:top w:val="none" w:sz="0" w:space="0" w:color="auto"/>
        <w:left w:val="none" w:sz="0" w:space="0" w:color="auto"/>
        <w:bottom w:val="none" w:sz="0" w:space="0" w:color="auto"/>
        <w:right w:val="none" w:sz="0" w:space="0" w:color="auto"/>
      </w:divBdr>
    </w:div>
    <w:div w:id="844780919">
      <w:bodyDiv w:val="1"/>
      <w:marLeft w:val="0"/>
      <w:marRight w:val="0"/>
      <w:marTop w:val="0"/>
      <w:marBottom w:val="0"/>
      <w:divBdr>
        <w:top w:val="none" w:sz="0" w:space="0" w:color="auto"/>
        <w:left w:val="none" w:sz="0" w:space="0" w:color="auto"/>
        <w:bottom w:val="none" w:sz="0" w:space="0" w:color="auto"/>
        <w:right w:val="none" w:sz="0" w:space="0" w:color="auto"/>
      </w:divBdr>
    </w:div>
    <w:div w:id="904223836">
      <w:bodyDiv w:val="1"/>
      <w:marLeft w:val="0"/>
      <w:marRight w:val="0"/>
      <w:marTop w:val="0"/>
      <w:marBottom w:val="0"/>
      <w:divBdr>
        <w:top w:val="none" w:sz="0" w:space="0" w:color="auto"/>
        <w:left w:val="none" w:sz="0" w:space="0" w:color="auto"/>
        <w:bottom w:val="none" w:sz="0" w:space="0" w:color="auto"/>
        <w:right w:val="none" w:sz="0" w:space="0" w:color="auto"/>
      </w:divBdr>
    </w:div>
    <w:div w:id="907812540">
      <w:bodyDiv w:val="1"/>
      <w:marLeft w:val="0"/>
      <w:marRight w:val="0"/>
      <w:marTop w:val="0"/>
      <w:marBottom w:val="0"/>
      <w:divBdr>
        <w:top w:val="none" w:sz="0" w:space="0" w:color="auto"/>
        <w:left w:val="none" w:sz="0" w:space="0" w:color="auto"/>
        <w:bottom w:val="none" w:sz="0" w:space="0" w:color="auto"/>
        <w:right w:val="none" w:sz="0" w:space="0" w:color="auto"/>
      </w:divBdr>
    </w:div>
    <w:div w:id="915439483">
      <w:bodyDiv w:val="1"/>
      <w:marLeft w:val="0"/>
      <w:marRight w:val="0"/>
      <w:marTop w:val="0"/>
      <w:marBottom w:val="0"/>
      <w:divBdr>
        <w:top w:val="none" w:sz="0" w:space="0" w:color="auto"/>
        <w:left w:val="none" w:sz="0" w:space="0" w:color="auto"/>
        <w:bottom w:val="none" w:sz="0" w:space="0" w:color="auto"/>
        <w:right w:val="none" w:sz="0" w:space="0" w:color="auto"/>
      </w:divBdr>
    </w:div>
    <w:div w:id="944844344">
      <w:bodyDiv w:val="1"/>
      <w:marLeft w:val="0"/>
      <w:marRight w:val="0"/>
      <w:marTop w:val="0"/>
      <w:marBottom w:val="0"/>
      <w:divBdr>
        <w:top w:val="none" w:sz="0" w:space="0" w:color="auto"/>
        <w:left w:val="none" w:sz="0" w:space="0" w:color="auto"/>
        <w:bottom w:val="none" w:sz="0" w:space="0" w:color="auto"/>
        <w:right w:val="none" w:sz="0" w:space="0" w:color="auto"/>
      </w:divBdr>
    </w:div>
    <w:div w:id="1020816121">
      <w:bodyDiv w:val="1"/>
      <w:marLeft w:val="0"/>
      <w:marRight w:val="0"/>
      <w:marTop w:val="0"/>
      <w:marBottom w:val="0"/>
      <w:divBdr>
        <w:top w:val="none" w:sz="0" w:space="0" w:color="auto"/>
        <w:left w:val="none" w:sz="0" w:space="0" w:color="auto"/>
        <w:bottom w:val="none" w:sz="0" w:space="0" w:color="auto"/>
        <w:right w:val="none" w:sz="0" w:space="0" w:color="auto"/>
      </w:divBdr>
    </w:div>
    <w:div w:id="1095636762">
      <w:bodyDiv w:val="1"/>
      <w:marLeft w:val="0"/>
      <w:marRight w:val="0"/>
      <w:marTop w:val="0"/>
      <w:marBottom w:val="0"/>
      <w:divBdr>
        <w:top w:val="none" w:sz="0" w:space="0" w:color="auto"/>
        <w:left w:val="none" w:sz="0" w:space="0" w:color="auto"/>
        <w:bottom w:val="none" w:sz="0" w:space="0" w:color="auto"/>
        <w:right w:val="none" w:sz="0" w:space="0" w:color="auto"/>
      </w:divBdr>
    </w:div>
    <w:div w:id="1123620148">
      <w:bodyDiv w:val="1"/>
      <w:marLeft w:val="0"/>
      <w:marRight w:val="0"/>
      <w:marTop w:val="0"/>
      <w:marBottom w:val="0"/>
      <w:divBdr>
        <w:top w:val="none" w:sz="0" w:space="0" w:color="auto"/>
        <w:left w:val="none" w:sz="0" w:space="0" w:color="auto"/>
        <w:bottom w:val="none" w:sz="0" w:space="0" w:color="auto"/>
        <w:right w:val="none" w:sz="0" w:space="0" w:color="auto"/>
      </w:divBdr>
    </w:div>
    <w:div w:id="1162889375">
      <w:bodyDiv w:val="1"/>
      <w:marLeft w:val="0"/>
      <w:marRight w:val="0"/>
      <w:marTop w:val="0"/>
      <w:marBottom w:val="0"/>
      <w:divBdr>
        <w:top w:val="none" w:sz="0" w:space="0" w:color="auto"/>
        <w:left w:val="none" w:sz="0" w:space="0" w:color="auto"/>
        <w:bottom w:val="none" w:sz="0" w:space="0" w:color="auto"/>
        <w:right w:val="none" w:sz="0" w:space="0" w:color="auto"/>
      </w:divBdr>
    </w:div>
    <w:div w:id="1271283987">
      <w:bodyDiv w:val="1"/>
      <w:marLeft w:val="0"/>
      <w:marRight w:val="0"/>
      <w:marTop w:val="0"/>
      <w:marBottom w:val="0"/>
      <w:divBdr>
        <w:top w:val="none" w:sz="0" w:space="0" w:color="auto"/>
        <w:left w:val="none" w:sz="0" w:space="0" w:color="auto"/>
        <w:bottom w:val="none" w:sz="0" w:space="0" w:color="auto"/>
        <w:right w:val="none" w:sz="0" w:space="0" w:color="auto"/>
      </w:divBdr>
    </w:div>
    <w:div w:id="1272778615">
      <w:bodyDiv w:val="1"/>
      <w:marLeft w:val="0"/>
      <w:marRight w:val="0"/>
      <w:marTop w:val="0"/>
      <w:marBottom w:val="0"/>
      <w:divBdr>
        <w:top w:val="none" w:sz="0" w:space="0" w:color="auto"/>
        <w:left w:val="none" w:sz="0" w:space="0" w:color="auto"/>
        <w:bottom w:val="none" w:sz="0" w:space="0" w:color="auto"/>
        <w:right w:val="none" w:sz="0" w:space="0" w:color="auto"/>
      </w:divBdr>
    </w:div>
    <w:div w:id="1284844165">
      <w:bodyDiv w:val="1"/>
      <w:marLeft w:val="0"/>
      <w:marRight w:val="0"/>
      <w:marTop w:val="0"/>
      <w:marBottom w:val="0"/>
      <w:divBdr>
        <w:top w:val="none" w:sz="0" w:space="0" w:color="auto"/>
        <w:left w:val="none" w:sz="0" w:space="0" w:color="auto"/>
        <w:bottom w:val="none" w:sz="0" w:space="0" w:color="auto"/>
        <w:right w:val="none" w:sz="0" w:space="0" w:color="auto"/>
      </w:divBdr>
    </w:div>
    <w:div w:id="1289816831">
      <w:bodyDiv w:val="1"/>
      <w:marLeft w:val="0"/>
      <w:marRight w:val="0"/>
      <w:marTop w:val="0"/>
      <w:marBottom w:val="0"/>
      <w:divBdr>
        <w:top w:val="none" w:sz="0" w:space="0" w:color="auto"/>
        <w:left w:val="none" w:sz="0" w:space="0" w:color="auto"/>
        <w:bottom w:val="none" w:sz="0" w:space="0" w:color="auto"/>
        <w:right w:val="none" w:sz="0" w:space="0" w:color="auto"/>
      </w:divBdr>
    </w:div>
    <w:div w:id="1314335306">
      <w:bodyDiv w:val="1"/>
      <w:marLeft w:val="0"/>
      <w:marRight w:val="0"/>
      <w:marTop w:val="0"/>
      <w:marBottom w:val="0"/>
      <w:divBdr>
        <w:top w:val="none" w:sz="0" w:space="0" w:color="auto"/>
        <w:left w:val="none" w:sz="0" w:space="0" w:color="auto"/>
        <w:bottom w:val="none" w:sz="0" w:space="0" w:color="auto"/>
        <w:right w:val="none" w:sz="0" w:space="0" w:color="auto"/>
      </w:divBdr>
    </w:div>
    <w:div w:id="1355812221">
      <w:bodyDiv w:val="1"/>
      <w:marLeft w:val="0"/>
      <w:marRight w:val="0"/>
      <w:marTop w:val="0"/>
      <w:marBottom w:val="0"/>
      <w:divBdr>
        <w:top w:val="none" w:sz="0" w:space="0" w:color="auto"/>
        <w:left w:val="none" w:sz="0" w:space="0" w:color="auto"/>
        <w:bottom w:val="none" w:sz="0" w:space="0" w:color="auto"/>
        <w:right w:val="none" w:sz="0" w:space="0" w:color="auto"/>
      </w:divBdr>
    </w:div>
    <w:div w:id="1362322266">
      <w:bodyDiv w:val="1"/>
      <w:marLeft w:val="0"/>
      <w:marRight w:val="0"/>
      <w:marTop w:val="0"/>
      <w:marBottom w:val="0"/>
      <w:divBdr>
        <w:top w:val="none" w:sz="0" w:space="0" w:color="auto"/>
        <w:left w:val="none" w:sz="0" w:space="0" w:color="auto"/>
        <w:bottom w:val="none" w:sz="0" w:space="0" w:color="auto"/>
        <w:right w:val="none" w:sz="0" w:space="0" w:color="auto"/>
      </w:divBdr>
    </w:div>
    <w:div w:id="1412000318">
      <w:bodyDiv w:val="1"/>
      <w:marLeft w:val="0"/>
      <w:marRight w:val="0"/>
      <w:marTop w:val="0"/>
      <w:marBottom w:val="0"/>
      <w:divBdr>
        <w:top w:val="none" w:sz="0" w:space="0" w:color="auto"/>
        <w:left w:val="none" w:sz="0" w:space="0" w:color="auto"/>
        <w:bottom w:val="none" w:sz="0" w:space="0" w:color="auto"/>
        <w:right w:val="none" w:sz="0" w:space="0" w:color="auto"/>
      </w:divBdr>
    </w:div>
    <w:div w:id="1420521432">
      <w:bodyDiv w:val="1"/>
      <w:marLeft w:val="0"/>
      <w:marRight w:val="0"/>
      <w:marTop w:val="0"/>
      <w:marBottom w:val="0"/>
      <w:divBdr>
        <w:top w:val="none" w:sz="0" w:space="0" w:color="auto"/>
        <w:left w:val="none" w:sz="0" w:space="0" w:color="auto"/>
        <w:bottom w:val="none" w:sz="0" w:space="0" w:color="auto"/>
        <w:right w:val="none" w:sz="0" w:space="0" w:color="auto"/>
      </w:divBdr>
    </w:div>
    <w:div w:id="1420978822">
      <w:bodyDiv w:val="1"/>
      <w:marLeft w:val="0"/>
      <w:marRight w:val="0"/>
      <w:marTop w:val="0"/>
      <w:marBottom w:val="0"/>
      <w:divBdr>
        <w:top w:val="none" w:sz="0" w:space="0" w:color="auto"/>
        <w:left w:val="none" w:sz="0" w:space="0" w:color="auto"/>
        <w:bottom w:val="none" w:sz="0" w:space="0" w:color="auto"/>
        <w:right w:val="none" w:sz="0" w:space="0" w:color="auto"/>
      </w:divBdr>
    </w:div>
    <w:div w:id="1484539591">
      <w:bodyDiv w:val="1"/>
      <w:marLeft w:val="0"/>
      <w:marRight w:val="0"/>
      <w:marTop w:val="0"/>
      <w:marBottom w:val="0"/>
      <w:divBdr>
        <w:top w:val="none" w:sz="0" w:space="0" w:color="auto"/>
        <w:left w:val="none" w:sz="0" w:space="0" w:color="auto"/>
        <w:bottom w:val="none" w:sz="0" w:space="0" w:color="auto"/>
        <w:right w:val="none" w:sz="0" w:space="0" w:color="auto"/>
      </w:divBdr>
    </w:div>
    <w:div w:id="1537742105">
      <w:bodyDiv w:val="1"/>
      <w:marLeft w:val="0"/>
      <w:marRight w:val="0"/>
      <w:marTop w:val="0"/>
      <w:marBottom w:val="0"/>
      <w:divBdr>
        <w:top w:val="none" w:sz="0" w:space="0" w:color="auto"/>
        <w:left w:val="none" w:sz="0" w:space="0" w:color="auto"/>
        <w:bottom w:val="none" w:sz="0" w:space="0" w:color="auto"/>
        <w:right w:val="none" w:sz="0" w:space="0" w:color="auto"/>
      </w:divBdr>
    </w:div>
    <w:div w:id="1542473643">
      <w:bodyDiv w:val="1"/>
      <w:marLeft w:val="0"/>
      <w:marRight w:val="0"/>
      <w:marTop w:val="0"/>
      <w:marBottom w:val="0"/>
      <w:divBdr>
        <w:top w:val="none" w:sz="0" w:space="0" w:color="auto"/>
        <w:left w:val="none" w:sz="0" w:space="0" w:color="auto"/>
        <w:bottom w:val="none" w:sz="0" w:space="0" w:color="auto"/>
        <w:right w:val="none" w:sz="0" w:space="0" w:color="auto"/>
      </w:divBdr>
    </w:div>
    <w:div w:id="1577593869">
      <w:bodyDiv w:val="1"/>
      <w:marLeft w:val="0"/>
      <w:marRight w:val="0"/>
      <w:marTop w:val="0"/>
      <w:marBottom w:val="0"/>
      <w:divBdr>
        <w:top w:val="none" w:sz="0" w:space="0" w:color="auto"/>
        <w:left w:val="none" w:sz="0" w:space="0" w:color="auto"/>
        <w:bottom w:val="none" w:sz="0" w:space="0" w:color="auto"/>
        <w:right w:val="none" w:sz="0" w:space="0" w:color="auto"/>
      </w:divBdr>
    </w:div>
    <w:div w:id="1711106494">
      <w:bodyDiv w:val="1"/>
      <w:marLeft w:val="0"/>
      <w:marRight w:val="0"/>
      <w:marTop w:val="0"/>
      <w:marBottom w:val="0"/>
      <w:divBdr>
        <w:top w:val="none" w:sz="0" w:space="0" w:color="auto"/>
        <w:left w:val="none" w:sz="0" w:space="0" w:color="auto"/>
        <w:bottom w:val="none" w:sz="0" w:space="0" w:color="auto"/>
        <w:right w:val="none" w:sz="0" w:space="0" w:color="auto"/>
      </w:divBdr>
    </w:div>
    <w:div w:id="1745028045">
      <w:bodyDiv w:val="1"/>
      <w:marLeft w:val="0"/>
      <w:marRight w:val="0"/>
      <w:marTop w:val="0"/>
      <w:marBottom w:val="0"/>
      <w:divBdr>
        <w:top w:val="none" w:sz="0" w:space="0" w:color="auto"/>
        <w:left w:val="none" w:sz="0" w:space="0" w:color="auto"/>
        <w:bottom w:val="none" w:sz="0" w:space="0" w:color="auto"/>
        <w:right w:val="none" w:sz="0" w:space="0" w:color="auto"/>
      </w:divBdr>
    </w:div>
    <w:div w:id="1769764720">
      <w:bodyDiv w:val="1"/>
      <w:marLeft w:val="0"/>
      <w:marRight w:val="0"/>
      <w:marTop w:val="0"/>
      <w:marBottom w:val="0"/>
      <w:divBdr>
        <w:top w:val="none" w:sz="0" w:space="0" w:color="auto"/>
        <w:left w:val="none" w:sz="0" w:space="0" w:color="auto"/>
        <w:bottom w:val="none" w:sz="0" w:space="0" w:color="auto"/>
        <w:right w:val="none" w:sz="0" w:space="0" w:color="auto"/>
      </w:divBdr>
    </w:div>
    <w:div w:id="1807384006">
      <w:bodyDiv w:val="1"/>
      <w:marLeft w:val="0"/>
      <w:marRight w:val="0"/>
      <w:marTop w:val="0"/>
      <w:marBottom w:val="0"/>
      <w:divBdr>
        <w:top w:val="none" w:sz="0" w:space="0" w:color="auto"/>
        <w:left w:val="none" w:sz="0" w:space="0" w:color="auto"/>
        <w:bottom w:val="none" w:sz="0" w:space="0" w:color="auto"/>
        <w:right w:val="none" w:sz="0" w:space="0" w:color="auto"/>
      </w:divBdr>
    </w:div>
    <w:div w:id="1810436498">
      <w:bodyDiv w:val="1"/>
      <w:marLeft w:val="0"/>
      <w:marRight w:val="0"/>
      <w:marTop w:val="0"/>
      <w:marBottom w:val="0"/>
      <w:divBdr>
        <w:top w:val="none" w:sz="0" w:space="0" w:color="auto"/>
        <w:left w:val="none" w:sz="0" w:space="0" w:color="auto"/>
        <w:bottom w:val="none" w:sz="0" w:space="0" w:color="auto"/>
        <w:right w:val="none" w:sz="0" w:space="0" w:color="auto"/>
      </w:divBdr>
    </w:div>
    <w:div w:id="1811168080">
      <w:bodyDiv w:val="1"/>
      <w:marLeft w:val="0"/>
      <w:marRight w:val="0"/>
      <w:marTop w:val="0"/>
      <w:marBottom w:val="0"/>
      <w:divBdr>
        <w:top w:val="none" w:sz="0" w:space="0" w:color="auto"/>
        <w:left w:val="none" w:sz="0" w:space="0" w:color="auto"/>
        <w:bottom w:val="none" w:sz="0" w:space="0" w:color="auto"/>
        <w:right w:val="none" w:sz="0" w:space="0" w:color="auto"/>
      </w:divBdr>
    </w:div>
    <w:div w:id="1974670193">
      <w:bodyDiv w:val="1"/>
      <w:marLeft w:val="0"/>
      <w:marRight w:val="0"/>
      <w:marTop w:val="0"/>
      <w:marBottom w:val="0"/>
      <w:divBdr>
        <w:top w:val="none" w:sz="0" w:space="0" w:color="auto"/>
        <w:left w:val="none" w:sz="0" w:space="0" w:color="auto"/>
        <w:bottom w:val="none" w:sz="0" w:space="0" w:color="auto"/>
        <w:right w:val="none" w:sz="0" w:space="0" w:color="auto"/>
      </w:divBdr>
    </w:div>
    <w:div w:id="1986860435">
      <w:bodyDiv w:val="1"/>
      <w:marLeft w:val="0"/>
      <w:marRight w:val="0"/>
      <w:marTop w:val="0"/>
      <w:marBottom w:val="0"/>
      <w:divBdr>
        <w:top w:val="none" w:sz="0" w:space="0" w:color="auto"/>
        <w:left w:val="none" w:sz="0" w:space="0" w:color="auto"/>
        <w:bottom w:val="none" w:sz="0" w:space="0" w:color="auto"/>
        <w:right w:val="none" w:sz="0" w:space="0" w:color="auto"/>
      </w:divBdr>
    </w:div>
    <w:div w:id="2040812316">
      <w:bodyDiv w:val="1"/>
      <w:marLeft w:val="0"/>
      <w:marRight w:val="0"/>
      <w:marTop w:val="0"/>
      <w:marBottom w:val="0"/>
      <w:divBdr>
        <w:top w:val="none" w:sz="0" w:space="0" w:color="auto"/>
        <w:left w:val="none" w:sz="0" w:space="0" w:color="auto"/>
        <w:bottom w:val="none" w:sz="0" w:space="0" w:color="auto"/>
        <w:right w:val="none" w:sz="0" w:space="0" w:color="auto"/>
      </w:divBdr>
    </w:div>
    <w:div w:id="2048943954">
      <w:bodyDiv w:val="1"/>
      <w:marLeft w:val="0"/>
      <w:marRight w:val="0"/>
      <w:marTop w:val="0"/>
      <w:marBottom w:val="0"/>
      <w:divBdr>
        <w:top w:val="none" w:sz="0" w:space="0" w:color="auto"/>
        <w:left w:val="none" w:sz="0" w:space="0" w:color="auto"/>
        <w:bottom w:val="none" w:sz="0" w:space="0" w:color="auto"/>
        <w:right w:val="none" w:sz="0" w:space="0" w:color="auto"/>
      </w:divBdr>
    </w:div>
    <w:div w:id="2077582056">
      <w:bodyDiv w:val="1"/>
      <w:marLeft w:val="0"/>
      <w:marRight w:val="0"/>
      <w:marTop w:val="0"/>
      <w:marBottom w:val="0"/>
      <w:divBdr>
        <w:top w:val="none" w:sz="0" w:space="0" w:color="auto"/>
        <w:left w:val="none" w:sz="0" w:space="0" w:color="auto"/>
        <w:bottom w:val="none" w:sz="0" w:space="0" w:color="auto"/>
        <w:right w:val="none" w:sz="0" w:space="0" w:color="auto"/>
      </w:divBdr>
    </w:div>
    <w:div w:id="2096701838">
      <w:bodyDiv w:val="1"/>
      <w:marLeft w:val="0"/>
      <w:marRight w:val="0"/>
      <w:marTop w:val="0"/>
      <w:marBottom w:val="0"/>
      <w:divBdr>
        <w:top w:val="none" w:sz="0" w:space="0" w:color="auto"/>
        <w:left w:val="none" w:sz="0" w:space="0" w:color="auto"/>
        <w:bottom w:val="none" w:sz="0" w:space="0" w:color="auto"/>
        <w:right w:val="none" w:sz="0" w:space="0" w:color="auto"/>
      </w:divBdr>
    </w:div>
    <w:div w:id="210280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ea/connecting-europe-facility/cef-telecom/projects-by-country" TargetMode="External"/><Relationship Id="rId5" Type="http://schemas.openxmlformats.org/officeDocument/2006/relationships/webSettings" Target="webSettings.xml"/><Relationship Id="rId10" Type="http://schemas.openxmlformats.org/officeDocument/2006/relationships/hyperlink" Target="https://ec.europa.eu/inea/connecting-europe-facility/cef-energy/projects-by-country" TargetMode="External"/><Relationship Id="rId4" Type="http://schemas.openxmlformats.org/officeDocument/2006/relationships/settings" Target="settings.xml"/><Relationship Id="rId9" Type="http://schemas.openxmlformats.org/officeDocument/2006/relationships/hyperlink" Target="https://ec.europa.eu/inea/connecting-europe-facility/cef-transport/projects-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8F8CD-FC70-456E-9F05-B6AD7444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19</Pages>
  <Words>9030</Words>
  <Characters>50358</Characters>
  <Application>Microsoft Office Word</Application>
  <DocSecurity>0</DocSecurity>
  <Lines>419</Lines>
  <Paragraphs>118</Paragraphs>
  <ScaleCrop>false</ScaleCrop>
  <HeadingPairs>
    <vt:vector size="2" baseType="variant">
      <vt:variant>
        <vt:lpstr>Název</vt:lpstr>
      </vt:variant>
      <vt:variant>
        <vt:i4>1</vt:i4>
      </vt:variant>
    </vt:vector>
  </HeadingPairs>
  <TitlesOfParts>
    <vt:vector size="1" baseType="lpstr">
      <vt:lpstr>Informace o stavu čerpání prostředků z Nástroje pro propojení Evropy (CEF) a návrhy opatření pro maximalizaci využití alokace Kohezní části CEF</vt:lpstr>
    </vt:vector>
  </TitlesOfParts>
  <Company>MD</Company>
  <LinksUpToDate>false</LinksUpToDate>
  <CharactersWithSpaces>59270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Informace o stavu čerpání prostředků z Nástroje pro propojení Evropy (CEF) a návrhy opatření pro maximalizaci využití alokace Kohezní části CEF</dc:title>
  <dc:creator>Bubela Petr Mgr.</dc:creator>
  <cp:lastModifiedBy>Šváb Petr Mgr.</cp:lastModifiedBy>
  <cp:revision>4</cp:revision>
  <cp:lastPrinted>2016-04-25T14:14:00Z</cp:lastPrinted>
  <dcterms:created xsi:type="dcterms:W3CDTF">2020-10-06T10:32:00Z</dcterms:created>
  <dcterms:modified xsi:type="dcterms:W3CDTF">2020-10-06T10:37:00Z</dcterms:modified>
</cp:coreProperties>
</file>