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2BAB" w14:textId="2A144620" w:rsidR="00D85733" w:rsidRPr="00026ECD" w:rsidRDefault="00D85733" w:rsidP="00D85733">
      <w:pPr>
        <w:pStyle w:val="lnek4"/>
        <w:jc w:val="right"/>
        <w:rPr>
          <w:sz w:val="20"/>
          <w:szCs w:val="20"/>
        </w:rPr>
      </w:pPr>
      <w:r w:rsidRPr="006E2AA8">
        <w:rPr>
          <w:sz w:val="20"/>
          <w:szCs w:val="20"/>
        </w:rPr>
        <w:t>Evidenční číslo smlouvy</w:t>
      </w:r>
      <w:r w:rsidRPr="00026ECD">
        <w:t xml:space="preserve"> </w:t>
      </w:r>
      <w:r w:rsidRPr="00026ECD">
        <w:rPr>
          <w:sz w:val="24"/>
          <w:szCs w:val="24"/>
        </w:rPr>
        <w:t>S-</w:t>
      </w:r>
      <w:r w:rsidR="000A1452">
        <w:rPr>
          <w:sz w:val="24"/>
          <w:szCs w:val="24"/>
        </w:rPr>
        <w:t>…</w:t>
      </w:r>
      <w:r w:rsidRPr="00026ECD">
        <w:rPr>
          <w:sz w:val="24"/>
          <w:szCs w:val="24"/>
        </w:rPr>
        <w:t>-410/</w:t>
      </w:r>
      <w:r w:rsidR="00495C44" w:rsidRPr="00026ECD">
        <w:rPr>
          <w:sz w:val="24"/>
          <w:szCs w:val="24"/>
        </w:rPr>
        <w:t>20</w:t>
      </w:r>
      <w:r w:rsidR="001706BB">
        <w:rPr>
          <w:sz w:val="24"/>
          <w:szCs w:val="24"/>
        </w:rPr>
        <w:t>2</w:t>
      </w:r>
      <w:r w:rsidR="006C234D">
        <w:rPr>
          <w:sz w:val="24"/>
          <w:szCs w:val="24"/>
        </w:rPr>
        <w:t>4</w:t>
      </w:r>
    </w:p>
    <w:p w14:paraId="03FC3177" w14:textId="79C28896" w:rsidR="00D85733" w:rsidRPr="00026ECD" w:rsidRDefault="00D85733" w:rsidP="00D85733">
      <w:pPr>
        <w:pStyle w:val="lnek4"/>
        <w:jc w:val="right"/>
        <w:rPr>
          <w:sz w:val="20"/>
          <w:szCs w:val="20"/>
        </w:rPr>
      </w:pPr>
      <w:r w:rsidRPr="006E2AA8">
        <w:rPr>
          <w:sz w:val="20"/>
          <w:szCs w:val="20"/>
        </w:rPr>
        <w:t>č.j.</w:t>
      </w:r>
      <w:r w:rsidRPr="00026ECD">
        <w:t xml:space="preserve"> </w:t>
      </w:r>
      <w:r w:rsidR="006C234D" w:rsidRPr="006C234D">
        <w:rPr>
          <w:sz w:val="24"/>
          <w:szCs w:val="24"/>
        </w:rPr>
        <w:t>MD/4981/2024/410</w:t>
      </w:r>
      <w:r w:rsidR="00227192">
        <w:rPr>
          <w:sz w:val="24"/>
          <w:szCs w:val="24"/>
        </w:rPr>
        <w:t>/…</w:t>
      </w:r>
    </w:p>
    <w:p w14:paraId="7D025CE5" w14:textId="77777777" w:rsidR="00D85733" w:rsidRPr="006E2AA8" w:rsidRDefault="00D85733" w:rsidP="00D85733">
      <w:pPr>
        <w:pStyle w:val="lnek4"/>
        <w:jc w:val="right"/>
        <w:rPr>
          <w:sz w:val="20"/>
          <w:szCs w:val="20"/>
        </w:rPr>
      </w:pPr>
      <w:r w:rsidRPr="006E2AA8">
        <w:rPr>
          <w:sz w:val="20"/>
          <w:szCs w:val="20"/>
        </w:rPr>
        <w:t>výtisk č.</w:t>
      </w:r>
      <w:r>
        <w:rPr>
          <w:sz w:val="24"/>
          <w:szCs w:val="24"/>
        </w:rPr>
        <w:t xml:space="preserve"> …</w:t>
      </w:r>
    </w:p>
    <w:p w14:paraId="5EB2C602" w14:textId="77777777" w:rsidR="00D85733" w:rsidRDefault="00D85733" w:rsidP="00D85733">
      <w:pPr>
        <w:jc w:val="center"/>
        <w:rPr>
          <w:b/>
          <w:sz w:val="32"/>
          <w:szCs w:val="32"/>
        </w:rPr>
      </w:pPr>
    </w:p>
    <w:p w14:paraId="0B632EA5" w14:textId="77777777" w:rsidR="00D85733" w:rsidRPr="00535F3C" w:rsidRDefault="00D85733" w:rsidP="00D85733">
      <w:pPr>
        <w:jc w:val="center"/>
        <w:rPr>
          <w:b/>
          <w:sz w:val="32"/>
          <w:szCs w:val="32"/>
        </w:rPr>
      </w:pPr>
      <w:r w:rsidRPr="00535F3C">
        <w:rPr>
          <w:b/>
          <w:sz w:val="32"/>
          <w:szCs w:val="32"/>
        </w:rPr>
        <w:t>S M L O U V A</w:t>
      </w:r>
    </w:p>
    <w:p w14:paraId="77012357" w14:textId="06D9327D" w:rsidR="00D85733" w:rsidRPr="00742F45" w:rsidRDefault="00D85733" w:rsidP="00D85733">
      <w:pPr>
        <w:jc w:val="center"/>
        <w:rPr>
          <w:b/>
          <w:sz w:val="28"/>
          <w:szCs w:val="28"/>
        </w:rPr>
      </w:pPr>
      <w:r w:rsidRPr="00742F45">
        <w:rPr>
          <w:b/>
          <w:sz w:val="28"/>
          <w:szCs w:val="28"/>
        </w:rPr>
        <w:t>o kompenzaci slev z jízdného ve veřejné osobní dopravě</w:t>
      </w:r>
      <w:r w:rsidR="00427B63" w:rsidRPr="00742F45">
        <w:rPr>
          <w:b/>
          <w:sz w:val="28"/>
          <w:szCs w:val="28"/>
        </w:rPr>
        <w:t xml:space="preserve"> </w:t>
      </w:r>
    </w:p>
    <w:p w14:paraId="01B5B1AD" w14:textId="77777777" w:rsidR="00D85733" w:rsidRDefault="00D85733" w:rsidP="00D85733">
      <w:pPr>
        <w:pBdr>
          <w:bottom w:val="single" w:sz="4" w:space="1" w:color="auto"/>
        </w:pBdr>
        <w:jc w:val="center"/>
        <w:rPr>
          <w:b/>
        </w:rPr>
      </w:pPr>
    </w:p>
    <w:p w14:paraId="326DF112" w14:textId="55728EB2" w:rsidR="00D85733" w:rsidRPr="00BA136B" w:rsidRDefault="00D85733" w:rsidP="00D85733">
      <w:pPr>
        <w:pBdr>
          <w:bottom w:val="single" w:sz="4" w:space="1" w:color="auto"/>
        </w:pBdr>
        <w:jc w:val="center"/>
        <w:rPr>
          <w:b/>
        </w:rPr>
      </w:pPr>
      <w:r w:rsidRPr="00535F3C">
        <w:rPr>
          <w:b/>
        </w:rPr>
        <w:t xml:space="preserve">uzavřená podle </w:t>
      </w:r>
      <w:r w:rsidRPr="006C283C">
        <w:rPr>
          <w:b/>
        </w:rPr>
        <w:t xml:space="preserve">§ </w:t>
      </w:r>
      <w:r w:rsidR="000A1452">
        <w:rPr>
          <w:b/>
        </w:rPr>
        <w:t>1746</w:t>
      </w:r>
      <w:r w:rsidR="000A1452" w:rsidRPr="006C283C">
        <w:rPr>
          <w:b/>
        </w:rPr>
        <w:t xml:space="preserve"> </w:t>
      </w:r>
      <w:r w:rsidRPr="006C283C">
        <w:rPr>
          <w:b/>
        </w:rPr>
        <w:t>odst</w:t>
      </w:r>
      <w:r w:rsidR="00731B97">
        <w:rPr>
          <w:b/>
        </w:rPr>
        <w:t>avce</w:t>
      </w:r>
      <w:r w:rsidRPr="006C283C">
        <w:rPr>
          <w:b/>
        </w:rPr>
        <w:t xml:space="preserve"> 2 zákona č. </w:t>
      </w:r>
      <w:r w:rsidR="000A1452">
        <w:rPr>
          <w:b/>
        </w:rPr>
        <w:t>89/2012</w:t>
      </w:r>
      <w:r w:rsidR="000A1452" w:rsidRPr="006C283C">
        <w:rPr>
          <w:b/>
        </w:rPr>
        <w:t xml:space="preserve"> </w:t>
      </w:r>
      <w:r w:rsidRPr="006C283C">
        <w:rPr>
          <w:b/>
        </w:rPr>
        <w:t xml:space="preserve">Sb., </w:t>
      </w:r>
      <w:r w:rsidR="00346A54">
        <w:rPr>
          <w:b/>
        </w:rPr>
        <w:t>o</w:t>
      </w:r>
      <w:r w:rsidR="000A1452">
        <w:rPr>
          <w:b/>
        </w:rPr>
        <w:t>bčanský</w:t>
      </w:r>
      <w:r w:rsidR="000A1452" w:rsidRPr="006C283C">
        <w:rPr>
          <w:b/>
        </w:rPr>
        <w:t xml:space="preserve"> </w:t>
      </w:r>
      <w:r w:rsidRPr="006C283C">
        <w:rPr>
          <w:b/>
        </w:rPr>
        <w:t>zákoník</w:t>
      </w:r>
      <w:r w:rsidR="006A7C7B">
        <w:rPr>
          <w:b/>
        </w:rPr>
        <w:t>, ve znění pozdějších předpisů</w:t>
      </w:r>
      <w:r w:rsidRPr="006C283C">
        <w:rPr>
          <w:b/>
        </w:rPr>
        <w:t xml:space="preserve"> </w:t>
      </w:r>
      <w:r>
        <w:rPr>
          <w:b/>
        </w:rPr>
        <w:t>(dále jen „</w:t>
      </w:r>
      <w:r w:rsidR="000A1452">
        <w:rPr>
          <w:b/>
        </w:rPr>
        <w:t xml:space="preserve">Občanský </w:t>
      </w:r>
      <w:r>
        <w:rPr>
          <w:b/>
        </w:rPr>
        <w:t>zákoník“),</w:t>
      </w:r>
      <w:r w:rsidRPr="00710083">
        <w:rPr>
          <w:b/>
        </w:rPr>
        <w:t xml:space="preserve"> zákona č. 218/2000 Sb., </w:t>
      </w:r>
      <w:r w:rsidR="00822E01" w:rsidRPr="00822E01">
        <w:rPr>
          <w:b/>
        </w:rPr>
        <w:t>o rozpočtových pravidlech a o změně některých souvisejících zákonů (</w:t>
      </w:r>
      <w:r w:rsidRPr="00710083">
        <w:rPr>
          <w:b/>
        </w:rPr>
        <w:t>rozpočtová pravidla</w:t>
      </w:r>
      <w:r w:rsidR="00822E01">
        <w:rPr>
          <w:b/>
        </w:rPr>
        <w:t>)</w:t>
      </w:r>
      <w:r w:rsidRPr="00710083">
        <w:rPr>
          <w:b/>
        </w:rPr>
        <w:t>, ve znění pozdějších předpisů</w:t>
      </w:r>
      <w:r w:rsidR="00F42BA3">
        <w:rPr>
          <w:b/>
        </w:rPr>
        <w:t>,</w:t>
      </w:r>
      <w:r w:rsidRPr="00710083">
        <w:rPr>
          <w:b/>
        </w:rPr>
        <w:t xml:space="preserve"> a </w:t>
      </w:r>
      <w:r w:rsidR="00A95F02">
        <w:rPr>
          <w:b/>
        </w:rPr>
        <w:t>jeho</w:t>
      </w:r>
      <w:r w:rsidR="00A95F02" w:rsidRPr="00710083">
        <w:rPr>
          <w:b/>
        </w:rPr>
        <w:t xml:space="preserve"> </w:t>
      </w:r>
      <w:r w:rsidRPr="00710083">
        <w:rPr>
          <w:b/>
        </w:rPr>
        <w:t>prováděcích předpisů</w:t>
      </w:r>
    </w:p>
    <w:p w14:paraId="3EC6145C" w14:textId="77777777" w:rsidR="00D85733" w:rsidRPr="00535F3C" w:rsidRDefault="00D85733" w:rsidP="00D85733">
      <w:pPr>
        <w:pBdr>
          <w:bottom w:val="single" w:sz="4" w:space="1" w:color="auto"/>
        </w:pBdr>
        <w:jc w:val="both"/>
        <w:rPr>
          <w:b/>
          <w:sz w:val="26"/>
          <w:szCs w:val="26"/>
        </w:rPr>
      </w:pPr>
    </w:p>
    <w:p w14:paraId="5007EF94" w14:textId="77777777" w:rsidR="00D85733" w:rsidRDefault="00D85733" w:rsidP="00D85733">
      <w:pPr>
        <w:jc w:val="center"/>
      </w:pPr>
    </w:p>
    <w:p w14:paraId="5B7ED8A8" w14:textId="77777777" w:rsidR="00D85733" w:rsidRPr="006E2AA8" w:rsidRDefault="00D85733" w:rsidP="00D85733">
      <w:pPr>
        <w:pStyle w:val="Zkladntext"/>
        <w:spacing w:after="0"/>
        <w:jc w:val="center"/>
        <w:rPr>
          <w:b/>
          <w:bCs/>
        </w:rPr>
      </w:pPr>
      <w:r w:rsidRPr="006E2AA8">
        <w:rPr>
          <w:b/>
          <w:bCs/>
        </w:rPr>
        <w:t>Článek I.</w:t>
      </w:r>
    </w:p>
    <w:p w14:paraId="2C4A8158" w14:textId="77777777" w:rsidR="00D85733" w:rsidRPr="008D245C" w:rsidRDefault="00D85733" w:rsidP="00D85733">
      <w:pPr>
        <w:pStyle w:val="Zkladntext"/>
        <w:spacing w:after="0"/>
        <w:jc w:val="center"/>
        <w:rPr>
          <w:b/>
          <w:bCs/>
        </w:rPr>
      </w:pPr>
      <w:r w:rsidRPr="008D245C">
        <w:rPr>
          <w:b/>
          <w:bCs/>
        </w:rPr>
        <w:t>Smluvní strany</w:t>
      </w:r>
    </w:p>
    <w:p w14:paraId="4150DE6B" w14:textId="77777777" w:rsidR="00D85733" w:rsidRPr="008D245C" w:rsidRDefault="00D85733" w:rsidP="00D85733">
      <w:pPr>
        <w:pStyle w:val="Zkladntext"/>
        <w:ind w:left="360"/>
        <w:rPr>
          <w:b/>
          <w:bCs/>
        </w:rPr>
      </w:pPr>
      <w:r w:rsidRPr="008D245C">
        <w:rPr>
          <w:b/>
          <w:bCs/>
        </w:rPr>
        <w:t xml:space="preserve"> </w:t>
      </w:r>
    </w:p>
    <w:p w14:paraId="5671735B" w14:textId="77777777" w:rsidR="00D85733" w:rsidRPr="008D245C" w:rsidRDefault="00D85733" w:rsidP="00D85733">
      <w:pPr>
        <w:pStyle w:val="Zkladntext"/>
        <w:ind w:leftChars="150" w:left="360"/>
        <w:rPr>
          <w:b/>
          <w:bCs/>
        </w:rPr>
      </w:pPr>
      <w:r w:rsidRPr="008D245C">
        <w:rPr>
          <w:b/>
          <w:bCs/>
        </w:rPr>
        <w:t>1.</w:t>
      </w:r>
      <w:r w:rsidRPr="008D245C">
        <w:rPr>
          <w:b/>
          <w:bCs/>
        </w:rPr>
        <w:tab/>
        <w:t>Česká republika - Ministerstvo dopravy</w:t>
      </w:r>
    </w:p>
    <w:p w14:paraId="596344A5" w14:textId="77777777" w:rsidR="00D85733" w:rsidRPr="008D245C" w:rsidRDefault="00D85733" w:rsidP="00D85733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 w:rsidRPr="008D245C">
        <w:rPr>
          <w:bCs/>
        </w:rPr>
        <w:t>Sídlo:</w:t>
      </w:r>
      <w:r w:rsidRPr="008D245C">
        <w:rPr>
          <w:bCs/>
        </w:rPr>
        <w:tab/>
        <w:t>Praha 1, nábřeží L. Svobody 1222/12, PSČ 110 15</w:t>
      </w:r>
    </w:p>
    <w:p w14:paraId="3EA4F8EF" w14:textId="77777777" w:rsidR="0025268B" w:rsidRDefault="0025268B" w:rsidP="0025268B">
      <w:pPr>
        <w:pStyle w:val="Zkladntext"/>
        <w:tabs>
          <w:tab w:val="left" w:pos="2700"/>
        </w:tabs>
        <w:spacing w:after="0"/>
        <w:ind w:leftChars="150" w:left="360" w:rightChars="-109" w:right="-262"/>
      </w:pPr>
      <w:r>
        <w:rPr>
          <w:bCs/>
        </w:rPr>
        <w:t>Zastoupené</w:t>
      </w:r>
      <w:r w:rsidRPr="008D245C">
        <w:rPr>
          <w:bCs/>
        </w:rPr>
        <w:t>:</w:t>
      </w:r>
      <w:r w:rsidRPr="008D245C">
        <w:rPr>
          <w:bCs/>
        </w:rPr>
        <w:tab/>
      </w:r>
      <w:r>
        <w:t>Ing. Lukášem Trcalou, ředitelem Odboru financí a ekonomiky</w:t>
      </w:r>
      <w:r w:rsidRPr="00172176">
        <w:t xml:space="preserve"> </w:t>
      </w:r>
    </w:p>
    <w:p w14:paraId="433FCD5E" w14:textId="370ABCCE" w:rsidR="00D85733" w:rsidRPr="008D245C" w:rsidRDefault="00853E1C" w:rsidP="00D85733">
      <w:pPr>
        <w:pStyle w:val="Zkladntext"/>
        <w:tabs>
          <w:tab w:val="left" w:pos="2700"/>
        </w:tabs>
        <w:spacing w:after="0"/>
        <w:ind w:leftChars="150" w:left="360" w:rightChars="-109" w:right="-262"/>
        <w:rPr>
          <w:noProof/>
        </w:rPr>
      </w:pPr>
      <w:r>
        <w:rPr>
          <w:noProof/>
        </w:rPr>
        <w:t>Kontaktní osoba</w:t>
      </w:r>
      <w:r w:rsidR="00D85733" w:rsidRPr="008D245C">
        <w:rPr>
          <w:noProof/>
        </w:rPr>
        <w:t>:</w:t>
      </w:r>
      <w:r w:rsidR="00D85733" w:rsidRPr="008D245C">
        <w:rPr>
          <w:noProof/>
        </w:rPr>
        <w:tab/>
        <w:t>Ing. Michal Němec</w:t>
      </w:r>
      <w:r w:rsidR="00D85733">
        <w:rPr>
          <w:noProof/>
        </w:rPr>
        <w:t>, tel. 225 131 098</w:t>
      </w:r>
      <w:r w:rsidR="00D85733" w:rsidRPr="008D245C">
        <w:rPr>
          <w:noProof/>
        </w:rPr>
        <w:t xml:space="preserve"> </w:t>
      </w:r>
    </w:p>
    <w:p w14:paraId="01B66120" w14:textId="77777777" w:rsidR="00D85733" w:rsidRDefault="00D85733" w:rsidP="00D85733">
      <w:pPr>
        <w:tabs>
          <w:tab w:val="left" w:pos="2700"/>
        </w:tabs>
        <w:ind w:left="360"/>
        <w:rPr>
          <w:noProof/>
        </w:rPr>
      </w:pPr>
      <w:r w:rsidRPr="008D245C">
        <w:rPr>
          <w:noProof/>
        </w:rPr>
        <w:t>IČ</w:t>
      </w:r>
      <w:r w:rsidR="00E04912">
        <w:rPr>
          <w:noProof/>
        </w:rPr>
        <w:t>O</w:t>
      </w:r>
      <w:r w:rsidRPr="008D245C">
        <w:rPr>
          <w:noProof/>
        </w:rPr>
        <w:t>:</w:t>
      </w:r>
      <w:r w:rsidRPr="008D245C">
        <w:rPr>
          <w:noProof/>
        </w:rPr>
        <w:tab/>
        <w:t>66003008</w:t>
      </w:r>
    </w:p>
    <w:p w14:paraId="4CB8B129" w14:textId="77777777" w:rsidR="00D85733" w:rsidRPr="008D245C" w:rsidRDefault="00D85733" w:rsidP="00D85733">
      <w:pPr>
        <w:tabs>
          <w:tab w:val="left" w:pos="2700"/>
        </w:tabs>
        <w:ind w:left="360"/>
        <w:rPr>
          <w:noProof/>
        </w:rPr>
      </w:pPr>
      <w:r>
        <w:rPr>
          <w:noProof/>
        </w:rPr>
        <w:t>DIČ:</w:t>
      </w:r>
      <w:r>
        <w:rPr>
          <w:noProof/>
        </w:rPr>
        <w:tab/>
        <w:t>CZ66003008</w:t>
      </w:r>
    </w:p>
    <w:p w14:paraId="64715600" w14:textId="77777777" w:rsidR="00D85733" w:rsidRPr="008D245C" w:rsidRDefault="00D85733" w:rsidP="00D85733">
      <w:pPr>
        <w:tabs>
          <w:tab w:val="left" w:pos="2700"/>
        </w:tabs>
        <w:ind w:left="360"/>
        <w:rPr>
          <w:noProof/>
        </w:rPr>
      </w:pPr>
      <w:r w:rsidRPr="008D245C">
        <w:rPr>
          <w:noProof/>
        </w:rPr>
        <w:t>Bankovní spojení:</w:t>
      </w:r>
      <w:r w:rsidRPr="008D245C">
        <w:rPr>
          <w:noProof/>
        </w:rPr>
        <w:tab/>
        <w:t>ČNB Praha 1</w:t>
      </w:r>
    </w:p>
    <w:p w14:paraId="6AFD2240" w14:textId="77777777" w:rsidR="00D85733" w:rsidRPr="006E2AA8" w:rsidRDefault="00D85733" w:rsidP="00D85733">
      <w:pPr>
        <w:tabs>
          <w:tab w:val="left" w:pos="2700"/>
        </w:tabs>
        <w:ind w:left="360"/>
        <w:rPr>
          <w:noProof/>
        </w:rPr>
      </w:pPr>
      <w:r w:rsidRPr="006E2AA8">
        <w:rPr>
          <w:noProof/>
        </w:rPr>
        <w:t>Číslo účtu:</w:t>
      </w:r>
      <w:r w:rsidRPr="006E2AA8">
        <w:rPr>
          <w:noProof/>
        </w:rPr>
        <w:tab/>
        <w:t>22027001/0710</w:t>
      </w:r>
    </w:p>
    <w:p w14:paraId="0C17F2CE" w14:textId="77777777" w:rsidR="00D85733" w:rsidRPr="00403FFA" w:rsidRDefault="00D85733" w:rsidP="00D85733">
      <w:pPr>
        <w:tabs>
          <w:tab w:val="left" w:pos="2700"/>
        </w:tabs>
        <w:ind w:left="360"/>
        <w:rPr>
          <w:noProof/>
        </w:rPr>
      </w:pPr>
      <w:r w:rsidRPr="00403FFA">
        <w:rPr>
          <w:noProof/>
        </w:rPr>
        <w:t xml:space="preserve">Datová schránka: </w:t>
      </w:r>
      <w:r>
        <w:rPr>
          <w:noProof/>
        </w:rPr>
        <w:tab/>
      </w:r>
      <w:r w:rsidRPr="00403FFA">
        <w:rPr>
          <w:noProof/>
        </w:rPr>
        <w:t>n75aau3</w:t>
      </w:r>
    </w:p>
    <w:p w14:paraId="0DCA7E90" w14:textId="77777777" w:rsidR="00D85733" w:rsidRDefault="00D85733" w:rsidP="00D85733">
      <w:pPr>
        <w:ind w:leftChars="150" w:left="360"/>
        <w:jc w:val="both"/>
        <w:rPr>
          <w:b/>
        </w:rPr>
      </w:pPr>
      <w:r w:rsidRPr="00B678CE">
        <w:rPr>
          <w:b/>
        </w:rPr>
        <w:t xml:space="preserve"> </w:t>
      </w:r>
    </w:p>
    <w:p w14:paraId="2C6616DB" w14:textId="77777777" w:rsidR="00D85733" w:rsidRDefault="00D85733" w:rsidP="00D85733">
      <w:pPr>
        <w:ind w:leftChars="150" w:left="360"/>
        <w:jc w:val="both"/>
        <w:rPr>
          <w:b/>
        </w:rPr>
      </w:pPr>
      <w:r w:rsidRPr="00B678CE">
        <w:rPr>
          <w:b/>
        </w:rPr>
        <w:t>(dále jen „</w:t>
      </w:r>
      <w:r>
        <w:rPr>
          <w:b/>
        </w:rPr>
        <w:t>Ministerstvo</w:t>
      </w:r>
      <w:r w:rsidRPr="00B678CE">
        <w:rPr>
          <w:b/>
        </w:rPr>
        <w:t>“)</w:t>
      </w:r>
    </w:p>
    <w:p w14:paraId="6387A068" w14:textId="77777777" w:rsidR="00D85733" w:rsidRDefault="00D85733" w:rsidP="00D85733">
      <w:pPr>
        <w:jc w:val="both"/>
        <w:rPr>
          <w:b/>
        </w:rPr>
      </w:pPr>
    </w:p>
    <w:p w14:paraId="65218F3E" w14:textId="77777777" w:rsidR="00D85733" w:rsidRDefault="00D85733" w:rsidP="00D85733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</w:p>
    <w:p w14:paraId="53813914" w14:textId="77777777" w:rsidR="00D85733" w:rsidRPr="00144430" w:rsidRDefault="00D85733" w:rsidP="00D85733">
      <w:pPr>
        <w:pStyle w:val="Zkladntext"/>
        <w:ind w:leftChars="150" w:left="36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="000A1452">
        <w:rPr>
          <w:b/>
          <w:bCs/>
        </w:rPr>
        <w:t>…</w:t>
      </w:r>
    </w:p>
    <w:p w14:paraId="1F77A243" w14:textId="77777777" w:rsidR="00D85733" w:rsidRDefault="00D85733" w:rsidP="00D85733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 w:rsidRPr="006E2AA8">
        <w:rPr>
          <w:bCs/>
        </w:rPr>
        <w:t>Sídlo:</w:t>
      </w:r>
      <w:r w:rsidRPr="006E2AA8">
        <w:rPr>
          <w:bCs/>
        </w:rPr>
        <w:tab/>
      </w:r>
      <w:r w:rsidR="000A1452">
        <w:rPr>
          <w:bCs/>
        </w:rPr>
        <w:t>…</w:t>
      </w:r>
    </w:p>
    <w:p w14:paraId="4B98B0B1" w14:textId="77777777" w:rsidR="00D85733" w:rsidRPr="006E2AA8" w:rsidRDefault="00822E01" w:rsidP="006309B6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>
        <w:rPr>
          <w:bCs/>
        </w:rPr>
        <w:t>Zastoupená</w:t>
      </w:r>
      <w:r w:rsidR="00D85733" w:rsidRPr="006E2AA8">
        <w:rPr>
          <w:bCs/>
        </w:rPr>
        <w:t>:</w:t>
      </w:r>
      <w:r w:rsidR="00D85733" w:rsidRPr="006E2AA8">
        <w:rPr>
          <w:bCs/>
        </w:rPr>
        <w:tab/>
      </w:r>
      <w:r w:rsidR="000A1452">
        <w:rPr>
          <w:bCs/>
        </w:rPr>
        <w:t>…</w:t>
      </w:r>
    </w:p>
    <w:p w14:paraId="3BBF53A9" w14:textId="2E40287F" w:rsidR="00D85733" w:rsidRPr="006E2AA8" w:rsidRDefault="00853E1C" w:rsidP="00D85733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>
        <w:rPr>
          <w:noProof/>
        </w:rPr>
        <w:t>Kontaktní osoba</w:t>
      </w:r>
      <w:r w:rsidR="00D85733" w:rsidRPr="00144430">
        <w:rPr>
          <w:bCs/>
        </w:rPr>
        <w:t>:</w:t>
      </w:r>
      <w:r w:rsidR="00D85733" w:rsidRPr="00144430">
        <w:rPr>
          <w:bCs/>
        </w:rPr>
        <w:tab/>
      </w:r>
      <w:r w:rsidR="000A1452">
        <w:rPr>
          <w:bCs/>
        </w:rPr>
        <w:t>…</w:t>
      </w:r>
    </w:p>
    <w:p w14:paraId="35F960AC" w14:textId="77777777" w:rsidR="000A741A" w:rsidRPr="006E2AA8" w:rsidRDefault="000A741A" w:rsidP="000A741A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 w:rsidRPr="006E2AA8">
        <w:rPr>
          <w:bCs/>
        </w:rPr>
        <w:t>IČ</w:t>
      </w:r>
      <w:r w:rsidR="00E04912">
        <w:rPr>
          <w:bCs/>
        </w:rPr>
        <w:t>O</w:t>
      </w:r>
      <w:r w:rsidRPr="006E2AA8">
        <w:rPr>
          <w:bCs/>
        </w:rPr>
        <w:t xml:space="preserve">: </w:t>
      </w:r>
      <w:r w:rsidRPr="006E2AA8">
        <w:rPr>
          <w:bCs/>
        </w:rPr>
        <w:tab/>
      </w:r>
      <w:r>
        <w:rPr>
          <w:bCs/>
        </w:rPr>
        <w:t>…</w:t>
      </w:r>
    </w:p>
    <w:p w14:paraId="3AFE7E00" w14:textId="77777777" w:rsidR="000A741A" w:rsidRPr="006E2AA8" w:rsidRDefault="000A741A" w:rsidP="000A741A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 w:rsidRPr="006E2AA8">
        <w:rPr>
          <w:bCs/>
        </w:rPr>
        <w:t xml:space="preserve">DIČ: </w:t>
      </w:r>
      <w:r w:rsidRPr="006E2AA8">
        <w:rPr>
          <w:bCs/>
        </w:rPr>
        <w:tab/>
      </w:r>
      <w:r>
        <w:rPr>
          <w:bCs/>
        </w:rPr>
        <w:t>…</w:t>
      </w:r>
    </w:p>
    <w:p w14:paraId="5034A5D5" w14:textId="77777777" w:rsidR="00D85733" w:rsidRPr="006E2AA8" w:rsidRDefault="00D85733" w:rsidP="00D85733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 w:rsidRPr="006E2AA8">
        <w:rPr>
          <w:bCs/>
        </w:rPr>
        <w:t xml:space="preserve">Bankovní spojení: </w:t>
      </w:r>
      <w:r w:rsidRPr="006E2AA8">
        <w:rPr>
          <w:bCs/>
        </w:rPr>
        <w:tab/>
      </w:r>
      <w:r w:rsidR="000A1452">
        <w:rPr>
          <w:bCs/>
        </w:rPr>
        <w:t>…</w:t>
      </w:r>
    </w:p>
    <w:p w14:paraId="0ECAC26F" w14:textId="77777777" w:rsidR="00D85733" w:rsidRPr="006E2AA8" w:rsidRDefault="00D85733" w:rsidP="00D85733">
      <w:pPr>
        <w:pStyle w:val="Zkladntext"/>
        <w:tabs>
          <w:tab w:val="left" w:pos="2700"/>
        </w:tabs>
        <w:spacing w:after="0"/>
        <w:ind w:leftChars="150" w:left="360"/>
        <w:rPr>
          <w:bCs/>
        </w:rPr>
      </w:pPr>
      <w:r w:rsidRPr="006E2AA8">
        <w:rPr>
          <w:bCs/>
        </w:rPr>
        <w:t xml:space="preserve">Číslo účtu: </w:t>
      </w:r>
      <w:r w:rsidRPr="006E2AA8">
        <w:rPr>
          <w:bCs/>
        </w:rPr>
        <w:tab/>
      </w:r>
      <w:r w:rsidR="000A1452">
        <w:rPr>
          <w:bCs/>
        </w:rPr>
        <w:t>…</w:t>
      </w:r>
    </w:p>
    <w:p w14:paraId="1391DEF0" w14:textId="77777777" w:rsidR="000A741A" w:rsidRPr="00403FFA" w:rsidRDefault="000A741A" w:rsidP="000A741A">
      <w:pPr>
        <w:tabs>
          <w:tab w:val="left" w:pos="2700"/>
        </w:tabs>
        <w:ind w:left="360"/>
        <w:rPr>
          <w:noProof/>
        </w:rPr>
      </w:pPr>
      <w:r w:rsidRPr="00403FFA">
        <w:rPr>
          <w:noProof/>
        </w:rPr>
        <w:t xml:space="preserve">Datová schránka: </w:t>
      </w:r>
      <w:r>
        <w:rPr>
          <w:noProof/>
        </w:rPr>
        <w:tab/>
        <w:t>…</w:t>
      </w:r>
    </w:p>
    <w:p w14:paraId="5E226305" w14:textId="77777777" w:rsidR="00D85733" w:rsidRDefault="00D85733" w:rsidP="00D85733">
      <w:pPr>
        <w:jc w:val="both"/>
      </w:pPr>
    </w:p>
    <w:p w14:paraId="683D9BBE" w14:textId="77777777" w:rsidR="00D85733" w:rsidRDefault="00D85733" w:rsidP="00D85733">
      <w:pPr>
        <w:ind w:leftChars="150" w:left="360"/>
        <w:jc w:val="both"/>
        <w:rPr>
          <w:b/>
        </w:rPr>
      </w:pPr>
      <w:r>
        <w:rPr>
          <w:b/>
        </w:rPr>
        <w:t>(dále jen „Dopravce“)</w:t>
      </w:r>
    </w:p>
    <w:p w14:paraId="1E8CBB91" w14:textId="77777777" w:rsidR="00D85733" w:rsidRDefault="00D85733" w:rsidP="00D85733">
      <w:pPr>
        <w:jc w:val="both"/>
        <w:rPr>
          <w:b/>
        </w:rPr>
      </w:pPr>
    </w:p>
    <w:p w14:paraId="1804609A" w14:textId="77777777" w:rsidR="00267403" w:rsidRDefault="00267403" w:rsidP="00D85733">
      <w:pPr>
        <w:jc w:val="center"/>
        <w:rPr>
          <w:b/>
        </w:rPr>
      </w:pPr>
    </w:p>
    <w:p w14:paraId="7AFAACE3" w14:textId="77777777" w:rsidR="00D85733" w:rsidRPr="00C10E42" w:rsidRDefault="00D85733" w:rsidP="00D85733">
      <w:pPr>
        <w:jc w:val="center"/>
        <w:rPr>
          <w:b/>
        </w:rPr>
      </w:pPr>
      <w:r w:rsidRPr="00C10E42">
        <w:rPr>
          <w:b/>
        </w:rPr>
        <w:t>Článek II</w:t>
      </w:r>
      <w:r w:rsidR="005E4CF4">
        <w:rPr>
          <w:b/>
        </w:rPr>
        <w:t>.</w:t>
      </w:r>
    </w:p>
    <w:p w14:paraId="7DC78276" w14:textId="77777777" w:rsidR="00D85733" w:rsidRPr="00C10E42" w:rsidRDefault="00D85733" w:rsidP="00D85733">
      <w:pPr>
        <w:jc w:val="center"/>
        <w:rPr>
          <w:b/>
        </w:rPr>
      </w:pPr>
      <w:r w:rsidRPr="00C10E42">
        <w:rPr>
          <w:b/>
        </w:rPr>
        <w:t>Všeobecné ustanovení</w:t>
      </w:r>
    </w:p>
    <w:p w14:paraId="69E4EEC3" w14:textId="77777777" w:rsidR="00D85733" w:rsidRPr="00C10E42" w:rsidRDefault="00D85733" w:rsidP="00D85733">
      <w:pPr>
        <w:jc w:val="both"/>
      </w:pPr>
    </w:p>
    <w:p w14:paraId="0EA89F76" w14:textId="26D91FBA" w:rsidR="00D85733" w:rsidRPr="00C10E42" w:rsidRDefault="00D85733" w:rsidP="00D85733">
      <w:pPr>
        <w:jc w:val="both"/>
      </w:pPr>
      <w:r w:rsidRPr="00C10E42">
        <w:t xml:space="preserve">Pokud není ve smlouvě ujednáno jinak, platí v obchodních vztazích pro obě </w:t>
      </w:r>
      <w:r>
        <w:t xml:space="preserve">smluvní </w:t>
      </w:r>
      <w:r w:rsidRPr="00C10E42">
        <w:t xml:space="preserve">strany příslušná ustanovení </w:t>
      </w:r>
      <w:r w:rsidR="000A1452">
        <w:t>Občanského</w:t>
      </w:r>
      <w:r w:rsidR="000A1452" w:rsidRPr="00C10E42">
        <w:t xml:space="preserve"> </w:t>
      </w:r>
      <w:r w:rsidRPr="00C10E42">
        <w:t>zákoníku a Nařízení Evropského parlamentu a Rady (ES) č.</w:t>
      </w:r>
      <w:r>
        <w:t> </w:t>
      </w:r>
      <w:r w:rsidRPr="00C10E42">
        <w:t>1370/2007 ze dne 23. října 2007 o veřejných službách v přepravě cestujících po železnici a silnici a o zrušení nařízení Rady (EHS) č. 1191/69 a č. 1107/</w:t>
      </w:r>
      <w:r w:rsidRPr="00897BF0">
        <w:t>70</w:t>
      </w:r>
      <w:r w:rsidR="006A7C7B">
        <w:t>, ve znění pozdějších předpisů</w:t>
      </w:r>
      <w:r w:rsidRPr="00897BF0">
        <w:t xml:space="preserve">. Postup </w:t>
      </w:r>
      <w:r>
        <w:t>D</w:t>
      </w:r>
      <w:r w:rsidRPr="00897BF0">
        <w:t>opravc</w:t>
      </w:r>
      <w:r>
        <w:t>e</w:t>
      </w:r>
      <w:r w:rsidRPr="00897BF0">
        <w:t xml:space="preserve"> při uplatňování kompenzace slev </w:t>
      </w:r>
      <w:r w:rsidR="000617EF">
        <w:t xml:space="preserve">ve věcech neupravených přímo touto smlouvou </w:t>
      </w:r>
      <w:r w:rsidRPr="00897BF0">
        <w:t xml:space="preserve">stanoví Metodický pokyn pro kompenzace slev </w:t>
      </w:r>
      <w:r w:rsidR="00061095">
        <w:t xml:space="preserve">z </w:t>
      </w:r>
      <w:r w:rsidRPr="00897BF0">
        <w:t>jízdného ve veřejné osobní dopravě</w:t>
      </w:r>
      <w:r w:rsidRPr="00A8310C">
        <w:t xml:space="preserve"> </w:t>
      </w:r>
      <w:r>
        <w:t xml:space="preserve">vydaný Ministerstvem a zveřejněný na jeho internetových </w:t>
      </w:r>
      <w:r w:rsidRPr="00E47B0D">
        <w:t>stránkách</w:t>
      </w:r>
      <w:r w:rsidR="000617EF">
        <w:t xml:space="preserve">, který je současně </w:t>
      </w:r>
      <w:r w:rsidR="00662454">
        <w:t xml:space="preserve">Přílohou </w:t>
      </w:r>
      <w:r w:rsidR="000617EF">
        <w:t xml:space="preserve">č. </w:t>
      </w:r>
      <w:r w:rsidR="000E1749">
        <w:t xml:space="preserve">3 </w:t>
      </w:r>
      <w:r w:rsidR="000617EF">
        <w:t>této smlouvy</w:t>
      </w:r>
      <w:r w:rsidR="00F54D2D">
        <w:t xml:space="preserve"> (dále jen „Metodický pokyn“)</w:t>
      </w:r>
      <w:r w:rsidRPr="00E47B0D">
        <w:t>.</w:t>
      </w:r>
    </w:p>
    <w:p w14:paraId="75FA2591" w14:textId="77777777" w:rsidR="00D85733" w:rsidRPr="00345161" w:rsidRDefault="00D85733" w:rsidP="00D85733">
      <w:pPr>
        <w:jc w:val="both"/>
        <w:rPr>
          <w:b/>
        </w:rPr>
      </w:pPr>
    </w:p>
    <w:p w14:paraId="18801241" w14:textId="77777777" w:rsidR="00D85733" w:rsidRPr="00345161" w:rsidRDefault="00D85733" w:rsidP="00D85733">
      <w:pPr>
        <w:jc w:val="both"/>
        <w:rPr>
          <w:b/>
        </w:rPr>
      </w:pPr>
    </w:p>
    <w:p w14:paraId="044914B8" w14:textId="77777777" w:rsidR="00D85733" w:rsidRPr="00C907C8" w:rsidRDefault="00D85733" w:rsidP="00D85733">
      <w:pPr>
        <w:pStyle w:val="Zkladntext"/>
        <w:spacing w:after="0"/>
        <w:jc w:val="center"/>
        <w:rPr>
          <w:b/>
          <w:bCs/>
        </w:rPr>
      </w:pPr>
      <w:r w:rsidRPr="00C907C8">
        <w:rPr>
          <w:b/>
          <w:bCs/>
        </w:rPr>
        <w:t>Článek I</w:t>
      </w:r>
      <w:r>
        <w:rPr>
          <w:b/>
          <w:bCs/>
        </w:rPr>
        <w:t>II</w:t>
      </w:r>
      <w:r w:rsidRPr="00C907C8">
        <w:rPr>
          <w:b/>
          <w:bCs/>
        </w:rPr>
        <w:t>.</w:t>
      </w:r>
    </w:p>
    <w:p w14:paraId="02AC86CD" w14:textId="77777777" w:rsidR="00D85733" w:rsidRPr="00C907C8" w:rsidRDefault="00D85733" w:rsidP="00D85733">
      <w:pPr>
        <w:pStyle w:val="Zkladntext"/>
        <w:spacing w:after="0"/>
        <w:jc w:val="center"/>
        <w:rPr>
          <w:b/>
          <w:bCs/>
        </w:rPr>
      </w:pPr>
      <w:r w:rsidRPr="00C907C8">
        <w:rPr>
          <w:b/>
          <w:bCs/>
        </w:rPr>
        <w:t>Účel smlouvy</w:t>
      </w:r>
    </w:p>
    <w:p w14:paraId="2FBC238A" w14:textId="77777777" w:rsidR="00D85733" w:rsidRDefault="00D85733" w:rsidP="00D85733">
      <w:pPr>
        <w:jc w:val="center"/>
        <w:rPr>
          <w:b/>
        </w:rPr>
      </w:pPr>
    </w:p>
    <w:p w14:paraId="5FAC4065" w14:textId="4F17EBEF" w:rsidR="00D85733" w:rsidRPr="00C10E42" w:rsidRDefault="00D85733" w:rsidP="007B5B1E">
      <w:pPr>
        <w:numPr>
          <w:ilvl w:val="0"/>
          <w:numId w:val="7"/>
        </w:numPr>
        <w:tabs>
          <w:tab w:val="left" w:pos="3420"/>
        </w:tabs>
        <w:spacing w:before="120"/>
        <w:jc w:val="both"/>
      </w:pPr>
      <w:r>
        <w:t xml:space="preserve">Účelem této smlouvy je zajištění kompenzace ztráty na jízdném vzniklé Dopravci při </w:t>
      </w:r>
      <w:r w:rsidR="007B5B1E" w:rsidRPr="007B5B1E">
        <w:t xml:space="preserve">povinném </w:t>
      </w:r>
      <w:r>
        <w:t>poskytování slev z jízdného a bezplatné přepravy (dále jen „slevy</w:t>
      </w:r>
      <w:r w:rsidR="00B565AD">
        <w:t xml:space="preserve"> z </w:t>
      </w:r>
      <w:r w:rsidR="007A4C83">
        <w:t>jízdného</w:t>
      </w:r>
      <w:r>
        <w:t xml:space="preserve">“) ve veřejné osobní dopravě </w:t>
      </w:r>
      <w:r w:rsidR="00FD0D40" w:rsidRPr="00C10E42">
        <w:t xml:space="preserve">v souladu s Výměrem </w:t>
      </w:r>
      <w:r w:rsidR="00FD0D40">
        <w:t>Ministerstva financí</w:t>
      </w:r>
      <w:r w:rsidR="00FD0D40" w:rsidRPr="00C10E42">
        <w:t>, kterým se vydává seznam zboží s regulovanými cenami, v platném znění (dále jen „Výměr MF“)</w:t>
      </w:r>
      <w:r w:rsidR="00FD0D40">
        <w:t xml:space="preserve"> </w:t>
      </w:r>
      <w:r w:rsidR="00B565AD">
        <w:t>a úprava práv a </w:t>
      </w:r>
      <w:r w:rsidRPr="00C10E42">
        <w:t xml:space="preserve">povinností vyplývajících z tohoto smluvního vztahu mezi </w:t>
      </w:r>
      <w:r>
        <w:t>Ministerstv</w:t>
      </w:r>
      <w:r w:rsidRPr="00C10E42">
        <w:t xml:space="preserve">em a </w:t>
      </w:r>
      <w:r>
        <w:t>Dopravce</w:t>
      </w:r>
      <w:r w:rsidRPr="00C10E42">
        <w:t>m.</w:t>
      </w:r>
    </w:p>
    <w:p w14:paraId="6E2F5CAC" w14:textId="77777777" w:rsidR="00D85733" w:rsidRPr="00C10E42" w:rsidRDefault="00D85733" w:rsidP="00D85733">
      <w:pPr>
        <w:numPr>
          <w:ilvl w:val="0"/>
          <w:numId w:val="7"/>
        </w:numPr>
        <w:tabs>
          <w:tab w:val="left" w:pos="3420"/>
        </w:tabs>
        <w:spacing w:before="120"/>
        <w:jc w:val="both"/>
      </w:pPr>
      <w:r w:rsidRPr="00C10E42">
        <w:t xml:space="preserve">Kompenzace je prováděna formou </w:t>
      </w:r>
      <w:r>
        <w:t xml:space="preserve">finanční </w:t>
      </w:r>
      <w:r w:rsidRPr="00C10E42">
        <w:t>úhrady.</w:t>
      </w:r>
    </w:p>
    <w:p w14:paraId="2A032799" w14:textId="77777777" w:rsidR="00D85733" w:rsidRPr="00C10E42" w:rsidRDefault="00D85733" w:rsidP="00D85733">
      <w:pPr>
        <w:pStyle w:val="Zkladntext"/>
        <w:jc w:val="center"/>
        <w:rPr>
          <w:b/>
          <w:bCs/>
        </w:rPr>
      </w:pPr>
    </w:p>
    <w:p w14:paraId="5612EED3" w14:textId="77777777" w:rsidR="00D85733" w:rsidRPr="006E2AA8" w:rsidRDefault="00D85733" w:rsidP="00D85733">
      <w:pPr>
        <w:pStyle w:val="Zkladntext"/>
        <w:spacing w:after="0"/>
        <w:jc w:val="center"/>
        <w:rPr>
          <w:b/>
          <w:bCs/>
        </w:rPr>
      </w:pPr>
      <w:r w:rsidRPr="006E2AA8">
        <w:rPr>
          <w:b/>
          <w:bCs/>
        </w:rPr>
        <w:t>Článek I</w:t>
      </w:r>
      <w:r>
        <w:rPr>
          <w:b/>
          <w:bCs/>
        </w:rPr>
        <w:t>V</w:t>
      </w:r>
      <w:r w:rsidRPr="006E2AA8">
        <w:rPr>
          <w:b/>
          <w:bCs/>
        </w:rPr>
        <w:t>.</w:t>
      </w:r>
    </w:p>
    <w:p w14:paraId="2F60F11D" w14:textId="77777777" w:rsidR="00D85733" w:rsidRDefault="00D85733" w:rsidP="00D85733">
      <w:pPr>
        <w:pStyle w:val="Zkladntext"/>
        <w:spacing w:after="0"/>
        <w:jc w:val="center"/>
        <w:rPr>
          <w:b/>
          <w:bCs/>
        </w:rPr>
      </w:pPr>
      <w:r w:rsidRPr="006E2AA8">
        <w:rPr>
          <w:b/>
          <w:bCs/>
        </w:rPr>
        <w:t>Předmět smlouvy</w:t>
      </w:r>
    </w:p>
    <w:p w14:paraId="350EC4EB" w14:textId="77777777" w:rsidR="00D85733" w:rsidRPr="006E2AA8" w:rsidRDefault="00D85733" w:rsidP="00D85733">
      <w:pPr>
        <w:pStyle w:val="Zkladntext"/>
        <w:spacing w:after="0"/>
        <w:jc w:val="center"/>
        <w:rPr>
          <w:b/>
          <w:bCs/>
        </w:rPr>
      </w:pPr>
    </w:p>
    <w:p w14:paraId="189196BE" w14:textId="72A2ECF9" w:rsidR="00731B97" w:rsidRDefault="00D85733" w:rsidP="00D85733">
      <w:pPr>
        <w:numPr>
          <w:ilvl w:val="0"/>
          <w:numId w:val="8"/>
        </w:numPr>
        <w:tabs>
          <w:tab w:val="left" w:pos="3420"/>
        </w:tabs>
        <w:spacing w:before="120"/>
        <w:jc w:val="both"/>
      </w:pPr>
      <w:r>
        <w:t xml:space="preserve">Předmětem této </w:t>
      </w:r>
      <w:r w:rsidRPr="00C10E42">
        <w:t xml:space="preserve">smlouvy je povinnost </w:t>
      </w:r>
      <w:r>
        <w:t>Dopravce</w:t>
      </w:r>
      <w:r w:rsidRPr="00C10E42">
        <w:t xml:space="preserve"> poskytovat slevy z jízdného </w:t>
      </w:r>
      <w:r w:rsidR="00FD0D40">
        <w:t>dle odstavce 1 článku III. této smlouvy</w:t>
      </w:r>
      <w:r>
        <w:t xml:space="preserve"> a</w:t>
      </w:r>
      <w:r w:rsidRPr="002F1718">
        <w:t xml:space="preserve"> </w:t>
      </w:r>
      <w:r w:rsidRPr="002128D5">
        <w:t>z</w:t>
      </w:r>
      <w:r>
        <w:t>á</w:t>
      </w:r>
      <w:r w:rsidRPr="002128D5">
        <w:t>vaz</w:t>
      </w:r>
      <w:r>
        <w:t>ek</w:t>
      </w:r>
      <w:r w:rsidRPr="002128D5">
        <w:t xml:space="preserve"> </w:t>
      </w:r>
      <w:r>
        <w:t xml:space="preserve">Ministerstva </w:t>
      </w:r>
      <w:r w:rsidRPr="002128D5">
        <w:t xml:space="preserve">uhradit </w:t>
      </w:r>
      <w:r>
        <w:t>Dopravci</w:t>
      </w:r>
      <w:r w:rsidRPr="002128D5">
        <w:t xml:space="preserve"> ztrátu vzniklou v souvislosti s poskytováváním </w:t>
      </w:r>
      <w:r>
        <w:t>slev</w:t>
      </w:r>
      <w:r w:rsidRPr="002128D5">
        <w:t xml:space="preserve"> </w:t>
      </w:r>
      <w:r w:rsidR="007A4C83">
        <w:t xml:space="preserve">z jízdného </w:t>
      </w:r>
      <w:r w:rsidRPr="002128D5">
        <w:t>za podmínek stanovených touto smlouvou.</w:t>
      </w:r>
    </w:p>
    <w:p w14:paraId="44FFFBD1" w14:textId="44C3AA98" w:rsidR="00731B97" w:rsidRPr="00BC4FE2" w:rsidRDefault="001B1A87" w:rsidP="001B1A87">
      <w:pPr>
        <w:numPr>
          <w:ilvl w:val="0"/>
          <w:numId w:val="8"/>
        </w:numPr>
        <w:tabs>
          <w:tab w:val="left" w:pos="3420"/>
        </w:tabs>
        <w:spacing w:before="120"/>
        <w:jc w:val="both"/>
      </w:pPr>
      <w:r w:rsidRPr="001B1A87">
        <w:t>Slevy z jízdného zavedené Výměrem MF č. 02/2018, kterým se vydává seznam zboží s regulovanými cenami (tedy sleva pro cestující ve věku od 6 do 18 let, žáky a studenty ve věku od 18 do 26 let a cestující starší 65 let), bezplatná přeprava zavedená Výměrem MF č. 03/2022, kterým se vydává seznam zboží s regulovanými cenami (bezplatná přeprava pro osoby, které opustily Ukrajinu v souvislosti s probíhající vojenskou invazí Ruské federace na Ukrajinu) a  sleva z jízdného zavedená Výměrem MF č. 05/2022, kterým se vydává seznam zboží s regulovanými cenami (tedy sleva pro osoby invalidní ve třetím stupni) jsou kompenzovány na všech linkách a spojích provozovaných Dopravcem, na které se vztahuje pov</w:t>
      </w:r>
      <w:r>
        <w:t>innost uvedené slevy poskytovat</w:t>
      </w:r>
      <w:r w:rsidR="00731B97" w:rsidRPr="00BC4FE2">
        <w:t>.</w:t>
      </w:r>
    </w:p>
    <w:p w14:paraId="12A54DFB" w14:textId="213E5FA0" w:rsidR="00D85733" w:rsidRDefault="00731B97" w:rsidP="007B5B1E">
      <w:pPr>
        <w:numPr>
          <w:ilvl w:val="0"/>
          <w:numId w:val="8"/>
        </w:numPr>
        <w:tabs>
          <w:tab w:val="left" w:pos="3420"/>
        </w:tabs>
        <w:spacing w:before="120"/>
        <w:jc w:val="both"/>
      </w:pPr>
      <w:r w:rsidRPr="00BC4FE2">
        <w:t xml:space="preserve">Ostatní </w:t>
      </w:r>
      <w:r w:rsidR="007B5B1E" w:rsidRPr="007B5B1E">
        <w:t>povinné</w:t>
      </w:r>
      <w:r w:rsidR="007B5B1E">
        <w:t xml:space="preserve"> </w:t>
      </w:r>
      <w:r w:rsidRPr="00BC4FE2">
        <w:t>slevy z jízdného, které nejsou uvedeny v předchozím odstavci tohoto článku, jsou kompenzovány pouze na souboru linek a spojů, sloužících k provozování veřejné linkové dopravy, nezařazených do závazku veřejné služby u žádného objednatele v České republice.</w:t>
      </w:r>
    </w:p>
    <w:p w14:paraId="6AAD4B28" w14:textId="4DFAF8EC" w:rsidR="00D85733" w:rsidRPr="00AB2325" w:rsidRDefault="00D85733" w:rsidP="00D85733">
      <w:pPr>
        <w:numPr>
          <w:ilvl w:val="0"/>
          <w:numId w:val="8"/>
        </w:numPr>
        <w:tabs>
          <w:tab w:val="left" w:pos="3420"/>
        </w:tabs>
        <w:spacing w:before="120"/>
        <w:jc w:val="both"/>
      </w:pPr>
      <w:r w:rsidRPr="00AB2325">
        <w:t>Soubor spojů dle předchozího odstavce vychází z platných jízdních řádů a je uveden v Příloze č.</w:t>
      </w:r>
      <w:r>
        <w:t> </w:t>
      </w:r>
      <w:r w:rsidRPr="00AB2325">
        <w:t>1, která je nedílnou součástí této smlouvy.</w:t>
      </w:r>
      <w:r w:rsidR="00731B97" w:rsidRPr="00731B97">
        <w:t xml:space="preserve"> </w:t>
      </w:r>
      <w:r w:rsidR="00731B97">
        <w:t xml:space="preserve">V případě, že </w:t>
      </w:r>
      <w:r w:rsidR="00F54D2D">
        <w:t xml:space="preserve">Dopravce </w:t>
      </w:r>
      <w:r w:rsidR="00731B97">
        <w:t xml:space="preserve">provozuje pouze spoje zařazené do </w:t>
      </w:r>
      <w:r w:rsidR="00731B97" w:rsidRPr="00ED51E8">
        <w:t>závazku veřejné služby</w:t>
      </w:r>
      <w:r w:rsidR="00731B97">
        <w:t xml:space="preserve">, </w:t>
      </w:r>
      <w:r w:rsidR="00F54D2D">
        <w:t>zůstává</w:t>
      </w:r>
      <w:r w:rsidR="001706BB">
        <w:t xml:space="preserve"> </w:t>
      </w:r>
      <w:r w:rsidR="00F54D2D">
        <w:t xml:space="preserve">Příloha </w:t>
      </w:r>
      <w:r w:rsidR="00731B97">
        <w:t xml:space="preserve">č. 1 </w:t>
      </w:r>
      <w:r w:rsidR="00F54D2D">
        <w:t>nevyplněna</w:t>
      </w:r>
      <w:r w:rsidR="00731B97">
        <w:t>.</w:t>
      </w:r>
    </w:p>
    <w:p w14:paraId="1529277C" w14:textId="77777777" w:rsidR="00D85733" w:rsidRDefault="00D85733" w:rsidP="00D85733">
      <w:pPr>
        <w:numPr>
          <w:ilvl w:val="0"/>
          <w:numId w:val="8"/>
        </w:numPr>
        <w:tabs>
          <w:tab w:val="left" w:pos="360"/>
          <w:tab w:val="left" w:pos="3420"/>
        </w:tabs>
        <w:spacing w:before="120"/>
        <w:jc w:val="both"/>
      </w:pPr>
      <w:r>
        <w:t>Provozování veřejné drážní osobní dopravy a úhrada kompenzací podle této smlouvy j</w:t>
      </w:r>
      <w:r w:rsidR="00967ED4">
        <w:t>sou</w:t>
      </w:r>
      <w:r>
        <w:t xml:space="preserve"> vázán</w:t>
      </w:r>
      <w:r w:rsidR="00967ED4">
        <w:t>y</w:t>
      </w:r>
      <w:r>
        <w:t xml:space="preserve"> výhradně na spoje a jejich části na území České republiky, které podléhají </w:t>
      </w:r>
      <w:r w:rsidR="002536B8">
        <w:t>povinnosti Dopravce poskytovat slevy z jízdného v souladu s odstavcem 1 tohoto článku</w:t>
      </w:r>
      <w:r>
        <w:t>.</w:t>
      </w:r>
    </w:p>
    <w:p w14:paraId="66DC6D60" w14:textId="77777777" w:rsidR="00D85733" w:rsidRDefault="00D85733" w:rsidP="00D85733">
      <w:pPr>
        <w:tabs>
          <w:tab w:val="left" w:pos="360"/>
        </w:tabs>
        <w:spacing w:before="120"/>
        <w:ind w:left="360" w:hanging="360"/>
        <w:jc w:val="both"/>
      </w:pPr>
    </w:p>
    <w:p w14:paraId="315CF7F5" w14:textId="77777777" w:rsidR="00D85733" w:rsidRPr="00E33C8A" w:rsidRDefault="00D85733" w:rsidP="00D85733">
      <w:pPr>
        <w:pStyle w:val="Zkladntext"/>
        <w:keepNext/>
        <w:spacing w:after="0"/>
        <w:jc w:val="center"/>
        <w:rPr>
          <w:b/>
          <w:bCs/>
        </w:rPr>
      </w:pPr>
      <w:r>
        <w:rPr>
          <w:b/>
          <w:bCs/>
        </w:rPr>
        <w:t>Článek V</w:t>
      </w:r>
      <w:r w:rsidRPr="00E33C8A">
        <w:rPr>
          <w:b/>
          <w:bCs/>
        </w:rPr>
        <w:t>.</w:t>
      </w:r>
    </w:p>
    <w:p w14:paraId="56A1440D" w14:textId="77777777" w:rsidR="00D85733" w:rsidRPr="00E33C8A" w:rsidRDefault="00D85733" w:rsidP="00D85733">
      <w:pPr>
        <w:pStyle w:val="Zkladntext"/>
        <w:keepNext/>
        <w:spacing w:after="0"/>
        <w:jc w:val="center"/>
        <w:rPr>
          <w:b/>
          <w:bCs/>
        </w:rPr>
      </w:pPr>
      <w:r w:rsidRPr="00E33C8A">
        <w:rPr>
          <w:b/>
          <w:bCs/>
        </w:rPr>
        <w:t xml:space="preserve">Výpočet ztráty vzniklé poskytováním </w:t>
      </w:r>
      <w:r>
        <w:rPr>
          <w:b/>
          <w:bCs/>
        </w:rPr>
        <w:t>slev</w:t>
      </w:r>
      <w:r w:rsidR="007A4C83">
        <w:rPr>
          <w:b/>
          <w:bCs/>
        </w:rPr>
        <w:t xml:space="preserve"> z jízdného</w:t>
      </w:r>
    </w:p>
    <w:p w14:paraId="03BC7C98" w14:textId="77777777" w:rsidR="00D85733" w:rsidRPr="00980E12" w:rsidRDefault="00D85733" w:rsidP="00D85733">
      <w:pPr>
        <w:keepNext/>
        <w:tabs>
          <w:tab w:val="left" w:pos="360"/>
        </w:tabs>
        <w:spacing w:before="120"/>
        <w:ind w:left="360" w:hanging="360"/>
        <w:jc w:val="center"/>
        <w:rPr>
          <w:b/>
        </w:rPr>
      </w:pPr>
    </w:p>
    <w:p w14:paraId="71048CD6" w14:textId="2F127FF8" w:rsidR="00D85733" w:rsidRDefault="00D85733" w:rsidP="00CC3E34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F0380F">
        <w:t>Dopravce vyčíslí ztrátu z jízdného na základě záznamů o prodaných jízdenkách z elektronických odbavovacích zařízení prostřednictvím aplikace CISnet společnosti CHAPS spol. s</w:t>
      </w:r>
      <w:r>
        <w:t>.</w:t>
      </w:r>
      <w:r w:rsidRPr="00F0380F">
        <w:t xml:space="preserve">r.o., </w:t>
      </w:r>
      <w:r w:rsidR="00967ED4">
        <w:t>IČ</w:t>
      </w:r>
      <w:r w:rsidR="001707E3">
        <w:t>O</w:t>
      </w:r>
      <w:r w:rsidR="00967ED4">
        <w:t xml:space="preserve">: </w:t>
      </w:r>
      <w:r w:rsidR="00CC3E34" w:rsidRPr="00CC3E34">
        <w:t>47547022</w:t>
      </w:r>
      <w:r w:rsidR="00967ED4">
        <w:t xml:space="preserve">, se sídlem </w:t>
      </w:r>
      <w:r w:rsidRPr="00F0380F">
        <w:t>Bráfova 21, 616 00 Brno, a to elektronicky ve formátu odpovídajícím (věcně i obsahově) Příloze č. 1 Metodického pokynu.</w:t>
      </w:r>
      <w:r w:rsidR="00E43C31" w:rsidRPr="00E43C31">
        <w:t xml:space="preserve"> </w:t>
      </w:r>
      <w:r w:rsidR="00E43C31" w:rsidRPr="00065AF9">
        <w:t xml:space="preserve">Pokud Dopravce nevydává jízdenky elektronicky, vyčíslí ztrátu v souladu s níže uvedenými ustanoveními na základě záznamů o prodaných jízdenkách podložených inventarizací </w:t>
      </w:r>
      <w:r w:rsidR="007660F3">
        <w:t>jízdenek</w:t>
      </w:r>
      <w:r w:rsidR="00E43C31" w:rsidRPr="00065AF9">
        <w:t>.</w:t>
      </w:r>
    </w:p>
    <w:p w14:paraId="569BE1BB" w14:textId="3805E6FA" w:rsidR="00D85733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Do ztráty smí být </w:t>
      </w:r>
      <w:r w:rsidR="00AA02FC">
        <w:t>na linkách</w:t>
      </w:r>
      <w:r w:rsidR="00AA02FC" w:rsidRPr="00C04CBD">
        <w:t xml:space="preserve"> </w:t>
      </w:r>
      <w:r w:rsidR="00AA02FC">
        <w:t xml:space="preserve">a spojích, které nejsou uvedeny v Příloze č. 1 této smlouvy, </w:t>
      </w:r>
      <w:r>
        <w:t xml:space="preserve">započteny </w:t>
      </w:r>
      <w:r w:rsidR="00AA02FC">
        <w:t xml:space="preserve">pouze </w:t>
      </w:r>
      <w:r>
        <w:t xml:space="preserve">ztráty </w:t>
      </w:r>
      <w:r w:rsidR="00AA02FC">
        <w:t xml:space="preserve">ze slev </w:t>
      </w:r>
      <w:r w:rsidR="00AA02FC" w:rsidRPr="00BC4FE2">
        <w:t>uvedených v odstavci 2 článku IV. této smlouvy.</w:t>
      </w:r>
    </w:p>
    <w:p w14:paraId="352FA3AB" w14:textId="557ADF2F" w:rsidR="00D85733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0D1588">
        <w:t>Do ztráty nesmí být započteny ztráty, které byly Dopravci kompenzovány jiným subjektem</w:t>
      </w:r>
      <w:r>
        <w:t>.</w:t>
      </w:r>
    </w:p>
    <w:p w14:paraId="7FA69DB3" w14:textId="77777777" w:rsidR="00D85733" w:rsidRPr="009A47FA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9A47FA">
        <w:lastRenderedPageBreak/>
        <w:t xml:space="preserve">Dopravce vypočte ztrátu za poskytnuté slevy </w:t>
      </w:r>
      <w:r w:rsidR="007A4C83">
        <w:t xml:space="preserve">z jízdného </w:t>
      </w:r>
      <w:r w:rsidRPr="009A47FA">
        <w:t xml:space="preserve">jako rozdíl mezi cenou jízdenky </w:t>
      </w:r>
      <w:r>
        <w:t xml:space="preserve">ve výši </w:t>
      </w:r>
      <w:r w:rsidRPr="009A47FA">
        <w:t xml:space="preserve">plného (obyčejného) jízdného vyhlášeného Dopravcem a cenou jízdenky se slevou </w:t>
      </w:r>
      <w:r w:rsidR="007A4C83">
        <w:t xml:space="preserve">z jízdného </w:t>
      </w:r>
      <w:r w:rsidRPr="009A47FA">
        <w:t>ve výši nařízené Výměrem MF.</w:t>
      </w:r>
    </w:p>
    <w:p w14:paraId="35FCE047" w14:textId="44842E1D" w:rsidR="00D85733" w:rsidRPr="009A47FA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9A47FA">
        <w:t xml:space="preserve">Poskytuje-li </w:t>
      </w:r>
      <w:r>
        <w:t>D</w:t>
      </w:r>
      <w:r w:rsidRPr="009A47FA">
        <w:t xml:space="preserve">opravce namísto z plného (obyčejného) jízdného slevu z jízdného nižšího, zahrnujícího tzv. </w:t>
      </w:r>
      <w:r w:rsidR="00D31433" w:rsidRPr="009A47FA">
        <w:t>komerční slevu, základ</w:t>
      </w:r>
      <w:r w:rsidR="00D31433">
        <w:t>em</w:t>
      </w:r>
      <w:r w:rsidR="00D31433" w:rsidRPr="009A47FA">
        <w:t xml:space="preserve"> pro výpočet kompenzace</w:t>
      </w:r>
      <w:r w:rsidR="00D31433">
        <w:t xml:space="preserve"> je</w:t>
      </w:r>
      <w:r w:rsidR="00D31433" w:rsidRPr="009A47FA">
        <w:t xml:space="preserve"> toto plnocenné jízdné </w:t>
      </w:r>
      <w:r w:rsidR="00D31433">
        <w:t>snížené o tuto komerční slevu, resp. cena jízdného v rámci příslušné obchodní nabídky pro cestujícího, který nemá nárok na státem stanovenou slevu</w:t>
      </w:r>
      <w:r w:rsidRPr="009A47FA">
        <w:t>.</w:t>
      </w:r>
    </w:p>
    <w:p w14:paraId="4134CE32" w14:textId="1CFD035A" w:rsidR="00D85733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Výši kompenzace Dopravce vyčíslí jako součet ztrát z prodaných jízdenek vypočítaných podle odstavce </w:t>
      </w:r>
      <w:r w:rsidR="00FF7B6D">
        <w:t>4</w:t>
      </w:r>
      <w:r w:rsidR="00FF7B6D" w:rsidRPr="002B0CA6">
        <w:t xml:space="preserve"> </w:t>
      </w:r>
      <w:r w:rsidRPr="002B0CA6">
        <w:t xml:space="preserve">a </w:t>
      </w:r>
      <w:r w:rsidR="00FF7B6D">
        <w:t xml:space="preserve">5 </w:t>
      </w:r>
      <w:r>
        <w:t xml:space="preserve">tohoto článku, a to v daném kalendářním měsíci. Ztráta z jízdenek </w:t>
      </w:r>
      <w:r w:rsidR="0053713A">
        <w:t xml:space="preserve">nebo jejich nevyužitých částí </w:t>
      </w:r>
      <w:r>
        <w:t>vrácených v tomto období se od takto vyčíslené kompenzace odečítá.</w:t>
      </w:r>
    </w:p>
    <w:p w14:paraId="21D73C2B" w14:textId="77777777" w:rsidR="00D85733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Kompenzovány jsou pouze slevy </w:t>
      </w:r>
      <w:r w:rsidR="007A4C83">
        <w:t xml:space="preserve">z jízdného </w:t>
      </w:r>
      <w:r>
        <w:t xml:space="preserve">nařízené Výměrem MF, na které má cestující nárok dle podmínek stanovených Výměrem MF. Poskytne-li Dopravce cestujícímu slevu </w:t>
      </w:r>
      <w:r w:rsidR="007A4C83">
        <w:t xml:space="preserve">z jízdného </w:t>
      </w:r>
      <w:r>
        <w:t xml:space="preserve">vyšší, než je stanovena Výměrem MF, toto navýšení slevy se nekompenzuje. Je-li poskytnuta sleva </w:t>
      </w:r>
      <w:r w:rsidR="007A4C83">
        <w:t xml:space="preserve">z jízdného </w:t>
      </w:r>
      <w:r>
        <w:t>nad rámec Výměrem MF stanovených omezení nároků (časová platnost, prokazování nároku apod.), nekompenzuje se.</w:t>
      </w:r>
    </w:p>
    <w:p w14:paraId="592BF597" w14:textId="7F9AC2BE" w:rsidR="00D85733" w:rsidRPr="004C3F81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4C3F81">
        <w:t xml:space="preserve">Poskytuje-li </w:t>
      </w:r>
      <w:r>
        <w:t>Dopravce</w:t>
      </w:r>
      <w:r w:rsidRPr="004C3F81">
        <w:t xml:space="preserve"> </w:t>
      </w:r>
      <w:r>
        <w:t xml:space="preserve">cestujícímu, který má nárok na slevu </w:t>
      </w:r>
      <w:r w:rsidR="007A4C83">
        <w:t xml:space="preserve">z jízdného </w:t>
      </w:r>
      <w:r>
        <w:t xml:space="preserve">podle Výměru MF, </w:t>
      </w:r>
      <w:r w:rsidRPr="004C3F81">
        <w:t xml:space="preserve">vyšší slevu, než je </w:t>
      </w:r>
      <w:r>
        <w:t>stanovena</w:t>
      </w:r>
      <w:r w:rsidRPr="004C3F81">
        <w:t xml:space="preserve"> ve Výměru MF</w:t>
      </w:r>
      <w:r w:rsidR="003938B1">
        <w:t xml:space="preserve"> (tj. cena jízdného je nižší, než cena vyčíslená dle Výměrem MF stanovené procentuální výše</w:t>
      </w:r>
      <w:r w:rsidR="003938B1" w:rsidRPr="00F60A79">
        <w:t xml:space="preserve"> </w:t>
      </w:r>
      <w:r w:rsidR="003938B1" w:rsidRPr="009A47FA">
        <w:t>plného (obyčejného) jízdného</w:t>
      </w:r>
      <w:r w:rsidR="003938B1">
        <w:t>, zaokrouhlená na celé Kč dolů)</w:t>
      </w:r>
      <w:r w:rsidRPr="004C3F81">
        <w:t xml:space="preserve">, vypočítá se ztráta </w:t>
      </w:r>
      <w:r w:rsidR="007B5B1E">
        <w:t xml:space="preserve">pouze </w:t>
      </w:r>
      <w:r w:rsidRPr="004C3F81">
        <w:t xml:space="preserve">na základě </w:t>
      </w:r>
      <w:r w:rsidR="007B5B1E">
        <w:t>povinné</w:t>
      </w:r>
      <w:r>
        <w:t xml:space="preserve"> výše</w:t>
      </w:r>
      <w:r w:rsidRPr="004C3F81">
        <w:t xml:space="preserve"> slevy </w:t>
      </w:r>
      <w:r w:rsidR="007A4C83">
        <w:t xml:space="preserve">z jízdného </w:t>
      </w:r>
      <w:r w:rsidRPr="004C3F81">
        <w:t xml:space="preserve">z ceny plného (obyčejného) jízdného </w:t>
      </w:r>
      <w:r>
        <w:t xml:space="preserve">resp. </w:t>
      </w:r>
      <w:r w:rsidRPr="009A47FA">
        <w:t>plnocenné</w:t>
      </w:r>
      <w:r>
        <w:t>ho</w:t>
      </w:r>
      <w:r w:rsidRPr="009A47FA">
        <w:t xml:space="preserve"> jízdné</w:t>
      </w:r>
      <w:r>
        <w:t>ho</w:t>
      </w:r>
      <w:r w:rsidRPr="009A47FA">
        <w:t xml:space="preserve"> </w:t>
      </w:r>
      <w:r>
        <w:t>po uplatnění komerční slevy</w:t>
      </w:r>
      <w:r w:rsidRPr="004C3F81">
        <w:t xml:space="preserve"> </w:t>
      </w:r>
      <w:r>
        <w:t xml:space="preserve">dle odstavce </w:t>
      </w:r>
      <w:r w:rsidR="00FF7B6D">
        <w:t xml:space="preserve">5 </w:t>
      </w:r>
      <w:r>
        <w:t xml:space="preserve">tohoto článku </w:t>
      </w:r>
      <w:r w:rsidRPr="004C3F81">
        <w:t xml:space="preserve">s tím, že takto vyčíslená částka bude zaokrouhlena na celé Kč nahoru. </w:t>
      </w:r>
    </w:p>
    <w:p w14:paraId="06799600" w14:textId="77777777" w:rsidR="00D85733" w:rsidRDefault="00D85733" w:rsidP="00D85733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V úhradě ztráty vzniklé poskytováním slev z jízdného je zahrnuta daň z přidané hodnoty.</w:t>
      </w:r>
    </w:p>
    <w:p w14:paraId="017C1FF2" w14:textId="77777777" w:rsidR="00D85733" w:rsidRDefault="00D85733" w:rsidP="00D85733">
      <w:pPr>
        <w:tabs>
          <w:tab w:val="left" w:pos="360"/>
        </w:tabs>
        <w:spacing w:before="120"/>
        <w:rPr>
          <w:b/>
        </w:rPr>
      </w:pPr>
    </w:p>
    <w:p w14:paraId="11E24542" w14:textId="77777777" w:rsidR="00D85733" w:rsidRPr="00A93E1E" w:rsidRDefault="00D85733" w:rsidP="00D85733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A93E1E">
        <w:rPr>
          <w:b/>
          <w:bCs/>
        </w:rPr>
        <w:t>V</w:t>
      </w:r>
      <w:r>
        <w:rPr>
          <w:b/>
          <w:bCs/>
        </w:rPr>
        <w:t>I</w:t>
      </w:r>
      <w:r w:rsidRPr="00A93E1E">
        <w:rPr>
          <w:b/>
          <w:bCs/>
        </w:rPr>
        <w:t>.</w:t>
      </w:r>
    </w:p>
    <w:p w14:paraId="3087AD40" w14:textId="77777777" w:rsidR="00D85733" w:rsidRDefault="00D85733" w:rsidP="00D85733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Úhrada</w:t>
      </w:r>
      <w:r w:rsidRPr="00A93E1E">
        <w:rPr>
          <w:b/>
          <w:bCs/>
        </w:rPr>
        <w:t xml:space="preserve"> ztráty</w:t>
      </w:r>
    </w:p>
    <w:p w14:paraId="600E3F09" w14:textId="77777777" w:rsidR="00D85733" w:rsidRDefault="00D85733" w:rsidP="00D85733">
      <w:pPr>
        <w:pStyle w:val="Zkladntext"/>
        <w:spacing w:after="0"/>
        <w:jc w:val="center"/>
      </w:pPr>
    </w:p>
    <w:p w14:paraId="1D95291B" w14:textId="3FC74F0C" w:rsidR="00D85733" w:rsidRDefault="00D85733" w:rsidP="00D85733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Dopravci náleží úhrada ztráty vzniklé poskytováním slev</w:t>
      </w:r>
      <w:r w:rsidR="007A4C83">
        <w:t xml:space="preserve"> z jízdného</w:t>
      </w:r>
      <w:r w:rsidR="007660F3" w:rsidRPr="007660F3">
        <w:t xml:space="preserve"> </w:t>
      </w:r>
      <w:r w:rsidR="007660F3">
        <w:t>v souladu s čl. V. této smlouvy</w:t>
      </w:r>
      <w:r>
        <w:t>.</w:t>
      </w:r>
    </w:p>
    <w:p w14:paraId="7E56B118" w14:textId="7BCFFAE4" w:rsidR="00D85733" w:rsidRPr="002215A1" w:rsidRDefault="00D85733" w:rsidP="00D85733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2215A1">
        <w:t xml:space="preserve">Úhrada </w:t>
      </w:r>
      <w:r>
        <w:t xml:space="preserve">ztráty </w:t>
      </w:r>
      <w:r w:rsidRPr="002215A1">
        <w:t xml:space="preserve">bude provedena </w:t>
      </w:r>
      <w:r>
        <w:t>na základě faktur</w:t>
      </w:r>
      <w:r w:rsidR="003938B1" w:rsidRPr="0058278C">
        <w:t xml:space="preserve"> - účetních dokladů (dále jen „faktura“ nebo „faktury“), vystavených </w:t>
      </w:r>
      <w:r w:rsidR="002316F4">
        <w:t>D</w:t>
      </w:r>
      <w:r w:rsidR="002316F4" w:rsidRPr="0058278C">
        <w:t xml:space="preserve">opravcem </w:t>
      </w:r>
      <w:r w:rsidR="003938B1" w:rsidRPr="0058278C">
        <w:t xml:space="preserve">a po ověření správnosti údajů Ministerstvem. V případě zapojení </w:t>
      </w:r>
      <w:r w:rsidR="002316F4">
        <w:t>D</w:t>
      </w:r>
      <w:r w:rsidR="002316F4" w:rsidRPr="0058278C">
        <w:t xml:space="preserve">opravce </w:t>
      </w:r>
      <w:r w:rsidR="003938B1" w:rsidRPr="0058278C">
        <w:t xml:space="preserve">do integrovaného dopravního systému vystaví </w:t>
      </w:r>
      <w:r w:rsidR="002316F4">
        <w:t>D</w:t>
      </w:r>
      <w:r w:rsidR="002316F4" w:rsidRPr="0058278C">
        <w:t xml:space="preserve">opravce </w:t>
      </w:r>
      <w:r w:rsidR="003938B1" w:rsidRPr="0058278C">
        <w:t xml:space="preserve">faktury na základě výsledku clearingu </w:t>
      </w:r>
      <w:r w:rsidR="007660F3">
        <w:t>jízdenek</w:t>
      </w:r>
      <w:r w:rsidR="003938B1" w:rsidRPr="0058278C">
        <w:t xml:space="preserve"> provedeného příslušným organizátorem integrovaného dopravního systému</w:t>
      </w:r>
      <w:r w:rsidRPr="002215A1">
        <w:t xml:space="preserve">. </w:t>
      </w:r>
    </w:p>
    <w:p w14:paraId="5ED4E013" w14:textId="74D8F995" w:rsidR="00D85733" w:rsidRDefault="00D85733" w:rsidP="00D85733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Dopravce </w:t>
      </w:r>
      <w:r w:rsidR="004E3AB2">
        <w:t>prokazuje výši nárokované úhrady</w:t>
      </w:r>
      <w:r>
        <w:t xml:space="preserve"> </w:t>
      </w:r>
      <w:r w:rsidRPr="00C80CC0">
        <w:t>výkaz</w:t>
      </w:r>
      <w:r w:rsidR="004E3AB2">
        <w:t>em</w:t>
      </w:r>
      <w:r>
        <w:t xml:space="preserve"> vygenerovaný</w:t>
      </w:r>
      <w:r w:rsidR="004E3AB2">
        <w:t>m</w:t>
      </w:r>
      <w:r w:rsidRPr="00C80CC0">
        <w:t xml:space="preserve"> aplikací CISnet na základě záznamů o prodaných jízdenkách z elektronických odbavovacích zařízení.</w:t>
      </w:r>
      <w:r w:rsidR="001C0707">
        <w:t xml:space="preserve"> Dopravce je povinen</w:t>
      </w:r>
      <w:r w:rsidR="001C0707" w:rsidRPr="002215A1">
        <w:t xml:space="preserve"> </w:t>
      </w:r>
      <w:r w:rsidR="001C0707">
        <w:t>předložit</w:t>
      </w:r>
      <w:r w:rsidR="001C0707" w:rsidRPr="002215A1">
        <w:t xml:space="preserve"> </w:t>
      </w:r>
      <w:r w:rsidR="001C0707">
        <w:t>Ministerstvu</w:t>
      </w:r>
      <w:r w:rsidR="001C0707" w:rsidRPr="002215A1">
        <w:t xml:space="preserve"> </w:t>
      </w:r>
      <w:r w:rsidR="001C0707">
        <w:t xml:space="preserve">spolu s fakturou jako </w:t>
      </w:r>
      <w:r w:rsidR="001C0707" w:rsidRPr="002215A1">
        <w:t xml:space="preserve">podklady k vyúčtování ztráty </w:t>
      </w:r>
      <w:r w:rsidR="001C0707">
        <w:t>výše uvedené výkazy</w:t>
      </w:r>
      <w:r w:rsidR="001C0707" w:rsidRPr="00894DA3">
        <w:t>.</w:t>
      </w:r>
      <w:r w:rsidR="00322673" w:rsidRPr="00322673">
        <w:t xml:space="preserve"> </w:t>
      </w:r>
      <w:r w:rsidR="007F5C85" w:rsidRPr="007F5C85">
        <w:t xml:space="preserve">Pokud Dopravce nevydává jízdenky elektronicky, přikládá k faktuře vyčíslení ztráty obsahující minimálně počet prodaných </w:t>
      </w:r>
      <w:r w:rsidR="007660F3">
        <w:t>jízdenek</w:t>
      </w:r>
      <w:r w:rsidR="007F5C85" w:rsidRPr="007F5C85">
        <w:t xml:space="preserve">, výši tržeb a výši ztráty, a to v rozlišení na jednotlivé kategorie slev (resp. skupiny cestujících s nárokem na státem nařízenou slevu). </w:t>
      </w:r>
      <w:r w:rsidR="00322673" w:rsidRPr="0058278C">
        <w:t xml:space="preserve">V případě zapojení </w:t>
      </w:r>
      <w:r w:rsidR="002316F4">
        <w:t>D</w:t>
      </w:r>
      <w:r w:rsidR="002316F4" w:rsidRPr="0058278C">
        <w:t xml:space="preserve">opravce </w:t>
      </w:r>
      <w:r w:rsidR="00322673" w:rsidRPr="0058278C">
        <w:t>do integrovaného dopravního systému</w:t>
      </w:r>
      <w:r w:rsidR="009B39EF" w:rsidRPr="00D6300F">
        <w:t>, kdy přiřazení jízdenek dopravci vychází z clearingu,</w:t>
      </w:r>
      <w:r w:rsidR="00322673" w:rsidRPr="004C1568">
        <w:t xml:space="preserve"> musí být přílohou podklad od organizátora nebo objednatele</w:t>
      </w:r>
      <w:r w:rsidR="00322673">
        <w:t xml:space="preserve"> veřejných služeb</w:t>
      </w:r>
      <w:r w:rsidR="00322673" w:rsidRPr="004C1568">
        <w:t>, potvrzující vypočtený podíl z dělby tržeb</w:t>
      </w:r>
      <w:r w:rsidR="00322673">
        <w:t xml:space="preserve"> resp. ztrát.</w:t>
      </w:r>
    </w:p>
    <w:p w14:paraId="27A52A92" w14:textId="42EBB39A" w:rsidR="00D85733" w:rsidRPr="004134F1" w:rsidRDefault="002C0FB5" w:rsidP="00D85733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Dopravce bude vystavovat faktury vždy za každý kalendářní měsíc</w:t>
      </w:r>
      <w:r w:rsidR="00D85733" w:rsidRPr="004134F1">
        <w:t>.</w:t>
      </w:r>
    </w:p>
    <w:p w14:paraId="065EEB93" w14:textId="59D1C7D0" w:rsidR="00D85733" w:rsidRPr="002215A1" w:rsidRDefault="00D85733" w:rsidP="00D85733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Smluvní strany se dohodly na splatnosti faktur </w:t>
      </w:r>
      <w:r w:rsidR="00427B63">
        <w:t xml:space="preserve">30 </w:t>
      </w:r>
      <w:r>
        <w:t xml:space="preserve">kalendářních </w:t>
      </w:r>
      <w:r w:rsidR="006F2DC4">
        <w:t xml:space="preserve">dnů </w:t>
      </w:r>
      <w:r w:rsidRPr="002215A1">
        <w:t>od</w:t>
      </w:r>
      <w:r>
        <w:t>e dne</w:t>
      </w:r>
      <w:r w:rsidRPr="002215A1">
        <w:t xml:space="preserve"> jejího doručení </w:t>
      </w:r>
      <w:r>
        <w:t>Ministerstvu</w:t>
      </w:r>
      <w:r w:rsidRPr="002215A1">
        <w:t>.</w:t>
      </w:r>
      <w:r>
        <w:t xml:space="preserve"> </w:t>
      </w:r>
    </w:p>
    <w:p w14:paraId="0280134A" w14:textId="32A052E8" w:rsidR="006F2DC4" w:rsidRPr="00AB4226" w:rsidRDefault="006F2DC4" w:rsidP="006F2DC4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AB4226">
        <w:t xml:space="preserve">Smluvní strany se dohodly, že fakturovaná částka bude </w:t>
      </w:r>
      <w:r>
        <w:t>Ministerstvem</w:t>
      </w:r>
      <w:r w:rsidRPr="00AB4226">
        <w:t xml:space="preserve"> placena bankovním převo</w:t>
      </w:r>
      <w:r w:rsidRPr="00AB4226">
        <w:softHyphen/>
        <w:t xml:space="preserve">dem na účet </w:t>
      </w:r>
      <w:r>
        <w:t>Dopravce</w:t>
      </w:r>
      <w:r w:rsidRPr="00AB4226">
        <w:t xml:space="preserve"> uvedený na faktuře, který musí odpovídat číslu bankovního účtu </w:t>
      </w:r>
      <w:r w:rsidR="003329C6">
        <w:t xml:space="preserve">Dopravce uvedenému v registru plátců DPH, není-li Dopravce plátcem DPH, pak číslu účtu uvedenému v čl. I. této smlouvy. Neshoduje-li se číslo účtu uvedené ve faktuře s číslem účtu podle předcházející </w:t>
      </w:r>
      <w:r w:rsidR="003329C6">
        <w:lastRenderedPageBreak/>
        <w:t>věty, je Ministerstvo oprávněno vrátit fakturu Dopravci podle odst. 8 tohoto článku. Dnem platby se rozumí den odeslání příslušné částky z účtu Ministerstva na účet Dopravce.</w:t>
      </w:r>
    </w:p>
    <w:p w14:paraId="0670A9CB" w14:textId="5FEB6AED" w:rsidR="00D85733" w:rsidRDefault="00D85733" w:rsidP="00D85733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0A70A4">
        <w:t xml:space="preserve">Faktura vystavená </w:t>
      </w:r>
      <w:r>
        <w:t>Dopravcem</w:t>
      </w:r>
      <w:r w:rsidRPr="000A70A4">
        <w:t xml:space="preserve"> musí obsahovat evidenční číslo smlouvy uvedené v záhlaví této smlouvy, název smlouvy a náležitosti </w:t>
      </w:r>
      <w:r w:rsidR="002C0FB5">
        <w:t>účetního</w:t>
      </w:r>
      <w:r w:rsidR="002C0FB5" w:rsidRPr="000A70A4">
        <w:t xml:space="preserve"> </w:t>
      </w:r>
      <w:r w:rsidRPr="000A70A4">
        <w:t>dokladu stanovené právními předpisy.</w:t>
      </w:r>
    </w:p>
    <w:p w14:paraId="02BA97BA" w14:textId="2E9AD173" w:rsidR="006503BF" w:rsidRDefault="00D85733" w:rsidP="006503BF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2F03CB">
        <w:t>V případě, že faktura</w:t>
      </w:r>
      <w:r>
        <w:t xml:space="preserve"> vystavená Dopravcem</w:t>
      </w:r>
      <w:r w:rsidRPr="002F03CB">
        <w:t xml:space="preserve"> nebude obsahovat stanovené náležitosti</w:t>
      </w:r>
      <w:r w:rsidR="002316F4" w:rsidRPr="002316F4">
        <w:t xml:space="preserve"> </w:t>
      </w:r>
      <w:r w:rsidR="002316F4">
        <w:t>nebo uvedené údaje budou nesprávné</w:t>
      </w:r>
      <w:r w:rsidRPr="002F03CB">
        <w:t xml:space="preserve">, je </w:t>
      </w:r>
      <w:r>
        <w:t>Ministerstvo</w:t>
      </w:r>
      <w:r w:rsidRPr="002F03CB">
        <w:t xml:space="preserve"> oprávněn</w:t>
      </w:r>
      <w:r>
        <w:t>o</w:t>
      </w:r>
      <w:r w:rsidRPr="002F03CB">
        <w:t xml:space="preserve"> zaslat ji ve lhůtě splatnosti </w:t>
      </w:r>
      <w:r>
        <w:t>Dopravci</w:t>
      </w:r>
      <w:r w:rsidRPr="002F03CB">
        <w:t xml:space="preserve"> </w:t>
      </w:r>
      <w:r>
        <w:t xml:space="preserve">zpět </w:t>
      </w:r>
      <w:r w:rsidRPr="002F03CB">
        <w:t xml:space="preserve">k opravě či doplnění, aniž se </w:t>
      </w:r>
      <w:r>
        <w:t>tím</w:t>
      </w:r>
      <w:r w:rsidRPr="002F03CB">
        <w:t xml:space="preserve"> dostane do prodlení; lhůta splatnosti počíná běžet znovu od</w:t>
      </w:r>
      <w:r w:rsidR="006F2DC4">
        <w:t>e dne</w:t>
      </w:r>
      <w:r w:rsidRPr="002F03CB">
        <w:t xml:space="preserve"> doručení </w:t>
      </w:r>
      <w:r>
        <w:t>bezchybné</w:t>
      </w:r>
      <w:r w:rsidRPr="002F03CB">
        <w:t xml:space="preserve"> faktury </w:t>
      </w:r>
      <w:r>
        <w:t>Ministerstvu</w:t>
      </w:r>
      <w:r w:rsidRPr="002F03CB">
        <w:t>.</w:t>
      </w:r>
    </w:p>
    <w:p w14:paraId="351D0A25" w14:textId="4B996D37" w:rsidR="00D85733" w:rsidRPr="00812729" w:rsidRDefault="00D85733" w:rsidP="00D85733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812729">
        <w:t xml:space="preserve">Dopravce je oprávněn zasílat faktury elektronicky na datovou schránku </w:t>
      </w:r>
      <w:r>
        <w:t>Ministerstva</w:t>
      </w:r>
      <w:r w:rsidRPr="00282F40">
        <w:t xml:space="preserve"> </w:t>
      </w:r>
      <w:r>
        <w:rPr>
          <w:rStyle w:val="FontStyle30"/>
        </w:rPr>
        <w:t>uvedenou v článku I</w:t>
      </w:r>
      <w:r w:rsidR="00DE6189">
        <w:rPr>
          <w:rStyle w:val="FontStyle30"/>
        </w:rPr>
        <w:t>.</w:t>
      </w:r>
      <w:r>
        <w:rPr>
          <w:rStyle w:val="FontStyle30"/>
        </w:rPr>
        <w:t xml:space="preserve"> této smlouvy</w:t>
      </w:r>
      <w:r w:rsidRPr="00812729">
        <w:t>.</w:t>
      </w:r>
    </w:p>
    <w:p w14:paraId="361B0A3E" w14:textId="77777777" w:rsidR="00D85733" w:rsidRDefault="00D85733" w:rsidP="00D85733">
      <w:pPr>
        <w:tabs>
          <w:tab w:val="left" w:pos="360"/>
        </w:tabs>
        <w:spacing w:before="120"/>
        <w:ind w:left="360" w:hanging="360"/>
        <w:jc w:val="both"/>
      </w:pPr>
    </w:p>
    <w:p w14:paraId="4664B1B8" w14:textId="77777777" w:rsidR="00D85733" w:rsidRPr="00CC73EC" w:rsidRDefault="00D85733" w:rsidP="00D85733">
      <w:pPr>
        <w:pStyle w:val="Zkladntext"/>
        <w:spacing w:after="0"/>
        <w:jc w:val="center"/>
        <w:rPr>
          <w:b/>
          <w:bCs/>
        </w:rPr>
      </w:pPr>
      <w:r w:rsidRPr="00CC73EC">
        <w:rPr>
          <w:b/>
          <w:bCs/>
        </w:rPr>
        <w:t>Článek VI</w:t>
      </w:r>
      <w:r>
        <w:rPr>
          <w:b/>
          <w:bCs/>
        </w:rPr>
        <w:t>I</w:t>
      </w:r>
      <w:r w:rsidRPr="00CC73EC">
        <w:rPr>
          <w:b/>
          <w:bCs/>
        </w:rPr>
        <w:t>.</w:t>
      </w:r>
    </w:p>
    <w:p w14:paraId="2002C30D" w14:textId="77777777" w:rsidR="00D85733" w:rsidRPr="002F03CB" w:rsidRDefault="00D85733" w:rsidP="00D85733">
      <w:pPr>
        <w:pStyle w:val="Zkladntext"/>
        <w:spacing w:after="0"/>
        <w:jc w:val="center"/>
        <w:rPr>
          <w:b/>
          <w:bCs/>
        </w:rPr>
      </w:pPr>
      <w:r w:rsidRPr="002F03CB">
        <w:rPr>
          <w:b/>
          <w:bCs/>
        </w:rPr>
        <w:t xml:space="preserve">Další práva a závazky </w:t>
      </w:r>
    </w:p>
    <w:p w14:paraId="25019015" w14:textId="77777777" w:rsidR="00D85733" w:rsidRDefault="00D85733" w:rsidP="00D85733">
      <w:pPr>
        <w:tabs>
          <w:tab w:val="left" w:pos="360"/>
        </w:tabs>
        <w:spacing w:before="120"/>
        <w:ind w:left="360" w:hanging="360"/>
        <w:jc w:val="center"/>
        <w:rPr>
          <w:b/>
        </w:rPr>
      </w:pPr>
    </w:p>
    <w:p w14:paraId="48013E9C" w14:textId="0FCCE7AE" w:rsidR="00BC3383" w:rsidRDefault="00D85733" w:rsidP="00B926B8">
      <w:pPr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Žádná ze smluvních stran není oprávněna bez předchozího písemného souhlasu druhé smluvní strany poskytnout třetím osobám informace o podmínkách této smlouvy a související s touto smlouvou, jejichž obsahem mohou být důvěrné informace, osobní a citlivé údaje, informace týkající se obchodního tajemství, technologie nebo know-how</w:t>
      </w:r>
      <w:r w:rsidRPr="00376204">
        <w:t>. Tímto ustanovením však není dotčen</w:t>
      </w:r>
      <w:r w:rsidR="002316F4">
        <w:t>o ustanovení první věty odstavce 1</w:t>
      </w:r>
      <w:r w:rsidR="00337E3F">
        <w:t>2</w:t>
      </w:r>
      <w:r w:rsidR="002316F4">
        <w:t xml:space="preserve"> článku XI. této smlouvy </w:t>
      </w:r>
      <w:r w:rsidRPr="00376204">
        <w:t>a</w:t>
      </w:r>
      <w:r w:rsidR="00337E3F">
        <w:t>ni</w:t>
      </w:r>
      <w:r w:rsidRPr="00376204">
        <w:t xml:space="preserve"> povinnost </w:t>
      </w:r>
      <w:r w:rsidR="00DB2191" w:rsidRPr="00376204">
        <w:t xml:space="preserve">Ministerstva </w:t>
      </w:r>
      <w:r w:rsidRPr="00376204">
        <w:t xml:space="preserve">poskytovat informace podle zvláštních </w:t>
      </w:r>
      <w:r w:rsidR="007D5ECA">
        <w:t xml:space="preserve">obecně závazných právních </w:t>
      </w:r>
      <w:r w:rsidRPr="00376204">
        <w:t>předpisů.</w:t>
      </w:r>
      <w:r w:rsidR="00B207CB" w:rsidRPr="00B207CB">
        <w:t xml:space="preserve"> Pokud Ministerstvo obdrží podle obecně závazného právního předpisu žádost o informaci týkající se této smlouvy, neprodleně s celým obsahem žádosti seznámí Dopravce, vyrozumí jej o uvažovaném způsobu rozhodnutí o ní a vyzve jej, aby se k žádosti v přiměřené době vyjádřil. Dopravce je povinen se k žádosti vyjádřit rovněž neprodleně tak, aby mohla být žádost o informaci Ministerstvem vyřízena v zákonných lhůtách. O způsobu vyřízení žádosti vyrozumí Ministerstvo Dopravce taktéž neprodleně. V případech, kdy se na postup Ministerstva při vyřizování žádosti vztahuje správní řád, bude s Dopravcem jednat jako s účastníkem řízení.</w:t>
      </w:r>
    </w:p>
    <w:p w14:paraId="7E1F0B51" w14:textId="57FFB623" w:rsidR="00CD78E2" w:rsidRDefault="00D85733" w:rsidP="00B926B8">
      <w:pPr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4134F1">
        <w:t xml:space="preserve">Dopravce </w:t>
      </w:r>
      <w:r>
        <w:t>deklaruje, že</w:t>
      </w:r>
      <w:r w:rsidRPr="004134F1">
        <w:t xml:space="preserve"> údaje o přepravním výkonu realizovaném vlaky vymezenými v Příloze č. 1 této smlouvy a údaje o skladbě </w:t>
      </w:r>
      <w:r w:rsidR="007660F3">
        <w:t>jízdenek</w:t>
      </w:r>
      <w:r w:rsidRPr="004134F1">
        <w:t xml:space="preserve"> včetně využití jednotlivých slev </w:t>
      </w:r>
      <w:r w:rsidR="007A4C83">
        <w:t>z</w:t>
      </w:r>
      <w:r w:rsidR="00DF0C9C">
        <w:t> </w:t>
      </w:r>
      <w:r w:rsidR="007A4C83">
        <w:t>jízdného</w:t>
      </w:r>
      <w:r w:rsidR="00DF0C9C">
        <w:t>, které je</w:t>
      </w:r>
      <w:r w:rsidR="006272BE">
        <w:t xml:space="preserve"> </w:t>
      </w:r>
      <w:r w:rsidR="00DF0C9C">
        <w:t xml:space="preserve">postupováno do aplikace CISnet </w:t>
      </w:r>
      <w:r w:rsidR="004D02F6">
        <w:t xml:space="preserve">v souladu s čl. V. a </w:t>
      </w:r>
      <w:r w:rsidR="006272BE">
        <w:t>Přílohy č. 3 této smlouvy</w:t>
      </w:r>
      <w:r w:rsidR="00DF0C9C">
        <w:t>,</w:t>
      </w:r>
      <w:r w:rsidR="007A4C83">
        <w:t xml:space="preserve"> </w:t>
      </w:r>
      <w:r w:rsidR="00B926B8" w:rsidRPr="00B926B8">
        <w:t>považuje za obchodní tajemství a že odpovídajícím způsobem zajišťuje jejich utajení</w:t>
      </w:r>
      <w:r w:rsidRPr="00FE5841">
        <w:t>.</w:t>
      </w:r>
    </w:p>
    <w:p w14:paraId="08022DA5" w14:textId="77777777" w:rsidR="00D85733" w:rsidRPr="00A8310C" w:rsidRDefault="00D85733" w:rsidP="00D85733">
      <w:pPr>
        <w:numPr>
          <w:ilvl w:val="0"/>
          <w:numId w:val="3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A8310C">
        <w:t>Závazky dle předchozích odstavců tohoto článku zůstávají v platnosti i po ukončení účinnosti této smlouvy.</w:t>
      </w:r>
    </w:p>
    <w:p w14:paraId="569DD94C" w14:textId="77777777" w:rsidR="00D85733" w:rsidRDefault="00D85733" w:rsidP="00D85733">
      <w:pPr>
        <w:tabs>
          <w:tab w:val="left" w:pos="360"/>
        </w:tabs>
        <w:spacing w:before="120"/>
        <w:jc w:val="both"/>
      </w:pPr>
    </w:p>
    <w:p w14:paraId="00A627F5" w14:textId="77777777" w:rsidR="00D85733" w:rsidRPr="00D655AB" w:rsidRDefault="00D85733" w:rsidP="00D85733">
      <w:pPr>
        <w:pStyle w:val="Zkladntext"/>
        <w:keepNext/>
        <w:spacing w:after="0"/>
        <w:jc w:val="center"/>
        <w:rPr>
          <w:b/>
          <w:bCs/>
        </w:rPr>
      </w:pPr>
      <w:r w:rsidRPr="00D655AB">
        <w:rPr>
          <w:b/>
          <w:bCs/>
        </w:rPr>
        <w:t>Článek VIII.</w:t>
      </w:r>
    </w:p>
    <w:p w14:paraId="01579256" w14:textId="77777777" w:rsidR="00D85733" w:rsidRDefault="00D85733" w:rsidP="00D85733">
      <w:pPr>
        <w:pStyle w:val="Zkladntext"/>
        <w:spacing w:after="0"/>
        <w:jc w:val="center"/>
        <w:rPr>
          <w:b/>
          <w:bCs/>
        </w:rPr>
      </w:pPr>
      <w:r w:rsidRPr="00D655AB">
        <w:rPr>
          <w:b/>
          <w:bCs/>
        </w:rPr>
        <w:t>Kontrolní činnost</w:t>
      </w:r>
    </w:p>
    <w:p w14:paraId="1795A6CB" w14:textId="77777777" w:rsidR="00D85733" w:rsidRPr="00D655AB" w:rsidRDefault="00D85733" w:rsidP="00D85733">
      <w:pPr>
        <w:pStyle w:val="Zkladntext"/>
        <w:spacing w:after="0"/>
        <w:jc w:val="center"/>
        <w:rPr>
          <w:b/>
          <w:bCs/>
        </w:rPr>
      </w:pPr>
    </w:p>
    <w:p w14:paraId="632C658A" w14:textId="4F8FFE19" w:rsidR="00D85733" w:rsidRPr="00376204" w:rsidRDefault="00D85733" w:rsidP="00D85733">
      <w:pPr>
        <w:numPr>
          <w:ilvl w:val="0"/>
          <w:numId w:val="9"/>
        </w:numPr>
        <w:tabs>
          <w:tab w:val="clear" w:pos="720"/>
        </w:tabs>
        <w:spacing w:before="120"/>
        <w:ind w:left="360"/>
        <w:jc w:val="both"/>
      </w:pPr>
      <w:r>
        <w:t xml:space="preserve">Ministerstvo je </w:t>
      </w:r>
      <w:r w:rsidRPr="00376204">
        <w:t>oprávněno podle zákona č. 320/2001 Sb.,</w:t>
      </w:r>
      <w:r w:rsidR="00B565AD" w:rsidRPr="00B565AD">
        <w:t xml:space="preserve"> o finanční kontrole ve veřejné správě a</w:t>
      </w:r>
      <w:r w:rsidR="00337E3F">
        <w:t> </w:t>
      </w:r>
      <w:r w:rsidRPr="00376204">
        <w:t>o</w:t>
      </w:r>
      <w:r w:rsidR="00337E3F">
        <w:t> </w:t>
      </w:r>
      <w:r w:rsidR="00B565AD">
        <w:t>změně některých zákonů (zákon o</w:t>
      </w:r>
      <w:r w:rsidRPr="00376204">
        <w:t xml:space="preserve"> finanční kontrole</w:t>
      </w:r>
      <w:r w:rsidR="00B565AD">
        <w:t>)</w:t>
      </w:r>
      <w:r w:rsidRPr="00376204">
        <w:t xml:space="preserve">, </w:t>
      </w:r>
      <w:r w:rsidR="00B565AD">
        <w:t xml:space="preserve">ve znění pozdějších předpisů, </w:t>
      </w:r>
      <w:r w:rsidRPr="00376204">
        <w:t xml:space="preserve">kontrolovat dodržování závazků Dopravce, plynoucích mu z ustanovení odstavce </w:t>
      </w:r>
      <w:r w:rsidR="001C0707">
        <w:t>7</w:t>
      </w:r>
      <w:r w:rsidR="001C0707" w:rsidRPr="00376204">
        <w:t xml:space="preserve"> </w:t>
      </w:r>
      <w:r w:rsidRPr="00376204">
        <w:t>článku V. této smlouvy, v</w:t>
      </w:r>
      <w:r w:rsidR="00337E3F">
        <w:t> </w:t>
      </w:r>
      <w:r w:rsidRPr="00376204">
        <w:t>jednotlivých vlacích přímo při realizaci dopravního výkonu. O vykonání kontroly musí být sepsán kontrolní protokol, jehož jeden výtisk obdrží zaměstnanec Dopravce při výkonu kontroly, druhý výtisk bude zaslán na adresu sídla Dopravce a třetí si ponechá Ministerstvo pro vlastní účely.</w:t>
      </w:r>
    </w:p>
    <w:p w14:paraId="39403BA2" w14:textId="77777777" w:rsidR="00D85733" w:rsidRPr="00376204" w:rsidRDefault="00D85733" w:rsidP="00D85733">
      <w:pPr>
        <w:numPr>
          <w:ilvl w:val="0"/>
          <w:numId w:val="9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376204">
        <w:t>Kontroly provádí Ministerstvo prostřednictvím vlastních pracovníků, nebo prostřednictvím specializované právnické či fyzické osoby, kterou k provádění kontrol v definovaném rozsahu písemně pověří. Kontrolní pracovník se prokáže k tomu vystaveným pověřením</w:t>
      </w:r>
      <w:r w:rsidRPr="00376204">
        <w:rPr>
          <w:rStyle w:val="FontStyle30"/>
        </w:rPr>
        <w:t xml:space="preserve">, jehož vzor je přílohou č. </w:t>
      </w:r>
      <w:r w:rsidR="001C0707">
        <w:rPr>
          <w:rStyle w:val="FontStyle30"/>
        </w:rPr>
        <w:t>2</w:t>
      </w:r>
      <w:r w:rsidR="001C0707" w:rsidRPr="00376204">
        <w:rPr>
          <w:rStyle w:val="FontStyle30"/>
        </w:rPr>
        <w:t xml:space="preserve"> </w:t>
      </w:r>
      <w:r w:rsidRPr="00376204">
        <w:rPr>
          <w:rStyle w:val="FontStyle30"/>
        </w:rPr>
        <w:t>této smlouvy</w:t>
      </w:r>
      <w:r w:rsidRPr="00376204">
        <w:t xml:space="preserve">. Ministerstvo </w:t>
      </w:r>
      <w:r w:rsidR="000A3672">
        <w:t>je povinno zavázat k</w:t>
      </w:r>
      <w:r w:rsidRPr="00376204">
        <w:t xml:space="preserve"> mlčenlivost</w:t>
      </w:r>
      <w:r w:rsidR="000A3672">
        <w:t>i</w:t>
      </w:r>
      <w:r w:rsidRPr="00376204">
        <w:t xml:space="preserve"> specializovan</w:t>
      </w:r>
      <w:r w:rsidR="000A3672">
        <w:t>é</w:t>
      </w:r>
      <w:r w:rsidRPr="00376204">
        <w:t xml:space="preserve"> právnick</w:t>
      </w:r>
      <w:r w:rsidR="000A3672">
        <w:t>é</w:t>
      </w:r>
      <w:r w:rsidRPr="00376204">
        <w:t xml:space="preserve"> či fyzick</w:t>
      </w:r>
      <w:r w:rsidR="000A3672">
        <w:t>é</w:t>
      </w:r>
      <w:r w:rsidRPr="00376204">
        <w:t xml:space="preserve"> osob</w:t>
      </w:r>
      <w:r w:rsidR="000A3672">
        <w:t>y</w:t>
      </w:r>
      <w:r w:rsidRPr="00376204">
        <w:t>, které k provádění kontrol v definovaném rozsahu písemně pověří.</w:t>
      </w:r>
      <w:r w:rsidR="00107FCA">
        <w:t xml:space="preserve"> </w:t>
      </w:r>
    </w:p>
    <w:p w14:paraId="703C8593" w14:textId="77777777" w:rsidR="00D85733" w:rsidRDefault="00D85733" w:rsidP="00D85733">
      <w:pPr>
        <w:numPr>
          <w:ilvl w:val="0"/>
          <w:numId w:val="9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376204">
        <w:lastRenderedPageBreak/>
        <w:t>Dopravce je povinen zabezpečit nezbytnou součinnost svých zaměstnanců při výkonu</w:t>
      </w:r>
      <w:r>
        <w:t xml:space="preserve"> kontroly dle tohoto článku.</w:t>
      </w:r>
    </w:p>
    <w:p w14:paraId="5CDD3C6E" w14:textId="77777777" w:rsidR="00D85733" w:rsidRDefault="00D85733" w:rsidP="00D85733">
      <w:pPr>
        <w:numPr>
          <w:ilvl w:val="0"/>
          <w:numId w:val="9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Součinnost požadovaná po zaměstnanci Dopravce v souvislosti s výkonem kontroly dle tohoto článku nesmí být v rozporu s pravidly pro bezpečné provozování drážní dopravy. Kontrolní pracovník při provádění kontroly dbá na to, aby její výkon nezpůsobil zpoždění spoje a nebránil plnění pracovních povinností zaměstnance Dopravce před odjezdem spoje z výchozí stanice, během jeho jízdy ani po dojezdu do cílové stanice. </w:t>
      </w:r>
      <w:r>
        <w:rPr>
          <w:rStyle w:val="FontStyle30"/>
        </w:rPr>
        <w:t>V opačném případě je Dopravce oprávněn poskytnutí součinnost</w:t>
      </w:r>
      <w:r w:rsidR="00DE6189">
        <w:rPr>
          <w:rStyle w:val="FontStyle30"/>
        </w:rPr>
        <w:t>i</w:t>
      </w:r>
      <w:r>
        <w:rPr>
          <w:rStyle w:val="FontStyle30"/>
        </w:rPr>
        <w:t xml:space="preserve"> přiměřeně odložit.</w:t>
      </w:r>
    </w:p>
    <w:p w14:paraId="2E6434AF" w14:textId="77777777" w:rsidR="00D85733" w:rsidRDefault="00D85733" w:rsidP="00D85733">
      <w:pPr>
        <w:pStyle w:val="Zkladntext"/>
        <w:spacing w:after="0"/>
        <w:jc w:val="center"/>
        <w:rPr>
          <w:b/>
          <w:bCs/>
        </w:rPr>
      </w:pPr>
    </w:p>
    <w:p w14:paraId="5545E68E" w14:textId="77777777" w:rsidR="00D85733" w:rsidRDefault="00D85733" w:rsidP="00D85733">
      <w:pPr>
        <w:pStyle w:val="Zkladntext"/>
        <w:spacing w:after="0"/>
        <w:jc w:val="center"/>
        <w:rPr>
          <w:b/>
          <w:bCs/>
        </w:rPr>
      </w:pPr>
    </w:p>
    <w:p w14:paraId="75AAAC46" w14:textId="77777777" w:rsidR="00114AD4" w:rsidRDefault="00114AD4" w:rsidP="00D85733">
      <w:pPr>
        <w:pStyle w:val="Zkladntext"/>
        <w:spacing w:after="0"/>
        <w:jc w:val="center"/>
        <w:rPr>
          <w:b/>
          <w:bCs/>
        </w:rPr>
      </w:pPr>
    </w:p>
    <w:p w14:paraId="2F9FFFB4" w14:textId="77777777" w:rsidR="00D85733" w:rsidRPr="003A1089" w:rsidRDefault="00D85733" w:rsidP="00D85733">
      <w:pPr>
        <w:pStyle w:val="Zkladntext"/>
        <w:spacing w:after="0"/>
        <w:jc w:val="center"/>
        <w:rPr>
          <w:b/>
          <w:bCs/>
        </w:rPr>
      </w:pPr>
      <w:r w:rsidRPr="003A1089">
        <w:rPr>
          <w:b/>
          <w:bCs/>
        </w:rPr>
        <w:t>Článek I</w:t>
      </w:r>
      <w:r>
        <w:rPr>
          <w:b/>
          <w:bCs/>
        </w:rPr>
        <w:t>X</w:t>
      </w:r>
      <w:r w:rsidRPr="003A1089">
        <w:rPr>
          <w:b/>
          <w:bCs/>
        </w:rPr>
        <w:t>.</w:t>
      </w:r>
    </w:p>
    <w:p w14:paraId="2821630D" w14:textId="77777777" w:rsidR="00D85733" w:rsidRDefault="00D85733" w:rsidP="00D85733">
      <w:pPr>
        <w:pStyle w:val="Zkladntext"/>
        <w:spacing w:after="0"/>
        <w:jc w:val="center"/>
        <w:rPr>
          <w:b/>
          <w:bCs/>
        </w:rPr>
      </w:pPr>
      <w:r w:rsidRPr="003A1089">
        <w:rPr>
          <w:b/>
          <w:bCs/>
        </w:rPr>
        <w:t>Doba plnění závazku</w:t>
      </w:r>
      <w:r>
        <w:rPr>
          <w:b/>
          <w:bCs/>
        </w:rPr>
        <w:t>, ukončení smlouvy, výpověď smlouvy</w:t>
      </w:r>
    </w:p>
    <w:p w14:paraId="23E1A837" w14:textId="77777777" w:rsidR="00D85733" w:rsidRPr="003A1089" w:rsidRDefault="00D85733" w:rsidP="00D85733">
      <w:pPr>
        <w:pStyle w:val="Zkladntext"/>
        <w:spacing w:before="120" w:after="0"/>
        <w:jc w:val="center"/>
        <w:rPr>
          <w:b/>
          <w:bCs/>
        </w:rPr>
      </w:pPr>
    </w:p>
    <w:p w14:paraId="22FF0C31" w14:textId="72FA6DF5" w:rsidR="00D85733" w:rsidRPr="002F03CB" w:rsidRDefault="00D85733" w:rsidP="00D85733">
      <w:pPr>
        <w:numPr>
          <w:ilvl w:val="0"/>
          <w:numId w:val="4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Plnění předmětu této smlouvy v rozsahu podle článku IV. se sjednává na dobu </w:t>
      </w:r>
      <w:r w:rsidR="00C02126">
        <w:t>ne</w:t>
      </w:r>
      <w:r w:rsidRPr="002F03CB">
        <w:t xml:space="preserve">určitou. </w:t>
      </w:r>
    </w:p>
    <w:p w14:paraId="2D836ED9" w14:textId="77777777" w:rsidR="00D85733" w:rsidRDefault="00D85733" w:rsidP="00D85733">
      <w:pPr>
        <w:numPr>
          <w:ilvl w:val="0"/>
          <w:numId w:val="4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Tato smlouva může být ukončena písemnou dohodou obou smluvních stran</w:t>
      </w:r>
      <w:r w:rsidR="00B565AD" w:rsidRPr="00B565AD">
        <w:t xml:space="preserve"> v souladu s § 1981 Občanského zákoníku</w:t>
      </w:r>
      <w:r>
        <w:t>.</w:t>
      </w:r>
    </w:p>
    <w:p w14:paraId="26403368" w14:textId="0C594100" w:rsidR="00D85733" w:rsidRDefault="00D85733" w:rsidP="00D85733">
      <w:pPr>
        <w:numPr>
          <w:ilvl w:val="0"/>
          <w:numId w:val="4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Ministerstvo</w:t>
      </w:r>
      <w:r w:rsidRPr="00960456">
        <w:t xml:space="preserve"> i Dopravce mají právo jednostranně vypovědět tuto smlouvu písemnou výpovědí </w:t>
      </w:r>
      <w:r w:rsidR="00337E3F">
        <w:t>i bez uvedení důvodu</w:t>
      </w:r>
      <w:r w:rsidR="00337E3F" w:rsidRPr="00960456">
        <w:t xml:space="preserve"> </w:t>
      </w:r>
      <w:r w:rsidRPr="00960456">
        <w:t>s výpovědní lhůtou 1 kalendářního měsíce. Výpovědní lhůta začíná plynout od prvního dne kalendářního měsíce následujícího po měsíci, v němž byla písemná výpověď doručena. Výpověď se považuje za doručenou i v případě, že příslušná smluvní strana odmítne výpověď převzít, a to dnem tohoto odmítnutí.</w:t>
      </w:r>
      <w:r w:rsidR="00FE4825">
        <w:t xml:space="preserve"> </w:t>
      </w:r>
    </w:p>
    <w:p w14:paraId="49708EBB" w14:textId="6C438B7C" w:rsidR="00C02126" w:rsidRDefault="005C5420" w:rsidP="00C02126">
      <w:pPr>
        <w:numPr>
          <w:ilvl w:val="0"/>
          <w:numId w:val="4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Tato s</w:t>
      </w:r>
      <w:r w:rsidR="00C02126">
        <w:t xml:space="preserve">mlouva zaniká, ukončí-li Dopravce trvale provozování služeb, na které se vztahuje </w:t>
      </w:r>
      <w:r w:rsidR="00C02126" w:rsidRPr="000B754F">
        <w:t>povinnost Dopravce poskytovat slevy z jízdného v souladu s Výměrem M</w:t>
      </w:r>
      <w:r w:rsidR="00C02126">
        <w:t>F.</w:t>
      </w:r>
    </w:p>
    <w:p w14:paraId="0800D595" w14:textId="77777777" w:rsidR="00D85733" w:rsidRDefault="00D85733" w:rsidP="00D85733">
      <w:pPr>
        <w:tabs>
          <w:tab w:val="left" w:pos="360"/>
        </w:tabs>
        <w:spacing w:before="120"/>
        <w:ind w:left="360" w:hanging="360"/>
        <w:jc w:val="center"/>
        <w:rPr>
          <w:b/>
        </w:rPr>
      </w:pPr>
    </w:p>
    <w:p w14:paraId="230E5C78" w14:textId="77777777" w:rsidR="00D85733" w:rsidRPr="003A1089" w:rsidRDefault="00D85733" w:rsidP="00D85733">
      <w:pPr>
        <w:pStyle w:val="Zkladntext"/>
        <w:spacing w:after="0"/>
        <w:jc w:val="center"/>
        <w:rPr>
          <w:b/>
          <w:bCs/>
        </w:rPr>
      </w:pPr>
      <w:r w:rsidRPr="003A1089">
        <w:rPr>
          <w:b/>
          <w:bCs/>
        </w:rPr>
        <w:t>Článek X.</w:t>
      </w:r>
    </w:p>
    <w:p w14:paraId="78FE28EE" w14:textId="77777777" w:rsidR="00D85733" w:rsidRDefault="00D85733" w:rsidP="00D85733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Úrok z prodlení, s</w:t>
      </w:r>
      <w:r w:rsidRPr="003A1089">
        <w:rPr>
          <w:b/>
          <w:bCs/>
        </w:rPr>
        <w:t>mluvní</w:t>
      </w:r>
      <w:r>
        <w:rPr>
          <w:b/>
          <w:bCs/>
        </w:rPr>
        <w:t xml:space="preserve"> pokuta</w:t>
      </w:r>
    </w:p>
    <w:p w14:paraId="49751B49" w14:textId="77777777" w:rsidR="00F32B5C" w:rsidRDefault="00F32B5C" w:rsidP="00D85733">
      <w:pPr>
        <w:pStyle w:val="Zkladntext"/>
        <w:spacing w:after="0"/>
        <w:jc w:val="center"/>
      </w:pPr>
    </w:p>
    <w:p w14:paraId="3BCE9EE7" w14:textId="77777777" w:rsidR="00FB18F5" w:rsidRDefault="00FB18F5" w:rsidP="00FB18F5">
      <w:pPr>
        <w:numPr>
          <w:ilvl w:val="0"/>
          <w:numId w:val="5"/>
        </w:numPr>
        <w:tabs>
          <w:tab w:val="left" w:pos="360"/>
        </w:tabs>
        <w:spacing w:before="120"/>
        <w:jc w:val="both"/>
      </w:pPr>
      <w:r>
        <w:t xml:space="preserve">V případě, že bude Ministerstvo v prodlení se zaplacením řádně vystavené faktury, je povinno zaplatit Dopravci úrok z prodlení ve výši stanovené příslušným právním předpisem. </w:t>
      </w:r>
    </w:p>
    <w:p w14:paraId="00B2D632" w14:textId="77777777" w:rsidR="00FB18F5" w:rsidRDefault="00FB18F5" w:rsidP="00FB18F5">
      <w:pPr>
        <w:numPr>
          <w:ilvl w:val="0"/>
          <w:numId w:val="5"/>
        </w:numPr>
        <w:tabs>
          <w:tab w:val="left" w:pos="360"/>
        </w:tabs>
        <w:spacing w:before="120"/>
        <w:jc w:val="both"/>
      </w:pPr>
      <w:r>
        <w:t>V případě, že Dopravce předloží Ministerstvu nepravdivé údaje, které mají vliv na výši kompenzace slev a které Dopravce ani v dodatečné lhůtě stanovené Ministerstvem neopraví, uloží Ministerstvo Dopravci smluvní pokutu ve výši 50 % Ministerstvem zjištěného neoprávněného prospěchu Dopravce. Neoprávněným prospěchem se rozumí výhoda Dopravce, k níž by při výpočtu výše kompenzace při využití nepravdivých údajů předložených Dopravcem došlo. Je-li však konečné vyčíslení a doložení neoprávněného prospěchu Dopravce vyšší, než zjistilo Ministerstvo, Dopravce uhradí zbývající část smluvní pokuty, a to do výše 50 % z celkového prokazatelně vyčísleného a doloženého neoprávněného prospěchu Dopravce.</w:t>
      </w:r>
    </w:p>
    <w:p w14:paraId="67CFDA35" w14:textId="77777777" w:rsidR="00FB18F5" w:rsidRDefault="00FB18F5" w:rsidP="00FB18F5">
      <w:pPr>
        <w:numPr>
          <w:ilvl w:val="0"/>
          <w:numId w:val="5"/>
        </w:numPr>
        <w:tabs>
          <w:tab w:val="left" w:pos="360"/>
        </w:tabs>
        <w:spacing w:before="120"/>
        <w:jc w:val="both"/>
      </w:pPr>
      <w:r>
        <w:t>Neposkytne-li Dopravce součinnost při kontrole podle článku VIII. odst. 3 této smlouvy, uloží Ministerstvo Dopravci smluvní pokutu ve výši 5 000,- Kč za každý jednotlivý případ neposkytnutí součinnosti.</w:t>
      </w:r>
    </w:p>
    <w:p w14:paraId="0DB6B328" w14:textId="68C94769" w:rsidR="00A66CEB" w:rsidRPr="005F420F" w:rsidRDefault="00FB18F5" w:rsidP="00FB18F5">
      <w:pPr>
        <w:numPr>
          <w:ilvl w:val="0"/>
          <w:numId w:val="5"/>
        </w:numPr>
        <w:tabs>
          <w:tab w:val="left" w:pos="360"/>
        </w:tabs>
        <w:spacing w:before="120"/>
        <w:jc w:val="both"/>
      </w:pPr>
      <w:r>
        <w:t>Úrok z prodlení a smluvní pokuta jsou splatné do 30 kalendářních dnů ode dne doručení jejich písemného vyúčtování.</w:t>
      </w:r>
      <w:r w:rsidR="00A66CEB" w:rsidRPr="005F420F">
        <w:t>.</w:t>
      </w:r>
    </w:p>
    <w:p w14:paraId="3503C320" w14:textId="77777777" w:rsidR="00D85733" w:rsidRPr="00D85733" w:rsidRDefault="00D85733" w:rsidP="00D85733">
      <w:pPr>
        <w:tabs>
          <w:tab w:val="left" w:pos="360"/>
        </w:tabs>
        <w:spacing w:before="120"/>
        <w:jc w:val="both"/>
        <w:rPr>
          <w:b/>
          <w:color w:val="0000FF"/>
        </w:rPr>
      </w:pPr>
    </w:p>
    <w:p w14:paraId="6C6161F0" w14:textId="77777777" w:rsidR="00D85733" w:rsidRPr="00D4717F" w:rsidRDefault="00D85733" w:rsidP="008E633A">
      <w:pPr>
        <w:pStyle w:val="Zkladntext"/>
        <w:keepNext/>
        <w:spacing w:after="0"/>
        <w:jc w:val="center"/>
        <w:rPr>
          <w:b/>
          <w:bCs/>
        </w:rPr>
      </w:pPr>
      <w:r w:rsidRPr="00D4717F">
        <w:rPr>
          <w:b/>
          <w:bCs/>
        </w:rPr>
        <w:t>Článek X</w:t>
      </w:r>
      <w:r>
        <w:rPr>
          <w:b/>
          <w:bCs/>
        </w:rPr>
        <w:t>I</w:t>
      </w:r>
      <w:r w:rsidRPr="00D4717F">
        <w:rPr>
          <w:b/>
          <w:bCs/>
        </w:rPr>
        <w:t>.</w:t>
      </w:r>
    </w:p>
    <w:p w14:paraId="6EF720AE" w14:textId="77777777" w:rsidR="00D85733" w:rsidRPr="00D4717F" w:rsidRDefault="00D85733" w:rsidP="008E633A">
      <w:pPr>
        <w:pStyle w:val="Zkladntext"/>
        <w:keepNext/>
        <w:spacing w:after="0"/>
        <w:jc w:val="center"/>
        <w:rPr>
          <w:b/>
          <w:bCs/>
        </w:rPr>
      </w:pPr>
      <w:r w:rsidRPr="00D4717F">
        <w:rPr>
          <w:b/>
          <w:bCs/>
        </w:rPr>
        <w:t>Ostatní a závěrečná ujednání</w:t>
      </w:r>
    </w:p>
    <w:p w14:paraId="19ADB404" w14:textId="77777777" w:rsidR="00D85733" w:rsidRDefault="00D85733" w:rsidP="00D85733">
      <w:pPr>
        <w:pStyle w:val="Zkladntext"/>
        <w:spacing w:after="0"/>
        <w:jc w:val="center"/>
      </w:pPr>
    </w:p>
    <w:p w14:paraId="37DFBA39" w14:textId="77777777" w:rsidR="00D85733" w:rsidRPr="00C914D8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C914D8">
        <w:t xml:space="preserve">Smluvní strany se dohodly, že veškeré písemnosti určené </w:t>
      </w:r>
      <w:r>
        <w:t>Ministerstvu</w:t>
      </w:r>
      <w:r w:rsidRPr="00C914D8">
        <w:t xml:space="preserve"> budou zasílány na adresu:</w:t>
      </w:r>
    </w:p>
    <w:p w14:paraId="1CF7DC19" w14:textId="77777777" w:rsidR="00092362" w:rsidRDefault="00092362" w:rsidP="00092362">
      <w:pPr>
        <w:ind w:leftChars="375" w:left="900"/>
        <w:jc w:val="both"/>
      </w:pPr>
      <w:r>
        <w:lastRenderedPageBreak/>
        <w:t>Odbor financí a ekonomiky</w:t>
      </w:r>
    </w:p>
    <w:p w14:paraId="6BC3782E" w14:textId="77777777" w:rsidR="00D85733" w:rsidRDefault="00D85733" w:rsidP="00D85733">
      <w:pPr>
        <w:ind w:leftChars="375" w:left="900"/>
        <w:jc w:val="both"/>
      </w:pPr>
      <w:r>
        <w:t>Ministerstvo dopravy</w:t>
      </w:r>
    </w:p>
    <w:p w14:paraId="44E67964" w14:textId="77777777" w:rsidR="00D85733" w:rsidRDefault="00D85733" w:rsidP="00D85733">
      <w:pPr>
        <w:ind w:leftChars="375" w:left="900"/>
        <w:jc w:val="both"/>
      </w:pPr>
      <w:r>
        <w:t>nábřeží L. Svobody 1222/12</w:t>
      </w:r>
    </w:p>
    <w:p w14:paraId="58CBD4C2" w14:textId="77777777" w:rsidR="00D85733" w:rsidRDefault="00D85733" w:rsidP="00D85733">
      <w:pPr>
        <w:ind w:leftChars="375" w:left="900"/>
        <w:jc w:val="both"/>
      </w:pPr>
      <w:r>
        <w:t>110 15</w:t>
      </w:r>
      <w:r w:rsidRPr="00D4717F">
        <w:t xml:space="preserve"> </w:t>
      </w:r>
      <w:r>
        <w:t>Praha 1</w:t>
      </w:r>
    </w:p>
    <w:p w14:paraId="1EADF1BE" w14:textId="77777777" w:rsidR="00D85733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Písemnosti lze zasílat též prostřednictvím datové schránky.</w:t>
      </w:r>
    </w:p>
    <w:p w14:paraId="121FC2A5" w14:textId="77777777" w:rsidR="00D85733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Dopravce bere na vědomí, že:</w:t>
      </w:r>
    </w:p>
    <w:p w14:paraId="677AE564" w14:textId="77777777" w:rsidR="00D85733" w:rsidRDefault="00D85733" w:rsidP="00900311">
      <w:pPr>
        <w:numPr>
          <w:ilvl w:val="1"/>
          <w:numId w:val="14"/>
        </w:numPr>
        <w:tabs>
          <w:tab w:val="clear" w:pos="1440"/>
        </w:tabs>
        <w:spacing w:before="120"/>
        <w:ind w:left="709"/>
        <w:jc w:val="both"/>
      </w:pPr>
      <w:r>
        <w:t>poskytování peněžních prostředků Dopravci na základě této smlouvy podléhá finanční kontrole podle zákona č. 320/2001 Sb., o finanční kontrole</w:t>
      </w:r>
      <w:r w:rsidR="0071549F" w:rsidRPr="0071549F">
        <w:t xml:space="preserve"> ve veřejné správě a o změně některých zákonů (zákon o finanční kontrole)</w:t>
      </w:r>
      <w:r>
        <w:t>, ve znění pozdějších předpisů,</w:t>
      </w:r>
    </w:p>
    <w:p w14:paraId="70BF2908" w14:textId="77777777" w:rsidR="00D85733" w:rsidRDefault="00D85733" w:rsidP="00900311">
      <w:pPr>
        <w:numPr>
          <w:ilvl w:val="1"/>
          <w:numId w:val="14"/>
        </w:numPr>
        <w:tabs>
          <w:tab w:val="clear" w:pos="1440"/>
        </w:tabs>
        <w:spacing w:before="120"/>
        <w:ind w:left="709"/>
        <w:jc w:val="both"/>
      </w:pPr>
      <w:r w:rsidRPr="00C914D8">
        <w:t xml:space="preserve">na neoprávněné čerpání nebo zadržení peněžních prostředků ze strany </w:t>
      </w:r>
      <w:r>
        <w:t>Dopravce</w:t>
      </w:r>
      <w:r w:rsidRPr="00C914D8">
        <w:t xml:space="preserve"> se vztahuje ustanovení § 44 a 44a zákona </w:t>
      </w:r>
      <w:r w:rsidR="00AE00EB">
        <w:t xml:space="preserve">č. </w:t>
      </w:r>
      <w:r w:rsidRPr="00C914D8">
        <w:t>218/2000 Sb., o rozpočtových pravidlech a o změně některých souvisejících zákonů (rozpočtová pravidla), ve znění pozdějších předpisů.</w:t>
      </w:r>
    </w:p>
    <w:p w14:paraId="709613D6" w14:textId="20D6825E" w:rsidR="00D85733" w:rsidRDefault="00D85733" w:rsidP="00D8573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Tato smlouva o kompenzaci slev z jízdného není smlouvou o veřejných službách ve smyslu </w:t>
      </w:r>
      <w:r w:rsidR="0071549F">
        <w:t xml:space="preserve">ustanovení </w:t>
      </w:r>
      <w:r>
        <w:t xml:space="preserve">§ 9 zákona č. 194/2010 Sb., </w:t>
      </w:r>
      <w:r w:rsidRPr="00FD7EBF">
        <w:t>o veřejných službách v přepravě cestujících a o změně dalších zákonů</w:t>
      </w:r>
      <w:r w:rsidR="0071549F">
        <w:t xml:space="preserve">, ve znění </w:t>
      </w:r>
      <w:r w:rsidR="00C30CE2">
        <w:t>pozdějších předpisů</w:t>
      </w:r>
      <w:r w:rsidR="00445A61">
        <w:t xml:space="preserve"> </w:t>
      </w:r>
      <w:r w:rsidR="00114AD4">
        <w:t>(dále jen „Zákon č. 194/2010 Sb.“)</w:t>
      </w:r>
      <w:r w:rsidR="0071549F">
        <w:t>,</w:t>
      </w:r>
      <w:r>
        <w:t xml:space="preserve"> a jejím předmětem není zajištění dopravní obslužnosti státu, kraje ani obce.</w:t>
      </w:r>
    </w:p>
    <w:p w14:paraId="4883E35D" w14:textId="66BDA972" w:rsidR="00DD40E2" w:rsidRDefault="00D85733" w:rsidP="008D5BC6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94A52">
        <w:t>Dopravce prohlašuje, že spoj</w:t>
      </w:r>
      <w:r>
        <w:t>e</w:t>
      </w:r>
      <w:r w:rsidRPr="00A94A52">
        <w:t xml:space="preserve"> resp. jejich část</w:t>
      </w:r>
      <w:r>
        <w:t>i</w:t>
      </w:r>
      <w:r w:rsidRPr="00A94A52">
        <w:t xml:space="preserve"> uveden</w:t>
      </w:r>
      <w:r>
        <w:t>é</w:t>
      </w:r>
      <w:r w:rsidRPr="00A94A52">
        <w:t xml:space="preserve"> v Příloze č. 1 této smlouvy </w:t>
      </w:r>
      <w:r>
        <w:t>nejsou předmětem smlouvy o závazku</w:t>
      </w:r>
      <w:r w:rsidRPr="004E65D0">
        <w:t xml:space="preserve"> </w:t>
      </w:r>
      <w:r>
        <w:t xml:space="preserve">veřejné služby ani smlouvy o veřejných službách </w:t>
      </w:r>
      <w:r w:rsidR="00170511" w:rsidRPr="008D5BC6">
        <w:t xml:space="preserve">vztahující se </w:t>
      </w:r>
      <w:r w:rsidR="00E0589C">
        <w:t>k</w:t>
      </w:r>
      <w:r w:rsidR="00170511" w:rsidRPr="008D5BC6">
        <w:t xml:space="preserve"> území České republiky </w:t>
      </w:r>
      <w:r w:rsidR="003D7427">
        <w:t>se</w:t>
      </w:r>
      <w:r w:rsidR="00170511" w:rsidRPr="008D5BC6">
        <w:t xml:space="preserve"> žádn</w:t>
      </w:r>
      <w:r w:rsidR="003D7427">
        <w:t>ým</w:t>
      </w:r>
      <w:r w:rsidR="00170511" w:rsidRPr="008D5BC6">
        <w:t xml:space="preserve"> objednatele</w:t>
      </w:r>
      <w:r w:rsidR="003D7427">
        <w:t>m na území</w:t>
      </w:r>
      <w:r w:rsidR="00170511" w:rsidRPr="008D5BC6">
        <w:t xml:space="preserve"> členské</w:t>
      </w:r>
      <w:r w:rsidR="003D7427">
        <w:t>ho</w:t>
      </w:r>
      <w:r w:rsidR="00170511" w:rsidRPr="008D5BC6">
        <w:t xml:space="preserve"> stát</w:t>
      </w:r>
      <w:r w:rsidR="003D7427">
        <w:t>u</w:t>
      </w:r>
      <w:r w:rsidR="00170511" w:rsidRPr="008D5BC6">
        <w:t xml:space="preserve"> EU</w:t>
      </w:r>
      <w:r w:rsidRPr="00AB2325">
        <w:t xml:space="preserve">. </w:t>
      </w:r>
      <w:r>
        <w:t xml:space="preserve">V případě, že Dopravce smlouvu o veřejných službách podle </w:t>
      </w:r>
      <w:r w:rsidR="0071549F">
        <w:t xml:space="preserve">ustanovení </w:t>
      </w:r>
      <w:r>
        <w:t xml:space="preserve">§ 9 zákona </w:t>
      </w:r>
      <w:r w:rsidR="0071549F" w:rsidRPr="0071549F">
        <w:t>č. 194/2010 Sb.</w:t>
      </w:r>
      <w:r w:rsidR="0071549F">
        <w:t xml:space="preserve"> </w:t>
      </w:r>
      <w:r w:rsidR="003D7427">
        <w:t>a</w:t>
      </w:r>
      <w:r w:rsidR="00435780">
        <w:t xml:space="preserve"> </w:t>
      </w:r>
      <w:r w:rsidR="004D3042">
        <w:t xml:space="preserve">podle </w:t>
      </w:r>
      <w:r w:rsidR="00435780" w:rsidRPr="00C10E42">
        <w:t>Nařízení Evropského parlamentu a Rady (ES) č.</w:t>
      </w:r>
      <w:r w:rsidR="00435780">
        <w:t> </w:t>
      </w:r>
      <w:r w:rsidR="00435780" w:rsidRPr="00C10E42">
        <w:t>1370/2007 ze dne 23. října 2007 o veřejných službách v přepravě cestujících po železnici a silnici a o zrušení nařízení Rady (EHS) č. 1191/69 a č. 1107/</w:t>
      </w:r>
      <w:r w:rsidR="00435780" w:rsidRPr="00897BF0">
        <w:t>70</w:t>
      </w:r>
      <w:r w:rsidR="004D3042">
        <w:t xml:space="preserve"> </w:t>
      </w:r>
      <w:r w:rsidR="003D7427">
        <w:t>(</w:t>
      </w:r>
      <w:r w:rsidR="004D3042">
        <w:t xml:space="preserve">a to i </w:t>
      </w:r>
      <w:r w:rsidR="004107EA">
        <w:t>v rámci jiného členského státu EU</w:t>
      </w:r>
      <w:r w:rsidR="006A4EFF">
        <w:t xml:space="preserve">) </w:t>
      </w:r>
      <w:r>
        <w:t>týkající se některých ze spojů uvedených v Příloze č. 1 této smlouvy uzavře, nebo rozšíří o tyto spoje rozsah stávající smlouvy</w:t>
      </w:r>
      <w:r w:rsidR="00900311" w:rsidRPr="00900311">
        <w:t xml:space="preserve"> </w:t>
      </w:r>
      <w:r w:rsidR="00900311" w:rsidRPr="00434B38">
        <w:t>o závazku veřejné služby nebo smlouvy o veřejných službách</w:t>
      </w:r>
      <w:r>
        <w:t xml:space="preserve">, pozbývá tato smlouva ke dni účinnosti smlouvy o </w:t>
      </w:r>
      <w:r w:rsidR="00A35A55">
        <w:t>závazku</w:t>
      </w:r>
      <w:r w:rsidR="00A35A55" w:rsidRPr="004E65D0">
        <w:t xml:space="preserve"> </w:t>
      </w:r>
      <w:r w:rsidR="00A35A55">
        <w:t xml:space="preserve">veřejné služby nebo smlouvy o </w:t>
      </w:r>
      <w:r>
        <w:t xml:space="preserve">veřejných službách nebo jejího dodatku </w:t>
      </w:r>
      <w:r w:rsidR="00041785" w:rsidRPr="008D5BC6">
        <w:t>v části týkající se</w:t>
      </w:r>
      <w:r w:rsidRPr="008D5BC6">
        <w:t xml:space="preserve"> dotčených </w:t>
      </w:r>
      <w:r w:rsidRPr="00547722">
        <w:t>spojů</w:t>
      </w:r>
      <w:r w:rsidR="00547722" w:rsidRPr="00547722">
        <w:t xml:space="preserve"> a v rozsahu úpravy slev podle svého čl. IV odst. 3</w:t>
      </w:r>
      <w:r w:rsidRPr="008D5BC6">
        <w:t xml:space="preserve"> </w:t>
      </w:r>
      <w:r>
        <w:t>účinnosti. S</w:t>
      </w:r>
      <w:r w:rsidRPr="008D5BC6">
        <w:t>mluvní strany následně upraví</w:t>
      </w:r>
      <w:r w:rsidR="00041785" w:rsidRPr="008D5BC6">
        <w:t xml:space="preserve"> údaje v</w:t>
      </w:r>
      <w:r w:rsidRPr="008D5BC6">
        <w:t xml:space="preserve"> Přílo</w:t>
      </w:r>
      <w:r w:rsidR="00041785" w:rsidRPr="008D5BC6">
        <w:t>ze</w:t>
      </w:r>
      <w:r w:rsidRPr="008D5BC6">
        <w:t xml:space="preserve"> č. 1 této smlouvy tak, aby takové spoje neobsahovala.</w:t>
      </w:r>
      <w:r w:rsidR="00183BAA" w:rsidRPr="008D5BC6">
        <w:t xml:space="preserve"> </w:t>
      </w:r>
      <w:r w:rsidR="007052CF" w:rsidRPr="008D5BC6">
        <w:t xml:space="preserve">Jakmile </w:t>
      </w:r>
      <w:r w:rsidR="00782F5B" w:rsidRPr="008D5BC6">
        <w:t xml:space="preserve">se na </w:t>
      </w:r>
      <w:r w:rsidR="00183BAA" w:rsidRPr="008D5BC6">
        <w:t xml:space="preserve">kterýkoliv spoj </w:t>
      </w:r>
      <w:r w:rsidR="00782F5B" w:rsidRPr="008D5BC6">
        <w:t>provozovaný Dopravcem</w:t>
      </w:r>
      <w:r w:rsidR="00183BAA" w:rsidRPr="008D5BC6">
        <w:t xml:space="preserve"> </w:t>
      </w:r>
      <w:r w:rsidR="00782F5B" w:rsidRPr="008D5BC6">
        <w:t xml:space="preserve">přestane smlouva </w:t>
      </w:r>
      <w:r w:rsidR="002A70F3">
        <w:t>o závazku</w:t>
      </w:r>
      <w:r w:rsidR="002A70F3" w:rsidRPr="004E65D0">
        <w:t xml:space="preserve"> </w:t>
      </w:r>
      <w:r w:rsidR="002A70F3">
        <w:t>veřejné služby nebo smlouva o veřejných službách</w:t>
      </w:r>
      <w:r w:rsidR="00782F5B">
        <w:t xml:space="preserve"> vztahovat,</w:t>
      </w:r>
      <w:r w:rsidR="00660E03">
        <w:t xml:space="preserve"> případně zavede-li </w:t>
      </w:r>
      <w:r w:rsidR="009302F6">
        <w:t xml:space="preserve">Dopravce </w:t>
      </w:r>
      <w:r w:rsidR="00660E03">
        <w:t>nový spoj, který není předmětem smlouvy o</w:t>
      </w:r>
      <w:r w:rsidR="003D7427">
        <w:t xml:space="preserve"> závazku veřejné služby nebo smlouvy o</w:t>
      </w:r>
      <w:r w:rsidR="00660E03">
        <w:t xml:space="preserve"> veřejných službách </w:t>
      </w:r>
      <w:r w:rsidR="008D5BC6" w:rsidRPr="008D5BC6">
        <w:t xml:space="preserve">vztahující se </w:t>
      </w:r>
      <w:r w:rsidR="00E0589C">
        <w:t>k</w:t>
      </w:r>
      <w:r w:rsidR="008D5BC6" w:rsidRPr="008D5BC6">
        <w:t xml:space="preserve"> území České republiky </w:t>
      </w:r>
      <w:r w:rsidR="003D7427">
        <w:t>s</w:t>
      </w:r>
      <w:r w:rsidR="00E840A5">
        <w:t>e</w:t>
      </w:r>
      <w:r w:rsidR="008D5BC6" w:rsidRPr="008D5BC6">
        <w:t xml:space="preserve"> žádn</w:t>
      </w:r>
      <w:r w:rsidR="00E840A5">
        <w:t>ým</w:t>
      </w:r>
      <w:r w:rsidR="008D5BC6" w:rsidRPr="008D5BC6">
        <w:t xml:space="preserve"> objednatele</w:t>
      </w:r>
      <w:r w:rsidR="003D7427">
        <w:t>m</w:t>
      </w:r>
      <w:r w:rsidR="008D5BC6" w:rsidRPr="008D5BC6">
        <w:t xml:space="preserve"> </w:t>
      </w:r>
      <w:r w:rsidR="00E840A5">
        <w:t>na území</w:t>
      </w:r>
      <w:r w:rsidR="008D5BC6" w:rsidRPr="008D5BC6">
        <w:t xml:space="preserve"> členské</w:t>
      </w:r>
      <w:r w:rsidR="00E840A5">
        <w:t>ho</w:t>
      </w:r>
      <w:r w:rsidR="008D5BC6" w:rsidRPr="008D5BC6">
        <w:t xml:space="preserve"> stát</w:t>
      </w:r>
      <w:r w:rsidR="00E840A5">
        <w:t>u</w:t>
      </w:r>
      <w:r w:rsidR="008D5BC6" w:rsidRPr="008D5BC6">
        <w:t xml:space="preserve"> EU</w:t>
      </w:r>
      <w:r w:rsidR="00660E03">
        <w:t>,</w:t>
      </w:r>
      <w:r w:rsidR="00660E03" w:rsidRPr="00660E03">
        <w:t xml:space="preserve"> </w:t>
      </w:r>
      <w:r w:rsidR="00660E03" w:rsidRPr="008D5BC6">
        <w:t xml:space="preserve">upraví </w:t>
      </w:r>
      <w:r w:rsidR="00660E03">
        <w:t>s</w:t>
      </w:r>
      <w:r w:rsidR="00660E03" w:rsidRPr="008D5BC6">
        <w:t>mluvní strany</w:t>
      </w:r>
      <w:r w:rsidR="00E81D68" w:rsidRPr="008D5BC6">
        <w:t xml:space="preserve"> údaje uvedené v</w:t>
      </w:r>
      <w:r w:rsidR="00660E03" w:rsidRPr="008D5BC6">
        <w:t xml:space="preserve"> Přílo</w:t>
      </w:r>
      <w:r w:rsidR="00E81D68" w:rsidRPr="008D5BC6">
        <w:t>ze</w:t>
      </w:r>
      <w:r w:rsidR="00660E03" w:rsidRPr="008D5BC6">
        <w:t xml:space="preserve"> č. 1 této smlouvy tak, aby takové spoje zahrnovala</w:t>
      </w:r>
      <w:r w:rsidR="00073D3C">
        <w:t xml:space="preserve">. </w:t>
      </w:r>
    </w:p>
    <w:p w14:paraId="06B652E9" w14:textId="77777777" w:rsidR="00D85733" w:rsidRDefault="00E0589C" w:rsidP="00D8573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Dojde-li ke</w:t>
      </w:r>
      <w:r w:rsidR="00073D3C">
        <w:t> </w:t>
      </w:r>
      <w:r w:rsidR="00DD40E2">
        <w:t xml:space="preserve">změně </w:t>
      </w:r>
      <w:r w:rsidR="00073D3C">
        <w:t>výčtu spojů</w:t>
      </w:r>
      <w:r>
        <w:t xml:space="preserve"> uvedených</w:t>
      </w:r>
      <w:r w:rsidR="00073D3C">
        <w:t xml:space="preserve"> v Příloze č. 1 této smlouvy </w:t>
      </w:r>
      <w:r w:rsidR="0006380D">
        <w:t>dle odst. 5 tohoto článku</w:t>
      </w:r>
      <w:r>
        <w:t>,</w:t>
      </w:r>
      <w:r w:rsidR="0006380D">
        <w:t xml:space="preserve"> </w:t>
      </w:r>
      <w:r w:rsidR="00073D3C">
        <w:t xml:space="preserve">smluvní strany </w:t>
      </w:r>
      <w:r w:rsidR="00E81D68">
        <w:t>uzavřou</w:t>
      </w:r>
      <w:r w:rsidR="00DD40E2">
        <w:t xml:space="preserve"> </w:t>
      </w:r>
      <w:r w:rsidR="00073D3C">
        <w:t xml:space="preserve">dodatek ve smyslu odst. </w:t>
      </w:r>
      <w:r w:rsidR="00DD40E2">
        <w:t xml:space="preserve">7 </w:t>
      </w:r>
      <w:r w:rsidR="00073D3C">
        <w:t>tohoto článku</w:t>
      </w:r>
      <w:r w:rsidR="00DD40E2">
        <w:t>, nebo tuto změnu Dopravce</w:t>
      </w:r>
      <w:r w:rsidR="00F921A4">
        <w:t xml:space="preserve"> Ministerstvu </w:t>
      </w:r>
      <w:r w:rsidR="002D412A">
        <w:t>písemně</w:t>
      </w:r>
      <w:r w:rsidR="00F921A4">
        <w:t xml:space="preserve"> oznámí v souladu s odstavci 1 a 2 tohoto článku</w:t>
      </w:r>
      <w:r w:rsidR="00875EC7">
        <w:rPr>
          <w:rStyle w:val="FontStyle30"/>
        </w:rPr>
        <w:t>.</w:t>
      </w:r>
      <w:r w:rsidR="00F921A4">
        <w:rPr>
          <w:rStyle w:val="FontStyle30"/>
        </w:rPr>
        <w:t xml:space="preserve"> V případě </w:t>
      </w:r>
      <w:r w:rsidR="002D412A">
        <w:rPr>
          <w:rStyle w:val="FontStyle30"/>
        </w:rPr>
        <w:t xml:space="preserve">obdržení </w:t>
      </w:r>
      <w:r w:rsidR="00F921A4">
        <w:rPr>
          <w:rStyle w:val="FontStyle30"/>
        </w:rPr>
        <w:t xml:space="preserve">oznámení změny </w:t>
      </w:r>
      <w:r>
        <w:rPr>
          <w:rStyle w:val="FontStyle30"/>
        </w:rPr>
        <w:t>spojů uvedených v</w:t>
      </w:r>
      <w:r w:rsidR="00F921A4">
        <w:rPr>
          <w:rStyle w:val="FontStyle30"/>
        </w:rPr>
        <w:t xml:space="preserve"> </w:t>
      </w:r>
      <w:r w:rsidR="000A1099">
        <w:rPr>
          <w:rStyle w:val="FontStyle30"/>
        </w:rPr>
        <w:t xml:space="preserve">Příloze </w:t>
      </w:r>
      <w:r w:rsidR="00F921A4">
        <w:rPr>
          <w:rStyle w:val="FontStyle30"/>
        </w:rPr>
        <w:t xml:space="preserve">č. 1 této smlouvy zašle </w:t>
      </w:r>
      <w:r w:rsidR="002D412A">
        <w:rPr>
          <w:rStyle w:val="FontStyle30"/>
        </w:rPr>
        <w:t>následně Ministerstvo</w:t>
      </w:r>
      <w:r w:rsidR="006C238D">
        <w:rPr>
          <w:rStyle w:val="FontStyle30"/>
        </w:rPr>
        <w:t xml:space="preserve">, po </w:t>
      </w:r>
      <w:r w:rsidR="0006380D">
        <w:rPr>
          <w:rStyle w:val="FontStyle30"/>
        </w:rPr>
        <w:t xml:space="preserve">provedení předběžné řídící finanční kontroly </w:t>
      </w:r>
      <w:r w:rsidR="006C238D">
        <w:rPr>
          <w:rStyle w:val="FontStyle30"/>
        </w:rPr>
        <w:t xml:space="preserve">před vznikem </w:t>
      </w:r>
      <w:r w:rsidR="0006380D">
        <w:rPr>
          <w:rStyle w:val="FontStyle30"/>
        </w:rPr>
        <w:t>závazku</w:t>
      </w:r>
      <w:r w:rsidR="006C238D">
        <w:rPr>
          <w:rStyle w:val="FontStyle30"/>
        </w:rPr>
        <w:t>,</w:t>
      </w:r>
      <w:r w:rsidR="0006380D">
        <w:rPr>
          <w:rStyle w:val="FontStyle30"/>
        </w:rPr>
        <w:t xml:space="preserve"> D</w:t>
      </w:r>
      <w:r w:rsidR="00F921A4">
        <w:rPr>
          <w:rStyle w:val="FontStyle30"/>
        </w:rPr>
        <w:t xml:space="preserve">opravci </w:t>
      </w:r>
      <w:r w:rsidR="003F6C57">
        <w:rPr>
          <w:rStyle w:val="FontStyle30"/>
        </w:rPr>
        <w:t xml:space="preserve">písemné </w:t>
      </w:r>
      <w:r w:rsidR="00F921A4">
        <w:rPr>
          <w:rStyle w:val="FontStyle30"/>
        </w:rPr>
        <w:t>oznámení o akceptaci změny</w:t>
      </w:r>
      <w:r w:rsidR="0006380D">
        <w:rPr>
          <w:rStyle w:val="FontStyle30"/>
        </w:rPr>
        <w:t>.</w:t>
      </w:r>
      <w:r w:rsidR="006C238D">
        <w:rPr>
          <w:rStyle w:val="FontStyle30"/>
        </w:rPr>
        <w:t xml:space="preserve"> </w:t>
      </w:r>
    </w:p>
    <w:p w14:paraId="1B976C3E" w14:textId="0AE129F7" w:rsidR="00D85733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Jednotlivá ustanovení </w:t>
      </w:r>
      <w:r w:rsidR="009302F6">
        <w:t xml:space="preserve">této </w:t>
      </w:r>
      <w:r>
        <w:t>smlouvy mohou být měněna, doplněna nebo zrušena pouze písemnými dodatky k této smlouvě podepsanými oběma smluvními stranami. Takovéto dodatky se stávají nedílnou součástí této smlouvy.</w:t>
      </w:r>
      <w:r w:rsidR="00726CDE">
        <w:t xml:space="preserve"> </w:t>
      </w:r>
      <w:r w:rsidR="00616537">
        <w:t>Odchylně od první věty tohoto odstavce</w:t>
      </w:r>
      <w:r w:rsidR="003F6C57">
        <w:t xml:space="preserve"> se smluvní </w:t>
      </w:r>
      <w:r w:rsidR="00A35A55">
        <w:t xml:space="preserve">strany </w:t>
      </w:r>
      <w:r w:rsidR="003F6C57">
        <w:t>dohodly, že údaje uvedené v</w:t>
      </w:r>
      <w:r w:rsidR="00616537">
        <w:t xml:space="preserve"> </w:t>
      </w:r>
      <w:r w:rsidR="00726CDE">
        <w:t>Přílo</w:t>
      </w:r>
      <w:r w:rsidR="003F6C57">
        <w:t>ze</w:t>
      </w:r>
      <w:r w:rsidR="00726CDE">
        <w:t xml:space="preserve"> č. 1 této smlouvy </w:t>
      </w:r>
      <w:r w:rsidR="003F6C57">
        <w:t>mohou být z</w:t>
      </w:r>
      <w:r w:rsidR="00726CDE">
        <w:t>měněn</w:t>
      </w:r>
      <w:r w:rsidR="003F6C57">
        <w:t>y</w:t>
      </w:r>
      <w:r w:rsidR="00726CDE">
        <w:t xml:space="preserve"> též prostřednictvím </w:t>
      </w:r>
      <w:r w:rsidR="00616537">
        <w:t>písemného oznámení a jeho akceptace</w:t>
      </w:r>
      <w:r w:rsidR="00726CDE">
        <w:t xml:space="preserve"> </w:t>
      </w:r>
      <w:r w:rsidR="003F6C57">
        <w:t>dle</w:t>
      </w:r>
      <w:r w:rsidR="00726CDE">
        <w:t> odst. 6 tohoto článku.</w:t>
      </w:r>
    </w:p>
    <w:p w14:paraId="28EBF69D" w14:textId="4DAB0064" w:rsidR="002038B1" w:rsidRDefault="002038B1" w:rsidP="002038B1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 případě rozporu mezi touto smlouvou a </w:t>
      </w:r>
      <w:r w:rsidRPr="00897BF0">
        <w:t>Metodický</w:t>
      </w:r>
      <w:r>
        <w:t>m</w:t>
      </w:r>
      <w:r w:rsidRPr="00897BF0">
        <w:t xml:space="preserve"> pokyn</w:t>
      </w:r>
      <w:r>
        <w:t xml:space="preserve">em se přednostně uplatní ustanovení </w:t>
      </w:r>
      <w:r w:rsidR="009302F6">
        <w:t xml:space="preserve">této </w:t>
      </w:r>
      <w:r>
        <w:t>smlouvy.</w:t>
      </w:r>
    </w:p>
    <w:p w14:paraId="1B2057D3" w14:textId="77777777" w:rsidR="00D85733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Dojde-li ke změně či zrušení obecně závazných právních předpisů či k vydání nových obecně závazných právních předpisů, jsou smluvní strany povinny neprodleně upravit svá práva a závazky v této smlouvě písemným dodatkem ke smlouvě dle odst. </w:t>
      </w:r>
      <w:r w:rsidR="0006380D">
        <w:t xml:space="preserve">7 </w:t>
      </w:r>
      <w:r>
        <w:t>tohoto článku tak, aby byla v souladu s obecně závaznými právními předpisy.</w:t>
      </w:r>
    </w:p>
    <w:p w14:paraId="42D5F033" w14:textId="77777777" w:rsidR="00D85733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04ECD">
        <w:lastRenderedPageBreak/>
        <w:t xml:space="preserve">Pozbude-li </w:t>
      </w:r>
      <w:r>
        <w:t>D</w:t>
      </w:r>
      <w:r w:rsidRPr="00104ECD">
        <w:t>opravce možnost užívat aplikaci CISnet z důvodů nikoliv na své straně, jsou smluvní strany povinny uzavřít bez zbytečného odkladu dodatek k této smlouvě tak, aby mohl být naplněn její účel.</w:t>
      </w:r>
    </w:p>
    <w:p w14:paraId="246CB75C" w14:textId="343AD592" w:rsidR="00D85733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Pokud v průběhu účinnosti </w:t>
      </w:r>
      <w:r w:rsidR="009302F6">
        <w:t xml:space="preserve">této </w:t>
      </w:r>
      <w:r>
        <w:t xml:space="preserve">smlouvy dojde ke změně </w:t>
      </w:r>
      <w:r w:rsidR="00A95F02">
        <w:t xml:space="preserve">podstatných </w:t>
      </w:r>
      <w:r>
        <w:t xml:space="preserve">údajů </w:t>
      </w:r>
      <w:r>
        <w:rPr>
          <w:rStyle w:val="FontStyle30"/>
        </w:rPr>
        <w:t xml:space="preserve">(tj. obchodní firma, sídlo, styčný pracovník) </w:t>
      </w:r>
      <w:r>
        <w:t xml:space="preserve">na straně Dopravce nebo Ministerstva, je příslušná strana povinna tuto skutečnost druhé straně </w:t>
      </w:r>
      <w:r w:rsidR="009302F6">
        <w:t xml:space="preserve">bezodkladně </w:t>
      </w:r>
      <w:r>
        <w:t>písemně sdělit.</w:t>
      </w:r>
    </w:p>
    <w:p w14:paraId="79C30E4C" w14:textId="6CB8A80F" w:rsidR="00D85733" w:rsidRPr="00C330CB" w:rsidRDefault="00C35C1C" w:rsidP="00BF6CA5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Tato smlouva nabývá platnosti dnem jejího podpisu oběma smluvními stranami </w:t>
      </w:r>
      <w:r w:rsidRPr="00D95CE8">
        <w:t>a účinnosti</w:t>
      </w:r>
      <w:r>
        <w:t xml:space="preserve"> dnem jejího uveřejnění v registru smluv. </w:t>
      </w:r>
      <w:r w:rsidR="00A75C2C">
        <w:t>Smluvní strany ve vzájemném konsensu prohlašují, že právy a povinnostmi uvedenými v této smlouvě se řídí od 1.1.20</w:t>
      </w:r>
      <w:r w:rsidR="00227192">
        <w:t>2</w:t>
      </w:r>
      <w:r w:rsidR="006C234D">
        <w:t>4</w:t>
      </w:r>
      <w:r w:rsidR="00BF6CA5" w:rsidRPr="00BF6CA5">
        <w:t>.</w:t>
      </w:r>
    </w:p>
    <w:p w14:paraId="4B087D8F" w14:textId="77777777" w:rsidR="00D85733" w:rsidRPr="00C330CB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C330CB">
        <w:t>Obě strany prohlašují, že tuto smlouvu uzavřely svobodně a vážně, že jim nejsou známy jakékoliv skutečnosti, které by její uzavření vylučovaly, neuvedly se vzájemně v omyl a berou na vědomí, že v plném rozsahu nesou veškeré právní důsledky plynoucí z jimi uvedených</w:t>
      </w:r>
      <w:r w:rsidR="00253465" w:rsidRPr="00253465">
        <w:t xml:space="preserve"> </w:t>
      </w:r>
      <w:r w:rsidR="00253465" w:rsidRPr="00C330CB">
        <w:t>vědomě nepravdivých</w:t>
      </w:r>
      <w:r w:rsidRPr="00C330CB">
        <w:t xml:space="preserve"> údajů.</w:t>
      </w:r>
    </w:p>
    <w:p w14:paraId="1FC5ABD8" w14:textId="357F600B" w:rsidR="00D85733" w:rsidRDefault="009302F6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Tato smlouva </w:t>
      </w:r>
      <w:r w:rsidR="00D85733">
        <w:t xml:space="preserve">je </w:t>
      </w:r>
      <w:r w:rsidR="00AE00EB">
        <w:t>sepsá</w:t>
      </w:r>
      <w:r w:rsidR="00D85733">
        <w:t>na v pěti vyhotoveních s platností originálu, z nichž Dopravce obdrží 2 vyhotovení smlouvy a Ministerstvo 3 vyhotovení smlouvy.</w:t>
      </w:r>
    </w:p>
    <w:p w14:paraId="7D5E4F96" w14:textId="77777777" w:rsidR="00D85733" w:rsidRDefault="00D85733" w:rsidP="00D85733">
      <w:pPr>
        <w:numPr>
          <w:ilvl w:val="0"/>
          <w:numId w:val="6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Nedílnou součástí této smlouvy jsou následující přílohy:</w:t>
      </w:r>
    </w:p>
    <w:p w14:paraId="262030B2" w14:textId="77777777" w:rsidR="00D85733" w:rsidRDefault="00D85733" w:rsidP="00D85733">
      <w:pPr>
        <w:spacing w:before="120"/>
        <w:ind w:leftChars="150" w:left="720" w:hangingChars="150" w:hanging="360"/>
        <w:jc w:val="both"/>
      </w:pPr>
      <w:r>
        <w:t>a)</w:t>
      </w:r>
      <w:r>
        <w:tab/>
        <w:t xml:space="preserve">Příloha č. 1 – </w:t>
      </w:r>
      <w:r w:rsidRPr="00C330CB">
        <w:t xml:space="preserve">Seznam spojů veřejné </w:t>
      </w:r>
      <w:r>
        <w:t>drážní osobní</w:t>
      </w:r>
      <w:r w:rsidRPr="00C330CB">
        <w:t xml:space="preserve"> dopravy nezařazených do </w:t>
      </w:r>
      <w:r w:rsidRPr="00E05E16">
        <w:t xml:space="preserve">smlouvy </w:t>
      </w:r>
      <w:r>
        <w:t xml:space="preserve">o </w:t>
      </w:r>
      <w:r w:rsidRPr="00E05E16">
        <w:t>veřejn</w:t>
      </w:r>
      <w:r>
        <w:t>ých</w:t>
      </w:r>
      <w:r w:rsidRPr="00E05E16">
        <w:t xml:space="preserve"> služb</w:t>
      </w:r>
      <w:r>
        <w:t>ách</w:t>
      </w:r>
      <w:r w:rsidRPr="00E05E16">
        <w:t xml:space="preserve"> </w:t>
      </w:r>
      <w:r>
        <w:t>(resp. smlouvy o závazku veřejné služby),</w:t>
      </w:r>
    </w:p>
    <w:p w14:paraId="3BF8D23D" w14:textId="77777777" w:rsidR="000617EF" w:rsidRDefault="00D85733" w:rsidP="00A90EBC">
      <w:pPr>
        <w:spacing w:before="120"/>
        <w:ind w:leftChars="150" w:left="360"/>
        <w:jc w:val="both"/>
        <w:rPr>
          <w:rStyle w:val="FontStyle30"/>
        </w:rPr>
      </w:pPr>
      <w:r>
        <w:t>b)</w:t>
      </w:r>
      <w:r>
        <w:tab/>
      </w:r>
      <w:r>
        <w:rPr>
          <w:rStyle w:val="FontStyle30"/>
        </w:rPr>
        <w:t xml:space="preserve">Příloha č. </w:t>
      </w:r>
      <w:r w:rsidR="009F6BD8">
        <w:rPr>
          <w:rStyle w:val="FontStyle30"/>
        </w:rPr>
        <w:t xml:space="preserve">2 </w:t>
      </w:r>
      <w:r w:rsidR="00AA554F">
        <w:rPr>
          <w:rStyle w:val="FontStyle30"/>
        </w:rPr>
        <w:t>–</w:t>
      </w:r>
      <w:r>
        <w:rPr>
          <w:rStyle w:val="FontStyle30"/>
        </w:rPr>
        <w:t xml:space="preserve"> Pověření k provádění kontroly – vzor</w:t>
      </w:r>
      <w:r w:rsidR="000617EF">
        <w:rPr>
          <w:rStyle w:val="FontStyle30"/>
        </w:rPr>
        <w:t>,</w:t>
      </w:r>
    </w:p>
    <w:p w14:paraId="53A64321" w14:textId="77777777" w:rsidR="00D85733" w:rsidRDefault="009F6BD8" w:rsidP="00D85733">
      <w:pPr>
        <w:spacing w:before="120"/>
        <w:ind w:leftChars="150" w:left="360"/>
        <w:jc w:val="both"/>
      </w:pPr>
      <w:r w:rsidRPr="00F44B32">
        <w:t>c</w:t>
      </w:r>
      <w:r w:rsidR="00E06811" w:rsidRPr="00F44B32">
        <w:t>)</w:t>
      </w:r>
      <w:r w:rsidR="00F44B32" w:rsidRPr="00F44B32">
        <w:t xml:space="preserve"> </w:t>
      </w:r>
      <w:r w:rsidR="00F44B32">
        <w:tab/>
      </w:r>
      <w:r w:rsidR="00E06811" w:rsidRPr="00F44B32">
        <w:t xml:space="preserve">Příloha č. </w:t>
      </w:r>
      <w:r w:rsidRPr="00F44B32">
        <w:t xml:space="preserve">3 </w:t>
      </w:r>
      <w:r w:rsidR="00E349EB">
        <w:t>–</w:t>
      </w:r>
      <w:r w:rsidR="000617EF" w:rsidRPr="00F44B32">
        <w:t xml:space="preserve"> </w:t>
      </w:r>
      <w:r w:rsidR="000617EF" w:rsidRPr="00897BF0">
        <w:t>Metodický pokyn pro kompenzace slev jízdného ve veřejné osobní dopravě</w:t>
      </w:r>
      <w:r w:rsidR="00D85733">
        <w:t>.</w:t>
      </w:r>
    </w:p>
    <w:p w14:paraId="2C6A2214" w14:textId="77777777" w:rsidR="00D85733" w:rsidRDefault="00D85733" w:rsidP="00D85733">
      <w:pPr>
        <w:jc w:val="both"/>
      </w:pPr>
    </w:p>
    <w:p w14:paraId="7EAA31FA" w14:textId="77777777" w:rsidR="00D85733" w:rsidRDefault="00D85733" w:rsidP="00D85733">
      <w:pPr>
        <w:jc w:val="both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13"/>
        <w:gridCol w:w="4789"/>
      </w:tblGrid>
      <w:tr w:rsidR="00D85733" w14:paraId="79387FF4" w14:textId="77777777">
        <w:trPr>
          <w:jc w:val="center"/>
        </w:trPr>
        <w:tc>
          <w:tcPr>
            <w:tcW w:w="4713" w:type="dxa"/>
            <w:shd w:val="clear" w:color="auto" w:fill="auto"/>
          </w:tcPr>
          <w:p w14:paraId="624C466B" w14:textId="77777777" w:rsidR="00D85733" w:rsidRDefault="00D85733" w:rsidP="00D85733">
            <w:pPr>
              <w:jc w:val="center"/>
            </w:pPr>
            <w:r w:rsidRPr="002B6720">
              <w:t>V </w:t>
            </w:r>
            <w:r>
              <w:t>Praze</w:t>
            </w:r>
            <w:r w:rsidRPr="002B6720">
              <w:t xml:space="preserve"> dne ……</w:t>
            </w:r>
            <w:r>
              <w:t>….</w:t>
            </w:r>
            <w:r w:rsidRPr="002B6720">
              <w:t>……..</w:t>
            </w:r>
          </w:p>
        </w:tc>
        <w:tc>
          <w:tcPr>
            <w:tcW w:w="4789" w:type="dxa"/>
            <w:shd w:val="clear" w:color="auto" w:fill="auto"/>
          </w:tcPr>
          <w:p w14:paraId="233667CA" w14:textId="77777777" w:rsidR="00D85733" w:rsidRDefault="00D85733" w:rsidP="00D85733">
            <w:pPr>
              <w:jc w:val="center"/>
            </w:pPr>
            <w:r>
              <w:t>V …………………………</w:t>
            </w:r>
            <w:r w:rsidRPr="002B6720">
              <w:t xml:space="preserve">  dne ……</w:t>
            </w:r>
            <w:r>
              <w:t>…</w:t>
            </w:r>
          </w:p>
        </w:tc>
      </w:tr>
      <w:tr w:rsidR="00D85733" w:rsidRPr="0018471D" w14:paraId="4C8649CB" w14:textId="77777777">
        <w:trPr>
          <w:jc w:val="center"/>
        </w:trPr>
        <w:tc>
          <w:tcPr>
            <w:tcW w:w="4713" w:type="dxa"/>
            <w:shd w:val="clear" w:color="auto" w:fill="auto"/>
          </w:tcPr>
          <w:p w14:paraId="0791B01A" w14:textId="77777777" w:rsidR="00D85733" w:rsidRDefault="00D85733" w:rsidP="00D85733">
            <w:pPr>
              <w:jc w:val="center"/>
            </w:pPr>
          </w:p>
          <w:p w14:paraId="7B1D7DAE" w14:textId="77777777" w:rsidR="00D85733" w:rsidRPr="0018471D" w:rsidRDefault="00D85733" w:rsidP="00D85733">
            <w:pPr>
              <w:jc w:val="center"/>
            </w:pPr>
            <w:r>
              <w:t>Za Ministerstvo</w:t>
            </w:r>
          </w:p>
        </w:tc>
        <w:tc>
          <w:tcPr>
            <w:tcW w:w="4789" w:type="dxa"/>
            <w:shd w:val="clear" w:color="auto" w:fill="auto"/>
          </w:tcPr>
          <w:p w14:paraId="356B6ACE" w14:textId="77777777" w:rsidR="00D85733" w:rsidRDefault="00D85733" w:rsidP="00D85733">
            <w:pPr>
              <w:jc w:val="center"/>
            </w:pPr>
          </w:p>
          <w:p w14:paraId="74ED3E91" w14:textId="77777777" w:rsidR="00D85733" w:rsidRPr="0018471D" w:rsidRDefault="00D85733" w:rsidP="00D85733">
            <w:pPr>
              <w:jc w:val="center"/>
            </w:pPr>
            <w:r>
              <w:t>Za Dopravce</w:t>
            </w:r>
          </w:p>
        </w:tc>
      </w:tr>
      <w:tr w:rsidR="00D85733" w14:paraId="01FD066A" w14:textId="77777777">
        <w:trPr>
          <w:jc w:val="center"/>
        </w:trPr>
        <w:tc>
          <w:tcPr>
            <w:tcW w:w="4713" w:type="dxa"/>
            <w:shd w:val="clear" w:color="auto" w:fill="auto"/>
          </w:tcPr>
          <w:p w14:paraId="56C9DA2B" w14:textId="77777777" w:rsidR="00D85733" w:rsidRDefault="00D85733" w:rsidP="00D85733">
            <w:pPr>
              <w:jc w:val="center"/>
            </w:pPr>
          </w:p>
          <w:p w14:paraId="18C39344" w14:textId="77777777" w:rsidR="00D85733" w:rsidRDefault="00D85733" w:rsidP="00D85733"/>
          <w:p w14:paraId="21F563E8" w14:textId="77777777" w:rsidR="00D85733" w:rsidRDefault="00D85733" w:rsidP="00D85733">
            <w:pPr>
              <w:jc w:val="center"/>
            </w:pPr>
          </w:p>
          <w:p w14:paraId="5E068AB4" w14:textId="77777777" w:rsidR="00D85733" w:rsidRDefault="00D85733" w:rsidP="00D85733">
            <w:pPr>
              <w:jc w:val="center"/>
            </w:pPr>
          </w:p>
        </w:tc>
        <w:tc>
          <w:tcPr>
            <w:tcW w:w="4789" w:type="dxa"/>
            <w:shd w:val="clear" w:color="auto" w:fill="auto"/>
          </w:tcPr>
          <w:p w14:paraId="3C0409E9" w14:textId="77777777" w:rsidR="00D85733" w:rsidRDefault="00D85733" w:rsidP="00D85733">
            <w:pPr>
              <w:jc w:val="center"/>
            </w:pPr>
          </w:p>
        </w:tc>
      </w:tr>
      <w:tr w:rsidR="00D85733" w14:paraId="70DB1D45" w14:textId="77777777">
        <w:trPr>
          <w:jc w:val="center"/>
        </w:trPr>
        <w:tc>
          <w:tcPr>
            <w:tcW w:w="4713" w:type="dxa"/>
            <w:shd w:val="clear" w:color="auto" w:fill="auto"/>
          </w:tcPr>
          <w:p w14:paraId="734A0438" w14:textId="77777777" w:rsidR="0025268B" w:rsidRDefault="0025268B" w:rsidP="0025268B">
            <w:pPr>
              <w:pStyle w:val="Zkladntext"/>
              <w:spacing w:after="0"/>
              <w:ind w:left="284"/>
              <w:jc w:val="center"/>
            </w:pPr>
            <w:r>
              <w:t>Ing. Lukáš Trcala</w:t>
            </w:r>
          </w:p>
          <w:p w14:paraId="7990DF96" w14:textId="77777777" w:rsidR="0025268B" w:rsidRDefault="0025268B" w:rsidP="0025268B">
            <w:pPr>
              <w:pStyle w:val="Zkladntext"/>
              <w:spacing w:after="0"/>
              <w:ind w:left="284"/>
              <w:jc w:val="center"/>
            </w:pPr>
            <w:r>
              <w:t>ředitel Odboru financí a ekonomiky</w:t>
            </w:r>
          </w:p>
          <w:p w14:paraId="45DE7873" w14:textId="77777777" w:rsidR="0025268B" w:rsidRPr="000B7E10" w:rsidRDefault="0025268B" w:rsidP="0025268B">
            <w:pPr>
              <w:pStyle w:val="Zkladntext"/>
              <w:spacing w:after="0"/>
              <w:ind w:left="284"/>
              <w:jc w:val="center"/>
              <w:rPr>
                <w:sz w:val="20"/>
                <w:szCs w:val="20"/>
              </w:rPr>
            </w:pPr>
            <w:r w:rsidRPr="000B7E10">
              <w:rPr>
                <w:sz w:val="20"/>
                <w:szCs w:val="20"/>
              </w:rPr>
              <w:t>na základě pověření z</w:t>
            </w:r>
            <w:r>
              <w:rPr>
                <w:sz w:val="20"/>
                <w:szCs w:val="20"/>
              </w:rPr>
              <w:t>e dne</w:t>
            </w:r>
            <w:r w:rsidRPr="000B7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25.10.2023</w:t>
            </w:r>
          </w:p>
          <w:p w14:paraId="0FE9EB1B" w14:textId="02BFB078" w:rsidR="00D85733" w:rsidRDefault="0025268B" w:rsidP="0025268B">
            <w:pPr>
              <w:jc w:val="center"/>
            </w:pPr>
            <w:r w:rsidRPr="000B7E10">
              <w:rPr>
                <w:sz w:val="20"/>
                <w:szCs w:val="20"/>
              </w:rPr>
              <w:t xml:space="preserve">č.j. </w:t>
            </w:r>
            <w:r w:rsidRPr="009D5F6C">
              <w:rPr>
                <w:sz w:val="20"/>
                <w:szCs w:val="20"/>
              </w:rPr>
              <w:t>MD-8946/2023-410/8</w:t>
            </w:r>
          </w:p>
        </w:tc>
        <w:tc>
          <w:tcPr>
            <w:tcW w:w="4789" w:type="dxa"/>
            <w:shd w:val="clear" w:color="auto" w:fill="auto"/>
          </w:tcPr>
          <w:p w14:paraId="1BED1213" w14:textId="77777777" w:rsidR="00C35CE9" w:rsidRPr="00D666F1" w:rsidRDefault="00C35CE9" w:rsidP="00D85733">
            <w:pPr>
              <w:jc w:val="center"/>
            </w:pPr>
          </w:p>
        </w:tc>
      </w:tr>
    </w:tbl>
    <w:p w14:paraId="20FECD04" w14:textId="77777777" w:rsidR="00D85733" w:rsidRDefault="00D85733" w:rsidP="00D85733">
      <w:pPr>
        <w:tabs>
          <w:tab w:val="left" w:pos="996"/>
        </w:tabs>
        <w:jc w:val="right"/>
        <w:sectPr w:rsidR="00D85733" w:rsidSect="000F5ECD">
          <w:footerReference w:type="default" r:id="rId8"/>
          <w:pgSz w:w="11906" w:h="16838"/>
          <w:pgMar w:top="851" w:right="1021" w:bottom="851" w:left="1021" w:header="709" w:footer="709" w:gutter="0"/>
          <w:pgNumType w:start="1"/>
          <w:cols w:space="708"/>
          <w:docGrid w:linePitch="360"/>
        </w:sectPr>
      </w:pPr>
    </w:p>
    <w:p w14:paraId="6A0BCA1F" w14:textId="77777777" w:rsidR="00D85733" w:rsidRDefault="00D85733" w:rsidP="00D85733">
      <w:pPr>
        <w:tabs>
          <w:tab w:val="left" w:pos="996"/>
        </w:tabs>
        <w:jc w:val="right"/>
      </w:pPr>
      <w:r>
        <w:lastRenderedPageBreak/>
        <w:t>Příloha č. 1</w:t>
      </w:r>
    </w:p>
    <w:p w14:paraId="615605E4" w14:textId="77777777" w:rsidR="00D85733" w:rsidRDefault="00D85733" w:rsidP="00D85733">
      <w:pPr>
        <w:tabs>
          <w:tab w:val="left" w:pos="996"/>
        </w:tabs>
        <w:jc w:val="center"/>
        <w:rPr>
          <w:b/>
        </w:rPr>
      </w:pPr>
      <w:r w:rsidRPr="00A73008">
        <w:rPr>
          <w:b/>
        </w:rPr>
        <w:t xml:space="preserve">Seznam spojů veřejné </w:t>
      </w:r>
      <w:r>
        <w:rPr>
          <w:b/>
        </w:rPr>
        <w:t>drážní osobní</w:t>
      </w:r>
      <w:r w:rsidRPr="00A73008">
        <w:rPr>
          <w:b/>
        </w:rPr>
        <w:t xml:space="preserve"> dopravy nezařazených do smlouvy o veřejných službách (resp. </w:t>
      </w:r>
      <w:r>
        <w:rPr>
          <w:b/>
        </w:rPr>
        <w:t>smlouvy o závazku veřejné služby</w:t>
      </w:r>
      <w:r w:rsidRPr="00A73008">
        <w:rPr>
          <w:b/>
        </w:rPr>
        <w:t>)</w:t>
      </w:r>
    </w:p>
    <w:p w14:paraId="3C2CD49E" w14:textId="77777777" w:rsidR="000A1452" w:rsidRPr="00A73008" w:rsidRDefault="000A1452" w:rsidP="00D85733">
      <w:pPr>
        <w:tabs>
          <w:tab w:val="left" w:pos="996"/>
        </w:tabs>
        <w:jc w:val="center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4237"/>
        <w:gridCol w:w="2657"/>
      </w:tblGrid>
      <w:tr w:rsidR="00D85733" w:rsidRPr="005850E2" w14:paraId="2F69AFB3" w14:textId="77777777" w:rsidTr="002E41D2">
        <w:trPr>
          <w:cantSplit/>
        </w:trPr>
        <w:tc>
          <w:tcPr>
            <w:tcW w:w="1490" w:type="dxa"/>
            <w:shd w:val="clear" w:color="auto" w:fill="auto"/>
          </w:tcPr>
          <w:p w14:paraId="1EE5949B" w14:textId="77777777" w:rsidR="00D85733" w:rsidRPr="005850E2" w:rsidRDefault="00D85733" w:rsidP="00D85733">
            <w:pPr>
              <w:tabs>
                <w:tab w:val="left" w:pos="996"/>
              </w:tabs>
              <w:jc w:val="center"/>
              <w:rPr>
                <w:b/>
              </w:rPr>
            </w:pPr>
            <w:r w:rsidRPr="005850E2">
              <w:rPr>
                <w:b/>
              </w:rPr>
              <w:t>Číslo vlaku</w:t>
            </w:r>
          </w:p>
        </w:tc>
        <w:tc>
          <w:tcPr>
            <w:tcW w:w="4237" w:type="dxa"/>
            <w:shd w:val="clear" w:color="auto" w:fill="auto"/>
          </w:tcPr>
          <w:p w14:paraId="6882C4AA" w14:textId="77777777" w:rsidR="00D85733" w:rsidRPr="005850E2" w:rsidRDefault="00D85733" w:rsidP="00D85733">
            <w:pPr>
              <w:tabs>
                <w:tab w:val="left" w:pos="996"/>
              </w:tabs>
              <w:jc w:val="center"/>
              <w:rPr>
                <w:b/>
              </w:rPr>
            </w:pPr>
            <w:r w:rsidRPr="005850E2">
              <w:rPr>
                <w:b/>
              </w:rPr>
              <w:t>Vymezení trasy vlaku</w:t>
            </w:r>
            <w:r w:rsidR="00F8041A">
              <w:rPr>
                <w:b/>
              </w:rPr>
              <w:t xml:space="preserve"> </w:t>
            </w:r>
            <w:r w:rsidR="0075579F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2657" w:type="dxa"/>
            <w:shd w:val="clear" w:color="auto" w:fill="auto"/>
          </w:tcPr>
          <w:p w14:paraId="7BBF9D19" w14:textId="77777777" w:rsidR="00D85733" w:rsidRPr="005850E2" w:rsidRDefault="00D85733" w:rsidP="00D85733">
            <w:pPr>
              <w:tabs>
                <w:tab w:val="left" w:pos="996"/>
              </w:tabs>
              <w:jc w:val="center"/>
              <w:rPr>
                <w:b/>
              </w:rPr>
            </w:pPr>
            <w:r w:rsidRPr="005850E2">
              <w:rPr>
                <w:b/>
              </w:rPr>
              <w:t>Omezení časové</w:t>
            </w:r>
            <w:r w:rsidR="0075579F">
              <w:rPr>
                <w:b/>
              </w:rPr>
              <w:t xml:space="preserve"> </w:t>
            </w:r>
            <w:r w:rsidR="0075579F">
              <w:rPr>
                <w:rStyle w:val="Znakapoznpodarou"/>
                <w:b/>
              </w:rPr>
              <w:footnoteReference w:id="2"/>
            </w:r>
          </w:p>
          <w:p w14:paraId="00FAC524" w14:textId="77777777" w:rsidR="00D85733" w:rsidRPr="005850E2" w:rsidRDefault="00D85733" w:rsidP="00D85733">
            <w:pPr>
              <w:tabs>
                <w:tab w:val="left" w:pos="996"/>
              </w:tabs>
              <w:jc w:val="center"/>
              <w:rPr>
                <w:b/>
              </w:rPr>
            </w:pPr>
            <w:r w:rsidRPr="005850E2">
              <w:rPr>
                <w:b/>
              </w:rPr>
              <w:t>(od – do / dny v týdnu)</w:t>
            </w:r>
          </w:p>
        </w:tc>
      </w:tr>
      <w:tr w:rsidR="00D85733" w:rsidRPr="005850E2" w14:paraId="604D581A" w14:textId="77777777" w:rsidTr="002E41D2">
        <w:trPr>
          <w:cantSplit/>
        </w:trPr>
        <w:tc>
          <w:tcPr>
            <w:tcW w:w="1490" w:type="dxa"/>
            <w:shd w:val="clear" w:color="auto" w:fill="auto"/>
            <w:vAlign w:val="bottom"/>
          </w:tcPr>
          <w:p w14:paraId="048633A8" w14:textId="77777777" w:rsidR="00D85733" w:rsidRPr="00F52191" w:rsidRDefault="00D85733" w:rsidP="00D85733">
            <w:pPr>
              <w:jc w:val="center"/>
            </w:pPr>
          </w:p>
        </w:tc>
        <w:tc>
          <w:tcPr>
            <w:tcW w:w="4237" w:type="dxa"/>
            <w:shd w:val="clear" w:color="auto" w:fill="auto"/>
            <w:vAlign w:val="bottom"/>
          </w:tcPr>
          <w:p w14:paraId="2B7879E7" w14:textId="77777777" w:rsidR="00D85733" w:rsidRPr="00F52191" w:rsidRDefault="00D85733" w:rsidP="00D85733">
            <w:pPr>
              <w:jc w:val="center"/>
            </w:pPr>
          </w:p>
        </w:tc>
        <w:tc>
          <w:tcPr>
            <w:tcW w:w="2657" w:type="dxa"/>
            <w:shd w:val="clear" w:color="auto" w:fill="auto"/>
          </w:tcPr>
          <w:p w14:paraId="47E96826" w14:textId="77777777" w:rsidR="00D85733" w:rsidRPr="00274DFE" w:rsidRDefault="00D85733" w:rsidP="00D85733">
            <w:pPr>
              <w:tabs>
                <w:tab w:val="left" w:pos="996"/>
              </w:tabs>
              <w:jc w:val="center"/>
            </w:pPr>
          </w:p>
        </w:tc>
      </w:tr>
      <w:tr w:rsidR="00D85733" w14:paraId="674531F6" w14:textId="77777777" w:rsidTr="002E41D2">
        <w:trPr>
          <w:cantSplit/>
        </w:trPr>
        <w:tc>
          <w:tcPr>
            <w:tcW w:w="1490" w:type="dxa"/>
            <w:shd w:val="clear" w:color="auto" w:fill="auto"/>
            <w:vAlign w:val="bottom"/>
          </w:tcPr>
          <w:p w14:paraId="1239BAF5" w14:textId="77777777" w:rsidR="00D85733" w:rsidRPr="00F52191" w:rsidRDefault="00D85733" w:rsidP="00D85733">
            <w:pPr>
              <w:jc w:val="center"/>
            </w:pPr>
          </w:p>
        </w:tc>
        <w:tc>
          <w:tcPr>
            <w:tcW w:w="4237" w:type="dxa"/>
            <w:shd w:val="clear" w:color="auto" w:fill="auto"/>
            <w:vAlign w:val="bottom"/>
          </w:tcPr>
          <w:p w14:paraId="4BC616DB" w14:textId="77777777" w:rsidR="00D85733" w:rsidRPr="00F52191" w:rsidRDefault="00D85733" w:rsidP="00D85733">
            <w:pPr>
              <w:jc w:val="center"/>
            </w:pPr>
          </w:p>
        </w:tc>
        <w:tc>
          <w:tcPr>
            <w:tcW w:w="2657" w:type="dxa"/>
            <w:shd w:val="clear" w:color="auto" w:fill="auto"/>
          </w:tcPr>
          <w:p w14:paraId="09679ED6" w14:textId="77777777" w:rsidR="00D85733" w:rsidRPr="00274DFE" w:rsidRDefault="00D85733" w:rsidP="00D85733">
            <w:pPr>
              <w:jc w:val="center"/>
            </w:pPr>
          </w:p>
        </w:tc>
      </w:tr>
      <w:tr w:rsidR="00D85733" w14:paraId="5BBBD6A0" w14:textId="77777777" w:rsidTr="002E41D2">
        <w:trPr>
          <w:cantSplit/>
        </w:trPr>
        <w:tc>
          <w:tcPr>
            <w:tcW w:w="1490" w:type="dxa"/>
            <w:shd w:val="clear" w:color="auto" w:fill="auto"/>
            <w:vAlign w:val="bottom"/>
          </w:tcPr>
          <w:p w14:paraId="649A8960" w14:textId="77777777" w:rsidR="00D85733" w:rsidRPr="00F52191" w:rsidRDefault="00D85733" w:rsidP="00D85733">
            <w:pPr>
              <w:jc w:val="center"/>
            </w:pPr>
          </w:p>
        </w:tc>
        <w:tc>
          <w:tcPr>
            <w:tcW w:w="4237" w:type="dxa"/>
            <w:shd w:val="clear" w:color="auto" w:fill="auto"/>
            <w:vAlign w:val="bottom"/>
          </w:tcPr>
          <w:p w14:paraId="17950E01" w14:textId="77777777" w:rsidR="00D85733" w:rsidRPr="00F52191" w:rsidRDefault="00D85733" w:rsidP="00D85733">
            <w:pPr>
              <w:jc w:val="center"/>
            </w:pPr>
          </w:p>
        </w:tc>
        <w:tc>
          <w:tcPr>
            <w:tcW w:w="2657" w:type="dxa"/>
            <w:shd w:val="clear" w:color="auto" w:fill="auto"/>
          </w:tcPr>
          <w:p w14:paraId="4C4705F1" w14:textId="77777777" w:rsidR="00D85733" w:rsidRDefault="00D85733" w:rsidP="00D85733">
            <w:pPr>
              <w:jc w:val="center"/>
            </w:pPr>
          </w:p>
        </w:tc>
      </w:tr>
    </w:tbl>
    <w:p w14:paraId="50259D6D" w14:textId="77777777" w:rsidR="00D85733" w:rsidRDefault="00D85733" w:rsidP="00D85733">
      <w:pPr>
        <w:tabs>
          <w:tab w:val="left" w:pos="996"/>
        </w:tabs>
        <w:jc w:val="both"/>
      </w:pPr>
    </w:p>
    <w:p w14:paraId="4E154E9D" w14:textId="77777777" w:rsidR="00D85733" w:rsidRDefault="00D85733" w:rsidP="00D85733">
      <w:pPr>
        <w:tabs>
          <w:tab w:val="left" w:pos="996"/>
        </w:tabs>
        <w:jc w:val="both"/>
        <w:sectPr w:rsidR="00D85733" w:rsidSect="002E41D2">
          <w:pgSz w:w="11906" w:h="16838"/>
          <w:pgMar w:top="1021" w:right="1021" w:bottom="1021" w:left="1021" w:header="709" w:footer="709" w:gutter="0"/>
          <w:pgNumType w:start="1"/>
          <w:cols w:space="708"/>
          <w:docGrid w:linePitch="360"/>
        </w:sectPr>
      </w:pPr>
    </w:p>
    <w:p w14:paraId="2275CC15" w14:textId="77777777" w:rsidR="00D85733" w:rsidRDefault="00D85733" w:rsidP="00D85733">
      <w:pPr>
        <w:tabs>
          <w:tab w:val="left" w:pos="996"/>
        </w:tabs>
        <w:jc w:val="right"/>
      </w:pPr>
      <w:r>
        <w:lastRenderedPageBreak/>
        <w:t xml:space="preserve">Příloha č. </w:t>
      </w:r>
      <w:r w:rsidR="000E1749">
        <w:t>2</w:t>
      </w:r>
    </w:p>
    <w:p w14:paraId="1C22FC73" w14:textId="77777777" w:rsidR="00D85733" w:rsidRDefault="00D85733" w:rsidP="00D85733"/>
    <w:p w14:paraId="053B91CF" w14:textId="77777777" w:rsidR="00D85733" w:rsidRDefault="00D85733" w:rsidP="00D85733">
      <w:pPr>
        <w:rPr>
          <w:sz w:val="2"/>
        </w:rPr>
      </w:pPr>
    </w:p>
    <w:tbl>
      <w:tblPr>
        <w:tblpPr w:leftFromText="142" w:rightFromText="142" w:vertAnchor="text" w:tblpXSpec="right" w:tblpY="-283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9"/>
        <w:gridCol w:w="3516"/>
      </w:tblGrid>
      <w:tr w:rsidR="00D85733" w14:paraId="6BEEB8E6" w14:textId="77777777">
        <w:trPr>
          <w:cantSplit/>
          <w:trHeight w:val="150"/>
        </w:trPr>
        <w:tc>
          <w:tcPr>
            <w:tcW w:w="5659" w:type="dxa"/>
          </w:tcPr>
          <w:p w14:paraId="5955775B" w14:textId="77777777" w:rsidR="00D85733" w:rsidRDefault="00D85733" w:rsidP="00D85733">
            <w:pPr>
              <w:rPr>
                <w:b/>
                <w:color w:val="FFFFFF"/>
                <w:sz w:val="18"/>
              </w:rPr>
            </w:pPr>
          </w:p>
        </w:tc>
        <w:tc>
          <w:tcPr>
            <w:tcW w:w="3516" w:type="dxa"/>
          </w:tcPr>
          <w:p w14:paraId="3ED0D100" w14:textId="77777777" w:rsidR="00D85733" w:rsidRDefault="00D85733" w:rsidP="00D85733">
            <w:pPr>
              <w:rPr>
                <w:b/>
                <w:color w:val="FFFFFF"/>
                <w:sz w:val="18"/>
              </w:rPr>
            </w:pPr>
          </w:p>
        </w:tc>
      </w:tr>
      <w:tr w:rsidR="00D85733" w14:paraId="6C528683" w14:textId="77777777">
        <w:trPr>
          <w:trHeight w:val="578"/>
        </w:trPr>
        <w:tc>
          <w:tcPr>
            <w:tcW w:w="5659" w:type="dxa"/>
          </w:tcPr>
          <w:p w14:paraId="40384FD5" w14:textId="77777777" w:rsidR="00D85733" w:rsidRDefault="00D85733" w:rsidP="00D85733">
            <w:pPr>
              <w:pStyle w:val="ZZZEssTerA11Vle0cmPedsaz49cmTab49"/>
            </w:pPr>
            <w:bookmarkStart w:id="0" w:name="MDSofcr"/>
          </w:p>
          <w:bookmarkEnd w:id="0"/>
          <w:p w14:paraId="4B5B7705" w14:textId="77777777" w:rsidR="00D85733" w:rsidRDefault="00D85733" w:rsidP="00D85733">
            <w:pPr>
              <w:pStyle w:val="ZZZEssTerA11Vle0cmPedsaz49cmTab49"/>
              <w:rPr>
                <w:rFonts w:cs="Arial"/>
                <w:szCs w:val="22"/>
              </w:rPr>
            </w:pPr>
          </w:p>
        </w:tc>
        <w:tc>
          <w:tcPr>
            <w:tcW w:w="3516" w:type="dxa"/>
          </w:tcPr>
          <w:p w14:paraId="0EF1D017" w14:textId="77777777" w:rsidR="00D85733" w:rsidRDefault="00D85733" w:rsidP="00D85733">
            <w:pPr>
              <w:pStyle w:val="ZZZEssTerA11Vle0cmPedsaz49cmTab49"/>
            </w:pPr>
          </w:p>
          <w:p w14:paraId="6DC8AA97" w14:textId="610F3D21" w:rsidR="00D85733" w:rsidRDefault="00D85733" w:rsidP="00D85733">
            <w:pPr>
              <w:pStyle w:val="ZZZEssTer12"/>
            </w:pPr>
            <w:r>
              <w:t xml:space="preserve">V Praze dne:     </w:t>
            </w:r>
          </w:p>
          <w:p w14:paraId="46455173" w14:textId="5F6106FC" w:rsidR="00D85733" w:rsidRDefault="00D85733" w:rsidP="00227192">
            <w:pPr>
              <w:pStyle w:val="ZZZEssTer12"/>
            </w:pPr>
            <w:r>
              <w:t xml:space="preserve">Č. j.: </w:t>
            </w:r>
          </w:p>
        </w:tc>
      </w:tr>
    </w:tbl>
    <w:p w14:paraId="34FF3259" w14:textId="77777777" w:rsidR="00D85733" w:rsidRDefault="00535E97" w:rsidP="00D85733">
      <w:pPr>
        <w:pStyle w:val="ZZZEss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BECD2B1" wp14:editId="375BA4BF">
            <wp:simplePos x="0" y="0"/>
            <wp:positionH relativeFrom="column">
              <wp:posOffset>-371475</wp:posOffset>
            </wp:positionH>
            <wp:positionV relativeFrom="paragraph">
              <wp:posOffset>42545</wp:posOffset>
            </wp:positionV>
            <wp:extent cx="2331720" cy="585470"/>
            <wp:effectExtent l="0" t="0" r="0" b="0"/>
            <wp:wrapNone/>
            <wp:docPr id="3" name="obrázek 3" descr="logo MD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D_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B4365" w14:textId="77777777" w:rsidR="00D85733" w:rsidRDefault="00D85733" w:rsidP="00D85733">
      <w:pPr>
        <w:pStyle w:val="ZZZEsster"/>
      </w:pPr>
    </w:p>
    <w:p w14:paraId="259542F9" w14:textId="77777777" w:rsidR="00D85733" w:rsidRDefault="00D85733" w:rsidP="00D85733">
      <w:pPr>
        <w:pStyle w:val="ZZZEsster"/>
        <w:rPr>
          <w:sz w:val="20"/>
        </w:rPr>
      </w:pPr>
    </w:p>
    <w:p w14:paraId="6A3716A8" w14:textId="77777777" w:rsidR="00D85733" w:rsidRDefault="00D85733" w:rsidP="00D85733">
      <w:pPr>
        <w:pStyle w:val="ZZZEsster"/>
        <w:rPr>
          <w:sz w:val="20"/>
        </w:rPr>
      </w:pPr>
    </w:p>
    <w:p w14:paraId="5E6D20D1" w14:textId="77777777" w:rsidR="00D85733" w:rsidRDefault="00D85733" w:rsidP="00D85733">
      <w:pPr>
        <w:pStyle w:val="ZZZEsster"/>
        <w:rPr>
          <w:sz w:val="20"/>
        </w:rPr>
      </w:pPr>
    </w:p>
    <w:p w14:paraId="1B90E073" w14:textId="77777777" w:rsidR="00D85733" w:rsidRDefault="00D85733" w:rsidP="00D85733">
      <w:pPr>
        <w:pStyle w:val="ZZZEssTer12"/>
        <w:rPr>
          <w:sz w:val="20"/>
        </w:rPr>
      </w:pPr>
    </w:p>
    <w:p w14:paraId="1FFF4C2F" w14:textId="77777777" w:rsidR="00D85733" w:rsidRDefault="00535E97" w:rsidP="00D85733">
      <w:pPr>
        <w:pStyle w:val="ZZZEssTerA16BProl2b"/>
        <w:outlineLvl w:val="0"/>
        <w:rPr>
          <w:color w:val="00336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1CC0210" wp14:editId="1A77EF04">
            <wp:simplePos x="0" y="0"/>
            <wp:positionH relativeFrom="column">
              <wp:posOffset>-371475</wp:posOffset>
            </wp:positionH>
            <wp:positionV relativeFrom="paragraph">
              <wp:posOffset>4445</wp:posOffset>
            </wp:positionV>
            <wp:extent cx="583565" cy="191135"/>
            <wp:effectExtent l="0" t="0" r="0" b="0"/>
            <wp:wrapNone/>
            <wp:docPr id="2" name="obrázek 2" descr="samo logo 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o logo M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02" b="6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19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733">
        <w:rPr>
          <w:color w:val="003366"/>
        </w:rPr>
        <w:t>pověření ministra dopravy</w:t>
      </w:r>
    </w:p>
    <w:p w14:paraId="201A6797" w14:textId="77777777" w:rsidR="00D85733" w:rsidRDefault="00D85733" w:rsidP="00D85733">
      <w:pPr>
        <w:pStyle w:val="ZZZEssTer12"/>
      </w:pPr>
    </w:p>
    <w:p w14:paraId="3004CE65" w14:textId="77777777" w:rsidR="00D85733" w:rsidRDefault="00D85733" w:rsidP="00D85733">
      <w:pPr>
        <w:pStyle w:val="MDSR"/>
      </w:pPr>
      <w:r>
        <w:t xml:space="preserve">k provedení </w:t>
      </w:r>
      <w:r w:rsidRPr="00473698">
        <w:rPr>
          <w:b/>
        </w:rPr>
        <w:t>veřejno</w:t>
      </w:r>
      <w:r>
        <w:rPr>
          <w:b/>
        </w:rPr>
        <w:t>s</w:t>
      </w:r>
      <w:r w:rsidRPr="00473698">
        <w:rPr>
          <w:b/>
        </w:rPr>
        <w:t>právní</w:t>
      </w:r>
      <w:r>
        <w:t xml:space="preserve"> </w:t>
      </w:r>
      <w:r w:rsidRPr="004934C6">
        <w:rPr>
          <w:b/>
        </w:rPr>
        <w:t xml:space="preserve">kontroly </w:t>
      </w:r>
      <w:r>
        <w:t xml:space="preserve">podle zákona č. 320/2001 Sb., o finanční kontrole ve veřejné správě a o změně některých zákonů (zákon o finanční kontrole), ve znění pozdějších předpisů, za použití příslušných ustanovení zákona č. </w:t>
      </w:r>
      <w:r w:rsidR="00773646" w:rsidRPr="00F77CC2">
        <w:t xml:space="preserve">255/2012 </w:t>
      </w:r>
      <w:r>
        <w:t>Sb., o kontrole (kontrolní řád), ve znění pozdějších předpisů.</w:t>
      </w:r>
    </w:p>
    <w:p w14:paraId="436EB78E" w14:textId="77777777" w:rsidR="001B3DF5" w:rsidRDefault="001B3DF5" w:rsidP="00D85733">
      <w:pPr>
        <w:pStyle w:val="MDSR"/>
      </w:pPr>
      <w:r w:rsidRPr="001B3DF5">
        <w:t xml:space="preserve">Pověřená osoba je povinna zachovávat mlčenlivost o všech skutečnostech, které se </w:t>
      </w:r>
      <w:r>
        <w:t>v </w:t>
      </w:r>
      <w:r w:rsidRPr="001B3DF5">
        <w:t>rámci veřejnoprávní kontroly dozví. Povinnost zachovávat mlčenlivost trvá i po zániku tohoto pověření.</w:t>
      </w:r>
    </w:p>
    <w:p w14:paraId="0984ABA4" w14:textId="77777777" w:rsidR="00D85733" w:rsidRDefault="00D85733" w:rsidP="00D85733">
      <w:pPr>
        <w:pStyle w:val="MDS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3345"/>
        <w:gridCol w:w="3624"/>
        <w:gridCol w:w="1678"/>
      </w:tblGrid>
      <w:tr w:rsidR="00D85733" w14:paraId="7830BFCA" w14:textId="77777777">
        <w:tc>
          <w:tcPr>
            <w:tcW w:w="1131" w:type="dxa"/>
            <w:vAlign w:val="center"/>
          </w:tcPr>
          <w:p w14:paraId="41B95904" w14:textId="77777777" w:rsidR="00D85733" w:rsidRDefault="00D85733" w:rsidP="00D85733">
            <w:r>
              <w:t>vedoucí:</w:t>
            </w:r>
          </w:p>
        </w:tc>
        <w:tc>
          <w:tcPr>
            <w:tcW w:w="3345" w:type="dxa"/>
            <w:vAlign w:val="center"/>
          </w:tcPr>
          <w:p w14:paraId="7E98CF42" w14:textId="77777777" w:rsidR="00D85733" w:rsidRDefault="00D85733" w:rsidP="00D85733"/>
        </w:tc>
        <w:tc>
          <w:tcPr>
            <w:tcW w:w="3624" w:type="dxa"/>
            <w:vAlign w:val="center"/>
          </w:tcPr>
          <w:p w14:paraId="47540AE4" w14:textId="77777777" w:rsidR="00D85733" w:rsidRDefault="00D85733" w:rsidP="00D85733"/>
        </w:tc>
        <w:tc>
          <w:tcPr>
            <w:tcW w:w="1678" w:type="dxa"/>
            <w:vAlign w:val="center"/>
          </w:tcPr>
          <w:p w14:paraId="7E32A6AA" w14:textId="77777777" w:rsidR="00D85733" w:rsidRDefault="00D85733" w:rsidP="00D85733"/>
        </w:tc>
      </w:tr>
      <w:tr w:rsidR="00D85733" w14:paraId="134D0A1A" w14:textId="77777777">
        <w:tc>
          <w:tcPr>
            <w:tcW w:w="1131" w:type="dxa"/>
            <w:vAlign w:val="center"/>
          </w:tcPr>
          <w:p w14:paraId="013AA84A" w14:textId="77777777" w:rsidR="00D85733" w:rsidRDefault="00D85733" w:rsidP="00D85733"/>
        </w:tc>
        <w:tc>
          <w:tcPr>
            <w:tcW w:w="3345" w:type="dxa"/>
            <w:vAlign w:val="center"/>
          </w:tcPr>
          <w:p w14:paraId="4256D4C2" w14:textId="77777777" w:rsidR="00D85733" w:rsidRDefault="00D85733" w:rsidP="00D85733"/>
        </w:tc>
        <w:tc>
          <w:tcPr>
            <w:tcW w:w="3624" w:type="dxa"/>
            <w:vAlign w:val="center"/>
          </w:tcPr>
          <w:p w14:paraId="182CE0F6" w14:textId="77777777" w:rsidR="00D85733" w:rsidRDefault="00D85733" w:rsidP="00D85733"/>
        </w:tc>
        <w:tc>
          <w:tcPr>
            <w:tcW w:w="1678" w:type="dxa"/>
            <w:vAlign w:val="center"/>
          </w:tcPr>
          <w:p w14:paraId="0CBEEB14" w14:textId="77777777" w:rsidR="00D85733" w:rsidRDefault="00D85733" w:rsidP="00D85733"/>
        </w:tc>
      </w:tr>
      <w:tr w:rsidR="00D85733" w14:paraId="49224172" w14:textId="77777777">
        <w:tc>
          <w:tcPr>
            <w:tcW w:w="1131" w:type="dxa"/>
            <w:vAlign w:val="center"/>
          </w:tcPr>
          <w:p w14:paraId="0D8944E4" w14:textId="77777777" w:rsidR="00D85733" w:rsidRDefault="00D85733" w:rsidP="00D85733">
            <w:r>
              <w:t>členové:</w:t>
            </w:r>
          </w:p>
        </w:tc>
        <w:tc>
          <w:tcPr>
            <w:tcW w:w="3345" w:type="dxa"/>
            <w:vAlign w:val="center"/>
          </w:tcPr>
          <w:p w14:paraId="66249034" w14:textId="77777777" w:rsidR="00D85733" w:rsidRDefault="00D85733" w:rsidP="00D85733"/>
        </w:tc>
        <w:tc>
          <w:tcPr>
            <w:tcW w:w="3624" w:type="dxa"/>
            <w:vAlign w:val="center"/>
          </w:tcPr>
          <w:p w14:paraId="23BD0FA2" w14:textId="77777777" w:rsidR="00D85733" w:rsidRDefault="00D85733" w:rsidP="00D85733"/>
        </w:tc>
        <w:tc>
          <w:tcPr>
            <w:tcW w:w="1678" w:type="dxa"/>
            <w:vAlign w:val="center"/>
          </w:tcPr>
          <w:p w14:paraId="270D6D2E" w14:textId="77777777" w:rsidR="00D85733" w:rsidRDefault="00D85733" w:rsidP="00D85733"/>
        </w:tc>
      </w:tr>
      <w:tr w:rsidR="00D85733" w14:paraId="2B717524" w14:textId="77777777">
        <w:tc>
          <w:tcPr>
            <w:tcW w:w="1131" w:type="dxa"/>
            <w:vAlign w:val="center"/>
          </w:tcPr>
          <w:p w14:paraId="4235940C" w14:textId="77777777" w:rsidR="00D85733" w:rsidRDefault="00D85733" w:rsidP="00D85733"/>
        </w:tc>
        <w:tc>
          <w:tcPr>
            <w:tcW w:w="3345" w:type="dxa"/>
            <w:vAlign w:val="center"/>
          </w:tcPr>
          <w:p w14:paraId="1C7D5DD6" w14:textId="77777777" w:rsidR="00D85733" w:rsidRDefault="00D85733" w:rsidP="00D85733"/>
        </w:tc>
        <w:tc>
          <w:tcPr>
            <w:tcW w:w="3624" w:type="dxa"/>
            <w:vAlign w:val="center"/>
          </w:tcPr>
          <w:p w14:paraId="1085AD8B" w14:textId="77777777" w:rsidR="00D85733" w:rsidRDefault="00D85733" w:rsidP="00D85733"/>
        </w:tc>
        <w:tc>
          <w:tcPr>
            <w:tcW w:w="1678" w:type="dxa"/>
            <w:vAlign w:val="center"/>
          </w:tcPr>
          <w:p w14:paraId="735F55F4" w14:textId="77777777" w:rsidR="00D85733" w:rsidRDefault="00D85733" w:rsidP="00D85733"/>
        </w:tc>
      </w:tr>
      <w:tr w:rsidR="00D85733" w14:paraId="1601513B" w14:textId="77777777">
        <w:tc>
          <w:tcPr>
            <w:tcW w:w="1131" w:type="dxa"/>
            <w:vAlign w:val="center"/>
          </w:tcPr>
          <w:p w14:paraId="3AA7B787" w14:textId="77777777" w:rsidR="00D85733" w:rsidRDefault="00D85733" w:rsidP="00D85733"/>
        </w:tc>
        <w:tc>
          <w:tcPr>
            <w:tcW w:w="3345" w:type="dxa"/>
            <w:vAlign w:val="center"/>
          </w:tcPr>
          <w:p w14:paraId="4F387A87" w14:textId="77777777" w:rsidR="00D85733" w:rsidRDefault="00D85733" w:rsidP="00D85733"/>
        </w:tc>
        <w:tc>
          <w:tcPr>
            <w:tcW w:w="3624" w:type="dxa"/>
            <w:vAlign w:val="center"/>
          </w:tcPr>
          <w:p w14:paraId="44C167A2" w14:textId="77777777" w:rsidR="00D85733" w:rsidRDefault="00D85733" w:rsidP="00D85733"/>
        </w:tc>
        <w:tc>
          <w:tcPr>
            <w:tcW w:w="1678" w:type="dxa"/>
            <w:vAlign w:val="center"/>
          </w:tcPr>
          <w:p w14:paraId="4AB17C7B" w14:textId="77777777" w:rsidR="00D85733" w:rsidRDefault="00D85733" w:rsidP="00D85733"/>
        </w:tc>
      </w:tr>
      <w:tr w:rsidR="00D85733" w14:paraId="3E2A1D2D" w14:textId="77777777">
        <w:tc>
          <w:tcPr>
            <w:tcW w:w="1131" w:type="dxa"/>
            <w:vAlign w:val="center"/>
          </w:tcPr>
          <w:p w14:paraId="4B95F00B" w14:textId="77777777" w:rsidR="00D85733" w:rsidRDefault="00D85733" w:rsidP="00D85733"/>
        </w:tc>
        <w:tc>
          <w:tcPr>
            <w:tcW w:w="3345" w:type="dxa"/>
            <w:vAlign w:val="center"/>
          </w:tcPr>
          <w:p w14:paraId="5226A4E5" w14:textId="77777777" w:rsidR="00D85733" w:rsidRDefault="00D85733" w:rsidP="00D85733"/>
        </w:tc>
        <w:tc>
          <w:tcPr>
            <w:tcW w:w="3624" w:type="dxa"/>
            <w:vAlign w:val="center"/>
          </w:tcPr>
          <w:p w14:paraId="2F90C94C" w14:textId="77777777" w:rsidR="00D85733" w:rsidRDefault="00D85733" w:rsidP="00D85733"/>
        </w:tc>
        <w:tc>
          <w:tcPr>
            <w:tcW w:w="1678" w:type="dxa"/>
            <w:vAlign w:val="center"/>
          </w:tcPr>
          <w:p w14:paraId="608735DC" w14:textId="77777777" w:rsidR="00D85733" w:rsidRDefault="00D85733" w:rsidP="00D85733"/>
        </w:tc>
      </w:tr>
      <w:tr w:rsidR="00D85733" w14:paraId="6326DB87" w14:textId="77777777">
        <w:tc>
          <w:tcPr>
            <w:tcW w:w="1131" w:type="dxa"/>
            <w:vAlign w:val="center"/>
          </w:tcPr>
          <w:p w14:paraId="70AE2288" w14:textId="77777777" w:rsidR="00D85733" w:rsidRDefault="00D85733" w:rsidP="00D85733"/>
        </w:tc>
        <w:tc>
          <w:tcPr>
            <w:tcW w:w="3345" w:type="dxa"/>
            <w:vAlign w:val="center"/>
          </w:tcPr>
          <w:p w14:paraId="636FBDC8" w14:textId="77777777" w:rsidR="00D85733" w:rsidRDefault="00D85733" w:rsidP="00D85733"/>
        </w:tc>
        <w:tc>
          <w:tcPr>
            <w:tcW w:w="3624" w:type="dxa"/>
            <w:vAlign w:val="center"/>
          </w:tcPr>
          <w:p w14:paraId="50D07D98" w14:textId="77777777" w:rsidR="00D85733" w:rsidRDefault="00D85733" w:rsidP="00D85733"/>
        </w:tc>
        <w:tc>
          <w:tcPr>
            <w:tcW w:w="1678" w:type="dxa"/>
            <w:vAlign w:val="center"/>
          </w:tcPr>
          <w:p w14:paraId="696F052F" w14:textId="77777777" w:rsidR="00D85733" w:rsidRDefault="00D85733" w:rsidP="00D85733"/>
        </w:tc>
      </w:tr>
      <w:tr w:rsidR="00D85733" w14:paraId="1D5D69AC" w14:textId="77777777">
        <w:tc>
          <w:tcPr>
            <w:tcW w:w="1131" w:type="dxa"/>
            <w:vAlign w:val="center"/>
          </w:tcPr>
          <w:p w14:paraId="64C0A2C2" w14:textId="77777777" w:rsidR="00D85733" w:rsidRDefault="00D85733" w:rsidP="00D85733"/>
        </w:tc>
        <w:tc>
          <w:tcPr>
            <w:tcW w:w="3345" w:type="dxa"/>
            <w:vAlign w:val="center"/>
          </w:tcPr>
          <w:p w14:paraId="4D30C8B6" w14:textId="77777777" w:rsidR="00D85733" w:rsidRDefault="00D85733" w:rsidP="00D85733"/>
        </w:tc>
        <w:tc>
          <w:tcPr>
            <w:tcW w:w="3624" w:type="dxa"/>
            <w:vAlign w:val="center"/>
          </w:tcPr>
          <w:p w14:paraId="6390DEF5" w14:textId="77777777" w:rsidR="00D85733" w:rsidRDefault="00D85733" w:rsidP="00D85733"/>
        </w:tc>
        <w:tc>
          <w:tcPr>
            <w:tcW w:w="1678" w:type="dxa"/>
            <w:vAlign w:val="center"/>
          </w:tcPr>
          <w:p w14:paraId="47C64BF9" w14:textId="77777777" w:rsidR="00D85733" w:rsidRDefault="00D85733" w:rsidP="00D85733"/>
        </w:tc>
      </w:tr>
      <w:tr w:rsidR="00D85733" w14:paraId="6DD18EE5" w14:textId="77777777">
        <w:tc>
          <w:tcPr>
            <w:tcW w:w="1131" w:type="dxa"/>
            <w:vAlign w:val="center"/>
          </w:tcPr>
          <w:p w14:paraId="23ABB9A3" w14:textId="77777777" w:rsidR="00D85733" w:rsidRDefault="00D85733" w:rsidP="00D85733"/>
        </w:tc>
        <w:tc>
          <w:tcPr>
            <w:tcW w:w="3345" w:type="dxa"/>
            <w:vAlign w:val="center"/>
          </w:tcPr>
          <w:p w14:paraId="0DFD6701" w14:textId="77777777" w:rsidR="00D85733" w:rsidRDefault="00D85733" w:rsidP="00D85733"/>
        </w:tc>
        <w:tc>
          <w:tcPr>
            <w:tcW w:w="3624" w:type="dxa"/>
            <w:vAlign w:val="center"/>
          </w:tcPr>
          <w:p w14:paraId="4D653B19" w14:textId="77777777" w:rsidR="00D85733" w:rsidRDefault="00D85733" w:rsidP="00D85733"/>
        </w:tc>
        <w:tc>
          <w:tcPr>
            <w:tcW w:w="1678" w:type="dxa"/>
            <w:vAlign w:val="center"/>
          </w:tcPr>
          <w:p w14:paraId="3F990E97" w14:textId="77777777" w:rsidR="00D85733" w:rsidRDefault="00D85733" w:rsidP="00D85733"/>
        </w:tc>
      </w:tr>
      <w:tr w:rsidR="00D85733" w14:paraId="369FFC85" w14:textId="77777777">
        <w:tc>
          <w:tcPr>
            <w:tcW w:w="1131" w:type="dxa"/>
            <w:vAlign w:val="center"/>
          </w:tcPr>
          <w:p w14:paraId="1B63D171" w14:textId="77777777" w:rsidR="00D85733" w:rsidRDefault="00D85733" w:rsidP="00D85733"/>
        </w:tc>
        <w:tc>
          <w:tcPr>
            <w:tcW w:w="3345" w:type="dxa"/>
            <w:vAlign w:val="center"/>
          </w:tcPr>
          <w:p w14:paraId="5F66A567" w14:textId="77777777" w:rsidR="00D85733" w:rsidRDefault="00D85733" w:rsidP="00D85733"/>
        </w:tc>
        <w:tc>
          <w:tcPr>
            <w:tcW w:w="3624" w:type="dxa"/>
            <w:vAlign w:val="center"/>
          </w:tcPr>
          <w:p w14:paraId="7FE459F3" w14:textId="77777777" w:rsidR="00D85733" w:rsidRDefault="00D85733" w:rsidP="00D85733"/>
        </w:tc>
        <w:tc>
          <w:tcPr>
            <w:tcW w:w="1678" w:type="dxa"/>
            <w:vAlign w:val="center"/>
          </w:tcPr>
          <w:p w14:paraId="765BB0F1" w14:textId="77777777" w:rsidR="00D85733" w:rsidRDefault="00D85733" w:rsidP="00D85733"/>
        </w:tc>
      </w:tr>
    </w:tbl>
    <w:p w14:paraId="32A7549B" w14:textId="77777777" w:rsidR="00D85733" w:rsidRDefault="00D85733" w:rsidP="00D85733">
      <w:pPr>
        <w:pStyle w:val="MDSR"/>
      </w:pPr>
    </w:p>
    <w:p w14:paraId="5865936D" w14:textId="77777777" w:rsidR="00D85733" w:rsidRDefault="00D85733" w:rsidP="00D85733">
      <w:r>
        <w:rPr>
          <w:b/>
          <w:bCs/>
          <w:u w:val="single"/>
        </w:rPr>
        <w:t>Kontrolovaný subjekt</w:t>
      </w:r>
      <w:r>
        <w:t>:</w:t>
      </w:r>
      <w:r>
        <w:tab/>
      </w:r>
    </w:p>
    <w:p w14:paraId="4BD5A3A0" w14:textId="77777777" w:rsidR="00D85733" w:rsidRDefault="00D85733" w:rsidP="00D85733">
      <w:r>
        <w:tab/>
      </w:r>
      <w:r>
        <w:tab/>
      </w:r>
      <w:r>
        <w:tab/>
      </w:r>
      <w:r>
        <w:tab/>
      </w:r>
    </w:p>
    <w:p w14:paraId="5DF30199" w14:textId="77777777" w:rsidR="00D85733" w:rsidRDefault="00D85733" w:rsidP="00D85733"/>
    <w:p w14:paraId="4E912791" w14:textId="77777777" w:rsidR="00D85733" w:rsidRDefault="00D85733" w:rsidP="00D85733">
      <w:pPr>
        <w:ind w:left="2832" w:hanging="2832"/>
        <w:jc w:val="both"/>
      </w:pPr>
      <w:r>
        <w:rPr>
          <w:b/>
          <w:bCs/>
          <w:u w:val="single"/>
        </w:rPr>
        <w:t>Předmět kontroly</w:t>
      </w:r>
      <w:r>
        <w:t>:</w:t>
      </w:r>
      <w:r>
        <w:tab/>
        <w:t>Hospodaření s prostředky veřejné finanční podpory na základě nařízení EP a Rady (ES) č. 1370/2007 ze dne 23. 10. 2007.</w:t>
      </w:r>
    </w:p>
    <w:p w14:paraId="31A7CF7A" w14:textId="77777777" w:rsidR="00D85733" w:rsidRDefault="00D85733" w:rsidP="00D85733"/>
    <w:p w14:paraId="0DCF4115" w14:textId="77777777" w:rsidR="00D85733" w:rsidRDefault="00D85733" w:rsidP="00D85733">
      <w:r>
        <w:rPr>
          <w:b/>
          <w:bCs/>
          <w:u w:val="single"/>
        </w:rPr>
        <w:t>Kontrolované období</w:t>
      </w:r>
      <w:r>
        <w:t>:</w:t>
      </w:r>
      <w:r>
        <w:tab/>
      </w:r>
    </w:p>
    <w:p w14:paraId="63007A39" w14:textId="77777777" w:rsidR="00D85733" w:rsidRDefault="00D85733" w:rsidP="00D85733"/>
    <w:p w14:paraId="245DD45F" w14:textId="77777777" w:rsidR="00D85733" w:rsidRDefault="00D85733" w:rsidP="00D85733">
      <w:r>
        <w:rPr>
          <w:b/>
          <w:bCs/>
          <w:u w:val="single"/>
        </w:rPr>
        <w:t>Termín kontroly</w:t>
      </w:r>
      <w:r>
        <w:t>:</w:t>
      </w:r>
      <w:r>
        <w:tab/>
      </w:r>
      <w:r>
        <w:tab/>
      </w:r>
    </w:p>
    <w:p w14:paraId="3EA8F70F" w14:textId="77777777" w:rsidR="00D85733" w:rsidRDefault="00D85733" w:rsidP="00D85733">
      <w:pPr>
        <w:pStyle w:val="MDSR"/>
      </w:pPr>
    </w:p>
    <w:p w14:paraId="731ADD47" w14:textId="77777777" w:rsidR="00D85733" w:rsidRDefault="00D85733" w:rsidP="00D85733">
      <w:pPr>
        <w:pStyle w:val="MDSR"/>
      </w:pPr>
    </w:p>
    <w:p w14:paraId="68A7DD09" w14:textId="77777777" w:rsidR="00D85733" w:rsidRDefault="00D85733" w:rsidP="00D85733">
      <w:pPr>
        <w:pStyle w:val="MDSR"/>
      </w:pPr>
    </w:p>
    <w:p w14:paraId="0AD78002" w14:textId="77777777" w:rsidR="00D85733" w:rsidRDefault="006C234D" w:rsidP="00D85733">
      <w:pPr>
        <w:pStyle w:val="MDSR"/>
        <w:spacing w:before="0"/>
      </w:pPr>
      <w:r>
        <w:fldChar w:fldCharType="begin"/>
      </w:r>
      <w:r>
        <w:instrText xml:space="preserve"> DOCPROPERTY  "MD_minFunc" </w:instrText>
      </w:r>
      <w:r>
        <w:fldChar w:fldCharType="separate"/>
      </w:r>
      <w:r w:rsidR="00D85733">
        <w:t>ministr dopravy</w:t>
      </w:r>
      <w:r>
        <w:fldChar w:fldCharType="end"/>
      </w:r>
    </w:p>
    <w:p w14:paraId="0856891F" w14:textId="77777777" w:rsidR="00D85733" w:rsidRDefault="00D85733" w:rsidP="00D85733"/>
    <w:p w14:paraId="7AD72D2B" w14:textId="0F51FD9C" w:rsidR="00D95CE8" w:rsidRDefault="00D95CE8">
      <w:r>
        <w:br w:type="page"/>
      </w:r>
    </w:p>
    <w:tbl>
      <w:tblPr>
        <w:tblpPr w:leftFromText="142" w:rightFromText="142" w:vertAnchor="text" w:tblpXSpec="right" w:tblpY="-283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9"/>
        <w:gridCol w:w="3516"/>
      </w:tblGrid>
      <w:tr w:rsidR="00D95CE8" w14:paraId="32E7D847" w14:textId="77777777" w:rsidTr="00577D1E">
        <w:trPr>
          <w:cantSplit/>
          <w:trHeight w:val="150"/>
        </w:trPr>
        <w:tc>
          <w:tcPr>
            <w:tcW w:w="5659" w:type="dxa"/>
          </w:tcPr>
          <w:p w14:paraId="00C2624A" w14:textId="77777777" w:rsidR="00D95CE8" w:rsidRDefault="00D95CE8" w:rsidP="00577D1E">
            <w:pPr>
              <w:rPr>
                <w:b/>
                <w:color w:val="FFFFFF"/>
                <w:sz w:val="18"/>
              </w:rPr>
            </w:pPr>
          </w:p>
        </w:tc>
        <w:tc>
          <w:tcPr>
            <w:tcW w:w="3516" w:type="dxa"/>
          </w:tcPr>
          <w:p w14:paraId="3C415F0A" w14:textId="77777777" w:rsidR="00D95CE8" w:rsidRDefault="00D95CE8" w:rsidP="00577D1E">
            <w:pPr>
              <w:rPr>
                <w:b/>
                <w:color w:val="FFFFFF"/>
                <w:sz w:val="18"/>
              </w:rPr>
            </w:pPr>
          </w:p>
        </w:tc>
      </w:tr>
      <w:tr w:rsidR="00D95CE8" w14:paraId="570AD419" w14:textId="77777777" w:rsidTr="00577D1E">
        <w:trPr>
          <w:trHeight w:val="578"/>
        </w:trPr>
        <w:tc>
          <w:tcPr>
            <w:tcW w:w="5659" w:type="dxa"/>
          </w:tcPr>
          <w:p w14:paraId="0360F257" w14:textId="77777777" w:rsidR="00D95CE8" w:rsidRDefault="00D95CE8" w:rsidP="00577D1E">
            <w:pPr>
              <w:pStyle w:val="ZZZEssTerA11Vle0cmPedsaz49cmTab49"/>
            </w:pPr>
          </w:p>
          <w:p w14:paraId="393D9F37" w14:textId="77777777" w:rsidR="00D95CE8" w:rsidRPr="006E3230" w:rsidRDefault="00D95CE8" w:rsidP="00577D1E">
            <w:pPr>
              <w:pStyle w:val="ZZZEssTerA11Vle0cmPedsaz49cmTab49"/>
              <w:rPr>
                <w:rFonts w:cs="Arial"/>
                <w:szCs w:val="22"/>
              </w:rPr>
            </w:pPr>
          </w:p>
        </w:tc>
        <w:tc>
          <w:tcPr>
            <w:tcW w:w="3516" w:type="dxa"/>
          </w:tcPr>
          <w:p w14:paraId="0C11CFE2" w14:textId="77777777" w:rsidR="00D95CE8" w:rsidRDefault="00D95CE8" w:rsidP="00577D1E">
            <w:pPr>
              <w:pStyle w:val="ZZZEssTerA11Vle0cmPedsaz49cmTab49"/>
            </w:pPr>
          </w:p>
          <w:p w14:paraId="2260CED8" w14:textId="77777777" w:rsidR="00D95CE8" w:rsidRDefault="00D95CE8" w:rsidP="00577D1E">
            <w:pPr>
              <w:pStyle w:val="ZZZEssTer12"/>
            </w:pPr>
            <w:r>
              <w:t xml:space="preserve">V Praze dne:     </w:t>
            </w:r>
            <w:r>
              <w:fldChar w:fldCharType="begin"/>
            </w:r>
            <w:r>
              <w:instrText xml:space="preserve"> DOCPROPERTY  MD_Dat_MesRok </w:instrText>
            </w:r>
            <w:r>
              <w:fldChar w:fldCharType="end"/>
            </w:r>
          </w:p>
          <w:p w14:paraId="76EC01B7" w14:textId="593C4447" w:rsidR="00D95CE8" w:rsidRPr="001F6398" w:rsidRDefault="00D95CE8" w:rsidP="00227192">
            <w:pPr>
              <w:pStyle w:val="MDSR"/>
              <w:suppressAutoHyphens w:val="0"/>
              <w:overflowPunct/>
              <w:autoSpaceDE/>
              <w:autoSpaceDN/>
              <w:adjustRightInd/>
              <w:spacing w:before="0"/>
              <w:ind w:firstLine="0"/>
              <w:jc w:val="left"/>
              <w:textAlignment w:val="auto"/>
            </w:pPr>
            <w:r>
              <w:t xml:space="preserve">Č. j.: </w:t>
            </w:r>
          </w:p>
        </w:tc>
      </w:tr>
    </w:tbl>
    <w:p w14:paraId="55779E6B" w14:textId="77777777" w:rsidR="00D95CE8" w:rsidRDefault="00D95CE8" w:rsidP="00D95CE8">
      <w:pPr>
        <w:pStyle w:val="ZZZEss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AF6B1E" wp14:editId="33AD1E0A">
            <wp:simplePos x="0" y="0"/>
            <wp:positionH relativeFrom="column">
              <wp:posOffset>-64135</wp:posOffset>
            </wp:positionH>
            <wp:positionV relativeFrom="paragraph">
              <wp:posOffset>42545</wp:posOffset>
            </wp:positionV>
            <wp:extent cx="2331720" cy="585470"/>
            <wp:effectExtent l="0" t="0" r="0" b="5080"/>
            <wp:wrapNone/>
            <wp:docPr id="4" name="Obrázek 4" descr="logo MD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D_mi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558D1" w14:textId="77777777" w:rsidR="00D95CE8" w:rsidRDefault="00D95CE8" w:rsidP="00D95CE8">
      <w:pPr>
        <w:pStyle w:val="ZZZEsster"/>
      </w:pPr>
    </w:p>
    <w:p w14:paraId="0D2D43FD" w14:textId="77777777" w:rsidR="00D95CE8" w:rsidRPr="00513313" w:rsidRDefault="00D95CE8" w:rsidP="00D95CE8">
      <w:pPr>
        <w:pStyle w:val="ZZZEsster"/>
        <w:rPr>
          <w:sz w:val="20"/>
        </w:rPr>
      </w:pPr>
    </w:p>
    <w:p w14:paraId="1C95F044" w14:textId="77777777" w:rsidR="00D95CE8" w:rsidRPr="00513313" w:rsidRDefault="00D95CE8" w:rsidP="00D95CE8">
      <w:pPr>
        <w:pStyle w:val="ZZZEsster"/>
        <w:rPr>
          <w:sz w:val="20"/>
        </w:rPr>
      </w:pPr>
    </w:p>
    <w:p w14:paraId="3F2F32C0" w14:textId="77777777" w:rsidR="00D95CE8" w:rsidRPr="00513313" w:rsidRDefault="00D95CE8" w:rsidP="00D95CE8">
      <w:pPr>
        <w:pStyle w:val="ZZZEssTer12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6642B2" wp14:editId="55197111">
            <wp:simplePos x="0" y="0"/>
            <wp:positionH relativeFrom="column">
              <wp:posOffset>-64135</wp:posOffset>
            </wp:positionH>
            <wp:positionV relativeFrom="paragraph">
              <wp:posOffset>150495</wp:posOffset>
            </wp:positionV>
            <wp:extent cx="583565" cy="191135"/>
            <wp:effectExtent l="0" t="0" r="6985" b="0"/>
            <wp:wrapNone/>
            <wp:docPr id="1" name="Obrázek 1" descr="samo logo 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o logo M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02" b="6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19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AC59F" w14:textId="77777777" w:rsidR="00D95CE8" w:rsidRPr="00A3359D" w:rsidRDefault="00D95CE8" w:rsidP="00D95CE8">
      <w:pPr>
        <w:pStyle w:val="ZZZEssTerA16BProl2b"/>
        <w:ind w:firstLine="1134"/>
        <w:outlineLvl w:val="0"/>
        <w:rPr>
          <w:color w:val="003366"/>
        </w:rPr>
      </w:pPr>
      <w:r>
        <w:rPr>
          <w:color w:val="003366"/>
        </w:rPr>
        <w:t>pověření ministra dopravy</w:t>
      </w:r>
    </w:p>
    <w:p w14:paraId="683C1E61" w14:textId="77777777" w:rsidR="00D95CE8" w:rsidRDefault="00D95CE8" w:rsidP="00D95CE8">
      <w:pPr>
        <w:pStyle w:val="MDSR"/>
      </w:pPr>
      <w:r>
        <w:t xml:space="preserve">k provedení </w:t>
      </w:r>
      <w:r>
        <w:rPr>
          <w:b/>
        </w:rPr>
        <w:t>veřejnosprávní</w:t>
      </w:r>
      <w:r>
        <w:t xml:space="preserve"> </w:t>
      </w:r>
      <w:r>
        <w:rPr>
          <w:b/>
        </w:rPr>
        <w:t xml:space="preserve">kontroly </w:t>
      </w:r>
      <w:r>
        <w:t>podle zákona č. 320/2001 Sb., o finanční kontrole ve veřejné správě a o změně některých zákonů (zákon o finanční kontrole), v platném znění.</w:t>
      </w:r>
    </w:p>
    <w:p w14:paraId="6566633A" w14:textId="77777777" w:rsidR="00D95CE8" w:rsidRDefault="00D95CE8" w:rsidP="00D95CE8">
      <w:pPr>
        <w:pStyle w:val="MDSR"/>
      </w:pPr>
    </w:p>
    <w:p w14:paraId="23F988CE" w14:textId="77777777" w:rsidR="00D95CE8" w:rsidRPr="008D093B" w:rsidRDefault="00D95CE8" w:rsidP="00D95CE8">
      <w:pPr>
        <w:pStyle w:val="Style11"/>
        <w:widowControl/>
        <w:spacing w:before="53"/>
        <w:jc w:val="center"/>
        <w:rPr>
          <w:rStyle w:val="FontStyle19"/>
          <w:rFonts w:ascii="Times New Roman" w:hAnsi="Times New Roman"/>
        </w:rPr>
      </w:pPr>
      <w:r>
        <w:rPr>
          <w:rStyle w:val="FontStyle19"/>
          <w:rFonts w:ascii="Times New Roman" w:hAnsi="Times New Roman"/>
        </w:rPr>
        <w:t>POVĚŘENÍ PŘI</w:t>
      </w:r>
      <w:r w:rsidRPr="008D093B">
        <w:rPr>
          <w:rStyle w:val="FontStyle19"/>
          <w:rFonts w:ascii="Times New Roman" w:hAnsi="Times New Roman"/>
        </w:rPr>
        <w:t>ZVANÉ OSOBY</w:t>
      </w:r>
    </w:p>
    <w:p w14:paraId="37020D6B" w14:textId="77777777" w:rsidR="00D95CE8" w:rsidRPr="008D093B" w:rsidRDefault="00D95CE8" w:rsidP="00D95CE8">
      <w:pPr>
        <w:pStyle w:val="Style10"/>
        <w:widowControl/>
        <w:spacing w:before="62" w:line="240" w:lineRule="auto"/>
        <w:ind w:firstLine="567"/>
        <w:rPr>
          <w:rStyle w:val="FontStyle20"/>
          <w:rFonts w:ascii="Times New Roman" w:hAnsi="Times New Roman"/>
        </w:rPr>
      </w:pPr>
      <w:r w:rsidRPr="008D093B">
        <w:rPr>
          <w:rStyle w:val="FontStyle20"/>
          <w:rFonts w:ascii="Times New Roman" w:hAnsi="Times New Roman"/>
        </w:rPr>
        <w:t>V souladu s ustanovením § 6 zákona č. 255/2012 Sb., o kontrole (</w:t>
      </w:r>
      <w:r>
        <w:rPr>
          <w:rStyle w:val="FontStyle20"/>
          <w:rFonts w:ascii="Times New Roman" w:hAnsi="Times New Roman"/>
        </w:rPr>
        <w:t>kontrolní řád), je k </w:t>
      </w:r>
      <w:r w:rsidRPr="008D093B">
        <w:rPr>
          <w:rStyle w:val="FontStyle20"/>
          <w:rFonts w:ascii="Times New Roman" w:hAnsi="Times New Roman"/>
        </w:rPr>
        <w:t xml:space="preserve">provedení </w:t>
      </w:r>
      <w:r>
        <w:rPr>
          <w:rStyle w:val="FontStyle20"/>
          <w:rFonts w:ascii="Times New Roman" w:hAnsi="Times New Roman"/>
          <w:b/>
        </w:rPr>
        <w:t>kon</w:t>
      </w:r>
      <w:r w:rsidRPr="008D093B">
        <w:rPr>
          <w:rStyle w:val="FontStyle20"/>
          <w:rFonts w:ascii="Times New Roman" w:hAnsi="Times New Roman"/>
          <w:b/>
        </w:rPr>
        <w:t>troly hospodaření s prostředky veřejné finanční podpory na zák</w:t>
      </w:r>
      <w:r>
        <w:rPr>
          <w:rStyle w:val="FontStyle20"/>
          <w:rFonts w:ascii="Times New Roman" w:hAnsi="Times New Roman"/>
          <w:b/>
        </w:rPr>
        <w:t>ladě nařízení EP a Rady (ES) č. </w:t>
      </w:r>
      <w:r w:rsidRPr="008D093B">
        <w:rPr>
          <w:rStyle w:val="FontStyle20"/>
          <w:rFonts w:ascii="Times New Roman" w:hAnsi="Times New Roman"/>
          <w:b/>
        </w:rPr>
        <w:t>1370/2007 ze dne 23. 10. 2007</w:t>
      </w:r>
    </w:p>
    <w:p w14:paraId="64C99FC1" w14:textId="77777777" w:rsidR="00D95CE8" w:rsidRDefault="00D95CE8" w:rsidP="00D95CE8">
      <w:pPr>
        <w:pStyle w:val="Style8"/>
        <w:widowControl/>
        <w:spacing w:before="130"/>
        <w:jc w:val="center"/>
        <w:rPr>
          <w:rStyle w:val="FontStyle22"/>
          <w:rFonts w:ascii="Times New Roman" w:hAnsi="Times New Roman"/>
        </w:rPr>
      </w:pPr>
      <w:r w:rsidRPr="008D093B">
        <w:rPr>
          <w:rStyle w:val="FontStyle22"/>
          <w:rFonts w:ascii="Times New Roman" w:hAnsi="Times New Roman"/>
        </w:rPr>
        <w:t>přizván</w:t>
      </w:r>
    </w:p>
    <w:p w14:paraId="26029FCF" w14:textId="77777777" w:rsidR="00D95CE8" w:rsidRPr="008D093B" w:rsidRDefault="00D95CE8" w:rsidP="00D95CE8">
      <w:pPr>
        <w:pStyle w:val="Style8"/>
        <w:widowControl/>
        <w:jc w:val="center"/>
        <w:rPr>
          <w:rStyle w:val="FontStyle22"/>
          <w:rFonts w:ascii="Times New Roman" w:hAnsi="Times New Roman"/>
        </w:rPr>
      </w:pPr>
    </w:p>
    <w:p w14:paraId="4DB982DE" w14:textId="77777777" w:rsidR="00D95CE8" w:rsidRDefault="00D95CE8" w:rsidP="00D95CE8">
      <w:pPr>
        <w:jc w:val="center"/>
        <w:rPr>
          <w:b/>
        </w:rPr>
      </w:pPr>
      <w:r>
        <w:rPr>
          <w:b/>
        </w:rPr>
        <w:t>…………..</w:t>
      </w:r>
    </w:p>
    <w:p w14:paraId="60DE611A" w14:textId="77777777" w:rsidR="00D95CE8" w:rsidRPr="00077CE4" w:rsidRDefault="00D95CE8" w:rsidP="00D95CE8">
      <w:pPr>
        <w:jc w:val="center"/>
        <w:rPr>
          <w:b/>
        </w:rPr>
      </w:pPr>
    </w:p>
    <w:p w14:paraId="4E401635" w14:textId="77777777" w:rsidR="00D95CE8" w:rsidRDefault="00D95CE8" w:rsidP="00D95CE8">
      <w:pPr>
        <w:jc w:val="both"/>
      </w:pPr>
      <w:r>
        <w:t>…………… je přizván z důvodu svých znalostí v oboru kontroly přepravních tržeb, za účelem posouzení dodržení podmínek vykazování ztráty ze státem nařízených slev z jízdného ve veřejné osobní dopravě stanovených níže uvedenou smlouvou s dopravcem.</w:t>
      </w:r>
    </w:p>
    <w:p w14:paraId="0BA0E173" w14:textId="77777777" w:rsidR="00D95CE8" w:rsidRDefault="00D95CE8" w:rsidP="00D95CE8">
      <w:pPr>
        <w:jc w:val="both"/>
      </w:pPr>
    </w:p>
    <w:p w14:paraId="35F5A55C" w14:textId="063A66F1" w:rsidR="00D95CE8" w:rsidRDefault="00D95CE8" w:rsidP="00D95CE8">
      <w:pPr>
        <w:jc w:val="both"/>
      </w:pPr>
      <w:r>
        <w:t>……………. byl ve smyslu § 6 odst</w:t>
      </w:r>
      <w:r w:rsidR="002038B1">
        <w:t>avce</w:t>
      </w:r>
      <w:r>
        <w:t xml:space="preserve"> 2 kontrolního řádu poučen o svých právech a povinnostech při účasti na kontrole.</w:t>
      </w:r>
    </w:p>
    <w:p w14:paraId="2BD5972F" w14:textId="77777777" w:rsidR="00D95CE8" w:rsidRDefault="00D95CE8" w:rsidP="00D95CE8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1297"/>
        <w:gridCol w:w="1680"/>
      </w:tblGrid>
      <w:tr w:rsidR="00D95CE8" w:rsidRPr="00644381" w14:paraId="1B159C63" w14:textId="77777777" w:rsidTr="00577D1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5BAF8" w14:textId="77777777" w:rsidR="00D95CE8" w:rsidRPr="00644381" w:rsidRDefault="00D95CE8" w:rsidP="00577D1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bCs/>
                <w:u w:val="single"/>
              </w:rPr>
              <w:t>Kontrolovaný subjekt</w:t>
            </w:r>
            <w:r>
              <w:t>: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E38" w14:textId="77777777" w:rsidR="00D95CE8" w:rsidRPr="00644381" w:rsidRDefault="00D95CE8" w:rsidP="00577D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4381">
              <w:rPr>
                <w:rFonts w:ascii="Calibri" w:hAnsi="Calibri"/>
                <w:color w:val="000000"/>
                <w:sz w:val="22"/>
                <w:szCs w:val="22"/>
              </w:rPr>
              <w:t>dopravce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506B0D1" w14:textId="6E5E6720" w:rsidR="00D95CE8" w:rsidRPr="00644381" w:rsidRDefault="00D95CE8" w:rsidP="00577D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4381">
              <w:rPr>
                <w:rFonts w:ascii="Calibri" w:hAnsi="Calibri"/>
                <w:color w:val="000000"/>
                <w:sz w:val="22"/>
                <w:szCs w:val="22"/>
              </w:rPr>
              <w:t>IČ</w:t>
            </w:r>
            <w:r w:rsidR="00853E1C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CBA1DCA" w14:textId="77777777" w:rsidR="00D95CE8" w:rsidRPr="00644381" w:rsidRDefault="00D95CE8" w:rsidP="00577D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44381">
              <w:rPr>
                <w:rFonts w:ascii="Calibri" w:hAnsi="Calibri"/>
                <w:color w:val="000000"/>
                <w:sz w:val="22"/>
                <w:szCs w:val="22"/>
              </w:rPr>
              <w:t>číslo smlouvy</w:t>
            </w:r>
          </w:p>
        </w:tc>
      </w:tr>
      <w:tr w:rsidR="00D95CE8" w:rsidRPr="00644381" w14:paraId="7893428E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D38D0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195BE8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2E78CAE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580CA7EE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79A6C672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D2D68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B73D74F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617B417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26648749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1DD55900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7F5D5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83EADF1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27A3CDEB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521F8244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30A9D726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416DD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9ADE92A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FD6B1AC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3A6ADCEA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54BCAD6A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F93FC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0CD19D1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476436B9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6A944234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20F175DE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5A441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18B4F45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86CD4FE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023406B1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54EE7CE5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376A7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92BCD91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07A18E7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471A3EF8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656DB18B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A3DFF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169538D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0B721FE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0C9FB19E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74808709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12136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9A3F294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119DE911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7202E7B9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4A5872C1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95497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3BEE31F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D1BF3EE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6469CFDE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3E493C30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740A9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8B87878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07F29513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004DA896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63B8E3EA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6D209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0467E8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F12F171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44C564CD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46439010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C60DF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0ED352F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671E34AC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0CD79A35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4F2C9174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A811E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D38246E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5DDA6334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1E1CBA87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4FE416E1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4E2C2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10C2197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39717419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507FBF8B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4A87CA76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E9857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E37434E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591DF15C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6CC13128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0AF3BF41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EDF51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67A0715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426E969B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27949A64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58BCBEF2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CDAAF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5E3CA5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849744F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34FFE9E5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CE8" w:rsidRPr="00644381" w14:paraId="1F4AD5D2" w14:textId="77777777" w:rsidTr="00577D1E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63210" w14:textId="77777777" w:rsidR="00D95CE8" w:rsidRPr="00644381" w:rsidRDefault="00D95CE8" w:rsidP="00577D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EEB7C16" w14:textId="77777777" w:rsidR="00D95CE8" w:rsidRDefault="00D95CE8" w:rsidP="00577D1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B041D86" w14:textId="77777777" w:rsidR="00D95CE8" w:rsidRDefault="00D95CE8" w:rsidP="00577D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67ED8D19" w14:textId="77777777" w:rsidR="00D95CE8" w:rsidRDefault="00D95CE8" w:rsidP="00577D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F995AF" w14:textId="77777777" w:rsidR="00D95CE8" w:rsidRDefault="00D95CE8" w:rsidP="00D95CE8">
      <w:r>
        <w:tab/>
      </w:r>
      <w:r>
        <w:tab/>
      </w:r>
      <w:r>
        <w:tab/>
      </w:r>
      <w:r>
        <w:tab/>
      </w:r>
    </w:p>
    <w:p w14:paraId="45F01D7C" w14:textId="77777777" w:rsidR="00D95CE8" w:rsidRDefault="00D95CE8" w:rsidP="00D95CE8">
      <w:r>
        <w:rPr>
          <w:b/>
          <w:bCs/>
          <w:u w:val="single"/>
        </w:rPr>
        <w:t>Kontrolované období</w:t>
      </w:r>
      <w:r>
        <w:t>:</w:t>
      </w:r>
      <w:r>
        <w:tab/>
        <w:t>……………….</w:t>
      </w:r>
    </w:p>
    <w:p w14:paraId="27A7FFC1" w14:textId="77777777" w:rsidR="00D95CE8" w:rsidRDefault="00D95CE8" w:rsidP="00D95CE8"/>
    <w:p w14:paraId="730B638E" w14:textId="77777777" w:rsidR="00D95CE8" w:rsidRDefault="00D95CE8" w:rsidP="00D95CE8">
      <w:pPr>
        <w:pStyle w:val="MDSR"/>
        <w:spacing w:before="0"/>
        <w:ind w:left="6946"/>
        <w:rPr>
          <w:b/>
        </w:rPr>
      </w:pPr>
    </w:p>
    <w:p w14:paraId="7334DFB7" w14:textId="77777777" w:rsidR="00227192" w:rsidRDefault="00227192" w:rsidP="00D95CE8">
      <w:pPr>
        <w:pStyle w:val="MDSR"/>
        <w:spacing w:before="0"/>
        <w:ind w:left="6946"/>
        <w:rPr>
          <w:b/>
        </w:rPr>
      </w:pPr>
    </w:p>
    <w:p w14:paraId="2484507A" w14:textId="0243843E" w:rsidR="00D95CE8" w:rsidRDefault="006C234D" w:rsidP="00D95CE8">
      <w:pPr>
        <w:pStyle w:val="MDSR"/>
        <w:spacing w:before="0"/>
        <w:ind w:left="6946"/>
      </w:pPr>
      <w:r>
        <w:fldChar w:fldCharType="begin"/>
      </w:r>
      <w:r>
        <w:instrText xml:space="preserve"> DOCPROPERTY  "MD_minFunc" </w:instrText>
      </w:r>
      <w:r>
        <w:fldChar w:fldCharType="separate"/>
      </w:r>
      <w:r w:rsidR="00D95CE8">
        <w:t>ministr dopravy</w:t>
      </w:r>
      <w:r>
        <w:fldChar w:fldCharType="end"/>
      </w:r>
    </w:p>
    <w:p w14:paraId="03101983" w14:textId="77777777" w:rsidR="00D95CE8" w:rsidRDefault="00D95CE8" w:rsidP="00D95CE8">
      <w:pPr>
        <w:pStyle w:val="MDSR"/>
        <w:spacing w:before="0"/>
        <w:ind w:firstLine="0"/>
      </w:pPr>
    </w:p>
    <w:p w14:paraId="577B156C" w14:textId="77777777" w:rsidR="00F27499" w:rsidRDefault="00F27499"/>
    <w:sectPr w:rsidR="00F27499" w:rsidSect="002E41D2"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9085" w14:textId="77777777" w:rsidR="006923B6" w:rsidRDefault="006923B6">
      <w:r>
        <w:separator/>
      </w:r>
    </w:p>
  </w:endnote>
  <w:endnote w:type="continuationSeparator" w:id="0">
    <w:p w14:paraId="295A4F22" w14:textId="77777777" w:rsidR="006923B6" w:rsidRDefault="0069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2F0" w14:textId="551EE724" w:rsidR="00AB130E" w:rsidRPr="0048170A" w:rsidRDefault="00AB130E" w:rsidP="00D8573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268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4ACD" w14:textId="77777777" w:rsidR="006923B6" w:rsidRDefault="006923B6">
      <w:r>
        <w:separator/>
      </w:r>
    </w:p>
  </w:footnote>
  <w:footnote w:type="continuationSeparator" w:id="0">
    <w:p w14:paraId="6744278E" w14:textId="77777777" w:rsidR="006923B6" w:rsidRDefault="006923B6">
      <w:r>
        <w:continuationSeparator/>
      </w:r>
    </w:p>
  </w:footnote>
  <w:footnote w:id="1">
    <w:p w14:paraId="7510E9FA" w14:textId="77777777" w:rsidR="0075579F" w:rsidRDefault="0075579F" w:rsidP="005C7F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5579F">
        <w:t xml:space="preserve">vyplní se jen v případě, že je </w:t>
      </w:r>
      <w:r>
        <w:t>vlak v části trasy zařazen do objednávky veřejných služeb (závazku veřejné služby)</w:t>
      </w:r>
    </w:p>
  </w:footnote>
  <w:footnote w:id="2">
    <w:p w14:paraId="24ED040C" w14:textId="77777777" w:rsidR="0075579F" w:rsidRDefault="0075579F" w:rsidP="005C7F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5579F">
        <w:t xml:space="preserve">datum od - do nebo dny v týdnu; vyplní se pouze v případě, že je </w:t>
      </w:r>
      <w:r>
        <w:t xml:space="preserve">vlak </w:t>
      </w:r>
      <w:r w:rsidRPr="0075579F">
        <w:t xml:space="preserve">v </w:t>
      </w:r>
      <w:r w:rsidR="005C7F8B">
        <w:t xml:space="preserve">objednávce veřejných služeb (závazku veřejné služby) </w:t>
      </w:r>
      <w:r w:rsidRPr="0075579F">
        <w:t>v určitém období nebo v některé dny v týdnu; nejedná se o</w:t>
      </w:r>
      <w:r>
        <w:t xml:space="preserve"> časová omezení uvedená v jízdní</w:t>
      </w:r>
      <w:r w:rsidRPr="0075579F">
        <w:t xml:space="preserve">m řádu </w:t>
      </w:r>
      <w:r>
        <w:t>vlaku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5E8A292"/>
    <w:lvl w:ilvl="0">
      <w:numFmt w:val="bullet"/>
      <w:lvlText w:val="*"/>
      <w:lvlJc w:val="left"/>
    </w:lvl>
  </w:abstractNum>
  <w:abstractNum w:abstractNumId="1" w15:restartNumberingAfterBreak="0">
    <w:nsid w:val="013572FD"/>
    <w:multiLevelType w:val="hybridMultilevel"/>
    <w:tmpl w:val="8780C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D2B0F"/>
    <w:multiLevelType w:val="hybridMultilevel"/>
    <w:tmpl w:val="59601D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6861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D519C"/>
    <w:multiLevelType w:val="hybridMultilevel"/>
    <w:tmpl w:val="1F3A52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C66485"/>
    <w:multiLevelType w:val="hybridMultilevel"/>
    <w:tmpl w:val="0EB0B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C94D2A"/>
    <w:multiLevelType w:val="hybridMultilevel"/>
    <w:tmpl w:val="8AD0F7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8562A"/>
    <w:multiLevelType w:val="hybridMultilevel"/>
    <w:tmpl w:val="5D807C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4629B"/>
    <w:multiLevelType w:val="hybridMultilevel"/>
    <w:tmpl w:val="23BAE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50E90"/>
    <w:multiLevelType w:val="singleLevel"/>
    <w:tmpl w:val="D0AA9776"/>
    <w:lvl w:ilvl="0">
      <w:start w:val="2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2241A47"/>
    <w:multiLevelType w:val="singleLevel"/>
    <w:tmpl w:val="91F6ED60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2B563A"/>
    <w:multiLevelType w:val="hybridMultilevel"/>
    <w:tmpl w:val="8EEA4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66401"/>
    <w:multiLevelType w:val="hybridMultilevel"/>
    <w:tmpl w:val="73D08404"/>
    <w:lvl w:ilvl="0" w:tplc="7AF0C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361BFC"/>
    <w:multiLevelType w:val="hybridMultilevel"/>
    <w:tmpl w:val="065407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3D122C"/>
    <w:multiLevelType w:val="hybridMultilevel"/>
    <w:tmpl w:val="79F89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DC"/>
    <w:rsid w:val="000067F4"/>
    <w:rsid w:val="00011607"/>
    <w:rsid w:val="000200D4"/>
    <w:rsid w:val="0002117A"/>
    <w:rsid w:val="00021A63"/>
    <w:rsid w:val="00021B47"/>
    <w:rsid w:val="00022CD6"/>
    <w:rsid w:val="00031E8D"/>
    <w:rsid w:val="00033418"/>
    <w:rsid w:val="0003747D"/>
    <w:rsid w:val="00040655"/>
    <w:rsid w:val="00041785"/>
    <w:rsid w:val="000533BB"/>
    <w:rsid w:val="00061095"/>
    <w:rsid w:val="000617EF"/>
    <w:rsid w:val="00061EAB"/>
    <w:rsid w:val="000623A1"/>
    <w:rsid w:val="0006380D"/>
    <w:rsid w:val="00064DDA"/>
    <w:rsid w:val="00065344"/>
    <w:rsid w:val="00073D3C"/>
    <w:rsid w:val="0008112E"/>
    <w:rsid w:val="00090CEC"/>
    <w:rsid w:val="00092362"/>
    <w:rsid w:val="000A1099"/>
    <w:rsid w:val="000A1452"/>
    <w:rsid w:val="000A3672"/>
    <w:rsid w:val="000A3B05"/>
    <w:rsid w:val="000A741A"/>
    <w:rsid w:val="000C1A49"/>
    <w:rsid w:val="000C7E54"/>
    <w:rsid w:val="000D6AC6"/>
    <w:rsid w:val="000E1749"/>
    <w:rsid w:val="000E2B01"/>
    <w:rsid w:val="000E63C1"/>
    <w:rsid w:val="000F5ECD"/>
    <w:rsid w:val="000F6584"/>
    <w:rsid w:val="00105242"/>
    <w:rsid w:val="00107FCA"/>
    <w:rsid w:val="00110C20"/>
    <w:rsid w:val="00112CBA"/>
    <w:rsid w:val="00114AD4"/>
    <w:rsid w:val="00117C8C"/>
    <w:rsid w:val="001303A1"/>
    <w:rsid w:val="001337BA"/>
    <w:rsid w:val="00142ABF"/>
    <w:rsid w:val="0014445B"/>
    <w:rsid w:val="00144607"/>
    <w:rsid w:val="00151E5D"/>
    <w:rsid w:val="001638CB"/>
    <w:rsid w:val="00163E78"/>
    <w:rsid w:val="001643A5"/>
    <w:rsid w:val="00164C24"/>
    <w:rsid w:val="00170511"/>
    <w:rsid w:val="001706BB"/>
    <w:rsid w:val="001707E3"/>
    <w:rsid w:val="00171102"/>
    <w:rsid w:val="00183BAA"/>
    <w:rsid w:val="00185FD8"/>
    <w:rsid w:val="0019084D"/>
    <w:rsid w:val="00190F1E"/>
    <w:rsid w:val="001A4354"/>
    <w:rsid w:val="001B0AF0"/>
    <w:rsid w:val="001B1A87"/>
    <w:rsid w:val="001B315F"/>
    <w:rsid w:val="001B3DF5"/>
    <w:rsid w:val="001B4666"/>
    <w:rsid w:val="001B6A5E"/>
    <w:rsid w:val="001C0707"/>
    <w:rsid w:val="001C30C6"/>
    <w:rsid w:val="001C6F59"/>
    <w:rsid w:val="001D7E46"/>
    <w:rsid w:val="001F3B0B"/>
    <w:rsid w:val="001F44B0"/>
    <w:rsid w:val="001F5467"/>
    <w:rsid w:val="001F6EF9"/>
    <w:rsid w:val="002038B1"/>
    <w:rsid w:val="00206F99"/>
    <w:rsid w:val="00214CC2"/>
    <w:rsid w:val="00217DF0"/>
    <w:rsid w:val="00224F0B"/>
    <w:rsid w:val="00226686"/>
    <w:rsid w:val="00227192"/>
    <w:rsid w:val="00227E24"/>
    <w:rsid w:val="002316F4"/>
    <w:rsid w:val="002338C3"/>
    <w:rsid w:val="00241823"/>
    <w:rsid w:val="002435CA"/>
    <w:rsid w:val="0024677F"/>
    <w:rsid w:val="002469F3"/>
    <w:rsid w:val="0025268B"/>
    <w:rsid w:val="00253465"/>
    <w:rsid w:val="002536B8"/>
    <w:rsid w:val="00255836"/>
    <w:rsid w:val="0025745E"/>
    <w:rsid w:val="00262F71"/>
    <w:rsid w:val="00266523"/>
    <w:rsid w:val="00267403"/>
    <w:rsid w:val="00273309"/>
    <w:rsid w:val="00274DFE"/>
    <w:rsid w:val="00283374"/>
    <w:rsid w:val="002870E0"/>
    <w:rsid w:val="00290375"/>
    <w:rsid w:val="002A70F3"/>
    <w:rsid w:val="002B0165"/>
    <w:rsid w:val="002B62FA"/>
    <w:rsid w:val="002C0FB5"/>
    <w:rsid w:val="002C427F"/>
    <w:rsid w:val="002D412A"/>
    <w:rsid w:val="002E41D2"/>
    <w:rsid w:val="002F0ABD"/>
    <w:rsid w:val="002F1E41"/>
    <w:rsid w:val="002F6767"/>
    <w:rsid w:val="002F7C98"/>
    <w:rsid w:val="003116B5"/>
    <w:rsid w:val="00315132"/>
    <w:rsid w:val="00322673"/>
    <w:rsid w:val="003329C6"/>
    <w:rsid w:val="00337E3F"/>
    <w:rsid w:val="0034377C"/>
    <w:rsid w:val="00346A54"/>
    <w:rsid w:val="003502D1"/>
    <w:rsid w:val="00360004"/>
    <w:rsid w:val="00360B43"/>
    <w:rsid w:val="00361DF7"/>
    <w:rsid w:val="003631AC"/>
    <w:rsid w:val="00376204"/>
    <w:rsid w:val="00380196"/>
    <w:rsid w:val="003835AD"/>
    <w:rsid w:val="00392D45"/>
    <w:rsid w:val="003938B1"/>
    <w:rsid w:val="003958A9"/>
    <w:rsid w:val="003A49CB"/>
    <w:rsid w:val="003A5861"/>
    <w:rsid w:val="003B0194"/>
    <w:rsid w:val="003B0AE1"/>
    <w:rsid w:val="003B66EA"/>
    <w:rsid w:val="003C58E0"/>
    <w:rsid w:val="003D7427"/>
    <w:rsid w:val="003E2F82"/>
    <w:rsid w:val="003E4384"/>
    <w:rsid w:val="003F5DDE"/>
    <w:rsid w:val="003F6208"/>
    <w:rsid w:val="003F6C57"/>
    <w:rsid w:val="003F6F73"/>
    <w:rsid w:val="00401353"/>
    <w:rsid w:val="00403FD4"/>
    <w:rsid w:val="004073FA"/>
    <w:rsid w:val="004107EA"/>
    <w:rsid w:val="0041283D"/>
    <w:rsid w:val="00426687"/>
    <w:rsid w:val="00427A38"/>
    <w:rsid w:val="00427B63"/>
    <w:rsid w:val="00433FF8"/>
    <w:rsid w:val="00435780"/>
    <w:rsid w:val="0044331B"/>
    <w:rsid w:val="00445A61"/>
    <w:rsid w:val="0045056E"/>
    <w:rsid w:val="00451563"/>
    <w:rsid w:val="004523E4"/>
    <w:rsid w:val="00455383"/>
    <w:rsid w:val="004655DE"/>
    <w:rsid w:val="00472484"/>
    <w:rsid w:val="004748FC"/>
    <w:rsid w:val="00477C93"/>
    <w:rsid w:val="00490A61"/>
    <w:rsid w:val="00495C44"/>
    <w:rsid w:val="004A0188"/>
    <w:rsid w:val="004A6DA0"/>
    <w:rsid w:val="004B195E"/>
    <w:rsid w:val="004B4232"/>
    <w:rsid w:val="004C6D7C"/>
    <w:rsid w:val="004D02F6"/>
    <w:rsid w:val="004D3042"/>
    <w:rsid w:val="004D460D"/>
    <w:rsid w:val="004D6F69"/>
    <w:rsid w:val="004E3AB2"/>
    <w:rsid w:val="004F431B"/>
    <w:rsid w:val="004F4781"/>
    <w:rsid w:val="00504D2D"/>
    <w:rsid w:val="00506661"/>
    <w:rsid w:val="00514F62"/>
    <w:rsid w:val="00535E97"/>
    <w:rsid w:val="0053713A"/>
    <w:rsid w:val="00547722"/>
    <w:rsid w:val="005541BD"/>
    <w:rsid w:val="00554A6A"/>
    <w:rsid w:val="005554E8"/>
    <w:rsid w:val="00564085"/>
    <w:rsid w:val="00575169"/>
    <w:rsid w:val="005764BC"/>
    <w:rsid w:val="005858FC"/>
    <w:rsid w:val="00592D9D"/>
    <w:rsid w:val="005957B9"/>
    <w:rsid w:val="005B7056"/>
    <w:rsid w:val="005C00B4"/>
    <w:rsid w:val="005C0C00"/>
    <w:rsid w:val="005C0CE9"/>
    <w:rsid w:val="005C5420"/>
    <w:rsid w:val="005C7F8B"/>
    <w:rsid w:val="005E26A8"/>
    <w:rsid w:val="005E4CF4"/>
    <w:rsid w:val="005E4EB1"/>
    <w:rsid w:val="005F22A3"/>
    <w:rsid w:val="005F420F"/>
    <w:rsid w:val="00616537"/>
    <w:rsid w:val="00616ED9"/>
    <w:rsid w:val="006173D2"/>
    <w:rsid w:val="00626199"/>
    <w:rsid w:val="006272BE"/>
    <w:rsid w:val="00627A4A"/>
    <w:rsid w:val="006309B6"/>
    <w:rsid w:val="006323F2"/>
    <w:rsid w:val="00632C9D"/>
    <w:rsid w:val="0064656B"/>
    <w:rsid w:val="006479ED"/>
    <w:rsid w:val="006503BF"/>
    <w:rsid w:val="006548BA"/>
    <w:rsid w:val="00660E03"/>
    <w:rsid w:val="00662454"/>
    <w:rsid w:val="00673908"/>
    <w:rsid w:val="006744E3"/>
    <w:rsid w:val="00674C17"/>
    <w:rsid w:val="0068232A"/>
    <w:rsid w:val="00686004"/>
    <w:rsid w:val="006908C7"/>
    <w:rsid w:val="006923B6"/>
    <w:rsid w:val="006924EF"/>
    <w:rsid w:val="006A4EFF"/>
    <w:rsid w:val="006A503E"/>
    <w:rsid w:val="006A6DE8"/>
    <w:rsid w:val="006A7C7B"/>
    <w:rsid w:val="006C1A5F"/>
    <w:rsid w:val="006C234D"/>
    <w:rsid w:val="006C238D"/>
    <w:rsid w:val="006C4FFD"/>
    <w:rsid w:val="006D0B13"/>
    <w:rsid w:val="006D6733"/>
    <w:rsid w:val="006D6CE8"/>
    <w:rsid w:val="006E164A"/>
    <w:rsid w:val="006E2686"/>
    <w:rsid w:val="006E5F4A"/>
    <w:rsid w:val="006F2AD4"/>
    <w:rsid w:val="006F2DC4"/>
    <w:rsid w:val="006F6DF1"/>
    <w:rsid w:val="007052CF"/>
    <w:rsid w:val="00712C74"/>
    <w:rsid w:val="0071549F"/>
    <w:rsid w:val="0072455F"/>
    <w:rsid w:val="00726CDE"/>
    <w:rsid w:val="00726FCC"/>
    <w:rsid w:val="00731B97"/>
    <w:rsid w:val="00732D57"/>
    <w:rsid w:val="00733BBD"/>
    <w:rsid w:val="00737C17"/>
    <w:rsid w:val="00753830"/>
    <w:rsid w:val="00754160"/>
    <w:rsid w:val="0075579F"/>
    <w:rsid w:val="00761436"/>
    <w:rsid w:val="0076516F"/>
    <w:rsid w:val="00765C4B"/>
    <w:rsid w:val="007660F3"/>
    <w:rsid w:val="0077090B"/>
    <w:rsid w:val="00771998"/>
    <w:rsid w:val="00773646"/>
    <w:rsid w:val="007815AF"/>
    <w:rsid w:val="00782F5B"/>
    <w:rsid w:val="007925DC"/>
    <w:rsid w:val="007A4C83"/>
    <w:rsid w:val="007A7414"/>
    <w:rsid w:val="007B11BD"/>
    <w:rsid w:val="007B2CA8"/>
    <w:rsid w:val="007B3293"/>
    <w:rsid w:val="007B5B1E"/>
    <w:rsid w:val="007B656B"/>
    <w:rsid w:val="007C0546"/>
    <w:rsid w:val="007D1503"/>
    <w:rsid w:val="007D5ECA"/>
    <w:rsid w:val="007D6B4D"/>
    <w:rsid w:val="007E18DA"/>
    <w:rsid w:val="007F44C8"/>
    <w:rsid w:val="007F5C85"/>
    <w:rsid w:val="008006E3"/>
    <w:rsid w:val="008079BB"/>
    <w:rsid w:val="00820793"/>
    <w:rsid w:val="00822E01"/>
    <w:rsid w:val="0082526E"/>
    <w:rsid w:val="00826902"/>
    <w:rsid w:val="00832803"/>
    <w:rsid w:val="00841289"/>
    <w:rsid w:val="00843034"/>
    <w:rsid w:val="008521C1"/>
    <w:rsid w:val="00853E1C"/>
    <w:rsid w:val="00857040"/>
    <w:rsid w:val="00867675"/>
    <w:rsid w:val="00867EB9"/>
    <w:rsid w:val="00871127"/>
    <w:rsid w:val="00871475"/>
    <w:rsid w:val="00875EC7"/>
    <w:rsid w:val="00877153"/>
    <w:rsid w:val="00885AB3"/>
    <w:rsid w:val="00886E84"/>
    <w:rsid w:val="008A1420"/>
    <w:rsid w:val="008A42DB"/>
    <w:rsid w:val="008B18CD"/>
    <w:rsid w:val="008B1D7F"/>
    <w:rsid w:val="008B2753"/>
    <w:rsid w:val="008B663E"/>
    <w:rsid w:val="008C659F"/>
    <w:rsid w:val="008D0026"/>
    <w:rsid w:val="008D5BC6"/>
    <w:rsid w:val="008E054E"/>
    <w:rsid w:val="008E375C"/>
    <w:rsid w:val="008E4701"/>
    <w:rsid w:val="008E633A"/>
    <w:rsid w:val="008E761E"/>
    <w:rsid w:val="008F16D1"/>
    <w:rsid w:val="008F44E4"/>
    <w:rsid w:val="00900311"/>
    <w:rsid w:val="00902C26"/>
    <w:rsid w:val="009059D5"/>
    <w:rsid w:val="00913854"/>
    <w:rsid w:val="00915613"/>
    <w:rsid w:val="009162F8"/>
    <w:rsid w:val="00917A88"/>
    <w:rsid w:val="00925FCB"/>
    <w:rsid w:val="009302F6"/>
    <w:rsid w:val="00932943"/>
    <w:rsid w:val="00936D69"/>
    <w:rsid w:val="0094135E"/>
    <w:rsid w:val="00942D9D"/>
    <w:rsid w:val="00944E13"/>
    <w:rsid w:val="00945532"/>
    <w:rsid w:val="009464E8"/>
    <w:rsid w:val="00960ABE"/>
    <w:rsid w:val="00967ED4"/>
    <w:rsid w:val="00977430"/>
    <w:rsid w:val="009822EC"/>
    <w:rsid w:val="009831E4"/>
    <w:rsid w:val="00987E85"/>
    <w:rsid w:val="00992602"/>
    <w:rsid w:val="009A05BE"/>
    <w:rsid w:val="009B0281"/>
    <w:rsid w:val="009B39EF"/>
    <w:rsid w:val="009B7961"/>
    <w:rsid w:val="009C0498"/>
    <w:rsid w:val="009D5DA5"/>
    <w:rsid w:val="009E512D"/>
    <w:rsid w:val="009F52A8"/>
    <w:rsid w:val="009F5445"/>
    <w:rsid w:val="009F6BD8"/>
    <w:rsid w:val="00A031D7"/>
    <w:rsid w:val="00A05ABA"/>
    <w:rsid w:val="00A06C54"/>
    <w:rsid w:val="00A108EB"/>
    <w:rsid w:val="00A30D55"/>
    <w:rsid w:val="00A35A55"/>
    <w:rsid w:val="00A40037"/>
    <w:rsid w:val="00A47685"/>
    <w:rsid w:val="00A506D1"/>
    <w:rsid w:val="00A53C83"/>
    <w:rsid w:val="00A63493"/>
    <w:rsid w:val="00A6593D"/>
    <w:rsid w:val="00A66CEB"/>
    <w:rsid w:val="00A75C2C"/>
    <w:rsid w:val="00A80F8D"/>
    <w:rsid w:val="00A90EBC"/>
    <w:rsid w:val="00A95F02"/>
    <w:rsid w:val="00A96780"/>
    <w:rsid w:val="00AA02FC"/>
    <w:rsid w:val="00AA18EB"/>
    <w:rsid w:val="00AA2865"/>
    <w:rsid w:val="00AA3852"/>
    <w:rsid w:val="00AA554F"/>
    <w:rsid w:val="00AA5844"/>
    <w:rsid w:val="00AB130E"/>
    <w:rsid w:val="00AB1700"/>
    <w:rsid w:val="00AB5CD8"/>
    <w:rsid w:val="00AC00C2"/>
    <w:rsid w:val="00AD7054"/>
    <w:rsid w:val="00AE00EB"/>
    <w:rsid w:val="00AE2C4D"/>
    <w:rsid w:val="00AF7374"/>
    <w:rsid w:val="00B12770"/>
    <w:rsid w:val="00B207CB"/>
    <w:rsid w:val="00B22FAE"/>
    <w:rsid w:val="00B25F0A"/>
    <w:rsid w:val="00B270F6"/>
    <w:rsid w:val="00B331F6"/>
    <w:rsid w:val="00B33BD1"/>
    <w:rsid w:val="00B349DC"/>
    <w:rsid w:val="00B35484"/>
    <w:rsid w:val="00B43315"/>
    <w:rsid w:val="00B51746"/>
    <w:rsid w:val="00B52D43"/>
    <w:rsid w:val="00B53BC3"/>
    <w:rsid w:val="00B565AD"/>
    <w:rsid w:val="00B6568E"/>
    <w:rsid w:val="00B67703"/>
    <w:rsid w:val="00B73EFE"/>
    <w:rsid w:val="00B76D94"/>
    <w:rsid w:val="00B926B8"/>
    <w:rsid w:val="00B948DC"/>
    <w:rsid w:val="00BA0ECF"/>
    <w:rsid w:val="00BB6970"/>
    <w:rsid w:val="00BB766B"/>
    <w:rsid w:val="00BC0A82"/>
    <w:rsid w:val="00BC1F7C"/>
    <w:rsid w:val="00BC3383"/>
    <w:rsid w:val="00BC3D11"/>
    <w:rsid w:val="00BC7562"/>
    <w:rsid w:val="00BD3E7D"/>
    <w:rsid w:val="00BD4D55"/>
    <w:rsid w:val="00BE341E"/>
    <w:rsid w:val="00BE4093"/>
    <w:rsid w:val="00BE763C"/>
    <w:rsid w:val="00BF3172"/>
    <w:rsid w:val="00BF58C6"/>
    <w:rsid w:val="00BF6CA5"/>
    <w:rsid w:val="00C02126"/>
    <w:rsid w:val="00C021F7"/>
    <w:rsid w:val="00C028E6"/>
    <w:rsid w:val="00C05DE1"/>
    <w:rsid w:val="00C1499E"/>
    <w:rsid w:val="00C16D4B"/>
    <w:rsid w:val="00C26D58"/>
    <w:rsid w:val="00C30CE2"/>
    <w:rsid w:val="00C339A6"/>
    <w:rsid w:val="00C35C1C"/>
    <w:rsid w:val="00C35CE9"/>
    <w:rsid w:val="00C478E5"/>
    <w:rsid w:val="00C50D49"/>
    <w:rsid w:val="00C575CA"/>
    <w:rsid w:val="00C61544"/>
    <w:rsid w:val="00C6156D"/>
    <w:rsid w:val="00C632E1"/>
    <w:rsid w:val="00C666CA"/>
    <w:rsid w:val="00C66B66"/>
    <w:rsid w:val="00C73C8C"/>
    <w:rsid w:val="00C73F68"/>
    <w:rsid w:val="00C75B31"/>
    <w:rsid w:val="00C82020"/>
    <w:rsid w:val="00C91583"/>
    <w:rsid w:val="00C956B2"/>
    <w:rsid w:val="00C9714C"/>
    <w:rsid w:val="00CA1267"/>
    <w:rsid w:val="00CA4B5B"/>
    <w:rsid w:val="00CB024A"/>
    <w:rsid w:val="00CB42C6"/>
    <w:rsid w:val="00CC3E34"/>
    <w:rsid w:val="00CD5050"/>
    <w:rsid w:val="00CD78E2"/>
    <w:rsid w:val="00CE04E8"/>
    <w:rsid w:val="00CF21D6"/>
    <w:rsid w:val="00CF4630"/>
    <w:rsid w:val="00D070BA"/>
    <w:rsid w:val="00D13D2B"/>
    <w:rsid w:val="00D16D90"/>
    <w:rsid w:val="00D16E82"/>
    <w:rsid w:val="00D2096B"/>
    <w:rsid w:val="00D21E36"/>
    <w:rsid w:val="00D24F27"/>
    <w:rsid w:val="00D31433"/>
    <w:rsid w:val="00D5136E"/>
    <w:rsid w:val="00D52767"/>
    <w:rsid w:val="00D55ADB"/>
    <w:rsid w:val="00D64AA8"/>
    <w:rsid w:val="00D670B5"/>
    <w:rsid w:val="00D6717D"/>
    <w:rsid w:val="00D672C7"/>
    <w:rsid w:val="00D7023D"/>
    <w:rsid w:val="00D72DDD"/>
    <w:rsid w:val="00D74CF6"/>
    <w:rsid w:val="00D85733"/>
    <w:rsid w:val="00D91856"/>
    <w:rsid w:val="00D94C13"/>
    <w:rsid w:val="00D95CE8"/>
    <w:rsid w:val="00DA2B03"/>
    <w:rsid w:val="00DA47AC"/>
    <w:rsid w:val="00DA5A6E"/>
    <w:rsid w:val="00DB0CAB"/>
    <w:rsid w:val="00DB2191"/>
    <w:rsid w:val="00DC4C4D"/>
    <w:rsid w:val="00DC73CB"/>
    <w:rsid w:val="00DD40E2"/>
    <w:rsid w:val="00DE4A44"/>
    <w:rsid w:val="00DE6189"/>
    <w:rsid w:val="00DF0C9C"/>
    <w:rsid w:val="00DF2CB1"/>
    <w:rsid w:val="00E0266D"/>
    <w:rsid w:val="00E04912"/>
    <w:rsid w:val="00E0589C"/>
    <w:rsid w:val="00E06811"/>
    <w:rsid w:val="00E1152F"/>
    <w:rsid w:val="00E1481F"/>
    <w:rsid w:val="00E16411"/>
    <w:rsid w:val="00E2231B"/>
    <w:rsid w:val="00E22E2A"/>
    <w:rsid w:val="00E2349F"/>
    <w:rsid w:val="00E25798"/>
    <w:rsid w:val="00E27498"/>
    <w:rsid w:val="00E276F8"/>
    <w:rsid w:val="00E30E2B"/>
    <w:rsid w:val="00E33E17"/>
    <w:rsid w:val="00E349EB"/>
    <w:rsid w:val="00E43C31"/>
    <w:rsid w:val="00E5294F"/>
    <w:rsid w:val="00E53809"/>
    <w:rsid w:val="00E54178"/>
    <w:rsid w:val="00E644AC"/>
    <w:rsid w:val="00E70009"/>
    <w:rsid w:val="00E80A84"/>
    <w:rsid w:val="00E81D68"/>
    <w:rsid w:val="00E840A5"/>
    <w:rsid w:val="00E90627"/>
    <w:rsid w:val="00EB4723"/>
    <w:rsid w:val="00EB48E1"/>
    <w:rsid w:val="00EC4DAA"/>
    <w:rsid w:val="00EC67E7"/>
    <w:rsid w:val="00ED5714"/>
    <w:rsid w:val="00EE01CA"/>
    <w:rsid w:val="00EE546E"/>
    <w:rsid w:val="00EF066A"/>
    <w:rsid w:val="00EF3FB4"/>
    <w:rsid w:val="00F05D9A"/>
    <w:rsid w:val="00F13A86"/>
    <w:rsid w:val="00F13B54"/>
    <w:rsid w:val="00F145B3"/>
    <w:rsid w:val="00F17FDE"/>
    <w:rsid w:val="00F21462"/>
    <w:rsid w:val="00F256EF"/>
    <w:rsid w:val="00F27499"/>
    <w:rsid w:val="00F32B5C"/>
    <w:rsid w:val="00F36D0E"/>
    <w:rsid w:val="00F42BA3"/>
    <w:rsid w:val="00F44B32"/>
    <w:rsid w:val="00F5217E"/>
    <w:rsid w:val="00F52473"/>
    <w:rsid w:val="00F54D2D"/>
    <w:rsid w:val="00F55697"/>
    <w:rsid w:val="00F62A38"/>
    <w:rsid w:val="00F705B3"/>
    <w:rsid w:val="00F76E16"/>
    <w:rsid w:val="00F77E25"/>
    <w:rsid w:val="00F8041A"/>
    <w:rsid w:val="00F80FF4"/>
    <w:rsid w:val="00F838DD"/>
    <w:rsid w:val="00F85BCD"/>
    <w:rsid w:val="00F86AE9"/>
    <w:rsid w:val="00F921A4"/>
    <w:rsid w:val="00F923D6"/>
    <w:rsid w:val="00F92777"/>
    <w:rsid w:val="00F94F58"/>
    <w:rsid w:val="00FA2141"/>
    <w:rsid w:val="00FA7424"/>
    <w:rsid w:val="00FB0D77"/>
    <w:rsid w:val="00FB18F5"/>
    <w:rsid w:val="00FB2EFB"/>
    <w:rsid w:val="00FB4AC1"/>
    <w:rsid w:val="00FB50FE"/>
    <w:rsid w:val="00FB6F05"/>
    <w:rsid w:val="00FC100C"/>
    <w:rsid w:val="00FD0D40"/>
    <w:rsid w:val="00FD4031"/>
    <w:rsid w:val="00FD516A"/>
    <w:rsid w:val="00FE0690"/>
    <w:rsid w:val="00FE082F"/>
    <w:rsid w:val="00FE4825"/>
    <w:rsid w:val="00FE4C49"/>
    <w:rsid w:val="00FE5841"/>
    <w:rsid w:val="00FF01A2"/>
    <w:rsid w:val="00FF69D7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12F55BB"/>
  <w15:docId w15:val="{031970BC-A3BF-4680-B6AE-09B7E687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857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85733"/>
  </w:style>
  <w:style w:type="paragraph" w:styleId="Zkladntext">
    <w:name w:val="Body Text"/>
    <w:basedOn w:val="Normln"/>
    <w:link w:val="ZkladntextChar"/>
    <w:rsid w:val="00D85733"/>
    <w:pPr>
      <w:spacing w:after="120"/>
    </w:pPr>
  </w:style>
  <w:style w:type="paragraph" w:customStyle="1" w:styleId="lnek4">
    <w:name w:val="Článek 4"/>
    <w:basedOn w:val="Normln"/>
    <w:rsid w:val="00D85733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character" w:customStyle="1" w:styleId="FontStyle30">
    <w:name w:val="Font Style30"/>
    <w:rsid w:val="00D85733"/>
    <w:rPr>
      <w:rFonts w:ascii="Times New Roman" w:hAnsi="Times New Roman" w:cs="Times New Roman"/>
      <w:sz w:val="24"/>
      <w:szCs w:val="24"/>
    </w:rPr>
  </w:style>
  <w:style w:type="paragraph" w:customStyle="1" w:styleId="ZZZEsster">
    <w:name w:val="ZZZEsster"/>
    <w:rsid w:val="00D85733"/>
    <w:rPr>
      <w:sz w:val="24"/>
    </w:rPr>
  </w:style>
  <w:style w:type="paragraph" w:customStyle="1" w:styleId="MDSR">
    <w:name w:val="MDS ČR"/>
    <w:basedOn w:val="Normln"/>
    <w:rsid w:val="00D85733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0"/>
    </w:rPr>
  </w:style>
  <w:style w:type="paragraph" w:customStyle="1" w:styleId="ZZZEssTer12">
    <w:name w:val="ZZZEssTer12"/>
    <w:basedOn w:val="ZZZEsster"/>
    <w:link w:val="ZZZEssTer12Char"/>
    <w:rsid w:val="00D85733"/>
  </w:style>
  <w:style w:type="paragraph" w:customStyle="1" w:styleId="ZZZEssTerA16BProl2b">
    <w:name w:val="ZZZEssTer_A16B_Prol2b"/>
    <w:basedOn w:val="ZZZEsster"/>
    <w:rsid w:val="00D85733"/>
    <w:pPr>
      <w:ind w:firstLine="567"/>
    </w:pPr>
    <w:rPr>
      <w:rFonts w:ascii="Arial" w:hAnsi="Arial"/>
      <w:b/>
      <w:caps/>
      <w:spacing w:val="40"/>
      <w:sz w:val="32"/>
      <w:szCs w:val="32"/>
    </w:rPr>
  </w:style>
  <w:style w:type="paragraph" w:customStyle="1" w:styleId="ZZZEssTerA11Vle0cmPedsaz49cmTab49">
    <w:name w:val="ZZZEssTer_A11 + Vle 0 cm + Předsaz 4.9 cm + Tab 4.9"/>
    <w:basedOn w:val="ZZZEsster"/>
    <w:rsid w:val="00D85733"/>
    <w:pPr>
      <w:tabs>
        <w:tab w:val="left" w:pos="2778"/>
      </w:tabs>
      <w:ind w:left="2778" w:hanging="2778"/>
    </w:pPr>
    <w:rPr>
      <w:rFonts w:ascii="Arial" w:hAnsi="Arial"/>
      <w:spacing w:val="10"/>
      <w:w w:val="113"/>
      <w:sz w:val="22"/>
    </w:rPr>
  </w:style>
  <w:style w:type="paragraph" w:customStyle="1" w:styleId="Style14">
    <w:name w:val="Style14"/>
    <w:basedOn w:val="Normln"/>
    <w:rsid w:val="00D85733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19">
    <w:name w:val="Style19"/>
    <w:basedOn w:val="Normln"/>
    <w:rsid w:val="00D85733"/>
    <w:pPr>
      <w:widowControl w:val="0"/>
      <w:autoSpaceDE w:val="0"/>
      <w:autoSpaceDN w:val="0"/>
      <w:adjustRightInd w:val="0"/>
      <w:spacing w:line="278" w:lineRule="exact"/>
      <w:ind w:hanging="336"/>
    </w:pPr>
  </w:style>
  <w:style w:type="character" w:styleId="Odkaznakoment">
    <w:name w:val="annotation reference"/>
    <w:uiPriority w:val="99"/>
    <w:semiHidden/>
    <w:unhideWhenUsed/>
    <w:rsid w:val="00DB21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21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21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1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21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1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219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57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579F"/>
  </w:style>
  <w:style w:type="character" w:styleId="Znakapoznpodarou">
    <w:name w:val="footnote reference"/>
    <w:uiPriority w:val="99"/>
    <w:semiHidden/>
    <w:unhideWhenUsed/>
    <w:rsid w:val="0075579F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BC3383"/>
    <w:pPr>
      <w:ind w:left="708"/>
    </w:pPr>
    <w:rPr>
      <w:sz w:val="20"/>
      <w:szCs w:val="20"/>
    </w:rPr>
  </w:style>
  <w:style w:type="character" w:styleId="Hypertextovodkaz">
    <w:name w:val="Hyperlink"/>
    <w:uiPriority w:val="99"/>
    <w:unhideWhenUsed/>
    <w:rsid w:val="00253465"/>
    <w:rPr>
      <w:color w:val="0000FF"/>
      <w:u w:val="single"/>
    </w:rPr>
  </w:style>
  <w:style w:type="paragraph" w:styleId="Revize">
    <w:name w:val="Revision"/>
    <w:hidden/>
    <w:uiPriority w:val="99"/>
    <w:semiHidden/>
    <w:rsid w:val="00DE6189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640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4085"/>
    <w:rPr>
      <w:sz w:val="24"/>
      <w:szCs w:val="24"/>
    </w:rPr>
  </w:style>
  <w:style w:type="character" w:customStyle="1" w:styleId="ZkladntextChar">
    <w:name w:val="Základní text Char"/>
    <w:link w:val="Zkladntext"/>
    <w:rsid w:val="001B3DF5"/>
    <w:rPr>
      <w:sz w:val="24"/>
      <w:szCs w:val="24"/>
    </w:rPr>
  </w:style>
  <w:style w:type="character" w:customStyle="1" w:styleId="ZZZEssTer12Char">
    <w:name w:val="ZZZEssTer12 Char"/>
    <w:link w:val="ZZZEssTer12"/>
    <w:rsid w:val="00D95CE8"/>
    <w:rPr>
      <w:sz w:val="24"/>
    </w:rPr>
  </w:style>
  <w:style w:type="paragraph" w:customStyle="1" w:styleId="Style8">
    <w:name w:val="Style8"/>
    <w:basedOn w:val="Normln"/>
    <w:uiPriority w:val="99"/>
    <w:rsid w:val="00D95CE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0">
    <w:name w:val="Style10"/>
    <w:basedOn w:val="Normln"/>
    <w:uiPriority w:val="99"/>
    <w:rsid w:val="00D95CE8"/>
    <w:pPr>
      <w:widowControl w:val="0"/>
      <w:autoSpaceDE w:val="0"/>
      <w:autoSpaceDN w:val="0"/>
      <w:adjustRightInd w:val="0"/>
      <w:spacing w:line="241" w:lineRule="exact"/>
      <w:ind w:firstLine="283"/>
      <w:jc w:val="both"/>
    </w:pPr>
    <w:rPr>
      <w:rFonts w:ascii="Calibri" w:hAnsi="Calibri"/>
    </w:rPr>
  </w:style>
  <w:style w:type="paragraph" w:customStyle="1" w:styleId="Style11">
    <w:name w:val="Style11"/>
    <w:basedOn w:val="Normln"/>
    <w:uiPriority w:val="99"/>
    <w:rsid w:val="00D95CE8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9">
    <w:name w:val="Font Style19"/>
    <w:uiPriority w:val="99"/>
    <w:rsid w:val="00D95CE8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uiPriority w:val="99"/>
    <w:rsid w:val="00D95CE8"/>
    <w:rPr>
      <w:rFonts w:ascii="Calibri" w:hAnsi="Calibri" w:cs="Calibri"/>
      <w:sz w:val="20"/>
      <w:szCs w:val="20"/>
    </w:rPr>
  </w:style>
  <w:style w:type="character" w:customStyle="1" w:styleId="FontStyle22">
    <w:name w:val="Font Style22"/>
    <w:uiPriority w:val="99"/>
    <w:rsid w:val="00D95CE8"/>
    <w:rPr>
      <w:rFonts w:ascii="Calibri" w:hAnsi="Calibri" w:cs="Calibri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6F2C-A4F9-450F-8F51-394272F6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3319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Michal Mgr.</dc:creator>
  <cp:lastModifiedBy>Němec Michal Ing.</cp:lastModifiedBy>
  <cp:revision>3</cp:revision>
  <cp:lastPrinted>2018-01-04T14:32:00Z</cp:lastPrinted>
  <dcterms:created xsi:type="dcterms:W3CDTF">2024-02-06T09:54:00Z</dcterms:created>
  <dcterms:modified xsi:type="dcterms:W3CDTF">2024-02-06T09:58:00Z</dcterms:modified>
</cp:coreProperties>
</file>