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374" w:rsidRPr="00260323" w:rsidRDefault="006B18EF">
      <w:pPr>
        <w:rPr>
          <w:rFonts w:cs="Times New Roman"/>
          <w:szCs w:val="24"/>
        </w:rPr>
      </w:pPr>
      <w:r>
        <w:t xml:space="preserve"> </w:t>
      </w:r>
      <w:r w:rsidR="002D7CC6" w:rsidRPr="009F7B53">
        <w:rPr>
          <w:rFonts w:cs="Times New Roman"/>
          <w:b/>
          <w:noProof/>
          <w:color w:val="FF0000"/>
          <w:lang w:eastAsia="cs-CZ"/>
        </w:rPr>
        <w:drawing>
          <wp:inline distT="0" distB="0" distL="0" distR="0">
            <wp:extent cx="2171700" cy="542925"/>
            <wp:effectExtent l="0" t="0" r="0" b="9525"/>
            <wp:docPr id="1" name="Obrázek 1"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42925"/>
                    </a:xfrm>
                    <a:prstGeom prst="rect">
                      <a:avLst/>
                    </a:prstGeom>
                    <a:noFill/>
                    <a:ln>
                      <a:noFill/>
                    </a:ln>
                  </pic:spPr>
                </pic:pic>
              </a:graphicData>
            </a:graphic>
          </wp:inline>
        </w:drawing>
      </w:r>
      <w:r w:rsidR="002D7CC6" w:rsidRPr="002D7CC6">
        <w:t xml:space="preserve"> </w:t>
      </w:r>
      <w:r w:rsidR="000339E1">
        <w:tab/>
      </w:r>
      <w:r w:rsidR="000339E1">
        <w:tab/>
      </w:r>
      <w:r w:rsidR="000339E1">
        <w:tab/>
      </w:r>
      <w:r w:rsidR="000339E1">
        <w:tab/>
      </w:r>
      <w:r w:rsidR="002D7CC6">
        <w:rPr>
          <w:rFonts w:cs="Times New Roman"/>
          <w:szCs w:val="24"/>
        </w:rPr>
        <w:t xml:space="preserve"> </w:t>
      </w:r>
      <w:proofErr w:type="gramStart"/>
      <w:r w:rsidR="002D7CC6" w:rsidRPr="00260323">
        <w:rPr>
          <w:rFonts w:cs="Times New Roman"/>
          <w:szCs w:val="24"/>
        </w:rPr>
        <w:t>Č.j.</w:t>
      </w:r>
      <w:proofErr w:type="gramEnd"/>
      <w:r w:rsidR="002D7CC6" w:rsidRPr="00260323">
        <w:rPr>
          <w:rFonts w:cs="Times New Roman"/>
          <w:szCs w:val="24"/>
        </w:rPr>
        <w:t xml:space="preserve">:  </w:t>
      </w:r>
      <w:r w:rsidR="00260323" w:rsidRPr="00260323">
        <w:rPr>
          <w:rFonts w:cs="Times New Roman"/>
          <w:szCs w:val="24"/>
        </w:rPr>
        <w:t>152</w:t>
      </w:r>
      <w:r w:rsidR="002D7CC6" w:rsidRPr="00260323">
        <w:rPr>
          <w:rFonts w:cs="Times New Roman"/>
          <w:szCs w:val="24"/>
        </w:rPr>
        <w:t>/201</w:t>
      </w:r>
      <w:r w:rsidR="0001421C" w:rsidRPr="00260323">
        <w:rPr>
          <w:rFonts w:cs="Times New Roman"/>
          <w:szCs w:val="24"/>
        </w:rPr>
        <w:t>8</w:t>
      </w:r>
      <w:r w:rsidR="002D7CC6" w:rsidRPr="00260323">
        <w:rPr>
          <w:rFonts w:cs="Times New Roman"/>
          <w:szCs w:val="24"/>
        </w:rPr>
        <w:t>-410-ROPO</w:t>
      </w:r>
    </w:p>
    <w:p w:rsidR="00F3318F" w:rsidRPr="0001421C" w:rsidRDefault="00F3318F">
      <w:pPr>
        <w:rPr>
          <w:rFonts w:cs="Times New Roman"/>
          <w:color w:val="FF0000"/>
          <w:szCs w:val="24"/>
        </w:rPr>
      </w:pPr>
    </w:p>
    <w:p w:rsidR="00F3318F" w:rsidRPr="0001421C" w:rsidRDefault="00F3318F">
      <w:pPr>
        <w:rPr>
          <w:rFonts w:cs="Times New Roman"/>
          <w:color w:val="FF0000"/>
          <w:szCs w:val="24"/>
        </w:rPr>
      </w:pPr>
    </w:p>
    <w:p w:rsidR="00F3318F" w:rsidRPr="0001421C" w:rsidRDefault="00F3318F">
      <w:pPr>
        <w:rPr>
          <w:rFonts w:cs="Times New Roman"/>
          <w:color w:val="FF0000"/>
          <w:szCs w:val="24"/>
        </w:rPr>
      </w:pPr>
    </w:p>
    <w:p w:rsidR="00F3318F" w:rsidRDefault="00F3318F">
      <w:pPr>
        <w:rPr>
          <w:rFonts w:cs="Times New Roman"/>
          <w:color w:val="FF0000"/>
          <w:szCs w:val="24"/>
        </w:rPr>
      </w:pPr>
    </w:p>
    <w:p w:rsidR="00DA42E9" w:rsidRDefault="00DA42E9">
      <w:pPr>
        <w:rPr>
          <w:rFonts w:cs="Times New Roman"/>
          <w:color w:val="FF0000"/>
          <w:szCs w:val="24"/>
        </w:rPr>
      </w:pPr>
    </w:p>
    <w:p w:rsidR="00DA42E9" w:rsidRPr="0001421C" w:rsidRDefault="00DA42E9">
      <w:pPr>
        <w:rPr>
          <w:rFonts w:cs="Times New Roman"/>
          <w:color w:val="FF0000"/>
          <w:szCs w:val="24"/>
        </w:rPr>
      </w:pPr>
    </w:p>
    <w:p w:rsidR="00F3318F" w:rsidRPr="0001421C" w:rsidRDefault="00F3318F">
      <w:pPr>
        <w:rPr>
          <w:rFonts w:cs="Times New Roman"/>
          <w:color w:val="FF0000"/>
          <w:szCs w:val="24"/>
        </w:rPr>
      </w:pPr>
    </w:p>
    <w:p w:rsidR="00F3318F" w:rsidRPr="0001421C" w:rsidRDefault="00F3318F">
      <w:pPr>
        <w:rPr>
          <w:rFonts w:cs="Times New Roman"/>
          <w:color w:val="FF0000"/>
          <w:szCs w:val="24"/>
        </w:rPr>
      </w:pPr>
    </w:p>
    <w:p w:rsidR="00F3318F" w:rsidRPr="002F735C" w:rsidRDefault="00F3318F" w:rsidP="00F3318F">
      <w:pPr>
        <w:spacing w:line="240" w:lineRule="auto"/>
        <w:jc w:val="center"/>
        <w:rPr>
          <w:rFonts w:cs="Times New Roman"/>
          <w:b/>
          <w:sz w:val="28"/>
          <w:szCs w:val="28"/>
        </w:rPr>
      </w:pPr>
      <w:r w:rsidRPr="002F735C">
        <w:rPr>
          <w:rFonts w:cs="Times New Roman"/>
          <w:b/>
          <w:sz w:val="28"/>
          <w:szCs w:val="28"/>
        </w:rPr>
        <w:t xml:space="preserve">NÁVRH </w:t>
      </w:r>
    </w:p>
    <w:p w:rsidR="00F3318F" w:rsidRPr="002F735C" w:rsidRDefault="004D2E15" w:rsidP="00F3318F">
      <w:pPr>
        <w:spacing w:line="240" w:lineRule="auto"/>
        <w:jc w:val="center"/>
        <w:rPr>
          <w:rFonts w:cs="Times New Roman"/>
          <w:b/>
          <w:sz w:val="28"/>
          <w:szCs w:val="28"/>
        </w:rPr>
      </w:pPr>
      <w:r w:rsidRPr="002F735C">
        <w:rPr>
          <w:rFonts w:cs="Times New Roman"/>
          <w:b/>
          <w:sz w:val="28"/>
          <w:szCs w:val="28"/>
        </w:rPr>
        <w:t>státního rozpočtu na rok 201</w:t>
      </w:r>
      <w:r w:rsidR="0001421C" w:rsidRPr="002F735C">
        <w:rPr>
          <w:rFonts w:cs="Times New Roman"/>
          <w:b/>
          <w:sz w:val="28"/>
          <w:szCs w:val="28"/>
        </w:rPr>
        <w:t>9</w:t>
      </w:r>
    </w:p>
    <w:p w:rsidR="00F3318F" w:rsidRPr="002F735C" w:rsidRDefault="00F3318F" w:rsidP="00F3318F">
      <w:pPr>
        <w:spacing w:line="240" w:lineRule="auto"/>
        <w:jc w:val="center"/>
        <w:rPr>
          <w:rFonts w:cs="Times New Roman"/>
          <w:b/>
          <w:sz w:val="28"/>
          <w:szCs w:val="28"/>
        </w:rPr>
      </w:pPr>
      <w:r w:rsidRPr="002F735C">
        <w:rPr>
          <w:rFonts w:cs="Times New Roman"/>
          <w:b/>
          <w:sz w:val="28"/>
          <w:szCs w:val="28"/>
        </w:rPr>
        <w:t>za kapitolu 327 Ministerstvo dopravy</w:t>
      </w: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jc w:val="center"/>
        <w:rPr>
          <w:color w:val="FF0000"/>
        </w:rPr>
      </w:pPr>
      <w:r w:rsidRPr="0001421C">
        <w:rPr>
          <w:noProof/>
          <w:color w:val="FF0000"/>
          <w:lang w:eastAsia="cs-CZ"/>
        </w:rPr>
        <w:drawing>
          <wp:inline distT="0" distB="0" distL="0" distR="0">
            <wp:extent cx="1438275" cy="952500"/>
            <wp:effectExtent l="0" t="0" r="9525" b="0"/>
            <wp:docPr id="5" name="Obrázek 5" descr="letadl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adlo-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a:ln>
                      <a:noFill/>
                    </a:ln>
                  </pic:spPr>
                </pic:pic>
              </a:graphicData>
            </a:graphic>
          </wp:inline>
        </w:drawing>
      </w:r>
      <w:r w:rsidRPr="0001421C">
        <w:rPr>
          <w:noProof/>
          <w:color w:val="FF0000"/>
          <w:lang w:eastAsia="cs-CZ"/>
        </w:rPr>
        <w:drawing>
          <wp:inline distT="0" distB="0" distL="0" distR="0">
            <wp:extent cx="1295400" cy="971550"/>
            <wp:effectExtent l="0" t="0" r="0" b="0"/>
            <wp:docPr id="4" name="Obrázek 4" descr="želez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železn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01421C">
        <w:rPr>
          <w:noProof/>
          <w:color w:val="FF0000"/>
          <w:lang w:eastAsia="cs-CZ"/>
        </w:rPr>
        <w:drawing>
          <wp:inline distT="0" distB="0" distL="0" distR="0">
            <wp:extent cx="1285875" cy="962025"/>
            <wp:effectExtent l="0" t="0" r="9525" b="9525"/>
            <wp:docPr id="3" name="Obrázek 3" descr="silni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lnic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pic:spPr>
                </pic:pic>
              </a:graphicData>
            </a:graphic>
          </wp:inline>
        </w:drawing>
      </w:r>
      <w:r w:rsidRPr="0001421C">
        <w:rPr>
          <w:noProof/>
          <w:color w:val="FF0000"/>
          <w:lang w:eastAsia="cs-CZ"/>
        </w:rPr>
        <w:drawing>
          <wp:inline distT="0" distB="0" distL="0" distR="0">
            <wp:extent cx="1514475" cy="962025"/>
            <wp:effectExtent l="0" t="0" r="9525" b="9525"/>
            <wp:docPr id="2" name="Obrázek 2" descr="vodní doprav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dní doprava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962025"/>
                    </a:xfrm>
                    <a:prstGeom prst="rect">
                      <a:avLst/>
                    </a:prstGeom>
                    <a:noFill/>
                    <a:ln>
                      <a:noFill/>
                    </a:ln>
                  </pic:spPr>
                </pic:pic>
              </a:graphicData>
            </a:graphic>
          </wp:inline>
        </w:drawing>
      </w: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4E21CE" w:rsidRDefault="00F3318F" w:rsidP="00F3318F">
      <w:pPr>
        <w:spacing w:line="240" w:lineRule="auto"/>
        <w:rPr>
          <w:rFonts w:cs="Times New Roman"/>
          <w:b/>
          <w:szCs w:val="24"/>
        </w:rPr>
      </w:pPr>
      <w:r w:rsidRPr="0001421C">
        <w:rPr>
          <w:color w:val="FF0000"/>
        </w:rPr>
        <w:tab/>
      </w:r>
      <w:r w:rsidRPr="0001421C">
        <w:rPr>
          <w:color w:val="FF0000"/>
        </w:rPr>
        <w:tab/>
      </w:r>
      <w:r w:rsidRPr="0001421C">
        <w:rPr>
          <w:color w:val="FF0000"/>
        </w:rPr>
        <w:tab/>
      </w:r>
      <w:r w:rsidRPr="0001421C">
        <w:rPr>
          <w:color w:val="FF0000"/>
        </w:rPr>
        <w:tab/>
      </w:r>
      <w:r w:rsidRPr="0001421C">
        <w:rPr>
          <w:color w:val="FF0000"/>
        </w:rPr>
        <w:tab/>
      </w:r>
      <w:r w:rsidRPr="0001421C">
        <w:rPr>
          <w:color w:val="FF0000"/>
        </w:rPr>
        <w:tab/>
      </w:r>
      <w:r w:rsidRPr="0001421C">
        <w:rPr>
          <w:color w:val="FF0000"/>
        </w:rPr>
        <w:tab/>
      </w:r>
      <w:r w:rsidRPr="0001421C">
        <w:rPr>
          <w:color w:val="FF0000"/>
        </w:rPr>
        <w:tab/>
      </w:r>
      <w:r w:rsidRPr="0001421C">
        <w:rPr>
          <w:color w:val="FF0000"/>
        </w:rPr>
        <w:tab/>
      </w:r>
      <w:r w:rsidRPr="004E21CE">
        <w:rPr>
          <w:rFonts w:cs="Times New Roman"/>
          <w:b/>
          <w:szCs w:val="24"/>
        </w:rPr>
        <w:t>Obsah:</w:t>
      </w:r>
    </w:p>
    <w:p w:rsidR="00F3318F" w:rsidRPr="004E21CE" w:rsidRDefault="00F3318F" w:rsidP="00F3318F">
      <w:pPr>
        <w:spacing w:line="240" w:lineRule="auto"/>
        <w:rPr>
          <w:rFonts w:cs="Times New Roman"/>
          <w:b/>
          <w:szCs w:val="24"/>
        </w:rPr>
      </w:pP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p>
    <w:p w:rsidR="00F3318F" w:rsidRPr="004E21CE" w:rsidRDefault="00F3318F" w:rsidP="00F3318F">
      <w:pPr>
        <w:spacing w:line="240" w:lineRule="auto"/>
        <w:rPr>
          <w:rFonts w:cs="Times New Roman"/>
          <w:b/>
          <w:szCs w:val="24"/>
        </w:rPr>
      </w:pP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t>A. Zpráva</w:t>
      </w:r>
    </w:p>
    <w:p w:rsidR="00F3318F" w:rsidRPr="004E21CE" w:rsidRDefault="00F3318F" w:rsidP="00F3318F">
      <w:pPr>
        <w:spacing w:line="240" w:lineRule="auto"/>
        <w:rPr>
          <w:rFonts w:cs="Times New Roman"/>
          <w:b/>
          <w:szCs w:val="24"/>
        </w:rPr>
      </w:pP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t>B. Tabulková část</w:t>
      </w:r>
    </w:p>
    <w:p w:rsidR="00F3318F" w:rsidRPr="0001421C" w:rsidRDefault="00F3318F" w:rsidP="00F3318F">
      <w:pPr>
        <w:spacing w:line="240" w:lineRule="auto"/>
        <w:rPr>
          <w:rFonts w:cs="Times New Roman"/>
          <w:b/>
          <w:color w:val="FF0000"/>
          <w:szCs w:val="24"/>
        </w:rPr>
      </w:pP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r>
      <w:r w:rsidRPr="004E21CE">
        <w:rPr>
          <w:rFonts w:cs="Times New Roman"/>
          <w:b/>
          <w:szCs w:val="24"/>
        </w:rPr>
        <w:tab/>
        <w:t>C. Přílohy</w:t>
      </w:r>
    </w:p>
    <w:p w:rsidR="00F3318F" w:rsidRPr="0001421C" w:rsidRDefault="00F3318F" w:rsidP="00F3318F">
      <w:pPr>
        <w:spacing w:line="240" w:lineRule="auto"/>
        <w:rPr>
          <w:rFonts w:cs="Times New Roman"/>
          <w:b/>
          <w:color w:val="FF0000"/>
        </w:rPr>
      </w:pPr>
    </w:p>
    <w:p w:rsidR="00F3318F" w:rsidRPr="004E21CE" w:rsidRDefault="00F3318F" w:rsidP="00F3318F">
      <w:pPr>
        <w:spacing w:line="240" w:lineRule="auto"/>
        <w:rPr>
          <w:rFonts w:cs="Times New Roman"/>
          <w:b/>
          <w:szCs w:val="24"/>
        </w:rPr>
      </w:pPr>
      <w:r w:rsidRPr="004E21CE">
        <w:rPr>
          <w:rFonts w:cs="Times New Roman"/>
          <w:b/>
          <w:szCs w:val="24"/>
        </w:rPr>
        <w:t>Předkládá:</w:t>
      </w:r>
    </w:p>
    <w:p w:rsidR="00F3318F" w:rsidRPr="004E21CE" w:rsidRDefault="00F3318F" w:rsidP="00F3318F">
      <w:pPr>
        <w:spacing w:line="240" w:lineRule="auto"/>
        <w:rPr>
          <w:rFonts w:cs="Times New Roman"/>
          <w:szCs w:val="24"/>
        </w:rPr>
      </w:pPr>
      <w:r w:rsidRPr="004E21CE">
        <w:rPr>
          <w:rFonts w:cs="Times New Roman"/>
          <w:szCs w:val="24"/>
        </w:rPr>
        <w:t xml:space="preserve">Ing. Dan </w:t>
      </w:r>
      <w:proofErr w:type="spellStart"/>
      <w:r w:rsidRPr="004E21CE">
        <w:rPr>
          <w:rFonts w:cs="Times New Roman"/>
          <w:szCs w:val="24"/>
        </w:rPr>
        <w:t>Ťok</w:t>
      </w:r>
      <w:proofErr w:type="spellEnd"/>
      <w:r w:rsidRPr="004E21CE">
        <w:rPr>
          <w:rFonts w:cs="Times New Roman"/>
          <w:szCs w:val="24"/>
        </w:rPr>
        <w:t xml:space="preserve"> </w:t>
      </w:r>
      <w:r w:rsidRPr="004E21CE">
        <w:rPr>
          <w:rFonts w:cs="Times New Roman"/>
          <w:szCs w:val="24"/>
        </w:rPr>
        <w:tab/>
      </w:r>
      <w:r w:rsidRPr="004E21CE">
        <w:rPr>
          <w:rFonts w:cs="Times New Roman"/>
          <w:szCs w:val="24"/>
        </w:rPr>
        <w:tab/>
      </w:r>
    </w:p>
    <w:p w:rsidR="00F3318F" w:rsidRPr="004E21CE" w:rsidRDefault="00F3318F" w:rsidP="00F3318F">
      <w:pPr>
        <w:spacing w:line="240" w:lineRule="auto"/>
        <w:rPr>
          <w:rFonts w:cs="Times New Roman"/>
          <w:szCs w:val="24"/>
        </w:rPr>
      </w:pPr>
      <w:r w:rsidRPr="004E21CE">
        <w:rPr>
          <w:rFonts w:cs="Times New Roman"/>
          <w:szCs w:val="24"/>
        </w:rPr>
        <w:t>ministr dopravy</w:t>
      </w:r>
    </w:p>
    <w:p w:rsidR="00F3318F" w:rsidRPr="0001421C" w:rsidRDefault="00F3318F" w:rsidP="00F3318F">
      <w:pPr>
        <w:spacing w:line="240" w:lineRule="auto"/>
        <w:rPr>
          <w:rFonts w:cs="Times New Roman"/>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rPr>
          <w:color w:val="FF0000"/>
        </w:rPr>
      </w:pPr>
    </w:p>
    <w:p w:rsidR="00F3318F" w:rsidRPr="0001421C" w:rsidRDefault="00F3318F" w:rsidP="00F3318F">
      <w:pPr>
        <w:spacing w:line="240" w:lineRule="auto"/>
        <w:jc w:val="center"/>
        <w:rPr>
          <w:color w:val="FF0000"/>
        </w:rPr>
      </w:pPr>
    </w:p>
    <w:p w:rsidR="002F735C" w:rsidRDefault="002F735C" w:rsidP="0096581A">
      <w:pPr>
        <w:pStyle w:val="Obsah1"/>
      </w:pPr>
    </w:p>
    <w:p w:rsidR="002F735C" w:rsidRDefault="002F735C" w:rsidP="0096581A">
      <w:pPr>
        <w:pStyle w:val="Obsah1"/>
      </w:pPr>
    </w:p>
    <w:p w:rsidR="00110C1B" w:rsidRPr="002F735C" w:rsidRDefault="002F735C" w:rsidP="0096581A">
      <w:pPr>
        <w:pStyle w:val="Obsah1"/>
      </w:pPr>
      <w:r w:rsidRPr="002F735C">
        <w:t>Říjen</w:t>
      </w:r>
      <w:r w:rsidR="004D2E15" w:rsidRPr="002F735C">
        <w:t xml:space="preserve"> 201</w:t>
      </w:r>
      <w:r w:rsidR="0001421C" w:rsidRPr="002F735C">
        <w:t>8</w:t>
      </w:r>
    </w:p>
    <w:p w:rsidR="00AF5225" w:rsidRDefault="00AF5225" w:rsidP="009F7B53">
      <w:pPr>
        <w:jc w:val="center"/>
      </w:pPr>
    </w:p>
    <w:p w:rsidR="00AF5225" w:rsidRDefault="00AF5225">
      <w:pPr>
        <w:spacing w:after="160"/>
        <w:jc w:val="left"/>
      </w:pPr>
      <w:r>
        <w:br w:type="page"/>
      </w:r>
    </w:p>
    <w:p w:rsidR="00110C1B" w:rsidRPr="004D2E15" w:rsidRDefault="00110C1B" w:rsidP="009F7B53">
      <w:pPr>
        <w:jc w:val="center"/>
        <w:rPr>
          <w:rFonts w:eastAsia="Times New Roman" w:cs="Times New Roman"/>
          <w:noProof/>
          <w:szCs w:val="24"/>
          <w:lang w:eastAsia="cs-CZ"/>
        </w:rPr>
      </w:pPr>
      <w:r w:rsidRPr="004D2E15">
        <w:br w:type="page"/>
      </w:r>
    </w:p>
    <w:sdt>
      <w:sdtPr>
        <w:rPr>
          <w:rFonts w:asciiTheme="minorHAnsi" w:eastAsiaTheme="minorHAnsi" w:hAnsiTheme="minorHAnsi" w:cstheme="minorBidi"/>
          <w:bCs/>
          <w:caps w:val="0"/>
          <w:noProof/>
          <w:color w:val="FF0000"/>
          <w:sz w:val="22"/>
          <w:szCs w:val="22"/>
          <w:lang w:eastAsia="en-US"/>
        </w:rPr>
        <w:id w:val="489529023"/>
        <w:docPartObj>
          <w:docPartGallery w:val="Table of Contents"/>
          <w:docPartUnique/>
        </w:docPartObj>
      </w:sdtPr>
      <w:sdtEndPr>
        <w:rPr>
          <w:rFonts w:ascii="Times New Roman" w:eastAsia="Times New Roman" w:hAnsi="Times New Roman" w:cs="Times New Roman"/>
          <w:sz w:val="24"/>
          <w:szCs w:val="24"/>
          <w:lang w:eastAsia="cs-CZ"/>
        </w:rPr>
      </w:sdtEndPr>
      <w:sdtContent>
        <w:p w:rsidR="00CD5258" w:rsidRPr="004E21CE" w:rsidRDefault="00DB5031" w:rsidP="00DB5031">
          <w:pPr>
            <w:pStyle w:val="Nadpisobsahu"/>
            <w:jc w:val="center"/>
            <w:rPr>
              <w:rFonts w:ascii="Times New Roman" w:hAnsi="Times New Roman" w:cs="Times New Roman"/>
              <w:b/>
              <w:color w:val="auto"/>
              <w:sz w:val="28"/>
              <w:szCs w:val="28"/>
              <w:u w:val="single"/>
            </w:rPr>
          </w:pPr>
          <w:r w:rsidRPr="004E21CE">
            <w:rPr>
              <w:rFonts w:ascii="Times New Roman" w:hAnsi="Times New Roman" w:cs="Times New Roman"/>
              <w:b/>
              <w:color w:val="auto"/>
              <w:sz w:val="28"/>
              <w:szCs w:val="28"/>
            </w:rPr>
            <w:t xml:space="preserve">A. </w:t>
          </w:r>
          <w:r w:rsidRPr="004E21CE">
            <w:rPr>
              <w:rFonts w:ascii="Times New Roman" w:hAnsi="Times New Roman" w:cs="Times New Roman"/>
              <w:b/>
              <w:color w:val="auto"/>
              <w:sz w:val="28"/>
              <w:szCs w:val="28"/>
              <w:u w:val="single"/>
            </w:rPr>
            <w:t>Z P R Á V A</w:t>
          </w:r>
        </w:p>
        <w:p w:rsidR="00DB5031" w:rsidRPr="0001421C" w:rsidRDefault="00DB5031" w:rsidP="00DB5031">
          <w:pPr>
            <w:rPr>
              <w:color w:val="FF0000"/>
              <w:lang w:eastAsia="cs-CZ"/>
            </w:rPr>
          </w:pPr>
        </w:p>
        <w:p w:rsidR="008F2721" w:rsidRPr="0096581A" w:rsidRDefault="00CD5258" w:rsidP="0096581A">
          <w:pPr>
            <w:pStyle w:val="Obsah1"/>
            <w:rPr>
              <w:rFonts w:asciiTheme="minorHAnsi" w:eastAsiaTheme="minorEastAsia" w:hAnsiTheme="minorHAnsi" w:cstheme="minorBidi"/>
              <w:b w:val="0"/>
              <w:sz w:val="22"/>
              <w:szCs w:val="22"/>
            </w:rPr>
          </w:pPr>
          <w:r w:rsidRPr="0001421C">
            <w:fldChar w:fldCharType="begin"/>
          </w:r>
          <w:r w:rsidRPr="0001421C">
            <w:instrText xml:space="preserve"> TOC \o "1-3" \h \z \u </w:instrText>
          </w:r>
          <w:r w:rsidRPr="0001421C">
            <w:fldChar w:fldCharType="separate"/>
          </w:r>
          <w:hyperlink w:anchor="_Toc526424681" w:history="1">
            <w:r w:rsidR="008F2721" w:rsidRPr="0096581A">
              <w:rPr>
                <w:rStyle w:val="Hypertextovodkaz"/>
                <w:b w:val="0"/>
                <w:bCs/>
                <w:smallCaps/>
              </w:rPr>
              <w:t>1</w:t>
            </w:r>
            <w:r w:rsidR="008F2721" w:rsidRPr="0096581A">
              <w:rPr>
                <w:rFonts w:asciiTheme="minorHAnsi" w:eastAsiaTheme="minorEastAsia" w:hAnsiTheme="minorHAnsi" w:cstheme="minorBidi"/>
                <w:b w:val="0"/>
                <w:sz w:val="22"/>
                <w:szCs w:val="22"/>
              </w:rPr>
              <w:tab/>
            </w:r>
            <w:r w:rsidR="008F2721" w:rsidRPr="0096581A">
              <w:rPr>
                <w:rStyle w:val="Hypertextovodkaz"/>
                <w:b w:val="0"/>
                <w:bCs/>
                <w:smallCaps/>
              </w:rPr>
              <w:t>Úvod</w:t>
            </w:r>
            <w:r w:rsidR="008F2721" w:rsidRPr="0096581A">
              <w:rPr>
                <w:b w:val="0"/>
                <w:webHidden/>
              </w:rPr>
              <w:tab/>
            </w:r>
            <w:r w:rsidR="008F2721" w:rsidRPr="0096581A">
              <w:rPr>
                <w:b w:val="0"/>
                <w:webHidden/>
              </w:rPr>
              <w:fldChar w:fldCharType="begin"/>
            </w:r>
            <w:r w:rsidR="008F2721" w:rsidRPr="0096581A">
              <w:rPr>
                <w:b w:val="0"/>
                <w:webHidden/>
              </w:rPr>
              <w:instrText xml:space="preserve"> PAGEREF _Toc526424681 \h </w:instrText>
            </w:r>
            <w:r w:rsidR="008F2721" w:rsidRPr="0096581A">
              <w:rPr>
                <w:b w:val="0"/>
                <w:webHidden/>
              </w:rPr>
            </w:r>
            <w:r w:rsidR="008F2721" w:rsidRPr="0096581A">
              <w:rPr>
                <w:b w:val="0"/>
                <w:webHidden/>
              </w:rPr>
              <w:fldChar w:fldCharType="separate"/>
            </w:r>
            <w:r w:rsidR="00BD5F7C">
              <w:rPr>
                <w:b w:val="0"/>
                <w:webHidden/>
              </w:rPr>
              <w:t>1</w:t>
            </w:r>
            <w:r w:rsidR="008F2721" w:rsidRPr="0096581A">
              <w:rPr>
                <w:b w:val="0"/>
                <w:webHidden/>
              </w:rPr>
              <w:fldChar w:fldCharType="end"/>
            </w:r>
          </w:hyperlink>
        </w:p>
        <w:p w:rsidR="008F2721" w:rsidRPr="0096581A" w:rsidRDefault="00BF77A6" w:rsidP="0096581A">
          <w:pPr>
            <w:pStyle w:val="Obsah1"/>
            <w:rPr>
              <w:rFonts w:asciiTheme="minorHAnsi" w:eastAsiaTheme="minorEastAsia" w:hAnsiTheme="minorHAnsi" w:cstheme="minorBidi"/>
              <w:b w:val="0"/>
              <w:sz w:val="22"/>
              <w:szCs w:val="22"/>
            </w:rPr>
          </w:pPr>
          <w:hyperlink w:anchor="_Toc526424682" w:history="1">
            <w:r w:rsidR="008F2721" w:rsidRPr="0096581A">
              <w:rPr>
                <w:rStyle w:val="Hypertextovodkaz"/>
                <w:b w:val="0"/>
                <w:bCs/>
                <w:smallCaps/>
              </w:rPr>
              <w:t>2</w:t>
            </w:r>
            <w:r w:rsidR="008F2721" w:rsidRPr="0096581A">
              <w:rPr>
                <w:rFonts w:asciiTheme="minorHAnsi" w:eastAsiaTheme="minorEastAsia" w:hAnsiTheme="minorHAnsi" w:cstheme="minorBidi"/>
                <w:b w:val="0"/>
                <w:sz w:val="22"/>
                <w:szCs w:val="22"/>
              </w:rPr>
              <w:tab/>
            </w:r>
            <w:r w:rsidR="004450E8" w:rsidRPr="0096581A">
              <w:rPr>
                <w:rStyle w:val="Hypertextovodkaz"/>
                <w:b w:val="0"/>
                <w:bCs/>
                <w:smallCaps/>
                <w:sz w:val="20"/>
                <w:szCs w:val="20"/>
              </w:rPr>
              <w:t>ROZPOČET PŘÍJMŮ NA ROK 2019</w:t>
            </w:r>
            <w:r w:rsidR="008F2721" w:rsidRPr="0096581A">
              <w:rPr>
                <w:b w:val="0"/>
                <w:webHidden/>
              </w:rPr>
              <w:tab/>
            </w:r>
            <w:r w:rsidR="008F2721" w:rsidRPr="0096581A">
              <w:rPr>
                <w:b w:val="0"/>
                <w:webHidden/>
              </w:rPr>
              <w:fldChar w:fldCharType="begin"/>
            </w:r>
            <w:r w:rsidR="008F2721" w:rsidRPr="0096581A">
              <w:rPr>
                <w:b w:val="0"/>
                <w:webHidden/>
              </w:rPr>
              <w:instrText xml:space="preserve"> PAGEREF _Toc526424682 \h </w:instrText>
            </w:r>
            <w:r w:rsidR="008F2721" w:rsidRPr="0096581A">
              <w:rPr>
                <w:b w:val="0"/>
                <w:webHidden/>
              </w:rPr>
            </w:r>
            <w:r w:rsidR="008F2721" w:rsidRPr="0096581A">
              <w:rPr>
                <w:b w:val="0"/>
                <w:webHidden/>
              </w:rPr>
              <w:fldChar w:fldCharType="separate"/>
            </w:r>
            <w:r w:rsidR="00BD5F7C">
              <w:rPr>
                <w:b w:val="0"/>
                <w:webHidden/>
              </w:rPr>
              <w:t>3</w:t>
            </w:r>
            <w:r w:rsidR="008F2721" w:rsidRPr="0096581A">
              <w:rPr>
                <w:b w:val="0"/>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683" w:history="1">
            <w:r w:rsidR="008F2721" w:rsidRPr="0096581A">
              <w:rPr>
                <w:rStyle w:val="Hypertextovodkaz"/>
              </w:rPr>
              <w:t>2.1</w:t>
            </w:r>
            <w:r w:rsidR="008F2721" w:rsidRPr="0096581A">
              <w:rPr>
                <w:rFonts w:asciiTheme="minorHAnsi" w:eastAsiaTheme="minorEastAsia" w:hAnsiTheme="minorHAnsi" w:cstheme="minorBidi"/>
                <w:bCs w:val="0"/>
                <w:sz w:val="22"/>
                <w:szCs w:val="22"/>
              </w:rPr>
              <w:tab/>
            </w:r>
            <w:r w:rsidR="008F2721" w:rsidRPr="0096581A">
              <w:rPr>
                <w:rStyle w:val="Hypertextovodkaz"/>
              </w:rPr>
              <w:t>Specifické ukazatele – příjmy</w:t>
            </w:r>
            <w:r w:rsidR="008F2721" w:rsidRPr="0096581A">
              <w:rPr>
                <w:webHidden/>
              </w:rPr>
              <w:tab/>
            </w:r>
            <w:r w:rsidR="008F2721" w:rsidRPr="0096581A">
              <w:rPr>
                <w:webHidden/>
              </w:rPr>
              <w:fldChar w:fldCharType="begin"/>
            </w:r>
            <w:r w:rsidR="008F2721" w:rsidRPr="0096581A">
              <w:rPr>
                <w:webHidden/>
              </w:rPr>
              <w:instrText xml:space="preserve"> PAGEREF _Toc526424683 \h </w:instrText>
            </w:r>
            <w:r w:rsidR="008F2721" w:rsidRPr="0096581A">
              <w:rPr>
                <w:webHidden/>
              </w:rPr>
            </w:r>
            <w:r w:rsidR="008F2721" w:rsidRPr="0096581A">
              <w:rPr>
                <w:webHidden/>
              </w:rPr>
              <w:fldChar w:fldCharType="separate"/>
            </w:r>
            <w:r w:rsidR="00BD5F7C">
              <w:rPr>
                <w:webHidden/>
              </w:rPr>
              <w:t>3</w:t>
            </w:r>
            <w:r w:rsidR="008F2721" w:rsidRPr="0096581A">
              <w:rPr>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684" w:history="1">
            <w:r w:rsidR="008F2721" w:rsidRPr="0096581A">
              <w:rPr>
                <w:rStyle w:val="Hypertextovodkaz"/>
              </w:rPr>
              <w:t>2.2</w:t>
            </w:r>
            <w:r w:rsidR="008F2721" w:rsidRPr="0096581A">
              <w:rPr>
                <w:rFonts w:asciiTheme="minorHAnsi" w:eastAsiaTheme="minorEastAsia" w:hAnsiTheme="minorHAnsi" w:cstheme="minorBidi"/>
                <w:bCs w:val="0"/>
                <w:sz w:val="22"/>
                <w:szCs w:val="22"/>
              </w:rPr>
              <w:tab/>
            </w:r>
            <w:r w:rsidR="008F2721" w:rsidRPr="0096581A">
              <w:rPr>
                <w:rStyle w:val="Hypertextovodkaz"/>
              </w:rPr>
              <w:t>Druhové členění příjmů</w:t>
            </w:r>
            <w:r w:rsidR="008F2721" w:rsidRPr="0096581A">
              <w:rPr>
                <w:webHidden/>
              </w:rPr>
              <w:tab/>
            </w:r>
            <w:r w:rsidR="008F2721" w:rsidRPr="0096581A">
              <w:rPr>
                <w:webHidden/>
              </w:rPr>
              <w:fldChar w:fldCharType="begin"/>
            </w:r>
            <w:r w:rsidR="008F2721" w:rsidRPr="0096581A">
              <w:rPr>
                <w:webHidden/>
              </w:rPr>
              <w:instrText xml:space="preserve"> PAGEREF _Toc526424684 \h </w:instrText>
            </w:r>
            <w:r w:rsidR="008F2721" w:rsidRPr="0096581A">
              <w:rPr>
                <w:webHidden/>
              </w:rPr>
            </w:r>
            <w:r w:rsidR="008F2721" w:rsidRPr="0096581A">
              <w:rPr>
                <w:webHidden/>
              </w:rPr>
              <w:fldChar w:fldCharType="separate"/>
            </w:r>
            <w:r w:rsidR="00BD5F7C">
              <w:rPr>
                <w:webHidden/>
              </w:rPr>
              <w:t>3</w:t>
            </w:r>
            <w:r w:rsidR="008F2721" w:rsidRPr="0096581A">
              <w:rPr>
                <w:webHidden/>
              </w:rPr>
              <w:fldChar w:fldCharType="end"/>
            </w:r>
          </w:hyperlink>
        </w:p>
        <w:p w:rsidR="008F2721" w:rsidRPr="0096581A" w:rsidRDefault="00BF77A6" w:rsidP="0096581A">
          <w:pPr>
            <w:pStyle w:val="Obsah1"/>
            <w:rPr>
              <w:rFonts w:asciiTheme="minorHAnsi" w:eastAsiaTheme="minorEastAsia" w:hAnsiTheme="minorHAnsi" w:cstheme="minorBidi"/>
              <w:b w:val="0"/>
              <w:sz w:val="22"/>
              <w:szCs w:val="22"/>
            </w:rPr>
          </w:pPr>
          <w:hyperlink w:anchor="_Toc526424685" w:history="1">
            <w:r w:rsidR="008F2721" w:rsidRPr="0096581A">
              <w:rPr>
                <w:rStyle w:val="Hypertextovodkaz"/>
                <w:b w:val="0"/>
              </w:rPr>
              <w:t>3</w:t>
            </w:r>
            <w:r w:rsidR="008F2721" w:rsidRPr="0096581A">
              <w:rPr>
                <w:rFonts w:asciiTheme="minorHAnsi" w:eastAsiaTheme="minorEastAsia" w:hAnsiTheme="minorHAnsi" w:cstheme="minorBidi"/>
                <w:b w:val="0"/>
                <w:sz w:val="22"/>
                <w:szCs w:val="22"/>
              </w:rPr>
              <w:tab/>
            </w:r>
            <w:r w:rsidR="004450E8" w:rsidRPr="0096581A">
              <w:rPr>
                <w:rStyle w:val="Hypertextovodkaz"/>
                <w:b w:val="0"/>
                <w:sz w:val="20"/>
                <w:szCs w:val="20"/>
              </w:rPr>
              <w:t>ROZPOČET VÝDAJŮ NA ROK 2019</w:t>
            </w:r>
            <w:r w:rsidR="008F2721" w:rsidRPr="0096581A">
              <w:rPr>
                <w:b w:val="0"/>
                <w:webHidden/>
              </w:rPr>
              <w:tab/>
            </w:r>
            <w:r w:rsidR="008F2721" w:rsidRPr="0096581A">
              <w:rPr>
                <w:b w:val="0"/>
                <w:webHidden/>
              </w:rPr>
              <w:fldChar w:fldCharType="begin"/>
            </w:r>
            <w:r w:rsidR="008F2721" w:rsidRPr="0096581A">
              <w:rPr>
                <w:b w:val="0"/>
                <w:webHidden/>
              </w:rPr>
              <w:instrText xml:space="preserve"> PAGEREF _Toc526424685 \h </w:instrText>
            </w:r>
            <w:r w:rsidR="008F2721" w:rsidRPr="0096581A">
              <w:rPr>
                <w:b w:val="0"/>
                <w:webHidden/>
              </w:rPr>
            </w:r>
            <w:r w:rsidR="008F2721" w:rsidRPr="0096581A">
              <w:rPr>
                <w:b w:val="0"/>
                <w:webHidden/>
              </w:rPr>
              <w:fldChar w:fldCharType="separate"/>
            </w:r>
            <w:r w:rsidR="00BD5F7C">
              <w:rPr>
                <w:b w:val="0"/>
                <w:webHidden/>
              </w:rPr>
              <w:t>8</w:t>
            </w:r>
            <w:r w:rsidR="008F2721" w:rsidRPr="0096581A">
              <w:rPr>
                <w:b w:val="0"/>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686" w:history="1">
            <w:r w:rsidR="008F2721" w:rsidRPr="0096581A">
              <w:rPr>
                <w:rStyle w:val="Hypertextovodkaz"/>
              </w:rPr>
              <w:t>3.1</w:t>
            </w:r>
            <w:r w:rsidR="008F2721" w:rsidRPr="0096581A">
              <w:rPr>
                <w:rFonts w:asciiTheme="minorHAnsi" w:eastAsiaTheme="minorEastAsia" w:hAnsiTheme="minorHAnsi" w:cstheme="minorBidi"/>
                <w:bCs w:val="0"/>
                <w:sz w:val="22"/>
                <w:szCs w:val="22"/>
              </w:rPr>
              <w:tab/>
            </w:r>
            <w:r w:rsidR="008F2721" w:rsidRPr="0096581A">
              <w:rPr>
                <w:rStyle w:val="Hypertextovodkaz"/>
              </w:rPr>
              <w:t>Struktura výdajů</w:t>
            </w:r>
            <w:r w:rsidR="008F2721" w:rsidRPr="0096581A">
              <w:rPr>
                <w:webHidden/>
              </w:rPr>
              <w:tab/>
            </w:r>
            <w:r w:rsidR="008F2721" w:rsidRPr="0096581A">
              <w:rPr>
                <w:webHidden/>
              </w:rPr>
              <w:fldChar w:fldCharType="begin"/>
            </w:r>
            <w:r w:rsidR="008F2721" w:rsidRPr="0096581A">
              <w:rPr>
                <w:webHidden/>
              </w:rPr>
              <w:instrText xml:space="preserve"> PAGEREF _Toc526424686 \h </w:instrText>
            </w:r>
            <w:r w:rsidR="008F2721" w:rsidRPr="0096581A">
              <w:rPr>
                <w:webHidden/>
              </w:rPr>
            </w:r>
            <w:r w:rsidR="008F2721" w:rsidRPr="0096581A">
              <w:rPr>
                <w:webHidden/>
              </w:rPr>
              <w:fldChar w:fldCharType="separate"/>
            </w:r>
            <w:r w:rsidR="00BD5F7C">
              <w:rPr>
                <w:webHidden/>
              </w:rPr>
              <w:t>8</w:t>
            </w:r>
            <w:r w:rsidR="008F2721" w:rsidRPr="0096581A">
              <w:rPr>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87" w:history="1">
            <w:r w:rsidR="008F2721" w:rsidRPr="0096581A">
              <w:rPr>
                <w:rStyle w:val="Hypertextovodkaz"/>
                <w:noProof/>
                <w14:scene3d>
                  <w14:camera w14:prst="orthographicFront"/>
                  <w14:lightRig w14:rig="threePt" w14:dir="t">
                    <w14:rot w14:lat="0" w14:lon="0" w14:rev="0"/>
                  </w14:lightRig>
                </w14:scene3d>
              </w:rPr>
              <w:t>3.1.1</w:t>
            </w:r>
            <w:r w:rsidR="008F2721" w:rsidRPr="0096581A">
              <w:rPr>
                <w:rFonts w:asciiTheme="minorHAnsi" w:eastAsiaTheme="minorEastAsia" w:hAnsiTheme="minorHAnsi" w:cstheme="minorBidi"/>
                <w:noProof/>
                <w:sz w:val="22"/>
                <w:szCs w:val="22"/>
              </w:rPr>
              <w:tab/>
            </w:r>
            <w:r w:rsidR="008F2721" w:rsidRPr="0096581A">
              <w:rPr>
                <w:rStyle w:val="Hypertextovodkaz"/>
                <w:noProof/>
              </w:rPr>
              <w:t>Specifické ukazatele</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_Toc526424687 \h </w:instrText>
            </w:r>
            <w:r w:rsidR="008F2721" w:rsidRPr="0096581A">
              <w:rPr>
                <w:noProof/>
                <w:webHidden/>
              </w:rPr>
            </w:r>
            <w:r w:rsidR="008F2721" w:rsidRPr="0096581A">
              <w:rPr>
                <w:noProof/>
                <w:webHidden/>
              </w:rPr>
              <w:fldChar w:fldCharType="separate"/>
            </w:r>
            <w:r w:rsidR="00BD5F7C">
              <w:rPr>
                <w:noProof/>
                <w:webHidden/>
              </w:rPr>
              <w:t>10</w:t>
            </w:r>
            <w:r w:rsidR="008F2721" w:rsidRPr="0096581A">
              <w:rPr>
                <w:noProof/>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688" w:history="1">
            <w:r w:rsidR="008F2721" w:rsidRPr="0096581A">
              <w:rPr>
                <w:rStyle w:val="Hypertextovodkaz"/>
              </w:rPr>
              <w:t>3.2</w:t>
            </w:r>
            <w:r w:rsidR="008F2721" w:rsidRPr="0096581A">
              <w:rPr>
                <w:rFonts w:asciiTheme="minorHAnsi" w:eastAsiaTheme="minorEastAsia" w:hAnsiTheme="minorHAnsi" w:cstheme="minorBidi"/>
                <w:bCs w:val="0"/>
                <w:sz w:val="22"/>
                <w:szCs w:val="22"/>
              </w:rPr>
              <w:tab/>
            </w:r>
            <w:r w:rsidR="008F2721" w:rsidRPr="0096581A">
              <w:rPr>
                <w:rStyle w:val="Hypertextovodkaz"/>
              </w:rPr>
              <w:t>Běžné výdaje</w:t>
            </w:r>
            <w:r w:rsidR="008F2721" w:rsidRPr="0096581A">
              <w:rPr>
                <w:webHidden/>
              </w:rPr>
              <w:tab/>
            </w:r>
            <w:r w:rsidR="008F2721" w:rsidRPr="0096581A">
              <w:rPr>
                <w:webHidden/>
              </w:rPr>
              <w:fldChar w:fldCharType="begin"/>
            </w:r>
            <w:r w:rsidR="008F2721" w:rsidRPr="0096581A">
              <w:rPr>
                <w:webHidden/>
              </w:rPr>
              <w:instrText xml:space="preserve"> PAGEREF _Toc526424688 \h </w:instrText>
            </w:r>
            <w:r w:rsidR="008F2721" w:rsidRPr="0096581A">
              <w:rPr>
                <w:webHidden/>
              </w:rPr>
            </w:r>
            <w:r w:rsidR="008F2721" w:rsidRPr="0096581A">
              <w:rPr>
                <w:webHidden/>
              </w:rPr>
              <w:fldChar w:fldCharType="separate"/>
            </w:r>
            <w:r w:rsidR="00BD5F7C">
              <w:rPr>
                <w:webHidden/>
              </w:rPr>
              <w:t>13</w:t>
            </w:r>
            <w:r w:rsidR="008F2721" w:rsidRPr="0096581A">
              <w:rPr>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89" w:history="1">
            <w:r w:rsidR="008F2721" w:rsidRPr="0096581A">
              <w:rPr>
                <w:rStyle w:val="Hypertextovodkaz"/>
                <w:noProof/>
                <w14:scene3d>
                  <w14:camera w14:prst="orthographicFront"/>
                  <w14:lightRig w14:rig="threePt" w14:dir="t">
                    <w14:rot w14:lat="0" w14:lon="0" w14:rev="0"/>
                  </w14:lightRig>
                </w14:scene3d>
              </w:rPr>
              <w:t>3.2.1</w:t>
            </w:r>
            <w:r w:rsidR="008F2721" w:rsidRPr="0096581A">
              <w:rPr>
                <w:rFonts w:asciiTheme="minorHAnsi" w:eastAsiaTheme="minorEastAsia" w:hAnsiTheme="minorHAnsi" w:cstheme="minorBidi"/>
                <w:noProof/>
                <w:sz w:val="22"/>
                <w:szCs w:val="22"/>
              </w:rPr>
              <w:tab/>
            </w:r>
            <w:r w:rsidR="008F2721" w:rsidRPr="0096581A">
              <w:rPr>
                <w:rStyle w:val="Hypertextovodkaz"/>
                <w:noProof/>
              </w:rPr>
              <w:t>Běžné výdaje organizačních složek státu bez podseskupení položek 521, 522, 531, 532, 533, 551, 553, 554 a 5193</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_Toc526424689 \h </w:instrText>
            </w:r>
            <w:r w:rsidR="008F2721" w:rsidRPr="0096581A">
              <w:rPr>
                <w:noProof/>
                <w:webHidden/>
              </w:rPr>
            </w:r>
            <w:r w:rsidR="008F2721" w:rsidRPr="0096581A">
              <w:rPr>
                <w:noProof/>
                <w:webHidden/>
              </w:rPr>
              <w:fldChar w:fldCharType="separate"/>
            </w:r>
            <w:r w:rsidR="00BD5F7C">
              <w:rPr>
                <w:noProof/>
                <w:webHidden/>
              </w:rPr>
              <w:t>14</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0" w:history="1">
            <w:r w:rsidR="008F2721" w:rsidRPr="0096581A">
              <w:rPr>
                <w:rStyle w:val="Hypertextovodkaz"/>
                <w:noProof/>
                <w14:scene3d>
                  <w14:camera w14:prst="orthographicFront"/>
                  <w14:lightRig w14:rig="threePt" w14:dir="t">
                    <w14:rot w14:lat="0" w14:lon="0" w14:rev="0"/>
                  </w14:lightRig>
                </w14:scene3d>
              </w:rPr>
              <w:t>3.2.2</w:t>
            </w:r>
            <w:r w:rsidR="008F2721" w:rsidRPr="0096581A">
              <w:rPr>
                <w:rFonts w:asciiTheme="minorHAnsi" w:eastAsiaTheme="minorEastAsia" w:hAnsiTheme="minorHAnsi" w:cstheme="minorBidi"/>
                <w:noProof/>
                <w:sz w:val="22"/>
                <w:szCs w:val="22"/>
              </w:rPr>
              <w:tab/>
            </w:r>
            <w:r w:rsidR="008F2721" w:rsidRPr="0096581A">
              <w:rPr>
                <w:rStyle w:val="Hypertextovodkaz"/>
                <w:noProof/>
              </w:rPr>
              <w:t>Mzdové výdaje a počty pracovníků za OSS a PO</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_Toc526424690 \h </w:instrText>
            </w:r>
            <w:r w:rsidR="008F2721" w:rsidRPr="0096581A">
              <w:rPr>
                <w:noProof/>
                <w:webHidden/>
              </w:rPr>
            </w:r>
            <w:r w:rsidR="008F2721" w:rsidRPr="0096581A">
              <w:rPr>
                <w:noProof/>
                <w:webHidden/>
              </w:rPr>
              <w:fldChar w:fldCharType="separate"/>
            </w:r>
            <w:r w:rsidR="00BD5F7C">
              <w:rPr>
                <w:noProof/>
                <w:webHidden/>
              </w:rPr>
              <w:t>15</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1" w:history="1">
            <w:r w:rsidR="008F2721" w:rsidRPr="0096581A">
              <w:rPr>
                <w:rStyle w:val="Hypertextovodkaz"/>
                <w:noProof/>
                <w14:scene3d>
                  <w14:camera w14:prst="orthographicFront"/>
                  <w14:lightRig w14:rig="threePt" w14:dir="t">
                    <w14:rot w14:lat="0" w14:lon="0" w14:rev="0"/>
                  </w14:lightRig>
                </w14:scene3d>
              </w:rPr>
              <w:t>3.2.3</w:t>
            </w:r>
            <w:r w:rsidR="008F2721" w:rsidRPr="0096581A">
              <w:rPr>
                <w:rFonts w:asciiTheme="minorHAnsi" w:eastAsiaTheme="minorEastAsia" w:hAnsiTheme="minorHAnsi" w:cstheme="minorBidi"/>
                <w:noProof/>
                <w:sz w:val="22"/>
                <w:szCs w:val="22"/>
              </w:rPr>
              <w:tab/>
            </w:r>
            <w:r w:rsidR="008F2721" w:rsidRPr="0096581A">
              <w:rPr>
                <w:rStyle w:val="Hypertextovodkaz"/>
                <w:noProof/>
              </w:rPr>
              <w:t>Organizační složky státu</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_Toc526424691 \h </w:instrText>
            </w:r>
            <w:r w:rsidR="008F2721" w:rsidRPr="0096581A">
              <w:rPr>
                <w:noProof/>
                <w:webHidden/>
              </w:rPr>
            </w:r>
            <w:r w:rsidR="008F2721" w:rsidRPr="0096581A">
              <w:rPr>
                <w:noProof/>
                <w:webHidden/>
              </w:rPr>
              <w:fldChar w:fldCharType="separate"/>
            </w:r>
            <w:r w:rsidR="00BD5F7C">
              <w:rPr>
                <w:noProof/>
                <w:webHidden/>
              </w:rPr>
              <w:t>21</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2" w:history="1">
            <w:r w:rsidR="008F2721" w:rsidRPr="0096581A">
              <w:rPr>
                <w:rStyle w:val="Hypertextovodkaz"/>
                <w:noProof/>
                <w14:scene3d>
                  <w14:camera w14:prst="orthographicFront"/>
                  <w14:lightRig w14:rig="threePt" w14:dir="t">
                    <w14:rot w14:lat="0" w14:lon="0" w14:rev="0"/>
                  </w14:lightRig>
                </w14:scene3d>
              </w:rPr>
              <w:t>3.2.4</w:t>
            </w:r>
            <w:r w:rsidR="008F2721" w:rsidRPr="0096581A">
              <w:rPr>
                <w:rFonts w:asciiTheme="minorHAnsi" w:eastAsiaTheme="minorEastAsia" w:hAnsiTheme="minorHAnsi" w:cstheme="minorBidi"/>
                <w:noProof/>
                <w:sz w:val="22"/>
                <w:szCs w:val="22"/>
              </w:rPr>
              <w:tab/>
            </w:r>
            <w:r w:rsidR="008F2721" w:rsidRPr="0096581A">
              <w:rPr>
                <w:rStyle w:val="Hypertextovodkaz"/>
                <w:noProof/>
              </w:rPr>
              <w:t>Příspěvkové organizace</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_Toc526424692 \h </w:instrText>
            </w:r>
            <w:r w:rsidR="008F2721" w:rsidRPr="0096581A">
              <w:rPr>
                <w:noProof/>
                <w:webHidden/>
              </w:rPr>
            </w:r>
            <w:r w:rsidR="008F2721" w:rsidRPr="0096581A">
              <w:rPr>
                <w:noProof/>
                <w:webHidden/>
              </w:rPr>
              <w:fldChar w:fldCharType="separate"/>
            </w:r>
            <w:r w:rsidR="00BD5F7C">
              <w:rPr>
                <w:noProof/>
                <w:webHidden/>
              </w:rPr>
              <w:t>30</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3" w:history="1">
            <w:r w:rsidR="008F2721" w:rsidRPr="0096581A">
              <w:rPr>
                <w:rStyle w:val="Hypertextovodkaz"/>
                <w:noProof/>
                <w14:scene3d>
                  <w14:camera w14:prst="orthographicFront"/>
                  <w14:lightRig w14:rig="threePt" w14:dir="t">
                    <w14:rot w14:lat="0" w14:lon="0" w14:rev="0"/>
                  </w14:lightRig>
                </w14:scene3d>
              </w:rPr>
              <w:t>3.2.5</w:t>
            </w:r>
            <w:r w:rsidR="008F2721" w:rsidRPr="0096581A">
              <w:rPr>
                <w:rFonts w:asciiTheme="minorHAnsi" w:eastAsiaTheme="minorEastAsia" w:hAnsiTheme="minorHAnsi" w:cstheme="minorBidi"/>
                <w:noProof/>
                <w:sz w:val="22"/>
                <w:szCs w:val="22"/>
              </w:rPr>
              <w:tab/>
            </w:r>
            <w:r w:rsidR="008F2721" w:rsidRPr="0096581A">
              <w:rPr>
                <w:rStyle w:val="Hypertextovodkaz"/>
                <w:noProof/>
              </w:rPr>
              <w:t>Neinvestiční transfery veřejným výzkumným institucím</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_Toc526424693 \h </w:instrText>
            </w:r>
            <w:r w:rsidR="008F2721" w:rsidRPr="0096581A">
              <w:rPr>
                <w:noProof/>
                <w:webHidden/>
              </w:rPr>
            </w:r>
            <w:r w:rsidR="008F2721" w:rsidRPr="0096581A">
              <w:rPr>
                <w:noProof/>
                <w:webHidden/>
              </w:rPr>
              <w:fldChar w:fldCharType="separate"/>
            </w:r>
            <w:r w:rsidR="00BD5F7C">
              <w:rPr>
                <w:noProof/>
                <w:webHidden/>
              </w:rPr>
              <w:t>32</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4" w:history="1">
            <w:r w:rsidR="008F2721" w:rsidRPr="0096581A">
              <w:rPr>
                <w:rStyle w:val="Hypertextovodkaz"/>
                <w:noProof/>
                <w14:scene3d>
                  <w14:camera w14:prst="orthographicFront"/>
                  <w14:lightRig w14:rig="threePt" w14:dir="t">
                    <w14:rot w14:lat="0" w14:lon="0" w14:rev="0"/>
                  </w14:lightRig>
                </w14:scene3d>
              </w:rPr>
              <w:t>3.2.6</w:t>
            </w:r>
            <w:r w:rsidR="008F2721" w:rsidRPr="0096581A">
              <w:rPr>
                <w:rFonts w:asciiTheme="minorHAnsi" w:eastAsiaTheme="minorEastAsia" w:hAnsiTheme="minorHAnsi" w:cstheme="minorBidi"/>
                <w:noProof/>
                <w:sz w:val="22"/>
                <w:szCs w:val="22"/>
              </w:rPr>
              <w:tab/>
            </w:r>
            <w:r w:rsidR="008F2721" w:rsidRPr="0096581A">
              <w:rPr>
                <w:rStyle w:val="Hypertextovodkaz"/>
                <w:noProof/>
              </w:rPr>
              <w:t>Neinvestiční transfery podnikatelským subjektům</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_Toc526424694 \h </w:instrText>
            </w:r>
            <w:r w:rsidR="008F2721" w:rsidRPr="0096581A">
              <w:rPr>
                <w:noProof/>
                <w:webHidden/>
              </w:rPr>
            </w:r>
            <w:r w:rsidR="008F2721" w:rsidRPr="0096581A">
              <w:rPr>
                <w:noProof/>
                <w:webHidden/>
              </w:rPr>
              <w:fldChar w:fldCharType="separate"/>
            </w:r>
            <w:r w:rsidR="00BD5F7C">
              <w:rPr>
                <w:noProof/>
                <w:webHidden/>
              </w:rPr>
              <w:t>33</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5" w:history="1">
            <w:r w:rsidR="008F2721" w:rsidRPr="0096581A">
              <w:rPr>
                <w:rStyle w:val="Hypertextovodkaz"/>
                <w:noProof/>
                <w14:scene3d>
                  <w14:camera w14:prst="orthographicFront"/>
                  <w14:lightRig w14:rig="threePt" w14:dir="t">
                    <w14:rot w14:lat="0" w14:lon="0" w14:rev="0"/>
                  </w14:lightRig>
                </w14:scene3d>
              </w:rPr>
              <w:t>3.2.7</w:t>
            </w:r>
            <w:r w:rsidR="008F2721" w:rsidRPr="0096581A">
              <w:rPr>
                <w:rFonts w:asciiTheme="minorHAnsi" w:eastAsiaTheme="minorEastAsia" w:hAnsiTheme="minorHAnsi" w:cstheme="minorBidi"/>
                <w:noProof/>
                <w:sz w:val="22"/>
                <w:szCs w:val="22"/>
              </w:rPr>
              <w:tab/>
            </w:r>
            <w:r w:rsidR="008F2721" w:rsidRPr="0096581A">
              <w:rPr>
                <w:rStyle w:val="Hypertextovodkaz"/>
                <w:noProof/>
              </w:rPr>
              <w:t>Neinvestiční transfery veřejným rozpočtům územní úrovně</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_Toc526424695 \h </w:instrText>
            </w:r>
            <w:r w:rsidR="008F2721" w:rsidRPr="0096581A">
              <w:rPr>
                <w:noProof/>
                <w:webHidden/>
              </w:rPr>
            </w:r>
            <w:r w:rsidR="008F2721" w:rsidRPr="0096581A">
              <w:rPr>
                <w:noProof/>
                <w:webHidden/>
              </w:rPr>
              <w:fldChar w:fldCharType="separate"/>
            </w:r>
            <w:r w:rsidR="00BD5F7C">
              <w:rPr>
                <w:noProof/>
                <w:webHidden/>
              </w:rPr>
              <w:t>35</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6" w:history="1">
            <w:r w:rsidR="008F2721" w:rsidRPr="0096581A">
              <w:rPr>
                <w:rStyle w:val="Hypertextovodkaz"/>
                <w:noProof/>
                <w14:scene3d>
                  <w14:camera w14:prst="orthographicFront"/>
                  <w14:lightRig w14:rig="threePt" w14:dir="t">
                    <w14:rot w14:lat="0" w14:lon="0" w14:rev="0"/>
                  </w14:lightRig>
                </w14:scene3d>
              </w:rPr>
              <w:t>3.2.8</w:t>
            </w:r>
            <w:r w:rsidR="008F2721" w:rsidRPr="0096581A">
              <w:rPr>
                <w:rFonts w:asciiTheme="minorHAnsi" w:eastAsiaTheme="minorEastAsia" w:hAnsiTheme="minorHAnsi" w:cstheme="minorBidi"/>
                <w:noProof/>
                <w:sz w:val="22"/>
                <w:szCs w:val="22"/>
              </w:rPr>
              <w:tab/>
            </w:r>
            <w:r w:rsidR="008F2721" w:rsidRPr="0096581A">
              <w:rPr>
                <w:rStyle w:val="Hypertextovodkaz"/>
                <w:noProof/>
              </w:rPr>
              <w:t>Neinvestiční transfery neziskovým a podobným organizacím</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_Toc526424696 \h </w:instrText>
            </w:r>
            <w:r w:rsidR="008F2721" w:rsidRPr="0096581A">
              <w:rPr>
                <w:noProof/>
                <w:webHidden/>
              </w:rPr>
            </w:r>
            <w:r w:rsidR="008F2721" w:rsidRPr="0096581A">
              <w:rPr>
                <w:noProof/>
                <w:webHidden/>
              </w:rPr>
              <w:fldChar w:fldCharType="separate"/>
            </w:r>
            <w:r w:rsidR="00BD5F7C">
              <w:rPr>
                <w:noProof/>
                <w:webHidden/>
              </w:rPr>
              <w:t>36</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7" w:history="1">
            <w:r w:rsidR="008F2721" w:rsidRPr="0096581A">
              <w:rPr>
                <w:rStyle w:val="Hypertextovodkaz"/>
                <w:noProof/>
                <w14:scene3d>
                  <w14:camera w14:prst="orthographicFront"/>
                  <w14:lightRig w14:rig="threePt" w14:dir="t">
                    <w14:rot w14:lat="0" w14:lon="0" w14:rev="0"/>
                  </w14:lightRig>
                </w14:scene3d>
              </w:rPr>
              <w:t>3.2.9</w:t>
            </w:r>
            <w:r w:rsidR="008F2721" w:rsidRPr="0096581A">
              <w:rPr>
                <w:rFonts w:asciiTheme="minorHAnsi" w:eastAsiaTheme="minorEastAsia" w:hAnsiTheme="minorHAnsi" w:cstheme="minorBidi"/>
                <w:noProof/>
                <w:sz w:val="22"/>
                <w:szCs w:val="22"/>
              </w:rPr>
              <w:tab/>
            </w:r>
            <w:r w:rsidR="008F2721" w:rsidRPr="0096581A">
              <w:rPr>
                <w:rStyle w:val="Hypertextovodkaz"/>
                <w:noProof/>
              </w:rPr>
              <w:t>Neinvestiční transfery do zahraničí</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_Toc526424697 \h </w:instrText>
            </w:r>
            <w:r w:rsidR="008F2721" w:rsidRPr="0096581A">
              <w:rPr>
                <w:noProof/>
                <w:webHidden/>
              </w:rPr>
            </w:r>
            <w:r w:rsidR="008F2721" w:rsidRPr="0096581A">
              <w:rPr>
                <w:noProof/>
                <w:webHidden/>
              </w:rPr>
              <w:fldChar w:fldCharType="separate"/>
            </w:r>
            <w:r w:rsidR="00BD5F7C">
              <w:rPr>
                <w:noProof/>
                <w:webHidden/>
              </w:rPr>
              <w:t>37</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698" w:history="1">
            <w:r w:rsidR="008F2721" w:rsidRPr="0096581A">
              <w:rPr>
                <w:rStyle w:val="Hypertextovodkaz"/>
                <w:noProof/>
                <w14:scene3d>
                  <w14:camera w14:prst="orthographicFront"/>
                  <w14:lightRig w14:rig="threePt" w14:dir="t">
                    <w14:rot w14:lat="0" w14:lon="0" w14:rev="0"/>
                  </w14:lightRig>
                </w14:scene3d>
              </w:rPr>
              <w:t>3.2.10</w:t>
            </w:r>
            <w:r w:rsidR="008F2721" w:rsidRPr="0096581A">
              <w:rPr>
                <w:rFonts w:asciiTheme="minorHAnsi" w:eastAsiaTheme="minorEastAsia" w:hAnsiTheme="minorHAnsi" w:cstheme="minorBidi"/>
                <w:noProof/>
                <w:sz w:val="22"/>
                <w:szCs w:val="22"/>
              </w:rPr>
              <w:tab/>
            </w:r>
            <w:r w:rsidR="008F2721" w:rsidRPr="0096581A">
              <w:rPr>
                <w:rStyle w:val="Hypertextovodkaz"/>
                <w:noProof/>
              </w:rPr>
              <w:t>Neinvestiční transfery státním fondům</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_Toc526424698 \h </w:instrText>
            </w:r>
            <w:r w:rsidR="008F2721" w:rsidRPr="0096581A">
              <w:rPr>
                <w:noProof/>
                <w:webHidden/>
              </w:rPr>
            </w:r>
            <w:r w:rsidR="008F2721" w:rsidRPr="0096581A">
              <w:rPr>
                <w:noProof/>
                <w:webHidden/>
              </w:rPr>
              <w:fldChar w:fldCharType="separate"/>
            </w:r>
            <w:r w:rsidR="00BD5F7C">
              <w:rPr>
                <w:noProof/>
                <w:webHidden/>
              </w:rPr>
              <w:t>38</w:t>
            </w:r>
            <w:r w:rsidR="008F2721" w:rsidRPr="0096581A">
              <w:rPr>
                <w:noProof/>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699" w:history="1">
            <w:r w:rsidR="008F2721" w:rsidRPr="0096581A">
              <w:rPr>
                <w:rStyle w:val="Hypertextovodkaz"/>
              </w:rPr>
              <w:t>3.3</w:t>
            </w:r>
            <w:r w:rsidR="008F2721" w:rsidRPr="0096581A">
              <w:rPr>
                <w:rFonts w:asciiTheme="minorHAnsi" w:eastAsiaTheme="minorEastAsia" w:hAnsiTheme="minorHAnsi" w:cstheme="minorBidi"/>
                <w:bCs w:val="0"/>
                <w:sz w:val="22"/>
                <w:szCs w:val="22"/>
              </w:rPr>
              <w:tab/>
            </w:r>
            <w:r w:rsidR="008F2721" w:rsidRPr="0096581A">
              <w:rPr>
                <w:rStyle w:val="Hypertextovodkaz"/>
              </w:rPr>
              <w:t>Kapitálové výdaje</w:t>
            </w:r>
            <w:r w:rsidR="008F2721" w:rsidRPr="0096581A">
              <w:rPr>
                <w:webHidden/>
              </w:rPr>
              <w:tab/>
            </w:r>
            <w:r w:rsidR="008F2721" w:rsidRPr="0096581A">
              <w:rPr>
                <w:webHidden/>
              </w:rPr>
              <w:fldChar w:fldCharType="begin"/>
            </w:r>
            <w:r w:rsidR="008F2721" w:rsidRPr="0096581A">
              <w:rPr>
                <w:webHidden/>
              </w:rPr>
              <w:instrText xml:space="preserve"> PAGEREF _Toc526424699 \h </w:instrText>
            </w:r>
            <w:r w:rsidR="008F2721" w:rsidRPr="0096581A">
              <w:rPr>
                <w:webHidden/>
              </w:rPr>
            </w:r>
            <w:r w:rsidR="008F2721" w:rsidRPr="0096581A">
              <w:rPr>
                <w:webHidden/>
              </w:rPr>
              <w:fldChar w:fldCharType="separate"/>
            </w:r>
            <w:r w:rsidR="00BD5F7C">
              <w:rPr>
                <w:webHidden/>
              </w:rPr>
              <w:t>39</w:t>
            </w:r>
            <w:r w:rsidR="008F2721" w:rsidRPr="0096581A">
              <w:rPr>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0" w:history="1">
            <w:r w:rsidR="008F2721" w:rsidRPr="0096581A">
              <w:rPr>
                <w:rStyle w:val="Hypertextovodkaz"/>
                <w:noProof/>
                <w14:scene3d>
                  <w14:camera w14:prst="orthographicFront"/>
                  <w14:lightRig w14:rig="threePt" w14:dir="t">
                    <w14:rot w14:lat="0" w14:lon="0" w14:rev="0"/>
                  </w14:lightRig>
                </w14:scene3d>
              </w:rPr>
              <w:t>3.3.1</w:t>
            </w:r>
            <w:r w:rsidR="008F2721" w:rsidRPr="0096581A">
              <w:rPr>
                <w:rFonts w:asciiTheme="minorHAnsi" w:eastAsiaTheme="minorEastAsia" w:hAnsiTheme="minorHAnsi" w:cstheme="minorBidi"/>
                <w:noProof/>
                <w:sz w:val="22"/>
                <w:szCs w:val="22"/>
              </w:rPr>
              <w:tab/>
            </w:r>
            <w:r w:rsidR="008F2721" w:rsidRPr="0096581A">
              <w:rPr>
                <w:rStyle w:val="Hypertextovodkaz"/>
                <w:noProof/>
              </w:rPr>
              <w:t>Investiční transfery veřejným výzkumným institucím</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_Toc526424700 \h </w:instrText>
            </w:r>
            <w:r w:rsidR="008F2721" w:rsidRPr="0096581A">
              <w:rPr>
                <w:noProof/>
                <w:webHidden/>
              </w:rPr>
            </w:r>
            <w:r w:rsidR="008F2721" w:rsidRPr="0096581A">
              <w:rPr>
                <w:noProof/>
                <w:webHidden/>
              </w:rPr>
              <w:fldChar w:fldCharType="separate"/>
            </w:r>
            <w:r w:rsidR="00BD5F7C">
              <w:rPr>
                <w:noProof/>
                <w:webHidden/>
              </w:rPr>
              <w:t>40</w:t>
            </w:r>
            <w:r w:rsidR="008F2721" w:rsidRPr="0096581A">
              <w:rPr>
                <w:noProof/>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701" w:history="1">
            <w:r w:rsidR="008F2721" w:rsidRPr="0096581A">
              <w:rPr>
                <w:rStyle w:val="Hypertextovodkaz"/>
              </w:rPr>
              <w:t>3.4</w:t>
            </w:r>
            <w:r w:rsidR="008F2721" w:rsidRPr="0096581A">
              <w:rPr>
                <w:rFonts w:asciiTheme="minorHAnsi" w:eastAsiaTheme="minorEastAsia" w:hAnsiTheme="minorHAnsi" w:cstheme="minorBidi"/>
                <w:bCs w:val="0"/>
                <w:sz w:val="22"/>
                <w:szCs w:val="22"/>
              </w:rPr>
              <w:tab/>
            </w:r>
            <w:r w:rsidR="008F2721" w:rsidRPr="0096581A">
              <w:rPr>
                <w:rStyle w:val="Hypertextovodkaz"/>
              </w:rPr>
              <w:t>Výdaje vedené v informačním systému programového financování EDS/SMVS</w:t>
            </w:r>
            <w:r w:rsidR="008F2721" w:rsidRPr="0096581A">
              <w:rPr>
                <w:webHidden/>
              </w:rPr>
              <w:tab/>
            </w:r>
            <w:r w:rsidR="008F2721" w:rsidRPr="0096581A">
              <w:rPr>
                <w:webHidden/>
              </w:rPr>
              <w:fldChar w:fldCharType="begin"/>
            </w:r>
            <w:r w:rsidR="008F2721" w:rsidRPr="0096581A">
              <w:rPr>
                <w:webHidden/>
              </w:rPr>
              <w:instrText xml:space="preserve"> PAGEREF _Toc526424701 \h </w:instrText>
            </w:r>
            <w:r w:rsidR="008F2721" w:rsidRPr="0096581A">
              <w:rPr>
                <w:webHidden/>
              </w:rPr>
            </w:r>
            <w:r w:rsidR="008F2721" w:rsidRPr="0096581A">
              <w:rPr>
                <w:webHidden/>
              </w:rPr>
              <w:fldChar w:fldCharType="separate"/>
            </w:r>
            <w:r w:rsidR="00BD5F7C">
              <w:rPr>
                <w:webHidden/>
              </w:rPr>
              <w:t>40</w:t>
            </w:r>
            <w:r w:rsidR="008F2721" w:rsidRPr="0096581A">
              <w:rPr>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2" w:history="1">
            <w:r w:rsidR="008F2721" w:rsidRPr="0096581A">
              <w:rPr>
                <w:rStyle w:val="Hypertextovodkaz"/>
                <w:noProof/>
                <w14:scene3d>
                  <w14:camera w14:prst="orthographicFront"/>
                  <w14:lightRig w14:rig="threePt" w14:dir="t">
                    <w14:rot w14:lat="0" w14:lon="0" w14:rev="0"/>
                  </w14:lightRig>
                </w14:scene3d>
              </w:rPr>
              <w:t>3.4.1</w:t>
            </w:r>
            <w:r w:rsidR="008F2721" w:rsidRPr="0096581A">
              <w:rPr>
                <w:rFonts w:asciiTheme="minorHAnsi" w:eastAsiaTheme="minorEastAsia" w:hAnsiTheme="minorHAnsi" w:cstheme="minorBidi"/>
                <w:noProof/>
                <w:sz w:val="22"/>
                <w:szCs w:val="22"/>
              </w:rPr>
              <w:tab/>
            </w:r>
            <w:r w:rsidR="008F2721" w:rsidRPr="0096581A">
              <w:rPr>
                <w:rStyle w:val="Hypertextovodkaz"/>
                <w:noProof/>
              </w:rPr>
              <w:t>Organizační složky státu</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_Toc526424702 \h </w:instrText>
            </w:r>
            <w:r w:rsidR="008F2721" w:rsidRPr="0096581A">
              <w:rPr>
                <w:noProof/>
                <w:webHidden/>
              </w:rPr>
            </w:r>
            <w:r w:rsidR="008F2721" w:rsidRPr="0096581A">
              <w:rPr>
                <w:noProof/>
                <w:webHidden/>
              </w:rPr>
              <w:fldChar w:fldCharType="separate"/>
            </w:r>
            <w:r w:rsidR="00BD5F7C">
              <w:rPr>
                <w:noProof/>
                <w:webHidden/>
              </w:rPr>
              <w:t>41</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3" w:history="1">
            <w:r w:rsidR="008F2721" w:rsidRPr="0096581A">
              <w:rPr>
                <w:rStyle w:val="Hypertextovodkaz"/>
                <w:noProof/>
                <w14:scene3d>
                  <w14:camera w14:prst="orthographicFront"/>
                  <w14:lightRig w14:rig="threePt" w14:dir="t">
                    <w14:rot w14:lat="0" w14:lon="0" w14:rev="0"/>
                  </w14:lightRig>
                </w14:scene3d>
              </w:rPr>
              <w:t>3.4.2</w:t>
            </w:r>
            <w:r w:rsidR="008F2721" w:rsidRPr="0096581A">
              <w:rPr>
                <w:rFonts w:asciiTheme="minorHAnsi" w:eastAsiaTheme="minorEastAsia" w:hAnsiTheme="minorHAnsi" w:cstheme="minorBidi"/>
                <w:noProof/>
                <w:sz w:val="22"/>
                <w:szCs w:val="22"/>
              </w:rPr>
              <w:tab/>
            </w:r>
            <w:r w:rsidR="008F2721" w:rsidRPr="0096581A">
              <w:rPr>
                <w:rStyle w:val="Hypertextovodkaz"/>
                <w:noProof/>
              </w:rPr>
              <w:t>Příspěvkové organizace</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_Toc526424703 \h </w:instrText>
            </w:r>
            <w:r w:rsidR="008F2721" w:rsidRPr="0096581A">
              <w:rPr>
                <w:noProof/>
                <w:webHidden/>
              </w:rPr>
            </w:r>
            <w:r w:rsidR="008F2721" w:rsidRPr="0096581A">
              <w:rPr>
                <w:noProof/>
                <w:webHidden/>
              </w:rPr>
              <w:fldChar w:fldCharType="separate"/>
            </w:r>
            <w:r w:rsidR="00BD5F7C">
              <w:rPr>
                <w:noProof/>
                <w:webHidden/>
              </w:rPr>
              <w:t>45</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4" w:history="1">
            <w:r w:rsidR="008F2721" w:rsidRPr="0096581A">
              <w:rPr>
                <w:rStyle w:val="Hypertextovodkaz"/>
                <w:noProof/>
                <w14:scene3d>
                  <w14:camera w14:prst="orthographicFront"/>
                  <w14:lightRig w14:rig="threePt" w14:dir="t">
                    <w14:rot w14:lat="0" w14:lon="0" w14:rev="0"/>
                  </w14:lightRig>
                </w14:scene3d>
              </w:rPr>
              <w:t>3.4.3</w:t>
            </w:r>
            <w:r w:rsidR="008F2721" w:rsidRPr="0096581A">
              <w:rPr>
                <w:rFonts w:asciiTheme="minorHAnsi" w:eastAsiaTheme="minorEastAsia" w:hAnsiTheme="minorHAnsi" w:cstheme="minorBidi"/>
                <w:noProof/>
                <w:sz w:val="22"/>
                <w:szCs w:val="22"/>
              </w:rPr>
              <w:tab/>
            </w:r>
            <w:r w:rsidR="008F2721" w:rsidRPr="0096581A">
              <w:rPr>
                <w:rStyle w:val="Hypertextovodkaz"/>
                <w:noProof/>
              </w:rPr>
              <w:t>Podnikatelské subjekty</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_Toc526424704 \h </w:instrText>
            </w:r>
            <w:r w:rsidR="008F2721" w:rsidRPr="0096581A">
              <w:rPr>
                <w:noProof/>
                <w:webHidden/>
              </w:rPr>
            </w:r>
            <w:r w:rsidR="008F2721" w:rsidRPr="0096581A">
              <w:rPr>
                <w:noProof/>
                <w:webHidden/>
              </w:rPr>
              <w:fldChar w:fldCharType="separate"/>
            </w:r>
            <w:r w:rsidR="00BD5F7C">
              <w:rPr>
                <w:noProof/>
                <w:webHidden/>
              </w:rPr>
              <w:t>46</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5" w:history="1">
            <w:r w:rsidR="008F2721" w:rsidRPr="0096581A">
              <w:rPr>
                <w:rStyle w:val="Hypertextovodkaz"/>
                <w:noProof/>
                <w14:scene3d>
                  <w14:camera w14:prst="orthographicFront"/>
                  <w14:lightRig w14:rig="threePt" w14:dir="t">
                    <w14:rot w14:lat="0" w14:lon="0" w14:rev="0"/>
                  </w14:lightRig>
                </w14:scene3d>
              </w:rPr>
              <w:t>3.4.4</w:t>
            </w:r>
            <w:r w:rsidR="008F2721" w:rsidRPr="0096581A">
              <w:rPr>
                <w:rFonts w:asciiTheme="minorHAnsi" w:eastAsiaTheme="minorEastAsia" w:hAnsiTheme="minorHAnsi" w:cstheme="minorBidi"/>
                <w:noProof/>
                <w:sz w:val="22"/>
                <w:szCs w:val="22"/>
              </w:rPr>
              <w:tab/>
            </w:r>
            <w:r w:rsidR="008F2721" w:rsidRPr="0096581A">
              <w:rPr>
                <w:rStyle w:val="Hypertextovodkaz"/>
                <w:noProof/>
              </w:rPr>
              <w:t>Veřejné rozpočty územní úrovně</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_Toc526424705 \h </w:instrText>
            </w:r>
            <w:r w:rsidR="008F2721" w:rsidRPr="0096581A">
              <w:rPr>
                <w:noProof/>
                <w:webHidden/>
              </w:rPr>
            </w:r>
            <w:r w:rsidR="008F2721" w:rsidRPr="0096581A">
              <w:rPr>
                <w:noProof/>
                <w:webHidden/>
              </w:rPr>
              <w:fldChar w:fldCharType="separate"/>
            </w:r>
            <w:r w:rsidR="00BD5F7C">
              <w:rPr>
                <w:noProof/>
                <w:webHidden/>
              </w:rPr>
              <w:t>47</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6" w:history="1">
            <w:r w:rsidR="008F2721" w:rsidRPr="0096581A">
              <w:rPr>
                <w:rStyle w:val="Hypertextovodkaz"/>
                <w:noProof/>
                <w14:scene3d>
                  <w14:camera w14:prst="orthographicFront"/>
                  <w14:lightRig w14:rig="threePt" w14:dir="t">
                    <w14:rot w14:lat="0" w14:lon="0" w14:rev="0"/>
                  </w14:lightRig>
                </w14:scene3d>
              </w:rPr>
              <w:t>3.4.5</w:t>
            </w:r>
            <w:r w:rsidR="008F2721" w:rsidRPr="0096581A">
              <w:rPr>
                <w:rFonts w:asciiTheme="minorHAnsi" w:eastAsiaTheme="minorEastAsia" w:hAnsiTheme="minorHAnsi" w:cstheme="minorBidi"/>
                <w:noProof/>
                <w:sz w:val="22"/>
                <w:szCs w:val="22"/>
              </w:rPr>
              <w:tab/>
            </w:r>
            <w:r w:rsidR="008F2721" w:rsidRPr="0096581A">
              <w:rPr>
                <w:rStyle w:val="Hypertextovodkaz"/>
                <w:noProof/>
              </w:rPr>
              <w:t>Státní fondy</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_Toc526424706 \h </w:instrText>
            </w:r>
            <w:r w:rsidR="008F2721" w:rsidRPr="0096581A">
              <w:rPr>
                <w:noProof/>
                <w:webHidden/>
              </w:rPr>
            </w:r>
            <w:r w:rsidR="008F2721" w:rsidRPr="0096581A">
              <w:rPr>
                <w:noProof/>
                <w:webHidden/>
              </w:rPr>
              <w:fldChar w:fldCharType="separate"/>
            </w:r>
            <w:r w:rsidR="00BD5F7C">
              <w:rPr>
                <w:noProof/>
                <w:webHidden/>
              </w:rPr>
              <w:t>48</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7" w:history="1">
            <w:r w:rsidR="008F2721" w:rsidRPr="0096581A">
              <w:rPr>
                <w:rStyle w:val="Hypertextovodkaz"/>
                <w:noProof/>
                <w14:scene3d>
                  <w14:camera w14:prst="orthographicFront"/>
                  <w14:lightRig w14:rig="threePt" w14:dir="t">
                    <w14:rot w14:lat="0" w14:lon="0" w14:rev="0"/>
                  </w14:lightRig>
                </w14:scene3d>
              </w:rPr>
              <w:t>3.4.6</w:t>
            </w:r>
            <w:r w:rsidR="008F2721" w:rsidRPr="0096581A">
              <w:rPr>
                <w:rFonts w:asciiTheme="minorHAnsi" w:eastAsiaTheme="minorEastAsia" w:hAnsiTheme="minorHAnsi" w:cstheme="minorBidi"/>
                <w:noProof/>
                <w:sz w:val="22"/>
                <w:szCs w:val="22"/>
              </w:rPr>
              <w:tab/>
            </w:r>
            <w:r w:rsidR="008F2721" w:rsidRPr="0096581A">
              <w:rPr>
                <w:rStyle w:val="Hypertextovodkaz"/>
                <w:noProof/>
              </w:rPr>
              <w:t>Neziskové a podobné organizace</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_Toc526424707 \h </w:instrText>
            </w:r>
            <w:r w:rsidR="008F2721" w:rsidRPr="0096581A">
              <w:rPr>
                <w:noProof/>
                <w:webHidden/>
              </w:rPr>
            </w:r>
            <w:r w:rsidR="008F2721" w:rsidRPr="0096581A">
              <w:rPr>
                <w:noProof/>
                <w:webHidden/>
              </w:rPr>
              <w:fldChar w:fldCharType="separate"/>
            </w:r>
            <w:r w:rsidR="00BD5F7C">
              <w:rPr>
                <w:noProof/>
                <w:webHidden/>
              </w:rPr>
              <w:t>49</w:t>
            </w:r>
            <w:r w:rsidR="008F2721" w:rsidRPr="0096581A">
              <w:rPr>
                <w:noProof/>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708" w:history="1">
            <w:r w:rsidR="008F2721" w:rsidRPr="0096581A">
              <w:rPr>
                <w:rStyle w:val="Hypertextovodkaz"/>
              </w:rPr>
              <w:t>3.5</w:t>
            </w:r>
            <w:r w:rsidR="008F2721" w:rsidRPr="0096581A">
              <w:rPr>
                <w:rFonts w:asciiTheme="minorHAnsi" w:eastAsiaTheme="minorEastAsia" w:hAnsiTheme="minorHAnsi" w:cstheme="minorBidi"/>
                <w:bCs w:val="0"/>
                <w:sz w:val="22"/>
                <w:szCs w:val="22"/>
              </w:rPr>
              <w:tab/>
            </w:r>
            <w:r w:rsidR="008F2721" w:rsidRPr="0096581A">
              <w:rPr>
                <w:rStyle w:val="Hypertextovodkaz"/>
              </w:rPr>
              <w:t>Prostředky fondů Evropské unie</w:t>
            </w:r>
            <w:r w:rsidR="008F2721" w:rsidRPr="0096581A">
              <w:rPr>
                <w:webHidden/>
              </w:rPr>
              <w:tab/>
            </w:r>
            <w:r w:rsidR="008F2721" w:rsidRPr="0096581A">
              <w:rPr>
                <w:webHidden/>
              </w:rPr>
              <w:fldChar w:fldCharType="begin"/>
            </w:r>
            <w:r w:rsidR="008F2721" w:rsidRPr="0096581A">
              <w:rPr>
                <w:webHidden/>
              </w:rPr>
              <w:instrText xml:space="preserve"> PAGEREF _Toc526424708 \h </w:instrText>
            </w:r>
            <w:r w:rsidR="008F2721" w:rsidRPr="0096581A">
              <w:rPr>
                <w:webHidden/>
              </w:rPr>
            </w:r>
            <w:r w:rsidR="008F2721" w:rsidRPr="0096581A">
              <w:rPr>
                <w:webHidden/>
              </w:rPr>
              <w:fldChar w:fldCharType="separate"/>
            </w:r>
            <w:r w:rsidR="00BD5F7C">
              <w:rPr>
                <w:webHidden/>
              </w:rPr>
              <w:t>49</w:t>
            </w:r>
            <w:r w:rsidR="008F2721" w:rsidRPr="0096581A">
              <w:rPr>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09" w:history="1">
            <w:r w:rsidR="008F2721" w:rsidRPr="0096581A">
              <w:rPr>
                <w:rStyle w:val="Hypertextovodkaz"/>
                <w:noProof/>
                <w14:scene3d>
                  <w14:camera w14:prst="orthographicFront"/>
                  <w14:lightRig w14:rig="threePt" w14:dir="t">
                    <w14:rot w14:lat="0" w14:lon="0" w14:rev="0"/>
                  </w14:lightRig>
                </w14:scene3d>
              </w:rPr>
              <w:t>3.5.1</w:t>
            </w:r>
            <w:r w:rsidR="008F2721" w:rsidRPr="0096581A">
              <w:rPr>
                <w:rFonts w:asciiTheme="minorHAnsi" w:eastAsiaTheme="minorEastAsia" w:hAnsiTheme="minorHAnsi" w:cstheme="minorBidi"/>
                <w:noProof/>
                <w:sz w:val="22"/>
                <w:szCs w:val="22"/>
              </w:rPr>
              <w:tab/>
            </w:r>
            <w:r w:rsidR="008F2721" w:rsidRPr="0096581A">
              <w:rPr>
                <w:rStyle w:val="Hypertextovodkaz"/>
                <w:noProof/>
              </w:rPr>
              <w:t>Operační program Doprava – programové období 2014 – 2020</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_Toc526424709 \h </w:instrText>
            </w:r>
            <w:r w:rsidR="008F2721" w:rsidRPr="0096581A">
              <w:rPr>
                <w:noProof/>
                <w:webHidden/>
              </w:rPr>
            </w:r>
            <w:r w:rsidR="008F2721" w:rsidRPr="0096581A">
              <w:rPr>
                <w:noProof/>
                <w:webHidden/>
              </w:rPr>
              <w:fldChar w:fldCharType="separate"/>
            </w:r>
            <w:r w:rsidR="00BD5F7C">
              <w:rPr>
                <w:noProof/>
                <w:webHidden/>
              </w:rPr>
              <w:t>49</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10" w:history="1">
            <w:r w:rsidR="008F2721" w:rsidRPr="0096581A">
              <w:rPr>
                <w:rStyle w:val="Hypertextovodkaz"/>
                <w:noProof/>
                <w14:scene3d>
                  <w14:camera w14:prst="orthographicFront"/>
                  <w14:lightRig w14:rig="threePt" w14:dir="t">
                    <w14:rot w14:lat="0" w14:lon="0" w14:rev="0"/>
                  </w14:lightRig>
                </w14:scene3d>
              </w:rPr>
              <w:t>3.5.2</w:t>
            </w:r>
            <w:r w:rsidR="008F2721" w:rsidRPr="0096581A">
              <w:rPr>
                <w:rFonts w:asciiTheme="minorHAnsi" w:eastAsiaTheme="minorEastAsia" w:hAnsiTheme="minorHAnsi" w:cstheme="minorBidi"/>
                <w:noProof/>
                <w:sz w:val="22"/>
                <w:szCs w:val="22"/>
              </w:rPr>
              <w:tab/>
            </w:r>
            <w:r w:rsidR="008F2721" w:rsidRPr="0096581A">
              <w:rPr>
                <w:rStyle w:val="Hypertextovodkaz"/>
                <w:noProof/>
              </w:rPr>
              <w:t>Komunitární programy (TEN-T) – programové období 2014 – 2020</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_Toc526424710 \h </w:instrText>
            </w:r>
            <w:r w:rsidR="008F2721" w:rsidRPr="0096581A">
              <w:rPr>
                <w:noProof/>
                <w:webHidden/>
              </w:rPr>
            </w:r>
            <w:r w:rsidR="008F2721" w:rsidRPr="0096581A">
              <w:rPr>
                <w:noProof/>
                <w:webHidden/>
              </w:rPr>
              <w:fldChar w:fldCharType="separate"/>
            </w:r>
            <w:r w:rsidR="00BD5F7C">
              <w:rPr>
                <w:noProof/>
                <w:webHidden/>
              </w:rPr>
              <w:t>52</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11" w:history="1">
            <w:r w:rsidR="008F2721" w:rsidRPr="0096581A">
              <w:rPr>
                <w:rStyle w:val="Hypertextovodkaz"/>
                <w:noProof/>
                <w14:scene3d>
                  <w14:camera w14:prst="orthographicFront"/>
                  <w14:lightRig w14:rig="threePt" w14:dir="t">
                    <w14:rot w14:lat="0" w14:lon="0" w14:rev="0"/>
                  </w14:lightRig>
                </w14:scene3d>
              </w:rPr>
              <w:t>3.5.3</w:t>
            </w:r>
            <w:r w:rsidR="008F2721" w:rsidRPr="0096581A">
              <w:rPr>
                <w:rFonts w:asciiTheme="minorHAnsi" w:eastAsiaTheme="minorEastAsia" w:hAnsiTheme="minorHAnsi" w:cstheme="minorBidi"/>
                <w:noProof/>
                <w:sz w:val="22"/>
                <w:szCs w:val="22"/>
              </w:rPr>
              <w:tab/>
            </w:r>
            <w:r w:rsidR="008F2721" w:rsidRPr="0096581A">
              <w:rPr>
                <w:rStyle w:val="Hypertextovodkaz"/>
                <w:noProof/>
              </w:rPr>
              <w:t>Operační program Zaměstnanost - programové období 2014 – 2020</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_Toc526424711 \h </w:instrText>
            </w:r>
            <w:r w:rsidR="008F2721" w:rsidRPr="0096581A">
              <w:rPr>
                <w:noProof/>
                <w:webHidden/>
              </w:rPr>
            </w:r>
            <w:r w:rsidR="008F2721" w:rsidRPr="0096581A">
              <w:rPr>
                <w:noProof/>
                <w:webHidden/>
              </w:rPr>
              <w:fldChar w:fldCharType="separate"/>
            </w:r>
            <w:r w:rsidR="00BD5F7C">
              <w:rPr>
                <w:noProof/>
                <w:webHidden/>
              </w:rPr>
              <w:t>57</w:t>
            </w:r>
            <w:r w:rsidR="008F2721" w:rsidRPr="0096581A">
              <w:rPr>
                <w:noProof/>
                <w:webHidden/>
              </w:rPr>
              <w:fldChar w:fldCharType="end"/>
            </w:r>
          </w:hyperlink>
        </w:p>
        <w:p w:rsidR="008F2721" w:rsidRPr="0096581A" w:rsidRDefault="00BF77A6">
          <w:pPr>
            <w:pStyle w:val="Obsah3"/>
            <w:rPr>
              <w:rFonts w:asciiTheme="minorHAnsi" w:eastAsiaTheme="minorEastAsia" w:hAnsiTheme="minorHAnsi" w:cstheme="minorBidi"/>
              <w:noProof/>
              <w:sz w:val="22"/>
              <w:szCs w:val="22"/>
            </w:rPr>
          </w:pPr>
          <w:hyperlink w:anchor="_Toc526424712" w:history="1">
            <w:r w:rsidR="008F2721" w:rsidRPr="0096581A">
              <w:rPr>
                <w:rStyle w:val="Hypertextovodkaz"/>
                <w:noProof/>
                <w14:scene3d>
                  <w14:camera w14:prst="orthographicFront"/>
                  <w14:lightRig w14:rig="threePt" w14:dir="t">
                    <w14:rot w14:lat="0" w14:lon="0" w14:rev="0"/>
                  </w14:lightRig>
                </w14:scene3d>
              </w:rPr>
              <w:t>3.5.4</w:t>
            </w:r>
            <w:r w:rsidR="008F2721" w:rsidRPr="0096581A">
              <w:rPr>
                <w:rFonts w:asciiTheme="minorHAnsi" w:eastAsiaTheme="minorEastAsia" w:hAnsiTheme="minorHAnsi" w:cstheme="minorBidi"/>
                <w:noProof/>
                <w:sz w:val="22"/>
                <w:szCs w:val="22"/>
              </w:rPr>
              <w:tab/>
            </w:r>
            <w:r w:rsidR="008F2721" w:rsidRPr="0096581A">
              <w:rPr>
                <w:rStyle w:val="Hypertextovodkaz"/>
                <w:noProof/>
              </w:rPr>
              <w:t>Rozdělení prostředků EU a podílu SR dle jednotlivých programů na rok 2019</w:t>
            </w:r>
            <w:r w:rsidR="008F2721" w:rsidRPr="0096581A">
              <w:rPr>
                <w:noProof/>
                <w:webHidden/>
              </w:rPr>
              <w:tab/>
            </w:r>
            <w:r w:rsidR="008F2721" w:rsidRPr="0096581A">
              <w:rPr>
                <w:noProof/>
                <w:webHidden/>
              </w:rPr>
              <w:fldChar w:fldCharType="begin"/>
            </w:r>
            <w:r w:rsidR="008F2721" w:rsidRPr="0096581A">
              <w:rPr>
                <w:noProof/>
                <w:webHidden/>
              </w:rPr>
              <w:instrText xml:space="preserve"> PAGEREF _Toc526424712 \h </w:instrText>
            </w:r>
            <w:r w:rsidR="008F2721" w:rsidRPr="0096581A">
              <w:rPr>
                <w:noProof/>
                <w:webHidden/>
              </w:rPr>
            </w:r>
            <w:r w:rsidR="008F2721" w:rsidRPr="0096581A">
              <w:rPr>
                <w:noProof/>
                <w:webHidden/>
              </w:rPr>
              <w:fldChar w:fldCharType="separate"/>
            </w:r>
            <w:r w:rsidR="00BD5F7C">
              <w:rPr>
                <w:noProof/>
                <w:webHidden/>
              </w:rPr>
              <w:t>58</w:t>
            </w:r>
            <w:r w:rsidR="008F2721" w:rsidRPr="0096581A">
              <w:rPr>
                <w:noProof/>
                <w:webHidden/>
              </w:rPr>
              <w:fldChar w:fldCharType="end"/>
            </w:r>
          </w:hyperlink>
        </w:p>
        <w:p w:rsidR="008F2721" w:rsidRPr="0096581A" w:rsidRDefault="00BF77A6">
          <w:pPr>
            <w:pStyle w:val="Obsah2"/>
            <w:rPr>
              <w:rFonts w:asciiTheme="minorHAnsi" w:eastAsiaTheme="minorEastAsia" w:hAnsiTheme="minorHAnsi" w:cstheme="minorBidi"/>
              <w:bCs w:val="0"/>
              <w:sz w:val="22"/>
              <w:szCs w:val="22"/>
            </w:rPr>
          </w:pPr>
          <w:hyperlink w:anchor="_Toc526424713" w:history="1">
            <w:r w:rsidR="008F2721" w:rsidRPr="0096581A">
              <w:rPr>
                <w:rStyle w:val="Hypertextovodkaz"/>
              </w:rPr>
              <w:t>3.6</w:t>
            </w:r>
            <w:r w:rsidR="008F2721" w:rsidRPr="0096581A">
              <w:rPr>
                <w:rFonts w:asciiTheme="minorHAnsi" w:eastAsiaTheme="minorEastAsia" w:hAnsiTheme="minorHAnsi" w:cstheme="minorBidi"/>
                <w:bCs w:val="0"/>
                <w:sz w:val="22"/>
                <w:szCs w:val="22"/>
              </w:rPr>
              <w:tab/>
            </w:r>
            <w:r w:rsidR="008F2721" w:rsidRPr="0096581A">
              <w:rPr>
                <w:rStyle w:val="Hypertextovodkaz"/>
              </w:rPr>
              <w:t>Výdaje na výzkum, vývoj a inovace</w:t>
            </w:r>
            <w:r w:rsidR="008F2721" w:rsidRPr="0096581A">
              <w:rPr>
                <w:webHidden/>
              </w:rPr>
              <w:tab/>
            </w:r>
            <w:r w:rsidR="008F2721" w:rsidRPr="0096581A">
              <w:rPr>
                <w:webHidden/>
              </w:rPr>
              <w:fldChar w:fldCharType="begin"/>
            </w:r>
            <w:r w:rsidR="008F2721" w:rsidRPr="0096581A">
              <w:rPr>
                <w:webHidden/>
              </w:rPr>
              <w:instrText xml:space="preserve"> PAGEREF _Toc526424713 \h </w:instrText>
            </w:r>
            <w:r w:rsidR="008F2721" w:rsidRPr="0096581A">
              <w:rPr>
                <w:webHidden/>
              </w:rPr>
            </w:r>
            <w:r w:rsidR="008F2721" w:rsidRPr="0096581A">
              <w:rPr>
                <w:webHidden/>
              </w:rPr>
              <w:fldChar w:fldCharType="separate"/>
            </w:r>
            <w:r w:rsidR="00BD5F7C">
              <w:rPr>
                <w:webHidden/>
              </w:rPr>
              <w:t>60</w:t>
            </w:r>
            <w:r w:rsidR="008F2721" w:rsidRPr="0096581A">
              <w:rPr>
                <w:webHidden/>
              </w:rPr>
              <w:fldChar w:fldCharType="end"/>
            </w:r>
          </w:hyperlink>
        </w:p>
        <w:p w:rsidR="008F2721" w:rsidRDefault="00BF77A6">
          <w:pPr>
            <w:pStyle w:val="Obsah2"/>
            <w:rPr>
              <w:rFonts w:asciiTheme="minorHAnsi" w:eastAsiaTheme="minorEastAsia" w:hAnsiTheme="minorHAnsi" w:cstheme="minorBidi"/>
              <w:bCs w:val="0"/>
              <w:sz w:val="22"/>
              <w:szCs w:val="22"/>
            </w:rPr>
          </w:pPr>
          <w:hyperlink w:anchor="_Toc526424714" w:history="1">
            <w:r w:rsidR="008F2721" w:rsidRPr="0096581A">
              <w:rPr>
                <w:rStyle w:val="Hypertextovodkaz"/>
              </w:rPr>
              <w:t>3.7</w:t>
            </w:r>
            <w:r w:rsidR="008F2721" w:rsidRPr="0096581A">
              <w:rPr>
                <w:rFonts w:asciiTheme="minorHAnsi" w:eastAsiaTheme="minorEastAsia" w:hAnsiTheme="minorHAnsi" w:cstheme="minorBidi"/>
                <w:bCs w:val="0"/>
                <w:sz w:val="22"/>
                <w:szCs w:val="22"/>
              </w:rPr>
              <w:tab/>
            </w:r>
            <w:r w:rsidR="008F2721" w:rsidRPr="0096581A">
              <w:rPr>
                <w:rStyle w:val="Hypertextovodkaz"/>
              </w:rPr>
              <w:t>Výdaje na významné veřejné zakázky</w:t>
            </w:r>
            <w:r w:rsidR="008F2721" w:rsidRPr="0096581A">
              <w:rPr>
                <w:webHidden/>
              </w:rPr>
              <w:tab/>
            </w:r>
            <w:r w:rsidR="008F2721" w:rsidRPr="0096581A">
              <w:rPr>
                <w:webHidden/>
              </w:rPr>
              <w:fldChar w:fldCharType="begin"/>
            </w:r>
            <w:r w:rsidR="008F2721" w:rsidRPr="0096581A">
              <w:rPr>
                <w:webHidden/>
              </w:rPr>
              <w:instrText xml:space="preserve"> PAGEREF _Toc526424714 \h </w:instrText>
            </w:r>
            <w:r w:rsidR="008F2721" w:rsidRPr="0096581A">
              <w:rPr>
                <w:webHidden/>
              </w:rPr>
            </w:r>
            <w:r w:rsidR="008F2721" w:rsidRPr="0096581A">
              <w:rPr>
                <w:webHidden/>
              </w:rPr>
              <w:fldChar w:fldCharType="separate"/>
            </w:r>
            <w:r w:rsidR="00BD5F7C">
              <w:rPr>
                <w:webHidden/>
              </w:rPr>
              <w:t>60</w:t>
            </w:r>
            <w:r w:rsidR="008F2721" w:rsidRPr="0096581A">
              <w:rPr>
                <w:webHidden/>
              </w:rPr>
              <w:fldChar w:fldCharType="end"/>
            </w:r>
          </w:hyperlink>
        </w:p>
        <w:p w:rsidR="00CD5258" w:rsidRPr="0001421C" w:rsidRDefault="00CD5258" w:rsidP="00CE76D0">
          <w:pPr>
            <w:pStyle w:val="Obsah2"/>
            <w:rPr>
              <w:rFonts w:cs="Times New Roman"/>
              <w:color w:val="FF0000"/>
            </w:rPr>
          </w:pPr>
          <w:r w:rsidRPr="0001421C">
            <w:rPr>
              <w:rFonts w:cs="Times New Roman"/>
              <w:bCs w:val="0"/>
              <w:color w:val="FF0000"/>
            </w:rPr>
            <w:fldChar w:fldCharType="end"/>
          </w:r>
        </w:p>
      </w:sdtContent>
    </w:sdt>
    <w:p w:rsidR="00670C99" w:rsidRDefault="00670C99" w:rsidP="0096581A">
      <w:pPr>
        <w:pStyle w:val="Obsah1"/>
      </w:pPr>
    </w:p>
    <w:p w:rsidR="00670C99" w:rsidRDefault="00670C99" w:rsidP="0096581A">
      <w:pPr>
        <w:pStyle w:val="Obsah1"/>
      </w:pPr>
    </w:p>
    <w:p w:rsidR="00670C99" w:rsidRDefault="00670C99" w:rsidP="0096581A">
      <w:pPr>
        <w:pStyle w:val="Obsah1"/>
      </w:pPr>
    </w:p>
    <w:p w:rsidR="00670C99" w:rsidRDefault="00670C99" w:rsidP="0096581A">
      <w:pPr>
        <w:pStyle w:val="Obsah1"/>
      </w:pPr>
    </w:p>
    <w:p w:rsidR="00670C99" w:rsidRDefault="00670C99" w:rsidP="0096581A">
      <w:pPr>
        <w:pStyle w:val="Obsah1"/>
      </w:pPr>
    </w:p>
    <w:p w:rsidR="00670C99" w:rsidRDefault="00670C99">
      <w:pPr>
        <w:rPr>
          <w:rFonts w:eastAsia="Times New Roman" w:cs="Times New Roman"/>
          <w:b/>
          <w:noProof/>
          <w:szCs w:val="24"/>
          <w:lang w:eastAsia="cs-CZ"/>
        </w:rPr>
      </w:pPr>
      <w:r>
        <w:br w:type="page"/>
      </w:r>
    </w:p>
    <w:p w:rsidR="00F3318F" w:rsidRPr="0001421C" w:rsidRDefault="00DB5031" w:rsidP="0096581A">
      <w:pPr>
        <w:pStyle w:val="Obsah1"/>
      </w:pPr>
      <w:r w:rsidRPr="0001421C">
        <w:lastRenderedPageBreak/>
        <w:t>SEZNAM GRAF</w:t>
      </w:r>
      <w:r w:rsidRPr="0001421C">
        <w:rPr>
          <w:rFonts w:ascii="Calibri" w:hAnsi="Calibri" w:cs="Calibri"/>
        </w:rPr>
        <w:t>Ů</w:t>
      </w:r>
    </w:p>
    <w:p w:rsidR="004450E8" w:rsidRPr="004450E8" w:rsidRDefault="00E55CA7">
      <w:pPr>
        <w:pStyle w:val="Seznamobrzk"/>
        <w:tabs>
          <w:tab w:val="right" w:leader="dot" w:pos="9060"/>
        </w:tabs>
        <w:rPr>
          <w:rFonts w:asciiTheme="minorHAnsi" w:eastAsiaTheme="minorEastAsia" w:hAnsiTheme="minorHAnsi" w:cstheme="minorBidi"/>
          <w:noProof/>
          <w:sz w:val="22"/>
          <w:szCs w:val="22"/>
        </w:rPr>
      </w:pPr>
      <w:r w:rsidRPr="006A09EA">
        <w:rPr>
          <w:color w:val="FF0000"/>
        </w:rPr>
        <w:fldChar w:fldCharType="begin"/>
      </w:r>
      <w:r w:rsidRPr="006A09EA">
        <w:rPr>
          <w:color w:val="FF0000"/>
        </w:rPr>
        <w:instrText xml:space="preserve"> TOC \h \z \c "Graf č." </w:instrText>
      </w:r>
      <w:r w:rsidRPr="006A09EA">
        <w:rPr>
          <w:color w:val="FF0000"/>
        </w:rPr>
        <w:fldChar w:fldCharType="separate"/>
      </w:r>
      <w:hyperlink w:anchor="_Toc526424758" w:history="1">
        <w:r w:rsidR="004450E8" w:rsidRPr="004450E8">
          <w:rPr>
            <w:rStyle w:val="Hypertextovodkaz"/>
            <w:noProof/>
          </w:rPr>
          <w:t>Graf č. 1 Porovnání příjmů a výdajů v kapitole 327-MD (v tis. Kč)</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_Toc526424758 \h </w:instrText>
        </w:r>
        <w:r w:rsidR="004450E8" w:rsidRPr="004450E8">
          <w:rPr>
            <w:noProof/>
            <w:webHidden/>
          </w:rPr>
        </w:r>
        <w:r w:rsidR="004450E8" w:rsidRPr="004450E8">
          <w:rPr>
            <w:noProof/>
            <w:webHidden/>
          </w:rPr>
          <w:fldChar w:fldCharType="separate"/>
        </w:r>
        <w:r w:rsidR="00BD5F7C">
          <w:rPr>
            <w:noProof/>
            <w:webHidden/>
          </w:rPr>
          <w:t>1</w:t>
        </w:r>
        <w:r w:rsidR="004450E8" w:rsidRPr="004450E8">
          <w:rPr>
            <w:noProof/>
            <w:webHidden/>
          </w:rPr>
          <w:fldChar w:fldCharType="end"/>
        </w:r>
      </w:hyperlink>
    </w:p>
    <w:p w:rsidR="004450E8" w:rsidRP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59" w:history="1">
        <w:r w:rsidR="004450E8" w:rsidRPr="004450E8">
          <w:rPr>
            <w:rStyle w:val="Hypertextovodkaz"/>
            <w:noProof/>
          </w:rPr>
          <w:t>Graf č. 2 Porovnání transferů přijatých v kapitole 327-MD (v tis. Kč)</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_Toc526424759 \h </w:instrText>
        </w:r>
        <w:r w:rsidR="004450E8" w:rsidRPr="004450E8">
          <w:rPr>
            <w:noProof/>
            <w:webHidden/>
          </w:rPr>
        </w:r>
        <w:r w:rsidR="004450E8" w:rsidRPr="004450E8">
          <w:rPr>
            <w:noProof/>
            <w:webHidden/>
          </w:rPr>
          <w:fldChar w:fldCharType="separate"/>
        </w:r>
        <w:r w:rsidR="00BD5F7C">
          <w:rPr>
            <w:noProof/>
            <w:webHidden/>
          </w:rPr>
          <w:t>6</w:t>
        </w:r>
        <w:r w:rsidR="004450E8" w:rsidRPr="004450E8">
          <w:rPr>
            <w:noProof/>
            <w:webHidden/>
          </w:rPr>
          <w:fldChar w:fldCharType="end"/>
        </w:r>
      </w:hyperlink>
    </w:p>
    <w:p w:rsidR="004450E8" w:rsidRP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60" w:history="1">
        <w:r w:rsidR="004450E8" w:rsidRPr="004450E8">
          <w:rPr>
            <w:rStyle w:val="Hypertextovodkaz"/>
            <w:noProof/>
          </w:rPr>
          <w:t>Graf č. 3 Porovnání ostatních příjmů v kapitole 327-MD (v tis. Kč)</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_Toc526424760 \h </w:instrText>
        </w:r>
        <w:r w:rsidR="004450E8" w:rsidRPr="004450E8">
          <w:rPr>
            <w:noProof/>
            <w:webHidden/>
          </w:rPr>
        </w:r>
        <w:r w:rsidR="004450E8" w:rsidRPr="004450E8">
          <w:rPr>
            <w:noProof/>
            <w:webHidden/>
          </w:rPr>
          <w:fldChar w:fldCharType="separate"/>
        </w:r>
        <w:r w:rsidR="00BD5F7C">
          <w:rPr>
            <w:noProof/>
            <w:webHidden/>
          </w:rPr>
          <w:t>7</w:t>
        </w:r>
        <w:r w:rsidR="004450E8" w:rsidRPr="004450E8">
          <w:rPr>
            <w:noProof/>
            <w:webHidden/>
          </w:rPr>
          <w:fldChar w:fldCharType="end"/>
        </w:r>
      </w:hyperlink>
    </w:p>
    <w:p w:rsidR="004450E8" w:rsidRP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61" w:history="1">
        <w:r w:rsidR="004450E8" w:rsidRPr="004450E8">
          <w:rPr>
            <w:rStyle w:val="Hypertextovodkaz"/>
            <w:noProof/>
          </w:rPr>
          <w:t>Graf č. 4: Přehled specifických ukazatelů v kapitole 327</w:t>
        </w:r>
        <w:r w:rsidR="004450E8" w:rsidRPr="004450E8">
          <w:rPr>
            <w:rStyle w:val="Hypertextovodkaz"/>
            <w:noProof/>
          </w:rPr>
          <w:noBreakHyphen/>
          <w:t>MD (v tis. Kč)</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_Toc526424761 \h </w:instrText>
        </w:r>
        <w:r w:rsidR="004450E8" w:rsidRPr="004450E8">
          <w:rPr>
            <w:noProof/>
            <w:webHidden/>
          </w:rPr>
        </w:r>
        <w:r w:rsidR="004450E8" w:rsidRPr="004450E8">
          <w:rPr>
            <w:noProof/>
            <w:webHidden/>
          </w:rPr>
          <w:fldChar w:fldCharType="separate"/>
        </w:r>
        <w:r w:rsidR="00BD5F7C">
          <w:rPr>
            <w:noProof/>
            <w:webHidden/>
          </w:rPr>
          <w:t>10</w:t>
        </w:r>
        <w:r w:rsidR="004450E8" w:rsidRPr="004450E8">
          <w:rPr>
            <w:noProof/>
            <w:webHidden/>
          </w:rPr>
          <w:fldChar w:fldCharType="end"/>
        </w:r>
      </w:hyperlink>
    </w:p>
    <w:p w:rsidR="004450E8" w:rsidRP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62" w:history="1">
        <w:r w:rsidR="004450E8" w:rsidRPr="004450E8">
          <w:rPr>
            <w:rStyle w:val="Hypertextovodkaz"/>
            <w:noProof/>
          </w:rPr>
          <w:t>Graf č. 5: Členění běžných výdajů</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_Toc526424762 \h </w:instrText>
        </w:r>
        <w:r w:rsidR="004450E8" w:rsidRPr="004450E8">
          <w:rPr>
            <w:noProof/>
            <w:webHidden/>
          </w:rPr>
        </w:r>
        <w:r w:rsidR="004450E8" w:rsidRPr="004450E8">
          <w:rPr>
            <w:noProof/>
            <w:webHidden/>
          </w:rPr>
          <w:fldChar w:fldCharType="separate"/>
        </w:r>
        <w:r w:rsidR="00BD5F7C">
          <w:rPr>
            <w:noProof/>
            <w:webHidden/>
          </w:rPr>
          <w:t>14</w:t>
        </w:r>
        <w:r w:rsidR="004450E8" w:rsidRPr="004450E8">
          <w:rPr>
            <w:noProof/>
            <w:webHidden/>
          </w:rPr>
          <w:fldChar w:fldCharType="end"/>
        </w:r>
      </w:hyperlink>
    </w:p>
    <w:p w:rsidR="004450E8" w:rsidRP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63" w:history="1">
        <w:r w:rsidR="004450E8" w:rsidRPr="004450E8">
          <w:rPr>
            <w:rStyle w:val="Hypertextovodkaz"/>
            <w:bCs/>
            <w:noProof/>
          </w:rPr>
          <w:t>Graf č. 6: Neinvestiční transfery podnikatelským subjektům</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_Toc526424763 \h </w:instrText>
        </w:r>
        <w:r w:rsidR="004450E8" w:rsidRPr="004450E8">
          <w:rPr>
            <w:noProof/>
            <w:webHidden/>
          </w:rPr>
        </w:r>
        <w:r w:rsidR="004450E8" w:rsidRPr="004450E8">
          <w:rPr>
            <w:noProof/>
            <w:webHidden/>
          </w:rPr>
          <w:fldChar w:fldCharType="separate"/>
        </w:r>
        <w:r w:rsidR="00BD5F7C">
          <w:rPr>
            <w:noProof/>
            <w:webHidden/>
          </w:rPr>
          <w:t>35</w:t>
        </w:r>
        <w:r w:rsidR="004450E8" w:rsidRPr="004450E8">
          <w:rPr>
            <w:noProof/>
            <w:webHidden/>
          </w:rPr>
          <w:fldChar w:fldCharType="end"/>
        </w:r>
      </w:hyperlink>
    </w:p>
    <w:p w:rsidR="004450E8" w:rsidRP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64" w:history="1">
        <w:r w:rsidR="004450E8" w:rsidRPr="004450E8">
          <w:rPr>
            <w:rStyle w:val="Hypertextovodkaz"/>
            <w:bCs/>
            <w:noProof/>
          </w:rPr>
          <w:t>Graf č. 7: Neinvestiční transfery veřejným rozpočtům územní úrovně (v tis. Kč)</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_Toc526424764 \h </w:instrText>
        </w:r>
        <w:r w:rsidR="004450E8" w:rsidRPr="004450E8">
          <w:rPr>
            <w:noProof/>
            <w:webHidden/>
          </w:rPr>
        </w:r>
        <w:r w:rsidR="004450E8" w:rsidRPr="004450E8">
          <w:rPr>
            <w:noProof/>
            <w:webHidden/>
          </w:rPr>
          <w:fldChar w:fldCharType="separate"/>
        </w:r>
        <w:r w:rsidR="00BD5F7C">
          <w:rPr>
            <w:noProof/>
            <w:webHidden/>
          </w:rPr>
          <w:t>36</w:t>
        </w:r>
        <w:r w:rsidR="004450E8" w:rsidRPr="004450E8">
          <w:rPr>
            <w:noProof/>
            <w:webHidden/>
          </w:rPr>
          <w:fldChar w:fldCharType="end"/>
        </w:r>
      </w:hyperlink>
    </w:p>
    <w:p w:rsidR="004450E8" w:rsidRP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65" w:history="1">
        <w:r w:rsidR="004450E8" w:rsidRPr="004450E8">
          <w:rPr>
            <w:rStyle w:val="Hypertextovodkaz"/>
            <w:noProof/>
          </w:rPr>
          <w:t>Graf č. 8 Členění kapitálových výdajů</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_Toc526424765 \h </w:instrText>
        </w:r>
        <w:r w:rsidR="004450E8" w:rsidRPr="004450E8">
          <w:rPr>
            <w:noProof/>
            <w:webHidden/>
          </w:rPr>
        </w:r>
        <w:r w:rsidR="004450E8" w:rsidRPr="004450E8">
          <w:rPr>
            <w:noProof/>
            <w:webHidden/>
          </w:rPr>
          <w:fldChar w:fldCharType="separate"/>
        </w:r>
        <w:r w:rsidR="00BD5F7C">
          <w:rPr>
            <w:noProof/>
            <w:webHidden/>
          </w:rPr>
          <w:t>40</w:t>
        </w:r>
        <w:r w:rsidR="004450E8" w:rsidRPr="004450E8">
          <w:rPr>
            <w:noProof/>
            <w:webHidden/>
          </w:rPr>
          <w:fldChar w:fldCharType="end"/>
        </w:r>
      </w:hyperlink>
    </w:p>
    <w:p w:rsidR="004450E8" w:rsidRDefault="00BF77A6">
      <w:pPr>
        <w:pStyle w:val="Seznamobrzk"/>
        <w:tabs>
          <w:tab w:val="right" w:leader="dot" w:pos="9060"/>
        </w:tabs>
        <w:rPr>
          <w:rFonts w:asciiTheme="minorHAnsi" w:eastAsiaTheme="minorEastAsia" w:hAnsiTheme="minorHAnsi" w:cstheme="minorBidi"/>
          <w:noProof/>
          <w:sz w:val="22"/>
          <w:szCs w:val="22"/>
        </w:rPr>
      </w:pPr>
      <w:hyperlink w:anchor="_Toc526424766" w:history="1">
        <w:r w:rsidR="004450E8" w:rsidRPr="004450E8">
          <w:rPr>
            <w:rStyle w:val="Hypertextovodkaz"/>
            <w:noProof/>
          </w:rPr>
          <w:t>Graf č. 9</w:t>
        </w:r>
        <w:r w:rsidR="004450E8" w:rsidRPr="004450E8">
          <w:rPr>
            <w:rStyle w:val="Hypertextovodkaz"/>
            <w:bCs/>
            <w:noProof/>
          </w:rPr>
          <w:t xml:space="preserve"> Rozdělení prostředků z rozpočtu EU dle programů</w:t>
        </w:r>
        <w:r w:rsidR="004450E8" w:rsidRPr="004450E8">
          <w:rPr>
            <w:noProof/>
            <w:webHidden/>
          </w:rPr>
          <w:tab/>
        </w:r>
        <w:r w:rsidR="004450E8" w:rsidRPr="004450E8">
          <w:rPr>
            <w:noProof/>
            <w:webHidden/>
          </w:rPr>
          <w:fldChar w:fldCharType="begin"/>
        </w:r>
        <w:r w:rsidR="004450E8" w:rsidRPr="004450E8">
          <w:rPr>
            <w:noProof/>
            <w:webHidden/>
          </w:rPr>
          <w:instrText xml:space="preserve"> PAGEREF _Toc526424766 \h </w:instrText>
        </w:r>
        <w:r w:rsidR="004450E8" w:rsidRPr="004450E8">
          <w:rPr>
            <w:noProof/>
            <w:webHidden/>
          </w:rPr>
        </w:r>
        <w:r w:rsidR="004450E8" w:rsidRPr="004450E8">
          <w:rPr>
            <w:noProof/>
            <w:webHidden/>
          </w:rPr>
          <w:fldChar w:fldCharType="separate"/>
        </w:r>
        <w:r w:rsidR="00BD5F7C">
          <w:rPr>
            <w:noProof/>
            <w:webHidden/>
          </w:rPr>
          <w:t>59</w:t>
        </w:r>
        <w:r w:rsidR="004450E8" w:rsidRPr="004450E8">
          <w:rPr>
            <w:noProof/>
            <w:webHidden/>
          </w:rPr>
          <w:fldChar w:fldCharType="end"/>
        </w:r>
      </w:hyperlink>
    </w:p>
    <w:p w:rsidR="00670C99" w:rsidRDefault="00E55CA7">
      <w:pPr>
        <w:rPr>
          <w:rFonts w:cs="Times New Roman"/>
          <w:color w:val="FF0000"/>
          <w:szCs w:val="24"/>
        </w:rPr>
      </w:pPr>
      <w:r w:rsidRPr="006A09EA">
        <w:rPr>
          <w:rFonts w:cs="Times New Roman"/>
          <w:color w:val="FF0000"/>
          <w:szCs w:val="24"/>
        </w:rPr>
        <w:fldChar w:fldCharType="end"/>
      </w:r>
    </w:p>
    <w:p w:rsidR="0002708E" w:rsidRDefault="00670C99">
      <w:pPr>
        <w:rPr>
          <w:rFonts w:cs="Times New Roman"/>
          <w:color w:val="FF0000"/>
          <w:szCs w:val="24"/>
        </w:rPr>
        <w:sectPr w:rsidR="0002708E" w:rsidSect="0002708E">
          <w:headerReference w:type="default" r:id="rId13"/>
          <w:footerReference w:type="default" r:id="rId14"/>
          <w:pgSz w:w="11906" w:h="16838" w:code="9"/>
          <w:pgMar w:top="1418" w:right="1418" w:bottom="993" w:left="1418" w:header="709" w:footer="709" w:gutter="0"/>
          <w:pgNumType w:start="1"/>
          <w:cols w:space="708"/>
          <w:titlePg/>
          <w:docGrid w:linePitch="360"/>
        </w:sectPr>
      </w:pPr>
      <w:r>
        <w:rPr>
          <w:rFonts w:cs="Times New Roman"/>
          <w:color w:val="FF0000"/>
          <w:szCs w:val="24"/>
        </w:rPr>
        <w:br w:type="page"/>
      </w:r>
    </w:p>
    <w:p w:rsidR="00F3318F" w:rsidRPr="00CA4522" w:rsidRDefault="00F3318F" w:rsidP="00CD5258">
      <w:pPr>
        <w:pStyle w:val="Nadpis1"/>
        <w:rPr>
          <w:bCs/>
          <w:smallCaps/>
          <w:szCs w:val="28"/>
        </w:rPr>
      </w:pPr>
      <w:bookmarkStart w:id="0" w:name="_Toc462314382"/>
      <w:bookmarkStart w:id="1" w:name="_Toc526424681"/>
      <w:r w:rsidRPr="00CA4522">
        <w:rPr>
          <w:bCs/>
          <w:smallCaps/>
          <w:szCs w:val="28"/>
        </w:rPr>
        <w:lastRenderedPageBreak/>
        <w:t>Úvod</w:t>
      </w:r>
      <w:bookmarkEnd w:id="0"/>
      <w:bookmarkEnd w:id="1"/>
    </w:p>
    <w:p w:rsidR="00024ED6" w:rsidRPr="0001421C" w:rsidRDefault="00024ED6" w:rsidP="00AB78C7">
      <w:pPr>
        <w:pStyle w:val="Styl1"/>
        <w:rPr>
          <w:color w:val="FF0000"/>
        </w:rPr>
      </w:pPr>
      <w:r w:rsidRPr="006570BC">
        <w:t>Návrh rozpočtu kapitoly 327</w:t>
      </w:r>
      <w:r w:rsidR="00E7564D" w:rsidRPr="006570BC">
        <w:t xml:space="preserve"> Ministerstvo dopravy na rok 2019</w:t>
      </w:r>
      <w:r w:rsidRPr="006570BC">
        <w:t xml:space="preserve"> byl vypracován v souladu s usnesením</w:t>
      </w:r>
      <w:r w:rsidR="006570BC" w:rsidRPr="006570BC">
        <w:t xml:space="preserve"> vlády České republiky ze dne 19. září 2018</w:t>
      </w:r>
      <w:r w:rsidRPr="006570BC">
        <w:t xml:space="preserve"> č. </w:t>
      </w:r>
      <w:r w:rsidR="006570BC" w:rsidRPr="006570BC">
        <w:t>588</w:t>
      </w:r>
      <w:r w:rsidRPr="006570BC">
        <w:t>, k  návrhu zákona o státním rozp</w:t>
      </w:r>
      <w:r w:rsidR="006570BC">
        <w:t>očtu České republiky na rok 2019</w:t>
      </w:r>
      <w:r w:rsidRPr="006570BC">
        <w:t xml:space="preserve"> a k návrhům střednědobého výhledu státního rozpo</w:t>
      </w:r>
      <w:r w:rsidR="006570BC">
        <w:t>čtu České republiky na léta 2020 a 2021</w:t>
      </w:r>
      <w:r w:rsidR="002C756F">
        <w:t>.</w:t>
      </w:r>
      <w:r w:rsidRPr="006570BC">
        <w:t xml:space="preserve"> </w:t>
      </w:r>
    </w:p>
    <w:p w:rsidR="00024ED6" w:rsidRPr="002F735C" w:rsidRDefault="00024ED6" w:rsidP="00AB78C7">
      <w:pPr>
        <w:pStyle w:val="Styl1"/>
      </w:pPr>
      <w:r w:rsidRPr="002F735C">
        <w:t xml:space="preserve">Ministerstvo dopravy je ústředním orgánem státní správy ve věcech dopravy a odpovídá za tvorbu a uskutečňování státní politiky v oblasti dopravy v  rozsahu své působnosti. </w:t>
      </w:r>
    </w:p>
    <w:p w:rsidR="00024ED6" w:rsidRPr="00AB78C7" w:rsidRDefault="00024ED6" w:rsidP="009D0E0C">
      <w:pPr>
        <w:pStyle w:val="Styl1"/>
        <w:spacing w:before="60" w:after="60"/>
      </w:pPr>
      <w:r w:rsidRPr="00AB78C7">
        <w:t>Mezi hlavní výdajové priority rozpoč</w:t>
      </w:r>
      <w:r w:rsidR="008236E8">
        <w:t>tu kapitoly MD jsou pro rok 2019</w:t>
      </w:r>
      <w:r w:rsidRPr="00AB78C7">
        <w:t xml:space="preserve"> zařazeny:</w:t>
      </w:r>
    </w:p>
    <w:p w:rsidR="00024ED6" w:rsidRPr="00AB78C7" w:rsidRDefault="00024ED6" w:rsidP="009D0E0C">
      <w:pPr>
        <w:pStyle w:val="Styl1"/>
        <w:numPr>
          <w:ilvl w:val="0"/>
          <w:numId w:val="42"/>
        </w:numPr>
        <w:spacing w:before="0" w:after="0"/>
        <w:ind w:left="851" w:hanging="284"/>
      </w:pPr>
      <w:r w:rsidRPr="00AB78C7">
        <w:t>Výdaje na financování společných programů EU a ČR;</w:t>
      </w:r>
    </w:p>
    <w:p w:rsidR="00024ED6" w:rsidRPr="00AB78C7" w:rsidRDefault="00024ED6" w:rsidP="009D0E0C">
      <w:pPr>
        <w:pStyle w:val="Styl1"/>
        <w:numPr>
          <w:ilvl w:val="0"/>
          <w:numId w:val="42"/>
        </w:numPr>
        <w:spacing w:before="0" w:after="0"/>
        <w:ind w:left="851" w:hanging="284"/>
      </w:pPr>
      <w:r w:rsidRPr="00AB78C7">
        <w:t>Úhrada ztráty ze závazku veřejné služby ve veřejné drážní osobní dopravě;</w:t>
      </w:r>
    </w:p>
    <w:p w:rsidR="00DA689C" w:rsidRPr="00AB78C7" w:rsidRDefault="00DA689C" w:rsidP="009D0E0C">
      <w:pPr>
        <w:pStyle w:val="Styl1"/>
        <w:numPr>
          <w:ilvl w:val="0"/>
          <w:numId w:val="42"/>
        </w:numPr>
        <w:spacing w:before="0" w:after="0"/>
        <w:ind w:left="851" w:hanging="284"/>
      </w:pPr>
      <w:r w:rsidRPr="00AB78C7">
        <w:t>Dotace Státnímu fondu dopravní infrastruktury;</w:t>
      </w:r>
    </w:p>
    <w:p w:rsidR="00024ED6" w:rsidRDefault="00024ED6" w:rsidP="009D0E0C">
      <w:pPr>
        <w:pStyle w:val="Styl1"/>
        <w:numPr>
          <w:ilvl w:val="0"/>
          <w:numId w:val="42"/>
        </w:numPr>
        <w:spacing w:before="0" w:after="0"/>
        <w:ind w:left="851" w:hanging="284"/>
      </w:pPr>
      <w:r w:rsidRPr="00AB78C7">
        <w:t>Příspěvky na volitelné programy ESA;</w:t>
      </w:r>
    </w:p>
    <w:p w:rsidR="008236E8" w:rsidRPr="00AB78C7" w:rsidRDefault="008236E8" w:rsidP="009D0E0C">
      <w:pPr>
        <w:pStyle w:val="Styl1"/>
        <w:numPr>
          <w:ilvl w:val="0"/>
          <w:numId w:val="42"/>
        </w:numPr>
        <w:spacing w:before="0" w:after="0"/>
        <w:ind w:left="851" w:hanging="284"/>
      </w:pPr>
      <w:r>
        <w:t>Kompenzace slev jízdného;</w:t>
      </w:r>
    </w:p>
    <w:p w:rsidR="00024ED6" w:rsidRPr="00AB78C7" w:rsidRDefault="00024ED6" w:rsidP="009D0E0C">
      <w:pPr>
        <w:pStyle w:val="Styl1"/>
        <w:numPr>
          <w:ilvl w:val="0"/>
          <w:numId w:val="42"/>
        </w:numPr>
        <w:spacing w:before="0" w:after="0"/>
        <w:ind w:left="851" w:hanging="284"/>
      </w:pPr>
      <w:r w:rsidRPr="00AB78C7">
        <w:t>Výdaje na zabezpečení činností orgánů státní správy.</w:t>
      </w:r>
    </w:p>
    <w:p w:rsidR="00024ED6" w:rsidRPr="00CA4522" w:rsidRDefault="00024ED6" w:rsidP="00AB78C7">
      <w:pPr>
        <w:pStyle w:val="Styl1"/>
      </w:pPr>
      <w:r w:rsidRPr="00CA4522">
        <w:t>Vztah kapitoly Ministerstvo dopravy ke státnímu rozp</w:t>
      </w:r>
      <w:r w:rsidR="00CA4522" w:rsidRPr="00CA4522">
        <w:t>očtu České republiky na rok 2019</w:t>
      </w:r>
      <w:r w:rsidRPr="00CA4522">
        <w:t xml:space="preserve"> je dán souhrnnými ukazateli:</w:t>
      </w:r>
    </w:p>
    <w:p w:rsidR="00024ED6" w:rsidRPr="00CA4522" w:rsidRDefault="00024ED6" w:rsidP="001C010B">
      <w:pPr>
        <w:numPr>
          <w:ilvl w:val="0"/>
          <w:numId w:val="1"/>
        </w:numPr>
        <w:spacing w:line="240" w:lineRule="auto"/>
        <w:ind w:left="851" w:hanging="284"/>
        <w:rPr>
          <w:rFonts w:eastAsia="Times New Roman" w:cs="Times New Roman"/>
          <w:b/>
          <w:bCs/>
          <w:szCs w:val="24"/>
          <w:lang w:eastAsia="cs-CZ"/>
        </w:rPr>
      </w:pPr>
      <w:r w:rsidRPr="00CA4522">
        <w:rPr>
          <w:rFonts w:eastAsia="Times New Roman" w:cs="Times New Roman"/>
          <w:b/>
          <w:bCs/>
          <w:szCs w:val="24"/>
          <w:lang w:eastAsia="cs-CZ"/>
        </w:rPr>
        <w:t xml:space="preserve">Příjmy celkem  </w:t>
      </w:r>
      <w:r w:rsidR="00CA4522" w:rsidRPr="00CA4522">
        <w:rPr>
          <w:rFonts w:eastAsia="Times New Roman" w:cs="Times New Roman"/>
          <w:b/>
          <w:bCs/>
          <w:szCs w:val="24"/>
          <w:lang w:eastAsia="cs-CZ"/>
        </w:rPr>
        <w:t xml:space="preserve">     </w:t>
      </w:r>
      <w:r w:rsidR="00CA4522" w:rsidRPr="00CA4522">
        <w:rPr>
          <w:rFonts w:eastAsia="Times New Roman" w:cs="Times New Roman"/>
          <w:b/>
          <w:bCs/>
          <w:szCs w:val="24"/>
          <w:lang w:eastAsia="cs-CZ"/>
        </w:rPr>
        <w:tab/>
      </w:r>
      <w:r w:rsidR="00CA4522" w:rsidRPr="00CA4522">
        <w:rPr>
          <w:rFonts w:eastAsia="Times New Roman" w:cs="Times New Roman"/>
          <w:b/>
          <w:bCs/>
          <w:szCs w:val="24"/>
          <w:lang w:eastAsia="cs-CZ"/>
        </w:rPr>
        <w:tab/>
      </w:r>
      <w:r w:rsidR="00CA4522" w:rsidRPr="00CA4522">
        <w:rPr>
          <w:rFonts w:eastAsia="Times New Roman" w:cs="Times New Roman"/>
          <w:b/>
          <w:bCs/>
          <w:szCs w:val="24"/>
          <w:lang w:eastAsia="cs-CZ"/>
        </w:rPr>
        <w:tab/>
      </w:r>
      <w:r w:rsidR="00CA4522" w:rsidRPr="00CA4522">
        <w:rPr>
          <w:rFonts w:eastAsia="Times New Roman" w:cs="Times New Roman"/>
          <w:b/>
          <w:bCs/>
          <w:szCs w:val="24"/>
          <w:lang w:eastAsia="cs-CZ"/>
        </w:rPr>
        <w:tab/>
      </w:r>
      <w:r w:rsidR="00CA4522" w:rsidRPr="00CA4522">
        <w:rPr>
          <w:rFonts w:eastAsia="Times New Roman" w:cs="Times New Roman"/>
          <w:b/>
          <w:bCs/>
          <w:szCs w:val="24"/>
          <w:lang w:eastAsia="cs-CZ"/>
        </w:rPr>
        <w:tab/>
      </w:r>
      <w:r w:rsidR="00CA4522" w:rsidRPr="00CA4522">
        <w:rPr>
          <w:rFonts w:eastAsia="Times New Roman" w:cs="Times New Roman"/>
          <w:b/>
          <w:bCs/>
          <w:szCs w:val="24"/>
          <w:lang w:eastAsia="cs-CZ"/>
        </w:rPr>
        <w:tab/>
      </w:r>
      <w:r w:rsidR="001C010B">
        <w:rPr>
          <w:rFonts w:eastAsia="Times New Roman" w:cs="Times New Roman"/>
          <w:b/>
          <w:bCs/>
          <w:szCs w:val="24"/>
          <w:lang w:eastAsia="cs-CZ"/>
        </w:rPr>
        <w:tab/>
      </w:r>
      <w:r w:rsidR="00CA4522" w:rsidRPr="00CA4522">
        <w:rPr>
          <w:rFonts w:eastAsia="Times New Roman" w:cs="Times New Roman"/>
          <w:b/>
          <w:bCs/>
          <w:szCs w:val="24"/>
          <w:lang w:eastAsia="cs-CZ"/>
        </w:rPr>
        <w:t xml:space="preserve">   19 246 733</w:t>
      </w:r>
      <w:r w:rsidRPr="00CA4522">
        <w:rPr>
          <w:rFonts w:eastAsia="Times New Roman" w:cs="Times New Roman"/>
          <w:b/>
          <w:bCs/>
          <w:szCs w:val="24"/>
          <w:lang w:eastAsia="cs-CZ"/>
        </w:rPr>
        <w:t xml:space="preserve"> tis. Kč</w:t>
      </w:r>
    </w:p>
    <w:p w:rsidR="00024ED6" w:rsidRPr="00CA4522" w:rsidRDefault="00024ED6" w:rsidP="001C010B">
      <w:pPr>
        <w:numPr>
          <w:ilvl w:val="0"/>
          <w:numId w:val="1"/>
        </w:numPr>
        <w:spacing w:line="240" w:lineRule="auto"/>
        <w:ind w:left="851" w:hanging="284"/>
        <w:rPr>
          <w:rFonts w:eastAsia="Times New Roman" w:cs="Times New Roman"/>
          <w:b/>
          <w:bCs/>
          <w:szCs w:val="24"/>
          <w:lang w:eastAsia="cs-CZ"/>
        </w:rPr>
      </w:pPr>
      <w:r w:rsidRPr="00CA4522">
        <w:rPr>
          <w:rFonts w:eastAsia="Times New Roman" w:cs="Times New Roman"/>
          <w:b/>
          <w:bCs/>
          <w:szCs w:val="24"/>
          <w:lang w:eastAsia="cs-CZ"/>
        </w:rPr>
        <w:t xml:space="preserve">Výdaje celkem </w:t>
      </w:r>
      <w:r w:rsidR="0056133A" w:rsidRPr="00CA4522">
        <w:rPr>
          <w:rFonts w:eastAsia="Times New Roman" w:cs="Times New Roman"/>
          <w:b/>
          <w:bCs/>
          <w:szCs w:val="24"/>
          <w:lang w:eastAsia="cs-CZ"/>
        </w:rPr>
        <w:tab/>
      </w:r>
      <w:r w:rsidR="0056133A" w:rsidRPr="00CA4522">
        <w:rPr>
          <w:rFonts w:eastAsia="Times New Roman" w:cs="Times New Roman"/>
          <w:b/>
          <w:bCs/>
          <w:szCs w:val="24"/>
          <w:lang w:eastAsia="cs-CZ"/>
        </w:rPr>
        <w:tab/>
      </w:r>
      <w:r w:rsidR="0056133A" w:rsidRPr="00CA4522">
        <w:rPr>
          <w:rFonts w:eastAsia="Times New Roman" w:cs="Times New Roman"/>
          <w:b/>
          <w:bCs/>
          <w:szCs w:val="24"/>
          <w:lang w:eastAsia="cs-CZ"/>
        </w:rPr>
        <w:tab/>
      </w:r>
      <w:r w:rsidR="0056133A" w:rsidRPr="00CA4522">
        <w:rPr>
          <w:rFonts w:eastAsia="Times New Roman" w:cs="Times New Roman"/>
          <w:b/>
          <w:bCs/>
          <w:szCs w:val="24"/>
          <w:lang w:eastAsia="cs-CZ"/>
        </w:rPr>
        <w:tab/>
      </w:r>
      <w:r w:rsidR="0056133A" w:rsidRPr="00CA4522">
        <w:rPr>
          <w:rFonts w:eastAsia="Times New Roman" w:cs="Times New Roman"/>
          <w:b/>
          <w:bCs/>
          <w:szCs w:val="24"/>
          <w:lang w:eastAsia="cs-CZ"/>
        </w:rPr>
        <w:tab/>
      </w:r>
      <w:r w:rsidR="0056133A" w:rsidRPr="00CA4522">
        <w:rPr>
          <w:rFonts w:eastAsia="Times New Roman" w:cs="Times New Roman"/>
          <w:b/>
          <w:bCs/>
          <w:szCs w:val="24"/>
          <w:lang w:eastAsia="cs-CZ"/>
        </w:rPr>
        <w:tab/>
      </w:r>
      <w:r w:rsidR="0056133A" w:rsidRPr="00CA4522">
        <w:rPr>
          <w:rFonts w:eastAsia="Times New Roman" w:cs="Times New Roman"/>
          <w:b/>
          <w:bCs/>
          <w:szCs w:val="24"/>
          <w:lang w:eastAsia="cs-CZ"/>
        </w:rPr>
        <w:tab/>
        <w:t xml:space="preserve">   </w:t>
      </w:r>
      <w:r w:rsidR="00CA4522" w:rsidRPr="00CA4522">
        <w:rPr>
          <w:rFonts w:eastAsia="Times New Roman" w:cs="Times New Roman"/>
          <w:b/>
          <w:bCs/>
          <w:szCs w:val="24"/>
          <w:lang w:eastAsia="cs-CZ"/>
        </w:rPr>
        <w:t>72 555 425</w:t>
      </w:r>
      <w:r w:rsidRPr="00CA4522">
        <w:rPr>
          <w:rFonts w:eastAsia="Times New Roman" w:cs="Times New Roman"/>
          <w:b/>
          <w:bCs/>
          <w:szCs w:val="24"/>
          <w:lang w:eastAsia="cs-CZ"/>
        </w:rPr>
        <w:t xml:space="preserve"> tis. Kč</w:t>
      </w:r>
    </w:p>
    <w:p w:rsidR="00024ED6" w:rsidRPr="00CA4522" w:rsidRDefault="00024ED6" w:rsidP="001C010B">
      <w:pPr>
        <w:spacing w:line="240" w:lineRule="auto"/>
        <w:ind w:left="1440" w:hanging="589"/>
        <w:rPr>
          <w:rFonts w:eastAsia="Times New Roman" w:cs="Times New Roman"/>
          <w:szCs w:val="24"/>
          <w:lang w:eastAsia="cs-CZ"/>
        </w:rPr>
      </w:pPr>
      <w:r w:rsidRPr="00CA4522">
        <w:rPr>
          <w:rFonts w:eastAsia="Times New Roman" w:cs="Times New Roman"/>
          <w:szCs w:val="24"/>
          <w:lang w:eastAsia="cs-CZ"/>
        </w:rPr>
        <w:t>v tom:</w:t>
      </w:r>
    </w:p>
    <w:p w:rsidR="00024ED6" w:rsidRPr="00E7564D" w:rsidRDefault="00024ED6" w:rsidP="001C010B">
      <w:pPr>
        <w:ind w:left="1434" w:hanging="589"/>
        <w:rPr>
          <w:rFonts w:eastAsia="Times New Roman" w:cs="Times New Roman"/>
          <w:szCs w:val="24"/>
          <w:lang w:eastAsia="cs-CZ"/>
        </w:rPr>
      </w:pPr>
      <w:r w:rsidRPr="00CA4522">
        <w:rPr>
          <w:rFonts w:eastAsia="Times New Roman" w:cs="Times New Roman"/>
          <w:szCs w:val="24"/>
          <w:lang w:eastAsia="cs-CZ"/>
        </w:rPr>
        <w:t>běžné výdaje</w:t>
      </w:r>
      <w:r w:rsidR="0056133A" w:rsidRPr="00CA4522">
        <w:rPr>
          <w:rFonts w:eastAsia="Times New Roman" w:cs="Times New Roman"/>
          <w:szCs w:val="24"/>
          <w:lang w:eastAsia="cs-CZ"/>
        </w:rPr>
        <w:tab/>
      </w:r>
      <w:r w:rsidR="0056133A" w:rsidRPr="00CA4522">
        <w:rPr>
          <w:rFonts w:eastAsia="Times New Roman" w:cs="Times New Roman"/>
          <w:szCs w:val="24"/>
          <w:lang w:eastAsia="cs-CZ"/>
        </w:rPr>
        <w:tab/>
      </w:r>
      <w:r w:rsidR="0056133A" w:rsidRPr="00CA4522">
        <w:rPr>
          <w:rFonts w:eastAsia="Times New Roman" w:cs="Times New Roman"/>
          <w:szCs w:val="24"/>
          <w:lang w:eastAsia="cs-CZ"/>
        </w:rPr>
        <w:tab/>
      </w:r>
      <w:r w:rsidR="0056133A" w:rsidRPr="00CA4522">
        <w:rPr>
          <w:rFonts w:eastAsia="Times New Roman" w:cs="Times New Roman"/>
          <w:szCs w:val="24"/>
          <w:lang w:eastAsia="cs-CZ"/>
        </w:rPr>
        <w:tab/>
      </w:r>
      <w:r w:rsidR="0056133A" w:rsidRPr="00CA4522">
        <w:rPr>
          <w:rFonts w:eastAsia="Times New Roman" w:cs="Times New Roman"/>
          <w:szCs w:val="24"/>
          <w:lang w:eastAsia="cs-CZ"/>
        </w:rPr>
        <w:tab/>
      </w:r>
      <w:r w:rsidR="0056133A" w:rsidRPr="00CA4522">
        <w:rPr>
          <w:rFonts w:eastAsia="Times New Roman" w:cs="Times New Roman"/>
          <w:szCs w:val="24"/>
          <w:lang w:eastAsia="cs-CZ"/>
        </w:rPr>
        <w:tab/>
      </w:r>
      <w:r w:rsidR="0056133A" w:rsidRPr="00CA4522">
        <w:rPr>
          <w:rFonts w:eastAsia="Times New Roman" w:cs="Times New Roman"/>
          <w:szCs w:val="24"/>
          <w:lang w:eastAsia="cs-CZ"/>
        </w:rPr>
        <w:tab/>
      </w:r>
      <w:r w:rsidR="001C010B">
        <w:rPr>
          <w:rFonts w:eastAsia="Times New Roman" w:cs="Times New Roman"/>
          <w:szCs w:val="24"/>
          <w:lang w:eastAsia="cs-CZ"/>
        </w:rPr>
        <w:tab/>
      </w:r>
      <w:r w:rsidR="00E7564D" w:rsidRPr="00E7564D">
        <w:rPr>
          <w:rFonts w:eastAsia="Times New Roman" w:cs="Times New Roman"/>
          <w:szCs w:val="24"/>
          <w:lang w:eastAsia="cs-CZ"/>
        </w:rPr>
        <w:t xml:space="preserve">   23 727 160 </w:t>
      </w:r>
      <w:r w:rsidRPr="00E7564D">
        <w:rPr>
          <w:rFonts w:eastAsia="Times New Roman" w:cs="Times New Roman"/>
          <w:szCs w:val="24"/>
          <w:lang w:eastAsia="cs-CZ"/>
        </w:rPr>
        <w:t>tis. Kč</w:t>
      </w:r>
    </w:p>
    <w:p w:rsidR="00024ED6" w:rsidRPr="00E7564D" w:rsidRDefault="00024ED6" w:rsidP="001C010B">
      <w:pPr>
        <w:tabs>
          <w:tab w:val="left" w:pos="7200"/>
        </w:tabs>
        <w:spacing w:after="240" w:line="240" w:lineRule="auto"/>
        <w:ind w:left="1434" w:hanging="589"/>
        <w:rPr>
          <w:rFonts w:eastAsia="Times New Roman" w:cs="Times New Roman"/>
          <w:szCs w:val="24"/>
          <w:lang w:eastAsia="cs-CZ"/>
        </w:rPr>
      </w:pPr>
      <w:r w:rsidRPr="00E7564D">
        <w:rPr>
          <w:rFonts w:eastAsia="Times New Roman" w:cs="Times New Roman"/>
          <w:szCs w:val="24"/>
          <w:lang w:eastAsia="cs-CZ"/>
        </w:rPr>
        <w:t>kapitálové výdaje</w:t>
      </w:r>
      <w:r w:rsidRPr="00E7564D">
        <w:rPr>
          <w:rFonts w:eastAsia="Times New Roman" w:cs="Times New Roman"/>
          <w:szCs w:val="24"/>
          <w:lang w:eastAsia="cs-CZ"/>
        </w:rPr>
        <w:tab/>
        <w:t xml:space="preserve"> </w:t>
      </w:r>
      <w:r w:rsidR="00E7564D" w:rsidRPr="00E7564D">
        <w:rPr>
          <w:rFonts w:eastAsia="Times New Roman" w:cs="Times New Roman"/>
          <w:szCs w:val="24"/>
          <w:lang w:eastAsia="cs-CZ"/>
        </w:rPr>
        <w:t>48 828 265</w:t>
      </w:r>
      <w:r w:rsidRPr="00E7564D">
        <w:rPr>
          <w:rFonts w:eastAsia="Times New Roman" w:cs="Times New Roman"/>
          <w:szCs w:val="24"/>
          <w:lang w:eastAsia="cs-CZ"/>
        </w:rPr>
        <w:t> tis. Kč</w:t>
      </w:r>
    </w:p>
    <w:p w:rsidR="00024ED6" w:rsidRPr="00E7564D" w:rsidRDefault="00024ED6" w:rsidP="000339E1">
      <w:pPr>
        <w:pStyle w:val="Titulek"/>
        <w:keepNext/>
      </w:pPr>
      <w:bookmarkStart w:id="2" w:name="_Toc488937057"/>
      <w:bookmarkStart w:id="3" w:name="_Toc526424758"/>
      <w:r w:rsidRPr="00E7564D">
        <w:t xml:space="preserve">Graf č. </w:t>
      </w:r>
      <w:r w:rsidR="0001421C" w:rsidRPr="00E7564D">
        <w:rPr>
          <w:noProof/>
        </w:rPr>
        <w:fldChar w:fldCharType="begin"/>
      </w:r>
      <w:r w:rsidR="0001421C" w:rsidRPr="00E7564D">
        <w:rPr>
          <w:noProof/>
        </w:rPr>
        <w:instrText xml:space="preserve"> SEQ Graf_č. \* ARABIC </w:instrText>
      </w:r>
      <w:r w:rsidR="0001421C" w:rsidRPr="00E7564D">
        <w:rPr>
          <w:noProof/>
        </w:rPr>
        <w:fldChar w:fldCharType="separate"/>
      </w:r>
      <w:r w:rsidR="00AF5225">
        <w:rPr>
          <w:noProof/>
        </w:rPr>
        <w:t>1</w:t>
      </w:r>
      <w:r w:rsidR="0001421C" w:rsidRPr="00E7564D">
        <w:rPr>
          <w:noProof/>
        </w:rPr>
        <w:fldChar w:fldCharType="end"/>
      </w:r>
      <w:r w:rsidRPr="00E7564D">
        <w:t xml:space="preserve"> Porovnání příjmů a výdajů v kapitole 327-MD (v tis. Kč)</w:t>
      </w:r>
      <w:bookmarkEnd w:id="2"/>
      <w:bookmarkEnd w:id="3"/>
    </w:p>
    <w:p w:rsidR="00024ED6" w:rsidRPr="0001421C" w:rsidRDefault="00E7564D" w:rsidP="00AB78C7">
      <w:pPr>
        <w:pStyle w:val="obyctext"/>
        <w:keepNext/>
        <w:spacing w:after="240"/>
        <w:ind w:firstLine="0"/>
        <w:rPr>
          <w:color w:val="FF0000"/>
        </w:rPr>
      </w:pPr>
      <w:r>
        <w:rPr>
          <w:noProof/>
        </w:rPr>
        <w:drawing>
          <wp:inline distT="0" distB="0" distL="0" distR="0" wp14:anchorId="4E3F469A" wp14:editId="742A8D87">
            <wp:extent cx="5759450" cy="2483485"/>
            <wp:effectExtent l="0" t="0" r="12700" b="12065"/>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7564D" w:rsidRPr="00AB78C7" w:rsidRDefault="00E7564D" w:rsidP="00AB78C7">
      <w:pPr>
        <w:pStyle w:val="Styl1"/>
      </w:pPr>
      <w:r w:rsidRPr="00AB78C7">
        <w:t>Příjmy kapitoly 327 Ministerstvo dopravy v návrhu rozpočtu na rok 2019 jsou oproti schválenému rozpočtu rok</w:t>
      </w:r>
      <w:r w:rsidR="008236E8">
        <w:t xml:space="preserve">u 2018 (16 676 665 tis. Kč) o </w:t>
      </w:r>
      <w:r w:rsidRPr="00AB78C7">
        <w:t>2 570 068 tis. Kč vyšší</w:t>
      </w:r>
      <w:r w:rsidR="009D0E0C">
        <w:t>, tj. o 15,41 %</w:t>
      </w:r>
      <w:r w:rsidRPr="00AB78C7">
        <w:t>. Důvode</w:t>
      </w:r>
      <w:r w:rsidR="00C11B17">
        <w:t>m jsou především vyšší</w:t>
      </w:r>
      <w:r w:rsidRPr="00AB78C7">
        <w:t xml:space="preserve"> </w:t>
      </w:r>
      <w:r w:rsidR="00C11B17">
        <w:t>rozpočtované příjmy</w:t>
      </w:r>
      <w:r w:rsidRPr="00AB78C7">
        <w:t xml:space="preserve"> z EU a v menší míře navýšení daňových a nedaňových (bez EU) příjmů ve vazbě na skutečnost roku 2017.</w:t>
      </w:r>
    </w:p>
    <w:p w:rsidR="000A05A0" w:rsidRDefault="000A05A0" w:rsidP="00AB78C7">
      <w:pPr>
        <w:pStyle w:val="Styl1"/>
      </w:pPr>
      <w:r w:rsidRPr="00AB78C7">
        <w:t xml:space="preserve">Výdaje kapitoly 327 Ministerstvo dopravy v návrhu rozpočtu na rok 2019 jsou v porovnání se schváleným rozpočtem na rok 2018 (53 988 011 tis. Kč) o </w:t>
      </w:r>
      <w:r w:rsidR="00911825">
        <w:t>18 567 414 tis. Kč</w:t>
      </w:r>
      <w:r w:rsidRPr="00AB78C7">
        <w:t xml:space="preserve"> vyšší, tj. o </w:t>
      </w:r>
      <w:r w:rsidR="00911825">
        <w:t>34,39 %</w:t>
      </w:r>
      <w:r w:rsidRPr="00AB78C7">
        <w:t>.</w:t>
      </w:r>
    </w:p>
    <w:p w:rsidR="009D0E0C" w:rsidRPr="00AB78C7" w:rsidRDefault="009D0E0C" w:rsidP="00AB78C7">
      <w:pPr>
        <w:pStyle w:val="Styl1"/>
      </w:pPr>
      <w:r>
        <w:lastRenderedPageBreak/>
        <w:t>Navýšení výdajů kapitoly 327-MD je dáno zejména zvýšením dotace pro Státní fond dopravní infrastruktury o 13 864 071 tis. Kč (jedná se především o navýšení dotace na krytí deficitu rozpočtu SFD</w:t>
      </w:r>
      <w:r w:rsidR="0004122C">
        <w:t>I)</w:t>
      </w:r>
      <w:r>
        <w:t>.</w:t>
      </w:r>
      <w:r w:rsidR="0004122C">
        <w:t xml:space="preserve"> Současně došlo ke snížení transferů podnikatelským subjektům </w:t>
      </w:r>
      <w:r w:rsidR="0004122C">
        <w:br/>
        <w:t xml:space="preserve">o 813 910 tis. Kč (jedná se zejména o snížení kapitálových výdajů určených na program </w:t>
      </w:r>
      <w:r w:rsidR="0004122C">
        <w:br/>
        <w:t xml:space="preserve">127 77 Podpora financování dopravy). </w:t>
      </w:r>
    </w:p>
    <w:p w:rsidR="000A05A0" w:rsidRPr="00F741B9" w:rsidRDefault="000A05A0" w:rsidP="00AB78C7">
      <w:pPr>
        <w:pStyle w:val="Styl1"/>
      </w:pPr>
      <w:r w:rsidRPr="00F741B9">
        <w:t xml:space="preserve">Výdaje určené pro vlastní Ministerstvo dopravy a jím zřízené organizační složky státu, příspěvkové organizace a veřejnou výzkumnou organizaci jsou navýšeny oproti roku 2018 </w:t>
      </w:r>
      <w:r w:rsidRPr="00F741B9">
        <w:br/>
        <w:t xml:space="preserve">o </w:t>
      </w:r>
      <w:r w:rsidR="00C16394" w:rsidRPr="00C16394">
        <w:t>5 432 349</w:t>
      </w:r>
      <w:r w:rsidRPr="00C16394">
        <w:t xml:space="preserve"> tis. Kč, zejména</w:t>
      </w:r>
      <w:r w:rsidRPr="00F741B9">
        <w:t xml:space="preserve"> z důvodu zavedení nových kompenzací slev. Výdaje určené </w:t>
      </w:r>
      <w:r w:rsidR="000339E1">
        <w:br/>
      </w:r>
      <w:r w:rsidRPr="00F741B9">
        <w:t xml:space="preserve">na transfery obcím a krajům jsou oproti roku 2018 navýšeny </w:t>
      </w:r>
      <w:r w:rsidRPr="00D639E9">
        <w:t>o 80 350 tis.</w:t>
      </w:r>
      <w:r w:rsidRPr="00F741B9">
        <w:t xml:space="preserve"> Kč, výdaje </w:t>
      </w:r>
      <w:r w:rsidR="004C4BA5">
        <w:br/>
      </w:r>
      <w:r w:rsidRPr="00F741B9">
        <w:t xml:space="preserve">na transfery neziskovým organizacím jsou zvýšeny celkem o </w:t>
      </w:r>
      <w:r w:rsidRPr="00D639E9">
        <w:t>2</w:t>
      </w:r>
      <w:r w:rsidR="008236E8">
        <w:t xml:space="preserve"> </w:t>
      </w:r>
      <w:r w:rsidRPr="00D639E9">
        <w:t>100</w:t>
      </w:r>
      <w:r w:rsidRPr="00F741B9">
        <w:t xml:space="preserve"> tis. Kč. Výdaje na transfery mezinárodním organizacím jsou zvýšeny celkem </w:t>
      </w:r>
      <w:r w:rsidRPr="00D639E9">
        <w:t>o 2 453</w:t>
      </w:r>
      <w:r w:rsidRPr="00F741B9">
        <w:t xml:space="preserve"> tis. </w:t>
      </w:r>
      <w:r w:rsidRPr="00C66DA7">
        <w:t xml:space="preserve">Kč, přičemž výdaje na volitelné programy ESA jsou ve stejné výši </w:t>
      </w:r>
      <w:r w:rsidR="008236E8">
        <w:t xml:space="preserve">930 000 tis. Kč </w:t>
      </w:r>
      <w:r w:rsidRPr="00C66DA7">
        <w:t>jako v roce 2018.</w:t>
      </w:r>
    </w:p>
    <w:p w:rsidR="000A05A0" w:rsidRPr="00F96B76" w:rsidRDefault="000A05A0" w:rsidP="00AB78C7">
      <w:pPr>
        <w:pStyle w:val="Styl1"/>
      </w:pPr>
      <w:r w:rsidRPr="00F96B76">
        <w:t>Z celkového objemu výdajů kapitoly Ministerstva dopravy jsou do rozpočtové sféry (organizační složky státu) určeny prostředky v </w:t>
      </w:r>
      <w:r w:rsidRPr="00CA2C79">
        <w:t xml:space="preserve">objemu </w:t>
      </w:r>
      <w:r w:rsidR="00CA2C79" w:rsidRPr="00CA2C79">
        <w:t>7 700 588</w:t>
      </w:r>
      <w:r w:rsidRPr="00CA2C79">
        <w:t xml:space="preserve"> tis. Kč, </w:t>
      </w:r>
      <w:r w:rsidRPr="004F2FD7">
        <w:t>tj. 10,61</w:t>
      </w:r>
      <w:r w:rsidRPr="00F96B76">
        <w:t xml:space="preserve"> % celkových výda</w:t>
      </w:r>
      <w:r>
        <w:t xml:space="preserve">jů, v tom běžné výdaje </w:t>
      </w:r>
      <w:r w:rsidR="00CA2C79" w:rsidRPr="00CA2C79">
        <w:t>7 606 816</w:t>
      </w:r>
      <w:r w:rsidRPr="00CA2C79">
        <w:t xml:space="preserve"> tis. Kč</w:t>
      </w:r>
      <w:r w:rsidRPr="00F96B76">
        <w:t xml:space="preserve">, kapitálové </w:t>
      </w:r>
      <w:r w:rsidRPr="00CA2C79">
        <w:t>výdaje 93 772 tis.</w:t>
      </w:r>
      <w:r w:rsidRPr="00F96B76">
        <w:t xml:space="preserve"> Kč. </w:t>
      </w:r>
    </w:p>
    <w:p w:rsidR="000A05A0" w:rsidRPr="00F96B76" w:rsidRDefault="000A05A0" w:rsidP="00AB78C7">
      <w:pPr>
        <w:pStyle w:val="Styl1"/>
      </w:pPr>
      <w:r w:rsidRPr="00F96B76">
        <w:t xml:space="preserve">Do příspěvkové sféry, zahrnující zřízené státní příspěvkové organizace Ředitelství silnic a dálnic ČR a Centrum služeb pro silniční dopravu a dále veřejnou výzkumnou instituci Centrum </w:t>
      </w:r>
      <w:r w:rsidRPr="004F2FD7">
        <w:t xml:space="preserve">dopravního výzkumu, jsou rozpočtovány prostředky v objemu </w:t>
      </w:r>
      <w:r w:rsidR="004F2FD7" w:rsidRPr="004F2FD7">
        <w:t>744 637</w:t>
      </w:r>
      <w:r w:rsidRPr="004F2FD7">
        <w:t xml:space="preserve"> tis. Kč, </w:t>
      </w:r>
      <w:r w:rsidRPr="004F2FD7">
        <w:br/>
        <w:t xml:space="preserve">tj. </w:t>
      </w:r>
      <w:r w:rsidR="004F2FD7" w:rsidRPr="004F2FD7">
        <w:t>1,03</w:t>
      </w:r>
      <w:r w:rsidRPr="004F2FD7">
        <w:t xml:space="preserve"> % celkových výdajů, v tom běžné výdaje </w:t>
      </w:r>
      <w:r w:rsidR="004F2FD7" w:rsidRPr="004F2FD7">
        <w:t>737 387</w:t>
      </w:r>
      <w:r w:rsidRPr="004F2FD7">
        <w:t xml:space="preserve"> tis. Kč, kapitálové výdaje </w:t>
      </w:r>
      <w:r w:rsidRPr="004F2FD7">
        <w:br/>
      </w:r>
      <w:r w:rsidR="004F2FD7" w:rsidRPr="004F2FD7">
        <w:t>7 250</w:t>
      </w:r>
      <w:r w:rsidRPr="004F2FD7">
        <w:t xml:space="preserve"> tis. Kč.</w:t>
      </w:r>
    </w:p>
    <w:p w:rsidR="000A05A0" w:rsidRPr="00E27A79" w:rsidRDefault="000A05A0" w:rsidP="00AB78C7">
      <w:pPr>
        <w:pStyle w:val="Styl1"/>
        <w:rPr>
          <w:rFonts w:eastAsiaTheme="minorHAnsi" w:cstheme="minorBidi"/>
          <w:lang w:eastAsia="en-US"/>
        </w:rPr>
      </w:pPr>
      <w:r>
        <w:t xml:space="preserve">Na transfery do podnikatelské sféry jsou určeny prostředky ve výši </w:t>
      </w:r>
      <w:r w:rsidR="004F2FD7" w:rsidRPr="004F2FD7">
        <w:t>5 505 927</w:t>
      </w:r>
      <w:r w:rsidRPr="00E27A79">
        <w:t xml:space="preserve"> tis. Kč, </w:t>
      </w:r>
      <w:r>
        <w:br/>
      </w:r>
      <w:r w:rsidR="004F2FD7" w:rsidRPr="004F2FD7">
        <w:t>tj. 7, 59</w:t>
      </w:r>
      <w:r w:rsidRPr="00E27A79">
        <w:t xml:space="preserve"> % celkových výdajů kapitoly, v tom běžné výdaje </w:t>
      </w:r>
      <w:r w:rsidRPr="004F2FD7">
        <w:rPr>
          <w:rFonts w:eastAsiaTheme="minorHAnsi" w:cstheme="minorBidi"/>
          <w:szCs w:val="22"/>
          <w:lang w:eastAsia="en-US"/>
        </w:rPr>
        <w:t>5 468</w:t>
      </w:r>
      <w:r w:rsidRPr="004F2FD7">
        <w:t> </w:t>
      </w:r>
      <w:r w:rsidR="004F2FD7" w:rsidRPr="004F2FD7">
        <w:rPr>
          <w:rFonts w:eastAsiaTheme="minorHAnsi" w:cstheme="minorBidi"/>
          <w:szCs w:val="22"/>
          <w:lang w:eastAsia="en-US"/>
        </w:rPr>
        <w:t>442</w:t>
      </w:r>
      <w:r w:rsidRPr="004F2FD7">
        <w:t xml:space="preserve"> tis. Kč,</w:t>
      </w:r>
      <w:r w:rsidRPr="00E27A79">
        <w:t xml:space="preserve"> kapitálové výdaje </w:t>
      </w:r>
      <w:r w:rsidRPr="004F2FD7">
        <w:rPr>
          <w:rFonts w:eastAsiaTheme="minorHAnsi" w:cstheme="minorBidi"/>
          <w:lang w:eastAsia="en-US"/>
        </w:rPr>
        <w:t>37 485 tis</w:t>
      </w:r>
      <w:r w:rsidRPr="00E27A79">
        <w:rPr>
          <w:rFonts w:eastAsiaTheme="minorHAnsi" w:cstheme="minorBidi"/>
          <w:lang w:eastAsia="en-US"/>
        </w:rPr>
        <w:t xml:space="preserve">. Kč. Podnikatelskou sféru představují zejména České dráhy, a.s. a Správa železniční dopravní cesty, </w:t>
      </w:r>
      <w:proofErr w:type="spellStart"/>
      <w:proofErr w:type="gramStart"/>
      <w:r w:rsidRPr="00E27A79">
        <w:rPr>
          <w:rFonts w:eastAsiaTheme="minorHAnsi" w:cstheme="minorBidi"/>
          <w:lang w:eastAsia="en-US"/>
        </w:rPr>
        <w:t>s.o</w:t>
      </w:r>
      <w:proofErr w:type="spellEnd"/>
      <w:r w:rsidRPr="00E27A79">
        <w:rPr>
          <w:rFonts w:eastAsiaTheme="minorHAnsi" w:cstheme="minorBidi"/>
          <w:lang w:eastAsia="en-US"/>
        </w:rPr>
        <w:t>.</w:t>
      </w:r>
      <w:proofErr w:type="gramEnd"/>
    </w:p>
    <w:p w:rsidR="000A05A0" w:rsidRPr="00F96B76" w:rsidRDefault="000A05A0" w:rsidP="00AB78C7">
      <w:pPr>
        <w:pStyle w:val="Styl1"/>
      </w:pPr>
      <w:r w:rsidRPr="00F96B76">
        <w:t xml:space="preserve">Transfer Státnímu fondu dopravní infrastruktury v objemu </w:t>
      </w:r>
      <w:r w:rsidR="009B54A7" w:rsidRPr="009B54A7">
        <w:t>54 746 045</w:t>
      </w:r>
      <w:r w:rsidRPr="009B54A7">
        <w:t xml:space="preserve"> tis. Kč</w:t>
      </w:r>
      <w:r>
        <w:t xml:space="preserve"> tvoří </w:t>
      </w:r>
      <w:r>
        <w:br/>
      </w:r>
      <w:r w:rsidR="009B54A7" w:rsidRPr="009B54A7">
        <w:t>75,45</w:t>
      </w:r>
      <w:r w:rsidRPr="00F96B76">
        <w:t xml:space="preserve"> % celkových výdajů kapitoly, v tom výdaje na společné programy (projekty) EU </w:t>
      </w:r>
      <w:r>
        <w:br/>
      </w:r>
      <w:r w:rsidRPr="00F96B76">
        <w:t>a ČR</w:t>
      </w:r>
      <w:r>
        <w:t xml:space="preserve"> </w:t>
      </w:r>
      <w:r w:rsidRPr="00C16394">
        <w:t>18 749 713 tis. Kč a ostatní</w:t>
      </w:r>
      <w:r w:rsidRPr="00F96B76">
        <w:t xml:space="preserve"> výdaje, tj. dotace na vyrovnání deficitu rozpočtu, </w:t>
      </w:r>
      <w:r>
        <w:br/>
      </w:r>
      <w:r w:rsidR="00C16394" w:rsidRPr="00C16394">
        <w:t>35 996</w:t>
      </w:r>
      <w:r w:rsidRPr="00C16394">
        <w:t> 331 tis.</w:t>
      </w:r>
      <w:r w:rsidRPr="00F96B76">
        <w:t xml:space="preserve"> Kč. Z celkové výše prostředků pro SFDI činí neinvestiční transfer </w:t>
      </w:r>
      <w:r>
        <w:br/>
      </w:r>
      <w:r w:rsidR="009B54A7" w:rsidRPr="009B54A7">
        <w:t>6 056 287</w:t>
      </w:r>
      <w:r w:rsidRPr="009B54A7">
        <w:t xml:space="preserve"> tis.</w:t>
      </w:r>
      <w:r w:rsidRPr="00F96B76">
        <w:t xml:space="preserve"> Kč a investiční transfer činí </w:t>
      </w:r>
      <w:r w:rsidR="009B54A7" w:rsidRPr="009B54A7">
        <w:t>48 689 758</w:t>
      </w:r>
      <w:r w:rsidRPr="009B54A7">
        <w:t xml:space="preserve"> tis. Kč.</w:t>
      </w:r>
    </w:p>
    <w:p w:rsidR="000A05A0" w:rsidRPr="000774D4" w:rsidRDefault="000A05A0" w:rsidP="00AB78C7">
      <w:pPr>
        <w:pStyle w:val="Styl1"/>
      </w:pPr>
      <w:r w:rsidRPr="00F96B76">
        <w:t xml:space="preserve">Transfery obcím a krajům jsou rozpočtovány ve </w:t>
      </w:r>
      <w:r w:rsidRPr="009B54A7">
        <w:t>výši 2 894 352</w:t>
      </w:r>
      <w:r w:rsidRPr="00F96B76">
        <w:t xml:space="preserve"> tis. Kč, </w:t>
      </w:r>
      <w:r w:rsidR="009B54A7" w:rsidRPr="009B54A7">
        <w:t>tj. 3,99</w:t>
      </w:r>
      <w:r w:rsidRPr="009B54A7">
        <w:t xml:space="preserve"> %</w:t>
      </w:r>
      <w:r w:rsidRPr="00F96B76">
        <w:t xml:space="preserve"> z celkových výdajů kapitoly</w:t>
      </w:r>
      <w:r>
        <w:t xml:space="preserve">. </w:t>
      </w:r>
      <w:r w:rsidRPr="000774D4">
        <w:t xml:space="preserve">Tyto neinvestiční transfery jsou určeny k doplnění chybějících finančních zdrojů krajů a hl. m. Prahy na úhradu ztráty ze závazku veřejné služby ve veřejné drážní osobní dopravě ve </w:t>
      </w:r>
      <w:r w:rsidRPr="009B54A7">
        <w:t>výši 2 884 352 tis</w:t>
      </w:r>
      <w:r w:rsidRPr="000774D4">
        <w:t xml:space="preserve">. Kč a na </w:t>
      </w:r>
      <w:r w:rsidRPr="00C66DA7">
        <w:t xml:space="preserve">zvýšení ochrany měkkých cílů </w:t>
      </w:r>
      <w:r w:rsidR="007C243A">
        <w:t xml:space="preserve">dle UV 527/2017 </w:t>
      </w:r>
      <w:r w:rsidRPr="00C66DA7">
        <w:t>ve výši 10 000 tis. Kč.</w:t>
      </w:r>
      <w:r w:rsidRPr="000774D4">
        <w:t xml:space="preserve"> </w:t>
      </w:r>
    </w:p>
    <w:p w:rsidR="000A05A0" w:rsidRPr="00F96B76" w:rsidRDefault="000A05A0" w:rsidP="00AB78C7">
      <w:pPr>
        <w:pStyle w:val="Styl1"/>
      </w:pPr>
      <w:r>
        <w:t xml:space="preserve">Výdaje ve výši </w:t>
      </w:r>
      <w:r w:rsidRPr="009B54A7">
        <w:t>954 275 tis.</w:t>
      </w:r>
      <w:r w:rsidRPr="00F96B76">
        <w:t xml:space="preserve"> Kč, tj. </w:t>
      </w:r>
      <w:r w:rsidR="009B54A7" w:rsidRPr="009B54A7">
        <w:t>1,32</w:t>
      </w:r>
      <w:r w:rsidRPr="009B54A7">
        <w:t xml:space="preserve"> %</w:t>
      </w:r>
      <w:r w:rsidRPr="00F96B76">
        <w:t xml:space="preserve"> z celkových výdajů, jsou určeny na neinvestiční transfery do zahraničí a zbývající část výdajů ve </w:t>
      </w:r>
      <w:r w:rsidRPr="009B54A7">
        <w:t>výši 9 600 tis. Kč, tj. 0,01</w:t>
      </w:r>
      <w:r w:rsidRPr="00F96B76">
        <w:t xml:space="preserve"> % z celkových výdajů, je určena na neinvestiční transfery spolkům.</w:t>
      </w:r>
    </w:p>
    <w:p w:rsidR="000A05A0" w:rsidRPr="00F741B9" w:rsidRDefault="000A05A0" w:rsidP="00AB78C7">
      <w:pPr>
        <w:pStyle w:val="Styl1"/>
      </w:pPr>
      <w:r w:rsidRPr="00260323">
        <w:t xml:space="preserve">V ukazatelích regulace mzdových prostředků se </w:t>
      </w:r>
      <w:r w:rsidR="00260323" w:rsidRPr="00260323">
        <w:t>promíta</w:t>
      </w:r>
      <w:r w:rsidR="00260323">
        <w:t>jí</w:t>
      </w:r>
      <w:r w:rsidRPr="00260323">
        <w:t xml:space="preserve"> </w:t>
      </w:r>
      <w:r w:rsidR="00260323" w:rsidRPr="00260323">
        <w:t xml:space="preserve">změny </w:t>
      </w:r>
      <w:r w:rsidR="00260323">
        <w:t xml:space="preserve">blíže </w:t>
      </w:r>
      <w:r w:rsidR="00260323" w:rsidRPr="00260323">
        <w:t xml:space="preserve">popsané </w:t>
      </w:r>
      <w:r w:rsidR="00260323">
        <w:br/>
      </w:r>
      <w:r w:rsidR="00260323" w:rsidRPr="00260323">
        <w:t>v kap. 3.2.2.</w:t>
      </w:r>
    </w:p>
    <w:p w:rsidR="00024ED6" w:rsidRPr="0001421C" w:rsidRDefault="00024ED6" w:rsidP="00AB78C7">
      <w:pPr>
        <w:pStyle w:val="Styl1"/>
        <w:rPr>
          <w:color w:val="FF0000"/>
        </w:rPr>
      </w:pPr>
    </w:p>
    <w:p w:rsidR="00024ED6" w:rsidRPr="0001421C" w:rsidRDefault="00024ED6" w:rsidP="00024ED6">
      <w:pPr>
        <w:rPr>
          <w:color w:val="FF0000"/>
        </w:rPr>
      </w:pPr>
      <w:r w:rsidRPr="0001421C">
        <w:rPr>
          <w:color w:val="FF0000"/>
        </w:rPr>
        <w:br w:type="page"/>
      </w:r>
    </w:p>
    <w:p w:rsidR="00024ED6" w:rsidRPr="005C480E" w:rsidRDefault="00024ED6" w:rsidP="00024ED6">
      <w:pPr>
        <w:pStyle w:val="Nadpis1"/>
        <w:rPr>
          <w:bCs/>
          <w:smallCaps/>
          <w:szCs w:val="28"/>
        </w:rPr>
      </w:pPr>
      <w:bookmarkStart w:id="4" w:name="_Toc462314383"/>
      <w:bookmarkStart w:id="5" w:name="_Toc489274089"/>
      <w:bookmarkStart w:id="6" w:name="_Toc526424682"/>
      <w:r w:rsidRPr="005C480E">
        <w:rPr>
          <w:bCs/>
          <w:smallCaps/>
          <w:szCs w:val="28"/>
        </w:rPr>
        <w:lastRenderedPageBreak/>
        <w:t>Rozpočet příjmů na rok 201</w:t>
      </w:r>
      <w:bookmarkEnd w:id="4"/>
      <w:bookmarkEnd w:id="5"/>
      <w:r w:rsidR="007C243A">
        <w:rPr>
          <w:bCs/>
          <w:smallCaps/>
          <w:szCs w:val="28"/>
        </w:rPr>
        <w:t>9</w:t>
      </w:r>
      <w:bookmarkEnd w:id="6"/>
    </w:p>
    <w:p w:rsidR="00024ED6" w:rsidRPr="005C480E" w:rsidRDefault="00024ED6" w:rsidP="00AB78C7">
      <w:pPr>
        <w:pStyle w:val="Styl1"/>
      </w:pPr>
      <w:r w:rsidRPr="005C480E">
        <w:t xml:space="preserve">Souhrnný ukazatel rozpočtu kapitoly MD </w:t>
      </w:r>
      <w:r w:rsidRPr="005C480E">
        <w:rPr>
          <w:b/>
        </w:rPr>
        <w:t>„Příjmy celkem“</w:t>
      </w:r>
      <w:r w:rsidRPr="005C480E">
        <w:t xml:space="preserve"> je </w:t>
      </w:r>
      <w:r w:rsidRPr="005C480E">
        <w:rPr>
          <w:bCs/>
        </w:rPr>
        <w:t>navržený ve výši</w:t>
      </w:r>
      <w:r w:rsidRPr="005C480E">
        <w:rPr>
          <w:b/>
          <w:bCs/>
        </w:rPr>
        <w:t xml:space="preserve"> </w:t>
      </w:r>
      <w:r w:rsidRPr="005C480E">
        <w:rPr>
          <w:b/>
          <w:bCs/>
        </w:rPr>
        <w:br/>
      </w:r>
      <w:r w:rsidR="005C480E" w:rsidRPr="005C480E">
        <w:rPr>
          <w:b/>
          <w:bCs/>
        </w:rPr>
        <w:t xml:space="preserve">19 246 733 </w:t>
      </w:r>
      <w:r w:rsidRPr="005C480E">
        <w:rPr>
          <w:b/>
          <w:bCs/>
        </w:rPr>
        <w:t>tis. Kč</w:t>
      </w:r>
      <w:r w:rsidRPr="005C480E">
        <w:t>.</w:t>
      </w:r>
    </w:p>
    <w:p w:rsidR="00D910C9" w:rsidRPr="00D910C9" w:rsidRDefault="00024ED6" w:rsidP="00D910C9">
      <w:pPr>
        <w:pStyle w:val="Titulek"/>
        <w:keepNext/>
      </w:pPr>
      <w:r w:rsidRPr="005C480E">
        <w:t xml:space="preserve">Tabulka č. </w:t>
      </w:r>
      <w:r w:rsidR="0001421C" w:rsidRPr="005C480E">
        <w:rPr>
          <w:noProof/>
        </w:rPr>
        <w:fldChar w:fldCharType="begin"/>
      </w:r>
      <w:r w:rsidR="0001421C" w:rsidRPr="005C480E">
        <w:rPr>
          <w:noProof/>
        </w:rPr>
        <w:instrText xml:space="preserve"> SEQ Tabulka \* ARABIC </w:instrText>
      </w:r>
      <w:r w:rsidR="0001421C" w:rsidRPr="005C480E">
        <w:rPr>
          <w:noProof/>
        </w:rPr>
        <w:fldChar w:fldCharType="separate"/>
      </w:r>
      <w:r w:rsidR="00AF5225">
        <w:rPr>
          <w:noProof/>
        </w:rPr>
        <w:t>1</w:t>
      </w:r>
      <w:r w:rsidR="0001421C" w:rsidRPr="005C480E">
        <w:rPr>
          <w:noProof/>
        </w:rPr>
        <w:fldChar w:fldCharType="end"/>
      </w:r>
      <w:r w:rsidRPr="005C480E">
        <w:t xml:space="preserve"> Struktura p</w:t>
      </w:r>
      <w:r w:rsidR="005C480E" w:rsidRPr="005C480E">
        <w:t>říjmů (v rámci PVS) pro rok 2019</w:t>
      </w:r>
    </w:p>
    <w:tbl>
      <w:tblPr>
        <w:tblStyle w:val="Svtlmkatabulky"/>
        <w:tblW w:w="932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008"/>
        <w:gridCol w:w="1260"/>
        <w:gridCol w:w="7054"/>
      </w:tblGrid>
      <w:tr w:rsidR="0001421C" w:rsidRPr="0001421C" w:rsidTr="00C14965">
        <w:trPr>
          <w:trHeight w:val="393"/>
        </w:trPr>
        <w:tc>
          <w:tcPr>
            <w:tcW w:w="100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5C480E" w:rsidRDefault="00024ED6" w:rsidP="00C14965">
            <w:pPr>
              <w:spacing w:before="60"/>
              <w:rPr>
                <w:rFonts w:cs="Times New Roman"/>
                <w:b/>
                <w:szCs w:val="24"/>
              </w:rPr>
            </w:pPr>
            <w:r w:rsidRPr="005C480E">
              <w:rPr>
                <w:rFonts w:cs="Times New Roman"/>
                <w:b/>
                <w:szCs w:val="24"/>
              </w:rPr>
              <w:t>Blok</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5C480E" w:rsidRDefault="00024ED6" w:rsidP="00C14965">
            <w:pPr>
              <w:spacing w:before="60"/>
              <w:rPr>
                <w:rFonts w:cs="Times New Roman"/>
                <w:b/>
                <w:szCs w:val="24"/>
              </w:rPr>
            </w:pPr>
            <w:r w:rsidRPr="005C480E">
              <w:rPr>
                <w:rFonts w:cs="Times New Roman"/>
                <w:b/>
                <w:szCs w:val="24"/>
              </w:rPr>
              <w:t>Okruh</w:t>
            </w:r>
          </w:p>
        </w:tc>
        <w:tc>
          <w:tcPr>
            <w:tcW w:w="7054"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024ED6" w:rsidRPr="005C480E" w:rsidRDefault="00024ED6" w:rsidP="00C14965">
            <w:pPr>
              <w:spacing w:before="60"/>
              <w:rPr>
                <w:rFonts w:cs="Times New Roman"/>
                <w:b/>
                <w:szCs w:val="24"/>
              </w:rPr>
            </w:pPr>
            <w:r w:rsidRPr="005C480E">
              <w:rPr>
                <w:rFonts w:cs="Times New Roman"/>
                <w:b/>
                <w:szCs w:val="24"/>
              </w:rPr>
              <w:t>Název</w:t>
            </w:r>
          </w:p>
        </w:tc>
      </w:tr>
      <w:tr w:rsidR="0001421C" w:rsidRPr="0001421C" w:rsidTr="00C14965">
        <w:tc>
          <w:tcPr>
            <w:tcW w:w="1008" w:type="dxa"/>
            <w:vMerge w:val="restart"/>
            <w:tcBorders>
              <w:top w:val="single" w:sz="8" w:space="0" w:color="7F7F7F" w:themeColor="text1" w:themeTint="80"/>
            </w:tcBorders>
          </w:tcPr>
          <w:p w:rsidR="00024ED6" w:rsidRPr="005C480E" w:rsidRDefault="00024ED6" w:rsidP="00C14965">
            <w:pPr>
              <w:rPr>
                <w:rFonts w:cs="Times New Roman"/>
                <w:szCs w:val="24"/>
              </w:rPr>
            </w:pPr>
            <w:r w:rsidRPr="005C480E">
              <w:rPr>
                <w:rFonts w:cs="Times New Roman"/>
                <w:szCs w:val="24"/>
              </w:rPr>
              <w:t>101</w:t>
            </w:r>
          </w:p>
        </w:tc>
        <w:tc>
          <w:tcPr>
            <w:tcW w:w="1260" w:type="dxa"/>
            <w:tcBorders>
              <w:top w:val="single" w:sz="8" w:space="0" w:color="7F7F7F" w:themeColor="text1" w:themeTint="80"/>
            </w:tcBorders>
          </w:tcPr>
          <w:p w:rsidR="00024ED6" w:rsidRPr="005C480E" w:rsidRDefault="00024ED6" w:rsidP="00C14965">
            <w:pPr>
              <w:rPr>
                <w:rFonts w:cs="Times New Roman"/>
                <w:szCs w:val="24"/>
              </w:rPr>
            </w:pPr>
          </w:p>
        </w:tc>
        <w:tc>
          <w:tcPr>
            <w:tcW w:w="7054" w:type="dxa"/>
            <w:tcBorders>
              <w:top w:val="single" w:sz="8" w:space="0" w:color="7F7F7F" w:themeColor="text1" w:themeTint="80"/>
            </w:tcBorders>
          </w:tcPr>
          <w:p w:rsidR="00024ED6" w:rsidRPr="005C480E" w:rsidRDefault="00024ED6" w:rsidP="00C14965">
            <w:pPr>
              <w:rPr>
                <w:rFonts w:cs="Times New Roman"/>
                <w:szCs w:val="24"/>
              </w:rPr>
            </w:pPr>
            <w:r w:rsidRPr="005C480E">
              <w:rPr>
                <w:rFonts w:cs="Times New Roman"/>
                <w:szCs w:val="24"/>
              </w:rPr>
              <w:t>Daňové příjmy</w:t>
            </w:r>
          </w:p>
        </w:tc>
      </w:tr>
      <w:tr w:rsidR="0001421C" w:rsidRPr="0001421C" w:rsidTr="00C14965">
        <w:tc>
          <w:tcPr>
            <w:tcW w:w="1008" w:type="dxa"/>
            <w:vMerge/>
            <w:tcBorders>
              <w:bottom w:val="single" w:sz="8" w:space="0" w:color="7F7F7F" w:themeColor="text1" w:themeTint="80"/>
            </w:tcBorders>
          </w:tcPr>
          <w:p w:rsidR="00024ED6" w:rsidRPr="005C480E" w:rsidRDefault="00024ED6" w:rsidP="00C14965">
            <w:pPr>
              <w:rPr>
                <w:rFonts w:cs="Times New Roman"/>
                <w:szCs w:val="24"/>
              </w:rPr>
            </w:pPr>
          </w:p>
        </w:tc>
        <w:tc>
          <w:tcPr>
            <w:tcW w:w="1260" w:type="dxa"/>
            <w:tcBorders>
              <w:bottom w:val="single" w:sz="8" w:space="0" w:color="7F7F7F" w:themeColor="text1" w:themeTint="80"/>
            </w:tcBorders>
          </w:tcPr>
          <w:p w:rsidR="00024ED6" w:rsidRPr="005C480E" w:rsidRDefault="00024ED6" w:rsidP="00C14965">
            <w:pPr>
              <w:rPr>
                <w:rFonts w:cs="Times New Roman"/>
                <w:szCs w:val="24"/>
              </w:rPr>
            </w:pPr>
            <w:r w:rsidRPr="005C480E">
              <w:rPr>
                <w:rFonts w:cs="Times New Roman"/>
                <w:szCs w:val="24"/>
              </w:rPr>
              <w:t>101001</w:t>
            </w:r>
          </w:p>
        </w:tc>
        <w:tc>
          <w:tcPr>
            <w:tcW w:w="7054" w:type="dxa"/>
            <w:tcBorders>
              <w:bottom w:val="single" w:sz="8" w:space="0" w:color="7F7F7F" w:themeColor="text1" w:themeTint="80"/>
            </w:tcBorders>
          </w:tcPr>
          <w:p w:rsidR="00024ED6" w:rsidRPr="005C480E" w:rsidRDefault="00024ED6" w:rsidP="00C14965">
            <w:pPr>
              <w:rPr>
                <w:rFonts w:cs="Times New Roman"/>
                <w:szCs w:val="24"/>
              </w:rPr>
            </w:pPr>
            <w:r w:rsidRPr="005C480E">
              <w:rPr>
                <w:rFonts w:cs="Times New Roman"/>
                <w:szCs w:val="24"/>
              </w:rPr>
              <w:t>Daňové příjmy</w:t>
            </w:r>
          </w:p>
        </w:tc>
      </w:tr>
      <w:tr w:rsidR="0001421C" w:rsidRPr="0001421C" w:rsidTr="00C14965">
        <w:tc>
          <w:tcPr>
            <w:tcW w:w="1008" w:type="dxa"/>
            <w:vMerge w:val="restart"/>
            <w:tcBorders>
              <w:top w:val="single" w:sz="8" w:space="0" w:color="7F7F7F" w:themeColor="text1" w:themeTint="80"/>
              <w:bottom w:val="single" w:sz="4" w:space="0" w:color="7F7F7F" w:themeColor="text1" w:themeTint="80"/>
            </w:tcBorders>
          </w:tcPr>
          <w:p w:rsidR="00024ED6" w:rsidRPr="005C480E" w:rsidRDefault="00024ED6" w:rsidP="00C14965">
            <w:pPr>
              <w:rPr>
                <w:rFonts w:cs="Times New Roman"/>
                <w:szCs w:val="24"/>
              </w:rPr>
            </w:pPr>
            <w:r w:rsidRPr="005C480E">
              <w:rPr>
                <w:rFonts w:cs="Times New Roman"/>
                <w:szCs w:val="24"/>
              </w:rPr>
              <w:t>103</w:t>
            </w:r>
          </w:p>
        </w:tc>
        <w:tc>
          <w:tcPr>
            <w:tcW w:w="1260" w:type="dxa"/>
            <w:tcBorders>
              <w:top w:val="single" w:sz="8" w:space="0" w:color="7F7F7F" w:themeColor="text1" w:themeTint="80"/>
              <w:bottom w:val="single" w:sz="4" w:space="0" w:color="7F7F7F" w:themeColor="text1" w:themeTint="80"/>
            </w:tcBorders>
          </w:tcPr>
          <w:p w:rsidR="00024ED6" w:rsidRPr="005C480E" w:rsidRDefault="00024ED6" w:rsidP="00C14965">
            <w:pPr>
              <w:rPr>
                <w:rFonts w:cs="Times New Roman"/>
                <w:szCs w:val="24"/>
              </w:rPr>
            </w:pPr>
          </w:p>
        </w:tc>
        <w:tc>
          <w:tcPr>
            <w:tcW w:w="7054" w:type="dxa"/>
            <w:tcBorders>
              <w:top w:val="single" w:sz="8" w:space="0" w:color="7F7F7F" w:themeColor="text1" w:themeTint="80"/>
              <w:bottom w:val="single" w:sz="4" w:space="0" w:color="7F7F7F" w:themeColor="text1" w:themeTint="80"/>
            </w:tcBorders>
          </w:tcPr>
          <w:p w:rsidR="00024ED6" w:rsidRPr="005C480E" w:rsidRDefault="00024ED6" w:rsidP="00C14965">
            <w:pPr>
              <w:rPr>
                <w:rFonts w:cs="Times New Roman"/>
                <w:szCs w:val="24"/>
              </w:rPr>
            </w:pPr>
            <w:r w:rsidRPr="005C480E">
              <w:rPr>
                <w:rFonts w:cs="Times New Roman"/>
                <w:szCs w:val="24"/>
              </w:rPr>
              <w:t>Nedaňové příjmy, kapitálové příjmy a přijaté transfery celkem</w:t>
            </w:r>
          </w:p>
        </w:tc>
      </w:tr>
      <w:tr w:rsidR="0001421C" w:rsidRPr="0001421C" w:rsidTr="00C14965">
        <w:tc>
          <w:tcPr>
            <w:tcW w:w="1008" w:type="dxa"/>
            <w:vMerge/>
            <w:tcBorders>
              <w:top w:val="single" w:sz="4" w:space="0" w:color="7F7F7F" w:themeColor="text1" w:themeTint="80"/>
            </w:tcBorders>
          </w:tcPr>
          <w:p w:rsidR="00024ED6" w:rsidRPr="005C480E" w:rsidRDefault="00024ED6" w:rsidP="00C14965">
            <w:pPr>
              <w:rPr>
                <w:rFonts w:cs="Times New Roman"/>
                <w:szCs w:val="24"/>
              </w:rPr>
            </w:pPr>
          </w:p>
        </w:tc>
        <w:tc>
          <w:tcPr>
            <w:tcW w:w="1260" w:type="dxa"/>
            <w:tcBorders>
              <w:top w:val="single" w:sz="4" w:space="0" w:color="7F7F7F" w:themeColor="text1" w:themeTint="80"/>
            </w:tcBorders>
          </w:tcPr>
          <w:p w:rsidR="00024ED6" w:rsidRPr="005C480E" w:rsidRDefault="00024ED6" w:rsidP="00C14965">
            <w:pPr>
              <w:rPr>
                <w:rFonts w:cs="Times New Roman"/>
                <w:szCs w:val="24"/>
              </w:rPr>
            </w:pPr>
            <w:r w:rsidRPr="005C480E">
              <w:rPr>
                <w:rFonts w:cs="Times New Roman"/>
                <w:szCs w:val="24"/>
              </w:rPr>
              <w:t>103001</w:t>
            </w:r>
          </w:p>
        </w:tc>
        <w:tc>
          <w:tcPr>
            <w:tcW w:w="7054" w:type="dxa"/>
            <w:tcBorders>
              <w:top w:val="single" w:sz="4" w:space="0" w:color="7F7F7F" w:themeColor="text1" w:themeTint="80"/>
            </w:tcBorders>
          </w:tcPr>
          <w:p w:rsidR="00024ED6" w:rsidRPr="005C480E" w:rsidRDefault="00024ED6" w:rsidP="00C14965">
            <w:pPr>
              <w:rPr>
                <w:rFonts w:cs="Times New Roman"/>
                <w:szCs w:val="24"/>
              </w:rPr>
            </w:pPr>
            <w:r w:rsidRPr="005C480E">
              <w:rPr>
                <w:rFonts w:cs="Times New Roman"/>
                <w:szCs w:val="24"/>
              </w:rPr>
              <w:t>Příjmy z rozpočtu Evropské unie bez SPZ</w:t>
            </w:r>
          </w:p>
        </w:tc>
      </w:tr>
      <w:tr w:rsidR="0001421C" w:rsidRPr="0001421C" w:rsidTr="00C14965">
        <w:trPr>
          <w:trHeight w:val="215"/>
        </w:trPr>
        <w:tc>
          <w:tcPr>
            <w:tcW w:w="1008" w:type="dxa"/>
            <w:vMerge/>
          </w:tcPr>
          <w:p w:rsidR="00024ED6" w:rsidRPr="005C480E" w:rsidRDefault="00024ED6" w:rsidP="00C14965">
            <w:pPr>
              <w:rPr>
                <w:rFonts w:cs="Times New Roman"/>
                <w:szCs w:val="24"/>
              </w:rPr>
            </w:pPr>
          </w:p>
        </w:tc>
        <w:tc>
          <w:tcPr>
            <w:tcW w:w="1260" w:type="dxa"/>
          </w:tcPr>
          <w:p w:rsidR="00024ED6" w:rsidRPr="005C480E" w:rsidRDefault="00024ED6" w:rsidP="00C14965">
            <w:pPr>
              <w:rPr>
                <w:rFonts w:cs="Times New Roman"/>
                <w:szCs w:val="24"/>
              </w:rPr>
            </w:pPr>
            <w:r w:rsidRPr="005C480E">
              <w:rPr>
                <w:rFonts w:cs="Times New Roman"/>
                <w:szCs w:val="24"/>
              </w:rPr>
              <w:t>103003</w:t>
            </w:r>
          </w:p>
        </w:tc>
        <w:tc>
          <w:tcPr>
            <w:tcW w:w="7054" w:type="dxa"/>
          </w:tcPr>
          <w:p w:rsidR="00024ED6" w:rsidRPr="005C480E" w:rsidRDefault="00024ED6" w:rsidP="00C14965">
            <w:pPr>
              <w:rPr>
                <w:rFonts w:cs="Times New Roman"/>
                <w:szCs w:val="24"/>
              </w:rPr>
            </w:pPr>
            <w:r w:rsidRPr="005C480E">
              <w:rPr>
                <w:rFonts w:cs="Times New Roman"/>
                <w:szCs w:val="24"/>
              </w:rPr>
              <w:t>Příjmy z prostředků finančních mechanismů</w:t>
            </w:r>
          </w:p>
        </w:tc>
      </w:tr>
      <w:tr w:rsidR="0001421C" w:rsidRPr="0001421C" w:rsidTr="00C14965">
        <w:tc>
          <w:tcPr>
            <w:tcW w:w="1008" w:type="dxa"/>
            <w:vMerge/>
          </w:tcPr>
          <w:p w:rsidR="00024ED6" w:rsidRPr="005C480E" w:rsidRDefault="00024ED6" w:rsidP="00C14965">
            <w:pPr>
              <w:rPr>
                <w:rFonts w:cs="Times New Roman"/>
                <w:szCs w:val="24"/>
              </w:rPr>
            </w:pPr>
          </w:p>
        </w:tc>
        <w:tc>
          <w:tcPr>
            <w:tcW w:w="1260" w:type="dxa"/>
          </w:tcPr>
          <w:p w:rsidR="00024ED6" w:rsidRPr="005C480E" w:rsidRDefault="00024ED6" w:rsidP="00C14965">
            <w:pPr>
              <w:rPr>
                <w:rFonts w:cs="Times New Roman"/>
                <w:b/>
                <w:szCs w:val="24"/>
              </w:rPr>
            </w:pPr>
            <w:r w:rsidRPr="005C480E">
              <w:rPr>
                <w:rFonts w:cs="Times New Roman"/>
                <w:szCs w:val="24"/>
              </w:rPr>
              <w:t>103004</w:t>
            </w:r>
          </w:p>
        </w:tc>
        <w:tc>
          <w:tcPr>
            <w:tcW w:w="7054" w:type="dxa"/>
          </w:tcPr>
          <w:p w:rsidR="00024ED6" w:rsidRPr="005C480E" w:rsidRDefault="00024ED6" w:rsidP="00C14965">
            <w:pPr>
              <w:rPr>
                <w:rFonts w:cs="Times New Roman"/>
                <w:szCs w:val="24"/>
              </w:rPr>
            </w:pPr>
            <w:r w:rsidRPr="005C480E">
              <w:rPr>
                <w:rFonts w:cs="Times New Roman"/>
                <w:szCs w:val="24"/>
              </w:rPr>
              <w:t>Ostatní nedaňové příjmy, kapitálové příjmy a přijaté transfery celkem</w:t>
            </w:r>
          </w:p>
        </w:tc>
      </w:tr>
    </w:tbl>
    <w:p w:rsidR="005C480E" w:rsidRPr="00AB78C7" w:rsidRDefault="005C480E" w:rsidP="00AB78C7">
      <w:pPr>
        <w:pStyle w:val="Styl1"/>
      </w:pPr>
      <w:r w:rsidRPr="00AB78C7">
        <w:t>V rámci okruhu „Příjmy z prostředků finančních mechanismů“ nejsou pro rok 2019 rozpočtovány příjmy.</w:t>
      </w:r>
    </w:p>
    <w:p w:rsidR="00024ED6" w:rsidRPr="006C7E5B" w:rsidRDefault="00024ED6" w:rsidP="006C7E5B">
      <w:pPr>
        <w:pStyle w:val="Nadpis2"/>
        <w:numPr>
          <w:ilvl w:val="1"/>
          <w:numId w:val="7"/>
        </w:numPr>
      </w:pPr>
      <w:bookmarkStart w:id="7" w:name="_Toc274061123"/>
      <w:bookmarkStart w:id="8" w:name="_Toc462314384"/>
      <w:bookmarkStart w:id="9" w:name="_Toc489274090"/>
      <w:bookmarkStart w:id="10" w:name="_Toc526424683"/>
      <w:r w:rsidRPr="006C7E5B">
        <w:t>Specifické ukazatele – příjmy</w:t>
      </w:r>
      <w:bookmarkEnd w:id="7"/>
      <w:bookmarkEnd w:id="8"/>
      <w:bookmarkEnd w:id="9"/>
      <w:bookmarkEnd w:id="10"/>
    </w:p>
    <w:p w:rsidR="00D910C9" w:rsidRPr="00D910C9" w:rsidRDefault="00024ED6" w:rsidP="00D910C9">
      <w:pPr>
        <w:pStyle w:val="Titulek"/>
        <w:keepNext/>
      </w:pPr>
      <w:r w:rsidRPr="005C480E">
        <w:t xml:space="preserve">Tabulka č. </w:t>
      </w:r>
      <w:r w:rsidR="0001421C" w:rsidRPr="005C480E">
        <w:rPr>
          <w:noProof/>
        </w:rPr>
        <w:fldChar w:fldCharType="begin"/>
      </w:r>
      <w:r w:rsidR="0001421C" w:rsidRPr="005C480E">
        <w:rPr>
          <w:noProof/>
        </w:rPr>
        <w:instrText xml:space="preserve"> SEQ Tabulka \* ARABIC </w:instrText>
      </w:r>
      <w:r w:rsidR="0001421C" w:rsidRPr="005C480E">
        <w:rPr>
          <w:noProof/>
        </w:rPr>
        <w:fldChar w:fldCharType="separate"/>
      </w:r>
      <w:r w:rsidR="00AF5225">
        <w:rPr>
          <w:noProof/>
        </w:rPr>
        <w:t>2</w:t>
      </w:r>
      <w:r w:rsidR="0001421C" w:rsidRPr="005C480E">
        <w:rPr>
          <w:noProof/>
        </w:rPr>
        <w:fldChar w:fldCharType="end"/>
      </w:r>
      <w:r w:rsidRPr="005C480E">
        <w:t xml:space="preserve"> Specifické ukazatele – příjmy (v tis. Kč)</w:t>
      </w:r>
    </w:p>
    <w:tbl>
      <w:tblPr>
        <w:tblStyle w:val="Svtltabulkasmkou1"/>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7488"/>
        <w:gridCol w:w="1800"/>
      </w:tblGrid>
      <w:tr w:rsidR="0001421C" w:rsidRPr="0001421C" w:rsidTr="00C149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88" w:type="dxa"/>
            <w:tcBorders>
              <w:bottom w:val="single" w:sz="8" w:space="0" w:color="7F7F7F" w:themeColor="text1" w:themeTint="80"/>
            </w:tcBorders>
          </w:tcPr>
          <w:p w:rsidR="00024ED6" w:rsidRPr="005C480E" w:rsidRDefault="00024ED6" w:rsidP="00024ED6">
            <w:pPr>
              <w:numPr>
                <w:ilvl w:val="0"/>
                <w:numId w:val="6"/>
              </w:numPr>
              <w:tabs>
                <w:tab w:val="num" w:pos="360"/>
              </w:tabs>
              <w:spacing w:before="120"/>
              <w:ind w:left="357" w:hanging="357"/>
              <w:rPr>
                <w:rFonts w:cs="Times New Roman"/>
                <w:b w:val="0"/>
                <w:szCs w:val="24"/>
              </w:rPr>
            </w:pPr>
            <w:r w:rsidRPr="005C480E">
              <w:rPr>
                <w:rFonts w:cs="Times New Roman"/>
                <w:szCs w:val="24"/>
              </w:rPr>
              <w:t>Daňové příjmy</w:t>
            </w:r>
          </w:p>
        </w:tc>
        <w:tc>
          <w:tcPr>
            <w:tcW w:w="1800" w:type="dxa"/>
            <w:tcBorders>
              <w:bottom w:val="single" w:sz="8" w:space="0" w:color="7F7F7F" w:themeColor="text1" w:themeTint="80"/>
            </w:tcBorders>
          </w:tcPr>
          <w:p w:rsidR="00024ED6" w:rsidRPr="005C480E" w:rsidRDefault="005C480E" w:rsidP="00C14965">
            <w:pPr>
              <w:pStyle w:val="Nvod"/>
              <w:keepNext/>
              <w:tabs>
                <w:tab w:val="left" w:pos="1577"/>
              </w:tabs>
              <w:spacing w:before="160"/>
              <w:ind w:left="0" w:firstLine="0"/>
              <w:jc w:val="right"/>
              <w:cnfStyle w:val="100000000000" w:firstRow="1" w:lastRow="0" w:firstColumn="0" w:lastColumn="0" w:oddVBand="0" w:evenVBand="0" w:oddHBand="0" w:evenHBand="0" w:firstRowFirstColumn="0" w:firstRowLastColumn="0" w:lastRowFirstColumn="0" w:lastRowLastColumn="0"/>
              <w:rPr>
                <w:b w:val="0"/>
                <w:szCs w:val="24"/>
              </w:rPr>
            </w:pPr>
            <w:r>
              <w:rPr>
                <w:szCs w:val="24"/>
              </w:rPr>
              <w:t>17</w:t>
            </w:r>
            <w:r w:rsidR="00024ED6" w:rsidRPr="005C480E">
              <w:rPr>
                <w:szCs w:val="24"/>
              </w:rPr>
              <w:t xml:space="preserve">0 000     </w:t>
            </w:r>
          </w:p>
        </w:tc>
      </w:tr>
      <w:tr w:rsidR="0001421C" w:rsidRPr="0001421C" w:rsidTr="00C14965">
        <w:tc>
          <w:tcPr>
            <w:cnfStyle w:val="001000000000" w:firstRow="0" w:lastRow="0" w:firstColumn="1" w:lastColumn="0" w:oddVBand="0" w:evenVBand="0" w:oddHBand="0" w:evenHBand="0" w:firstRowFirstColumn="0" w:firstRowLastColumn="0" w:lastRowFirstColumn="0" w:lastRowLastColumn="0"/>
            <w:tcW w:w="7488" w:type="dxa"/>
            <w:tcBorders>
              <w:top w:val="single" w:sz="8" w:space="0" w:color="7F7F7F" w:themeColor="text1" w:themeTint="80"/>
              <w:bottom w:val="nil"/>
            </w:tcBorders>
          </w:tcPr>
          <w:p w:rsidR="00024ED6" w:rsidRPr="009275E0" w:rsidRDefault="00024ED6" w:rsidP="00024ED6">
            <w:pPr>
              <w:numPr>
                <w:ilvl w:val="0"/>
                <w:numId w:val="6"/>
              </w:numPr>
              <w:tabs>
                <w:tab w:val="num" w:pos="360"/>
              </w:tabs>
              <w:spacing w:before="120"/>
              <w:ind w:left="357" w:hanging="357"/>
              <w:rPr>
                <w:rFonts w:cs="Times New Roman"/>
                <w:b w:val="0"/>
                <w:szCs w:val="24"/>
              </w:rPr>
            </w:pPr>
            <w:r w:rsidRPr="009275E0">
              <w:rPr>
                <w:rFonts w:cs="Times New Roman"/>
                <w:szCs w:val="24"/>
              </w:rPr>
              <w:t xml:space="preserve">Nedaňové příjmy, kapitálové příjmy a přijaté transfery celkem </w:t>
            </w:r>
          </w:p>
        </w:tc>
        <w:tc>
          <w:tcPr>
            <w:tcW w:w="1800" w:type="dxa"/>
            <w:tcBorders>
              <w:top w:val="single" w:sz="8" w:space="0" w:color="7F7F7F" w:themeColor="text1" w:themeTint="80"/>
              <w:bottom w:val="nil"/>
            </w:tcBorders>
          </w:tcPr>
          <w:p w:rsidR="00024ED6" w:rsidRPr="009275E0" w:rsidRDefault="009275E0" w:rsidP="009275E0">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b/>
                <w:szCs w:val="24"/>
              </w:rPr>
            </w:pPr>
            <w:r w:rsidRPr="009275E0">
              <w:rPr>
                <w:b/>
                <w:szCs w:val="24"/>
              </w:rPr>
              <w:t>19 076 733</w:t>
            </w:r>
          </w:p>
        </w:tc>
      </w:tr>
      <w:tr w:rsidR="0001421C" w:rsidRPr="0001421C" w:rsidTr="00C14965">
        <w:tc>
          <w:tcPr>
            <w:cnfStyle w:val="001000000000" w:firstRow="0" w:lastRow="0" w:firstColumn="1" w:lastColumn="0" w:oddVBand="0" w:evenVBand="0" w:oddHBand="0" w:evenHBand="0" w:firstRowFirstColumn="0" w:firstRowLastColumn="0" w:lastRowFirstColumn="0" w:lastRowLastColumn="0"/>
            <w:tcW w:w="7488" w:type="dxa"/>
            <w:tcBorders>
              <w:top w:val="nil"/>
              <w:bottom w:val="nil"/>
            </w:tcBorders>
          </w:tcPr>
          <w:p w:rsidR="00024ED6" w:rsidRPr="009275E0" w:rsidRDefault="00024ED6" w:rsidP="00C14965">
            <w:pPr>
              <w:rPr>
                <w:rFonts w:cs="Times New Roman"/>
                <w:b w:val="0"/>
                <w:szCs w:val="24"/>
              </w:rPr>
            </w:pPr>
            <w:r w:rsidRPr="0001421C">
              <w:rPr>
                <w:rFonts w:cs="Times New Roman"/>
                <w:b w:val="0"/>
                <w:color w:val="FF0000"/>
                <w:szCs w:val="24"/>
              </w:rPr>
              <w:t xml:space="preserve">      </w:t>
            </w:r>
            <w:r w:rsidRPr="009275E0">
              <w:rPr>
                <w:rFonts w:cs="Times New Roman"/>
                <w:b w:val="0"/>
                <w:szCs w:val="24"/>
              </w:rPr>
              <w:t>v tom: příjmy z rozpočtu Evropské unie bez společné zemědělské</w:t>
            </w:r>
          </w:p>
          <w:p w:rsidR="00024ED6" w:rsidRPr="0001421C" w:rsidRDefault="00024ED6" w:rsidP="00C14965">
            <w:pPr>
              <w:rPr>
                <w:rFonts w:cs="Times New Roman"/>
                <w:b w:val="0"/>
                <w:color w:val="FF0000"/>
                <w:szCs w:val="24"/>
              </w:rPr>
            </w:pPr>
            <w:r w:rsidRPr="009275E0">
              <w:rPr>
                <w:rFonts w:cs="Times New Roman"/>
                <w:b w:val="0"/>
                <w:szCs w:val="24"/>
              </w:rPr>
              <w:t xml:space="preserve">                 politiky celkem</w:t>
            </w:r>
          </w:p>
        </w:tc>
        <w:tc>
          <w:tcPr>
            <w:tcW w:w="1800" w:type="dxa"/>
            <w:tcBorders>
              <w:top w:val="nil"/>
              <w:bottom w:val="nil"/>
            </w:tcBorders>
          </w:tcPr>
          <w:p w:rsidR="00024ED6" w:rsidRPr="0001421C" w:rsidRDefault="009275E0" w:rsidP="00C14965">
            <w:pPr>
              <w:pStyle w:val="Nvod"/>
              <w:keepNext/>
              <w:tabs>
                <w:tab w:val="left" w:pos="1577"/>
              </w:tabs>
              <w:spacing w:before="160"/>
              <w:ind w:left="0" w:firstLine="12"/>
              <w:jc w:val="right"/>
              <w:cnfStyle w:val="000000000000" w:firstRow="0" w:lastRow="0" w:firstColumn="0" w:lastColumn="0" w:oddVBand="0" w:evenVBand="0" w:oddHBand="0" w:evenHBand="0" w:firstRowFirstColumn="0" w:firstRowLastColumn="0" w:lastRowFirstColumn="0" w:lastRowLastColumn="0"/>
              <w:rPr>
                <w:color w:val="FF0000"/>
                <w:szCs w:val="24"/>
              </w:rPr>
            </w:pPr>
            <w:r w:rsidRPr="009275E0">
              <w:rPr>
                <w:szCs w:val="24"/>
              </w:rPr>
              <w:t>18 869 733</w:t>
            </w:r>
          </w:p>
        </w:tc>
      </w:tr>
      <w:tr w:rsidR="0001421C" w:rsidRPr="0001421C" w:rsidTr="00C14965">
        <w:tc>
          <w:tcPr>
            <w:cnfStyle w:val="001000000000" w:firstRow="0" w:lastRow="0" w:firstColumn="1" w:lastColumn="0" w:oddVBand="0" w:evenVBand="0" w:oddHBand="0" w:evenHBand="0" w:firstRowFirstColumn="0" w:firstRowLastColumn="0" w:lastRowFirstColumn="0" w:lastRowLastColumn="0"/>
            <w:tcW w:w="7488" w:type="dxa"/>
            <w:tcBorders>
              <w:top w:val="nil"/>
              <w:bottom w:val="single" w:sz="8" w:space="0" w:color="7F7F7F" w:themeColor="text1" w:themeTint="80"/>
            </w:tcBorders>
          </w:tcPr>
          <w:p w:rsidR="00024ED6" w:rsidRPr="0001421C" w:rsidRDefault="00024ED6" w:rsidP="00C14965">
            <w:pPr>
              <w:ind w:left="1014" w:hanging="1014"/>
              <w:rPr>
                <w:rFonts w:cs="Times New Roman"/>
                <w:b w:val="0"/>
                <w:color w:val="FF0000"/>
                <w:szCs w:val="24"/>
              </w:rPr>
            </w:pPr>
            <w:r w:rsidRPr="0001421C">
              <w:rPr>
                <w:rFonts w:cs="Times New Roman"/>
                <w:b w:val="0"/>
                <w:color w:val="FF0000"/>
                <w:szCs w:val="24"/>
              </w:rPr>
              <w:t xml:space="preserve">                 </w:t>
            </w:r>
            <w:r w:rsidRPr="009275E0">
              <w:rPr>
                <w:rFonts w:cs="Times New Roman"/>
                <w:b w:val="0"/>
                <w:szCs w:val="24"/>
              </w:rPr>
              <w:t>ostatní nedaňové příjmy, kapitálové příjmy a přijaté transfery celkem</w:t>
            </w:r>
          </w:p>
        </w:tc>
        <w:tc>
          <w:tcPr>
            <w:tcW w:w="1800" w:type="dxa"/>
            <w:tcBorders>
              <w:top w:val="nil"/>
              <w:bottom w:val="single" w:sz="8" w:space="0" w:color="7F7F7F" w:themeColor="text1" w:themeTint="80"/>
            </w:tcBorders>
          </w:tcPr>
          <w:p w:rsidR="00024ED6" w:rsidRPr="0001421C" w:rsidRDefault="009275E0" w:rsidP="00C14965">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color w:val="FF0000"/>
                <w:szCs w:val="24"/>
              </w:rPr>
            </w:pPr>
            <w:r w:rsidRPr="009275E0">
              <w:rPr>
                <w:szCs w:val="24"/>
              </w:rPr>
              <w:t>207 000</w:t>
            </w:r>
          </w:p>
        </w:tc>
      </w:tr>
    </w:tbl>
    <w:p w:rsidR="00024ED6" w:rsidRPr="009275E0" w:rsidRDefault="00024ED6" w:rsidP="006C7E5B">
      <w:pPr>
        <w:pStyle w:val="Nadpis2"/>
      </w:pPr>
      <w:bookmarkStart w:id="11" w:name="_Toc274061124"/>
      <w:bookmarkStart w:id="12" w:name="_Toc462314385"/>
      <w:bookmarkStart w:id="13" w:name="_Toc489274091"/>
      <w:bookmarkStart w:id="14" w:name="_Toc526424684"/>
      <w:r w:rsidRPr="006C7E5B">
        <w:t>Druhové</w:t>
      </w:r>
      <w:r w:rsidRPr="009275E0">
        <w:t xml:space="preserve"> členění příjmů</w:t>
      </w:r>
      <w:bookmarkEnd w:id="11"/>
      <w:bookmarkEnd w:id="12"/>
      <w:bookmarkEnd w:id="13"/>
      <w:bookmarkEnd w:id="14"/>
    </w:p>
    <w:p w:rsidR="00024ED6" w:rsidRPr="009275E0" w:rsidRDefault="00024ED6" w:rsidP="00AB78C7">
      <w:pPr>
        <w:pStyle w:val="Styl1"/>
      </w:pPr>
      <w:r w:rsidRPr="009275E0">
        <w:t>Příjmy celkem zahrnují v základním druhovém rozdělení daňové příjmy, nedaňové příjmy, neinvestiční a investiční přijaté transfery v členění:</w:t>
      </w:r>
    </w:p>
    <w:tbl>
      <w:tblPr>
        <w:tblW w:w="9250" w:type="dxa"/>
        <w:tblCellMar>
          <w:left w:w="70" w:type="dxa"/>
          <w:right w:w="70" w:type="dxa"/>
        </w:tblCellMar>
        <w:tblLook w:val="0000" w:firstRow="0" w:lastRow="0" w:firstColumn="0" w:lastColumn="0" w:noHBand="0" w:noVBand="0"/>
      </w:tblPr>
      <w:tblGrid>
        <w:gridCol w:w="7270"/>
        <w:gridCol w:w="1980"/>
      </w:tblGrid>
      <w:tr w:rsidR="00DB4FBF" w:rsidRPr="009275E0" w:rsidTr="00C14965">
        <w:tc>
          <w:tcPr>
            <w:tcW w:w="7270" w:type="dxa"/>
          </w:tcPr>
          <w:p w:rsidR="00024ED6" w:rsidRPr="009275E0" w:rsidRDefault="00024ED6" w:rsidP="00B27B26">
            <w:pPr>
              <w:numPr>
                <w:ilvl w:val="0"/>
                <w:numId w:val="4"/>
              </w:numPr>
              <w:tabs>
                <w:tab w:val="num" w:pos="360"/>
              </w:tabs>
              <w:spacing w:before="120" w:line="240" w:lineRule="auto"/>
              <w:ind w:left="357" w:hanging="357"/>
              <w:rPr>
                <w:rFonts w:cs="Times New Roman"/>
                <w:b/>
                <w:szCs w:val="24"/>
              </w:rPr>
            </w:pPr>
            <w:r w:rsidRPr="009275E0">
              <w:rPr>
                <w:rFonts w:cs="Times New Roman"/>
                <w:b/>
                <w:szCs w:val="24"/>
              </w:rPr>
              <w:t>Daně a poplatky z vybraných činností a služeb</w:t>
            </w:r>
          </w:p>
        </w:tc>
        <w:tc>
          <w:tcPr>
            <w:tcW w:w="1980" w:type="dxa"/>
          </w:tcPr>
          <w:p w:rsidR="00024ED6" w:rsidRPr="009275E0" w:rsidRDefault="009275E0" w:rsidP="00B27B26">
            <w:pPr>
              <w:pStyle w:val="xl54"/>
              <w:pBdr>
                <w:left w:val="none" w:sz="0" w:space="0" w:color="auto"/>
                <w:right w:val="none" w:sz="0" w:space="0" w:color="auto"/>
              </w:pBdr>
              <w:spacing w:before="120" w:beforeAutospacing="0" w:after="0" w:afterAutospacing="0"/>
              <w:rPr>
                <w:b/>
              </w:rPr>
            </w:pPr>
            <w:r w:rsidRPr="009275E0">
              <w:rPr>
                <w:b/>
              </w:rPr>
              <w:t>170</w:t>
            </w:r>
            <w:r w:rsidR="00024ED6" w:rsidRPr="009275E0">
              <w:rPr>
                <w:b/>
              </w:rPr>
              <w:t> 000 tis. Kč</w:t>
            </w:r>
          </w:p>
        </w:tc>
      </w:tr>
      <w:tr w:rsidR="00DB4FBF" w:rsidRPr="009275E0" w:rsidTr="00C14965">
        <w:tc>
          <w:tcPr>
            <w:tcW w:w="7270" w:type="dxa"/>
          </w:tcPr>
          <w:p w:rsidR="00024ED6" w:rsidRPr="009275E0" w:rsidRDefault="00024ED6" w:rsidP="00C14965">
            <w:pPr>
              <w:spacing w:line="240" w:lineRule="auto"/>
              <w:rPr>
                <w:rFonts w:cs="Times New Roman"/>
                <w:szCs w:val="24"/>
              </w:rPr>
            </w:pPr>
            <w:r w:rsidRPr="009275E0">
              <w:rPr>
                <w:rFonts w:cs="Times New Roman"/>
                <w:szCs w:val="24"/>
              </w:rPr>
              <w:t xml:space="preserve">      v tom:</w:t>
            </w:r>
          </w:p>
        </w:tc>
        <w:tc>
          <w:tcPr>
            <w:tcW w:w="1980" w:type="dxa"/>
          </w:tcPr>
          <w:p w:rsidR="00024ED6" w:rsidRPr="009275E0" w:rsidRDefault="00024ED6" w:rsidP="00C14965">
            <w:pPr>
              <w:pStyle w:val="xl54"/>
              <w:pBdr>
                <w:left w:val="none" w:sz="0" w:space="0" w:color="auto"/>
                <w:right w:val="none" w:sz="0" w:space="0" w:color="auto"/>
              </w:pBdr>
              <w:spacing w:before="0" w:beforeAutospacing="0" w:after="0" w:afterAutospacing="0"/>
              <w:rPr>
                <w:b/>
              </w:rPr>
            </w:pPr>
          </w:p>
        </w:tc>
      </w:tr>
      <w:tr w:rsidR="0001421C" w:rsidRPr="0001421C" w:rsidTr="00C14965">
        <w:tc>
          <w:tcPr>
            <w:tcW w:w="7270" w:type="dxa"/>
          </w:tcPr>
          <w:p w:rsidR="00024ED6" w:rsidRPr="009275E0" w:rsidRDefault="00024ED6" w:rsidP="00C14965">
            <w:pPr>
              <w:spacing w:line="240" w:lineRule="auto"/>
              <w:rPr>
                <w:rFonts w:cs="Times New Roman"/>
                <w:szCs w:val="24"/>
              </w:rPr>
            </w:pPr>
            <w:r w:rsidRPr="009275E0">
              <w:rPr>
                <w:rFonts w:cs="Times New Roman"/>
                <w:szCs w:val="24"/>
              </w:rPr>
              <w:t xml:space="preserve">      - Správní poplatky</w:t>
            </w:r>
          </w:p>
        </w:tc>
        <w:tc>
          <w:tcPr>
            <w:tcW w:w="1980" w:type="dxa"/>
          </w:tcPr>
          <w:p w:rsidR="00024ED6" w:rsidRPr="009275E0" w:rsidRDefault="009275E0" w:rsidP="00C14965">
            <w:pPr>
              <w:pStyle w:val="xl54"/>
              <w:pBdr>
                <w:left w:val="none" w:sz="0" w:space="0" w:color="auto"/>
                <w:right w:val="none" w:sz="0" w:space="0" w:color="auto"/>
              </w:pBdr>
              <w:spacing w:before="0" w:beforeAutospacing="0" w:after="0" w:afterAutospacing="0"/>
            </w:pPr>
            <w:r w:rsidRPr="009275E0">
              <w:t>170</w:t>
            </w:r>
            <w:r w:rsidR="00024ED6" w:rsidRPr="009275E0">
              <w:t> 000 tis. Kč</w:t>
            </w:r>
          </w:p>
        </w:tc>
      </w:tr>
      <w:tr w:rsidR="0001421C" w:rsidRPr="0001421C" w:rsidTr="00B27B26">
        <w:trPr>
          <w:trHeight w:val="600"/>
        </w:trPr>
        <w:tc>
          <w:tcPr>
            <w:tcW w:w="7270" w:type="dxa"/>
            <w:vAlign w:val="center"/>
          </w:tcPr>
          <w:p w:rsidR="00024ED6" w:rsidRPr="00E074C6" w:rsidRDefault="00024ED6" w:rsidP="00B27B26">
            <w:pPr>
              <w:numPr>
                <w:ilvl w:val="0"/>
                <w:numId w:val="4"/>
              </w:numPr>
              <w:tabs>
                <w:tab w:val="num" w:pos="360"/>
              </w:tabs>
              <w:spacing w:before="120" w:line="240" w:lineRule="auto"/>
              <w:ind w:left="357" w:hanging="357"/>
              <w:jc w:val="left"/>
              <w:rPr>
                <w:rFonts w:cs="Times New Roman"/>
                <w:b/>
                <w:szCs w:val="24"/>
              </w:rPr>
            </w:pPr>
            <w:r w:rsidRPr="00E074C6">
              <w:rPr>
                <w:rFonts w:cs="Times New Roman"/>
                <w:b/>
                <w:szCs w:val="24"/>
              </w:rPr>
              <w:t>Příjmy z vlastní činnosti a odvody přebytků organizací s přímým vztahem</w:t>
            </w:r>
          </w:p>
        </w:tc>
        <w:tc>
          <w:tcPr>
            <w:tcW w:w="1980" w:type="dxa"/>
          </w:tcPr>
          <w:p w:rsidR="00024ED6" w:rsidRPr="0001421C" w:rsidRDefault="00E074C6" w:rsidP="00E074C6">
            <w:pPr>
              <w:pStyle w:val="xl54"/>
              <w:pBdr>
                <w:left w:val="none" w:sz="0" w:space="0" w:color="auto"/>
                <w:right w:val="none" w:sz="0" w:space="0" w:color="auto"/>
              </w:pBdr>
              <w:spacing w:before="120" w:beforeAutospacing="0" w:after="0" w:afterAutospacing="0"/>
              <w:rPr>
                <w:b/>
                <w:color w:val="FF0000"/>
              </w:rPr>
            </w:pPr>
            <w:r w:rsidRPr="00E074C6">
              <w:rPr>
                <w:b/>
              </w:rPr>
              <w:t>205</w:t>
            </w:r>
            <w:r w:rsidR="00024ED6" w:rsidRPr="00E074C6">
              <w:rPr>
                <w:b/>
              </w:rPr>
              <w:t xml:space="preserve"> </w:t>
            </w:r>
            <w:r w:rsidRPr="00E074C6">
              <w:rPr>
                <w:b/>
              </w:rPr>
              <w:t>862</w:t>
            </w:r>
            <w:r w:rsidR="00024ED6" w:rsidRPr="00E074C6">
              <w:rPr>
                <w:b/>
              </w:rPr>
              <w:t xml:space="preserve"> tis. Kč</w:t>
            </w:r>
          </w:p>
        </w:tc>
      </w:tr>
      <w:tr w:rsidR="0001421C" w:rsidRPr="0001421C" w:rsidTr="00C14965">
        <w:tc>
          <w:tcPr>
            <w:tcW w:w="7270" w:type="dxa"/>
          </w:tcPr>
          <w:p w:rsidR="00024ED6" w:rsidRPr="00E074C6" w:rsidRDefault="00024ED6" w:rsidP="00C14965">
            <w:pPr>
              <w:spacing w:line="240" w:lineRule="auto"/>
              <w:rPr>
                <w:rFonts w:cs="Times New Roman"/>
                <w:szCs w:val="24"/>
              </w:rPr>
            </w:pPr>
            <w:r w:rsidRPr="00E074C6">
              <w:rPr>
                <w:rFonts w:cs="Times New Roman"/>
                <w:szCs w:val="24"/>
              </w:rPr>
              <w:t xml:space="preserve">      v tom:</w:t>
            </w:r>
          </w:p>
        </w:tc>
        <w:tc>
          <w:tcPr>
            <w:tcW w:w="1980" w:type="dxa"/>
          </w:tcPr>
          <w:p w:rsidR="00024ED6" w:rsidRPr="0001421C" w:rsidRDefault="00024ED6" w:rsidP="00C14965">
            <w:pPr>
              <w:spacing w:line="240" w:lineRule="auto"/>
              <w:jc w:val="right"/>
              <w:rPr>
                <w:rFonts w:cs="Times New Roman"/>
                <w:color w:val="FF0000"/>
                <w:szCs w:val="24"/>
              </w:rPr>
            </w:pPr>
          </w:p>
        </w:tc>
      </w:tr>
      <w:tr w:rsidR="0001421C" w:rsidRPr="0001421C" w:rsidTr="00C14965">
        <w:tc>
          <w:tcPr>
            <w:tcW w:w="7270" w:type="dxa"/>
          </w:tcPr>
          <w:p w:rsidR="00024ED6" w:rsidRPr="00E074C6" w:rsidRDefault="00024ED6" w:rsidP="00C14965">
            <w:pPr>
              <w:spacing w:line="240" w:lineRule="auto"/>
              <w:rPr>
                <w:rFonts w:cs="Times New Roman"/>
                <w:szCs w:val="24"/>
              </w:rPr>
            </w:pPr>
            <w:r w:rsidRPr="00E074C6">
              <w:rPr>
                <w:rFonts w:cs="Times New Roman"/>
                <w:szCs w:val="24"/>
              </w:rPr>
              <w:t xml:space="preserve">      - Příjmy z vlastní činnosti</w:t>
            </w:r>
          </w:p>
        </w:tc>
        <w:tc>
          <w:tcPr>
            <w:tcW w:w="1980" w:type="dxa"/>
          </w:tcPr>
          <w:p w:rsidR="00024ED6" w:rsidRPr="00E074C6" w:rsidRDefault="00E074C6" w:rsidP="00C14965">
            <w:pPr>
              <w:spacing w:line="240" w:lineRule="auto"/>
              <w:jc w:val="right"/>
              <w:rPr>
                <w:rFonts w:cs="Times New Roman"/>
                <w:szCs w:val="24"/>
              </w:rPr>
            </w:pPr>
            <w:r w:rsidRPr="00E074C6">
              <w:rPr>
                <w:rFonts w:cs="Times New Roman"/>
                <w:szCs w:val="24"/>
              </w:rPr>
              <w:t>44 800</w:t>
            </w:r>
            <w:r w:rsidR="00024ED6" w:rsidRPr="00E074C6">
              <w:rPr>
                <w:rFonts w:cs="Times New Roman"/>
                <w:szCs w:val="24"/>
              </w:rPr>
              <w:t xml:space="preserve"> tis. Kč</w:t>
            </w:r>
          </w:p>
        </w:tc>
      </w:tr>
      <w:tr w:rsidR="0001421C" w:rsidRPr="0001421C" w:rsidTr="00C14965">
        <w:tc>
          <w:tcPr>
            <w:tcW w:w="7270" w:type="dxa"/>
          </w:tcPr>
          <w:p w:rsidR="00024ED6" w:rsidRPr="00E074C6" w:rsidRDefault="00024ED6" w:rsidP="00C14965">
            <w:pPr>
              <w:spacing w:line="240" w:lineRule="auto"/>
              <w:rPr>
                <w:rFonts w:cs="Times New Roman"/>
                <w:szCs w:val="24"/>
              </w:rPr>
            </w:pPr>
            <w:r w:rsidRPr="00E074C6">
              <w:rPr>
                <w:rFonts w:cs="Times New Roman"/>
                <w:szCs w:val="24"/>
              </w:rPr>
              <w:t xml:space="preserve">      - Odvody přebytků organizací s přímým vztahem</w:t>
            </w:r>
          </w:p>
        </w:tc>
        <w:tc>
          <w:tcPr>
            <w:tcW w:w="1980" w:type="dxa"/>
          </w:tcPr>
          <w:p w:rsidR="00024ED6" w:rsidRPr="00E074C6" w:rsidRDefault="00E074C6" w:rsidP="00C14965">
            <w:pPr>
              <w:spacing w:line="240" w:lineRule="auto"/>
              <w:jc w:val="right"/>
              <w:rPr>
                <w:rFonts w:cs="Times New Roman"/>
                <w:szCs w:val="24"/>
              </w:rPr>
            </w:pPr>
            <w:r w:rsidRPr="00E074C6">
              <w:rPr>
                <w:rFonts w:cs="Times New Roman"/>
                <w:szCs w:val="24"/>
              </w:rPr>
              <w:t>13</w:t>
            </w:r>
            <w:r w:rsidR="00024ED6" w:rsidRPr="00E074C6">
              <w:rPr>
                <w:rFonts w:cs="Times New Roman"/>
                <w:szCs w:val="24"/>
              </w:rPr>
              <w:t>0 000 tis. Kč</w:t>
            </w:r>
          </w:p>
        </w:tc>
      </w:tr>
      <w:tr w:rsidR="0001421C" w:rsidRPr="0001421C" w:rsidTr="00C14965">
        <w:tc>
          <w:tcPr>
            <w:tcW w:w="7270" w:type="dxa"/>
          </w:tcPr>
          <w:p w:rsidR="00024ED6" w:rsidRPr="00E074C6" w:rsidRDefault="00024ED6" w:rsidP="00C14965">
            <w:pPr>
              <w:spacing w:line="240" w:lineRule="auto"/>
              <w:rPr>
                <w:rFonts w:cs="Times New Roman"/>
                <w:szCs w:val="24"/>
              </w:rPr>
            </w:pPr>
            <w:r w:rsidRPr="00E074C6">
              <w:rPr>
                <w:rFonts w:cs="Times New Roman"/>
                <w:szCs w:val="24"/>
              </w:rPr>
              <w:t xml:space="preserve">      - Příjmy z pronájmu majetku</w:t>
            </w:r>
          </w:p>
        </w:tc>
        <w:tc>
          <w:tcPr>
            <w:tcW w:w="1980" w:type="dxa"/>
          </w:tcPr>
          <w:p w:rsidR="00024ED6" w:rsidRPr="00E074C6" w:rsidRDefault="00E074C6" w:rsidP="00C14965">
            <w:pPr>
              <w:spacing w:line="240" w:lineRule="auto"/>
              <w:jc w:val="right"/>
              <w:rPr>
                <w:rFonts w:cs="Times New Roman"/>
                <w:szCs w:val="24"/>
              </w:rPr>
            </w:pPr>
            <w:r w:rsidRPr="00E074C6">
              <w:rPr>
                <w:rFonts w:cs="Times New Roman"/>
                <w:szCs w:val="24"/>
              </w:rPr>
              <w:t>31 047</w:t>
            </w:r>
            <w:r w:rsidR="00024ED6" w:rsidRPr="00E074C6">
              <w:rPr>
                <w:rFonts w:cs="Times New Roman"/>
                <w:szCs w:val="24"/>
              </w:rPr>
              <w:t xml:space="preserve"> tis. Kč</w:t>
            </w:r>
          </w:p>
        </w:tc>
      </w:tr>
      <w:tr w:rsidR="0001421C" w:rsidRPr="0001421C" w:rsidTr="00C14965">
        <w:tc>
          <w:tcPr>
            <w:tcW w:w="7270" w:type="dxa"/>
          </w:tcPr>
          <w:p w:rsidR="00024ED6" w:rsidRPr="00E074C6" w:rsidRDefault="00024ED6" w:rsidP="00C14965">
            <w:pPr>
              <w:spacing w:line="240" w:lineRule="auto"/>
              <w:rPr>
                <w:rFonts w:cs="Times New Roman"/>
                <w:szCs w:val="24"/>
              </w:rPr>
            </w:pPr>
            <w:r w:rsidRPr="00E074C6">
              <w:rPr>
                <w:rFonts w:cs="Times New Roman"/>
                <w:szCs w:val="24"/>
              </w:rPr>
              <w:t xml:space="preserve">      - Výnosy z finančního majetku</w:t>
            </w:r>
          </w:p>
        </w:tc>
        <w:tc>
          <w:tcPr>
            <w:tcW w:w="1980" w:type="dxa"/>
          </w:tcPr>
          <w:p w:rsidR="00024ED6" w:rsidRPr="00E074C6" w:rsidRDefault="00024ED6" w:rsidP="00C14965">
            <w:pPr>
              <w:spacing w:line="240" w:lineRule="auto"/>
              <w:jc w:val="right"/>
              <w:rPr>
                <w:rFonts w:cs="Times New Roman"/>
                <w:szCs w:val="24"/>
              </w:rPr>
            </w:pPr>
            <w:r w:rsidRPr="00E074C6">
              <w:rPr>
                <w:rFonts w:cs="Times New Roman"/>
                <w:szCs w:val="24"/>
              </w:rPr>
              <w:t>15 tis. Kč</w:t>
            </w:r>
          </w:p>
        </w:tc>
      </w:tr>
      <w:tr w:rsidR="0001421C" w:rsidRPr="0001421C" w:rsidTr="00B27B26">
        <w:trPr>
          <w:trHeight w:val="389"/>
        </w:trPr>
        <w:tc>
          <w:tcPr>
            <w:tcW w:w="7270" w:type="dxa"/>
            <w:vAlign w:val="center"/>
          </w:tcPr>
          <w:p w:rsidR="00024ED6" w:rsidRPr="00E074C6" w:rsidRDefault="00024ED6" w:rsidP="00B27B26">
            <w:pPr>
              <w:numPr>
                <w:ilvl w:val="0"/>
                <w:numId w:val="4"/>
              </w:numPr>
              <w:tabs>
                <w:tab w:val="num" w:pos="360"/>
              </w:tabs>
              <w:spacing w:before="120" w:line="240" w:lineRule="auto"/>
              <w:ind w:left="646" w:hanging="720"/>
              <w:jc w:val="left"/>
              <w:rPr>
                <w:rFonts w:cs="Times New Roman"/>
                <w:b/>
                <w:szCs w:val="24"/>
              </w:rPr>
            </w:pPr>
            <w:r w:rsidRPr="00E074C6">
              <w:rPr>
                <w:rFonts w:cs="Times New Roman"/>
                <w:b/>
                <w:szCs w:val="24"/>
              </w:rPr>
              <w:t>Přijaté sankční platby a vratky transferů</w:t>
            </w:r>
          </w:p>
        </w:tc>
        <w:tc>
          <w:tcPr>
            <w:tcW w:w="1980" w:type="dxa"/>
            <w:vAlign w:val="center"/>
          </w:tcPr>
          <w:p w:rsidR="00024ED6" w:rsidRPr="00E074C6" w:rsidRDefault="00E074C6" w:rsidP="00B27B26">
            <w:pPr>
              <w:spacing w:before="120" w:line="240" w:lineRule="auto"/>
              <w:jc w:val="right"/>
              <w:rPr>
                <w:rFonts w:cs="Times New Roman"/>
                <w:b/>
                <w:szCs w:val="24"/>
              </w:rPr>
            </w:pPr>
            <w:r w:rsidRPr="00E074C6">
              <w:rPr>
                <w:rFonts w:cs="Times New Roman"/>
                <w:b/>
                <w:szCs w:val="24"/>
              </w:rPr>
              <w:t>1 068</w:t>
            </w:r>
            <w:r w:rsidR="00024ED6" w:rsidRPr="00E074C6">
              <w:rPr>
                <w:rFonts w:cs="Times New Roman"/>
                <w:b/>
                <w:szCs w:val="24"/>
              </w:rPr>
              <w:t xml:space="preserve"> tis. Kč</w:t>
            </w:r>
          </w:p>
        </w:tc>
      </w:tr>
      <w:tr w:rsidR="0001421C" w:rsidRPr="0001421C" w:rsidTr="00C14965">
        <w:tc>
          <w:tcPr>
            <w:tcW w:w="7270" w:type="dxa"/>
          </w:tcPr>
          <w:p w:rsidR="00024ED6" w:rsidRPr="00E074C6" w:rsidRDefault="00024ED6" w:rsidP="00C14965">
            <w:pPr>
              <w:spacing w:line="240" w:lineRule="auto"/>
              <w:rPr>
                <w:rFonts w:cs="Times New Roman"/>
                <w:szCs w:val="24"/>
              </w:rPr>
            </w:pPr>
            <w:r w:rsidRPr="00E074C6">
              <w:rPr>
                <w:rFonts w:cs="Times New Roman"/>
                <w:szCs w:val="24"/>
              </w:rPr>
              <w:t xml:space="preserve">      v tom:</w:t>
            </w:r>
          </w:p>
        </w:tc>
        <w:tc>
          <w:tcPr>
            <w:tcW w:w="1980" w:type="dxa"/>
          </w:tcPr>
          <w:p w:rsidR="00024ED6" w:rsidRPr="00E074C6" w:rsidRDefault="00024ED6" w:rsidP="00C14965">
            <w:pPr>
              <w:spacing w:line="240" w:lineRule="auto"/>
              <w:jc w:val="right"/>
              <w:rPr>
                <w:rFonts w:cs="Times New Roman"/>
                <w:b/>
                <w:szCs w:val="24"/>
              </w:rPr>
            </w:pPr>
          </w:p>
        </w:tc>
      </w:tr>
      <w:tr w:rsidR="0001421C" w:rsidRPr="0001421C" w:rsidTr="000339E1">
        <w:tc>
          <w:tcPr>
            <w:tcW w:w="7270" w:type="dxa"/>
          </w:tcPr>
          <w:p w:rsidR="00DB4FBF" w:rsidRPr="00E074C6" w:rsidRDefault="00024ED6" w:rsidP="00C14965">
            <w:pPr>
              <w:spacing w:line="240" w:lineRule="auto"/>
              <w:rPr>
                <w:rFonts w:cs="Times New Roman"/>
                <w:szCs w:val="24"/>
              </w:rPr>
            </w:pPr>
            <w:r w:rsidRPr="00E074C6">
              <w:rPr>
                <w:rFonts w:cs="Times New Roman"/>
                <w:szCs w:val="24"/>
              </w:rPr>
              <w:t xml:space="preserve">      - Přijaté sankční platby</w:t>
            </w:r>
          </w:p>
        </w:tc>
        <w:tc>
          <w:tcPr>
            <w:tcW w:w="1980" w:type="dxa"/>
          </w:tcPr>
          <w:p w:rsidR="00024ED6" w:rsidRPr="00E074C6" w:rsidRDefault="00E074C6" w:rsidP="000339E1">
            <w:pPr>
              <w:spacing w:line="240" w:lineRule="auto"/>
              <w:jc w:val="right"/>
              <w:rPr>
                <w:rFonts w:cs="Times New Roman"/>
                <w:szCs w:val="24"/>
              </w:rPr>
            </w:pPr>
            <w:r w:rsidRPr="00E074C6">
              <w:rPr>
                <w:rFonts w:cs="Times New Roman"/>
                <w:szCs w:val="24"/>
              </w:rPr>
              <w:t>1 068</w:t>
            </w:r>
            <w:r w:rsidR="00024ED6" w:rsidRPr="00E074C6">
              <w:rPr>
                <w:rFonts w:cs="Times New Roman"/>
                <w:szCs w:val="24"/>
              </w:rPr>
              <w:t xml:space="preserve"> tis. Kč</w:t>
            </w:r>
          </w:p>
        </w:tc>
      </w:tr>
      <w:tr w:rsidR="00B27B26" w:rsidRPr="00DB4FBF" w:rsidTr="00DB4FBF">
        <w:trPr>
          <w:trHeight w:val="464"/>
        </w:trPr>
        <w:tc>
          <w:tcPr>
            <w:tcW w:w="7270" w:type="dxa"/>
          </w:tcPr>
          <w:p w:rsidR="00B27B26" w:rsidRPr="00DB4FBF" w:rsidRDefault="00B27B26" w:rsidP="00B27B26">
            <w:pPr>
              <w:spacing w:before="120" w:line="240" w:lineRule="auto"/>
              <w:ind w:left="351"/>
              <w:rPr>
                <w:rFonts w:cs="Times New Roman"/>
                <w:b/>
                <w:szCs w:val="24"/>
              </w:rPr>
            </w:pPr>
          </w:p>
        </w:tc>
        <w:tc>
          <w:tcPr>
            <w:tcW w:w="1980" w:type="dxa"/>
          </w:tcPr>
          <w:p w:rsidR="00B27B26" w:rsidRPr="00DB4FBF" w:rsidRDefault="00B27B26" w:rsidP="00B27B26">
            <w:pPr>
              <w:spacing w:before="120" w:line="240" w:lineRule="auto"/>
              <w:ind w:left="884"/>
              <w:rPr>
                <w:rFonts w:cs="Times New Roman"/>
                <w:b/>
                <w:szCs w:val="24"/>
              </w:rPr>
            </w:pPr>
          </w:p>
        </w:tc>
      </w:tr>
      <w:tr w:rsidR="00B27B26" w:rsidRPr="00DB4FBF" w:rsidTr="00DB4FBF">
        <w:trPr>
          <w:trHeight w:val="464"/>
        </w:trPr>
        <w:tc>
          <w:tcPr>
            <w:tcW w:w="7270" w:type="dxa"/>
          </w:tcPr>
          <w:p w:rsidR="00B27B26" w:rsidRPr="00DB4FBF" w:rsidRDefault="00B27B26" w:rsidP="00B27B26">
            <w:pPr>
              <w:spacing w:before="120" w:line="240" w:lineRule="auto"/>
              <w:ind w:left="351"/>
              <w:rPr>
                <w:rFonts w:cs="Times New Roman"/>
                <w:b/>
                <w:szCs w:val="24"/>
              </w:rPr>
            </w:pPr>
          </w:p>
        </w:tc>
        <w:tc>
          <w:tcPr>
            <w:tcW w:w="1980" w:type="dxa"/>
          </w:tcPr>
          <w:p w:rsidR="00B27B26" w:rsidRPr="00DB4FBF" w:rsidRDefault="00B27B26" w:rsidP="00B27B26">
            <w:pPr>
              <w:spacing w:before="120" w:line="240" w:lineRule="auto"/>
              <w:ind w:left="884"/>
              <w:rPr>
                <w:rFonts w:cs="Times New Roman"/>
                <w:b/>
                <w:szCs w:val="24"/>
              </w:rPr>
            </w:pPr>
          </w:p>
        </w:tc>
      </w:tr>
      <w:tr w:rsidR="00DB4FBF" w:rsidRPr="00DB4FBF" w:rsidTr="00DB4FBF">
        <w:trPr>
          <w:trHeight w:val="464"/>
        </w:trPr>
        <w:tc>
          <w:tcPr>
            <w:tcW w:w="7270" w:type="dxa"/>
          </w:tcPr>
          <w:p w:rsidR="00DB4FBF" w:rsidRPr="00DB4FBF" w:rsidRDefault="00DB4FBF" w:rsidP="00B27B26">
            <w:pPr>
              <w:numPr>
                <w:ilvl w:val="0"/>
                <w:numId w:val="4"/>
              </w:numPr>
              <w:tabs>
                <w:tab w:val="clear" w:pos="644"/>
                <w:tab w:val="num" w:pos="351"/>
              </w:tabs>
              <w:spacing w:before="120" w:line="240" w:lineRule="auto"/>
              <w:ind w:left="351" w:hanging="425"/>
              <w:rPr>
                <w:rFonts w:cs="Times New Roman"/>
                <w:b/>
                <w:szCs w:val="24"/>
              </w:rPr>
            </w:pPr>
            <w:r w:rsidRPr="00DB4FBF">
              <w:rPr>
                <w:rFonts w:cs="Times New Roman"/>
                <w:b/>
                <w:szCs w:val="24"/>
              </w:rPr>
              <w:lastRenderedPageBreak/>
              <w:t>Příjmy z prodeje nekapitálového majetku a ostatní nedaňové příjmy</w:t>
            </w:r>
          </w:p>
        </w:tc>
        <w:tc>
          <w:tcPr>
            <w:tcW w:w="1980" w:type="dxa"/>
          </w:tcPr>
          <w:p w:rsidR="00DB4FBF" w:rsidRPr="00DB4FBF" w:rsidRDefault="00DB4FBF" w:rsidP="00B27B26">
            <w:pPr>
              <w:spacing w:before="120" w:line="240" w:lineRule="auto"/>
              <w:ind w:left="884"/>
              <w:rPr>
                <w:rFonts w:cs="Times New Roman"/>
                <w:b/>
                <w:szCs w:val="24"/>
              </w:rPr>
            </w:pPr>
            <w:r w:rsidRPr="00DB4FBF">
              <w:rPr>
                <w:rFonts w:cs="Times New Roman"/>
                <w:b/>
                <w:szCs w:val="24"/>
              </w:rPr>
              <w:t>70 tis. Kč</w:t>
            </w:r>
          </w:p>
        </w:tc>
      </w:tr>
      <w:tr w:rsidR="00DB4FBF" w:rsidRPr="0001421C" w:rsidTr="00B27B26">
        <w:trPr>
          <w:trHeight w:val="188"/>
        </w:trPr>
        <w:tc>
          <w:tcPr>
            <w:tcW w:w="7270" w:type="dxa"/>
          </w:tcPr>
          <w:p w:rsidR="00DB4FBF" w:rsidRPr="00DB4FBF" w:rsidRDefault="00DB4FBF" w:rsidP="00B27B26">
            <w:pPr>
              <w:spacing w:line="240" w:lineRule="auto"/>
              <w:ind w:left="352"/>
              <w:rPr>
                <w:rFonts w:cs="Times New Roman"/>
                <w:szCs w:val="24"/>
              </w:rPr>
            </w:pPr>
            <w:r w:rsidRPr="00DB4FBF">
              <w:rPr>
                <w:rFonts w:cs="Times New Roman"/>
                <w:szCs w:val="24"/>
              </w:rPr>
              <w:t xml:space="preserve">v tom: </w:t>
            </w:r>
          </w:p>
        </w:tc>
        <w:tc>
          <w:tcPr>
            <w:tcW w:w="1980" w:type="dxa"/>
          </w:tcPr>
          <w:p w:rsidR="00DB4FBF" w:rsidRPr="00DB4FBF" w:rsidRDefault="00DB4FBF" w:rsidP="00C14965">
            <w:pPr>
              <w:spacing w:line="240" w:lineRule="auto"/>
              <w:jc w:val="right"/>
              <w:rPr>
                <w:rFonts w:cs="Times New Roman"/>
                <w:szCs w:val="24"/>
              </w:rPr>
            </w:pPr>
          </w:p>
        </w:tc>
      </w:tr>
      <w:tr w:rsidR="00B27B26" w:rsidRPr="0001421C" w:rsidTr="00B27B26">
        <w:trPr>
          <w:trHeight w:val="192"/>
        </w:trPr>
        <w:tc>
          <w:tcPr>
            <w:tcW w:w="7270" w:type="dxa"/>
          </w:tcPr>
          <w:p w:rsidR="00B27B26" w:rsidRPr="00B27B26" w:rsidRDefault="00342CC6" w:rsidP="00342CC6">
            <w:pPr>
              <w:pStyle w:val="Odstavecseseznamem"/>
              <w:numPr>
                <w:ilvl w:val="0"/>
                <w:numId w:val="25"/>
              </w:numPr>
              <w:ind w:left="499" w:hanging="147"/>
            </w:pPr>
            <w:r>
              <w:t>Přijaté nekapitálové příspěvky</w:t>
            </w:r>
            <w:r w:rsidR="00B27B26" w:rsidRPr="00B27B26">
              <w:t xml:space="preserve"> a náhrady</w:t>
            </w:r>
          </w:p>
        </w:tc>
        <w:tc>
          <w:tcPr>
            <w:tcW w:w="1980" w:type="dxa"/>
          </w:tcPr>
          <w:p w:rsidR="00B27B26" w:rsidRPr="00DB4FBF" w:rsidRDefault="00B27B26" w:rsidP="00C14965">
            <w:pPr>
              <w:spacing w:line="240" w:lineRule="auto"/>
              <w:jc w:val="right"/>
              <w:rPr>
                <w:rFonts w:cs="Times New Roman"/>
                <w:szCs w:val="24"/>
              </w:rPr>
            </w:pPr>
            <w:r w:rsidRPr="00DB4FBF">
              <w:rPr>
                <w:rFonts w:cs="Times New Roman"/>
                <w:szCs w:val="24"/>
              </w:rPr>
              <w:t>70 tis. Kč</w:t>
            </w:r>
          </w:p>
        </w:tc>
      </w:tr>
      <w:tr w:rsidR="0001421C" w:rsidRPr="0001421C" w:rsidTr="00C14965">
        <w:tc>
          <w:tcPr>
            <w:tcW w:w="7270" w:type="dxa"/>
          </w:tcPr>
          <w:p w:rsidR="00024ED6" w:rsidRPr="00E074C6" w:rsidRDefault="00024ED6" w:rsidP="00B27B26">
            <w:pPr>
              <w:numPr>
                <w:ilvl w:val="0"/>
                <w:numId w:val="4"/>
              </w:numPr>
              <w:tabs>
                <w:tab w:val="num" w:pos="360"/>
              </w:tabs>
              <w:spacing w:before="120" w:line="240" w:lineRule="auto"/>
              <w:ind w:left="646" w:hanging="720"/>
              <w:rPr>
                <w:rFonts w:cs="Times New Roman"/>
                <w:b/>
                <w:szCs w:val="24"/>
              </w:rPr>
            </w:pPr>
            <w:r w:rsidRPr="00E074C6">
              <w:rPr>
                <w:rFonts w:cs="Times New Roman"/>
                <w:b/>
                <w:szCs w:val="24"/>
              </w:rPr>
              <w:t>Neinvestiční přijaté transfery</w:t>
            </w:r>
          </w:p>
        </w:tc>
        <w:tc>
          <w:tcPr>
            <w:tcW w:w="1980" w:type="dxa"/>
          </w:tcPr>
          <w:p w:rsidR="00024ED6" w:rsidRPr="0001421C" w:rsidRDefault="00E074C6" w:rsidP="00B27B26">
            <w:pPr>
              <w:spacing w:before="120" w:line="240" w:lineRule="auto"/>
              <w:jc w:val="right"/>
              <w:rPr>
                <w:rFonts w:cs="Times New Roman"/>
                <w:b/>
                <w:color w:val="FF0000"/>
                <w:szCs w:val="24"/>
              </w:rPr>
            </w:pPr>
            <w:r w:rsidRPr="00E074C6">
              <w:rPr>
                <w:rFonts w:cs="Times New Roman"/>
                <w:b/>
                <w:szCs w:val="24"/>
              </w:rPr>
              <w:t>142 490</w:t>
            </w:r>
            <w:r w:rsidR="00024ED6" w:rsidRPr="00E074C6">
              <w:rPr>
                <w:rFonts w:cs="Times New Roman"/>
                <w:b/>
                <w:szCs w:val="24"/>
              </w:rPr>
              <w:t xml:space="preserve"> tis. Kč</w:t>
            </w:r>
          </w:p>
        </w:tc>
      </w:tr>
      <w:tr w:rsidR="0001421C" w:rsidRPr="0001421C" w:rsidTr="00C14965">
        <w:tc>
          <w:tcPr>
            <w:tcW w:w="7270" w:type="dxa"/>
          </w:tcPr>
          <w:p w:rsidR="00024ED6" w:rsidRPr="00E074C6" w:rsidRDefault="00024ED6" w:rsidP="00C14965">
            <w:pPr>
              <w:spacing w:line="240" w:lineRule="auto"/>
              <w:ind w:firstLine="357"/>
              <w:rPr>
                <w:rFonts w:cs="Times New Roman"/>
                <w:szCs w:val="24"/>
              </w:rPr>
            </w:pPr>
            <w:r w:rsidRPr="00E074C6">
              <w:rPr>
                <w:rFonts w:cs="Times New Roman"/>
                <w:szCs w:val="24"/>
              </w:rPr>
              <w:t>v tom:</w:t>
            </w:r>
          </w:p>
        </w:tc>
        <w:tc>
          <w:tcPr>
            <w:tcW w:w="1980" w:type="dxa"/>
          </w:tcPr>
          <w:p w:rsidR="00024ED6" w:rsidRPr="0001421C" w:rsidRDefault="00024ED6" w:rsidP="00C14965">
            <w:pPr>
              <w:spacing w:line="240" w:lineRule="auto"/>
              <w:jc w:val="right"/>
              <w:rPr>
                <w:rFonts w:cs="Times New Roman"/>
                <w:color w:val="FF0000"/>
                <w:szCs w:val="24"/>
              </w:rPr>
            </w:pPr>
          </w:p>
        </w:tc>
      </w:tr>
      <w:tr w:rsidR="0001421C" w:rsidRPr="0001421C" w:rsidTr="00C14965">
        <w:tc>
          <w:tcPr>
            <w:tcW w:w="7270" w:type="dxa"/>
          </w:tcPr>
          <w:p w:rsidR="00024ED6" w:rsidRPr="00E074C6" w:rsidRDefault="00024ED6" w:rsidP="00024ED6">
            <w:pPr>
              <w:numPr>
                <w:ilvl w:val="0"/>
                <w:numId w:val="5"/>
              </w:numPr>
              <w:tabs>
                <w:tab w:val="clear" w:pos="720"/>
                <w:tab w:val="num" w:pos="540"/>
              </w:tabs>
              <w:spacing w:line="240" w:lineRule="auto"/>
              <w:ind w:left="714" w:hanging="357"/>
              <w:rPr>
                <w:rFonts w:cs="Times New Roman"/>
                <w:szCs w:val="24"/>
              </w:rPr>
            </w:pPr>
            <w:r w:rsidRPr="00E074C6">
              <w:rPr>
                <w:rFonts w:cs="Times New Roman"/>
                <w:szCs w:val="24"/>
              </w:rPr>
              <w:t>Neinvestiční převody z Národního fondu</w:t>
            </w:r>
          </w:p>
        </w:tc>
        <w:tc>
          <w:tcPr>
            <w:tcW w:w="1980" w:type="dxa"/>
          </w:tcPr>
          <w:p w:rsidR="00024ED6" w:rsidRPr="00E074C6" w:rsidRDefault="00E074C6" w:rsidP="00C14965">
            <w:pPr>
              <w:spacing w:line="240" w:lineRule="auto"/>
              <w:jc w:val="right"/>
              <w:rPr>
                <w:rFonts w:cs="Times New Roman"/>
                <w:szCs w:val="24"/>
              </w:rPr>
            </w:pPr>
            <w:r w:rsidRPr="00E074C6">
              <w:rPr>
                <w:rFonts w:cs="Times New Roman"/>
                <w:szCs w:val="24"/>
              </w:rPr>
              <w:t>112 355</w:t>
            </w:r>
            <w:r w:rsidR="00024ED6" w:rsidRPr="00E074C6">
              <w:rPr>
                <w:rFonts w:cs="Times New Roman"/>
                <w:szCs w:val="24"/>
              </w:rPr>
              <w:t xml:space="preserve"> tis. Kč</w:t>
            </w:r>
          </w:p>
        </w:tc>
      </w:tr>
      <w:tr w:rsidR="0001421C" w:rsidRPr="0001421C" w:rsidTr="00C14965">
        <w:tc>
          <w:tcPr>
            <w:tcW w:w="7270" w:type="dxa"/>
          </w:tcPr>
          <w:p w:rsidR="00024ED6" w:rsidRPr="00E074C6" w:rsidRDefault="00024ED6" w:rsidP="00024ED6">
            <w:pPr>
              <w:numPr>
                <w:ilvl w:val="0"/>
                <w:numId w:val="5"/>
              </w:numPr>
              <w:tabs>
                <w:tab w:val="clear" w:pos="720"/>
                <w:tab w:val="num" w:pos="540"/>
              </w:tabs>
              <w:spacing w:line="240" w:lineRule="auto"/>
              <w:ind w:left="714" w:hanging="357"/>
              <w:rPr>
                <w:rFonts w:cs="Times New Roman"/>
                <w:szCs w:val="24"/>
              </w:rPr>
            </w:pPr>
            <w:r w:rsidRPr="00E074C6">
              <w:rPr>
                <w:rFonts w:cs="Times New Roman"/>
                <w:szCs w:val="24"/>
              </w:rPr>
              <w:t>Neinvestiční transfery přijaté od Evropské unie</w:t>
            </w:r>
          </w:p>
        </w:tc>
        <w:tc>
          <w:tcPr>
            <w:tcW w:w="1980" w:type="dxa"/>
          </w:tcPr>
          <w:p w:rsidR="00024ED6" w:rsidRPr="00E074C6" w:rsidRDefault="00E074C6" w:rsidP="00C14965">
            <w:pPr>
              <w:spacing w:line="240" w:lineRule="auto"/>
              <w:jc w:val="right"/>
              <w:rPr>
                <w:rFonts w:cs="Times New Roman"/>
                <w:szCs w:val="24"/>
              </w:rPr>
            </w:pPr>
            <w:r w:rsidRPr="00E074C6">
              <w:rPr>
                <w:rFonts w:cs="Times New Roman"/>
                <w:szCs w:val="24"/>
              </w:rPr>
              <w:t>30 135</w:t>
            </w:r>
            <w:r w:rsidR="00024ED6" w:rsidRPr="00E074C6">
              <w:rPr>
                <w:rFonts w:cs="Times New Roman"/>
                <w:szCs w:val="24"/>
              </w:rPr>
              <w:t xml:space="preserve"> tis. Kč</w:t>
            </w:r>
          </w:p>
        </w:tc>
      </w:tr>
      <w:tr w:rsidR="0001421C" w:rsidRPr="0001421C" w:rsidTr="00C14965">
        <w:tc>
          <w:tcPr>
            <w:tcW w:w="7270" w:type="dxa"/>
          </w:tcPr>
          <w:p w:rsidR="00024ED6" w:rsidRPr="00E074C6" w:rsidRDefault="00024ED6" w:rsidP="00B27B26">
            <w:pPr>
              <w:numPr>
                <w:ilvl w:val="1"/>
                <w:numId w:val="5"/>
              </w:numPr>
              <w:tabs>
                <w:tab w:val="clear" w:pos="1440"/>
                <w:tab w:val="num" w:pos="360"/>
              </w:tabs>
              <w:spacing w:before="120" w:line="240" w:lineRule="auto"/>
              <w:ind w:hanging="1440"/>
              <w:rPr>
                <w:rFonts w:cs="Times New Roman"/>
                <w:b/>
                <w:szCs w:val="24"/>
              </w:rPr>
            </w:pPr>
            <w:r w:rsidRPr="00E074C6">
              <w:rPr>
                <w:rFonts w:cs="Times New Roman"/>
                <w:b/>
                <w:szCs w:val="24"/>
              </w:rPr>
              <w:t>Investiční přijaté transfery</w:t>
            </w:r>
          </w:p>
        </w:tc>
        <w:tc>
          <w:tcPr>
            <w:tcW w:w="1980" w:type="dxa"/>
          </w:tcPr>
          <w:p w:rsidR="00024ED6" w:rsidRPr="00E074C6" w:rsidRDefault="00E074C6" w:rsidP="00B27B26">
            <w:pPr>
              <w:spacing w:before="120" w:line="240" w:lineRule="auto"/>
              <w:jc w:val="right"/>
              <w:rPr>
                <w:rFonts w:cs="Times New Roman"/>
                <w:b/>
                <w:szCs w:val="24"/>
              </w:rPr>
            </w:pPr>
            <w:r w:rsidRPr="00E074C6">
              <w:rPr>
                <w:rFonts w:cs="Times New Roman"/>
                <w:b/>
                <w:szCs w:val="24"/>
              </w:rPr>
              <w:t>18 727 243</w:t>
            </w:r>
            <w:r w:rsidR="00024ED6" w:rsidRPr="00E074C6">
              <w:rPr>
                <w:rFonts w:cs="Times New Roman"/>
                <w:b/>
                <w:szCs w:val="24"/>
              </w:rPr>
              <w:t xml:space="preserve"> tis. Kč</w:t>
            </w:r>
          </w:p>
        </w:tc>
      </w:tr>
      <w:tr w:rsidR="0001421C" w:rsidRPr="0001421C" w:rsidTr="00C14965">
        <w:tc>
          <w:tcPr>
            <w:tcW w:w="7270" w:type="dxa"/>
          </w:tcPr>
          <w:p w:rsidR="00024ED6" w:rsidRPr="0001421C" w:rsidRDefault="00024ED6" w:rsidP="00C14965">
            <w:pPr>
              <w:spacing w:line="240" w:lineRule="auto"/>
              <w:ind w:left="357"/>
              <w:rPr>
                <w:rFonts w:cs="Times New Roman"/>
                <w:color w:val="FF0000"/>
                <w:szCs w:val="24"/>
              </w:rPr>
            </w:pPr>
            <w:r w:rsidRPr="00E074C6">
              <w:rPr>
                <w:rFonts w:cs="Times New Roman"/>
                <w:szCs w:val="24"/>
              </w:rPr>
              <w:t>v tom:</w:t>
            </w:r>
          </w:p>
        </w:tc>
        <w:tc>
          <w:tcPr>
            <w:tcW w:w="1980" w:type="dxa"/>
          </w:tcPr>
          <w:p w:rsidR="00024ED6" w:rsidRPr="0001421C" w:rsidRDefault="00024ED6" w:rsidP="00C14965">
            <w:pPr>
              <w:spacing w:line="240" w:lineRule="auto"/>
              <w:jc w:val="right"/>
              <w:rPr>
                <w:rFonts w:cs="Times New Roman"/>
                <w:color w:val="FF0000"/>
                <w:szCs w:val="24"/>
              </w:rPr>
            </w:pPr>
          </w:p>
        </w:tc>
      </w:tr>
      <w:tr w:rsidR="0001421C" w:rsidRPr="0001421C" w:rsidTr="00C14965">
        <w:tc>
          <w:tcPr>
            <w:tcW w:w="7270" w:type="dxa"/>
          </w:tcPr>
          <w:p w:rsidR="00024ED6" w:rsidRPr="00E074C6" w:rsidRDefault="00024ED6" w:rsidP="00024ED6">
            <w:pPr>
              <w:numPr>
                <w:ilvl w:val="0"/>
                <w:numId w:val="5"/>
              </w:numPr>
              <w:tabs>
                <w:tab w:val="clear" w:pos="720"/>
                <w:tab w:val="num" w:pos="540"/>
              </w:tabs>
              <w:spacing w:line="240" w:lineRule="auto"/>
              <w:ind w:left="714" w:hanging="357"/>
              <w:rPr>
                <w:rFonts w:cs="Times New Roman"/>
                <w:szCs w:val="24"/>
              </w:rPr>
            </w:pPr>
            <w:r w:rsidRPr="00E074C6">
              <w:rPr>
                <w:rFonts w:cs="Times New Roman"/>
                <w:szCs w:val="24"/>
              </w:rPr>
              <w:t xml:space="preserve">Investiční převody z Národního fondu </w:t>
            </w:r>
          </w:p>
        </w:tc>
        <w:tc>
          <w:tcPr>
            <w:tcW w:w="1980" w:type="dxa"/>
          </w:tcPr>
          <w:p w:rsidR="00024ED6" w:rsidRPr="00E074C6" w:rsidRDefault="00E074C6" w:rsidP="00C14965">
            <w:pPr>
              <w:spacing w:line="240" w:lineRule="auto"/>
              <w:jc w:val="right"/>
              <w:rPr>
                <w:rFonts w:cs="Times New Roman"/>
                <w:szCs w:val="24"/>
              </w:rPr>
            </w:pPr>
            <w:r w:rsidRPr="00E074C6">
              <w:rPr>
                <w:rFonts w:cs="Times New Roman"/>
                <w:szCs w:val="24"/>
              </w:rPr>
              <w:t>17 831 723</w:t>
            </w:r>
            <w:r w:rsidR="00024ED6" w:rsidRPr="00E074C6">
              <w:rPr>
                <w:rFonts w:cs="Times New Roman"/>
                <w:szCs w:val="24"/>
              </w:rPr>
              <w:t xml:space="preserve"> tis. Kč</w:t>
            </w:r>
          </w:p>
        </w:tc>
      </w:tr>
      <w:tr w:rsidR="0001421C" w:rsidRPr="0001421C" w:rsidTr="00C14965">
        <w:tc>
          <w:tcPr>
            <w:tcW w:w="7270" w:type="dxa"/>
          </w:tcPr>
          <w:p w:rsidR="00024ED6" w:rsidRPr="00E074C6" w:rsidRDefault="00024ED6" w:rsidP="00024ED6">
            <w:pPr>
              <w:numPr>
                <w:ilvl w:val="0"/>
                <w:numId w:val="5"/>
              </w:numPr>
              <w:tabs>
                <w:tab w:val="clear" w:pos="720"/>
                <w:tab w:val="num" w:pos="540"/>
              </w:tabs>
              <w:spacing w:line="240" w:lineRule="auto"/>
              <w:ind w:left="714" w:hanging="357"/>
              <w:rPr>
                <w:rFonts w:cs="Times New Roman"/>
                <w:szCs w:val="24"/>
              </w:rPr>
            </w:pPr>
            <w:r w:rsidRPr="00E074C6">
              <w:rPr>
                <w:rFonts w:cs="Times New Roman"/>
                <w:szCs w:val="24"/>
              </w:rPr>
              <w:t>Investiční transfery přijaté od Evropské unie</w:t>
            </w:r>
          </w:p>
        </w:tc>
        <w:tc>
          <w:tcPr>
            <w:tcW w:w="1980" w:type="dxa"/>
          </w:tcPr>
          <w:p w:rsidR="00024ED6" w:rsidRPr="00E074C6" w:rsidRDefault="00E074C6" w:rsidP="00C14965">
            <w:pPr>
              <w:spacing w:line="240" w:lineRule="auto"/>
              <w:jc w:val="right"/>
              <w:rPr>
                <w:rFonts w:cs="Times New Roman"/>
                <w:szCs w:val="24"/>
              </w:rPr>
            </w:pPr>
            <w:r w:rsidRPr="00E074C6">
              <w:rPr>
                <w:rFonts w:cs="Times New Roman"/>
                <w:szCs w:val="24"/>
              </w:rPr>
              <w:t>895 520</w:t>
            </w:r>
            <w:r w:rsidR="00024ED6" w:rsidRPr="00E074C6">
              <w:rPr>
                <w:rFonts w:cs="Times New Roman"/>
                <w:szCs w:val="24"/>
              </w:rPr>
              <w:t xml:space="preserve"> tis. Kč</w:t>
            </w:r>
          </w:p>
        </w:tc>
      </w:tr>
    </w:tbl>
    <w:p w:rsidR="00024ED6" w:rsidRPr="00DB4FBF" w:rsidRDefault="00024ED6" w:rsidP="00AB78C7">
      <w:pPr>
        <w:pStyle w:val="Styl1"/>
      </w:pPr>
      <w:r w:rsidRPr="00DB4FBF">
        <w:t>Navržený souhrnný ukazatel „Příjmy celkem“ tvoří daňové a nedaňové příjmy, neinvestiční a investiční přijaté transfery dále uvedených organizačních složek státu, a to:</w:t>
      </w:r>
    </w:p>
    <w:p w:rsidR="00024ED6" w:rsidRPr="001F16A2" w:rsidRDefault="00024ED6" w:rsidP="00024ED6">
      <w:pPr>
        <w:spacing w:before="240" w:after="120" w:line="240" w:lineRule="auto"/>
        <w:rPr>
          <w:rFonts w:cs="Times New Roman"/>
          <w:szCs w:val="24"/>
        </w:rPr>
      </w:pPr>
      <w:bookmarkStart w:id="15" w:name="_Toc368665059"/>
      <w:r w:rsidRPr="001F16A2">
        <w:rPr>
          <w:rFonts w:cs="Times New Roman"/>
          <w:b/>
          <w:szCs w:val="24"/>
        </w:rPr>
        <w:t>Ústřední orgán MD</w:t>
      </w:r>
      <w:r w:rsidRPr="001F16A2">
        <w:rPr>
          <w:rFonts w:cs="Times New Roman"/>
          <w:szCs w:val="24"/>
        </w:rPr>
        <w:t xml:space="preserve"> - příjmy </w:t>
      </w:r>
      <w:r w:rsidR="001F16A2" w:rsidRPr="001F16A2">
        <w:rPr>
          <w:rFonts w:cs="Times New Roman"/>
          <w:b/>
          <w:bCs/>
          <w:szCs w:val="24"/>
        </w:rPr>
        <w:t xml:space="preserve">celkem 19 173 091 </w:t>
      </w:r>
      <w:r w:rsidRPr="001F16A2">
        <w:rPr>
          <w:rFonts w:cs="Times New Roman"/>
          <w:b/>
          <w:bCs/>
          <w:szCs w:val="24"/>
        </w:rPr>
        <w:t>tis. Kč,</w:t>
      </w:r>
      <w:r w:rsidRPr="001F16A2">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1F16A2" w:rsidRPr="00386A41" w:rsidTr="00DE7DDE">
        <w:tc>
          <w:tcPr>
            <w:tcW w:w="7270" w:type="dxa"/>
          </w:tcPr>
          <w:p w:rsidR="001F16A2" w:rsidRPr="00670C99" w:rsidRDefault="001F16A2" w:rsidP="001F16A2">
            <w:pPr>
              <w:rPr>
                <w:rFonts w:cs="Times New Roman"/>
                <w:szCs w:val="24"/>
              </w:rPr>
            </w:pPr>
            <w:r w:rsidRPr="00670C99">
              <w:rPr>
                <w:rFonts w:cs="Times New Roman"/>
                <w:szCs w:val="24"/>
              </w:rPr>
              <w:t xml:space="preserve">      - Správní poplatky</w:t>
            </w:r>
          </w:p>
        </w:tc>
        <w:tc>
          <w:tcPr>
            <w:tcW w:w="1980" w:type="dxa"/>
          </w:tcPr>
          <w:p w:rsidR="001F16A2" w:rsidRPr="00670C99" w:rsidRDefault="001F16A2" w:rsidP="001F16A2">
            <w:pPr>
              <w:pStyle w:val="xl54"/>
              <w:pBdr>
                <w:left w:val="none" w:sz="0" w:space="0" w:color="auto"/>
                <w:right w:val="none" w:sz="0" w:space="0" w:color="auto"/>
              </w:pBdr>
              <w:spacing w:before="0" w:beforeAutospacing="0" w:after="0" w:afterAutospacing="0"/>
            </w:pPr>
            <w:r w:rsidRPr="00670C99">
              <w:t>147 000 tis. Kč</w:t>
            </w:r>
          </w:p>
        </w:tc>
      </w:tr>
      <w:tr w:rsidR="001F16A2" w:rsidRPr="00B77E56" w:rsidTr="00DE7DDE">
        <w:tc>
          <w:tcPr>
            <w:tcW w:w="7270" w:type="dxa"/>
          </w:tcPr>
          <w:p w:rsidR="001F16A2" w:rsidRPr="00670C99" w:rsidRDefault="001F16A2" w:rsidP="001F16A2">
            <w:pPr>
              <w:rPr>
                <w:rFonts w:cs="Times New Roman"/>
                <w:szCs w:val="24"/>
              </w:rPr>
            </w:pPr>
            <w:r w:rsidRPr="00670C99">
              <w:rPr>
                <w:rFonts w:cs="Times New Roman"/>
                <w:szCs w:val="24"/>
              </w:rPr>
              <w:t xml:space="preserve">      - Odvody přebytků organizací s přímým vztahem</w:t>
            </w:r>
          </w:p>
        </w:tc>
        <w:tc>
          <w:tcPr>
            <w:tcW w:w="1980" w:type="dxa"/>
          </w:tcPr>
          <w:p w:rsidR="001F16A2" w:rsidRPr="00670C99" w:rsidRDefault="001F16A2" w:rsidP="001F16A2">
            <w:pPr>
              <w:pStyle w:val="xl54"/>
              <w:pBdr>
                <w:left w:val="none" w:sz="0" w:space="0" w:color="auto"/>
                <w:right w:val="none" w:sz="0" w:space="0" w:color="auto"/>
              </w:pBdr>
              <w:spacing w:before="0" w:beforeAutospacing="0" w:after="0" w:afterAutospacing="0"/>
            </w:pPr>
            <w:r w:rsidRPr="00670C99">
              <w:t>130 000 tis. Kč</w:t>
            </w:r>
          </w:p>
        </w:tc>
      </w:tr>
      <w:tr w:rsidR="001F16A2" w:rsidRPr="00B77E56" w:rsidTr="00DE7DDE">
        <w:tc>
          <w:tcPr>
            <w:tcW w:w="7270" w:type="dxa"/>
          </w:tcPr>
          <w:p w:rsidR="001F16A2" w:rsidRPr="00670C99" w:rsidRDefault="001F16A2" w:rsidP="001F16A2">
            <w:pPr>
              <w:rPr>
                <w:rFonts w:cs="Times New Roman"/>
                <w:szCs w:val="24"/>
              </w:rPr>
            </w:pPr>
            <w:r w:rsidRPr="00670C99">
              <w:rPr>
                <w:rFonts w:cs="Times New Roman"/>
                <w:szCs w:val="24"/>
              </w:rPr>
              <w:t xml:space="preserve">      - Příjmy z pronájmu majetku</w:t>
            </w:r>
          </w:p>
        </w:tc>
        <w:tc>
          <w:tcPr>
            <w:tcW w:w="1980" w:type="dxa"/>
          </w:tcPr>
          <w:p w:rsidR="001F16A2" w:rsidRPr="00670C99" w:rsidRDefault="001F16A2" w:rsidP="001F16A2">
            <w:pPr>
              <w:jc w:val="right"/>
              <w:rPr>
                <w:rFonts w:cs="Times New Roman"/>
                <w:szCs w:val="24"/>
              </w:rPr>
            </w:pPr>
            <w:r w:rsidRPr="00670C99">
              <w:rPr>
                <w:rFonts w:cs="Times New Roman"/>
                <w:szCs w:val="24"/>
              </w:rPr>
              <w:t>26 017 tis. Kč</w:t>
            </w:r>
          </w:p>
        </w:tc>
      </w:tr>
      <w:tr w:rsidR="001F16A2" w:rsidRPr="00B77E56" w:rsidTr="00DE7DDE">
        <w:tc>
          <w:tcPr>
            <w:tcW w:w="7270" w:type="dxa"/>
          </w:tcPr>
          <w:p w:rsidR="001F16A2" w:rsidRPr="00670C99" w:rsidRDefault="001F16A2" w:rsidP="001F16A2">
            <w:pPr>
              <w:rPr>
                <w:rFonts w:cs="Times New Roman"/>
                <w:szCs w:val="24"/>
              </w:rPr>
            </w:pPr>
            <w:r w:rsidRPr="00670C99">
              <w:rPr>
                <w:rFonts w:cs="Times New Roman"/>
                <w:szCs w:val="24"/>
              </w:rPr>
              <w:t xml:space="preserve">      - Výnosy z finančního majetku</w:t>
            </w:r>
          </w:p>
        </w:tc>
        <w:tc>
          <w:tcPr>
            <w:tcW w:w="1980" w:type="dxa"/>
          </w:tcPr>
          <w:p w:rsidR="001F16A2" w:rsidRPr="00670C99" w:rsidRDefault="001F16A2" w:rsidP="001F16A2">
            <w:pPr>
              <w:jc w:val="right"/>
              <w:rPr>
                <w:rFonts w:cs="Times New Roman"/>
                <w:szCs w:val="24"/>
              </w:rPr>
            </w:pPr>
            <w:r w:rsidRPr="00670C99">
              <w:rPr>
                <w:rFonts w:cs="Times New Roman"/>
                <w:szCs w:val="24"/>
              </w:rPr>
              <w:t>15 tis. Kč</w:t>
            </w:r>
          </w:p>
        </w:tc>
      </w:tr>
      <w:tr w:rsidR="001F16A2" w:rsidRPr="00B77E56" w:rsidTr="00DE7DDE">
        <w:tc>
          <w:tcPr>
            <w:tcW w:w="7270" w:type="dxa"/>
          </w:tcPr>
          <w:p w:rsidR="001F16A2" w:rsidRPr="00670C99" w:rsidRDefault="00B27B26" w:rsidP="00B27B26">
            <w:pPr>
              <w:pStyle w:val="Odstavecseseznamem"/>
              <w:numPr>
                <w:ilvl w:val="0"/>
                <w:numId w:val="5"/>
              </w:numPr>
              <w:tabs>
                <w:tab w:val="clear" w:pos="720"/>
                <w:tab w:val="num" w:pos="2059"/>
              </w:tabs>
              <w:ind w:left="476" w:hanging="113"/>
            </w:pPr>
            <w:r>
              <w:t xml:space="preserve"> </w:t>
            </w:r>
            <w:r w:rsidR="001F16A2" w:rsidRPr="00670C99">
              <w:t>Přijaté sankční platby</w:t>
            </w:r>
          </w:p>
        </w:tc>
        <w:tc>
          <w:tcPr>
            <w:tcW w:w="1980" w:type="dxa"/>
          </w:tcPr>
          <w:p w:rsidR="001F16A2" w:rsidRPr="00670C99" w:rsidRDefault="001F16A2" w:rsidP="001F16A2">
            <w:pPr>
              <w:jc w:val="right"/>
              <w:rPr>
                <w:rFonts w:cs="Times New Roman"/>
                <w:szCs w:val="24"/>
              </w:rPr>
            </w:pPr>
            <w:r w:rsidRPr="00670C99">
              <w:rPr>
                <w:rFonts w:cs="Times New Roman"/>
                <w:szCs w:val="24"/>
              </w:rPr>
              <w:t>326 tis. Kč</w:t>
            </w:r>
          </w:p>
        </w:tc>
      </w:tr>
      <w:tr w:rsidR="001F16A2" w:rsidRPr="00B77E56" w:rsidTr="00DE7DDE">
        <w:tc>
          <w:tcPr>
            <w:tcW w:w="7270" w:type="dxa"/>
          </w:tcPr>
          <w:p w:rsidR="001F16A2" w:rsidRPr="00670C99" w:rsidRDefault="00B27B26" w:rsidP="00B27B26">
            <w:pPr>
              <w:pStyle w:val="Odstavecseseznamem"/>
              <w:numPr>
                <w:ilvl w:val="0"/>
                <w:numId w:val="5"/>
              </w:numPr>
              <w:tabs>
                <w:tab w:val="clear" w:pos="720"/>
                <w:tab w:val="num" w:pos="2059"/>
              </w:tabs>
              <w:ind w:left="482" w:hanging="113"/>
            </w:pPr>
            <w:r>
              <w:t xml:space="preserve"> </w:t>
            </w:r>
            <w:r w:rsidR="001F16A2" w:rsidRPr="00670C99">
              <w:t>Neinvestiční převody z Národního fondu</w:t>
            </w:r>
          </w:p>
        </w:tc>
        <w:tc>
          <w:tcPr>
            <w:tcW w:w="1980" w:type="dxa"/>
          </w:tcPr>
          <w:p w:rsidR="001F16A2" w:rsidRPr="00670C99" w:rsidRDefault="001F16A2" w:rsidP="001F16A2">
            <w:pPr>
              <w:jc w:val="right"/>
              <w:rPr>
                <w:rFonts w:cs="Times New Roman"/>
                <w:szCs w:val="24"/>
              </w:rPr>
            </w:pPr>
            <w:r w:rsidRPr="00670C99">
              <w:rPr>
                <w:rFonts w:cs="Times New Roman"/>
                <w:szCs w:val="24"/>
              </w:rPr>
              <w:t>112 355 tis. Kč</w:t>
            </w:r>
          </w:p>
        </w:tc>
      </w:tr>
      <w:tr w:rsidR="001F16A2" w:rsidRPr="00B77E56" w:rsidTr="00DE7DDE">
        <w:tc>
          <w:tcPr>
            <w:tcW w:w="7270" w:type="dxa"/>
          </w:tcPr>
          <w:p w:rsidR="001F16A2" w:rsidRPr="00670C99" w:rsidRDefault="001F16A2" w:rsidP="001F16A2">
            <w:pPr>
              <w:numPr>
                <w:ilvl w:val="0"/>
                <w:numId w:val="5"/>
              </w:numPr>
              <w:tabs>
                <w:tab w:val="clear" w:pos="720"/>
                <w:tab w:val="num" w:pos="540"/>
              </w:tabs>
              <w:spacing w:line="240" w:lineRule="auto"/>
              <w:rPr>
                <w:rFonts w:cs="Times New Roman"/>
                <w:szCs w:val="24"/>
              </w:rPr>
            </w:pPr>
            <w:r w:rsidRPr="00670C99">
              <w:rPr>
                <w:rFonts w:cs="Times New Roman"/>
                <w:szCs w:val="24"/>
              </w:rPr>
              <w:t>Neinvestiční transfery přijaté od Evropské unie</w:t>
            </w:r>
          </w:p>
        </w:tc>
        <w:tc>
          <w:tcPr>
            <w:tcW w:w="1980" w:type="dxa"/>
          </w:tcPr>
          <w:p w:rsidR="001F16A2" w:rsidRPr="00670C99" w:rsidRDefault="001F16A2" w:rsidP="001F16A2">
            <w:pPr>
              <w:jc w:val="right"/>
              <w:rPr>
                <w:rFonts w:cs="Times New Roman"/>
                <w:szCs w:val="24"/>
              </w:rPr>
            </w:pPr>
            <w:r w:rsidRPr="00670C99">
              <w:rPr>
                <w:rFonts w:cs="Times New Roman"/>
                <w:szCs w:val="24"/>
              </w:rPr>
              <w:t>30 135 tis. Kč</w:t>
            </w:r>
          </w:p>
        </w:tc>
      </w:tr>
      <w:tr w:rsidR="001F16A2" w:rsidRPr="008A0582" w:rsidTr="00DE7DDE">
        <w:tc>
          <w:tcPr>
            <w:tcW w:w="7270" w:type="dxa"/>
          </w:tcPr>
          <w:p w:rsidR="001F16A2" w:rsidRPr="00670C99" w:rsidRDefault="001F16A2" w:rsidP="001F16A2">
            <w:pPr>
              <w:numPr>
                <w:ilvl w:val="0"/>
                <w:numId w:val="5"/>
              </w:numPr>
              <w:tabs>
                <w:tab w:val="clear" w:pos="720"/>
                <w:tab w:val="num" w:pos="540"/>
              </w:tabs>
              <w:spacing w:line="240" w:lineRule="auto"/>
              <w:rPr>
                <w:rFonts w:cs="Times New Roman"/>
                <w:szCs w:val="24"/>
              </w:rPr>
            </w:pPr>
            <w:r w:rsidRPr="00670C99">
              <w:rPr>
                <w:rFonts w:cs="Times New Roman"/>
                <w:szCs w:val="24"/>
              </w:rPr>
              <w:t xml:space="preserve">Investiční převody z Národního fondu </w:t>
            </w:r>
          </w:p>
        </w:tc>
        <w:tc>
          <w:tcPr>
            <w:tcW w:w="1980" w:type="dxa"/>
          </w:tcPr>
          <w:p w:rsidR="001F16A2" w:rsidRPr="00670C99" w:rsidRDefault="001F16A2" w:rsidP="001F16A2">
            <w:pPr>
              <w:jc w:val="right"/>
              <w:rPr>
                <w:rFonts w:cs="Times New Roman"/>
                <w:szCs w:val="24"/>
              </w:rPr>
            </w:pPr>
            <w:r w:rsidRPr="00670C99">
              <w:rPr>
                <w:rFonts w:cs="Times New Roman"/>
                <w:szCs w:val="24"/>
              </w:rPr>
              <w:t>17 831 723 tis. Kč</w:t>
            </w:r>
          </w:p>
        </w:tc>
      </w:tr>
      <w:tr w:rsidR="001F16A2" w:rsidRPr="00B77E56" w:rsidTr="00DE7DDE">
        <w:tc>
          <w:tcPr>
            <w:tcW w:w="7270" w:type="dxa"/>
          </w:tcPr>
          <w:p w:rsidR="001F16A2" w:rsidRPr="00670C99" w:rsidRDefault="001F16A2" w:rsidP="001F16A2">
            <w:pPr>
              <w:numPr>
                <w:ilvl w:val="0"/>
                <w:numId w:val="5"/>
              </w:numPr>
              <w:tabs>
                <w:tab w:val="clear" w:pos="720"/>
                <w:tab w:val="num" w:pos="540"/>
              </w:tabs>
              <w:spacing w:line="240" w:lineRule="auto"/>
              <w:ind w:left="714" w:hanging="357"/>
              <w:rPr>
                <w:rFonts w:cs="Times New Roman"/>
                <w:szCs w:val="24"/>
              </w:rPr>
            </w:pPr>
            <w:r w:rsidRPr="00670C99">
              <w:rPr>
                <w:rFonts w:cs="Times New Roman"/>
                <w:szCs w:val="24"/>
              </w:rPr>
              <w:t>Investiční transfery přijaté od Evropské unie</w:t>
            </w:r>
          </w:p>
        </w:tc>
        <w:tc>
          <w:tcPr>
            <w:tcW w:w="1980" w:type="dxa"/>
          </w:tcPr>
          <w:p w:rsidR="001F16A2" w:rsidRPr="00670C99" w:rsidRDefault="001F16A2" w:rsidP="001F16A2">
            <w:pPr>
              <w:jc w:val="right"/>
              <w:rPr>
                <w:rFonts w:cs="Times New Roman"/>
                <w:szCs w:val="24"/>
              </w:rPr>
            </w:pPr>
            <w:r w:rsidRPr="00670C99">
              <w:rPr>
                <w:rFonts w:cs="Times New Roman"/>
                <w:szCs w:val="24"/>
              </w:rPr>
              <w:t>895 520 tis. Kč</w:t>
            </w:r>
          </w:p>
        </w:tc>
      </w:tr>
    </w:tbl>
    <w:p w:rsidR="00024ED6" w:rsidRPr="00422F90" w:rsidRDefault="00024ED6" w:rsidP="00024ED6">
      <w:pPr>
        <w:spacing w:before="240" w:after="120" w:line="240" w:lineRule="auto"/>
        <w:rPr>
          <w:rFonts w:cs="Times New Roman"/>
          <w:szCs w:val="24"/>
        </w:rPr>
      </w:pPr>
      <w:r w:rsidRPr="00422F90">
        <w:rPr>
          <w:rFonts w:cs="Times New Roman"/>
          <w:b/>
          <w:szCs w:val="24"/>
        </w:rPr>
        <w:t>Úřad pro civilní letectví</w:t>
      </w:r>
      <w:r w:rsidRPr="00422F90">
        <w:rPr>
          <w:rFonts w:cs="Times New Roman"/>
          <w:szCs w:val="24"/>
        </w:rPr>
        <w:t xml:space="preserve"> – příjmy </w:t>
      </w:r>
      <w:r w:rsidR="00427E0D">
        <w:rPr>
          <w:rFonts w:cs="Times New Roman"/>
          <w:b/>
          <w:bCs/>
          <w:szCs w:val="24"/>
        </w:rPr>
        <w:t>celkem 60 000</w:t>
      </w:r>
      <w:r w:rsidRPr="00422F90">
        <w:rPr>
          <w:rFonts w:cs="Times New Roman"/>
          <w:b/>
          <w:bCs/>
          <w:szCs w:val="24"/>
        </w:rPr>
        <w:t xml:space="preserve"> tis. Kč,</w:t>
      </w:r>
      <w:r w:rsidRPr="00422F90">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629"/>
        <w:gridCol w:w="1621"/>
      </w:tblGrid>
      <w:tr w:rsidR="0001421C" w:rsidRPr="00422F90" w:rsidTr="00C14965">
        <w:tc>
          <w:tcPr>
            <w:tcW w:w="7629" w:type="dxa"/>
          </w:tcPr>
          <w:p w:rsidR="00024ED6" w:rsidRPr="00422F90" w:rsidRDefault="00024ED6" w:rsidP="00C14965">
            <w:pPr>
              <w:spacing w:line="240" w:lineRule="auto"/>
              <w:rPr>
                <w:rFonts w:cs="Times New Roman"/>
                <w:szCs w:val="24"/>
              </w:rPr>
            </w:pPr>
            <w:r w:rsidRPr="00422F90">
              <w:rPr>
                <w:rFonts w:cs="Times New Roman"/>
                <w:szCs w:val="24"/>
              </w:rPr>
              <w:t xml:space="preserve">      - Správní poplatky</w:t>
            </w:r>
          </w:p>
        </w:tc>
        <w:tc>
          <w:tcPr>
            <w:tcW w:w="1621" w:type="dxa"/>
          </w:tcPr>
          <w:p w:rsidR="00024ED6" w:rsidRPr="00422F90" w:rsidRDefault="00427E0D" w:rsidP="00C14965">
            <w:pPr>
              <w:spacing w:line="240" w:lineRule="auto"/>
              <w:jc w:val="right"/>
              <w:rPr>
                <w:rFonts w:cs="Times New Roman"/>
                <w:szCs w:val="24"/>
              </w:rPr>
            </w:pPr>
            <w:r>
              <w:rPr>
                <w:rFonts w:cs="Times New Roman"/>
                <w:szCs w:val="24"/>
              </w:rPr>
              <w:t>16 000</w:t>
            </w:r>
            <w:r w:rsidR="00024ED6" w:rsidRPr="00422F90">
              <w:rPr>
                <w:rFonts w:cs="Times New Roman"/>
                <w:szCs w:val="24"/>
              </w:rPr>
              <w:t xml:space="preserve"> tis. Kč</w:t>
            </w:r>
          </w:p>
        </w:tc>
      </w:tr>
      <w:tr w:rsidR="0001421C" w:rsidRPr="00422F90" w:rsidTr="00C14965">
        <w:tc>
          <w:tcPr>
            <w:tcW w:w="7629" w:type="dxa"/>
          </w:tcPr>
          <w:p w:rsidR="00024ED6" w:rsidRPr="00422F90" w:rsidRDefault="00024ED6" w:rsidP="00C14965">
            <w:pPr>
              <w:spacing w:line="240" w:lineRule="auto"/>
              <w:rPr>
                <w:rFonts w:cs="Times New Roman"/>
                <w:szCs w:val="24"/>
              </w:rPr>
            </w:pPr>
            <w:r w:rsidRPr="00422F90">
              <w:rPr>
                <w:rFonts w:cs="Times New Roman"/>
                <w:szCs w:val="24"/>
              </w:rPr>
              <w:t xml:space="preserve">      - Příjmy z vlastní činnosti             </w:t>
            </w:r>
          </w:p>
        </w:tc>
        <w:tc>
          <w:tcPr>
            <w:tcW w:w="1621" w:type="dxa"/>
          </w:tcPr>
          <w:p w:rsidR="00024ED6" w:rsidRPr="00422F90" w:rsidRDefault="00427E0D" w:rsidP="00C14965">
            <w:pPr>
              <w:spacing w:line="240" w:lineRule="auto"/>
              <w:jc w:val="right"/>
              <w:rPr>
                <w:rFonts w:cs="Times New Roman"/>
                <w:szCs w:val="24"/>
              </w:rPr>
            </w:pPr>
            <w:r>
              <w:rPr>
                <w:rFonts w:cs="Times New Roman"/>
                <w:szCs w:val="24"/>
              </w:rPr>
              <w:t>43 600</w:t>
            </w:r>
            <w:r w:rsidR="00024ED6" w:rsidRPr="00422F90">
              <w:rPr>
                <w:rFonts w:cs="Times New Roman"/>
                <w:szCs w:val="24"/>
              </w:rPr>
              <w:t xml:space="preserve"> tis. Kč</w:t>
            </w:r>
          </w:p>
        </w:tc>
      </w:tr>
      <w:tr w:rsidR="0001421C" w:rsidRPr="00422F90" w:rsidTr="00C14965">
        <w:tc>
          <w:tcPr>
            <w:tcW w:w="7629" w:type="dxa"/>
          </w:tcPr>
          <w:p w:rsidR="00024ED6" w:rsidRPr="00422F90" w:rsidRDefault="00024ED6" w:rsidP="00C14965">
            <w:pPr>
              <w:spacing w:line="240" w:lineRule="auto"/>
              <w:rPr>
                <w:rFonts w:cs="Times New Roman"/>
                <w:szCs w:val="24"/>
              </w:rPr>
            </w:pPr>
            <w:r w:rsidRPr="00422F90">
              <w:rPr>
                <w:rFonts w:cs="Times New Roman"/>
                <w:szCs w:val="24"/>
              </w:rPr>
              <w:t xml:space="preserve">      - Přijaté sankční platby</w:t>
            </w:r>
          </w:p>
        </w:tc>
        <w:tc>
          <w:tcPr>
            <w:tcW w:w="1621" w:type="dxa"/>
          </w:tcPr>
          <w:p w:rsidR="00024ED6" w:rsidRPr="00422F90" w:rsidRDefault="00427E0D" w:rsidP="00C14965">
            <w:pPr>
              <w:spacing w:line="240" w:lineRule="auto"/>
              <w:jc w:val="right"/>
              <w:rPr>
                <w:rFonts w:cs="Times New Roman"/>
                <w:szCs w:val="24"/>
              </w:rPr>
            </w:pPr>
            <w:r>
              <w:rPr>
                <w:rFonts w:cs="Times New Roman"/>
                <w:szCs w:val="24"/>
              </w:rPr>
              <w:t>400</w:t>
            </w:r>
            <w:r w:rsidR="00024ED6" w:rsidRPr="00422F90">
              <w:rPr>
                <w:rFonts w:cs="Times New Roman"/>
                <w:szCs w:val="24"/>
              </w:rPr>
              <w:t xml:space="preserve"> tis. Kč</w:t>
            </w:r>
          </w:p>
        </w:tc>
      </w:tr>
    </w:tbl>
    <w:p w:rsidR="00024ED6" w:rsidRPr="00422F90" w:rsidRDefault="00024ED6" w:rsidP="00024ED6">
      <w:pPr>
        <w:spacing w:before="240" w:after="120" w:line="240" w:lineRule="auto"/>
        <w:rPr>
          <w:rFonts w:cs="Times New Roman"/>
          <w:szCs w:val="24"/>
        </w:rPr>
      </w:pPr>
      <w:r w:rsidRPr="00422F90">
        <w:rPr>
          <w:rFonts w:cs="Times New Roman"/>
          <w:b/>
          <w:szCs w:val="24"/>
        </w:rPr>
        <w:t>Státní plavební správa</w:t>
      </w:r>
      <w:r w:rsidRPr="00422F90">
        <w:rPr>
          <w:rFonts w:cs="Times New Roman"/>
          <w:szCs w:val="24"/>
        </w:rPr>
        <w:t xml:space="preserve"> -  příjmy </w:t>
      </w:r>
      <w:r w:rsidR="001F16A2">
        <w:rPr>
          <w:rFonts w:cs="Times New Roman"/>
          <w:b/>
          <w:bCs/>
          <w:szCs w:val="24"/>
        </w:rPr>
        <w:t>celkem 5 300</w:t>
      </w:r>
      <w:r w:rsidRPr="00422F90">
        <w:rPr>
          <w:rFonts w:cs="Times New Roman"/>
          <w:b/>
          <w:bCs/>
          <w:szCs w:val="24"/>
        </w:rPr>
        <w:t xml:space="preserve"> tis. Kč, </w:t>
      </w:r>
      <w:r w:rsidRPr="00422F90">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1F16A2" w:rsidRPr="006D4F10" w:rsidTr="00DE7DDE">
        <w:tc>
          <w:tcPr>
            <w:tcW w:w="7270" w:type="dxa"/>
          </w:tcPr>
          <w:p w:rsidR="001F16A2" w:rsidRPr="00377A9E" w:rsidRDefault="001F16A2" w:rsidP="001F16A2">
            <w:pPr>
              <w:pStyle w:val="Odstavecseseznamem"/>
              <w:numPr>
                <w:ilvl w:val="0"/>
                <w:numId w:val="5"/>
              </w:numPr>
              <w:tabs>
                <w:tab w:val="clear" w:pos="720"/>
                <w:tab w:val="num" w:pos="492"/>
              </w:tabs>
            </w:pPr>
            <w:r w:rsidRPr="00377A9E">
              <w:t>Správní poplatky</w:t>
            </w:r>
          </w:p>
        </w:tc>
        <w:tc>
          <w:tcPr>
            <w:tcW w:w="1980" w:type="dxa"/>
          </w:tcPr>
          <w:p w:rsidR="001F16A2" w:rsidRPr="006D4F10" w:rsidRDefault="001F16A2" w:rsidP="00DE7DDE">
            <w:pPr>
              <w:jc w:val="right"/>
              <w:rPr>
                <w:rFonts w:cs="Times New Roman"/>
                <w:szCs w:val="24"/>
              </w:rPr>
            </w:pPr>
            <w:r w:rsidRPr="006D4F10">
              <w:rPr>
                <w:rFonts w:cs="Times New Roman"/>
                <w:szCs w:val="24"/>
              </w:rPr>
              <w:t>5 000 tis. Kč</w:t>
            </w:r>
          </w:p>
        </w:tc>
      </w:tr>
      <w:tr w:rsidR="001F16A2" w:rsidRPr="00B77E56" w:rsidTr="00DE7DDE">
        <w:tc>
          <w:tcPr>
            <w:tcW w:w="7270" w:type="dxa"/>
          </w:tcPr>
          <w:p w:rsidR="001F16A2" w:rsidRPr="00377A9E" w:rsidRDefault="001F16A2" w:rsidP="001F16A2">
            <w:pPr>
              <w:pStyle w:val="Odstavecseseznamem"/>
              <w:numPr>
                <w:ilvl w:val="0"/>
                <w:numId w:val="5"/>
              </w:numPr>
              <w:tabs>
                <w:tab w:val="clear" w:pos="720"/>
                <w:tab w:val="num" w:pos="492"/>
              </w:tabs>
              <w:rPr>
                <w:color w:val="FF0000"/>
              </w:rPr>
            </w:pPr>
            <w:r w:rsidRPr="00377A9E">
              <w:t>Příjmy z pronájmu majetku</w:t>
            </w:r>
          </w:p>
        </w:tc>
        <w:tc>
          <w:tcPr>
            <w:tcW w:w="1980" w:type="dxa"/>
          </w:tcPr>
          <w:p w:rsidR="001F16A2" w:rsidRPr="00B77E56" w:rsidRDefault="001F16A2" w:rsidP="00DE7DDE">
            <w:pPr>
              <w:jc w:val="right"/>
              <w:rPr>
                <w:rFonts w:cs="Times New Roman"/>
                <w:color w:val="FF0000"/>
                <w:szCs w:val="24"/>
              </w:rPr>
            </w:pPr>
            <w:r w:rsidRPr="00377A9E">
              <w:rPr>
                <w:rFonts w:cs="Times New Roman"/>
                <w:szCs w:val="24"/>
              </w:rPr>
              <w:t>230 tis. Kč</w:t>
            </w:r>
          </w:p>
        </w:tc>
      </w:tr>
      <w:tr w:rsidR="001F16A2" w:rsidRPr="00B77E56" w:rsidTr="00DE7DDE">
        <w:tc>
          <w:tcPr>
            <w:tcW w:w="7270" w:type="dxa"/>
          </w:tcPr>
          <w:p w:rsidR="001F16A2" w:rsidRPr="00377A9E" w:rsidRDefault="001F16A2" w:rsidP="001F16A2">
            <w:pPr>
              <w:pStyle w:val="Odstavecseseznamem"/>
              <w:numPr>
                <w:ilvl w:val="0"/>
                <w:numId w:val="5"/>
              </w:numPr>
              <w:tabs>
                <w:tab w:val="clear" w:pos="720"/>
                <w:tab w:val="num" w:pos="492"/>
              </w:tabs>
            </w:pPr>
            <w:r>
              <w:t>Přijaté nekapitálové příspěvky a náhrady</w:t>
            </w:r>
          </w:p>
        </w:tc>
        <w:tc>
          <w:tcPr>
            <w:tcW w:w="1980" w:type="dxa"/>
          </w:tcPr>
          <w:p w:rsidR="001F16A2" w:rsidRPr="00377A9E" w:rsidRDefault="001F16A2" w:rsidP="00DE7DDE">
            <w:pPr>
              <w:jc w:val="right"/>
              <w:rPr>
                <w:rFonts w:cs="Times New Roman"/>
                <w:szCs w:val="24"/>
              </w:rPr>
            </w:pPr>
            <w:r>
              <w:rPr>
                <w:rFonts w:cs="Times New Roman"/>
                <w:szCs w:val="24"/>
              </w:rPr>
              <w:t>70 tis. Kč</w:t>
            </w:r>
          </w:p>
        </w:tc>
      </w:tr>
    </w:tbl>
    <w:p w:rsidR="00024ED6" w:rsidRPr="00422F90" w:rsidRDefault="00024ED6" w:rsidP="00024ED6">
      <w:pPr>
        <w:spacing w:before="240" w:after="120" w:line="240" w:lineRule="auto"/>
        <w:rPr>
          <w:rFonts w:cs="Times New Roman"/>
          <w:szCs w:val="24"/>
        </w:rPr>
      </w:pPr>
      <w:r w:rsidRPr="00422F90">
        <w:rPr>
          <w:rFonts w:cs="Times New Roman"/>
          <w:b/>
          <w:szCs w:val="24"/>
        </w:rPr>
        <w:t>Drážní úřad</w:t>
      </w:r>
      <w:r w:rsidRPr="00422F90">
        <w:rPr>
          <w:rFonts w:cs="Times New Roman"/>
          <w:szCs w:val="24"/>
        </w:rPr>
        <w:t xml:space="preserve"> - příjmy </w:t>
      </w:r>
      <w:r w:rsidR="001F16A2">
        <w:rPr>
          <w:rFonts w:cs="Times New Roman"/>
          <w:b/>
          <w:bCs/>
          <w:szCs w:val="24"/>
        </w:rPr>
        <w:t>celkem 2 342</w:t>
      </w:r>
      <w:r w:rsidRPr="00422F90">
        <w:rPr>
          <w:rFonts w:cs="Times New Roman"/>
          <w:b/>
          <w:bCs/>
          <w:szCs w:val="24"/>
        </w:rPr>
        <w:t xml:space="preserve"> tis. Kč, </w:t>
      </w:r>
      <w:r w:rsidRPr="00422F90">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01421C" w:rsidRPr="00422F90" w:rsidTr="00C14965">
        <w:tc>
          <w:tcPr>
            <w:tcW w:w="7270" w:type="dxa"/>
          </w:tcPr>
          <w:p w:rsidR="00024ED6" w:rsidRPr="00422F90" w:rsidRDefault="00024ED6" w:rsidP="00C14965">
            <w:pPr>
              <w:spacing w:line="240" w:lineRule="auto"/>
              <w:rPr>
                <w:rFonts w:cs="Times New Roman"/>
                <w:szCs w:val="24"/>
              </w:rPr>
            </w:pPr>
            <w:r w:rsidRPr="00422F90">
              <w:rPr>
                <w:rFonts w:cs="Times New Roman"/>
                <w:szCs w:val="24"/>
              </w:rPr>
              <w:t xml:space="preserve">      - Správní poplatky</w:t>
            </w:r>
          </w:p>
        </w:tc>
        <w:tc>
          <w:tcPr>
            <w:tcW w:w="1980" w:type="dxa"/>
          </w:tcPr>
          <w:p w:rsidR="00024ED6" w:rsidRPr="00422F90" w:rsidRDefault="001F16A2" w:rsidP="00C14965">
            <w:pPr>
              <w:spacing w:line="240" w:lineRule="auto"/>
              <w:jc w:val="right"/>
              <w:rPr>
                <w:rFonts w:cs="Times New Roman"/>
                <w:szCs w:val="24"/>
              </w:rPr>
            </w:pPr>
            <w:r>
              <w:rPr>
                <w:rFonts w:cs="Times New Roman"/>
                <w:szCs w:val="24"/>
              </w:rPr>
              <w:t>2 000</w:t>
            </w:r>
            <w:r w:rsidR="00024ED6" w:rsidRPr="00422F90">
              <w:rPr>
                <w:rFonts w:cs="Times New Roman"/>
                <w:szCs w:val="24"/>
              </w:rPr>
              <w:t xml:space="preserve"> tis. Kč</w:t>
            </w:r>
          </w:p>
        </w:tc>
      </w:tr>
      <w:tr w:rsidR="0001421C" w:rsidRPr="00422F90" w:rsidTr="00C14965">
        <w:tc>
          <w:tcPr>
            <w:tcW w:w="7270" w:type="dxa"/>
          </w:tcPr>
          <w:p w:rsidR="00024ED6" w:rsidRPr="00422F90" w:rsidRDefault="00024ED6" w:rsidP="00C14965">
            <w:pPr>
              <w:rPr>
                <w:rFonts w:cs="Times New Roman"/>
                <w:szCs w:val="24"/>
              </w:rPr>
            </w:pPr>
            <w:r w:rsidRPr="00422F90">
              <w:rPr>
                <w:rFonts w:cs="Times New Roman"/>
                <w:szCs w:val="24"/>
              </w:rPr>
              <w:t xml:space="preserve">      - Přijaté sankční platby</w:t>
            </w:r>
          </w:p>
        </w:tc>
        <w:tc>
          <w:tcPr>
            <w:tcW w:w="1980" w:type="dxa"/>
          </w:tcPr>
          <w:p w:rsidR="00024ED6" w:rsidRPr="00422F90" w:rsidRDefault="001F16A2" w:rsidP="00C14965">
            <w:pPr>
              <w:jc w:val="right"/>
              <w:rPr>
                <w:rFonts w:cs="Times New Roman"/>
                <w:szCs w:val="24"/>
              </w:rPr>
            </w:pPr>
            <w:r>
              <w:rPr>
                <w:rFonts w:cs="Times New Roman"/>
                <w:szCs w:val="24"/>
              </w:rPr>
              <w:t>342</w:t>
            </w:r>
            <w:r w:rsidR="00024ED6" w:rsidRPr="00422F90">
              <w:rPr>
                <w:rFonts w:cs="Times New Roman"/>
                <w:szCs w:val="24"/>
              </w:rPr>
              <w:t xml:space="preserve"> tis. Kč</w:t>
            </w:r>
          </w:p>
        </w:tc>
      </w:tr>
    </w:tbl>
    <w:p w:rsidR="00024ED6" w:rsidRPr="00422F90" w:rsidRDefault="00024ED6" w:rsidP="00024ED6">
      <w:pPr>
        <w:spacing w:before="240" w:after="120"/>
        <w:rPr>
          <w:rFonts w:cs="Times New Roman"/>
          <w:szCs w:val="24"/>
        </w:rPr>
      </w:pPr>
      <w:r w:rsidRPr="00422F90">
        <w:rPr>
          <w:rFonts w:cs="Times New Roman"/>
          <w:b/>
          <w:szCs w:val="24"/>
        </w:rPr>
        <w:t>Ředitelství vodních cest ČR</w:t>
      </w:r>
      <w:r w:rsidRPr="00422F90">
        <w:rPr>
          <w:rFonts w:cs="Times New Roman"/>
          <w:szCs w:val="24"/>
        </w:rPr>
        <w:t xml:space="preserve"> - příjmy </w:t>
      </w:r>
      <w:r w:rsidR="001F16A2">
        <w:rPr>
          <w:rFonts w:cs="Times New Roman"/>
          <w:b/>
          <w:bCs/>
          <w:szCs w:val="24"/>
        </w:rPr>
        <w:t>celkem 6 000</w:t>
      </w:r>
      <w:r w:rsidRPr="00422F90">
        <w:rPr>
          <w:rFonts w:cs="Times New Roman"/>
          <w:b/>
          <w:bCs/>
          <w:szCs w:val="24"/>
        </w:rPr>
        <w:t xml:space="preserve"> tis. Kč, </w:t>
      </w:r>
      <w:r w:rsidRPr="00422F90">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1F16A2" w:rsidRPr="00422F90" w:rsidTr="00C14965">
        <w:tc>
          <w:tcPr>
            <w:tcW w:w="7270" w:type="dxa"/>
          </w:tcPr>
          <w:p w:rsidR="00024ED6" w:rsidRPr="00422F90" w:rsidRDefault="00024ED6" w:rsidP="00C14965">
            <w:pPr>
              <w:rPr>
                <w:rFonts w:cs="Times New Roman"/>
                <w:szCs w:val="24"/>
              </w:rPr>
            </w:pPr>
            <w:r w:rsidRPr="00422F90">
              <w:rPr>
                <w:rFonts w:cs="Times New Roman"/>
                <w:szCs w:val="24"/>
              </w:rPr>
              <w:t xml:space="preserve">      - Příjmy z vlastní činnosti             </w:t>
            </w:r>
          </w:p>
        </w:tc>
        <w:tc>
          <w:tcPr>
            <w:tcW w:w="1980" w:type="dxa"/>
          </w:tcPr>
          <w:p w:rsidR="00024ED6" w:rsidRPr="00422F90" w:rsidRDefault="001F16A2" w:rsidP="00C14965">
            <w:pPr>
              <w:jc w:val="right"/>
              <w:rPr>
                <w:rFonts w:cs="Times New Roman"/>
                <w:szCs w:val="24"/>
              </w:rPr>
            </w:pPr>
            <w:r>
              <w:rPr>
                <w:rFonts w:cs="Times New Roman"/>
                <w:szCs w:val="24"/>
              </w:rPr>
              <w:t>1</w:t>
            </w:r>
            <w:r w:rsidR="00684281">
              <w:rPr>
                <w:rFonts w:cs="Times New Roman"/>
                <w:szCs w:val="24"/>
              </w:rPr>
              <w:t xml:space="preserve"> </w:t>
            </w:r>
            <w:r>
              <w:rPr>
                <w:rFonts w:cs="Times New Roman"/>
                <w:szCs w:val="24"/>
              </w:rPr>
              <w:t>200</w:t>
            </w:r>
            <w:r w:rsidR="00024ED6" w:rsidRPr="00422F90">
              <w:rPr>
                <w:rFonts w:cs="Times New Roman"/>
                <w:szCs w:val="24"/>
              </w:rPr>
              <w:t xml:space="preserve"> tis. Kč</w:t>
            </w:r>
          </w:p>
        </w:tc>
      </w:tr>
      <w:tr w:rsidR="001F16A2" w:rsidRPr="00422F90" w:rsidTr="00C14965">
        <w:tc>
          <w:tcPr>
            <w:tcW w:w="7270" w:type="dxa"/>
          </w:tcPr>
          <w:p w:rsidR="00024ED6" w:rsidRPr="00422F90" w:rsidRDefault="00024ED6" w:rsidP="00C14965">
            <w:pPr>
              <w:rPr>
                <w:rFonts w:cs="Times New Roman"/>
                <w:szCs w:val="24"/>
              </w:rPr>
            </w:pPr>
            <w:r w:rsidRPr="00422F90">
              <w:rPr>
                <w:rFonts w:cs="Times New Roman"/>
                <w:szCs w:val="24"/>
              </w:rPr>
              <w:t xml:space="preserve">      - Příjmy z pronájmu majetku</w:t>
            </w:r>
          </w:p>
        </w:tc>
        <w:tc>
          <w:tcPr>
            <w:tcW w:w="1980" w:type="dxa"/>
          </w:tcPr>
          <w:p w:rsidR="00024ED6" w:rsidRPr="00422F90" w:rsidRDefault="001F16A2" w:rsidP="00C14965">
            <w:pPr>
              <w:jc w:val="right"/>
              <w:rPr>
                <w:rFonts w:cs="Times New Roman"/>
                <w:szCs w:val="24"/>
              </w:rPr>
            </w:pPr>
            <w:r>
              <w:rPr>
                <w:rFonts w:cs="Times New Roman"/>
                <w:szCs w:val="24"/>
              </w:rPr>
              <w:t>4</w:t>
            </w:r>
            <w:r w:rsidR="00684281">
              <w:rPr>
                <w:rFonts w:cs="Times New Roman"/>
                <w:szCs w:val="24"/>
              </w:rPr>
              <w:t xml:space="preserve"> </w:t>
            </w:r>
            <w:r>
              <w:rPr>
                <w:rFonts w:cs="Times New Roman"/>
                <w:szCs w:val="24"/>
              </w:rPr>
              <w:t>800</w:t>
            </w:r>
            <w:r w:rsidR="00024ED6" w:rsidRPr="00422F90">
              <w:rPr>
                <w:rFonts w:cs="Times New Roman"/>
                <w:szCs w:val="24"/>
              </w:rPr>
              <w:t xml:space="preserve"> tis. Kč</w:t>
            </w:r>
          </w:p>
        </w:tc>
      </w:tr>
    </w:tbl>
    <w:p w:rsidR="006C7E5B" w:rsidRDefault="006C7E5B" w:rsidP="001F16A2">
      <w:pPr>
        <w:pStyle w:val="Styl1"/>
      </w:pPr>
    </w:p>
    <w:p w:rsidR="001F16A2" w:rsidRPr="00DE7DDE" w:rsidRDefault="001F16A2" w:rsidP="001F16A2">
      <w:pPr>
        <w:pStyle w:val="Styl1"/>
        <w:rPr>
          <w:color w:val="FF0000"/>
        </w:rPr>
      </w:pPr>
      <w:r w:rsidRPr="00DE7DDE">
        <w:lastRenderedPageBreak/>
        <w:t xml:space="preserve">V navrženém objemu příjmů tvoří nejvyšší část přijaté transfery, které </w:t>
      </w:r>
      <w:r w:rsidR="00DE7DDE" w:rsidRPr="00DE7DDE">
        <w:t>jsou rozpočtovány ve výši 18 869</w:t>
      </w:r>
      <w:r w:rsidRPr="00DE7DDE">
        <w:t xml:space="preserve"> </w:t>
      </w:r>
      <w:r w:rsidR="00DE7DDE" w:rsidRPr="00DE7DDE">
        <w:t>733 tis. Kč, tj. 98,04</w:t>
      </w:r>
      <w:r w:rsidRPr="00DE7DDE">
        <w:t xml:space="preserve"> % souhrnného ukazatele příjmy celkem. </w:t>
      </w:r>
    </w:p>
    <w:p w:rsidR="001F16A2" w:rsidRPr="00DE7DDE" w:rsidRDefault="001F16A2" w:rsidP="001F16A2">
      <w:pPr>
        <w:pStyle w:val="Styl1"/>
      </w:pPr>
      <w:r w:rsidRPr="00DE7DDE">
        <w:t>Součástí těchto p</w:t>
      </w:r>
      <w:r w:rsidR="00D910C9">
        <w:t xml:space="preserve">řijatých transferů jsou </w:t>
      </w:r>
      <w:r w:rsidRPr="00DE7DDE">
        <w:rPr>
          <w:u w:val="single"/>
        </w:rPr>
        <w:t>investiční převody z  Národního fondu</w:t>
      </w:r>
      <w:r w:rsidRPr="00DE7DDE">
        <w:t xml:space="preserve">, které jsou rozpočtovány ve výši 17 831 723 tis. Kč, </w:t>
      </w:r>
      <w:r w:rsidR="00DE7DDE" w:rsidRPr="00DE7DDE">
        <w:t>tj. 92,65</w:t>
      </w:r>
      <w:r w:rsidRPr="00DE7DDE">
        <w:t xml:space="preserve"> % souhrnného ukazatele příjmy celkem </w:t>
      </w:r>
      <w:r w:rsidR="00D910C9">
        <w:br/>
      </w:r>
      <w:r w:rsidRPr="00DE7DDE">
        <w:t xml:space="preserve">a </w:t>
      </w:r>
      <w:r w:rsidRPr="00DE7DDE">
        <w:rPr>
          <w:u w:val="single"/>
        </w:rPr>
        <w:t>neinvestiční převody z Národního fondu</w:t>
      </w:r>
      <w:r w:rsidRPr="00DE7DDE">
        <w:t xml:space="preserve"> s částkou</w:t>
      </w:r>
      <w:r w:rsidR="00DE7DDE" w:rsidRPr="00DE7DDE">
        <w:t xml:space="preserve"> 112 355</w:t>
      </w:r>
      <w:r w:rsidRPr="00DE7DDE">
        <w:t xml:space="preserve"> tis. Kč,</w:t>
      </w:r>
      <w:r w:rsidRPr="00DE7DDE">
        <w:rPr>
          <w:color w:val="FF0000"/>
        </w:rPr>
        <w:t xml:space="preserve"> </w:t>
      </w:r>
      <w:r w:rsidRPr="00DE7DDE">
        <w:t xml:space="preserve">tj. </w:t>
      </w:r>
      <w:r w:rsidR="00DE7DDE" w:rsidRPr="00DE7DDE">
        <w:t>0,58</w:t>
      </w:r>
      <w:r w:rsidRPr="00DE7DDE">
        <w:t xml:space="preserve"> % souhrnného ukazatele. Investiční a neinvestiční převody z Národního fondu jsou příjmy z rozpočtu Evropské unie související s realizací programů spolufinancovaných z prostředků fondů EU</w:t>
      </w:r>
      <w:r w:rsidR="00D910C9">
        <w:t xml:space="preserve"> </w:t>
      </w:r>
      <w:r w:rsidR="00D910C9">
        <w:br/>
      </w:r>
      <w:r w:rsidRPr="00DE7DDE">
        <w:t xml:space="preserve">(ze strukturálních fondů a Fondu soudržnosti). V roce 2019 jde o příjmy z Operačního programu Doprava 2014-2020 a Operační program Zaměstnanost. </w:t>
      </w:r>
    </w:p>
    <w:p w:rsidR="001F16A2" w:rsidRPr="00554D10" w:rsidRDefault="001F16A2" w:rsidP="001F16A2">
      <w:pPr>
        <w:pStyle w:val="Styl1"/>
        <w:rPr>
          <w:color w:val="FF0000"/>
        </w:rPr>
      </w:pPr>
      <w:r w:rsidRPr="00DE7DDE">
        <w:t xml:space="preserve">Další součástí přijatých transferů jsou </w:t>
      </w:r>
      <w:r w:rsidRPr="00DE7DDE">
        <w:rPr>
          <w:u w:val="single"/>
        </w:rPr>
        <w:t>investiční transfery přijaté od Evropské unie</w:t>
      </w:r>
      <w:r w:rsidRPr="00DE7DDE">
        <w:t xml:space="preserve"> </w:t>
      </w:r>
      <w:r w:rsidR="006C7E5B">
        <w:br/>
      </w:r>
      <w:r w:rsidRPr="00DE7DDE">
        <w:t xml:space="preserve">ve výši 895 520 tis. Kč, </w:t>
      </w:r>
      <w:r w:rsidR="00DE7DDE" w:rsidRPr="00DE7DDE">
        <w:t>tj. 4,65</w:t>
      </w:r>
      <w:r w:rsidRPr="00DE7DDE">
        <w:t xml:space="preserve"> % z celkových příjmů, a </w:t>
      </w:r>
      <w:r w:rsidRPr="00DE7DDE">
        <w:rPr>
          <w:u w:val="single"/>
        </w:rPr>
        <w:t>neinvestiční transfery přijaté od Evropské unie</w:t>
      </w:r>
      <w:r w:rsidRPr="00DE7DDE">
        <w:t xml:space="preserve"> ve výši </w:t>
      </w:r>
      <w:r w:rsidRPr="00554D10">
        <w:t>30 135 tis. Kč, tj. 0,16 % z celkových příjmů. Tyto částky jsou tvořeny příjmy z komunitárních programů EU</w:t>
      </w:r>
      <w:r w:rsidRPr="00554D10">
        <w:rPr>
          <w:color w:val="FF0000"/>
        </w:rPr>
        <w:t xml:space="preserve">. </w:t>
      </w:r>
      <w:r w:rsidRPr="00554D10">
        <w:t>V roce 2019 jde pouze o příjmy z CEF – Nástroj pro propojení Evropy 2014+.</w:t>
      </w:r>
    </w:p>
    <w:p w:rsidR="001F16A2" w:rsidRPr="00554D10" w:rsidRDefault="001F16A2" w:rsidP="001F16A2">
      <w:pPr>
        <w:pStyle w:val="Styl1"/>
      </w:pPr>
      <w:r w:rsidRPr="00554D10">
        <w:t xml:space="preserve">Příjemcem uvedených „příjmů z rozpočtu Evropské unie“ je ústřední orgán Ministerstva dopravy.   </w:t>
      </w:r>
    </w:p>
    <w:p w:rsidR="001F16A2" w:rsidRPr="00570CCB" w:rsidRDefault="001F16A2" w:rsidP="001F16A2">
      <w:pPr>
        <w:pStyle w:val="Styl1"/>
        <w:rPr>
          <w:color w:val="FF0000"/>
        </w:rPr>
      </w:pPr>
      <w:r w:rsidRPr="00554D10">
        <w:t xml:space="preserve">Součástí souhrnného ukazatele příjmy celkem jsou dále </w:t>
      </w:r>
      <w:r w:rsidRPr="00554D10">
        <w:rPr>
          <w:u w:val="single"/>
        </w:rPr>
        <w:t>správní poplatky</w:t>
      </w:r>
      <w:r w:rsidRPr="00554D10">
        <w:t xml:space="preserve"> rozpočtované ve výši 170 000  tis. Kč, tj. 0,88 % souhrnného ukazatele. Jde především o poplatky za správní úkony, jejichž výsledkem jsou vydaná povolení, rozhodnutí apod. Nejvyšší měrou se na výběru správních poplatků podílí ústřední orgán Ministerstva dopravy, a to částkou 147 000 tis. Kč, </w:t>
      </w:r>
      <w:r w:rsidRPr="00570CCB">
        <w:t xml:space="preserve">což představuje 86,47 % z dané položky příjmů, dále Úřad pro civilní letectví </w:t>
      </w:r>
      <w:r w:rsidRPr="00570CCB">
        <w:br/>
        <w:t xml:space="preserve">částkou 16 000 tis. Kč, tj. 9,41 %, Státní plavební správa částkou 5 000 tis. Kč, tj. 2,94 % </w:t>
      </w:r>
      <w:r w:rsidR="006C7E5B">
        <w:br/>
      </w:r>
      <w:r w:rsidRPr="00570CCB">
        <w:t xml:space="preserve">a Drážní úřad částkou 2 000 tis. Kč, tj. 1,18 %. </w:t>
      </w:r>
    </w:p>
    <w:p w:rsidR="001F16A2" w:rsidRPr="00570CCB" w:rsidRDefault="001F16A2" w:rsidP="001F16A2">
      <w:pPr>
        <w:pStyle w:val="Styl1"/>
      </w:pPr>
      <w:r w:rsidRPr="00570CCB">
        <w:rPr>
          <w:u w:val="single"/>
        </w:rPr>
        <w:t>Příjmy z  vlastní činnosti</w:t>
      </w:r>
      <w:r w:rsidRPr="00570CCB">
        <w:t xml:space="preserve"> organizačních složek státu jsou rozpočtovány ve výši </w:t>
      </w:r>
      <w:r w:rsidRPr="00570CCB">
        <w:br/>
        <w:t>44 800 tis. Kč, což představuje 0,23 % souhrnného ukazatele příjmy celkem. Tyto příjmy vytváří především Úřad pro civilní letectví, a to ve výši 43 600 tis. Kč, tj.</w:t>
      </w:r>
      <w:r w:rsidRPr="00570CCB">
        <w:rPr>
          <w:color w:val="FF0000"/>
        </w:rPr>
        <w:t xml:space="preserve"> </w:t>
      </w:r>
      <w:r w:rsidRPr="00570CCB">
        <w:t>97,32 % z dané položky příjmů</w:t>
      </w:r>
      <w:r w:rsidRPr="00317FDC">
        <w:t>.</w:t>
      </w:r>
      <w:r w:rsidRPr="00570CCB">
        <w:rPr>
          <w:color w:val="FF0000"/>
        </w:rPr>
        <w:t xml:space="preserve"> </w:t>
      </w:r>
      <w:r w:rsidRPr="00570CCB">
        <w:t xml:space="preserve">Jde zejména o příjmy z poskytování letových navigačních služeb v souladu </w:t>
      </w:r>
      <w:r w:rsidRPr="00570CCB">
        <w:br/>
        <w:t>s nařízením EK č. 390/2013.</w:t>
      </w:r>
      <w:r w:rsidRPr="00570CCB">
        <w:rPr>
          <w:color w:val="FF0000"/>
        </w:rPr>
        <w:t xml:space="preserve"> </w:t>
      </w:r>
      <w:r w:rsidRPr="00570CCB">
        <w:t>Dále se na těchto příjmech podílí Ředitelství vodních cest ČR částkou</w:t>
      </w:r>
      <w:r w:rsidRPr="00570CCB">
        <w:rPr>
          <w:color w:val="FF0000"/>
        </w:rPr>
        <w:t xml:space="preserve"> </w:t>
      </w:r>
      <w:r w:rsidRPr="00570CCB">
        <w:t>1 200 tis. Kč, tj. podíl</w:t>
      </w:r>
      <w:r w:rsidRPr="00570CCB">
        <w:rPr>
          <w:color w:val="FF0000"/>
        </w:rPr>
        <w:t xml:space="preserve"> </w:t>
      </w:r>
      <w:r w:rsidRPr="00570CCB">
        <w:t>2,68 %, a to za služby poskytované při provozování říční přístavní infrastruktury.</w:t>
      </w:r>
    </w:p>
    <w:p w:rsidR="001F16A2" w:rsidRPr="003B3E63" w:rsidRDefault="001F16A2" w:rsidP="001F16A2">
      <w:pPr>
        <w:pStyle w:val="Styl1"/>
        <w:rPr>
          <w:color w:val="FF0000"/>
          <w:highlight w:val="yellow"/>
        </w:rPr>
      </w:pPr>
      <w:r w:rsidRPr="00570CCB">
        <w:rPr>
          <w:u w:val="single"/>
        </w:rPr>
        <w:t>Odvody přebytků organizací s přímým vztahem</w:t>
      </w:r>
      <w:r w:rsidRPr="00570CCB">
        <w:t xml:space="preserve"> jsou rozpočtovány ve výši </w:t>
      </w:r>
      <w:r w:rsidRPr="003B3E63">
        <w:rPr>
          <w:highlight w:val="yellow"/>
        </w:rPr>
        <w:br/>
      </w:r>
      <w:r w:rsidRPr="00570CCB">
        <w:t>130 000 tis. Kč, tj</w:t>
      </w:r>
      <w:r w:rsidR="00570CCB" w:rsidRPr="00570CCB">
        <w:t>. 0,68</w:t>
      </w:r>
      <w:r w:rsidRPr="00570CCB">
        <w:t xml:space="preserve"> % souhrnného ukazatele. V plné výši jde o příjmy z fondu zakladatele. </w:t>
      </w:r>
      <w:r w:rsidRPr="00E076EA">
        <w:t xml:space="preserve">Ministerstvo dopravy rozhodlo v roce 2014 o vytvoření fondu zakladatele u státního podniku Řízení letového provozu ČR, a to v souladu se zákonem č. 213/2013 Sb., kterým se mění zákon č. 77/1997 Sb., o státním podniku, ve znění pozdějších předpisů. </w:t>
      </w:r>
    </w:p>
    <w:p w:rsidR="001F16A2" w:rsidRPr="00E076EA" w:rsidRDefault="001F16A2" w:rsidP="001F16A2">
      <w:pPr>
        <w:pStyle w:val="Styl1"/>
        <w:rPr>
          <w:color w:val="FF0000"/>
        </w:rPr>
      </w:pPr>
      <w:r w:rsidRPr="00E076EA">
        <w:rPr>
          <w:u w:val="single"/>
        </w:rPr>
        <w:t>Příjmy z pronájmu majetku</w:t>
      </w:r>
      <w:r w:rsidRPr="00E076EA">
        <w:t xml:space="preserve"> jsou rozpočtovány částkou 31 047 tis. Kč, tj. 0,16 % souhrnného ukazatele. Na tvorbě tohoto druhu příjmů se podílí ústřední orgán Ministerstva dopravy částkou</w:t>
      </w:r>
      <w:r w:rsidRPr="00E076EA">
        <w:rPr>
          <w:color w:val="FF0000"/>
        </w:rPr>
        <w:t xml:space="preserve"> </w:t>
      </w:r>
      <w:r w:rsidRPr="00E076EA">
        <w:t xml:space="preserve">26 017 tis. Kč, což představuje 83,80 % uvedených příjmů, Ředitelství vodních cest ČR částkou 4 800 tis. Kč, tj. 15,46 %, a Státní plavební správa </w:t>
      </w:r>
      <w:r w:rsidRPr="00E076EA">
        <w:br/>
        <w:t>částkou</w:t>
      </w:r>
      <w:r w:rsidRPr="00E076EA">
        <w:rPr>
          <w:color w:val="FF0000"/>
        </w:rPr>
        <w:t xml:space="preserve"> </w:t>
      </w:r>
      <w:r w:rsidRPr="00E076EA">
        <w:t>230 tis. Kč, tj. 0,74 %.</w:t>
      </w:r>
    </w:p>
    <w:p w:rsidR="001F16A2" w:rsidRPr="00E076EA" w:rsidRDefault="001F16A2" w:rsidP="001F16A2">
      <w:pPr>
        <w:pStyle w:val="Styl1"/>
      </w:pPr>
      <w:r w:rsidRPr="00E076EA">
        <w:rPr>
          <w:u w:val="single"/>
        </w:rPr>
        <w:t>Výnosy z finančního majetku</w:t>
      </w:r>
      <w:r w:rsidRPr="00E076EA">
        <w:t xml:space="preserve"> jsou rozpočtovány ve výši 15 tis. Kč.</w:t>
      </w:r>
      <w:r w:rsidRPr="00E076EA">
        <w:rPr>
          <w:color w:val="FF0000"/>
        </w:rPr>
        <w:t xml:space="preserve"> </w:t>
      </w:r>
      <w:r w:rsidRPr="00E076EA">
        <w:t>Jde o přijaté úroky z bankovních účtů, které byly zřízeny k platebním kartám pro pracovní cesty zaměstnanců ministerstva.</w:t>
      </w:r>
      <w:r w:rsidRPr="00E076EA">
        <w:rPr>
          <w:color w:val="FF0000"/>
        </w:rPr>
        <w:t xml:space="preserve"> </w:t>
      </w:r>
      <w:r w:rsidRPr="00E076EA">
        <w:t xml:space="preserve">Tyto příjmy jsou rozpočtovány pouze u ústředního orgánu Ministerstva dopravy. </w:t>
      </w:r>
    </w:p>
    <w:p w:rsidR="001F16A2" w:rsidRPr="00E076EA" w:rsidRDefault="001F16A2" w:rsidP="001F16A2">
      <w:pPr>
        <w:pStyle w:val="Styl1"/>
      </w:pPr>
      <w:r w:rsidRPr="00E076EA">
        <w:rPr>
          <w:u w:val="single"/>
        </w:rPr>
        <w:lastRenderedPageBreak/>
        <w:t>Přijaté sankční platby</w:t>
      </w:r>
      <w:r w:rsidRPr="00E076EA">
        <w:t xml:space="preserve"> jsou rozpočtovány ve výši</w:t>
      </w:r>
      <w:r w:rsidRPr="00E076EA">
        <w:rPr>
          <w:color w:val="FF0000"/>
        </w:rPr>
        <w:t xml:space="preserve"> </w:t>
      </w:r>
      <w:r w:rsidRPr="00E076EA">
        <w:t xml:space="preserve">1 068 tis. Kč, tj. 0,01 % souhrnného ukazatele. Jde o pokuty udělené za porušení obecně závazných předpisů v rámci činností souvisejících s dopravou. Nejvyšší přijaté sankční platby jsou rozpočtovány u Úřadu pro civilní letectví částkou 400 tis. Kč, což představuje 37,45 % z uvedených příjmů, dále u Drážního úřadu částkou 342 tis. Kč, tj. 32,02 % a v poslední řadě u Ministerstva dopravy </w:t>
      </w:r>
      <w:r w:rsidRPr="00E076EA">
        <w:br/>
        <w:t xml:space="preserve">ve výši 326 tis. Kč, tj. 30, 52 %. </w:t>
      </w:r>
    </w:p>
    <w:p w:rsidR="001F16A2" w:rsidRPr="003B3E63" w:rsidRDefault="0035351F" w:rsidP="001F16A2">
      <w:pPr>
        <w:pStyle w:val="Styl1"/>
        <w:rPr>
          <w:highlight w:val="yellow"/>
        </w:rPr>
      </w:pPr>
      <w:r>
        <w:rPr>
          <w:u w:val="single"/>
        </w:rPr>
        <w:t xml:space="preserve">Přijaté nekapitálové </w:t>
      </w:r>
      <w:r w:rsidR="001F16A2" w:rsidRPr="00E076EA">
        <w:rPr>
          <w:u w:val="single"/>
        </w:rPr>
        <w:t>příspěvky a náhrady</w:t>
      </w:r>
      <w:r w:rsidR="001F16A2" w:rsidRPr="00E076EA">
        <w:t xml:space="preserve"> jsou rozpočtovány ve výši </w:t>
      </w:r>
      <w:r w:rsidR="001F16A2" w:rsidRPr="00E0764A">
        <w:t>70 tis. Kč</w:t>
      </w:r>
      <w:r w:rsidR="00684281">
        <w:t>,</w:t>
      </w:r>
      <w:r w:rsidR="00E0764A">
        <w:t xml:space="preserve"> a to </w:t>
      </w:r>
      <w:r>
        <w:br/>
      </w:r>
      <w:r w:rsidR="00E0764A">
        <w:t>u Státní plavební správy.</w:t>
      </w:r>
    </w:p>
    <w:p w:rsidR="001F16A2" w:rsidRDefault="001F16A2" w:rsidP="001F16A2">
      <w:pPr>
        <w:pStyle w:val="Styl1"/>
      </w:pPr>
      <w:r w:rsidRPr="00E0764A">
        <w:t>Srovnání konstrukce souhrnného ukazatele „Daňové příjmy, nedaňové příjmy, kapitálové příjmy a přijaté transfery celkem“ pro rok 2019 se schváleným rozpočtem roku 2018 vyjadřuje následující tabulka.</w:t>
      </w:r>
    </w:p>
    <w:p w:rsidR="00D910C9" w:rsidRPr="00D910C9" w:rsidRDefault="00024ED6" w:rsidP="00D910C9">
      <w:pPr>
        <w:pStyle w:val="Titulek"/>
        <w:keepNext/>
      </w:pPr>
      <w:r w:rsidRPr="00D355B6">
        <w:t xml:space="preserve">Tabulka </w:t>
      </w:r>
      <w:proofErr w:type="gramStart"/>
      <w:r w:rsidRPr="00D355B6">
        <w:t xml:space="preserve">č. </w:t>
      </w:r>
      <w:r w:rsidR="0001421C" w:rsidRPr="00D355B6">
        <w:rPr>
          <w:noProof/>
        </w:rPr>
        <w:fldChar w:fldCharType="begin"/>
      </w:r>
      <w:r w:rsidR="0001421C" w:rsidRPr="00D355B6">
        <w:rPr>
          <w:noProof/>
        </w:rPr>
        <w:instrText xml:space="preserve"> SEQ Tabulka \* ARABIC </w:instrText>
      </w:r>
      <w:r w:rsidR="0001421C" w:rsidRPr="00D355B6">
        <w:rPr>
          <w:noProof/>
        </w:rPr>
        <w:fldChar w:fldCharType="separate"/>
      </w:r>
      <w:r w:rsidR="00AF5225">
        <w:rPr>
          <w:noProof/>
        </w:rPr>
        <w:t>3</w:t>
      </w:r>
      <w:r w:rsidR="0001421C" w:rsidRPr="00D355B6">
        <w:rPr>
          <w:noProof/>
        </w:rPr>
        <w:fldChar w:fldCharType="end"/>
      </w:r>
      <w:r w:rsidRPr="00D355B6">
        <w:t xml:space="preserve"> Druhové</w:t>
      </w:r>
      <w:proofErr w:type="gramEnd"/>
      <w:r w:rsidRPr="00D355B6">
        <w:t xml:space="preserve"> členění příjmů celkem (v tis. Kč)</w:t>
      </w:r>
    </w:p>
    <w:tbl>
      <w:tblPr>
        <w:tblStyle w:val="Svtltabulkasmkou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110"/>
        <w:gridCol w:w="1440"/>
        <w:gridCol w:w="1440"/>
        <w:gridCol w:w="1072"/>
      </w:tblGrid>
      <w:tr w:rsidR="009275E0" w:rsidRPr="00B77E56" w:rsidTr="00A13925">
        <w:tc>
          <w:tcPr>
            <w:tcW w:w="511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9275E0" w:rsidRPr="00B77E56" w:rsidRDefault="009275E0" w:rsidP="00146324">
            <w:pPr>
              <w:pStyle w:val="Zkladntext"/>
              <w:jc w:val="center"/>
              <w:rPr>
                <w:b/>
                <w:color w:val="FF0000"/>
              </w:rPr>
            </w:pPr>
            <w:r w:rsidRPr="00357CB9">
              <w:rPr>
                <w:b/>
              </w:rPr>
              <w:t>Ukazatel</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9275E0" w:rsidRPr="00357CB9" w:rsidRDefault="009275E0" w:rsidP="00DE7DDE">
            <w:pPr>
              <w:jc w:val="center"/>
              <w:rPr>
                <w:rFonts w:cs="Times New Roman"/>
                <w:b/>
                <w:szCs w:val="24"/>
              </w:rPr>
            </w:pPr>
            <w:r w:rsidRPr="00357CB9">
              <w:rPr>
                <w:rFonts w:cs="Times New Roman"/>
                <w:b/>
                <w:szCs w:val="24"/>
              </w:rPr>
              <w:t>Schválený</w:t>
            </w:r>
          </w:p>
          <w:p w:rsidR="009275E0" w:rsidRPr="00357CB9" w:rsidRDefault="009275E0" w:rsidP="00DE7DDE">
            <w:pPr>
              <w:jc w:val="center"/>
              <w:rPr>
                <w:rFonts w:cs="Times New Roman"/>
                <w:b/>
                <w:szCs w:val="24"/>
              </w:rPr>
            </w:pPr>
            <w:r w:rsidRPr="00357CB9">
              <w:rPr>
                <w:rFonts w:cs="Times New Roman"/>
                <w:b/>
                <w:szCs w:val="24"/>
              </w:rPr>
              <w:t>rozpočet</w:t>
            </w:r>
          </w:p>
          <w:p w:rsidR="009275E0" w:rsidRPr="00357CB9" w:rsidRDefault="009275E0" w:rsidP="00DE7DDE">
            <w:pPr>
              <w:jc w:val="center"/>
              <w:rPr>
                <w:rFonts w:cs="Times New Roman"/>
                <w:b/>
                <w:szCs w:val="24"/>
              </w:rPr>
            </w:pPr>
            <w:r w:rsidRPr="00357CB9">
              <w:rPr>
                <w:rFonts w:cs="Times New Roman"/>
                <w:b/>
                <w:szCs w:val="24"/>
              </w:rPr>
              <w:t>2018</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9275E0" w:rsidRPr="00357CB9" w:rsidRDefault="009275E0" w:rsidP="00DE7DDE">
            <w:pPr>
              <w:jc w:val="center"/>
              <w:rPr>
                <w:rFonts w:cs="Times New Roman"/>
                <w:b/>
                <w:szCs w:val="24"/>
              </w:rPr>
            </w:pPr>
            <w:r w:rsidRPr="00357CB9">
              <w:rPr>
                <w:rFonts w:cs="Times New Roman"/>
                <w:b/>
                <w:szCs w:val="24"/>
              </w:rPr>
              <w:t>Návrh</w:t>
            </w:r>
          </w:p>
          <w:p w:rsidR="009275E0" w:rsidRPr="00357CB9" w:rsidRDefault="009275E0" w:rsidP="00DE7DDE">
            <w:pPr>
              <w:jc w:val="center"/>
              <w:rPr>
                <w:rFonts w:cs="Times New Roman"/>
                <w:b/>
                <w:szCs w:val="24"/>
              </w:rPr>
            </w:pPr>
            <w:r w:rsidRPr="00357CB9">
              <w:rPr>
                <w:rFonts w:cs="Times New Roman"/>
                <w:b/>
                <w:szCs w:val="24"/>
              </w:rPr>
              <w:t>rozpočtu</w:t>
            </w:r>
          </w:p>
          <w:p w:rsidR="009275E0" w:rsidRPr="00357CB9" w:rsidRDefault="009275E0" w:rsidP="00DE7DDE">
            <w:pPr>
              <w:jc w:val="center"/>
              <w:rPr>
                <w:rFonts w:cs="Times New Roman"/>
                <w:b/>
                <w:szCs w:val="24"/>
              </w:rPr>
            </w:pPr>
            <w:r w:rsidRPr="00357CB9">
              <w:rPr>
                <w:rFonts w:cs="Times New Roman"/>
                <w:b/>
                <w:szCs w:val="24"/>
              </w:rPr>
              <w:t>2019</w:t>
            </w:r>
          </w:p>
        </w:tc>
        <w:tc>
          <w:tcPr>
            <w:tcW w:w="1072"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9275E0" w:rsidRPr="00357CB9" w:rsidRDefault="009275E0" w:rsidP="00DE7DDE">
            <w:pPr>
              <w:jc w:val="center"/>
              <w:rPr>
                <w:rFonts w:cs="Times New Roman"/>
                <w:b/>
                <w:szCs w:val="24"/>
              </w:rPr>
            </w:pPr>
            <w:r w:rsidRPr="00357CB9">
              <w:rPr>
                <w:rFonts w:cs="Times New Roman"/>
                <w:b/>
                <w:szCs w:val="24"/>
              </w:rPr>
              <w:t>Index</w:t>
            </w:r>
          </w:p>
          <w:p w:rsidR="009275E0" w:rsidRPr="00357CB9" w:rsidRDefault="009275E0" w:rsidP="00DE7DDE">
            <w:pPr>
              <w:jc w:val="center"/>
              <w:rPr>
                <w:rFonts w:cs="Times New Roman"/>
                <w:b/>
                <w:szCs w:val="24"/>
              </w:rPr>
            </w:pPr>
            <w:r w:rsidRPr="00357CB9">
              <w:rPr>
                <w:rFonts w:cs="Times New Roman"/>
                <w:b/>
                <w:szCs w:val="24"/>
              </w:rPr>
              <w:t>2019/</w:t>
            </w:r>
            <w:r w:rsidR="00A13925">
              <w:rPr>
                <w:rFonts w:cs="Times New Roman"/>
                <w:b/>
                <w:szCs w:val="24"/>
              </w:rPr>
              <w:br/>
            </w:r>
            <w:r w:rsidRPr="00357CB9">
              <w:rPr>
                <w:rFonts w:cs="Times New Roman"/>
                <w:b/>
                <w:szCs w:val="24"/>
              </w:rPr>
              <w:t>2018</w:t>
            </w:r>
          </w:p>
          <w:p w:rsidR="009275E0" w:rsidRPr="00357CB9" w:rsidRDefault="009275E0" w:rsidP="00DE7DDE">
            <w:pPr>
              <w:jc w:val="center"/>
              <w:rPr>
                <w:rFonts w:cs="Times New Roman"/>
                <w:b/>
                <w:szCs w:val="24"/>
              </w:rPr>
            </w:pPr>
            <w:r w:rsidRPr="00357CB9">
              <w:rPr>
                <w:rFonts w:cs="Times New Roman"/>
                <w:b/>
                <w:szCs w:val="24"/>
              </w:rPr>
              <w:t>(v %)</w:t>
            </w:r>
          </w:p>
        </w:tc>
      </w:tr>
      <w:tr w:rsidR="009275E0" w:rsidRPr="00B77E56" w:rsidTr="00A13925">
        <w:tc>
          <w:tcPr>
            <w:tcW w:w="5110" w:type="dxa"/>
            <w:tcBorders>
              <w:top w:val="single" w:sz="8" w:space="0" w:color="7F7F7F" w:themeColor="text1" w:themeTint="80"/>
              <w:bottom w:val="single" w:sz="8" w:space="0" w:color="7F7F7F" w:themeColor="text1" w:themeTint="80"/>
            </w:tcBorders>
          </w:tcPr>
          <w:p w:rsidR="009275E0" w:rsidRPr="009275E0" w:rsidRDefault="009275E0" w:rsidP="00DE7DDE">
            <w:pPr>
              <w:rPr>
                <w:rFonts w:cs="Times New Roman"/>
                <w:b/>
                <w:szCs w:val="24"/>
              </w:rPr>
            </w:pPr>
            <w:r w:rsidRPr="009275E0">
              <w:rPr>
                <w:rFonts w:cs="Times New Roman"/>
                <w:b/>
                <w:szCs w:val="24"/>
              </w:rPr>
              <w:t xml:space="preserve">Daňové příjmy, nedaňové příjmy, kapitálové příjmy a přijaté transfery celkem </w:t>
            </w:r>
            <w:r w:rsidRPr="009275E0">
              <w:rPr>
                <w:rFonts w:cs="Times New Roman"/>
              </w:rPr>
              <w:t>v tom:</w:t>
            </w:r>
          </w:p>
        </w:tc>
        <w:tc>
          <w:tcPr>
            <w:tcW w:w="1440" w:type="dxa"/>
            <w:tcBorders>
              <w:top w:val="single" w:sz="8" w:space="0" w:color="7F7F7F" w:themeColor="text1" w:themeTint="80"/>
              <w:bottom w:val="single" w:sz="8" w:space="0" w:color="7F7F7F" w:themeColor="text1" w:themeTint="80"/>
            </w:tcBorders>
            <w:vAlign w:val="center"/>
          </w:tcPr>
          <w:p w:rsidR="009275E0" w:rsidRPr="009275E0" w:rsidRDefault="009275E0" w:rsidP="00DE7DDE">
            <w:pPr>
              <w:pStyle w:val="Zkladntext"/>
              <w:spacing w:before="120"/>
              <w:jc w:val="right"/>
              <w:rPr>
                <w:b/>
                <w:bCs w:val="0"/>
              </w:rPr>
            </w:pPr>
            <w:r w:rsidRPr="009275E0">
              <w:rPr>
                <w:b/>
                <w:bCs w:val="0"/>
              </w:rPr>
              <w:t>16 676 665</w:t>
            </w:r>
          </w:p>
        </w:tc>
        <w:tc>
          <w:tcPr>
            <w:tcW w:w="1440" w:type="dxa"/>
            <w:tcBorders>
              <w:top w:val="single" w:sz="8" w:space="0" w:color="7F7F7F" w:themeColor="text1" w:themeTint="80"/>
              <w:bottom w:val="single" w:sz="8" w:space="0" w:color="7F7F7F" w:themeColor="text1" w:themeTint="80"/>
            </w:tcBorders>
            <w:vAlign w:val="center"/>
          </w:tcPr>
          <w:p w:rsidR="009275E0" w:rsidRPr="009275E0" w:rsidRDefault="00C36BFF" w:rsidP="00DE7DDE">
            <w:pPr>
              <w:pStyle w:val="Zkladntext"/>
              <w:spacing w:before="120"/>
              <w:jc w:val="right"/>
              <w:rPr>
                <w:b/>
                <w:bCs w:val="0"/>
                <w:color w:val="FF0000"/>
              </w:rPr>
            </w:pPr>
            <w:r w:rsidRPr="00C36BFF">
              <w:rPr>
                <w:b/>
                <w:bCs w:val="0"/>
              </w:rPr>
              <w:t>19 246 733</w:t>
            </w:r>
          </w:p>
        </w:tc>
        <w:tc>
          <w:tcPr>
            <w:tcW w:w="1072" w:type="dxa"/>
            <w:tcBorders>
              <w:top w:val="single" w:sz="8" w:space="0" w:color="7F7F7F" w:themeColor="text1" w:themeTint="80"/>
              <w:bottom w:val="single" w:sz="8" w:space="0" w:color="7F7F7F" w:themeColor="text1" w:themeTint="80"/>
            </w:tcBorders>
            <w:vAlign w:val="center"/>
          </w:tcPr>
          <w:p w:rsidR="009275E0" w:rsidRPr="009275E0" w:rsidRDefault="00C36BFF" w:rsidP="00DE7DDE">
            <w:pPr>
              <w:pStyle w:val="Zkladntext"/>
              <w:spacing w:before="120"/>
              <w:jc w:val="right"/>
              <w:rPr>
                <w:b/>
                <w:bCs w:val="0"/>
                <w:color w:val="FF0000"/>
              </w:rPr>
            </w:pPr>
            <w:r w:rsidRPr="00C36BFF">
              <w:rPr>
                <w:b/>
                <w:bCs w:val="0"/>
              </w:rPr>
              <w:t>115,41</w:t>
            </w:r>
          </w:p>
        </w:tc>
      </w:tr>
      <w:tr w:rsidR="009275E0" w:rsidRPr="00B77E56" w:rsidTr="00A13925">
        <w:tc>
          <w:tcPr>
            <w:tcW w:w="5110" w:type="dxa"/>
          </w:tcPr>
          <w:p w:rsidR="009275E0" w:rsidRPr="009275E0" w:rsidRDefault="009275E0" w:rsidP="00DE7DDE">
            <w:pPr>
              <w:rPr>
                <w:rFonts w:cs="Times New Roman"/>
                <w:szCs w:val="24"/>
              </w:rPr>
            </w:pPr>
            <w:r w:rsidRPr="009275E0">
              <w:rPr>
                <w:rFonts w:cs="Times New Roman"/>
                <w:szCs w:val="24"/>
              </w:rPr>
              <w:t>správní poplatky</w:t>
            </w:r>
          </w:p>
        </w:tc>
        <w:tc>
          <w:tcPr>
            <w:tcW w:w="1440" w:type="dxa"/>
            <w:vAlign w:val="center"/>
          </w:tcPr>
          <w:p w:rsidR="009275E0" w:rsidRPr="009275E0" w:rsidRDefault="009275E0" w:rsidP="00DE7DDE">
            <w:pPr>
              <w:pStyle w:val="Zkladntext"/>
              <w:jc w:val="right"/>
            </w:pPr>
            <w:r w:rsidRPr="009275E0">
              <w:t>80 000</w:t>
            </w:r>
          </w:p>
        </w:tc>
        <w:tc>
          <w:tcPr>
            <w:tcW w:w="1440" w:type="dxa"/>
            <w:vAlign w:val="center"/>
          </w:tcPr>
          <w:p w:rsidR="009275E0" w:rsidRPr="009275E0" w:rsidRDefault="009275E0" w:rsidP="00DE7DDE">
            <w:pPr>
              <w:pStyle w:val="Zkladntext"/>
              <w:jc w:val="right"/>
              <w:rPr>
                <w:color w:val="FF0000"/>
              </w:rPr>
            </w:pPr>
            <w:r w:rsidRPr="00C36BFF">
              <w:t>170 000</w:t>
            </w:r>
          </w:p>
        </w:tc>
        <w:tc>
          <w:tcPr>
            <w:tcW w:w="1072" w:type="dxa"/>
            <w:vAlign w:val="center"/>
          </w:tcPr>
          <w:p w:rsidR="009275E0" w:rsidRPr="009275E0" w:rsidRDefault="009275E0" w:rsidP="00DE7DDE">
            <w:pPr>
              <w:pStyle w:val="Zkladntext"/>
              <w:jc w:val="right"/>
              <w:rPr>
                <w:color w:val="FF0000"/>
              </w:rPr>
            </w:pPr>
            <w:r w:rsidRPr="00C36BFF">
              <w:t xml:space="preserve">212,50 </w:t>
            </w:r>
          </w:p>
        </w:tc>
      </w:tr>
      <w:tr w:rsidR="009275E0" w:rsidRPr="00B77E56" w:rsidTr="00A13925">
        <w:tc>
          <w:tcPr>
            <w:tcW w:w="5110" w:type="dxa"/>
          </w:tcPr>
          <w:p w:rsidR="009275E0" w:rsidRPr="009275E0" w:rsidRDefault="009275E0" w:rsidP="00DE7DDE">
            <w:pPr>
              <w:ind w:left="180" w:hanging="180"/>
              <w:rPr>
                <w:rFonts w:cs="Times New Roman"/>
                <w:szCs w:val="24"/>
              </w:rPr>
            </w:pPr>
            <w:r w:rsidRPr="009275E0">
              <w:rPr>
                <w:rFonts w:cs="Times New Roman"/>
                <w:szCs w:val="24"/>
              </w:rPr>
              <w:t>příjmy z vlastní činnosti</w:t>
            </w:r>
          </w:p>
        </w:tc>
        <w:tc>
          <w:tcPr>
            <w:tcW w:w="1440" w:type="dxa"/>
            <w:vAlign w:val="center"/>
          </w:tcPr>
          <w:p w:rsidR="009275E0" w:rsidRPr="009275E0" w:rsidRDefault="009275E0" w:rsidP="00DE7DDE">
            <w:pPr>
              <w:pStyle w:val="Zkladntext"/>
              <w:jc w:val="right"/>
            </w:pPr>
            <w:r w:rsidRPr="009275E0">
              <w:t>44 085</w:t>
            </w:r>
          </w:p>
        </w:tc>
        <w:tc>
          <w:tcPr>
            <w:tcW w:w="1440" w:type="dxa"/>
            <w:vAlign w:val="center"/>
          </w:tcPr>
          <w:p w:rsidR="009275E0" w:rsidRPr="00D355B6" w:rsidRDefault="009275E0" w:rsidP="00DE7DDE">
            <w:pPr>
              <w:pStyle w:val="Zkladntext"/>
              <w:jc w:val="right"/>
            </w:pPr>
            <w:r w:rsidRPr="00D355B6">
              <w:t>44 800</w:t>
            </w:r>
          </w:p>
        </w:tc>
        <w:tc>
          <w:tcPr>
            <w:tcW w:w="1072" w:type="dxa"/>
            <w:vAlign w:val="center"/>
          </w:tcPr>
          <w:p w:rsidR="009275E0" w:rsidRPr="009275E0" w:rsidRDefault="009275E0" w:rsidP="00DE7DDE">
            <w:pPr>
              <w:pStyle w:val="Zkladntext"/>
              <w:jc w:val="right"/>
              <w:rPr>
                <w:color w:val="FF0000"/>
              </w:rPr>
            </w:pPr>
            <w:r w:rsidRPr="00D355B6">
              <w:t>101,62</w:t>
            </w:r>
          </w:p>
        </w:tc>
      </w:tr>
      <w:tr w:rsidR="009275E0" w:rsidRPr="00B77E56" w:rsidTr="00A13925">
        <w:tc>
          <w:tcPr>
            <w:tcW w:w="5110" w:type="dxa"/>
          </w:tcPr>
          <w:p w:rsidR="009275E0" w:rsidRPr="009275E0" w:rsidRDefault="009275E0" w:rsidP="00DE7DDE">
            <w:pPr>
              <w:ind w:left="180" w:hanging="180"/>
              <w:rPr>
                <w:rFonts w:cs="Times New Roman"/>
                <w:bCs/>
                <w:szCs w:val="24"/>
              </w:rPr>
            </w:pPr>
            <w:r w:rsidRPr="009275E0">
              <w:rPr>
                <w:rFonts w:cs="Times New Roman"/>
                <w:szCs w:val="24"/>
              </w:rPr>
              <w:t>odvody přebytků organizací s přímým vztahem</w:t>
            </w:r>
          </w:p>
        </w:tc>
        <w:tc>
          <w:tcPr>
            <w:tcW w:w="1440" w:type="dxa"/>
            <w:vAlign w:val="center"/>
          </w:tcPr>
          <w:p w:rsidR="009275E0" w:rsidRPr="009275E0" w:rsidRDefault="009275E0" w:rsidP="00DE7DDE">
            <w:pPr>
              <w:pStyle w:val="Zkladntext"/>
              <w:jc w:val="right"/>
              <w:rPr>
                <w:bCs w:val="0"/>
              </w:rPr>
            </w:pPr>
            <w:r w:rsidRPr="009275E0">
              <w:rPr>
                <w:bCs w:val="0"/>
              </w:rPr>
              <w:t>100 000</w:t>
            </w:r>
          </w:p>
        </w:tc>
        <w:tc>
          <w:tcPr>
            <w:tcW w:w="1440" w:type="dxa"/>
            <w:vAlign w:val="center"/>
          </w:tcPr>
          <w:p w:rsidR="009275E0" w:rsidRPr="00D355B6" w:rsidRDefault="009275E0" w:rsidP="00DE7DDE">
            <w:pPr>
              <w:pStyle w:val="Zkladntext"/>
              <w:jc w:val="right"/>
              <w:rPr>
                <w:bCs w:val="0"/>
              </w:rPr>
            </w:pPr>
            <w:r w:rsidRPr="00D355B6">
              <w:rPr>
                <w:bCs w:val="0"/>
              </w:rPr>
              <w:t>130 000</w:t>
            </w:r>
          </w:p>
        </w:tc>
        <w:tc>
          <w:tcPr>
            <w:tcW w:w="1072" w:type="dxa"/>
            <w:vAlign w:val="center"/>
          </w:tcPr>
          <w:p w:rsidR="009275E0" w:rsidRPr="009275E0" w:rsidRDefault="009275E0" w:rsidP="00DE7DDE">
            <w:pPr>
              <w:pStyle w:val="Zkladntext"/>
              <w:jc w:val="right"/>
              <w:rPr>
                <w:bCs w:val="0"/>
                <w:color w:val="FF0000"/>
              </w:rPr>
            </w:pPr>
            <w:r w:rsidRPr="00D355B6">
              <w:rPr>
                <w:bCs w:val="0"/>
              </w:rPr>
              <w:t>130,00</w:t>
            </w:r>
          </w:p>
        </w:tc>
      </w:tr>
      <w:tr w:rsidR="009275E0" w:rsidRPr="00B77E56" w:rsidTr="00A13925">
        <w:tc>
          <w:tcPr>
            <w:tcW w:w="5110" w:type="dxa"/>
          </w:tcPr>
          <w:p w:rsidR="009275E0" w:rsidRPr="009275E0" w:rsidRDefault="009275E0" w:rsidP="00DE7DDE">
            <w:pPr>
              <w:ind w:left="180" w:hanging="180"/>
              <w:rPr>
                <w:rFonts w:cs="Times New Roman"/>
                <w:szCs w:val="24"/>
              </w:rPr>
            </w:pPr>
            <w:r w:rsidRPr="009275E0">
              <w:rPr>
                <w:rFonts w:cs="Times New Roman"/>
                <w:szCs w:val="24"/>
              </w:rPr>
              <w:t>příjmy z pronájmu majetku</w:t>
            </w:r>
          </w:p>
        </w:tc>
        <w:tc>
          <w:tcPr>
            <w:tcW w:w="1440" w:type="dxa"/>
            <w:vAlign w:val="center"/>
          </w:tcPr>
          <w:p w:rsidR="009275E0" w:rsidRPr="009275E0" w:rsidRDefault="009275E0" w:rsidP="00DE7DDE">
            <w:pPr>
              <w:pStyle w:val="Zkladntext"/>
              <w:jc w:val="right"/>
            </w:pPr>
            <w:r w:rsidRPr="009275E0">
              <w:t>34 200</w:t>
            </w:r>
          </w:p>
        </w:tc>
        <w:tc>
          <w:tcPr>
            <w:tcW w:w="1440" w:type="dxa"/>
            <w:vAlign w:val="center"/>
          </w:tcPr>
          <w:p w:rsidR="009275E0" w:rsidRPr="00D355B6" w:rsidRDefault="009275E0" w:rsidP="00DE7DDE">
            <w:pPr>
              <w:pStyle w:val="Zkladntext"/>
              <w:jc w:val="right"/>
            </w:pPr>
            <w:r w:rsidRPr="00D355B6">
              <w:t>31 047</w:t>
            </w:r>
          </w:p>
        </w:tc>
        <w:tc>
          <w:tcPr>
            <w:tcW w:w="1072" w:type="dxa"/>
            <w:vAlign w:val="center"/>
          </w:tcPr>
          <w:p w:rsidR="009275E0" w:rsidRPr="009275E0" w:rsidRDefault="009275E0" w:rsidP="00DE7DDE">
            <w:pPr>
              <w:pStyle w:val="Zkladntext"/>
              <w:jc w:val="right"/>
              <w:rPr>
                <w:color w:val="FF0000"/>
              </w:rPr>
            </w:pPr>
            <w:r w:rsidRPr="00D355B6">
              <w:t>90,78</w:t>
            </w:r>
          </w:p>
        </w:tc>
      </w:tr>
      <w:tr w:rsidR="009275E0" w:rsidRPr="00B77E56" w:rsidTr="00A13925">
        <w:tc>
          <w:tcPr>
            <w:tcW w:w="5110" w:type="dxa"/>
          </w:tcPr>
          <w:p w:rsidR="009275E0" w:rsidRPr="009275E0" w:rsidRDefault="009275E0" w:rsidP="00DE7DDE">
            <w:pPr>
              <w:ind w:left="180" w:hanging="180"/>
              <w:rPr>
                <w:rFonts w:cs="Times New Roman"/>
                <w:szCs w:val="24"/>
              </w:rPr>
            </w:pPr>
            <w:r w:rsidRPr="009275E0">
              <w:rPr>
                <w:rFonts w:cs="Times New Roman"/>
                <w:szCs w:val="24"/>
              </w:rPr>
              <w:t>výnosy z finančního majetku</w:t>
            </w:r>
          </w:p>
        </w:tc>
        <w:tc>
          <w:tcPr>
            <w:tcW w:w="1440" w:type="dxa"/>
            <w:vAlign w:val="center"/>
          </w:tcPr>
          <w:p w:rsidR="009275E0" w:rsidRPr="009275E0" w:rsidRDefault="009275E0" w:rsidP="00DE7DDE">
            <w:pPr>
              <w:pStyle w:val="Zkladntext"/>
              <w:jc w:val="right"/>
              <w:rPr>
                <w:bCs w:val="0"/>
              </w:rPr>
            </w:pPr>
            <w:r w:rsidRPr="009275E0">
              <w:rPr>
                <w:bCs w:val="0"/>
              </w:rPr>
              <w:t>15</w:t>
            </w:r>
          </w:p>
        </w:tc>
        <w:tc>
          <w:tcPr>
            <w:tcW w:w="1440" w:type="dxa"/>
            <w:tcBorders>
              <w:bottom w:val="single" w:sz="4" w:space="0" w:color="7F7F7F" w:themeColor="text1" w:themeTint="80"/>
            </w:tcBorders>
            <w:vAlign w:val="center"/>
          </w:tcPr>
          <w:p w:rsidR="009275E0" w:rsidRPr="00D355B6" w:rsidRDefault="009275E0" w:rsidP="00DE7DDE">
            <w:pPr>
              <w:pStyle w:val="Zkladntext"/>
              <w:jc w:val="right"/>
              <w:rPr>
                <w:bCs w:val="0"/>
              </w:rPr>
            </w:pPr>
            <w:r w:rsidRPr="00D355B6">
              <w:rPr>
                <w:bCs w:val="0"/>
              </w:rPr>
              <w:t>15</w:t>
            </w:r>
          </w:p>
        </w:tc>
        <w:tc>
          <w:tcPr>
            <w:tcW w:w="1072" w:type="dxa"/>
            <w:vAlign w:val="center"/>
          </w:tcPr>
          <w:p w:rsidR="009275E0" w:rsidRPr="009275E0" w:rsidRDefault="009275E0" w:rsidP="00DE7DDE">
            <w:pPr>
              <w:pStyle w:val="Zkladntext"/>
              <w:jc w:val="right"/>
              <w:rPr>
                <w:color w:val="FF0000"/>
              </w:rPr>
            </w:pPr>
            <w:r w:rsidRPr="00D355B6">
              <w:t>100,00</w:t>
            </w:r>
          </w:p>
        </w:tc>
      </w:tr>
      <w:tr w:rsidR="009275E0" w:rsidRPr="00B77E56" w:rsidTr="00A13925">
        <w:tc>
          <w:tcPr>
            <w:tcW w:w="5110" w:type="dxa"/>
          </w:tcPr>
          <w:p w:rsidR="009275E0" w:rsidRPr="009275E0" w:rsidRDefault="009275E0" w:rsidP="00DE7DDE">
            <w:pPr>
              <w:ind w:left="180" w:hanging="180"/>
              <w:rPr>
                <w:rFonts w:cs="Times New Roman"/>
                <w:bCs/>
                <w:szCs w:val="24"/>
              </w:rPr>
            </w:pPr>
            <w:r w:rsidRPr="009275E0">
              <w:rPr>
                <w:rFonts w:cs="Times New Roman"/>
                <w:bCs/>
                <w:szCs w:val="24"/>
              </w:rPr>
              <w:t>přijaté sankční platby</w:t>
            </w:r>
          </w:p>
        </w:tc>
        <w:tc>
          <w:tcPr>
            <w:tcW w:w="1440" w:type="dxa"/>
            <w:vAlign w:val="center"/>
          </w:tcPr>
          <w:p w:rsidR="009275E0" w:rsidRPr="009275E0" w:rsidRDefault="009275E0" w:rsidP="00DE7DDE">
            <w:pPr>
              <w:pStyle w:val="Zkladntext"/>
              <w:jc w:val="right"/>
              <w:rPr>
                <w:bCs w:val="0"/>
              </w:rPr>
            </w:pPr>
            <w:r w:rsidRPr="009275E0">
              <w:rPr>
                <w:bCs w:val="0"/>
              </w:rPr>
              <w:t>700</w:t>
            </w:r>
          </w:p>
        </w:tc>
        <w:tc>
          <w:tcPr>
            <w:tcW w:w="1440" w:type="dxa"/>
            <w:vAlign w:val="center"/>
          </w:tcPr>
          <w:p w:rsidR="009275E0" w:rsidRPr="00D355B6" w:rsidRDefault="009275E0" w:rsidP="00DE7DDE">
            <w:pPr>
              <w:pStyle w:val="Zkladntext"/>
              <w:jc w:val="right"/>
              <w:rPr>
                <w:bCs w:val="0"/>
              </w:rPr>
            </w:pPr>
            <w:r w:rsidRPr="00D355B6">
              <w:rPr>
                <w:bCs w:val="0"/>
              </w:rPr>
              <w:t>1 068</w:t>
            </w:r>
          </w:p>
        </w:tc>
        <w:tc>
          <w:tcPr>
            <w:tcW w:w="1072" w:type="dxa"/>
            <w:vAlign w:val="center"/>
          </w:tcPr>
          <w:p w:rsidR="009275E0" w:rsidRPr="009275E0" w:rsidRDefault="009275E0" w:rsidP="00DE7DDE">
            <w:pPr>
              <w:pStyle w:val="Zkladntext"/>
              <w:jc w:val="right"/>
              <w:rPr>
                <w:bCs w:val="0"/>
                <w:color w:val="FF0000"/>
              </w:rPr>
            </w:pPr>
            <w:r w:rsidRPr="00D355B6">
              <w:rPr>
                <w:bCs w:val="0"/>
              </w:rPr>
              <w:t>152,57</w:t>
            </w:r>
          </w:p>
        </w:tc>
      </w:tr>
      <w:tr w:rsidR="009275E0" w:rsidRPr="00B77E56" w:rsidTr="00A13925">
        <w:tc>
          <w:tcPr>
            <w:tcW w:w="5110" w:type="dxa"/>
          </w:tcPr>
          <w:p w:rsidR="009275E0" w:rsidRPr="009275E0" w:rsidRDefault="009275E0" w:rsidP="00DE7DDE">
            <w:pPr>
              <w:ind w:left="25" w:hanging="25"/>
              <w:rPr>
                <w:rFonts w:cs="Times New Roman"/>
                <w:bCs/>
                <w:szCs w:val="24"/>
              </w:rPr>
            </w:pPr>
            <w:r w:rsidRPr="009275E0">
              <w:rPr>
                <w:rFonts w:cs="Times New Roman"/>
                <w:bCs/>
                <w:szCs w:val="24"/>
              </w:rPr>
              <w:t>ostatní nedaňové příjmy a nekapitálové příspěvky a náhrady</w:t>
            </w:r>
          </w:p>
        </w:tc>
        <w:tc>
          <w:tcPr>
            <w:tcW w:w="1440" w:type="dxa"/>
            <w:vAlign w:val="center"/>
          </w:tcPr>
          <w:p w:rsidR="009275E0" w:rsidRPr="009275E0" w:rsidRDefault="009275E0" w:rsidP="00DE7DDE">
            <w:pPr>
              <w:pStyle w:val="Zkladntext"/>
              <w:jc w:val="right"/>
              <w:rPr>
                <w:bCs w:val="0"/>
              </w:rPr>
            </w:pPr>
            <w:r w:rsidRPr="009275E0">
              <w:rPr>
                <w:bCs w:val="0"/>
              </w:rPr>
              <w:t>0</w:t>
            </w:r>
          </w:p>
        </w:tc>
        <w:tc>
          <w:tcPr>
            <w:tcW w:w="1440" w:type="dxa"/>
            <w:vAlign w:val="center"/>
          </w:tcPr>
          <w:p w:rsidR="009275E0" w:rsidRPr="00D355B6" w:rsidRDefault="009275E0" w:rsidP="00DE7DDE">
            <w:pPr>
              <w:pStyle w:val="Zkladntext"/>
              <w:jc w:val="right"/>
              <w:rPr>
                <w:bCs w:val="0"/>
              </w:rPr>
            </w:pPr>
            <w:r w:rsidRPr="00D355B6">
              <w:rPr>
                <w:bCs w:val="0"/>
              </w:rPr>
              <w:t>70</w:t>
            </w:r>
          </w:p>
        </w:tc>
        <w:tc>
          <w:tcPr>
            <w:tcW w:w="1072" w:type="dxa"/>
            <w:vAlign w:val="center"/>
          </w:tcPr>
          <w:p w:rsidR="009275E0" w:rsidRPr="009275E0" w:rsidRDefault="009275E0" w:rsidP="00DE7DDE">
            <w:pPr>
              <w:pStyle w:val="Zkladntext"/>
              <w:jc w:val="right"/>
              <w:rPr>
                <w:bCs w:val="0"/>
                <w:color w:val="FF0000"/>
              </w:rPr>
            </w:pPr>
            <w:r w:rsidRPr="00D355B6">
              <w:rPr>
                <w:bCs w:val="0"/>
              </w:rPr>
              <w:t>x</w:t>
            </w:r>
          </w:p>
        </w:tc>
      </w:tr>
      <w:tr w:rsidR="009275E0" w:rsidRPr="00B77E56" w:rsidTr="00A13925">
        <w:tc>
          <w:tcPr>
            <w:tcW w:w="5110" w:type="dxa"/>
          </w:tcPr>
          <w:p w:rsidR="009275E0" w:rsidRPr="009275E0" w:rsidRDefault="009275E0" w:rsidP="00DE7DDE">
            <w:pPr>
              <w:ind w:left="180" w:hanging="180"/>
              <w:rPr>
                <w:rFonts w:cs="Times New Roman"/>
                <w:bCs/>
                <w:szCs w:val="24"/>
              </w:rPr>
            </w:pPr>
            <w:r w:rsidRPr="009275E0">
              <w:rPr>
                <w:rFonts w:cs="Times New Roman"/>
                <w:bCs/>
                <w:szCs w:val="24"/>
              </w:rPr>
              <w:t>neinvestiční převody z Národního fondu</w:t>
            </w:r>
          </w:p>
        </w:tc>
        <w:tc>
          <w:tcPr>
            <w:tcW w:w="1440" w:type="dxa"/>
            <w:vAlign w:val="center"/>
          </w:tcPr>
          <w:p w:rsidR="009275E0" w:rsidRPr="009275E0" w:rsidRDefault="009275E0" w:rsidP="00DE7DDE">
            <w:pPr>
              <w:pStyle w:val="Zkladntext"/>
              <w:jc w:val="right"/>
              <w:rPr>
                <w:bCs w:val="0"/>
              </w:rPr>
            </w:pPr>
            <w:r w:rsidRPr="009275E0">
              <w:rPr>
                <w:bCs w:val="0"/>
              </w:rPr>
              <w:t>143 534</w:t>
            </w:r>
          </w:p>
        </w:tc>
        <w:tc>
          <w:tcPr>
            <w:tcW w:w="1440" w:type="dxa"/>
            <w:vAlign w:val="center"/>
          </w:tcPr>
          <w:p w:rsidR="009275E0" w:rsidRPr="00D355B6" w:rsidRDefault="00D355B6" w:rsidP="00D355B6">
            <w:pPr>
              <w:pStyle w:val="Zkladntext"/>
              <w:jc w:val="right"/>
              <w:rPr>
                <w:bCs w:val="0"/>
              </w:rPr>
            </w:pPr>
            <w:r w:rsidRPr="00D355B6">
              <w:rPr>
                <w:bCs w:val="0"/>
              </w:rPr>
              <w:t>112 355</w:t>
            </w:r>
          </w:p>
        </w:tc>
        <w:tc>
          <w:tcPr>
            <w:tcW w:w="1072" w:type="dxa"/>
            <w:vAlign w:val="center"/>
          </w:tcPr>
          <w:p w:rsidR="009275E0" w:rsidRPr="009275E0" w:rsidRDefault="00D355B6" w:rsidP="00DE7DDE">
            <w:pPr>
              <w:pStyle w:val="Zkladntext"/>
              <w:jc w:val="right"/>
              <w:rPr>
                <w:bCs w:val="0"/>
                <w:color w:val="FF0000"/>
              </w:rPr>
            </w:pPr>
            <w:r w:rsidRPr="00D355B6">
              <w:rPr>
                <w:bCs w:val="0"/>
              </w:rPr>
              <w:t>78,28</w:t>
            </w:r>
          </w:p>
        </w:tc>
      </w:tr>
      <w:tr w:rsidR="009275E0" w:rsidRPr="00B77E56" w:rsidTr="00A13925">
        <w:tc>
          <w:tcPr>
            <w:tcW w:w="5110" w:type="dxa"/>
          </w:tcPr>
          <w:p w:rsidR="009275E0" w:rsidRPr="009275E0" w:rsidRDefault="009275E0" w:rsidP="00DE7DDE">
            <w:pPr>
              <w:rPr>
                <w:rFonts w:cs="Times New Roman"/>
                <w:bCs/>
                <w:szCs w:val="24"/>
              </w:rPr>
            </w:pPr>
            <w:r w:rsidRPr="009275E0">
              <w:rPr>
                <w:rFonts w:cs="Times New Roman"/>
                <w:bCs/>
                <w:szCs w:val="24"/>
              </w:rPr>
              <w:t>neinvestiční transfery přijaté od Evropské unie</w:t>
            </w:r>
          </w:p>
        </w:tc>
        <w:tc>
          <w:tcPr>
            <w:tcW w:w="1440" w:type="dxa"/>
            <w:vAlign w:val="center"/>
          </w:tcPr>
          <w:p w:rsidR="009275E0" w:rsidRPr="009275E0" w:rsidRDefault="009275E0" w:rsidP="00DE7DDE">
            <w:pPr>
              <w:pStyle w:val="Zkladntext"/>
              <w:jc w:val="right"/>
              <w:rPr>
                <w:bCs w:val="0"/>
              </w:rPr>
            </w:pPr>
            <w:r w:rsidRPr="009275E0">
              <w:rPr>
                <w:bCs w:val="0"/>
              </w:rPr>
              <w:t>70 317</w:t>
            </w:r>
          </w:p>
        </w:tc>
        <w:tc>
          <w:tcPr>
            <w:tcW w:w="1440" w:type="dxa"/>
            <w:vAlign w:val="center"/>
          </w:tcPr>
          <w:p w:rsidR="009275E0" w:rsidRPr="00D355B6" w:rsidRDefault="009275E0" w:rsidP="00DE7DDE">
            <w:pPr>
              <w:pStyle w:val="Zkladntext"/>
              <w:jc w:val="right"/>
              <w:rPr>
                <w:bCs w:val="0"/>
              </w:rPr>
            </w:pPr>
            <w:r w:rsidRPr="00D355B6">
              <w:rPr>
                <w:bCs w:val="0"/>
              </w:rPr>
              <w:t>30 135</w:t>
            </w:r>
          </w:p>
        </w:tc>
        <w:tc>
          <w:tcPr>
            <w:tcW w:w="1072" w:type="dxa"/>
            <w:vAlign w:val="center"/>
          </w:tcPr>
          <w:p w:rsidR="009275E0" w:rsidRPr="009275E0" w:rsidRDefault="009275E0" w:rsidP="00DE7DDE">
            <w:pPr>
              <w:pStyle w:val="Zkladntext"/>
              <w:jc w:val="right"/>
              <w:rPr>
                <w:bCs w:val="0"/>
                <w:color w:val="FF0000"/>
              </w:rPr>
            </w:pPr>
            <w:r w:rsidRPr="00D355B6">
              <w:rPr>
                <w:bCs w:val="0"/>
              </w:rPr>
              <w:t>42,86</w:t>
            </w:r>
          </w:p>
        </w:tc>
      </w:tr>
      <w:tr w:rsidR="009275E0" w:rsidRPr="00B77E56" w:rsidTr="00A13925">
        <w:tc>
          <w:tcPr>
            <w:tcW w:w="5110" w:type="dxa"/>
          </w:tcPr>
          <w:p w:rsidR="009275E0" w:rsidRPr="009275E0" w:rsidRDefault="009275E0" w:rsidP="00DE7DDE">
            <w:pPr>
              <w:rPr>
                <w:rFonts w:cs="Times New Roman"/>
                <w:b/>
                <w:bCs/>
                <w:szCs w:val="24"/>
              </w:rPr>
            </w:pPr>
            <w:r w:rsidRPr="009275E0">
              <w:rPr>
                <w:rFonts w:cs="Times New Roman"/>
                <w:bCs/>
                <w:szCs w:val="24"/>
              </w:rPr>
              <w:t>investiční převody z Národního fondu</w:t>
            </w:r>
          </w:p>
        </w:tc>
        <w:tc>
          <w:tcPr>
            <w:tcW w:w="1440" w:type="dxa"/>
            <w:vAlign w:val="center"/>
          </w:tcPr>
          <w:p w:rsidR="009275E0" w:rsidRPr="009275E0" w:rsidRDefault="009275E0" w:rsidP="00DE7DDE">
            <w:pPr>
              <w:pStyle w:val="Zkladntext"/>
              <w:jc w:val="right"/>
              <w:rPr>
                <w:bCs w:val="0"/>
              </w:rPr>
            </w:pPr>
            <w:r w:rsidRPr="009275E0">
              <w:rPr>
                <w:bCs w:val="0"/>
              </w:rPr>
              <w:t>14 873 827</w:t>
            </w:r>
          </w:p>
        </w:tc>
        <w:tc>
          <w:tcPr>
            <w:tcW w:w="1440" w:type="dxa"/>
            <w:vAlign w:val="center"/>
          </w:tcPr>
          <w:p w:rsidR="009275E0" w:rsidRPr="00D355B6" w:rsidRDefault="009275E0" w:rsidP="00DE7DDE">
            <w:pPr>
              <w:pStyle w:val="Zkladntext"/>
              <w:jc w:val="right"/>
              <w:rPr>
                <w:bCs w:val="0"/>
              </w:rPr>
            </w:pPr>
            <w:r w:rsidRPr="00D355B6">
              <w:rPr>
                <w:bCs w:val="0"/>
              </w:rPr>
              <w:t>17 831 723</w:t>
            </w:r>
          </w:p>
        </w:tc>
        <w:tc>
          <w:tcPr>
            <w:tcW w:w="1072" w:type="dxa"/>
            <w:vAlign w:val="center"/>
          </w:tcPr>
          <w:p w:rsidR="009275E0" w:rsidRPr="009275E0" w:rsidRDefault="009275E0" w:rsidP="00DE7DDE">
            <w:pPr>
              <w:pStyle w:val="Zkladntext"/>
              <w:jc w:val="right"/>
              <w:rPr>
                <w:bCs w:val="0"/>
                <w:color w:val="FF0000"/>
              </w:rPr>
            </w:pPr>
            <w:r w:rsidRPr="00D355B6">
              <w:rPr>
                <w:bCs w:val="0"/>
              </w:rPr>
              <w:t>119,89</w:t>
            </w:r>
          </w:p>
        </w:tc>
      </w:tr>
      <w:tr w:rsidR="009275E0" w:rsidRPr="00B77E56" w:rsidTr="00A13925">
        <w:tc>
          <w:tcPr>
            <w:tcW w:w="5110" w:type="dxa"/>
          </w:tcPr>
          <w:p w:rsidR="009275E0" w:rsidRPr="009275E0" w:rsidRDefault="009275E0" w:rsidP="00DE7DDE">
            <w:pPr>
              <w:rPr>
                <w:rFonts w:cs="Times New Roman"/>
                <w:bCs/>
                <w:szCs w:val="24"/>
              </w:rPr>
            </w:pPr>
            <w:r w:rsidRPr="009275E0">
              <w:rPr>
                <w:rFonts w:cs="Times New Roman"/>
                <w:bCs/>
                <w:szCs w:val="24"/>
              </w:rPr>
              <w:t>investiční transfery přijaté od Evropské unie</w:t>
            </w:r>
          </w:p>
        </w:tc>
        <w:tc>
          <w:tcPr>
            <w:tcW w:w="1440" w:type="dxa"/>
            <w:vAlign w:val="center"/>
          </w:tcPr>
          <w:p w:rsidR="009275E0" w:rsidRPr="009275E0" w:rsidRDefault="009275E0" w:rsidP="00DE7DDE">
            <w:pPr>
              <w:pStyle w:val="Zkladntext"/>
              <w:jc w:val="right"/>
              <w:rPr>
                <w:bCs w:val="0"/>
              </w:rPr>
            </w:pPr>
            <w:r w:rsidRPr="009275E0">
              <w:rPr>
                <w:bCs w:val="0"/>
              </w:rPr>
              <w:t>1 329 987</w:t>
            </w:r>
          </w:p>
        </w:tc>
        <w:tc>
          <w:tcPr>
            <w:tcW w:w="1440" w:type="dxa"/>
            <w:vAlign w:val="center"/>
          </w:tcPr>
          <w:p w:rsidR="009275E0" w:rsidRPr="00D355B6" w:rsidRDefault="009275E0" w:rsidP="00DE7DDE">
            <w:pPr>
              <w:pStyle w:val="Zkladntext"/>
              <w:jc w:val="right"/>
              <w:rPr>
                <w:bCs w:val="0"/>
              </w:rPr>
            </w:pPr>
            <w:r w:rsidRPr="00D355B6">
              <w:rPr>
                <w:bCs w:val="0"/>
              </w:rPr>
              <w:t>895 520</w:t>
            </w:r>
          </w:p>
        </w:tc>
        <w:tc>
          <w:tcPr>
            <w:tcW w:w="1072" w:type="dxa"/>
            <w:vAlign w:val="center"/>
          </w:tcPr>
          <w:p w:rsidR="009275E0" w:rsidRPr="009275E0" w:rsidRDefault="009275E0" w:rsidP="00DE7DDE">
            <w:pPr>
              <w:pStyle w:val="Zkladntext"/>
              <w:jc w:val="right"/>
              <w:rPr>
                <w:bCs w:val="0"/>
                <w:color w:val="FF0000"/>
              </w:rPr>
            </w:pPr>
            <w:r w:rsidRPr="00D355B6">
              <w:rPr>
                <w:bCs w:val="0"/>
              </w:rPr>
              <w:t>67,33</w:t>
            </w:r>
          </w:p>
        </w:tc>
      </w:tr>
    </w:tbl>
    <w:p w:rsidR="00024ED6" w:rsidRPr="00806C96" w:rsidRDefault="00024ED6" w:rsidP="002C756F">
      <w:pPr>
        <w:pStyle w:val="Titulek"/>
        <w:keepNext/>
        <w:spacing w:before="240"/>
      </w:pPr>
      <w:bookmarkStart w:id="16" w:name="_Toc488937058"/>
      <w:bookmarkStart w:id="17" w:name="_Toc526424759"/>
      <w:bookmarkEnd w:id="15"/>
      <w:r w:rsidRPr="00806C96">
        <w:t xml:space="preserve">Graf č. </w:t>
      </w:r>
      <w:r w:rsidR="0001421C" w:rsidRPr="00806C96">
        <w:rPr>
          <w:noProof/>
        </w:rPr>
        <w:fldChar w:fldCharType="begin"/>
      </w:r>
      <w:r w:rsidR="0001421C" w:rsidRPr="00806C96">
        <w:rPr>
          <w:noProof/>
        </w:rPr>
        <w:instrText xml:space="preserve"> SEQ Graf_č. \* ARABIC </w:instrText>
      </w:r>
      <w:r w:rsidR="0001421C" w:rsidRPr="00806C96">
        <w:rPr>
          <w:noProof/>
        </w:rPr>
        <w:fldChar w:fldCharType="separate"/>
      </w:r>
      <w:r w:rsidR="00AF5225">
        <w:rPr>
          <w:noProof/>
        </w:rPr>
        <w:t>2</w:t>
      </w:r>
      <w:r w:rsidR="0001421C" w:rsidRPr="00806C96">
        <w:rPr>
          <w:noProof/>
        </w:rPr>
        <w:fldChar w:fldCharType="end"/>
      </w:r>
      <w:r w:rsidRPr="00806C96">
        <w:t xml:space="preserve"> Porovnání transferů přijatých v kapitole 327-MD (v tis. Kč)</w:t>
      </w:r>
      <w:bookmarkEnd w:id="16"/>
      <w:bookmarkEnd w:id="17"/>
    </w:p>
    <w:p w:rsidR="00024ED6" w:rsidRPr="0001421C" w:rsidRDefault="001F0F2A" w:rsidP="00024ED6">
      <w:pPr>
        <w:pStyle w:val="obyctext"/>
        <w:ind w:firstLine="0"/>
        <w:rPr>
          <w:color w:val="FF0000"/>
        </w:rPr>
      </w:pPr>
      <w:r>
        <w:rPr>
          <w:noProof/>
        </w:rPr>
        <w:drawing>
          <wp:inline distT="0" distB="0" distL="0" distR="0" wp14:anchorId="17E5EFB2" wp14:editId="23DCF54C">
            <wp:extent cx="5759450" cy="2199736"/>
            <wp:effectExtent l="0" t="0" r="12700" b="1016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4ED6" w:rsidRPr="00806C96" w:rsidRDefault="00024ED6" w:rsidP="00024ED6">
      <w:pPr>
        <w:pStyle w:val="Titulek"/>
        <w:keepNext/>
      </w:pPr>
      <w:bookmarkStart w:id="18" w:name="_Toc488937059"/>
      <w:bookmarkStart w:id="19" w:name="_Toc526424760"/>
      <w:r w:rsidRPr="00806C96">
        <w:lastRenderedPageBreak/>
        <w:t xml:space="preserve">Graf č. </w:t>
      </w:r>
      <w:r w:rsidR="0001421C" w:rsidRPr="00806C96">
        <w:rPr>
          <w:noProof/>
        </w:rPr>
        <w:fldChar w:fldCharType="begin"/>
      </w:r>
      <w:r w:rsidR="0001421C" w:rsidRPr="00806C96">
        <w:rPr>
          <w:noProof/>
        </w:rPr>
        <w:instrText xml:space="preserve"> SEQ Graf_č. \* ARABIC </w:instrText>
      </w:r>
      <w:r w:rsidR="0001421C" w:rsidRPr="00806C96">
        <w:rPr>
          <w:noProof/>
        </w:rPr>
        <w:fldChar w:fldCharType="separate"/>
      </w:r>
      <w:r w:rsidR="00AF5225">
        <w:rPr>
          <w:noProof/>
        </w:rPr>
        <w:t>3</w:t>
      </w:r>
      <w:r w:rsidR="0001421C" w:rsidRPr="00806C96">
        <w:rPr>
          <w:noProof/>
        </w:rPr>
        <w:fldChar w:fldCharType="end"/>
      </w:r>
      <w:r w:rsidRPr="00806C96">
        <w:t xml:space="preserve"> Porovnání ostatních příjmů v kapitole 327-MD (v tis. Kč)</w:t>
      </w:r>
      <w:bookmarkEnd w:id="18"/>
      <w:bookmarkEnd w:id="19"/>
    </w:p>
    <w:p w:rsidR="00024ED6" w:rsidRPr="0001421C" w:rsidRDefault="00806C96" w:rsidP="00024ED6">
      <w:pPr>
        <w:pStyle w:val="obyctext"/>
        <w:tabs>
          <w:tab w:val="left" w:pos="1276"/>
        </w:tabs>
        <w:ind w:firstLine="0"/>
        <w:rPr>
          <w:color w:val="FF0000"/>
        </w:rPr>
      </w:pPr>
      <w:r>
        <w:rPr>
          <w:noProof/>
        </w:rPr>
        <w:drawing>
          <wp:inline distT="0" distB="0" distL="0" distR="0" wp14:anchorId="164FE4AA" wp14:editId="0FAB2782">
            <wp:extent cx="5759450" cy="2233930"/>
            <wp:effectExtent l="0" t="0" r="12700" b="1397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4ED6" w:rsidRPr="0001421C" w:rsidRDefault="00024ED6" w:rsidP="00024ED6">
      <w:pPr>
        <w:pStyle w:val="obyctext"/>
        <w:tabs>
          <w:tab w:val="left" w:pos="1276"/>
        </w:tabs>
        <w:ind w:firstLine="0"/>
        <w:rPr>
          <w:color w:val="FF0000"/>
        </w:rPr>
      </w:pPr>
    </w:p>
    <w:p w:rsidR="00024ED6" w:rsidRPr="0001421C" w:rsidRDefault="00024ED6" w:rsidP="00024ED6">
      <w:pPr>
        <w:pStyle w:val="obyctext"/>
        <w:tabs>
          <w:tab w:val="left" w:pos="1276"/>
        </w:tabs>
        <w:ind w:firstLine="0"/>
        <w:rPr>
          <w:color w:val="FF0000"/>
        </w:rPr>
      </w:pPr>
    </w:p>
    <w:p w:rsidR="00D5093B" w:rsidRPr="0001421C" w:rsidRDefault="00D5093B" w:rsidP="004371E3">
      <w:pPr>
        <w:pStyle w:val="obyctext"/>
        <w:tabs>
          <w:tab w:val="left" w:pos="1276"/>
        </w:tabs>
        <w:ind w:firstLine="0"/>
        <w:rPr>
          <w:color w:val="FF0000"/>
        </w:rPr>
        <w:sectPr w:rsidR="00D5093B" w:rsidRPr="0001421C" w:rsidSect="0002708E">
          <w:footerReference w:type="default" r:id="rId18"/>
          <w:footerReference w:type="first" r:id="rId19"/>
          <w:pgSz w:w="11906" w:h="16838" w:code="9"/>
          <w:pgMar w:top="1418" w:right="1418" w:bottom="993" w:left="1418" w:header="709" w:footer="709" w:gutter="0"/>
          <w:pgNumType w:start="1"/>
          <w:cols w:space="708"/>
          <w:titlePg/>
          <w:docGrid w:linePitch="360"/>
        </w:sectPr>
      </w:pPr>
    </w:p>
    <w:p w:rsidR="00AD1F22" w:rsidRPr="004717A0" w:rsidRDefault="00AD1F22" w:rsidP="004C4BA5">
      <w:pPr>
        <w:pStyle w:val="Nadpis1"/>
      </w:pPr>
      <w:bookmarkStart w:id="20" w:name="_Toc462314386"/>
      <w:bookmarkStart w:id="21" w:name="_Toc526424685"/>
      <w:r w:rsidRPr="004717A0">
        <w:lastRenderedPageBreak/>
        <w:t>Rozpočet výdajů na rok 201</w:t>
      </w:r>
      <w:bookmarkEnd w:id="20"/>
      <w:r w:rsidR="004717A0" w:rsidRPr="004717A0">
        <w:t>9</w:t>
      </w:r>
      <w:bookmarkEnd w:id="21"/>
    </w:p>
    <w:p w:rsidR="00AD1F22" w:rsidRPr="004717A0" w:rsidRDefault="00AD1F22" w:rsidP="006C7E5B">
      <w:pPr>
        <w:pStyle w:val="Nadpis2"/>
      </w:pPr>
      <w:bookmarkStart w:id="22" w:name="_Toc462314387"/>
      <w:bookmarkStart w:id="23" w:name="_Toc526424686"/>
      <w:r w:rsidRPr="006C7E5B">
        <w:t>Struktura</w:t>
      </w:r>
      <w:r w:rsidRPr="004717A0">
        <w:t xml:space="preserve"> výdajů</w:t>
      </w:r>
      <w:bookmarkEnd w:id="22"/>
      <w:bookmarkEnd w:id="23"/>
    </w:p>
    <w:p w:rsidR="004717A0" w:rsidRPr="00654C69" w:rsidRDefault="004717A0" w:rsidP="00AB78C7">
      <w:pPr>
        <w:pStyle w:val="Styl1"/>
      </w:pPr>
      <w:r w:rsidRPr="00654C69">
        <w:t xml:space="preserve">Výdaje jsou strukturovány do jednotlivých bloků, okruhů, příp. dalších množin či podmnožin. </w:t>
      </w:r>
    </w:p>
    <w:p w:rsidR="004717A0" w:rsidRPr="00654C69" w:rsidRDefault="004717A0" w:rsidP="00AB78C7">
      <w:pPr>
        <w:pStyle w:val="Styl1"/>
      </w:pPr>
      <w:r w:rsidRPr="00654C69">
        <w:t xml:space="preserve">Sourodé celky činností tvoří výdajové bloky, které se dále rozpadají do výdajových okruhů a dále do nižších úrovní členění (obdobný způsob konkretizace platí i pro cíle), přičemž vyšší úroveň je úplným součtem přímo podřízených úrovní. Stanovení výdajových bloků </w:t>
      </w:r>
      <w:r w:rsidRPr="00654C69">
        <w:br/>
        <w:t>a výdajových okruhů je povinné, ostatní nižší úrovně členění jsou dobrovolné.</w:t>
      </w:r>
    </w:p>
    <w:p w:rsidR="004717A0" w:rsidRPr="00654C69" w:rsidRDefault="004717A0" w:rsidP="00AB78C7">
      <w:pPr>
        <w:pStyle w:val="Styl1"/>
      </w:pPr>
      <w:r w:rsidRPr="00654C69">
        <w:t>Každý výdajový blok je specifickým ukazatelem na příslušný rozpočtový rok. Označení výdajového okruhu jako specifického ukazatele závisí na rozhodnutí kapitoly. Označit tak lze jakýkoli vybraný výdajový okruh, nejsou-li však označeny všechny spadající pod daný výdajový blok, jsou zbylé výdajové okruhy specifickým ukazatelem ve svém součtu.</w:t>
      </w:r>
    </w:p>
    <w:p w:rsidR="00D910C9" w:rsidRPr="00D910C9" w:rsidRDefault="00723009" w:rsidP="00D910C9">
      <w:pPr>
        <w:pStyle w:val="Titulek"/>
        <w:keepNext/>
      </w:pPr>
      <w:r w:rsidRPr="004717A0">
        <w:t xml:space="preserve">Tabulka </w:t>
      </w:r>
      <w:proofErr w:type="gramStart"/>
      <w:r w:rsidRPr="004717A0">
        <w:t xml:space="preserve">č. </w:t>
      </w:r>
      <w:r w:rsidR="0001421C" w:rsidRPr="004717A0">
        <w:rPr>
          <w:noProof/>
        </w:rPr>
        <w:fldChar w:fldCharType="begin"/>
      </w:r>
      <w:r w:rsidR="0001421C" w:rsidRPr="004717A0">
        <w:rPr>
          <w:noProof/>
        </w:rPr>
        <w:instrText xml:space="preserve"> SEQ Tabulka \* ARABIC </w:instrText>
      </w:r>
      <w:r w:rsidR="0001421C" w:rsidRPr="004717A0">
        <w:rPr>
          <w:noProof/>
        </w:rPr>
        <w:fldChar w:fldCharType="separate"/>
      </w:r>
      <w:r w:rsidR="00AF5225">
        <w:rPr>
          <w:noProof/>
        </w:rPr>
        <w:t>4</w:t>
      </w:r>
      <w:r w:rsidR="0001421C" w:rsidRPr="004717A0">
        <w:rPr>
          <w:noProof/>
        </w:rPr>
        <w:fldChar w:fldCharType="end"/>
      </w:r>
      <w:r w:rsidRPr="004717A0">
        <w:t xml:space="preserve"> Struktura</w:t>
      </w:r>
      <w:proofErr w:type="gramEnd"/>
      <w:r w:rsidRPr="004717A0">
        <w:t xml:space="preserve"> v</w:t>
      </w:r>
      <w:r w:rsidR="004717A0" w:rsidRPr="004717A0">
        <w:t>ýdajů (v rámci PVS) pro rok 2019</w:t>
      </w:r>
    </w:p>
    <w:tbl>
      <w:tblPr>
        <w:tblStyle w:val="Svtltabulkasmkou1"/>
        <w:tblW w:w="0" w:type="auto"/>
        <w:tblBorders>
          <w:top w:val="single" w:sz="8" w:space="0" w:color="999999" w:themeColor="text1" w:themeTint="66"/>
          <w:left w:val="single" w:sz="8" w:space="0" w:color="999999" w:themeColor="text1" w:themeTint="66"/>
          <w:bottom w:val="single" w:sz="8" w:space="0" w:color="999999" w:themeColor="text1" w:themeTint="66"/>
          <w:right w:val="single" w:sz="8" w:space="0" w:color="999999" w:themeColor="text1" w:themeTint="66"/>
          <w:insideV w:val="none" w:sz="0" w:space="0" w:color="auto"/>
        </w:tblBorders>
        <w:tblLook w:val="01E0" w:firstRow="1" w:lastRow="1" w:firstColumn="1" w:lastColumn="1" w:noHBand="0" w:noVBand="0"/>
      </w:tblPr>
      <w:tblGrid>
        <w:gridCol w:w="1005"/>
        <w:gridCol w:w="1257"/>
        <w:gridCol w:w="6790"/>
      </w:tblGrid>
      <w:tr w:rsidR="004717A0" w:rsidRPr="00654C69" w:rsidTr="00F22264">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05" w:type="dxa"/>
            <w:tcBorders>
              <w:top w:val="single" w:sz="8"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4717A0" w:rsidRPr="00654C69" w:rsidRDefault="004717A0" w:rsidP="00F22264">
            <w:pPr>
              <w:rPr>
                <w:rFonts w:cs="Times New Roman"/>
                <w:szCs w:val="24"/>
              </w:rPr>
            </w:pPr>
            <w:r w:rsidRPr="00654C69">
              <w:rPr>
                <w:rFonts w:cs="Times New Roman"/>
                <w:szCs w:val="24"/>
              </w:rPr>
              <w:t>Blok</w:t>
            </w:r>
          </w:p>
        </w:tc>
        <w:tc>
          <w:tcPr>
            <w:tcW w:w="1257"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4717A0" w:rsidRPr="00654C69" w:rsidRDefault="004717A0" w:rsidP="00F22264">
            <w:pPr>
              <w:cnfStyle w:val="100000000000" w:firstRow="1"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Okruh</w:t>
            </w: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shd w:val="thinReverseDiagStripe" w:color="D9D9D9" w:themeColor="background1" w:themeShade="D9" w:fill="FFFFFF" w:themeFill="background1"/>
          </w:tcPr>
          <w:p w:rsidR="004717A0" w:rsidRPr="00654C69" w:rsidRDefault="004717A0" w:rsidP="00F22264">
            <w:pPr>
              <w:rPr>
                <w:rFonts w:cs="Times New Roman"/>
                <w:szCs w:val="24"/>
              </w:rPr>
            </w:pPr>
            <w:r w:rsidRPr="00654C69">
              <w:rPr>
                <w:rFonts w:cs="Times New Roman"/>
                <w:szCs w:val="24"/>
              </w:rPr>
              <w:t>Název</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r w:rsidRPr="00654C69">
              <w:rPr>
                <w:rFonts w:cs="Times New Roman"/>
                <w:b w:val="0"/>
                <w:szCs w:val="24"/>
              </w:rPr>
              <w:t>501</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Drážní a kombinovaná doprava</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501001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Doprovodný sociální program</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spacing w:before="120"/>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501002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Úhrada ztráty ze závazku veřejné služby ve veřejné drážní osobní dopravě</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501003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Příspěvek na dopravní cestu nehrazený ze SFDI</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501004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Kombinovaná doprava</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501005</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Ostatní výdaje spojené s drážní dopravou</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r w:rsidRPr="00654C69">
              <w:rPr>
                <w:rFonts w:cs="Times New Roman"/>
                <w:b w:val="0"/>
                <w:szCs w:val="24"/>
              </w:rPr>
              <w:t>502</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Pozemní komunikace</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502001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Pozemní komunikace</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r w:rsidRPr="00654C69">
              <w:rPr>
                <w:rFonts w:cs="Times New Roman"/>
                <w:b w:val="0"/>
                <w:szCs w:val="24"/>
              </w:rPr>
              <w:t>503</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Dotace pro Státní fond dopravní infrastruktury</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503001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Dotace pro společné programy (projekty) EU a ČR</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503003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Dotace na projekty spolufinancované z EIB</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503004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Ostatní dotace pro SFDI</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r w:rsidRPr="00654C69">
              <w:rPr>
                <w:rFonts w:cs="Times New Roman"/>
                <w:b w:val="0"/>
                <w:szCs w:val="24"/>
              </w:rPr>
              <w:t>504</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Ostatní výdaje spojené s dopravní politikou státu</w:t>
            </w:r>
          </w:p>
        </w:tc>
      </w:tr>
      <w:tr w:rsidR="004717A0" w:rsidRPr="00654C69" w:rsidTr="00F2226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4717A0" w:rsidRPr="00654C69" w:rsidRDefault="004717A0" w:rsidP="00F2226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654C69">
              <w:rPr>
                <w:rFonts w:cs="Times New Roman"/>
                <w:szCs w:val="24"/>
              </w:rPr>
              <w:t>504001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Další výdaje spojené s dopravní politikou státu</w:t>
            </w:r>
          </w:p>
        </w:tc>
      </w:tr>
      <w:tr w:rsidR="004717A0" w:rsidRPr="00654C69" w:rsidTr="00F2226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4717A0" w:rsidRPr="00654C69" w:rsidRDefault="004717A0" w:rsidP="00F22264">
            <w:pPr>
              <w:cnfStyle w:val="010000000000" w:firstRow="0" w:lastRow="1" w:firstColumn="0" w:lastColumn="0" w:oddVBand="0" w:evenVBand="0" w:oddHBand="0" w:evenHBand="0" w:firstRowFirstColumn="0" w:firstRowLastColumn="0" w:lastRowFirstColumn="0" w:lastRowLastColumn="0"/>
              <w:rPr>
                <w:rFonts w:cs="Times New Roman"/>
                <w:b w:val="0"/>
                <w:szCs w:val="24"/>
              </w:rPr>
            </w:pPr>
            <w:r w:rsidRPr="00654C69">
              <w:rPr>
                <w:rFonts w:cs="Times New Roman"/>
                <w:b w:val="0"/>
                <w:szCs w:val="24"/>
              </w:rPr>
              <w:t>504002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4717A0" w:rsidRPr="00C36457" w:rsidRDefault="004717A0" w:rsidP="00F22264">
            <w:pPr>
              <w:rPr>
                <w:rFonts w:cs="Times New Roman"/>
                <w:b w:val="0"/>
                <w:szCs w:val="24"/>
              </w:rPr>
            </w:pPr>
            <w:r w:rsidRPr="00C36457">
              <w:rPr>
                <w:rFonts w:cs="Times New Roman"/>
                <w:b w:val="0"/>
                <w:szCs w:val="24"/>
              </w:rPr>
              <w:t>Výdaje spojené s kosmickými aktivitami</w:t>
            </w:r>
          </w:p>
        </w:tc>
      </w:tr>
    </w:tbl>
    <w:p w:rsidR="004717A0" w:rsidRPr="00654C69" w:rsidRDefault="004717A0" w:rsidP="004717A0">
      <w:pPr>
        <w:pStyle w:val="obyctext"/>
        <w:spacing w:before="240" w:after="120"/>
        <w:rPr>
          <w:b/>
          <w:u w:val="single"/>
        </w:rPr>
      </w:pPr>
      <w:r w:rsidRPr="00654C69">
        <w:rPr>
          <w:b/>
          <w:u w:val="single"/>
        </w:rPr>
        <w:t>501 – Drážní a kombinovaná doprava</w:t>
      </w:r>
    </w:p>
    <w:p w:rsidR="004717A0" w:rsidRPr="00654C69" w:rsidRDefault="004717A0" w:rsidP="00AB78C7">
      <w:pPr>
        <w:pStyle w:val="Styl1"/>
      </w:pPr>
      <w:r w:rsidRPr="00654C69">
        <w:t>Výdajový blok je zaměřen na financování potřeb týkajících se drážní a kombinované dopravy. Dělí se na pět výdajových okruhů, jejichž podrobnější charakteristika vymezující funkční a věcný obsah je uvedena v dalším textu.</w:t>
      </w:r>
    </w:p>
    <w:p w:rsidR="004717A0" w:rsidRPr="00654C69" w:rsidRDefault="004717A0" w:rsidP="00AB78C7">
      <w:pPr>
        <w:pStyle w:val="Styl1"/>
      </w:pPr>
      <w:bookmarkStart w:id="24" w:name="OLE_LINK1"/>
      <w:bookmarkStart w:id="25" w:name="OLE_LINK2"/>
      <w:r w:rsidRPr="00654C69">
        <w:t>V roce 2019 je na tento výdajový blok rozpočtováno celkem 8 269 379 tis. Kč.</w:t>
      </w:r>
      <w:bookmarkEnd w:id="24"/>
      <w:bookmarkEnd w:id="25"/>
      <w:r w:rsidRPr="00654C69">
        <w:t xml:space="preserve"> Finanční prostředky jsou v roce 2019 rozpočtovány na tři okruhy: Úhrada ztráty ze závazku veřejné služby ve veřejné drážní osobní dopravě (7 864 079 tis. Kč), Příspěvek</w:t>
      </w:r>
      <w:r w:rsidR="00684281">
        <w:t xml:space="preserve"> SŽDC</w:t>
      </w:r>
      <w:r w:rsidRPr="00654C69">
        <w:t xml:space="preserve"> na dopravní cestu nehrazený ze SFDI (400 000 tis. Kč) a Ostatní výdaje spojené s drážní dopravou (5 300 tis. Kč).</w:t>
      </w:r>
    </w:p>
    <w:p w:rsidR="004E21CE" w:rsidRDefault="004E21CE" w:rsidP="004717A0">
      <w:pPr>
        <w:spacing w:before="240" w:after="120"/>
        <w:ind w:firstLine="539"/>
        <w:rPr>
          <w:rFonts w:cs="Times New Roman"/>
          <w:b/>
          <w:szCs w:val="24"/>
          <w:u w:val="single"/>
        </w:rPr>
      </w:pPr>
    </w:p>
    <w:p w:rsidR="004E21CE" w:rsidRDefault="004E21CE" w:rsidP="004717A0">
      <w:pPr>
        <w:spacing w:before="240" w:after="120"/>
        <w:ind w:firstLine="539"/>
        <w:rPr>
          <w:rFonts w:cs="Times New Roman"/>
          <w:b/>
          <w:szCs w:val="24"/>
          <w:u w:val="single"/>
        </w:rPr>
      </w:pPr>
    </w:p>
    <w:p w:rsidR="004717A0" w:rsidRPr="00654C69" w:rsidRDefault="004717A0" w:rsidP="004717A0">
      <w:pPr>
        <w:spacing w:before="240" w:after="120"/>
        <w:ind w:firstLine="539"/>
        <w:rPr>
          <w:rFonts w:cs="Times New Roman"/>
          <w:b/>
          <w:szCs w:val="24"/>
          <w:u w:val="single"/>
        </w:rPr>
      </w:pPr>
      <w:r w:rsidRPr="00654C69">
        <w:rPr>
          <w:rFonts w:cs="Times New Roman"/>
          <w:b/>
          <w:szCs w:val="24"/>
          <w:u w:val="single"/>
        </w:rPr>
        <w:lastRenderedPageBreak/>
        <w:t>502 – Pozemní komunikace</w:t>
      </w:r>
    </w:p>
    <w:p w:rsidR="004717A0" w:rsidRPr="00654C69" w:rsidRDefault="004717A0" w:rsidP="00AB78C7">
      <w:pPr>
        <w:pStyle w:val="Styl1"/>
      </w:pPr>
      <w:r w:rsidRPr="00654C69">
        <w:t xml:space="preserve">V rámci výdajového bloku se financují potřeby související s výstavbou, rekonstrukcí a modernizací pozemních komunikací ve vlastnictví státu, které jsou financovány prostřednictvím kapitoly 327-MD. </w:t>
      </w:r>
    </w:p>
    <w:p w:rsidR="004717A0" w:rsidRPr="00654C69" w:rsidRDefault="004717A0" w:rsidP="00AB78C7">
      <w:pPr>
        <w:pStyle w:val="Styl1"/>
      </w:pPr>
      <w:r w:rsidRPr="00654C69">
        <w:t>V roce 201</w:t>
      </w:r>
      <w:r>
        <w:t>9</w:t>
      </w:r>
      <w:r w:rsidRPr="00654C69">
        <w:t xml:space="preserve"> nejsou na tento výdajový blok rozpočtovány žádné prostředky. </w:t>
      </w:r>
    </w:p>
    <w:p w:rsidR="004717A0" w:rsidRPr="00654C69" w:rsidRDefault="004717A0" w:rsidP="004717A0">
      <w:pPr>
        <w:spacing w:before="240" w:after="120"/>
        <w:ind w:left="539"/>
        <w:rPr>
          <w:rFonts w:cs="Times New Roman"/>
          <w:b/>
          <w:szCs w:val="24"/>
          <w:u w:val="single"/>
        </w:rPr>
      </w:pPr>
      <w:r w:rsidRPr="00654C69">
        <w:rPr>
          <w:rFonts w:cs="Times New Roman"/>
          <w:b/>
          <w:szCs w:val="24"/>
          <w:u w:val="single"/>
        </w:rPr>
        <w:t>503 – Dotace pro Státní fond dopravní infrastruktury</w:t>
      </w:r>
    </w:p>
    <w:p w:rsidR="004717A0" w:rsidRPr="00654C69" w:rsidRDefault="004717A0" w:rsidP="00AB78C7">
      <w:pPr>
        <w:pStyle w:val="Styl1"/>
      </w:pPr>
      <w:r w:rsidRPr="00654C69">
        <w:t>Výdajový blok se využívá k transferu finančních prostředků pro SFDI, kterému § 4, odst. 1 písm. k) zák. č. 104/2000 Sb., o Státním fondu dopravní infrastruktury,</w:t>
      </w:r>
      <w:r w:rsidR="00684281">
        <w:t xml:space="preserve"> ve znění pozdějších předpisů,</w:t>
      </w:r>
      <w:r w:rsidRPr="00654C69">
        <w:t xml:space="preserve"> umožňuje přijímat dotace ze státního rozpočtu.</w:t>
      </w:r>
    </w:p>
    <w:p w:rsidR="004717A0" w:rsidRPr="00654C69" w:rsidRDefault="004717A0" w:rsidP="00AB78C7">
      <w:pPr>
        <w:pStyle w:val="Styl1"/>
      </w:pPr>
      <w:r w:rsidRPr="00654C69">
        <w:t>V roce 2019 je na tento výdajový blok rozpočtováno celkem 54 746 044 tis. Kč, což zahrnuje tři čtvrtiny výdajů rozpočtu kapitoly 327-MD (75,45 %). Výdajový blok se dělí na tři výdajové okruhy:</w:t>
      </w:r>
    </w:p>
    <w:p w:rsidR="004717A0" w:rsidRPr="003B4E53" w:rsidRDefault="004717A0" w:rsidP="00F04969">
      <w:pPr>
        <w:pStyle w:val="Styl1"/>
        <w:numPr>
          <w:ilvl w:val="0"/>
          <w:numId w:val="21"/>
        </w:numPr>
        <w:tabs>
          <w:tab w:val="clear" w:pos="2327"/>
        </w:tabs>
        <w:ind w:left="851" w:hanging="284"/>
        <w:rPr>
          <w:b/>
          <w:bCs/>
        </w:rPr>
      </w:pPr>
      <w:r w:rsidRPr="003B4E53">
        <w:rPr>
          <w:u w:val="single"/>
        </w:rPr>
        <w:t>Dotace pro společné programy (projekty) EU a ČR</w:t>
      </w:r>
      <w:r w:rsidRPr="003B4E53">
        <w:t xml:space="preserve"> – prostřednictvím tohoto okruhu jsou poskytovány prostředky kryté příjmem EU na financování projektů Operačního programu Doprava, ve kterém SFDI plní funkci zprostředkujícího subjektu, a dále také prostředky na financování komunitárních programů, u kterých zajišťuje SFDI národní spolufinancování. V roce 2019 se předpokládají prostředky ve výši 18 749 713 tis. Kč, v tom prostředky EU činí 18 749 713 tis. Kč.</w:t>
      </w:r>
    </w:p>
    <w:p w:rsidR="004717A0" w:rsidRPr="00F01A18" w:rsidRDefault="004717A0" w:rsidP="00F04969">
      <w:pPr>
        <w:pStyle w:val="Styl1"/>
        <w:numPr>
          <w:ilvl w:val="0"/>
          <w:numId w:val="21"/>
        </w:numPr>
        <w:tabs>
          <w:tab w:val="clear" w:pos="2327"/>
        </w:tabs>
        <w:ind w:left="851" w:hanging="284"/>
        <w:rPr>
          <w:b/>
          <w:bCs/>
        </w:rPr>
      </w:pPr>
      <w:r w:rsidRPr="00F01A18">
        <w:rPr>
          <w:u w:val="single"/>
        </w:rPr>
        <w:t>Dotace na projekty spolufinancované z EIB</w:t>
      </w:r>
      <w:r w:rsidRPr="00F01A18">
        <w:t xml:space="preserve"> – v rámci tohoto okruhu jsou poskytovány finanční prostředky z úvěrů přijatých Českou republikou </w:t>
      </w:r>
      <w:r w:rsidR="00AB78C7">
        <w:br/>
      </w:r>
      <w:r w:rsidRPr="00F01A18">
        <w:t>od Evropské investiční banky. Pro rok 201</w:t>
      </w:r>
      <w:r>
        <w:t>9</w:t>
      </w:r>
      <w:r w:rsidRPr="00F01A18">
        <w:t xml:space="preserve"> nejsou rozpočtovány žádné prostředky. </w:t>
      </w:r>
    </w:p>
    <w:p w:rsidR="004717A0" w:rsidRPr="003C701A" w:rsidRDefault="004717A0" w:rsidP="00F04969">
      <w:pPr>
        <w:pStyle w:val="Styl1"/>
        <w:numPr>
          <w:ilvl w:val="0"/>
          <w:numId w:val="21"/>
        </w:numPr>
        <w:tabs>
          <w:tab w:val="clear" w:pos="2327"/>
        </w:tabs>
        <w:ind w:left="851" w:hanging="284"/>
        <w:rPr>
          <w:b/>
          <w:bCs/>
        </w:rPr>
      </w:pPr>
      <w:r w:rsidRPr="003C701A">
        <w:rPr>
          <w:u w:val="single"/>
        </w:rPr>
        <w:t>Ostatní dotace pro SFDI</w:t>
      </w:r>
      <w:r w:rsidRPr="003C701A">
        <w:t xml:space="preserve"> – prostřednictvím tohoto okruhu se poskytují prostředky na krytí deficitu rozpočtu SFDI a další aktivity, které nespadají do ostatních výdajových okruhů. Pro rok 201</w:t>
      </w:r>
      <w:r>
        <w:t>9</w:t>
      </w:r>
      <w:r w:rsidRPr="003C701A">
        <w:t xml:space="preserve"> se navrhuje částka na krytí deficitu ve výši 35 996 331 tis. Kč, která je určena na posílení prostředků na spolufinancování OPD, </w:t>
      </w:r>
      <w:r w:rsidR="00AB78C7">
        <w:t xml:space="preserve">na výstavbu, opravy </w:t>
      </w:r>
      <w:r w:rsidRPr="003C701A">
        <w:t>a udržování dopravní infrastruktury.</w:t>
      </w:r>
    </w:p>
    <w:p w:rsidR="004717A0" w:rsidRPr="00C83F7C" w:rsidRDefault="00723009" w:rsidP="004717A0">
      <w:pPr>
        <w:spacing w:before="240" w:after="120"/>
        <w:ind w:left="539"/>
        <w:rPr>
          <w:rFonts w:cs="Times New Roman"/>
          <w:b/>
          <w:szCs w:val="24"/>
          <w:u w:val="single"/>
        </w:rPr>
      </w:pPr>
      <w:r w:rsidRPr="0001421C">
        <w:rPr>
          <w:color w:val="FF0000"/>
        </w:rPr>
        <w:t xml:space="preserve"> </w:t>
      </w:r>
      <w:r w:rsidR="004717A0" w:rsidRPr="00C83F7C">
        <w:rPr>
          <w:rFonts w:cs="Times New Roman"/>
          <w:b/>
          <w:szCs w:val="24"/>
          <w:u w:val="single"/>
        </w:rPr>
        <w:t>504 – Ostatní výdaje spojené s dopravní politikou státu</w:t>
      </w:r>
    </w:p>
    <w:p w:rsidR="004717A0" w:rsidRPr="00731F39" w:rsidRDefault="004717A0" w:rsidP="00AB78C7">
      <w:pPr>
        <w:pStyle w:val="Styl1"/>
      </w:pPr>
      <w:r w:rsidRPr="00C83F7C">
        <w:t xml:space="preserve">Výdajový blok zahrnuje všechny ostatní výdaje, které nespadají do předchozích výdajových bloků. V roce 2019 je na tento výdajový blok rozpočtováno 9 540 001 tis. Kč, a to na dva výdajové okruhy: Další výdaje spojené s dopravní politikou státu </w:t>
      </w:r>
      <w:r w:rsidRPr="00731F39">
        <w:t xml:space="preserve">(8 607 526 tis. Kč) </w:t>
      </w:r>
      <w:r w:rsidRPr="00731F39">
        <w:br/>
        <w:t>a Výdaje spojené s kosmickými aktivitami (932 475 tis. Kč).</w:t>
      </w:r>
    </w:p>
    <w:p w:rsidR="004717A0" w:rsidRPr="00C83F7C" w:rsidRDefault="004717A0" w:rsidP="00AB78C7">
      <w:pPr>
        <w:pStyle w:val="Styl1"/>
        <w:rPr>
          <w:i/>
        </w:rPr>
      </w:pPr>
      <w:r w:rsidRPr="00731F39">
        <w:t xml:space="preserve">Podrobnější charakteristika vymezující funkční a věcný obsah tohoto bloku je uvedena </w:t>
      </w:r>
      <w:r w:rsidRPr="00C83F7C">
        <w:t>v dalších částech kapitolního sešitu.</w:t>
      </w:r>
    </w:p>
    <w:p w:rsidR="00723009" w:rsidRPr="0001421C" w:rsidRDefault="00723009" w:rsidP="00AB78C7">
      <w:pPr>
        <w:pStyle w:val="Styl1"/>
        <w:rPr>
          <w:color w:val="FF0000"/>
        </w:rPr>
      </w:pPr>
    </w:p>
    <w:p w:rsidR="00723009" w:rsidRPr="0001421C" w:rsidRDefault="00AD1F22" w:rsidP="007B2F4B">
      <w:pPr>
        <w:pStyle w:val="Nadpis3"/>
        <w:rPr>
          <w:color w:val="FF0000"/>
        </w:rPr>
      </w:pPr>
      <w:r w:rsidRPr="0001421C">
        <w:rPr>
          <w:b w:val="0"/>
          <w:color w:val="FF0000"/>
          <w:szCs w:val="24"/>
        </w:rPr>
        <w:br w:type="page"/>
      </w:r>
      <w:bookmarkStart w:id="26" w:name="_Toc432592775"/>
      <w:bookmarkStart w:id="27" w:name="_Toc462314388"/>
      <w:bookmarkStart w:id="28" w:name="_Toc489274094"/>
      <w:bookmarkStart w:id="29" w:name="_Toc526424687"/>
      <w:r w:rsidR="00723009" w:rsidRPr="007B2F4B">
        <w:lastRenderedPageBreak/>
        <w:t>Specifické</w:t>
      </w:r>
      <w:r w:rsidR="00723009" w:rsidRPr="004717A0">
        <w:t xml:space="preserve"> ukazatele</w:t>
      </w:r>
      <w:bookmarkEnd w:id="26"/>
      <w:bookmarkEnd w:id="27"/>
      <w:bookmarkEnd w:id="28"/>
      <w:bookmarkEnd w:id="29"/>
    </w:p>
    <w:p w:rsidR="004717A0" w:rsidRPr="00C83F7C" w:rsidRDefault="004717A0" w:rsidP="00AB78C7">
      <w:pPr>
        <w:pStyle w:val="Styl1"/>
      </w:pPr>
      <w:r w:rsidRPr="00C83F7C">
        <w:t xml:space="preserve">Specifické ukazatelé jsou součástí přílohy č. 4 k zákonu o státním rozpočtu České republiky na příslušný rozpočtový rok. </w:t>
      </w:r>
    </w:p>
    <w:p w:rsidR="00D910C9" w:rsidRPr="00D910C9" w:rsidRDefault="00723009" w:rsidP="00D910C9">
      <w:pPr>
        <w:pStyle w:val="Titulek"/>
        <w:keepNext/>
      </w:pPr>
      <w:r w:rsidRPr="004717A0">
        <w:t xml:space="preserve">Tabulka č. </w:t>
      </w:r>
      <w:r w:rsidR="0001421C" w:rsidRPr="004717A0">
        <w:rPr>
          <w:noProof/>
        </w:rPr>
        <w:fldChar w:fldCharType="begin"/>
      </w:r>
      <w:r w:rsidR="0001421C" w:rsidRPr="004717A0">
        <w:rPr>
          <w:noProof/>
        </w:rPr>
        <w:instrText xml:space="preserve"> SEQ Tabulka \* ARABIC </w:instrText>
      </w:r>
      <w:r w:rsidR="0001421C" w:rsidRPr="004717A0">
        <w:rPr>
          <w:noProof/>
        </w:rPr>
        <w:fldChar w:fldCharType="separate"/>
      </w:r>
      <w:r w:rsidR="00AF5225">
        <w:rPr>
          <w:noProof/>
        </w:rPr>
        <w:t>5</w:t>
      </w:r>
      <w:r w:rsidR="0001421C" w:rsidRPr="004717A0">
        <w:rPr>
          <w:noProof/>
        </w:rPr>
        <w:fldChar w:fldCharType="end"/>
      </w:r>
      <w:r w:rsidRPr="004717A0">
        <w:t xml:space="preserve"> Specifické „výdajové“ ukazatele kapitoly 327-MD (v tis. Kč)</w:t>
      </w:r>
    </w:p>
    <w:tbl>
      <w:tblPr>
        <w:tblStyle w:val="Svtltabulkasmkou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41"/>
        <w:gridCol w:w="2211"/>
      </w:tblGrid>
      <w:tr w:rsidR="004717A0" w:rsidRPr="0001421C" w:rsidTr="00F222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1" w:type="dxa"/>
            <w:tcBorders>
              <w:top w:val="single" w:sz="8" w:space="0" w:color="7F7F7F" w:themeColor="text1" w:themeTint="80"/>
              <w:bottom w:val="single" w:sz="4" w:space="0" w:color="7F7F7F" w:themeColor="text1" w:themeTint="80"/>
            </w:tcBorders>
          </w:tcPr>
          <w:p w:rsidR="004717A0" w:rsidRPr="009863CC" w:rsidRDefault="004717A0" w:rsidP="00F22264">
            <w:pPr>
              <w:pStyle w:val="Nvod"/>
              <w:keepNext/>
              <w:spacing w:before="160"/>
            </w:pPr>
            <w:r w:rsidRPr="009863CC">
              <w:t>Drážní a kombinovaná doprava</w:t>
            </w:r>
          </w:p>
        </w:tc>
        <w:tc>
          <w:tcPr>
            <w:tcW w:w="2211" w:type="dxa"/>
            <w:tcBorders>
              <w:top w:val="single" w:sz="8" w:space="0" w:color="7F7F7F" w:themeColor="text1" w:themeTint="80"/>
              <w:bottom w:val="single" w:sz="4" w:space="0" w:color="7F7F7F" w:themeColor="text1" w:themeTint="80"/>
            </w:tcBorders>
          </w:tcPr>
          <w:p w:rsidR="004717A0" w:rsidRPr="009863CC" w:rsidRDefault="004717A0" w:rsidP="00F22264">
            <w:pPr>
              <w:pStyle w:val="Nvod"/>
              <w:keepNext/>
              <w:spacing w:before="160"/>
              <w:ind w:left="0" w:firstLine="0"/>
              <w:jc w:val="right"/>
              <w:cnfStyle w:val="100000000000" w:firstRow="1" w:lastRow="0" w:firstColumn="0" w:lastColumn="0" w:oddVBand="0" w:evenVBand="0" w:oddHBand="0" w:evenHBand="0" w:firstRowFirstColumn="0" w:firstRowLastColumn="0" w:lastRowFirstColumn="0" w:lastRowLastColumn="0"/>
            </w:pPr>
            <w:r w:rsidRPr="009863CC">
              <w:t xml:space="preserve">8 269 379      </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841" w:type="dxa"/>
            <w:tcBorders>
              <w:top w:val="single" w:sz="4" w:space="0" w:color="7F7F7F" w:themeColor="text1" w:themeTint="80"/>
              <w:bottom w:val="single" w:sz="4" w:space="0" w:color="7F7F7F" w:themeColor="text1" w:themeTint="80"/>
            </w:tcBorders>
          </w:tcPr>
          <w:p w:rsidR="004717A0" w:rsidRPr="009863CC" w:rsidRDefault="004717A0" w:rsidP="00F22264">
            <w:pPr>
              <w:pStyle w:val="Nvod"/>
              <w:keepNext/>
              <w:spacing w:before="160"/>
            </w:pPr>
            <w:r w:rsidRPr="009863CC">
              <w:t xml:space="preserve">Pozemní komunikace </w:t>
            </w:r>
          </w:p>
        </w:tc>
        <w:tc>
          <w:tcPr>
            <w:tcW w:w="2211" w:type="dxa"/>
            <w:tcBorders>
              <w:top w:val="single" w:sz="4" w:space="0" w:color="7F7F7F" w:themeColor="text1" w:themeTint="80"/>
              <w:bottom w:val="single" w:sz="4" w:space="0" w:color="7F7F7F" w:themeColor="text1" w:themeTint="80"/>
            </w:tcBorders>
          </w:tcPr>
          <w:p w:rsidR="004717A0" w:rsidRPr="009863CC" w:rsidRDefault="004717A0" w:rsidP="00F22264">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9863CC">
              <w:rPr>
                <w:b/>
              </w:rPr>
              <w:t>0</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841" w:type="dxa"/>
            <w:tcBorders>
              <w:top w:val="single" w:sz="4" w:space="0" w:color="7F7F7F" w:themeColor="text1" w:themeTint="80"/>
              <w:bottom w:val="nil"/>
            </w:tcBorders>
          </w:tcPr>
          <w:p w:rsidR="004717A0" w:rsidRPr="009863CC" w:rsidRDefault="004717A0" w:rsidP="00F22264">
            <w:pPr>
              <w:pStyle w:val="Nvod"/>
              <w:keepNext/>
              <w:spacing w:before="160"/>
            </w:pPr>
            <w:r w:rsidRPr="009863CC">
              <w:t xml:space="preserve">Dotace pro Státní fond dopravní infrastruktury </w:t>
            </w:r>
          </w:p>
        </w:tc>
        <w:tc>
          <w:tcPr>
            <w:tcW w:w="2211" w:type="dxa"/>
            <w:tcBorders>
              <w:top w:val="single" w:sz="4" w:space="0" w:color="7F7F7F" w:themeColor="text1" w:themeTint="80"/>
              <w:bottom w:val="nil"/>
            </w:tcBorders>
          </w:tcPr>
          <w:p w:rsidR="004717A0" w:rsidRPr="009863CC" w:rsidRDefault="004717A0" w:rsidP="00F22264">
            <w:pPr>
              <w:pStyle w:val="Nvod"/>
              <w:keepNext/>
              <w:spacing w:before="160"/>
              <w:ind w:left="0" w:firstLine="12"/>
              <w:jc w:val="right"/>
              <w:cnfStyle w:val="000000000000" w:firstRow="0" w:lastRow="0" w:firstColumn="0" w:lastColumn="0" w:oddVBand="0" w:evenVBand="0" w:oddHBand="0" w:evenHBand="0" w:firstRowFirstColumn="0" w:firstRowLastColumn="0" w:lastRowFirstColumn="0" w:lastRowLastColumn="0"/>
              <w:rPr>
                <w:b/>
              </w:rPr>
            </w:pPr>
            <w:r w:rsidRPr="009863CC">
              <w:rPr>
                <w:b/>
              </w:rPr>
              <w:t>54 746 044</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841" w:type="dxa"/>
            <w:tcBorders>
              <w:top w:val="nil"/>
              <w:bottom w:val="nil"/>
            </w:tcBorders>
          </w:tcPr>
          <w:p w:rsidR="004717A0" w:rsidRPr="009863CC" w:rsidRDefault="004717A0" w:rsidP="00F22264">
            <w:pPr>
              <w:pStyle w:val="Nvod"/>
              <w:keepNext/>
              <w:spacing w:before="160"/>
              <w:ind w:left="0" w:firstLine="0"/>
              <w:rPr>
                <w:b w:val="0"/>
              </w:rPr>
            </w:pPr>
            <w:r w:rsidRPr="009863CC">
              <w:rPr>
                <w:b w:val="0"/>
              </w:rPr>
              <w:t xml:space="preserve">v tom: dotace pro společné programy (projekty) EU a ČR </w:t>
            </w:r>
          </w:p>
        </w:tc>
        <w:tc>
          <w:tcPr>
            <w:tcW w:w="2211" w:type="dxa"/>
            <w:tcBorders>
              <w:top w:val="nil"/>
              <w:bottom w:val="nil"/>
            </w:tcBorders>
          </w:tcPr>
          <w:p w:rsidR="004717A0" w:rsidRPr="009863CC" w:rsidRDefault="004717A0" w:rsidP="00F22264">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9863CC">
              <w:t>18 749 713</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841" w:type="dxa"/>
            <w:tcBorders>
              <w:top w:val="nil"/>
              <w:bottom w:val="nil"/>
            </w:tcBorders>
          </w:tcPr>
          <w:p w:rsidR="004717A0" w:rsidRPr="009863CC" w:rsidRDefault="004717A0" w:rsidP="00F22264">
            <w:pPr>
              <w:pStyle w:val="Nvod"/>
              <w:keepNext/>
              <w:spacing w:before="160"/>
              <w:ind w:left="0" w:firstLine="0"/>
              <w:rPr>
                <w:b w:val="0"/>
              </w:rPr>
            </w:pPr>
            <w:r w:rsidRPr="009863CC">
              <w:rPr>
                <w:b w:val="0"/>
              </w:rPr>
              <w:t xml:space="preserve">            ostatní dotace pro SFDI</w:t>
            </w:r>
          </w:p>
        </w:tc>
        <w:tc>
          <w:tcPr>
            <w:tcW w:w="2211" w:type="dxa"/>
            <w:tcBorders>
              <w:top w:val="nil"/>
              <w:bottom w:val="nil"/>
            </w:tcBorders>
          </w:tcPr>
          <w:p w:rsidR="004717A0" w:rsidRPr="009863CC" w:rsidRDefault="004717A0" w:rsidP="00F22264">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9863CC">
              <w:t>35 996 331</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841" w:type="dxa"/>
            <w:tcBorders>
              <w:top w:val="nil"/>
              <w:bottom w:val="single" w:sz="4" w:space="0" w:color="7F7F7F" w:themeColor="text1" w:themeTint="80"/>
            </w:tcBorders>
          </w:tcPr>
          <w:p w:rsidR="004717A0" w:rsidRPr="009863CC" w:rsidRDefault="004717A0" w:rsidP="00F22264">
            <w:pPr>
              <w:pStyle w:val="Nvod"/>
              <w:keepNext/>
              <w:spacing w:before="160"/>
              <w:ind w:left="360" w:firstLine="0"/>
              <w:rPr>
                <w:b w:val="0"/>
              </w:rPr>
            </w:pPr>
            <w:r w:rsidRPr="009863CC">
              <w:rPr>
                <w:b w:val="0"/>
              </w:rPr>
              <w:t xml:space="preserve">      dotace na projekty spolufinancované z EIB</w:t>
            </w:r>
          </w:p>
        </w:tc>
        <w:tc>
          <w:tcPr>
            <w:tcW w:w="2211" w:type="dxa"/>
            <w:tcBorders>
              <w:top w:val="nil"/>
              <w:bottom w:val="single" w:sz="4" w:space="0" w:color="7F7F7F" w:themeColor="text1" w:themeTint="80"/>
            </w:tcBorders>
          </w:tcPr>
          <w:p w:rsidR="004717A0" w:rsidRPr="009863CC" w:rsidRDefault="004717A0" w:rsidP="00F22264">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9863CC">
              <w:t>0</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841" w:type="dxa"/>
            <w:tcBorders>
              <w:top w:val="single" w:sz="4" w:space="0" w:color="7F7F7F" w:themeColor="text1" w:themeTint="80"/>
              <w:bottom w:val="single" w:sz="8" w:space="0" w:color="7F7F7F" w:themeColor="text1" w:themeTint="80"/>
            </w:tcBorders>
          </w:tcPr>
          <w:p w:rsidR="004717A0" w:rsidRPr="009863CC" w:rsidRDefault="004717A0" w:rsidP="00F22264">
            <w:pPr>
              <w:pStyle w:val="Nvod"/>
              <w:keepNext/>
              <w:spacing w:before="160"/>
            </w:pPr>
            <w:r w:rsidRPr="009863CC">
              <w:t>Ostatní výdaje spojené s dopravní politikou státu</w:t>
            </w:r>
          </w:p>
        </w:tc>
        <w:tc>
          <w:tcPr>
            <w:tcW w:w="2211" w:type="dxa"/>
            <w:tcBorders>
              <w:top w:val="single" w:sz="4" w:space="0" w:color="7F7F7F" w:themeColor="text1" w:themeTint="80"/>
              <w:bottom w:val="single" w:sz="8" w:space="0" w:color="7F7F7F" w:themeColor="text1" w:themeTint="80"/>
            </w:tcBorders>
          </w:tcPr>
          <w:p w:rsidR="004717A0" w:rsidRPr="009863CC" w:rsidRDefault="004717A0" w:rsidP="00F22264">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9863CC">
              <w:rPr>
                <w:b/>
              </w:rPr>
              <w:t>9 540 001</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841" w:type="dxa"/>
            <w:tcBorders>
              <w:top w:val="single" w:sz="8" w:space="0" w:color="7F7F7F" w:themeColor="text1" w:themeTint="80"/>
              <w:bottom w:val="single" w:sz="8" w:space="0" w:color="7F7F7F" w:themeColor="text1" w:themeTint="80"/>
            </w:tcBorders>
          </w:tcPr>
          <w:p w:rsidR="004717A0" w:rsidRPr="009863CC" w:rsidRDefault="004717A0" w:rsidP="00F22264">
            <w:pPr>
              <w:pStyle w:val="Nvod"/>
              <w:keepNext/>
              <w:spacing w:before="160"/>
              <w:ind w:left="0" w:firstLine="0"/>
            </w:pPr>
            <w:r w:rsidRPr="009863CC">
              <w:t>VÝDAJE KAPITOLY 327</w:t>
            </w:r>
            <w:r w:rsidRPr="009863CC">
              <w:noBreakHyphen/>
              <w:t xml:space="preserve">MD   CELKEM  </w:t>
            </w:r>
          </w:p>
        </w:tc>
        <w:tc>
          <w:tcPr>
            <w:tcW w:w="2211" w:type="dxa"/>
            <w:tcBorders>
              <w:top w:val="single" w:sz="8" w:space="0" w:color="7F7F7F" w:themeColor="text1" w:themeTint="80"/>
              <w:bottom w:val="single" w:sz="8" w:space="0" w:color="7F7F7F" w:themeColor="text1" w:themeTint="80"/>
            </w:tcBorders>
          </w:tcPr>
          <w:p w:rsidR="004717A0" w:rsidRPr="009863CC" w:rsidRDefault="004717A0" w:rsidP="00F22264">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9863CC">
              <w:rPr>
                <w:b/>
              </w:rPr>
              <w:t xml:space="preserve">72 555 425  </w:t>
            </w:r>
          </w:p>
        </w:tc>
      </w:tr>
    </w:tbl>
    <w:p w:rsidR="004717A0" w:rsidRPr="004717A0" w:rsidRDefault="002C756F" w:rsidP="002C756F">
      <w:pPr>
        <w:pStyle w:val="Titulek"/>
        <w:keepNext/>
        <w:spacing w:before="240"/>
        <w:rPr>
          <w:color w:val="FF0000"/>
        </w:rPr>
      </w:pPr>
      <w:bookmarkStart w:id="30" w:name="_Toc368665061"/>
      <w:bookmarkStart w:id="31" w:name="_Toc463338095"/>
      <w:bookmarkStart w:id="32" w:name="_Toc488937060"/>
      <w:bookmarkStart w:id="33" w:name="_Toc526424761"/>
      <w:r w:rsidRPr="00C36457">
        <w:rPr>
          <w:noProof/>
        </w:rPr>
        <w:drawing>
          <wp:anchor distT="0" distB="0" distL="114300" distR="114300" simplePos="0" relativeHeight="251659264" behindDoc="0" locked="0" layoutInCell="1" allowOverlap="1" wp14:anchorId="4E6F8B49" wp14:editId="283F55F3">
            <wp:simplePos x="0" y="0"/>
            <wp:positionH relativeFrom="margin">
              <wp:posOffset>-3175</wp:posOffset>
            </wp:positionH>
            <wp:positionV relativeFrom="paragraph">
              <wp:posOffset>397510</wp:posOffset>
            </wp:positionV>
            <wp:extent cx="5735955" cy="2599690"/>
            <wp:effectExtent l="0" t="0" r="17145" b="10160"/>
            <wp:wrapSquare wrapText="bothSides"/>
            <wp:docPr id="9" name="Graf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00723009" w:rsidRPr="004717A0">
        <w:t xml:space="preserve">Graf č. </w:t>
      </w:r>
      <w:r w:rsidR="0001421C" w:rsidRPr="004717A0">
        <w:rPr>
          <w:noProof/>
        </w:rPr>
        <w:fldChar w:fldCharType="begin"/>
      </w:r>
      <w:r w:rsidR="0001421C" w:rsidRPr="004717A0">
        <w:rPr>
          <w:noProof/>
        </w:rPr>
        <w:instrText xml:space="preserve"> SEQ Graf_č. \* ARABIC </w:instrText>
      </w:r>
      <w:r w:rsidR="0001421C" w:rsidRPr="004717A0">
        <w:rPr>
          <w:noProof/>
        </w:rPr>
        <w:fldChar w:fldCharType="separate"/>
      </w:r>
      <w:r w:rsidR="00AF5225">
        <w:rPr>
          <w:noProof/>
        </w:rPr>
        <w:t>4</w:t>
      </w:r>
      <w:r w:rsidR="0001421C" w:rsidRPr="004717A0">
        <w:rPr>
          <w:noProof/>
        </w:rPr>
        <w:fldChar w:fldCharType="end"/>
      </w:r>
      <w:r w:rsidR="00723009" w:rsidRPr="004717A0">
        <w:t>: Přehled specifických ukazatelů v kapitole 327</w:t>
      </w:r>
      <w:r w:rsidR="00723009" w:rsidRPr="004717A0">
        <w:noBreakHyphen/>
        <w:t>MD (v tis. Kč)</w:t>
      </w:r>
      <w:bookmarkEnd w:id="30"/>
      <w:bookmarkEnd w:id="31"/>
      <w:bookmarkEnd w:id="32"/>
      <w:bookmarkEnd w:id="33"/>
    </w:p>
    <w:p w:rsidR="004717A0" w:rsidRPr="00F81CD7" w:rsidRDefault="004717A0" w:rsidP="006C7E5B">
      <w:pPr>
        <w:pStyle w:val="Styl1"/>
        <w:spacing w:before="240"/>
      </w:pPr>
      <w:r w:rsidRPr="00F81CD7">
        <w:t>Výdaje kapitoly 327</w:t>
      </w:r>
      <w:r w:rsidRPr="00F81CD7">
        <w:noBreakHyphen/>
        <w:t xml:space="preserve">MD jsou dále podrobně popsány v následujících textech, a to v členění na běžné a kapitálové výdaje, na výdaje směrované do programového financování (EDS/SMVS) a na prostředky z rozpočtu Evropské unie. </w:t>
      </w:r>
    </w:p>
    <w:p w:rsidR="00723009" w:rsidRPr="0001421C" w:rsidRDefault="00723009" w:rsidP="00723009">
      <w:pPr>
        <w:rPr>
          <w:b/>
          <w:color w:val="FF0000"/>
          <w:u w:val="single"/>
        </w:rPr>
      </w:pPr>
      <w:r w:rsidRPr="0001421C">
        <w:rPr>
          <w:b/>
          <w:color w:val="FF0000"/>
          <w:u w:val="single"/>
        </w:rPr>
        <w:br w:type="page"/>
      </w:r>
    </w:p>
    <w:p w:rsidR="00723009" w:rsidRPr="004717A0" w:rsidRDefault="00723009" w:rsidP="00723009">
      <w:pPr>
        <w:spacing w:before="240" w:after="80"/>
        <w:ind w:left="539"/>
        <w:rPr>
          <w:rFonts w:cs="Times New Roman"/>
          <w:b/>
          <w:szCs w:val="24"/>
          <w:u w:val="single"/>
        </w:rPr>
      </w:pPr>
      <w:r w:rsidRPr="004717A0">
        <w:rPr>
          <w:rFonts w:cs="Times New Roman"/>
          <w:b/>
          <w:szCs w:val="24"/>
          <w:u w:val="single"/>
        </w:rPr>
        <w:lastRenderedPageBreak/>
        <w:t>Drážní a kombinovaná doprava</w:t>
      </w:r>
    </w:p>
    <w:p w:rsidR="00D910C9" w:rsidRDefault="004717A0" w:rsidP="00BF77A6">
      <w:pPr>
        <w:pStyle w:val="Styl1"/>
        <w:numPr>
          <w:ilvl w:val="0"/>
          <w:numId w:val="22"/>
        </w:numPr>
        <w:ind w:left="851" w:hanging="284"/>
      </w:pPr>
      <w:r w:rsidRPr="00F3619A">
        <w:t xml:space="preserve">financované z prostředků státního rozpočtu (8 269 379 tis. Kč) </w:t>
      </w:r>
    </w:p>
    <w:tbl>
      <w:tblPr>
        <w:tblStyle w:val="Svtltabulkasmkou1"/>
        <w:tblW w:w="0" w:type="auto"/>
        <w:tblLook w:val="00A0" w:firstRow="1" w:lastRow="0" w:firstColumn="1" w:lastColumn="0" w:noHBand="0" w:noVBand="0"/>
      </w:tblPr>
      <w:tblGrid>
        <w:gridCol w:w="6873"/>
        <w:gridCol w:w="2177"/>
      </w:tblGrid>
      <w:tr w:rsidR="004717A0" w:rsidRPr="00F3619A" w:rsidTr="00F222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4717A0" w:rsidRPr="00F3619A" w:rsidRDefault="004717A0" w:rsidP="00F22264">
            <w:pPr>
              <w:rPr>
                <w:rFonts w:cs="Times New Roman"/>
                <w:b w:val="0"/>
                <w:szCs w:val="24"/>
              </w:rPr>
            </w:pPr>
            <w:r w:rsidRPr="00F3619A">
              <w:rPr>
                <w:rFonts w:cs="Times New Roman"/>
                <w:b w:val="0"/>
                <w:szCs w:val="24"/>
              </w:rPr>
              <w:t xml:space="preserve">Úhrada ztráty ze závazku veř. </w:t>
            </w:r>
            <w:proofErr w:type="gramStart"/>
            <w:r w:rsidRPr="00F3619A">
              <w:rPr>
                <w:rFonts w:cs="Times New Roman"/>
                <w:b w:val="0"/>
                <w:szCs w:val="24"/>
              </w:rPr>
              <w:t>služby</w:t>
            </w:r>
            <w:proofErr w:type="gramEnd"/>
            <w:r w:rsidRPr="00F3619A">
              <w:rPr>
                <w:rFonts w:cs="Times New Roman"/>
                <w:b w:val="0"/>
                <w:szCs w:val="24"/>
              </w:rPr>
              <w:t xml:space="preserve"> ve veř. drážní osobní dopravě</w:t>
            </w:r>
          </w:p>
        </w:tc>
        <w:tc>
          <w:tcPr>
            <w:tcW w:w="2177" w:type="dxa"/>
            <w:tcBorders>
              <w:top w:val="single" w:sz="8" w:space="0" w:color="7F7F7F" w:themeColor="text1" w:themeTint="80"/>
              <w:bottom w:val="nil"/>
              <w:right w:val="single" w:sz="8" w:space="0" w:color="7F7F7F" w:themeColor="text1" w:themeTint="80"/>
            </w:tcBorders>
          </w:tcPr>
          <w:p w:rsidR="004717A0" w:rsidRPr="00F3619A" w:rsidRDefault="004717A0" w:rsidP="00F22264">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F3619A">
              <w:rPr>
                <w:rFonts w:cs="Times New Roman"/>
                <w:b w:val="0"/>
                <w:szCs w:val="24"/>
              </w:rPr>
              <w:t>7 864 079 tis. Kč</w:t>
            </w:r>
          </w:p>
        </w:tc>
      </w:tr>
      <w:tr w:rsidR="004717A0" w:rsidRPr="00F3619A" w:rsidTr="00F22264">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nil"/>
            </w:tcBorders>
          </w:tcPr>
          <w:p w:rsidR="004717A0" w:rsidRPr="00F3619A" w:rsidRDefault="004717A0" w:rsidP="00F22264">
            <w:pPr>
              <w:ind w:left="720" w:hanging="720"/>
              <w:rPr>
                <w:rFonts w:cs="Times New Roman"/>
                <w:b w:val="0"/>
                <w:i/>
                <w:szCs w:val="24"/>
              </w:rPr>
            </w:pPr>
            <w:r w:rsidRPr="00F3619A">
              <w:rPr>
                <w:rFonts w:cs="Times New Roman"/>
                <w:b w:val="0"/>
                <w:i/>
                <w:szCs w:val="24"/>
              </w:rPr>
              <w:t>v tom: financování dopravní obslužnosti veřejnou železniční osobní dopravou (kraje a hl. m. Praha)</w:t>
            </w:r>
          </w:p>
        </w:tc>
        <w:tc>
          <w:tcPr>
            <w:tcW w:w="2177" w:type="dxa"/>
            <w:tcBorders>
              <w:top w:val="nil"/>
              <w:bottom w:val="nil"/>
              <w:right w:val="single" w:sz="8" w:space="0" w:color="7F7F7F" w:themeColor="text1" w:themeTint="80"/>
            </w:tcBorders>
          </w:tcPr>
          <w:p w:rsidR="004717A0" w:rsidRPr="00F3619A"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F3619A">
              <w:rPr>
                <w:rFonts w:cs="Times New Roman"/>
                <w:i/>
                <w:szCs w:val="24"/>
              </w:rPr>
              <w:t>2 884 352 tis. Kč</w:t>
            </w:r>
          </w:p>
        </w:tc>
      </w:tr>
      <w:tr w:rsidR="004717A0" w:rsidRPr="00F3619A" w:rsidTr="00F22264">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4717A0" w:rsidRPr="00F3619A" w:rsidRDefault="004717A0" w:rsidP="00F22264">
            <w:pPr>
              <w:ind w:left="720" w:hanging="720"/>
              <w:rPr>
                <w:rFonts w:cs="Times New Roman"/>
                <w:b w:val="0"/>
                <w:i/>
                <w:szCs w:val="24"/>
              </w:rPr>
            </w:pPr>
            <w:r w:rsidRPr="00F3619A">
              <w:rPr>
                <w:rFonts w:cs="Times New Roman"/>
                <w:b w:val="0"/>
                <w:i/>
                <w:szCs w:val="24"/>
              </w:rPr>
              <w:t xml:space="preserve">            financování smlouvy o závazku veř. </w:t>
            </w:r>
            <w:proofErr w:type="gramStart"/>
            <w:r w:rsidRPr="00F3619A">
              <w:rPr>
                <w:rFonts w:cs="Times New Roman"/>
                <w:b w:val="0"/>
                <w:i/>
                <w:szCs w:val="24"/>
              </w:rPr>
              <w:t>služby</w:t>
            </w:r>
            <w:proofErr w:type="gramEnd"/>
            <w:r w:rsidRPr="00F3619A">
              <w:rPr>
                <w:rFonts w:cs="Times New Roman"/>
                <w:b w:val="0"/>
                <w:i/>
                <w:szCs w:val="24"/>
              </w:rPr>
              <w:t xml:space="preserve"> na zajištění </w:t>
            </w:r>
            <w:proofErr w:type="spellStart"/>
            <w:r w:rsidRPr="00F3619A">
              <w:rPr>
                <w:rFonts w:cs="Times New Roman"/>
                <w:b w:val="0"/>
                <w:i/>
                <w:szCs w:val="24"/>
              </w:rPr>
              <w:t>dopr</w:t>
            </w:r>
            <w:proofErr w:type="spellEnd"/>
            <w:r w:rsidRPr="00F3619A">
              <w:rPr>
                <w:rFonts w:cs="Times New Roman"/>
                <w:b w:val="0"/>
                <w:i/>
                <w:szCs w:val="24"/>
              </w:rPr>
              <w:t>. potřeb státu zabezpečovaných veř. žel. osobní přepravou</w:t>
            </w:r>
          </w:p>
        </w:tc>
        <w:tc>
          <w:tcPr>
            <w:tcW w:w="2177" w:type="dxa"/>
            <w:tcBorders>
              <w:top w:val="nil"/>
              <w:bottom w:val="single" w:sz="8" w:space="0" w:color="7F7F7F" w:themeColor="text1" w:themeTint="80"/>
              <w:right w:val="single" w:sz="8" w:space="0" w:color="7F7F7F" w:themeColor="text1" w:themeTint="80"/>
            </w:tcBorders>
          </w:tcPr>
          <w:p w:rsidR="004717A0" w:rsidRPr="00F3619A"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F3619A">
              <w:rPr>
                <w:rFonts w:cs="Times New Roman"/>
                <w:i/>
                <w:szCs w:val="24"/>
              </w:rPr>
              <w:t>4 979 727 tis. Kč</w:t>
            </w:r>
          </w:p>
        </w:tc>
      </w:tr>
      <w:tr w:rsidR="004717A0" w:rsidRPr="00F3619A" w:rsidTr="00F2226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4717A0" w:rsidRPr="00F3619A" w:rsidRDefault="004717A0" w:rsidP="00F22264">
            <w:pPr>
              <w:rPr>
                <w:rFonts w:cs="Times New Roman"/>
                <w:b w:val="0"/>
                <w:szCs w:val="24"/>
              </w:rPr>
            </w:pPr>
            <w:r w:rsidRPr="00F3619A">
              <w:rPr>
                <w:rFonts w:cs="Times New Roman"/>
                <w:b w:val="0"/>
                <w:szCs w:val="24"/>
              </w:rPr>
              <w:t>Příspěvek</w:t>
            </w:r>
            <w:r w:rsidR="00202B9D">
              <w:rPr>
                <w:rFonts w:cs="Times New Roman"/>
                <w:b w:val="0"/>
                <w:szCs w:val="24"/>
              </w:rPr>
              <w:t xml:space="preserve"> SŽDC</w:t>
            </w:r>
            <w:r w:rsidRPr="00F3619A">
              <w:rPr>
                <w:rFonts w:cs="Times New Roman"/>
                <w:b w:val="0"/>
                <w:szCs w:val="24"/>
              </w:rPr>
              <w:t xml:space="preserve"> na dopravní cestu nehrazený ze SFDI</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rsidR="004717A0" w:rsidRPr="00F3619A"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F3619A">
              <w:rPr>
                <w:rFonts w:cs="Times New Roman"/>
                <w:szCs w:val="24"/>
              </w:rPr>
              <w:t>400 000 tis. Kč</w:t>
            </w:r>
          </w:p>
        </w:tc>
      </w:tr>
      <w:tr w:rsidR="004717A0" w:rsidRPr="00F3619A" w:rsidTr="00F2226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4717A0" w:rsidRPr="00F3619A" w:rsidRDefault="004717A0" w:rsidP="00F22264">
            <w:pPr>
              <w:rPr>
                <w:rFonts w:cs="Times New Roman"/>
                <w:b w:val="0"/>
                <w:szCs w:val="24"/>
              </w:rPr>
            </w:pPr>
            <w:r w:rsidRPr="00F3619A">
              <w:rPr>
                <w:rFonts w:cs="Times New Roman"/>
                <w:b w:val="0"/>
                <w:szCs w:val="24"/>
              </w:rPr>
              <w:t>Ostatní výdaje spojené s drážní dopravou</w:t>
            </w:r>
          </w:p>
        </w:tc>
        <w:tc>
          <w:tcPr>
            <w:tcW w:w="2177" w:type="dxa"/>
            <w:tcBorders>
              <w:top w:val="single" w:sz="8" w:space="0" w:color="7F7F7F" w:themeColor="text1" w:themeTint="80"/>
              <w:bottom w:val="nil"/>
              <w:right w:val="single" w:sz="8" w:space="0" w:color="7F7F7F" w:themeColor="text1" w:themeTint="80"/>
            </w:tcBorders>
          </w:tcPr>
          <w:p w:rsidR="004717A0" w:rsidRPr="00F3619A"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F3619A">
              <w:rPr>
                <w:rFonts w:cs="Times New Roman"/>
                <w:szCs w:val="24"/>
              </w:rPr>
              <w:t>5 300 tis. Kč</w:t>
            </w:r>
          </w:p>
        </w:tc>
      </w:tr>
      <w:tr w:rsidR="004717A0" w:rsidRPr="00F3619A" w:rsidTr="00F22264">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nil"/>
            </w:tcBorders>
          </w:tcPr>
          <w:p w:rsidR="004717A0" w:rsidRPr="00F3619A" w:rsidRDefault="004717A0" w:rsidP="00F22264">
            <w:pPr>
              <w:ind w:left="720" w:hanging="720"/>
              <w:rPr>
                <w:rFonts w:cs="Times New Roman"/>
                <w:b w:val="0"/>
                <w:i/>
                <w:szCs w:val="24"/>
              </w:rPr>
            </w:pPr>
            <w:r w:rsidRPr="00F3619A">
              <w:rPr>
                <w:rFonts w:cs="Times New Roman"/>
                <w:b w:val="0"/>
                <w:i/>
                <w:szCs w:val="24"/>
              </w:rPr>
              <w:t>v tom: 127 66 Podpora obnovy historických železničních kolejových vozidel v období 2017-2020</w:t>
            </w:r>
          </w:p>
        </w:tc>
        <w:tc>
          <w:tcPr>
            <w:tcW w:w="2177" w:type="dxa"/>
            <w:tcBorders>
              <w:top w:val="nil"/>
              <w:bottom w:val="nil"/>
              <w:right w:val="single" w:sz="8" w:space="0" w:color="7F7F7F" w:themeColor="text1" w:themeTint="80"/>
            </w:tcBorders>
          </w:tcPr>
          <w:p w:rsidR="004717A0" w:rsidRPr="00F3619A"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F3619A">
              <w:rPr>
                <w:rFonts w:cs="Times New Roman"/>
                <w:i/>
                <w:szCs w:val="24"/>
              </w:rPr>
              <w:t>4 000 tis. Kč</w:t>
            </w:r>
          </w:p>
        </w:tc>
      </w:tr>
      <w:tr w:rsidR="004717A0" w:rsidRPr="00F3619A" w:rsidTr="00F22264">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4717A0" w:rsidRPr="00F3619A" w:rsidRDefault="004717A0" w:rsidP="00F22264">
            <w:pPr>
              <w:ind w:left="720" w:hanging="720"/>
              <w:rPr>
                <w:rFonts w:cs="Times New Roman"/>
                <w:b w:val="0"/>
                <w:i/>
                <w:szCs w:val="24"/>
              </w:rPr>
            </w:pPr>
            <w:r w:rsidRPr="00F3619A">
              <w:rPr>
                <w:rFonts w:cs="Times New Roman"/>
                <w:b w:val="0"/>
                <w:i/>
                <w:szCs w:val="24"/>
              </w:rPr>
              <w:t xml:space="preserve">           dotace spolku - </w:t>
            </w:r>
            <w:proofErr w:type="spellStart"/>
            <w:r w:rsidRPr="00F3619A">
              <w:rPr>
                <w:rFonts w:cs="Times New Roman"/>
                <w:b w:val="0"/>
                <w:i/>
                <w:szCs w:val="24"/>
              </w:rPr>
              <w:t>Legiovlak</w:t>
            </w:r>
            <w:proofErr w:type="spellEnd"/>
          </w:p>
        </w:tc>
        <w:tc>
          <w:tcPr>
            <w:tcW w:w="2177" w:type="dxa"/>
            <w:tcBorders>
              <w:top w:val="nil"/>
              <w:bottom w:val="single" w:sz="8" w:space="0" w:color="7F7F7F" w:themeColor="text1" w:themeTint="80"/>
              <w:right w:val="single" w:sz="8" w:space="0" w:color="7F7F7F" w:themeColor="text1" w:themeTint="80"/>
            </w:tcBorders>
          </w:tcPr>
          <w:p w:rsidR="004717A0" w:rsidRPr="00F3619A"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F3619A">
              <w:rPr>
                <w:rFonts w:cs="Times New Roman"/>
                <w:i/>
                <w:szCs w:val="24"/>
              </w:rPr>
              <w:t>1 300 tis. Kč</w:t>
            </w:r>
          </w:p>
        </w:tc>
      </w:tr>
    </w:tbl>
    <w:p w:rsidR="004717A0" w:rsidRPr="00663826" w:rsidRDefault="004717A0" w:rsidP="00F04969">
      <w:pPr>
        <w:pStyle w:val="Styl1"/>
        <w:numPr>
          <w:ilvl w:val="0"/>
          <w:numId w:val="23"/>
        </w:numPr>
        <w:ind w:left="851" w:hanging="284"/>
      </w:pPr>
      <w:r w:rsidRPr="00663826">
        <w:t>financované z prostředků fondů Evropské unie (0 tis. Kč)</w:t>
      </w:r>
    </w:p>
    <w:p w:rsidR="00D910C9" w:rsidRPr="004717A0" w:rsidRDefault="004717A0" w:rsidP="004717A0">
      <w:pPr>
        <w:pStyle w:val="Odstavecseseznamem"/>
        <w:spacing w:before="240" w:after="240"/>
        <w:ind w:left="720"/>
        <w:rPr>
          <w:b/>
          <w:u w:val="single"/>
        </w:rPr>
      </w:pPr>
      <w:r w:rsidRPr="004717A0">
        <w:rPr>
          <w:b/>
          <w:u w:val="single"/>
        </w:rPr>
        <w:t xml:space="preserve">Pozemní komunikace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79"/>
        <w:gridCol w:w="2173"/>
      </w:tblGrid>
      <w:tr w:rsidR="0001421C" w:rsidRPr="0001421C" w:rsidTr="00D910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8" w:type="dxa"/>
            <w:tcBorders>
              <w:bottom w:val="none" w:sz="0" w:space="0" w:color="auto"/>
            </w:tcBorders>
            <w:shd w:val="clear" w:color="auto" w:fill="auto"/>
          </w:tcPr>
          <w:p w:rsidR="00723009" w:rsidRPr="004717A0" w:rsidRDefault="00723009" w:rsidP="005D61F5">
            <w:pPr>
              <w:rPr>
                <w:rFonts w:cs="Times New Roman"/>
                <w:b w:val="0"/>
                <w:szCs w:val="24"/>
              </w:rPr>
            </w:pPr>
            <w:r w:rsidRPr="004717A0">
              <w:rPr>
                <w:rFonts w:cs="Times New Roman"/>
                <w:b w:val="0"/>
                <w:szCs w:val="24"/>
              </w:rPr>
              <w:t>Pozemní komunikace</w:t>
            </w:r>
          </w:p>
        </w:tc>
        <w:tc>
          <w:tcPr>
            <w:tcW w:w="2228" w:type="dxa"/>
            <w:tcBorders>
              <w:bottom w:val="none" w:sz="0" w:space="0" w:color="auto"/>
            </w:tcBorders>
            <w:shd w:val="clear" w:color="auto" w:fill="auto"/>
          </w:tcPr>
          <w:p w:rsidR="00723009" w:rsidRPr="004717A0" w:rsidRDefault="00723009" w:rsidP="005D61F5">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4717A0">
              <w:rPr>
                <w:rFonts w:cs="Times New Roman"/>
                <w:b w:val="0"/>
                <w:szCs w:val="24"/>
              </w:rPr>
              <w:t>0 tis. Kč</w:t>
            </w:r>
          </w:p>
        </w:tc>
      </w:tr>
    </w:tbl>
    <w:p w:rsidR="00723009" w:rsidRPr="004717A0" w:rsidRDefault="00723009" w:rsidP="00723009">
      <w:pPr>
        <w:spacing w:before="240" w:after="80"/>
        <w:ind w:left="539"/>
        <w:rPr>
          <w:rFonts w:cs="Times New Roman"/>
          <w:b/>
          <w:szCs w:val="24"/>
          <w:u w:val="single"/>
        </w:rPr>
      </w:pPr>
      <w:r w:rsidRPr="004717A0">
        <w:rPr>
          <w:rFonts w:cs="Times New Roman"/>
          <w:b/>
          <w:szCs w:val="24"/>
          <w:u w:val="single"/>
        </w:rPr>
        <w:t>Dotace pro Státní fond dopravní infrastruktury</w:t>
      </w:r>
    </w:p>
    <w:p w:rsidR="004717A0" w:rsidRDefault="004717A0" w:rsidP="00F04969">
      <w:pPr>
        <w:pStyle w:val="Styl1"/>
        <w:numPr>
          <w:ilvl w:val="0"/>
          <w:numId w:val="23"/>
        </w:numPr>
        <w:ind w:left="851" w:hanging="284"/>
      </w:pPr>
      <w:r w:rsidRPr="003E7F89">
        <w:t xml:space="preserve">financované z prostředků státního rozpočtu (35 996 331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69"/>
        <w:gridCol w:w="2183"/>
      </w:tblGrid>
      <w:tr w:rsidR="004717A0" w:rsidRPr="003E7F89" w:rsidTr="004717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69" w:type="dxa"/>
            <w:tcBorders>
              <w:bottom w:val="nil"/>
            </w:tcBorders>
            <w:shd w:val="clear" w:color="auto" w:fill="auto"/>
          </w:tcPr>
          <w:p w:rsidR="004717A0" w:rsidRPr="003E7F89" w:rsidRDefault="004717A0" w:rsidP="00F22264">
            <w:pPr>
              <w:rPr>
                <w:rFonts w:cs="Times New Roman"/>
                <w:b w:val="0"/>
                <w:szCs w:val="24"/>
              </w:rPr>
            </w:pPr>
            <w:r w:rsidRPr="003E7F89">
              <w:rPr>
                <w:rFonts w:cs="Times New Roman"/>
                <w:b w:val="0"/>
                <w:szCs w:val="24"/>
              </w:rPr>
              <w:t>Ostatní dotace pro SFDI – krytí deficitu rozpočtu SFDI</w:t>
            </w:r>
          </w:p>
        </w:tc>
        <w:tc>
          <w:tcPr>
            <w:tcW w:w="2183" w:type="dxa"/>
            <w:tcBorders>
              <w:bottom w:val="nil"/>
            </w:tcBorders>
            <w:shd w:val="clear" w:color="auto" w:fill="auto"/>
          </w:tcPr>
          <w:p w:rsidR="004717A0" w:rsidRPr="003E7F89" w:rsidRDefault="004717A0" w:rsidP="00F22264">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3E7F89">
              <w:rPr>
                <w:rFonts w:cs="Times New Roman"/>
                <w:b w:val="0"/>
                <w:szCs w:val="24"/>
              </w:rPr>
              <w:t>35 996 331 tis. Kč</w:t>
            </w:r>
          </w:p>
        </w:tc>
      </w:tr>
      <w:tr w:rsidR="004717A0" w:rsidRPr="003E7F89" w:rsidTr="004717A0">
        <w:tc>
          <w:tcPr>
            <w:cnfStyle w:val="001000000000" w:firstRow="0" w:lastRow="0" w:firstColumn="1" w:lastColumn="0" w:oddVBand="0" w:evenVBand="0" w:oddHBand="0" w:evenHBand="0" w:firstRowFirstColumn="0" w:firstRowLastColumn="0" w:lastRowFirstColumn="0" w:lastRowLastColumn="0"/>
            <w:tcW w:w="6869" w:type="dxa"/>
            <w:tcBorders>
              <w:top w:val="nil"/>
              <w:bottom w:val="single" w:sz="8" w:space="0" w:color="7F7F7F" w:themeColor="text1" w:themeTint="80"/>
            </w:tcBorders>
            <w:shd w:val="clear" w:color="auto" w:fill="auto"/>
          </w:tcPr>
          <w:p w:rsidR="004717A0" w:rsidRPr="003E7F89" w:rsidRDefault="004717A0" w:rsidP="00F22264">
            <w:pPr>
              <w:rPr>
                <w:rFonts w:cs="Times New Roman"/>
                <w:b w:val="0"/>
                <w:i/>
                <w:szCs w:val="24"/>
              </w:rPr>
            </w:pPr>
            <w:r w:rsidRPr="003E7F89">
              <w:rPr>
                <w:rFonts w:cs="Times New Roman"/>
                <w:b w:val="0"/>
                <w:i/>
                <w:szCs w:val="24"/>
              </w:rPr>
              <w:t>z toho: 127 77 Podpora financování dopravy</w:t>
            </w:r>
          </w:p>
        </w:tc>
        <w:tc>
          <w:tcPr>
            <w:tcW w:w="2183" w:type="dxa"/>
            <w:tcBorders>
              <w:top w:val="nil"/>
              <w:bottom w:val="single" w:sz="8" w:space="0" w:color="7F7F7F" w:themeColor="text1" w:themeTint="80"/>
            </w:tcBorders>
            <w:shd w:val="clear" w:color="auto" w:fill="auto"/>
          </w:tcPr>
          <w:p w:rsidR="004717A0" w:rsidRPr="003E7F89"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E7F89">
              <w:rPr>
                <w:rFonts w:cs="Times New Roman"/>
                <w:i/>
                <w:szCs w:val="24"/>
              </w:rPr>
              <w:t>30 000 000 tis. Kč</w:t>
            </w:r>
          </w:p>
        </w:tc>
      </w:tr>
    </w:tbl>
    <w:p w:rsidR="004717A0" w:rsidRPr="003E7F89" w:rsidRDefault="004717A0" w:rsidP="00F04969">
      <w:pPr>
        <w:pStyle w:val="Styl1"/>
        <w:numPr>
          <w:ilvl w:val="0"/>
          <w:numId w:val="23"/>
        </w:numPr>
        <w:ind w:left="851" w:hanging="284"/>
      </w:pPr>
      <w:r w:rsidRPr="003E7F89">
        <w:t>financované z prostředků fondů Evropské unie (18 749 713 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4717A0" w:rsidRPr="003E7F89" w:rsidTr="00F222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bottom w:val="single" w:sz="8" w:space="0" w:color="7F7F7F" w:themeColor="text1" w:themeTint="80"/>
            </w:tcBorders>
            <w:shd w:val="clear" w:color="auto" w:fill="auto"/>
          </w:tcPr>
          <w:p w:rsidR="004717A0" w:rsidRPr="003E7F89" w:rsidRDefault="004717A0" w:rsidP="00F22264">
            <w:pPr>
              <w:rPr>
                <w:rFonts w:cs="Times New Roman"/>
                <w:b w:val="0"/>
                <w:szCs w:val="24"/>
              </w:rPr>
            </w:pPr>
            <w:r w:rsidRPr="003E7F89">
              <w:rPr>
                <w:rFonts w:cs="Times New Roman"/>
                <w:b w:val="0"/>
                <w:szCs w:val="24"/>
              </w:rPr>
              <w:t>Dotace pro společné programy (projekty) EU a ČR (v tom:)</w:t>
            </w:r>
          </w:p>
        </w:tc>
        <w:tc>
          <w:tcPr>
            <w:tcW w:w="2126" w:type="dxa"/>
            <w:tcBorders>
              <w:bottom w:val="single" w:sz="8" w:space="0" w:color="7F7F7F" w:themeColor="text1" w:themeTint="80"/>
            </w:tcBorders>
            <w:shd w:val="clear" w:color="auto" w:fill="auto"/>
          </w:tcPr>
          <w:p w:rsidR="004717A0" w:rsidRPr="003E7F89" w:rsidRDefault="004717A0" w:rsidP="00F22264">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3E7F89">
              <w:rPr>
                <w:rFonts w:cs="Times New Roman"/>
                <w:b w:val="0"/>
                <w:szCs w:val="24"/>
              </w:rPr>
              <w:t>18 749 713 tis. Kč</w:t>
            </w:r>
          </w:p>
        </w:tc>
      </w:tr>
      <w:tr w:rsidR="004717A0" w:rsidRPr="003E7F89" w:rsidTr="00F22264">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4717A0" w:rsidRPr="003E7F89" w:rsidRDefault="004717A0" w:rsidP="00F22264">
            <w:pPr>
              <w:rPr>
                <w:rFonts w:cs="Times New Roman"/>
                <w:b w:val="0"/>
                <w:szCs w:val="24"/>
              </w:rPr>
            </w:pPr>
            <w:r w:rsidRPr="003E7F89">
              <w:rPr>
                <w:rFonts w:cs="Times New Roman"/>
                <w:b w:val="0"/>
                <w:szCs w:val="24"/>
              </w:rPr>
              <w:t xml:space="preserve"> Operační program Doprava 2014 - 2020 </w:t>
            </w:r>
          </w:p>
        </w:tc>
        <w:tc>
          <w:tcPr>
            <w:tcW w:w="2126" w:type="dxa"/>
            <w:tcBorders>
              <w:top w:val="single" w:sz="8" w:space="0" w:color="7F7F7F" w:themeColor="text1" w:themeTint="80"/>
              <w:bottom w:val="nil"/>
            </w:tcBorders>
            <w:shd w:val="clear" w:color="auto" w:fill="auto"/>
          </w:tcPr>
          <w:p w:rsidR="004717A0" w:rsidRPr="003E7F89"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E7F89">
              <w:rPr>
                <w:rFonts w:cs="Times New Roman"/>
                <w:szCs w:val="24"/>
              </w:rPr>
              <w:t>17 884 913 tis. Kč</w:t>
            </w:r>
          </w:p>
        </w:tc>
      </w:tr>
      <w:tr w:rsidR="004717A0" w:rsidRPr="000E13B9" w:rsidTr="00F22264">
        <w:tc>
          <w:tcPr>
            <w:cnfStyle w:val="001000000000" w:firstRow="0" w:lastRow="0" w:firstColumn="1" w:lastColumn="0" w:oddVBand="0" w:evenVBand="0" w:oddHBand="0" w:evenHBand="0" w:firstRowFirstColumn="0" w:firstRowLastColumn="0" w:lastRowFirstColumn="0" w:lastRowLastColumn="0"/>
            <w:tcW w:w="6941" w:type="dxa"/>
            <w:tcBorders>
              <w:top w:val="nil"/>
              <w:bottom w:val="nil"/>
            </w:tcBorders>
            <w:shd w:val="clear" w:color="auto" w:fill="auto"/>
          </w:tcPr>
          <w:p w:rsidR="004717A0" w:rsidRPr="000E13B9" w:rsidRDefault="004717A0" w:rsidP="00F22264">
            <w:pPr>
              <w:rPr>
                <w:rFonts w:cs="Times New Roman"/>
                <w:b w:val="0"/>
                <w:i/>
                <w:szCs w:val="24"/>
              </w:rPr>
            </w:pPr>
            <w:r w:rsidRPr="000E13B9">
              <w:rPr>
                <w:rFonts w:cs="Times New Roman"/>
                <w:b w:val="0"/>
                <w:i/>
                <w:szCs w:val="24"/>
              </w:rPr>
              <w:t>z toho: 127 77 Podpora financování dopravy</w:t>
            </w:r>
          </w:p>
        </w:tc>
        <w:tc>
          <w:tcPr>
            <w:tcW w:w="2126" w:type="dxa"/>
            <w:tcBorders>
              <w:top w:val="nil"/>
              <w:bottom w:val="nil"/>
            </w:tcBorders>
            <w:shd w:val="clear" w:color="auto" w:fill="auto"/>
          </w:tcPr>
          <w:p w:rsidR="004717A0" w:rsidRPr="000E13B9"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E13B9">
              <w:rPr>
                <w:rFonts w:cs="Times New Roman"/>
                <w:i/>
                <w:szCs w:val="24"/>
              </w:rPr>
              <w:t>17 830 292 tis. Kč</w:t>
            </w:r>
          </w:p>
        </w:tc>
      </w:tr>
      <w:tr w:rsidR="004717A0" w:rsidRPr="000E13B9" w:rsidTr="00F22264">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4717A0" w:rsidRPr="000E13B9" w:rsidRDefault="004717A0" w:rsidP="00F22264">
            <w:pPr>
              <w:rPr>
                <w:rFonts w:cs="Times New Roman"/>
                <w:b w:val="0"/>
                <w:i/>
                <w:szCs w:val="24"/>
              </w:rPr>
            </w:pPr>
            <w:r w:rsidRPr="000E13B9">
              <w:rPr>
                <w:rFonts w:cs="Times New Roman"/>
                <w:b w:val="0"/>
                <w:i/>
                <w:szCs w:val="24"/>
              </w:rPr>
              <w:t xml:space="preserve">           127 06 Rozvoj a obnova MTZ </w:t>
            </w:r>
            <w:proofErr w:type="spellStart"/>
            <w:r w:rsidRPr="000E13B9">
              <w:rPr>
                <w:rFonts w:cs="Times New Roman"/>
                <w:b w:val="0"/>
                <w:i/>
                <w:szCs w:val="24"/>
              </w:rPr>
              <w:t>syst</w:t>
            </w:r>
            <w:proofErr w:type="spellEnd"/>
            <w:r w:rsidRPr="000E13B9">
              <w:rPr>
                <w:rFonts w:cs="Times New Roman"/>
                <w:b w:val="0"/>
                <w:i/>
                <w:szCs w:val="24"/>
              </w:rPr>
              <w:t xml:space="preserve">. </w:t>
            </w:r>
            <w:proofErr w:type="gramStart"/>
            <w:r w:rsidRPr="000E13B9">
              <w:rPr>
                <w:rFonts w:cs="Times New Roman"/>
                <w:b w:val="0"/>
                <w:i/>
                <w:szCs w:val="24"/>
              </w:rPr>
              <w:t>řízení</w:t>
            </w:r>
            <w:proofErr w:type="gramEnd"/>
            <w:r w:rsidRPr="000E13B9">
              <w:rPr>
                <w:rFonts w:cs="Times New Roman"/>
                <w:b w:val="0"/>
                <w:i/>
                <w:szCs w:val="24"/>
              </w:rPr>
              <w:t xml:space="preserve"> MD-PO, SFDI</w:t>
            </w:r>
          </w:p>
        </w:tc>
        <w:tc>
          <w:tcPr>
            <w:tcW w:w="2126" w:type="dxa"/>
            <w:tcBorders>
              <w:top w:val="nil"/>
              <w:bottom w:val="single" w:sz="8" w:space="0" w:color="7F7F7F" w:themeColor="text1" w:themeTint="80"/>
            </w:tcBorders>
            <w:shd w:val="clear" w:color="auto" w:fill="auto"/>
          </w:tcPr>
          <w:p w:rsidR="004717A0" w:rsidRPr="000E13B9"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E13B9">
              <w:rPr>
                <w:rFonts w:cs="Times New Roman"/>
                <w:i/>
                <w:szCs w:val="24"/>
              </w:rPr>
              <w:t>1 431 tis. Kč</w:t>
            </w:r>
          </w:p>
        </w:tc>
      </w:tr>
      <w:tr w:rsidR="004717A0" w:rsidRPr="0001421C" w:rsidTr="00F22264">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4717A0" w:rsidRPr="003E7F89" w:rsidRDefault="004717A0" w:rsidP="00F22264">
            <w:pPr>
              <w:rPr>
                <w:rFonts w:cs="Times New Roman"/>
                <w:b w:val="0"/>
                <w:szCs w:val="24"/>
              </w:rPr>
            </w:pPr>
            <w:r w:rsidRPr="003E7F89">
              <w:rPr>
                <w:rFonts w:cs="Times New Roman"/>
                <w:b w:val="0"/>
                <w:szCs w:val="24"/>
              </w:rPr>
              <w:t>Komunitární programy</w:t>
            </w:r>
          </w:p>
        </w:tc>
        <w:tc>
          <w:tcPr>
            <w:tcW w:w="2126" w:type="dxa"/>
            <w:tcBorders>
              <w:top w:val="single" w:sz="8" w:space="0" w:color="7F7F7F" w:themeColor="text1" w:themeTint="80"/>
              <w:bottom w:val="nil"/>
            </w:tcBorders>
            <w:shd w:val="clear" w:color="auto" w:fill="auto"/>
          </w:tcPr>
          <w:p w:rsidR="004717A0" w:rsidRPr="003E7F89"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864 800</w:t>
            </w:r>
            <w:r w:rsidRPr="003E7F89">
              <w:rPr>
                <w:rFonts w:cs="Times New Roman"/>
                <w:szCs w:val="24"/>
              </w:rPr>
              <w:t xml:space="preserve"> tis. Kč</w:t>
            </w:r>
          </w:p>
        </w:tc>
      </w:tr>
      <w:tr w:rsidR="004717A0" w:rsidRPr="0001421C" w:rsidTr="006C7E5B">
        <w:trPr>
          <w:trHeight w:val="346"/>
        </w:trPr>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4717A0" w:rsidRPr="000E13B9" w:rsidRDefault="004717A0" w:rsidP="00F22264">
            <w:pPr>
              <w:rPr>
                <w:rFonts w:cs="Times New Roman"/>
                <w:b w:val="0"/>
                <w:i/>
                <w:szCs w:val="24"/>
              </w:rPr>
            </w:pPr>
            <w:r w:rsidRPr="000E13B9">
              <w:rPr>
                <w:rFonts w:cs="Times New Roman"/>
                <w:b w:val="0"/>
                <w:i/>
                <w:szCs w:val="24"/>
              </w:rPr>
              <w:t>z toho: 127 77 Podpora financování dopravy</w:t>
            </w:r>
          </w:p>
        </w:tc>
        <w:tc>
          <w:tcPr>
            <w:tcW w:w="2126" w:type="dxa"/>
            <w:tcBorders>
              <w:top w:val="nil"/>
              <w:bottom w:val="single" w:sz="8" w:space="0" w:color="7F7F7F" w:themeColor="text1" w:themeTint="80"/>
            </w:tcBorders>
            <w:shd w:val="clear" w:color="auto" w:fill="auto"/>
          </w:tcPr>
          <w:p w:rsidR="004717A0" w:rsidRPr="000E13B9" w:rsidRDefault="004717A0"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E13B9">
              <w:rPr>
                <w:rFonts w:cs="Times New Roman"/>
                <w:i/>
                <w:szCs w:val="24"/>
              </w:rPr>
              <w:t>858 035 tis. Kč</w:t>
            </w:r>
          </w:p>
        </w:tc>
      </w:tr>
    </w:tbl>
    <w:p w:rsidR="00723009" w:rsidRPr="00BA1C1A" w:rsidRDefault="00723009" w:rsidP="00723009">
      <w:pPr>
        <w:spacing w:before="240" w:after="80"/>
        <w:ind w:left="539"/>
        <w:rPr>
          <w:rFonts w:cs="Times New Roman"/>
          <w:b/>
          <w:szCs w:val="24"/>
          <w:u w:val="single"/>
        </w:rPr>
      </w:pPr>
      <w:r w:rsidRPr="00BA1C1A">
        <w:rPr>
          <w:rFonts w:cs="Times New Roman"/>
          <w:b/>
          <w:szCs w:val="24"/>
          <w:u w:val="single"/>
        </w:rPr>
        <w:t>Ostatní výdaje spojené s dopravní politikou státu</w:t>
      </w:r>
    </w:p>
    <w:p w:rsidR="00BA1C1A" w:rsidRDefault="00BA1C1A" w:rsidP="00F04969">
      <w:pPr>
        <w:pStyle w:val="Styl1"/>
        <w:numPr>
          <w:ilvl w:val="0"/>
          <w:numId w:val="24"/>
        </w:numPr>
        <w:ind w:left="851" w:hanging="284"/>
      </w:pPr>
      <w:r w:rsidRPr="000E13B9">
        <w:t xml:space="preserve">financované z prostředků státního rozpočtu (9 419 981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BA1C1A" w:rsidRPr="0001421C" w:rsidTr="00F222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rsidR="00BA1C1A" w:rsidRPr="000E13B9" w:rsidRDefault="00BA1C1A" w:rsidP="00F22264">
            <w:pPr>
              <w:rPr>
                <w:rFonts w:cs="Times New Roman"/>
                <w:szCs w:val="24"/>
              </w:rPr>
            </w:pPr>
            <w:r w:rsidRPr="000E13B9">
              <w:rPr>
                <w:rFonts w:cs="Times New Roman"/>
                <w:szCs w:val="24"/>
              </w:rPr>
              <w:t xml:space="preserve">Další výdaje spojené s dopravní politikou státu </w:t>
            </w:r>
            <w:r w:rsidRPr="000E13B9">
              <w:rPr>
                <w:rFonts w:cs="Times New Roman"/>
                <w:b w:val="0"/>
              </w:rPr>
              <w:t>(v tom:)</w:t>
            </w:r>
          </w:p>
        </w:tc>
        <w:tc>
          <w:tcPr>
            <w:tcW w:w="2193" w:type="dxa"/>
            <w:tcBorders>
              <w:bottom w:val="single" w:sz="8" w:space="0" w:color="7F7F7F" w:themeColor="text1" w:themeTint="80"/>
            </w:tcBorders>
            <w:shd w:val="clear" w:color="auto" w:fill="auto"/>
          </w:tcPr>
          <w:p w:rsidR="00BA1C1A" w:rsidRPr="00254600" w:rsidRDefault="00BA1C1A" w:rsidP="00F22264">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254600">
              <w:rPr>
                <w:rFonts w:cs="Times New Roman"/>
                <w:szCs w:val="24"/>
              </w:rPr>
              <w:t>8 487 506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BA1C1A" w:rsidRPr="000E13B9" w:rsidRDefault="00BA1C1A" w:rsidP="00F22264">
            <w:pPr>
              <w:rPr>
                <w:rFonts w:cs="Times New Roman"/>
                <w:b w:val="0"/>
                <w:szCs w:val="24"/>
              </w:rPr>
            </w:pPr>
            <w:r w:rsidRPr="000E13B9">
              <w:rPr>
                <w:rFonts w:cs="Times New Roman"/>
                <w:b w:val="0"/>
                <w:szCs w:val="24"/>
              </w:rPr>
              <w:t xml:space="preserve">Výdaje organizačních složek státu (mimo ústřední orgán a  trans. </w:t>
            </w:r>
            <w:proofErr w:type="gramStart"/>
            <w:r w:rsidRPr="000E13B9">
              <w:rPr>
                <w:rFonts w:cs="Times New Roman"/>
                <w:b w:val="0"/>
                <w:szCs w:val="24"/>
              </w:rPr>
              <w:t>do</w:t>
            </w:r>
            <w:proofErr w:type="gramEnd"/>
            <w:r w:rsidRPr="000E13B9">
              <w:rPr>
                <w:rFonts w:cs="Times New Roman"/>
                <w:b w:val="0"/>
                <w:szCs w:val="24"/>
              </w:rPr>
              <w:t xml:space="preserve"> </w:t>
            </w:r>
            <w:proofErr w:type="spellStart"/>
            <w:r w:rsidRPr="000E13B9">
              <w:rPr>
                <w:rFonts w:cs="Times New Roman"/>
                <w:b w:val="0"/>
                <w:szCs w:val="24"/>
              </w:rPr>
              <w:t>zahr</w:t>
            </w:r>
            <w:proofErr w:type="spellEnd"/>
            <w:r w:rsidRPr="000E13B9">
              <w:rPr>
                <w:rFonts w:cs="Times New Roman"/>
                <w:b w:val="0"/>
                <w:szCs w:val="24"/>
              </w:rPr>
              <w:t>.)</w:t>
            </w:r>
            <w:r w:rsidRPr="000E13B9">
              <w:rPr>
                <w:rFonts w:cs="Times New Roman"/>
                <w:b w:val="0"/>
                <w:szCs w:val="24"/>
                <w:vertAlign w:val="superscript"/>
              </w:rPr>
              <w:t>*)</w:t>
            </w:r>
          </w:p>
        </w:tc>
        <w:tc>
          <w:tcPr>
            <w:tcW w:w="2193" w:type="dxa"/>
            <w:tcBorders>
              <w:top w:val="single" w:sz="8" w:space="0" w:color="7F7F7F" w:themeColor="text1" w:themeTint="80"/>
              <w:bottom w:val="nil"/>
            </w:tcBorders>
            <w:shd w:val="clear" w:color="auto" w:fill="auto"/>
          </w:tcPr>
          <w:p w:rsidR="00BA1C1A" w:rsidRPr="00254600"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54600">
              <w:rPr>
                <w:rFonts w:cs="Times New Roman"/>
                <w:szCs w:val="24"/>
              </w:rPr>
              <w:t xml:space="preserve">452 892 tis. Kč </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rsidR="00BA1C1A" w:rsidRPr="00E16B71" w:rsidRDefault="00BA1C1A" w:rsidP="00F22264">
            <w:pPr>
              <w:rPr>
                <w:rFonts w:cs="Times New Roman"/>
                <w:b w:val="0"/>
                <w:i/>
                <w:szCs w:val="24"/>
              </w:rPr>
            </w:pPr>
            <w:r w:rsidRPr="00E16B71">
              <w:rPr>
                <w:rFonts w:cs="Times New Roman"/>
                <w:b w:val="0"/>
                <w:i/>
                <w:szCs w:val="24"/>
              </w:rPr>
              <w:t>z toho:  SPS - Komunitární programy (CEF – RIS-COMEX)</w:t>
            </w:r>
          </w:p>
        </w:tc>
        <w:tc>
          <w:tcPr>
            <w:tcW w:w="2193" w:type="dxa"/>
            <w:tcBorders>
              <w:top w:val="nil"/>
              <w:bottom w:val="single" w:sz="8" w:space="0" w:color="7F7F7F" w:themeColor="text1" w:themeTint="80"/>
            </w:tcBorders>
            <w:shd w:val="clear" w:color="auto" w:fill="auto"/>
          </w:tcPr>
          <w:p w:rsidR="00BA1C1A" w:rsidRPr="00E16B71"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E16B71">
              <w:rPr>
                <w:rFonts w:cs="Times New Roman"/>
                <w:i/>
                <w:szCs w:val="24"/>
              </w:rPr>
              <w:t>168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BA1C1A" w:rsidRPr="00E16B71" w:rsidRDefault="00BA1C1A" w:rsidP="00F22264">
            <w:pPr>
              <w:rPr>
                <w:rFonts w:cs="Times New Roman"/>
                <w:b w:val="0"/>
                <w:szCs w:val="24"/>
              </w:rPr>
            </w:pPr>
            <w:r w:rsidRPr="00E16B71">
              <w:rPr>
                <w:rFonts w:cs="Times New Roman"/>
                <w:b w:val="0"/>
                <w:szCs w:val="24"/>
              </w:rPr>
              <w:t>Výdaje Ústředního orgánu MD (bez transferu do zahraničí)</w:t>
            </w:r>
            <w:r w:rsidRPr="00E16B71">
              <w:rPr>
                <w:rFonts w:cs="Times New Roman"/>
                <w:b w:val="0"/>
                <w:szCs w:val="24"/>
                <w:vertAlign w:val="superscript"/>
              </w:rPr>
              <w:t>*)</w:t>
            </w:r>
          </w:p>
        </w:tc>
        <w:tc>
          <w:tcPr>
            <w:tcW w:w="2193" w:type="dxa"/>
            <w:tcBorders>
              <w:top w:val="single" w:sz="8" w:space="0" w:color="7F7F7F" w:themeColor="text1" w:themeTint="80"/>
              <w:bottom w:val="nil"/>
            </w:tcBorders>
            <w:shd w:val="clear" w:color="auto" w:fill="auto"/>
          </w:tcPr>
          <w:p w:rsidR="00BA1C1A" w:rsidRPr="00E16B71"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7</w:t>
            </w:r>
            <w:r w:rsidRPr="00E16B71">
              <w:rPr>
                <w:rFonts w:cs="Times New Roman"/>
                <w:szCs w:val="24"/>
              </w:rPr>
              <w:t> </w:t>
            </w:r>
            <w:r>
              <w:rPr>
                <w:rFonts w:cs="Times New Roman"/>
                <w:szCs w:val="24"/>
              </w:rPr>
              <w:t>175</w:t>
            </w:r>
            <w:r w:rsidRPr="00E16B71">
              <w:rPr>
                <w:rFonts w:cs="Times New Roman"/>
                <w:szCs w:val="24"/>
              </w:rPr>
              <w:t xml:space="preserve"> </w:t>
            </w:r>
            <w:r>
              <w:rPr>
                <w:rFonts w:cs="Times New Roman"/>
                <w:szCs w:val="24"/>
              </w:rPr>
              <w:t>754</w:t>
            </w:r>
            <w:r w:rsidRPr="00E16B71">
              <w:rPr>
                <w:rFonts w:cs="Times New Roman"/>
                <w:szCs w:val="24"/>
              </w:rPr>
              <w:t xml:space="preserve">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BA1C1A" w:rsidRPr="008B1BCE" w:rsidRDefault="00BA1C1A" w:rsidP="00F22264">
            <w:pPr>
              <w:rPr>
                <w:rFonts w:cs="Times New Roman"/>
                <w:b w:val="0"/>
                <w:i/>
                <w:szCs w:val="24"/>
              </w:rPr>
            </w:pPr>
            <w:r w:rsidRPr="008B1BCE">
              <w:rPr>
                <w:rFonts w:cs="Times New Roman"/>
                <w:b w:val="0"/>
                <w:i/>
                <w:szCs w:val="24"/>
              </w:rPr>
              <w:t>z toho: kompenzace slev jízdného</w:t>
            </w:r>
          </w:p>
        </w:tc>
        <w:tc>
          <w:tcPr>
            <w:tcW w:w="2193" w:type="dxa"/>
            <w:tcBorders>
              <w:top w:val="nil"/>
              <w:left w:val="single" w:sz="4" w:space="0" w:color="7F7F7F" w:themeColor="text1" w:themeTint="80"/>
              <w:bottom w:val="nil"/>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1BCE">
              <w:rPr>
                <w:rFonts w:cs="Times New Roman"/>
                <w:i/>
                <w:szCs w:val="24"/>
              </w:rPr>
              <w:t xml:space="preserve">6 000 000 tis. Kč </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BA1C1A" w:rsidRPr="008B1BCE" w:rsidRDefault="00BA1C1A" w:rsidP="00F22264">
            <w:pPr>
              <w:rPr>
                <w:rFonts w:cs="Times New Roman"/>
                <w:b w:val="0"/>
                <w:i/>
                <w:szCs w:val="24"/>
              </w:rPr>
            </w:pPr>
            <w:r w:rsidRPr="008B1BCE">
              <w:rPr>
                <w:rFonts w:cs="Times New Roman"/>
                <w:b w:val="0"/>
                <w:i/>
                <w:szCs w:val="24"/>
              </w:rPr>
              <w:t xml:space="preserve">            dopravně správní agendy</w:t>
            </w:r>
          </w:p>
        </w:tc>
        <w:tc>
          <w:tcPr>
            <w:tcW w:w="2193" w:type="dxa"/>
            <w:tcBorders>
              <w:top w:val="nil"/>
              <w:left w:val="single" w:sz="4" w:space="0" w:color="7F7F7F" w:themeColor="text1" w:themeTint="80"/>
              <w:bottom w:val="nil"/>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1BCE">
              <w:rPr>
                <w:rFonts w:cs="Times New Roman"/>
                <w:i/>
                <w:szCs w:val="24"/>
              </w:rPr>
              <w:t>280 000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BA1C1A" w:rsidRPr="008B1BCE" w:rsidRDefault="00BA1C1A" w:rsidP="00F22264">
            <w:pPr>
              <w:rPr>
                <w:rFonts w:cs="Times New Roman"/>
                <w:b w:val="0"/>
                <w:i/>
                <w:szCs w:val="24"/>
              </w:rPr>
            </w:pPr>
            <w:r w:rsidRPr="008B1BCE">
              <w:rPr>
                <w:rFonts w:cs="Times New Roman"/>
                <w:b w:val="0"/>
                <w:i/>
                <w:szCs w:val="24"/>
              </w:rPr>
              <w:t xml:space="preserve">            OPD, Technická pomoc (2014 – 2020)</w:t>
            </w:r>
          </w:p>
        </w:tc>
        <w:tc>
          <w:tcPr>
            <w:tcW w:w="2193" w:type="dxa"/>
            <w:tcBorders>
              <w:top w:val="nil"/>
              <w:left w:val="single" w:sz="4" w:space="0" w:color="7F7F7F" w:themeColor="text1" w:themeTint="80"/>
              <w:bottom w:val="nil"/>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10 410</w:t>
            </w:r>
            <w:r w:rsidRPr="008B1BCE">
              <w:rPr>
                <w:rFonts w:cs="Times New Roman"/>
                <w:i/>
                <w:szCs w:val="24"/>
              </w:rPr>
              <w:t xml:space="preserve">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BA1C1A" w:rsidRPr="008B1BCE" w:rsidRDefault="00BA1C1A" w:rsidP="00F22264">
            <w:pPr>
              <w:rPr>
                <w:rFonts w:cs="Times New Roman"/>
                <w:b w:val="0"/>
                <w:i/>
                <w:szCs w:val="24"/>
              </w:rPr>
            </w:pPr>
            <w:r>
              <w:rPr>
                <w:rFonts w:cs="Times New Roman"/>
                <w:b w:val="0"/>
                <w:i/>
                <w:szCs w:val="24"/>
              </w:rPr>
              <w:t xml:space="preserve">            Komunitární programy</w:t>
            </w:r>
          </w:p>
        </w:tc>
        <w:tc>
          <w:tcPr>
            <w:tcW w:w="2193" w:type="dxa"/>
            <w:tcBorders>
              <w:top w:val="nil"/>
              <w:left w:val="single" w:sz="4" w:space="0" w:color="7F7F7F" w:themeColor="text1" w:themeTint="80"/>
              <w:bottom w:val="nil"/>
            </w:tcBorders>
            <w:shd w:val="clear" w:color="auto" w:fill="auto"/>
          </w:tcPr>
          <w:p w:rsidR="00BA1C1A"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2 055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4" w:space="0" w:color="auto"/>
              <w:right w:val="single" w:sz="4" w:space="0" w:color="7F7F7F" w:themeColor="text1" w:themeTint="80"/>
            </w:tcBorders>
            <w:shd w:val="clear" w:color="auto" w:fill="auto"/>
          </w:tcPr>
          <w:p w:rsidR="00BA1C1A" w:rsidRPr="008B1BCE" w:rsidRDefault="00BA1C1A" w:rsidP="00F22264">
            <w:pPr>
              <w:rPr>
                <w:rFonts w:cs="Times New Roman"/>
                <w:b w:val="0"/>
                <w:i/>
                <w:szCs w:val="24"/>
              </w:rPr>
            </w:pPr>
            <w:r w:rsidRPr="008B1BCE">
              <w:rPr>
                <w:rFonts w:cs="Times New Roman"/>
                <w:b w:val="0"/>
                <w:i/>
                <w:szCs w:val="24"/>
              </w:rPr>
              <w:t xml:space="preserve">            Operační program Zaměstnanost</w:t>
            </w:r>
          </w:p>
        </w:tc>
        <w:tc>
          <w:tcPr>
            <w:tcW w:w="2193" w:type="dxa"/>
            <w:tcBorders>
              <w:top w:val="nil"/>
              <w:left w:val="single" w:sz="4" w:space="0" w:color="7F7F7F" w:themeColor="text1" w:themeTint="80"/>
              <w:bottom w:val="single" w:sz="4" w:space="0" w:color="auto"/>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414</w:t>
            </w:r>
            <w:r w:rsidRPr="008B1BCE">
              <w:rPr>
                <w:rFonts w:cs="Times New Roman"/>
                <w:i/>
                <w:szCs w:val="24"/>
              </w:rPr>
              <w:t xml:space="preserve">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4" w:space="0" w:color="auto"/>
              <w:bottom w:val="single" w:sz="8" w:space="0" w:color="7F7F7F" w:themeColor="text1" w:themeTint="80"/>
            </w:tcBorders>
            <w:shd w:val="clear" w:color="auto" w:fill="auto"/>
          </w:tcPr>
          <w:p w:rsidR="00BA1C1A" w:rsidRPr="000E13B9" w:rsidRDefault="00BA1C1A" w:rsidP="00F22264">
            <w:pPr>
              <w:rPr>
                <w:rFonts w:cs="Times New Roman"/>
                <w:b w:val="0"/>
                <w:szCs w:val="24"/>
              </w:rPr>
            </w:pPr>
            <w:r w:rsidRPr="000E13B9">
              <w:rPr>
                <w:rFonts w:cs="Times New Roman"/>
                <w:b w:val="0"/>
                <w:szCs w:val="24"/>
              </w:rPr>
              <w:t xml:space="preserve">Výdaje příspěvkových organizací </w:t>
            </w:r>
          </w:p>
        </w:tc>
        <w:tc>
          <w:tcPr>
            <w:tcW w:w="2193" w:type="dxa"/>
            <w:tcBorders>
              <w:top w:val="single" w:sz="4" w:space="0" w:color="auto"/>
              <w:bottom w:val="single" w:sz="8" w:space="0" w:color="7F7F7F" w:themeColor="text1" w:themeTint="80"/>
            </w:tcBorders>
            <w:shd w:val="clear" w:color="auto" w:fill="auto"/>
          </w:tcPr>
          <w:p w:rsidR="00BA1C1A" w:rsidRPr="000E13B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E13B9">
              <w:rPr>
                <w:rFonts w:cs="Times New Roman"/>
                <w:szCs w:val="24"/>
              </w:rPr>
              <w:t>644 637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rPr>
                <w:rFonts w:cs="Times New Roman"/>
                <w:b w:val="0"/>
                <w:szCs w:val="24"/>
              </w:rPr>
            </w:pPr>
            <w:r>
              <w:rPr>
                <w:rFonts w:cs="Times New Roman"/>
                <w:b w:val="0"/>
                <w:szCs w:val="24"/>
              </w:rPr>
              <w:t>T</w:t>
            </w:r>
            <w:r w:rsidRPr="008B1BCE">
              <w:rPr>
                <w:rFonts w:cs="Times New Roman"/>
                <w:b w:val="0"/>
                <w:szCs w:val="24"/>
              </w:rPr>
              <w:t>ransfery veřejným výzkumným institucím</w:t>
            </w:r>
          </w:p>
        </w:tc>
        <w:tc>
          <w:tcPr>
            <w:tcW w:w="2193"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10</w:t>
            </w:r>
            <w:r w:rsidRPr="008B1BCE">
              <w:rPr>
                <w:rFonts w:cs="Times New Roman"/>
                <w:szCs w:val="24"/>
              </w:rPr>
              <w:t>0 000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rPr>
                <w:rFonts w:cs="Times New Roman"/>
                <w:b w:val="0"/>
                <w:szCs w:val="24"/>
              </w:rPr>
            </w:pPr>
            <w:r w:rsidRPr="008B1BCE">
              <w:rPr>
                <w:rFonts w:cs="Times New Roman"/>
                <w:b w:val="0"/>
                <w:szCs w:val="24"/>
              </w:rPr>
              <w:lastRenderedPageBreak/>
              <w:t>Neinvestiční transfery občanským sdružením</w:t>
            </w:r>
          </w:p>
        </w:tc>
        <w:tc>
          <w:tcPr>
            <w:tcW w:w="2193"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1BCE">
              <w:rPr>
                <w:rFonts w:cs="Times New Roman"/>
                <w:szCs w:val="24"/>
              </w:rPr>
              <w:t>8 300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rPr>
                <w:rFonts w:cs="Times New Roman"/>
                <w:b w:val="0"/>
                <w:szCs w:val="24"/>
              </w:rPr>
            </w:pPr>
            <w:r>
              <w:rPr>
                <w:rFonts w:cs="Times New Roman"/>
                <w:b w:val="0"/>
                <w:szCs w:val="24"/>
              </w:rPr>
              <w:t>Neinvestiční dotace veřejným rozpočtům územní úrovně</w:t>
            </w:r>
          </w:p>
        </w:tc>
        <w:tc>
          <w:tcPr>
            <w:tcW w:w="2193"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10 000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rPr>
                <w:rFonts w:cs="Times New Roman"/>
                <w:b w:val="0"/>
                <w:i/>
                <w:szCs w:val="24"/>
              </w:rPr>
            </w:pPr>
            <w:r w:rsidRPr="008B1BCE">
              <w:rPr>
                <w:rFonts w:cs="Times New Roman"/>
                <w:b w:val="0"/>
                <w:szCs w:val="24"/>
              </w:rPr>
              <w:t>Neinvestiční transfery do zahraničí</w:t>
            </w:r>
          </w:p>
        </w:tc>
        <w:tc>
          <w:tcPr>
            <w:tcW w:w="2193"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1BCE">
              <w:rPr>
                <w:rFonts w:cs="Times New Roman"/>
                <w:szCs w:val="24"/>
              </w:rPr>
              <w:t>24 </w:t>
            </w:r>
            <w:r>
              <w:rPr>
                <w:rFonts w:cs="Times New Roman"/>
                <w:szCs w:val="24"/>
              </w:rPr>
              <w:t>126</w:t>
            </w:r>
            <w:r w:rsidRPr="008B1BCE">
              <w:rPr>
                <w:rFonts w:cs="Times New Roman"/>
                <w:szCs w:val="24"/>
              </w:rPr>
              <w:t xml:space="preserve"> tis. Kč</w:t>
            </w:r>
          </w:p>
        </w:tc>
      </w:tr>
      <w:tr w:rsidR="00BA1C1A" w:rsidRPr="0001421C" w:rsidTr="006C7E5B">
        <w:trPr>
          <w:trHeight w:val="239"/>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6C7E5B">
            <w:pPr>
              <w:rPr>
                <w:rFonts w:cs="Times New Roman"/>
                <w:b w:val="0"/>
                <w:szCs w:val="24"/>
              </w:rPr>
            </w:pPr>
            <w:r w:rsidRPr="008B1BCE">
              <w:rPr>
                <w:rFonts w:cs="Times New Roman"/>
                <w:b w:val="0"/>
                <w:szCs w:val="24"/>
              </w:rPr>
              <w:t xml:space="preserve">Úhrada služeb poskytnutých osvobozeným letům ve </w:t>
            </w:r>
            <w:proofErr w:type="spellStart"/>
            <w:r w:rsidRPr="008B1BCE">
              <w:rPr>
                <w:rFonts w:cs="Times New Roman"/>
                <w:b w:val="0"/>
                <w:szCs w:val="24"/>
              </w:rPr>
              <w:t>vzd</w:t>
            </w:r>
            <w:proofErr w:type="spellEnd"/>
            <w:r w:rsidRPr="008B1BCE">
              <w:rPr>
                <w:rFonts w:cs="Times New Roman"/>
                <w:b w:val="0"/>
                <w:szCs w:val="24"/>
              </w:rPr>
              <w:t>. prostoru ČR</w:t>
            </w:r>
          </w:p>
        </w:tc>
        <w:tc>
          <w:tcPr>
            <w:tcW w:w="2193" w:type="dxa"/>
            <w:tcBorders>
              <w:top w:val="single" w:sz="8" w:space="0" w:color="7F7F7F" w:themeColor="text1" w:themeTint="80"/>
              <w:bottom w:val="single" w:sz="8" w:space="0" w:color="7F7F7F" w:themeColor="text1" w:themeTint="80"/>
            </w:tcBorders>
            <w:shd w:val="clear" w:color="auto" w:fill="auto"/>
          </w:tcPr>
          <w:p w:rsidR="00BA1C1A" w:rsidRPr="008B1BCE" w:rsidRDefault="00BA1C1A" w:rsidP="006C7E5B">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1BCE">
              <w:rPr>
                <w:rFonts w:cs="Times New Roman"/>
                <w:szCs w:val="24"/>
              </w:rPr>
              <w:t>7</w:t>
            </w:r>
            <w:r>
              <w:rPr>
                <w:rFonts w:cs="Times New Roman"/>
                <w:szCs w:val="24"/>
              </w:rPr>
              <w:t>1</w:t>
            </w:r>
            <w:r w:rsidRPr="008B1BCE">
              <w:rPr>
                <w:rFonts w:cs="Times New Roman"/>
                <w:szCs w:val="24"/>
              </w:rPr>
              <w:t xml:space="preserve"> </w:t>
            </w:r>
            <w:r>
              <w:rPr>
                <w:rFonts w:cs="Times New Roman"/>
                <w:szCs w:val="24"/>
              </w:rPr>
              <w:t>797</w:t>
            </w:r>
            <w:r w:rsidRPr="008B1BCE">
              <w:rPr>
                <w:rFonts w:cs="Times New Roman"/>
                <w:szCs w:val="24"/>
              </w:rPr>
              <w:t xml:space="preserve">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BA1C1A" w:rsidRPr="002E1D44" w:rsidRDefault="00BA1C1A" w:rsidP="00F22264">
            <w:pPr>
              <w:rPr>
                <w:rFonts w:cs="Times New Roman"/>
                <w:b w:val="0"/>
                <w:szCs w:val="24"/>
              </w:rPr>
            </w:pPr>
            <w:r w:rsidRPr="002E1D44">
              <w:rPr>
                <w:rFonts w:cs="Times New Roman"/>
                <w:szCs w:val="24"/>
              </w:rPr>
              <w:t xml:space="preserve">Výdaje spojené s kosmickými aktivitami </w:t>
            </w:r>
            <w:r w:rsidRPr="002E1D44">
              <w:rPr>
                <w:rFonts w:cs="Times New Roman"/>
                <w:b w:val="0"/>
                <w:szCs w:val="24"/>
              </w:rPr>
              <w:t>(v tom:)</w:t>
            </w:r>
          </w:p>
        </w:tc>
        <w:tc>
          <w:tcPr>
            <w:tcW w:w="2193" w:type="dxa"/>
            <w:tcBorders>
              <w:top w:val="single" w:sz="8" w:space="0" w:color="7F7F7F" w:themeColor="text1" w:themeTint="80"/>
              <w:bottom w:val="single" w:sz="8" w:space="0" w:color="7F7F7F" w:themeColor="text1" w:themeTint="80"/>
            </w:tcBorders>
            <w:shd w:val="clear" w:color="auto" w:fill="auto"/>
          </w:tcPr>
          <w:p w:rsidR="00BA1C1A" w:rsidRPr="002E1D44"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2E1D44">
              <w:rPr>
                <w:rFonts w:cs="Times New Roman"/>
                <w:b/>
                <w:szCs w:val="24"/>
              </w:rPr>
              <w:t>932 475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BA1C1A" w:rsidRPr="002E1D44" w:rsidRDefault="00BA1C1A" w:rsidP="00F22264">
            <w:pPr>
              <w:rPr>
                <w:rFonts w:cs="Times New Roman"/>
                <w:b w:val="0"/>
                <w:szCs w:val="24"/>
              </w:rPr>
            </w:pPr>
            <w:r w:rsidRPr="002E1D44">
              <w:rPr>
                <w:rFonts w:cs="Times New Roman"/>
                <w:b w:val="0"/>
                <w:szCs w:val="24"/>
              </w:rPr>
              <w:t>Výdaje Ústředního orgánu MD</w:t>
            </w:r>
          </w:p>
        </w:tc>
        <w:tc>
          <w:tcPr>
            <w:tcW w:w="2193" w:type="dxa"/>
            <w:tcBorders>
              <w:top w:val="single" w:sz="8" w:space="0" w:color="7F7F7F" w:themeColor="text1" w:themeTint="80"/>
              <w:bottom w:val="nil"/>
            </w:tcBorders>
            <w:shd w:val="clear" w:color="auto" w:fill="auto"/>
          </w:tcPr>
          <w:p w:rsidR="00BA1C1A" w:rsidRPr="002E1D44"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E1D44">
              <w:rPr>
                <w:rFonts w:cs="Times New Roman"/>
                <w:szCs w:val="24"/>
              </w:rPr>
              <w:t>2 326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BA1C1A" w:rsidRPr="008B1BCE" w:rsidRDefault="00BA1C1A" w:rsidP="00F22264">
            <w:pPr>
              <w:rPr>
                <w:rFonts w:cs="Times New Roman"/>
                <w:b w:val="0"/>
                <w:szCs w:val="24"/>
              </w:rPr>
            </w:pPr>
            <w:r w:rsidRPr="008B1BCE">
              <w:rPr>
                <w:rFonts w:cs="Times New Roman"/>
                <w:b w:val="0"/>
                <w:szCs w:val="24"/>
              </w:rPr>
              <w:t>Neinvestiční transfery do zahraničí</w:t>
            </w:r>
          </w:p>
        </w:tc>
        <w:tc>
          <w:tcPr>
            <w:tcW w:w="2193" w:type="dxa"/>
            <w:tcBorders>
              <w:top w:val="single" w:sz="8" w:space="0" w:color="7F7F7F" w:themeColor="text1" w:themeTint="80"/>
              <w:bottom w:val="nil"/>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1BCE">
              <w:rPr>
                <w:rFonts w:cs="Times New Roman"/>
                <w:szCs w:val="24"/>
              </w:rPr>
              <w:t>930 149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12" w:space="0" w:color="7F7F7F" w:themeColor="text1" w:themeTint="80"/>
            </w:tcBorders>
            <w:shd w:val="clear" w:color="auto" w:fill="auto"/>
          </w:tcPr>
          <w:p w:rsidR="00BA1C1A" w:rsidRPr="008B1BCE" w:rsidRDefault="00BA1C1A" w:rsidP="00F22264">
            <w:pPr>
              <w:rPr>
                <w:rFonts w:cs="Times New Roman"/>
                <w:b w:val="0"/>
                <w:i/>
                <w:szCs w:val="24"/>
              </w:rPr>
            </w:pPr>
            <w:r w:rsidRPr="008B1BCE">
              <w:rPr>
                <w:rFonts w:cs="Times New Roman"/>
                <w:b w:val="0"/>
                <w:i/>
                <w:szCs w:val="24"/>
              </w:rPr>
              <w:t xml:space="preserve">z toho: výdaje na volitelné programy ESA </w:t>
            </w:r>
          </w:p>
        </w:tc>
        <w:tc>
          <w:tcPr>
            <w:tcW w:w="2193" w:type="dxa"/>
            <w:tcBorders>
              <w:top w:val="nil"/>
              <w:bottom w:val="single" w:sz="12" w:space="0" w:color="7F7F7F" w:themeColor="text1" w:themeTint="80"/>
            </w:tcBorders>
            <w:shd w:val="clear" w:color="auto" w:fill="auto"/>
          </w:tcPr>
          <w:p w:rsidR="00BA1C1A" w:rsidRPr="008B1BCE"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1BCE">
              <w:rPr>
                <w:rFonts w:cs="Times New Roman"/>
                <w:i/>
                <w:szCs w:val="24"/>
              </w:rPr>
              <w:t>930 000 tis. Kč</w:t>
            </w:r>
          </w:p>
        </w:tc>
      </w:tr>
    </w:tbl>
    <w:p w:rsidR="00BA1C1A" w:rsidRDefault="00BA1C1A" w:rsidP="00F04969">
      <w:pPr>
        <w:pStyle w:val="Styl1"/>
        <w:numPr>
          <w:ilvl w:val="0"/>
          <w:numId w:val="24"/>
        </w:numPr>
        <w:spacing w:before="240"/>
        <w:ind w:left="851" w:hanging="284"/>
      </w:pPr>
      <w:r w:rsidRPr="00A37770">
        <w:t>financované z prostředků fondů Evropské unie (120 020 tis. Kč)</w:t>
      </w:r>
    </w:p>
    <w:tbl>
      <w:tblPr>
        <w:tblStyle w:val="Svtltabulkasmkou1zvraznn1"/>
        <w:tblW w:w="0" w:type="auto"/>
        <w:tblLook w:val="00A0" w:firstRow="1" w:lastRow="0" w:firstColumn="1" w:lastColumn="0" w:noHBand="0" w:noVBand="0"/>
      </w:tblPr>
      <w:tblGrid>
        <w:gridCol w:w="6857"/>
        <w:gridCol w:w="2193"/>
      </w:tblGrid>
      <w:tr w:rsidR="00BA1C1A" w:rsidRPr="0001421C" w:rsidTr="00F222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A1C1A" w:rsidRPr="00A37770" w:rsidRDefault="00BA1C1A" w:rsidP="00F22264">
            <w:pPr>
              <w:rPr>
                <w:rFonts w:cs="Times New Roman"/>
                <w:szCs w:val="24"/>
              </w:rPr>
            </w:pPr>
            <w:r w:rsidRPr="00A37770">
              <w:rPr>
                <w:rFonts w:cs="Times New Roman"/>
                <w:szCs w:val="24"/>
              </w:rPr>
              <w:t xml:space="preserve">Další výdaje spojené s dopravní politikou státu </w:t>
            </w:r>
            <w:r w:rsidRPr="00A37770">
              <w:rPr>
                <w:rFonts w:cs="Times New Roman"/>
                <w:b w:val="0"/>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BA1C1A" w:rsidRPr="00A37770" w:rsidRDefault="00BA1C1A" w:rsidP="00F22264">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A37770">
              <w:rPr>
                <w:rFonts w:cs="Times New Roman"/>
                <w:szCs w:val="24"/>
              </w:rPr>
              <w:t>120 020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BA1C1A" w:rsidRPr="00A37770" w:rsidRDefault="00BA1C1A" w:rsidP="00F22264">
            <w:pPr>
              <w:rPr>
                <w:rFonts w:cs="Times New Roman"/>
                <w:b w:val="0"/>
                <w:szCs w:val="24"/>
              </w:rPr>
            </w:pPr>
            <w:r w:rsidRPr="00A37770">
              <w:rPr>
                <w:rFonts w:cs="Times New Roman"/>
                <w:b w:val="0"/>
                <w:szCs w:val="24"/>
              </w:rPr>
              <w:t>Výdaje Ústředního orgánu MD</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BA1C1A" w:rsidRPr="00A37770"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A37770">
              <w:rPr>
                <w:rFonts w:cs="Times New Roman"/>
                <w:szCs w:val="24"/>
              </w:rPr>
              <w:t>68 662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rsidR="00BA1C1A" w:rsidRPr="000867E9" w:rsidRDefault="00BA1C1A" w:rsidP="00F22264">
            <w:pPr>
              <w:rPr>
                <w:rFonts w:cs="Times New Roman"/>
                <w:b w:val="0"/>
                <w:i/>
                <w:szCs w:val="24"/>
              </w:rPr>
            </w:pPr>
            <w:r w:rsidRPr="000867E9">
              <w:rPr>
                <w:rFonts w:cs="Times New Roman"/>
                <w:b w:val="0"/>
                <w:i/>
                <w:szCs w:val="24"/>
              </w:rPr>
              <w:t>v tom: OPD - Technická pomoc (2014 – 2020)</w:t>
            </w:r>
            <w:r>
              <w:rPr>
                <w:rFonts w:cs="Times New Roman"/>
                <w:b w:val="0"/>
                <w:szCs w:val="24"/>
                <w:vertAlign w:val="superscript"/>
              </w:rPr>
              <w:t xml:space="preserve"> </w:t>
            </w:r>
          </w:p>
        </w:tc>
        <w:tc>
          <w:tcPr>
            <w:tcW w:w="2193" w:type="dxa"/>
            <w:tcBorders>
              <w:top w:val="nil"/>
              <w:left w:val="single" w:sz="4" w:space="0" w:color="7F7F7F" w:themeColor="text1" w:themeTint="80"/>
              <w:bottom w:val="nil"/>
              <w:right w:val="single" w:sz="8" w:space="0" w:color="7F7F7F" w:themeColor="text1" w:themeTint="80"/>
            </w:tcBorders>
            <w:shd w:val="clear" w:color="auto" w:fill="auto"/>
          </w:tcPr>
          <w:p w:rsidR="00BA1C1A" w:rsidRPr="000867E9" w:rsidRDefault="00BA1C1A" w:rsidP="00F22264">
            <w:pPr>
              <w:jc w:val="center"/>
              <w:cnfStyle w:val="000000000000" w:firstRow="0" w:lastRow="0" w:firstColumn="0" w:lastColumn="0" w:oddVBand="0" w:evenVBand="0" w:oddHBand="0" w:evenHBand="0" w:firstRowFirstColumn="0" w:firstRowLastColumn="0" w:lastRowFirstColumn="0" w:lastRowLastColumn="0"/>
              <w:rPr>
                <w:rFonts w:cs="Times New Roman"/>
                <w:i/>
                <w:szCs w:val="24"/>
              </w:rPr>
            </w:pPr>
            <w:r w:rsidRPr="000867E9">
              <w:rPr>
                <w:rFonts w:cs="Times New Roman"/>
                <w:i/>
                <w:szCs w:val="24"/>
              </w:rPr>
              <w:t xml:space="preserve">          58 750 tis. Kč </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rsidR="00BA1C1A" w:rsidRPr="000867E9" w:rsidRDefault="00BA1C1A" w:rsidP="00F22264">
            <w:pPr>
              <w:rPr>
                <w:rFonts w:cs="Times New Roman"/>
                <w:b w:val="0"/>
                <w:i/>
                <w:szCs w:val="24"/>
              </w:rPr>
            </w:pPr>
            <w:r w:rsidRPr="000867E9">
              <w:rPr>
                <w:rFonts w:cs="Times New Roman"/>
                <w:b w:val="0"/>
                <w:i/>
                <w:szCs w:val="24"/>
              </w:rPr>
              <w:t xml:space="preserve">          Komunitární programy (CEF - TP )</w:t>
            </w:r>
          </w:p>
        </w:tc>
        <w:tc>
          <w:tcPr>
            <w:tcW w:w="2193" w:type="dxa"/>
            <w:tcBorders>
              <w:top w:val="nil"/>
              <w:left w:val="single" w:sz="4" w:space="0" w:color="7F7F7F" w:themeColor="text1" w:themeTint="80"/>
              <w:bottom w:val="nil"/>
              <w:right w:val="single" w:sz="8" w:space="0" w:color="7F7F7F" w:themeColor="text1" w:themeTint="80"/>
            </w:tcBorders>
            <w:shd w:val="clear" w:color="auto" w:fill="auto"/>
          </w:tcPr>
          <w:p w:rsidR="00BA1C1A" w:rsidRPr="000867E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867E9">
              <w:rPr>
                <w:rFonts w:cs="Times New Roman"/>
                <w:i/>
                <w:szCs w:val="24"/>
              </w:rPr>
              <w:t>9 498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4" w:space="0" w:color="auto"/>
              <w:right w:val="single" w:sz="4" w:space="0" w:color="7F7F7F" w:themeColor="text1" w:themeTint="80"/>
            </w:tcBorders>
            <w:shd w:val="clear" w:color="auto" w:fill="auto"/>
          </w:tcPr>
          <w:p w:rsidR="00BA1C1A" w:rsidRPr="000867E9" w:rsidRDefault="00BA1C1A" w:rsidP="00F22264">
            <w:pPr>
              <w:rPr>
                <w:rFonts w:cs="Times New Roman"/>
                <w:b w:val="0"/>
                <w:i/>
                <w:szCs w:val="24"/>
              </w:rPr>
            </w:pPr>
            <w:r w:rsidRPr="000867E9">
              <w:rPr>
                <w:rFonts w:cs="Times New Roman"/>
                <w:b w:val="0"/>
                <w:i/>
                <w:szCs w:val="24"/>
              </w:rPr>
              <w:t xml:space="preserve">          Operační program Zaměstnanost</w:t>
            </w:r>
          </w:p>
        </w:tc>
        <w:tc>
          <w:tcPr>
            <w:tcW w:w="2193" w:type="dxa"/>
            <w:tcBorders>
              <w:top w:val="nil"/>
              <w:left w:val="single" w:sz="4" w:space="0" w:color="7F7F7F" w:themeColor="text1" w:themeTint="80"/>
              <w:bottom w:val="single" w:sz="4" w:space="0" w:color="auto"/>
              <w:right w:val="single" w:sz="8" w:space="0" w:color="7F7F7F" w:themeColor="text1" w:themeTint="80"/>
            </w:tcBorders>
            <w:shd w:val="clear" w:color="auto" w:fill="auto"/>
          </w:tcPr>
          <w:p w:rsidR="00BA1C1A" w:rsidRPr="000867E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867E9">
              <w:rPr>
                <w:rFonts w:cs="Times New Roman"/>
                <w:i/>
                <w:szCs w:val="24"/>
              </w:rPr>
              <w:t>414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4" w:space="0" w:color="auto"/>
              <w:left w:val="single" w:sz="8" w:space="0" w:color="7F7F7F" w:themeColor="text1" w:themeTint="80"/>
              <w:bottom w:val="nil"/>
              <w:right w:val="single" w:sz="4" w:space="0" w:color="7F7F7F" w:themeColor="text1" w:themeTint="80"/>
            </w:tcBorders>
            <w:shd w:val="clear" w:color="auto" w:fill="auto"/>
          </w:tcPr>
          <w:p w:rsidR="00BA1C1A" w:rsidRPr="000867E9" w:rsidRDefault="00BA1C1A" w:rsidP="00F22264">
            <w:pPr>
              <w:rPr>
                <w:rFonts w:cs="Times New Roman"/>
                <w:b w:val="0"/>
                <w:szCs w:val="24"/>
              </w:rPr>
            </w:pPr>
            <w:r w:rsidRPr="000867E9">
              <w:rPr>
                <w:rFonts w:cs="Times New Roman"/>
                <w:b w:val="0"/>
                <w:szCs w:val="24"/>
              </w:rPr>
              <w:t xml:space="preserve">Výdaje SPS </w:t>
            </w:r>
          </w:p>
        </w:tc>
        <w:tc>
          <w:tcPr>
            <w:tcW w:w="2193" w:type="dxa"/>
            <w:tcBorders>
              <w:top w:val="single" w:sz="4" w:space="0" w:color="auto"/>
              <w:left w:val="single" w:sz="4" w:space="0" w:color="7F7F7F" w:themeColor="text1" w:themeTint="80"/>
              <w:bottom w:val="nil"/>
              <w:right w:val="single" w:sz="8" w:space="0" w:color="7F7F7F" w:themeColor="text1" w:themeTint="80"/>
            </w:tcBorders>
            <w:shd w:val="clear" w:color="auto" w:fill="auto"/>
          </w:tcPr>
          <w:p w:rsidR="00BA1C1A" w:rsidRPr="000867E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867E9">
              <w:rPr>
                <w:rFonts w:cs="Times New Roman"/>
                <w:szCs w:val="24"/>
              </w:rPr>
              <w:t xml:space="preserve">955 tis. Kč </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A1C1A" w:rsidRPr="000867E9" w:rsidRDefault="00BA1C1A" w:rsidP="00F22264">
            <w:pPr>
              <w:rPr>
                <w:rFonts w:cs="Times New Roman"/>
                <w:b w:val="0"/>
                <w:szCs w:val="24"/>
              </w:rPr>
            </w:pPr>
            <w:r w:rsidRPr="000867E9">
              <w:rPr>
                <w:rFonts w:cs="Times New Roman"/>
                <w:b w:val="0"/>
                <w:i/>
                <w:szCs w:val="24"/>
              </w:rPr>
              <w:t>v tom:  Komunitární programy (CEF – RIS-COMEX)</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BA1C1A" w:rsidRPr="000867E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867E9">
              <w:rPr>
                <w:rFonts w:cs="Times New Roman"/>
                <w:i/>
                <w:szCs w:val="24"/>
              </w:rPr>
              <w:t>955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BA1C1A" w:rsidRPr="000867E9" w:rsidRDefault="00BA1C1A" w:rsidP="00F22264">
            <w:pPr>
              <w:rPr>
                <w:rFonts w:cs="Times New Roman"/>
                <w:b w:val="0"/>
                <w:szCs w:val="24"/>
              </w:rPr>
            </w:pPr>
            <w:r w:rsidRPr="000867E9">
              <w:rPr>
                <w:rFonts w:cs="Times New Roman"/>
                <w:b w:val="0"/>
                <w:szCs w:val="24"/>
              </w:rPr>
              <w:t xml:space="preserve">Transfery podnikatelským subjektům </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BA1C1A" w:rsidRPr="000867E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867E9">
              <w:rPr>
                <w:rFonts w:cs="Times New Roman"/>
                <w:szCs w:val="24"/>
              </w:rPr>
              <w:t>50 403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A1C1A" w:rsidRPr="000867E9" w:rsidRDefault="00BA1C1A" w:rsidP="00F22264">
            <w:pPr>
              <w:rPr>
                <w:rFonts w:cs="Times New Roman"/>
                <w:b w:val="0"/>
                <w:i/>
                <w:szCs w:val="24"/>
              </w:rPr>
            </w:pPr>
            <w:r w:rsidRPr="000867E9">
              <w:rPr>
                <w:rFonts w:cs="Times New Roman"/>
                <w:b w:val="0"/>
                <w:i/>
                <w:szCs w:val="24"/>
              </w:rPr>
              <w:t>v tom: 127 77 Podpora financování dopravy</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BA1C1A" w:rsidRPr="000867E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867E9">
              <w:rPr>
                <w:rFonts w:cs="Times New Roman"/>
                <w:i/>
                <w:szCs w:val="24"/>
              </w:rPr>
              <w:t>37 485 tis. Kč</w:t>
            </w:r>
          </w:p>
        </w:tc>
      </w:tr>
      <w:tr w:rsidR="00BA1C1A" w:rsidRPr="0001421C" w:rsidTr="00F2226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A1C1A" w:rsidRPr="000867E9" w:rsidRDefault="00BA1C1A" w:rsidP="00F22264">
            <w:pPr>
              <w:rPr>
                <w:rFonts w:cs="Times New Roman"/>
                <w:szCs w:val="24"/>
              </w:rPr>
            </w:pPr>
            <w:r w:rsidRPr="000867E9">
              <w:rPr>
                <w:rFonts w:cs="Times New Roman"/>
                <w:szCs w:val="24"/>
              </w:rPr>
              <w:t>Výdaje spojené s kosmickými aktivitami</w:t>
            </w:r>
            <w:r w:rsidRPr="000867E9">
              <w:rPr>
                <w:rFonts w:cs="Times New Roman"/>
                <w:b w:val="0"/>
                <w:szCs w:val="24"/>
              </w:rPr>
              <w:t xml:space="preserve"> (v tom</w:t>
            </w:r>
            <w:r w:rsidRPr="000867E9">
              <w:rPr>
                <w:rFonts w:cs="Times New Roman"/>
                <w:b w:val="0"/>
                <w:bCs w:val="0"/>
                <w:szCs w:val="24"/>
              </w:rPr>
              <w:t>)</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BA1C1A" w:rsidRPr="000867E9" w:rsidRDefault="00BA1C1A" w:rsidP="00F22264">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0867E9">
              <w:rPr>
                <w:rFonts w:cs="Times New Roman"/>
                <w:b/>
                <w:szCs w:val="24"/>
              </w:rPr>
              <w:t>0 tis. Kč</w:t>
            </w:r>
          </w:p>
        </w:tc>
      </w:tr>
    </w:tbl>
    <w:p w:rsidR="00BA1C1A" w:rsidRPr="00674AF8" w:rsidRDefault="00BA1C1A" w:rsidP="00BA1C1A">
      <w:pPr>
        <w:spacing w:before="120"/>
        <w:rPr>
          <w:rFonts w:cs="Times New Roman"/>
          <w:i/>
          <w:szCs w:val="24"/>
        </w:rPr>
      </w:pPr>
      <w:r w:rsidRPr="00674AF8">
        <w:rPr>
          <w:rFonts w:cs="Times New Roman"/>
          <w:i/>
          <w:szCs w:val="24"/>
          <w:u w:val="single"/>
        </w:rPr>
        <w:t>Poznámka:</w:t>
      </w:r>
      <w:r w:rsidRPr="00674AF8">
        <w:rPr>
          <w:rFonts w:cs="Times New Roman"/>
          <w:i/>
          <w:szCs w:val="24"/>
        </w:rPr>
        <w:t xml:space="preserve"> </w:t>
      </w:r>
    </w:p>
    <w:p w:rsidR="00BA1C1A" w:rsidRPr="00B8070D" w:rsidRDefault="00BA1C1A" w:rsidP="00BA1C1A">
      <w:pPr>
        <w:pStyle w:val="obyctext"/>
        <w:ind w:firstLine="284"/>
        <w:rPr>
          <w:i/>
          <w:sz w:val="20"/>
          <w:szCs w:val="20"/>
        </w:rPr>
      </w:pPr>
      <w:r w:rsidRPr="00B8070D">
        <w:rPr>
          <w:i/>
          <w:sz w:val="20"/>
          <w:szCs w:val="20"/>
          <w:vertAlign w:val="superscript"/>
        </w:rPr>
        <w:t xml:space="preserve">*) </w:t>
      </w:r>
      <w:r w:rsidRPr="00B8070D">
        <w:rPr>
          <w:i/>
          <w:sz w:val="20"/>
          <w:szCs w:val="20"/>
        </w:rPr>
        <w:t xml:space="preserve">Výdaje organizačních složek státu jsou uvedené včetně programu 127 03 „Rozvoj a obnova mat. techn. základny systému řízení MD – OSS“ </w:t>
      </w:r>
    </w:p>
    <w:p w:rsidR="00BA1C1A" w:rsidRPr="00674AF8" w:rsidRDefault="00BA1C1A" w:rsidP="006C7E5B">
      <w:pPr>
        <w:pStyle w:val="Styl1"/>
      </w:pPr>
      <w:r w:rsidRPr="00B8070D">
        <w:t xml:space="preserve">Uvedené výdaje jsou podrobněji </w:t>
      </w:r>
      <w:r w:rsidRPr="00674AF8">
        <w:t>rozepsány v dalším textu.</w:t>
      </w:r>
    </w:p>
    <w:p w:rsidR="00723009" w:rsidRPr="0001421C" w:rsidRDefault="00723009" w:rsidP="00723009">
      <w:pPr>
        <w:pStyle w:val="obyctext"/>
        <w:spacing w:before="240"/>
        <w:rPr>
          <w:i/>
          <w:color w:val="FF0000"/>
        </w:rPr>
      </w:pPr>
    </w:p>
    <w:p w:rsidR="00D5093B" w:rsidRPr="0001421C" w:rsidRDefault="00D5093B">
      <w:pPr>
        <w:rPr>
          <w:rFonts w:eastAsia="Times New Roman" w:cs="Times New Roman"/>
          <w:color w:val="FF0000"/>
          <w:szCs w:val="24"/>
          <w:lang w:eastAsia="cs-CZ"/>
        </w:rPr>
      </w:pPr>
      <w:r w:rsidRPr="0001421C">
        <w:rPr>
          <w:color w:val="FF0000"/>
        </w:rPr>
        <w:br w:type="page"/>
      </w:r>
    </w:p>
    <w:p w:rsidR="00F624F2" w:rsidRPr="009A036B" w:rsidRDefault="00F624F2" w:rsidP="003A20EE">
      <w:pPr>
        <w:pStyle w:val="Nadpis2"/>
      </w:pPr>
      <w:bookmarkStart w:id="34" w:name="_Toc462314389"/>
      <w:bookmarkStart w:id="35" w:name="_Toc526424688"/>
      <w:r w:rsidRPr="006C7E5B">
        <w:lastRenderedPageBreak/>
        <w:t>Běžné</w:t>
      </w:r>
      <w:r w:rsidRPr="009A036B">
        <w:t xml:space="preserve"> výdaje</w:t>
      </w:r>
      <w:bookmarkEnd w:id="34"/>
      <w:bookmarkEnd w:id="35"/>
    </w:p>
    <w:p w:rsidR="006F225C" w:rsidRPr="009A036B" w:rsidRDefault="006F225C" w:rsidP="00F11D45">
      <w:pPr>
        <w:pStyle w:val="Titulek"/>
        <w:keepNext/>
      </w:pPr>
      <w:bookmarkStart w:id="36" w:name="_Toc241565630"/>
      <w:bookmarkStart w:id="37" w:name="_Toc368665062"/>
      <w:r w:rsidRPr="009A036B">
        <w:t>Tabulka</w:t>
      </w:r>
      <w:r w:rsidR="00F11D45" w:rsidRPr="009A036B">
        <w:t xml:space="preserve"> č.</w:t>
      </w:r>
      <w:r w:rsidRPr="009A036B">
        <w:t xml:space="preserve"> </w:t>
      </w:r>
      <w:r w:rsidR="0001421C" w:rsidRPr="009A036B">
        <w:rPr>
          <w:noProof/>
        </w:rPr>
        <w:fldChar w:fldCharType="begin"/>
      </w:r>
      <w:r w:rsidR="0001421C" w:rsidRPr="009A036B">
        <w:rPr>
          <w:noProof/>
        </w:rPr>
        <w:instrText xml:space="preserve"> SEQ Tabulka \* ARABIC </w:instrText>
      </w:r>
      <w:r w:rsidR="0001421C" w:rsidRPr="009A036B">
        <w:rPr>
          <w:noProof/>
        </w:rPr>
        <w:fldChar w:fldCharType="separate"/>
      </w:r>
      <w:r w:rsidR="00AF5225">
        <w:rPr>
          <w:noProof/>
        </w:rPr>
        <w:t>6</w:t>
      </w:r>
      <w:r w:rsidR="0001421C" w:rsidRPr="009A036B">
        <w:rPr>
          <w:noProof/>
        </w:rPr>
        <w:fldChar w:fldCharType="end"/>
      </w:r>
      <w:r w:rsidR="00F11D45" w:rsidRPr="009A036B">
        <w:t xml:space="preserve"> Běžné výdaje celkem (v tis. Kč)</w:t>
      </w:r>
    </w:p>
    <w:tbl>
      <w:tblPr>
        <w:tblStyle w:val="Svtltabulkasmkou1zvraznn1"/>
        <w:tblW w:w="950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2"/>
        <w:gridCol w:w="1418"/>
        <w:gridCol w:w="1417"/>
        <w:gridCol w:w="1418"/>
        <w:gridCol w:w="997"/>
      </w:tblGrid>
      <w:tr w:rsidR="009A036B" w:rsidRPr="009B6D50" w:rsidTr="003A20EE">
        <w:tc>
          <w:tcPr>
            <w:tcW w:w="425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402994" w:rsidRDefault="009A036B" w:rsidP="009A036B">
            <w:pPr>
              <w:jc w:val="center"/>
              <w:rPr>
                <w:rFonts w:eastAsia="Times New Roman" w:cs="Times New Roman"/>
                <w:b/>
                <w:szCs w:val="24"/>
                <w:lang w:eastAsia="cs-CZ"/>
              </w:rPr>
            </w:pPr>
            <w:bookmarkStart w:id="38" w:name="_Toc462314391"/>
            <w:bookmarkEnd w:id="36"/>
            <w:bookmarkEnd w:id="37"/>
            <w:r w:rsidRPr="00402994">
              <w:rPr>
                <w:rFonts w:eastAsia="Times New Roman" w:cs="Times New Roman"/>
                <w:b/>
                <w:szCs w:val="24"/>
                <w:lang w:eastAsia="cs-CZ"/>
              </w:rPr>
              <w:t>Ukazatel</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402994" w:rsidRDefault="009A036B" w:rsidP="009A036B">
            <w:pPr>
              <w:ind w:right="15"/>
              <w:jc w:val="center"/>
              <w:rPr>
                <w:rFonts w:eastAsia="Times New Roman" w:cs="Times New Roman"/>
                <w:b/>
                <w:szCs w:val="24"/>
                <w:lang w:eastAsia="cs-CZ"/>
              </w:rPr>
            </w:pPr>
            <w:r w:rsidRPr="00402994">
              <w:rPr>
                <w:rFonts w:eastAsia="Times New Roman" w:cs="Times New Roman"/>
                <w:b/>
                <w:szCs w:val="24"/>
                <w:lang w:eastAsia="cs-CZ"/>
              </w:rPr>
              <w:t>Skutečnost</w:t>
            </w:r>
          </w:p>
          <w:p w:rsidR="009A036B" w:rsidRPr="00402994" w:rsidRDefault="009A036B" w:rsidP="009A036B">
            <w:pPr>
              <w:ind w:right="15"/>
              <w:jc w:val="center"/>
              <w:rPr>
                <w:rFonts w:eastAsia="Times New Roman" w:cs="Times New Roman"/>
                <w:b/>
                <w:szCs w:val="24"/>
                <w:lang w:eastAsia="cs-CZ"/>
              </w:rPr>
            </w:pPr>
            <w:r w:rsidRPr="00402994">
              <w:rPr>
                <w:rFonts w:eastAsia="Times New Roman" w:cs="Times New Roman"/>
                <w:b/>
                <w:szCs w:val="24"/>
                <w:lang w:eastAsia="cs-CZ"/>
              </w:rPr>
              <w:t>2017</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Schválený</w:t>
            </w:r>
          </w:p>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rozpočet</w:t>
            </w:r>
          </w:p>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2018</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Návrh</w:t>
            </w:r>
          </w:p>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rozpočtu</w:t>
            </w:r>
          </w:p>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2019</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Index</w:t>
            </w:r>
          </w:p>
          <w:p w:rsidR="009A036B" w:rsidRPr="00402994" w:rsidRDefault="002C756F" w:rsidP="009A036B">
            <w:pPr>
              <w:jc w:val="center"/>
              <w:rPr>
                <w:rFonts w:eastAsia="Times New Roman" w:cs="Times New Roman"/>
                <w:b/>
                <w:szCs w:val="24"/>
                <w:lang w:eastAsia="cs-CZ"/>
              </w:rPr>
            </w:pPr>
            <w:r>
              <w:rPr>
                <w:rFonts w:eastAsia="Times New Roman" w:cs="Times New Roman"/>
                <w:b/>
                <w:szCs w:val="24"/>
                <w:lang w:eastAsia="cs-CZ"/>
              </w:rPr>
              <w:t>2019/</w:t>
            </w:r>
          </w:p>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2018</w:t>
            </w:r>
          </w:p>
          <w:p w:rsidR="009A036B" w:rsidRPr="00402994" w:rsidRDefault="009A036B" w:rsidP="009A036B">
            <w:pPr>
              <w:jc w:val="center"/>
              <w:rPr>
                <w:rFonts w:eastAsia="Times New Roman" w:cs="Times New Roman"/>
                <w:b/>
                <w:szCs w:val="24"/>
                <w:lang w:eastAsia="cs-CZ"/>
              </w:rPr>
            </w:pPr>
            <w:r w:rsidRPr="00402994">
              <w:rPr>
                <w:rFonts w:eastAsia="Times New Roman" w:cs="Times New Roman"/>
                <w:b/>
                <w:szCs w:val="24"/>
                <w:lang w:eastAsia="cs-CZ"/>
              </w:rPr>
              <w:t>(v %)</w:t>
            </w:r>
          </w:p>
        </w:tc>
      </w:tr>
      <w:tr w:rsidR="009A036B" w:rsidRPr="00996F32" w:rsidTr="003A20EE">
        <w:tc>
          <w:tcPr>
            <w:tcW w:w="4252" w:type="dxa"/>
            <w:tcBorders>
              <w:top w:val="single" w:sz="4" w:space="0" w:color="7F7F7F" w:themeColor="text1" w:themeTint="80"/>
              <w:bottom w:val="single" w:sz="8" w:space="0" w:color="7F7F7F" w:themeColor="text1" w:themeTint="80"/>
            </w:tcBorders>
            <w:shd w:val="clear" w:color="auto" w:fill="auto"/>
          </w:tcPr>
          <w:p w:rsidR="009A036B" w:rsidRPr="008C15BB" w:rsidRDefault="009A036B" w:rsidP="009A036B">
            <w:pPr>
              <w:jc w:val="center"/>
              <w:rPr>
                <w:rFonts w:eastAsia="Times New Roman" w:cs="Times New Roman"/>
                <w:szCs w:val="24"/>
                <w:lang w:eastAsia="cs-CZ"/>
              </w:rPr>
            </w:pPr>
            <w:r w:rsidRPr="008C15BB">
              <w:rPr>
                <w:rFonts w:eastAsia="Times New Roman" w:cs="Times New Roman"/>
                <w:szCs w:val="24"/>
                <w:lang w:eastAsia="cs-CZ"/>
              </w:rPr>
              <w:t>a</w:t>
            </w:r>
          </w:p>
        </w:tc>
        <w:tc>
          <w:tcPr>
            <w:tcW w:w="1418" w:type="dxa"/>
            <w:tcBorders>
              <w:top w:val="single" w:sz="4" w:space="0" w:color="7F7F7F" w:themeColor="text1" w:themeTint="80"/>
              <w:bottom w:val="single" w:sz="8" w:space="0" w:color="7F7F7F" w:themeColor="text1" w:themeTint="80"/>
            </w:tcBorders>
            <w:shd w:val="clear" w:color="auto" w:fill="auto"/>
          </w:tcPr>
          <w:p w:rsidR="009A036B" w:rsidRPr="008C15BB" w:rsidRDefault="009A036B" w:rsidP="009A036B">
            <w:pPr>
              <w:ind w:right="15"/>
              <w:jc w:val="center"/>
              <w:rPr>
                <w:rFonts w:eastAsia="Times New Roman" w:cs="Times New Roman"/>
                <w:szCs w:val="24"/>
                <w:lang w:eastAsia="cs-CZ"/>
              </w:rPr>
            </w:pPr>
            <w:r w:rsidRPr="008C15BB">
              <w:rPr>
                <w:rFonts w:eastAsia="Times New Roman" w:cs="Times New Roman"/>
                <w:szCs w:val="24"/>
                <w:lang w:eastAsia="cs-CZ"/>
              </w:rPr>
              <w:t>1</w:t>
            </w:r>
          </w:p>
        </w:tc>
        <w:tc>
          <w:tcPr>
            <w:tcW w:w="1417" w:type="dxa"/>
            <w:tcBorders>
              <w:top w:val="single" w:sz="4" w:space="0" w:color="7F7F7F" w:themeColor="text1" w:themeTint="80"/>
              <w:bottom w:val="single" w:sz="8" w:space="0" w:color="7F7F7F" w:themeColor="text1" w:themeTint="80"/>
            </w:tcBorders>
            <w:shd w:val="clear" w:color="auto" w:fill="auto"/>
          </w:tcPr>
          <w:p w:rsidR="009A036B" w:rsidRPr="008C15BB" w:rsidRDefault="009A036B" w:rsidP="009A036B">
            <w:pPr>
              <w:jc w:val="center"/>
              <w:rPr>
                <w:rFonts w:eastAsia="Times New Roman" w:cs="Times New Roman"/>
                <w:szCs w:val="24"/>
                <w:lang w:eastAsia="cs-CZ"/>
              </w:rPr>
            </w:pPr>
            <w:r w:rsidRPr="008C15BB">
              <w:rPr>
                <w:rFonts w:eastAsia="Times New Roman" w:cs="Times New Roman"/>
                <w:szCs w:val="24"/>
                <w:lang w:eastAsia="cs-CZ"/>
              </w:rPr>
              <w:t>2</w:t>
            </w:r>
          </w:p>
        </w:tc>
        <w:tc>
          <w:tcPr>
            <w:tcW w:w="1418" w:type="dxa"/>
            <w:tcBorders>
              <w:top w:val="single" w:sz="4" w:space="0" w:color="7F7F7F" w:themeColor="text1" w:themeTint="80"/>
              <w:bottom w:val="single" w:sz="8" w:space="0" w:color="7F7F7F" w:themeColor="text1" w:themeTint="80"/>
            </w:tcBorders>
            <w:shd w:val="clear" w:color="auto" w:fill="auto"/>
          </w:tcPr>
          <w:p w:rsidR="009A036B" w:rsidRPr="008C15BB" w:rsidRDefault="009A036B" w:rsidP="009A036B">
            <w:pPr>
              <w:jc w:val="center"/>
              <w:rPr>
                <w:rFonts w:eastAsia="Times New Roman" w:cs="Times New Roman"/>
                <w:szCs w:val="24"/>
                <w:lang w:eastAsia="cs-CZ"/>
              </w:rPr>
            </w:pPr>
            <w:r w:rsidRPr="008C15BB">
              <w:rPr>
                <w:rFonts w:eastAsia="Times New Roman" w:cs="Times New Roman"/>
                <w:szCs w:val="24"/>
                <w:lang w:eastAsia="cs-CZ"/>
              </w:rPr>
              <w:t>3</w:t>
            </w:r>
          </w:p>
        </w:tc>
        <w:tc>
          <w:tcPr>
            <w:tcW w:w="997" w:type="dxa"/>
            <w:tcBorders>
              <w:top w:val="single" w:sz="4" w:space="0" w:color="7F7F7F" w:themeColor="text1" w:themeTint="80"/>
              <w:bottom w:val="single" w:sz="8" w:space="0" w:color="7F7F7F" w:themeColor="text1" w:themeTint="80"/>
            </w:tcBorders>
            <w:shd w:val="clear" w:color="auto" w:fill="auto"/>
          </w:tcPr>
          <w:p w:rsidR="009A036B" w:rsidRPr="008C15BB" w:rsidRDefault="009A036B" w:rsidP="009A036B">
            <w:pPr>
              <w:jc w:val="center"/>
              <w:rPr>
                <w:rFonts w:eastAsia="Times New Roman" w:cs="Times New Roman"/>
                <w:szCs w:val="24"/>
                <w:lang w:eastAsia="cs-CZ"/>
              </w:rPr>
            </w:pPr>
            <w:r w:rsidRPr="008C15BB">
              <w:rPr>
                <w:rFonts w:eastAsia="Times New Roman" w:cs="Times New Roman"/>
                <w:szCs w:val="24"/>
                <w:lang w:eastAsia="cs-CZ"/>
              </w:rPr>
              <w:t>4</w:t>
            </w:r>
          </w:p>
        </w:tc>
      </w:tr>
      <w:tr w:rsidR="009A036B" w:rsidRPr="00BD3648" w:rsidTr="003A20EE">
        <w:trPr>
          <w:trHeight w:hRule="exact" w:val="737"/>
        </w:trPr>
        <w:tc>
          <w:tcPr>
            <w:tcW w:w="4252" w:type="dxa"/>
            <w:tcBorders>
              <w:top w:val="single" w:sz="8" w:space="0" w:color="7F7F7F" w:themeColor="text1" w:themeTint="80"/>
              <w:bottom w:val="nil"/>
            </w:tcBorders>
            <w:shd w:val="clear" w:color="auto" w:fill="auto"/>
          </w:tcPr>
          <w:p w:rsidR="009A036B" w:rsidRPr="00402994" w:rsidRDefault="009A036B" w:rsidP="009A036B">
            <w:pPr>
              <w:rPr>
                <w:rFonts w:eastAsia="Times New Roman" w:cs="Times New Roman"/>
                <w:iCs/>
                <w:sz w:val="20"/>
                <w:szCs w:val="20"/>
                <w:lang w:eastAsia="cs-CZ"/>
              </w:rPr>
            </w:pPr>
            <w:r w:rsidRPr="00402994">
              <w:rPr>
                <w:rFonts w:eastAsia="Times New Roman" w:cs="Times New Roman"/>
                <w:b/>
                <w:iCs/>
                <w:sz w:val="20"/>
                <w:szCs w:val="20"/>
                <w:lang w:eastAsia="cs-CZ"/>
              </w:rPr>
              <w:t xml:space="preserve">Běžné výdaje organizačních složek státu bez </w:t>
            </w:r>
            <w:proofErr w:type="spellStart"/>
            <w:r w:rsidRPr="00402994">
              <w:rPr>
                <w:rFonts w:eastAsia="Times New Roman" w:cs="Times New Roman"/>
                <w:b/>
                <w:iCs/>
                <w:sz w:val="20"/>
                <w:szCs w:val="20"/>
                <w:lang w:eastAsia="cs-CZ"/>
              </w:rPr>
              <w:t>podsesk</w:t>
            </w:r>
            <w:proofErr w:type="spellEnd"/>
            <w:r w:rsidRPr="00402994">
              <w:rPr>
                <w:rFonts w:eastAsia="Times New Roman" w:cs="Times New Roman"/>
                <w:b/>
                <w:iCs/>
                <w:sz w:val="20"/>
                <w:szCs w:val="20"/>
                <w:lang w:eastAsia="cs-CZ"/>
              </w:rPr>
              <w:t>.   521, 522, 531, 532, 533, 551, 553, 554</w:t>
            </w:r>
            <w:r>
              <w:rPr>
                <w:rFonts w:eastAsia="Times New Roman" w:cs="Times New Roman"/>
                <w:b/>
                <w:iCs/>
                <w:sz w:val="20"/>
                <w:szCs w:val="20"/>
                <w:lang w:eastAsia="cs-CZ"/>
              </w:rPr>
              <w:t xml:space="preserve"> </w:t>
            </w:r>
            <w:r w:rsidRPr="00402994">
              <w:rPr>
                <w:rFonts w:eastAsia="Times New Roman" w:cs="Times New Roman"/>
                <w:b/>
                <w:iCs/>
                <w:sz w:val="20"/>
                <w:szCs w:val="20"/>
                <w:lang w:eastAsia="cs-CZ"/>
              </w:rPr>
              <w:t xml:space="preserve"> a položky 5193 v tom:</w:t>
            </w:r>
          </w:p>
        </w:tc>
        <w:tc>
          <w:tcPr>
            <w:tcW w:w="1418" w:type="dxa"/>
            <w:tcBorders>
              <w:top w:val="single" w:sz="8" w:space="0" w:color="7F7F7F" w:themeColor="text1" w:themeTint="80"/>
              <w:bottom w:val="nil"/>
            </w:tcBorders>
            <w:shd w:val="clear" w:color="auto" w:fill="auto"/>
            <w:vAlign w:val="bottom"/>
          </w:tcPr>
          <w:p w:rsidR="009A036B" w:rsidRPr="00402994" w:rsidRDefault="009A036B" w:rsidP="009A036B">
            <w:pPr>
              <w:spacing w:before="240"/>
              <w:ind w:right="15"/>
              <w:jc w:val="right"/>
              <w:rPr>
                <w:rFonts w:eastAsia="Times New Roman" w:cs="Times New Roman"/>
                <w:b/>
                <w:color w:val="FF0000"/>
                <w:sz w:val="20"/>
                <w:szCs w:val="20"/>
                <w:lang w:eastAsia="cs-CZ"/>
              </w:rPr>
            </w:pPr>
            <w:r w:rsidRPr="00402994">
              <w:rPr>
                <w:rFonts w:eastAsia="Times New Roman" w:cs="Times New Roman"/>
                <w:b/>
                <w:sz w:val="20"/>
                <w:szCs w:val="20"/>
                <w:lang w:eastAsia="cs-CZ"/>
              </w:rPr>
              <w:t>2 506 875</w:t>
            </w:r>
          </w:p>
        </w:tc>
        <w:tc>
          <w:tcPr>
            <w:tcW w:w="1417" w:type="dxa"/>
            <w:tcBorders>
              <w:top w:val="single" w:sz="8" w:space="0" w:color="7F7F7F" w:themeColor="text1" w:themeTint="80"/>
              <w:bottom w:val="nil"/>
            </w:tcBorders>
            <w:shd w:val="clear" w:color="auto" w:fill="auto"/>
            <w:vAlign w:val="bottom"/>
          </w:tcPr>
          <w:p w:rsidR="009A036B" w:rsidRPr="00402994" w:rsidRDefault="009A036B" w:rsidP="009A036B">
            <w:pPr>
              <w:spacing w:before="240"/>
              <w:jc w:val="right"/>
              <w:rPr>
                <w:rFonts w:eastAsia="Times New Roman" w:cs="Times New Roman"/>
                <w:b/>
                <w:bCs/>
                <w:sz w:val="20"/>
                <w:szCs w:val="20"/>
                <w:lang w:eastAsia="cs-CZ"/>
              </w:rPr>
            </w:pPr>
            <w:r w:rsidRPr="00402994">
              <w:rPr>
                <w:rFonts w:eastAsia="Times New Roman" w:cs="Times New Roman"/>
                <w:b/>
                <w:bCs/>
                <w:sz w:val="20"/>
                <w:szCs w:val="20"/>
                <w:lang w:eastAsia="cs-CZ"/>
              </w:rPr>
              <w:t>2 733 643</w:t>
            </w:r>
          </w:p>
        </w:tc>
        <w:tc>
          <w:tcPr>
            <w:tcW w:w="1418" w:type="dxa"/>
            <w:tcBorders>
              <w:top w:val="single" w:sz="8" w:space="0" w:color="7F7F7F" w:themeColor="text1" w:themeTint="80"/>
              <w:bottom w:val="nil"/>
            </w:tcBorders>
            <w:shd w:val="clear" w:color="auto" w:fill="auto"/>
            <w:vAlign w:val="bottom"/>
          </w:tcPr>
          <w:p w:rsidR="009A036B" w:rsidRPr="00AC01AC" w:rsidRDefault="009A036B" w:rsidP="009A036B">
            <w:pPr>
              <w:spacing w:before="240"/>
              <w:jc w:val="right"/>
              <w:rPr>
                <w:rFonts w:eastAsia="Times New Roman" w:cs="Times New Roman"/>
                <w:b/>
                <w:bCs/>
                <w:color w:val="FF0000"/>
                <w:sz w:val="20"/>
                <w:szCs w:val="20"/>
                <w:lang w:eastAsia="cs-CZ"/>
              </w:rPr>
            </w:pPr>
            <w:r w:rsidRPr="00040A02">
              <w:rPr>
                <w:rFonts w:eastAsia="Times New Roman" w:cs="Times New Roman"/>
                <w:b/>
                <w:bCs/>
                <w:sz w:val="20"/>
                <w:szCs w:val="20"/>
                <w:lang w:eastAsia="cs-CZ"/>
              </w:rPr>
              <w:t>7 606 816</w:t>
            </w:r>
          </w:p>
        </w:tc>
        <w:tc>
          <w:tcPr>
            <w:tcW w:w="997" w:type="dxa"/>
            <w:tcBorders>
              <w:top w:val="single" w:sz="8" w:space="0" w:color="7F7F7F" w:themeColor="text1" w:themeTint="80"/>
              <w:bottom w:val="nil"/>
            </w:tcBorders>
            <w:shd w:val="clear" w:color="auto" w:fill="auto"/>
            <w:vAlign w:val="bottom"/>
          </w:tcPr>
          <w:p w:rsidR="009A036B" w:rsidRPr="000C31E6" w:rsidRDefault="009A036B" w:rsidP="009A036B">
            <w:pPr>
              <w:spacing w:before="240"/>
              <w:jc w:val="right"/>
              <w:rPr>
                <w:rFonts w:eastAsia="Times New Roman" w:cs="Times New Roman"/>
                <w:b/>
                <w:bCs/>
                <w:sz w:val="20"/>
                <w:szCs w:val="20"/>
                <w:lang w:eastAsia="cs-CZ"/>
              </w:rPr>
            </w:pPr>
            <w:r w:rsidRPr="000C31E6">
              <w:rPr>
                <w:rFonts w:eastAsia="Times New Roman" w:cs="Times New Roman"/>
                <w:b/>
                <w:bCs/>
                <w:sz w:val="20"/>
                <w:szCs w:val="20"/>
                <w:lang w:eastAsia="cs-CZ"/>
              </w:rPr>
              <w:t>278,27</w:t>
            </w:r>
          </w:p>
        </w:tc>
      </w:tr>
      <w:tr w:rsidR="009A036B" w:rsidRPr="00BD3648" w:rsidTr="003A20EE">
        <w:trPr>
          <w:trHeight w:val="20"/>
        </w:trPr>
        <w:tc>
          <w:tcPr>
            <w:tcW w:w="4252" w:type="dxa"/>
            <w:tcBorders>
              <w:top w:val="nil"/>
              <w:bottom w:val="nil"/>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platy zaměstnanců a ostatní platby</w:t>
            </w:r>
          </w:p>
          <w:p w:rsidR="009A036B" w:rsidRPr="00402994" w:rsidRDefault="009A036B" w:rsidP="009A036B">
            <w:pPr>
              <w:tabs>
                <w:tab w:val="left" w:pos="830"/>
              </w:tabs>
              <w:rPr>
                <w:rFonts w:eastAsia="Times New Roman" w:cs="Times New Roman"/>
                <w:sz w:val="20"/>
                <w:szCs w:val="20"/>
                <w:lang w:eastAsia="cs-CZ"/>
              </w:rPr>
            </w:pPr>
            <w:r w:rsidRPr="00402994">
              <w:rPr>
                <w:rFonts w:eastAsia="Times New Roman" w:cs="Times New Roman"/>
                <w:sz w:val="20"/>
                <w:szCs w:val="20"/>
                <w:lang w:eastAsia="cs-CZ"/>
              </w:rPr>
              <w:t>za provedenou práci</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z toho: prostředky EU</w:t>
            </w:r>
          </w:p>
        </w:tc>
        <w:tc>
          <w:tcPr>
            <w:tcW w:w="1418" w:type="dxa"/>
            <w:tcBorders>
              <w:top w:val="nil"/>
              <w:bottom w:val="nil"/>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478 229</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54 021</w:t>
            </w:r>
          </w:p>
        </w:tc>
        <w:tc>
          <w:tcPr>
            <w:tcW w:w="1417" w:type="dxa"/>
            <w:tcBorders>
              <w:top w:val="nil"/>
              <w:bottom w:val="nil"/>
            </w:tcBorders>
            <w:shd w:val="clear" w:color="auto" w:fill="auto"/>
            <w:vAlign w:val="center"/>
          </w:tcPr>
          <w:p w:rsidR="009A036B" w:rsidRPr="00402994" w:rsidRDefault="009A036B" w:rsidP="009A036B">
            <w:pPr>
              <w:jc w:val="right"/>
              <w:rPr>
                <w:rFonts w:eastAsia="Times New Roman" w:cs="Times New Roman"/>
                <w:sz w:val="20"/>
                <w:szCs w:val="20"/>
                <w:lang w:eastAsia="cs-CZ"/>
              </w:rPr>
            </w:pP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 xml:space="preserve">548 962 </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69 121</w:t>
            </w:r>
          </w:p>
        </w:tc>
        <w:tc>
          <w:tcPr>
            <w:tcW w:w="1418" w:type="dxa"/>
            <w:tcBorders>
              <w:top w:val="nil"/>
              <w:bottom w:val="nil"/>
            </w:tcBorders>
            <w:shd w:val="clear" w:color="auto" w:fill="auto"/>
            <w:vAlign w:val="center"/>
          </w:tcPr>
          <w:p w:rsidR="009A036B" w:rsidRPr="00AC01AC" w:rsidRDefault="009A036B" w:rsidP="009A036B">
            <w:pPr>
              <w:jc w:val="right"/>
              <w:rPr>
                <w:rFonts w:eastAsia="Times New Roman" w:cs="Times New Roman"/>
                <w:color w:val="FF0000"/>
                <w:sz w:val="20"/>
                <w:szCs w:val="20"/>
                <w:lang w:eastAsia="cs-CZ"/>
              </w:rPr>
            </w:pPr>
          </w:p>
          <w:p w:rsidR="009A036B" w:rsidRPr="004E2013" w:rsidRDefault="009A036B" w:rsidP="009A036B">
            <w:pPr>
              <w:jc w:val="right"/>
              <w:rPr>
                <w:rFonts w:eastAsia="Times New Roman" w:cs="Times New Roman"/>
                <w:sz w:val="20"/>
                <w:szCs w:val="20"/>
                <w:lang w:eastAsia="cs-CZ"/>
              </w:rPr>
            </w:pPr>
            <w:r w:rsidRPr="004E2013">
              <w:rPr>
                <w:rFonts w:eastAsia="Times New Roman" w:cs="Times New Roman"/>
                <w:sz w:val="20"/>
                <w:szCs w:val="20"/>
                <w:lang w:eastAsia="cs-CZ"/>
              </w:rPr>
              <w:t xml:space="preserve">530 166 </w:t>
            </w:r>
          </w:p>
          <w:p w:rsidR="009A036B" w:rsidRPr="00AC01AC" w:rsidRDefault="009A036B" w:rsidP="009A036B">
            <w:pPr>
              <w:jc w:val="right"/>
              <w:rPr>
                <w:rFonts w:eastAsia="Times New Roman" w:cs="Times New Roman"/>
                <w:color w:val="FF0000"/>
                <w:sz w:val="20"/>
                <w:szCs w:val="20"/>
                <w:lang w:eastAsia="cs-CZ"/>
              </w:rPr>
            </w:pPr>
            <w:r w:rsidRPr="00D54F47">
              <w:rPr>
                <w:rFonts w:eastAsia="Times New Roman" w:cs="Times New Roman"/>
                <w:sz w:val="20"/>
                <w:szCs w:val="20"/>
                <w:lang w:eastAsia="cs-CZ"/>
              </w:rPr>
              <w:t>46 799</w:t>
            </w:r>
          </w:p>
        </w:tc>
        <w:tc>
          <w:tcPr>
            <w:tcW w:w="997" w:type="dxa"/>
            <w:tcBorders>
              <w:top w:val="nil"/>
              <w:bottom w:val="nil"/>
            </w:tcBorders>
            <w:shd w:val="clear" w:color="auto" w:fill="auto"/>
            <w:vAlign w:val="center"/>
          </w:tcPr>
          <w:p w:rsidR="009A036B" w:rsidRPr="000C31E6" w:rsidRDefault="009A036B" w:rsidP="009A036B">
            <w:pPr>
              <w:jc w:val="right"/>
              <w:rPr>
                <w:rFonts w:eastAsia="Times New Roman" w:cs="Times New Roman"/>
                <w:sz w:val="20"/>
                <w:szCs w:val="20"/>
                <w:lang w:eastAsia="cs-CZ"/>
              </w:rPr>
            </w:pPr>
          </w:p>
          <w:p w:rsidR="009A036B" w:rsidRPr="000C31E6" w:rsidRDefault="009A036B" w:rsidP="009A036B">
            <w:pPr>
              <w:jc w:val="right"/>
              <w:rPr>
                <w:rFonts w:eastAsia="Times New Roman" w:cs="Times New Roman"/>
                <w:sz w:val="20"/>
                <w:szCs w:val="20"/>
                <w:lang w:eastAsia="cs-CZ"/>
              </w:rPr>
            </w:pPr>
            <w:r w:rsidRPr="000C31E6">
              <w:rPr>
                <w:rFonts w:eastAsia="Times New Roman" w:cs="Times New Roman"/>
                <w:sz w:val="20"/>
                <w:szCs w:val="20"/>
                <w:lang w:eastAsia="cs-CZ"/>
              </w:rPr>
              <w:t>96,58</w:t>
            </w:r>
          </w:p>
          <w:p w:rsidR="009A036B" w:rsidRPr="000C31E6" w:rsidRDefault="009A036B" w:rsidP="009A036B">
            <w:pPr>
              <w:jc w:val="center"/>
              <w:rPr>
                <w:rFonts w:eastAsia="Times New Roman" w:cs="Times New Roman"/>
                <w:sz w:val="20"/>
                <w:szCs w:val="20"/>
                <w:lang w:eastAsia="cs-CZ"/>
              </w:rPr>
            </w:pPr>
            <w:r w:rsidRPr="000C31E6">
              <w:rPr>
                <w:rFonts w:eastAsia="Times New Roman" w:cs="Times New Roman"/>
                <w:sz w:val="20"/>
                <w:szCs w:val="20"/>
                <w:lang w:eastAsia="cs-CZ"/>
              </w:rPr>
              <w:t xml:space="preserve">      67,71</w:t>
            </w:r>
          </w:p>
        </w:tc>
      </w:tr>
      <w:tr w:rsidR="009A036B" w:rsidRPr="00BD3648" w:rsidTr="003A20EE">
        <w:tc>
          <w:tcPr>
            <w:tcW w:w="4252" w:type="dxa"/>
            <w:tcBorders>
              <w:top w:val="nil"/>
              <w:bottom w:val="nil"/>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povinné pojistné placené zaměstnavatelem</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z toho: prostředky EU</w:t>
            </w:r>
          </w:p>
        </w:tc>
        <w:tc>
          <w:tcPr>
            <w:tcW w:w="1418" w:type="dxa"/>
            <w:tcBorders>
              <w:top w:val="nil"/>
              <w:bottom w:val="nil"/>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161 612</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18 240</w:t>
            </w:r>
          </w:p>
        </w:tc>
        <w:tc>
          <w:tcPr>
            <w:tcW w:w="1417" w:type="dxa"/>
            <w:tcBorders>
              <w:top w:val="nil"/>
              <w:bottom w:val="nil"/>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186 647</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23 501</w:t>
            </w:r>
          </w:p>
        </w:tc>
        <w:tc>
          <w:tcPr>
            <w:tcW w:w="1418" w:type="dxa"/>
            <w:tcBorders>
              <w:top w:val="nil"/>
              <w:bottom w:val="nil"/>
            </w:tcBorders>
            <w:shd w:val="clear" w:color="auto" w:fill="auto"/>
            <w:vAlign w:val="center"/>
          </w:tcPr>
          <w:p w:rsidR="009A036B" w:rsidRPr="004E2013" w:rsidRDefault="009A036B" w:rsidP="009A036B">
            <w:pPr>
              <w:jc w:val="right"/>
              <w:rPr>
                <w:rFonts w:eastAsia="Times New Roman" w:cs="Times New Roman"/>
                <w:sz w:val="20"/>
                <w:szCs w:val="20"/>
                <w:lang w:eastAsia="cs-CZ"/>
              </w:rPr>
            </w:pPr>
            <w:r w:rsidRPr="004E2013">
              <w:rPr>
                <w:rFonts w:eastAsia="Times New Roman" w:cs="Times New Roman"/>
                <w:sz w:val="20"/>
                <w:szCs w:val="20"/>
                <w:lang w:eastAsia="cs-CZ"/>
              </w:rPr>
              <w:t>180 256</w:t>
            </w:r>
          </w:p>
          <w:p w:rsidR="009A036B" w:rsidRPr="00AC01AC" w:rsidRDefault="009A036B" w:rsidP="009A036B">
            <w:pPr>
              <w:jc w:val="right"/>
              <w:rPr>
                <w:rFonts w:eastAsia="Times New Roman" w:cs="Times New Roman"/>
                <w:color w:val="FF0000"/>
                <w:sz w:val="20"/>
                <w:szCs w:val="20"/>
                <w:lang w:eastAsia="cs-CZ"/>
              </w:rPr>
            </w:pPr>
            <w:r w:rsidRPr="00063B69">
              <w:rPr>
                <w:rFonts w:eastAsia="Times New Roman" w:cs="Times New Roman"/>
                <w:sz w:val="20"/>
                <w:szCs w:val="20"/>
                <w:lang w:eastAsia="cs-CZ"/>
              </w:rPr>
              <w:t>15 912</w:t>
            </w:r>
          </w:p>
        </w:tc>
        <w:tc>
          <w:tcPr>
            <w:tcW w:w="997" w:type="dxa"/>
            <w:tcBorders>
              <w:top w:val="nil"/>
              <w:bottom w:val="nil"/>
            </w:tcBorders>
            <w:shd w:val="clear" w:color="auto" w:fill="auto"/>
            <w:vAlign w:val="center"/>
          </w:tcPr>
          <w:p w:rsidR="009A036B" w:rsidRPr="000C31E6" w:rsidRDefault="009A036B" w:rsidP="009A036B">
            <w:pPr>
              <w:jc w:val="right"/>
              <w:rPr>
                <w:rFonts w:eastAsia="Times New Roman" w:cs="Times New Roman"/>
                <w:sz w:val="20"/>
                <w:szCs w:val="20"/>
                <w:lang w:eastAsia="cs-CZ"/>
              </w:rPr>
            </w:pPr>
            <w:r w:rsidRPr="000C31E6">
              <w:rPr>
                <w:rFonts w:eastAsia="Times New Roman" w:cs="Times New Roman"/>
                <w:sz w:val="20"/>
                <w:szCs w:val="20"/>
                <w:lang w:eastAsia="cs-CZ"/>
              </w:rPr>
              <w:t>96,58</w:t>
            </w:r>
          </w:p>
          <w:p w:rsidR="009A036B" w:rsidRPr="00A4529F" w:rsidRDefault="009A036B" w:rsidP="009A036B">
            <w:pPr>
              <w:jc w:val="right"/>
              <w:rPr>
                <w:rFonts w:eastAsia="Times New Roman" w:cs="Times New Roman"/>
                <w:color w:val="FF0000"/>
                <w:sz w:val="20"/>
                <w:szCs w:val="20"/>
                <w:lang w:eastAsia="cs-CZ"/>
              </w:rPr>
            </w:pPr>
            <w:r w:rsidRPr="000C31E6">
              <w:rPr>
                <w:rFonts w:eastAsia="Times New Roman" w:cs="Times New Roman"/>
                <w:sz w:val="20"/>
                <w:szCs w:val="20"/>
                <w:lang w:eastAsia="cs-CZ"/>
              </w:rPr>
              <w:t>67,71</w:t>
            </w:r>
          </w:p>
        </w:tc>
      </w:tr>
      <w:tr w:rsidR="009A036B" w:rsidRPr="00BD3648" w:rsidTr="003A20EE">
        <w:tc>
          <w:tcPr>
            <w:tcW w:w="4252" w:type="dxa"/>
            <w:tcBorders>
              <w:top w:val="nil"/>
              <w:bottom w:val="nil"/>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převod FKSP</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z toho: prostředky EU</w:t>
            </w:r>
          </w:p>
        </w:tc>
        <w:tc>
          <w:tcPr>
            <w:tcW w:w="1418" w:type="dxa"/>
            <w:tcBorders>
              <w:top w:val="nil"/>
              <w:bottom w:val="nil"/>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9 390</w:t>
            </w:r>
          </w:p>
          <w:p w:rsidR="009A036B" w:rsidRPr="00402994" w:rsidRDefault="009A036B" w:rsidP="009A036B">
            <w:pPr>
              <w:ind w:right="15"/>
              <w:jc w:val="right"/>
              <w:rPr>
                <w:rFonts w:eastAsia="Times New Roman" w:cs="Times New Roman"/>
                <w:color w:val="FF0000"/>
                <w:sz w:val="20"/>
                <w:szCs w:val="20"/>
                <w:lang w:eastAsia="cs-CZ"/>
              </w:rPr>
            </w:pPr>
            <w:r w:rsidRPr="00402994">
              <w:rPr>
                <w:rFonts w:eastAsia="Times New Roman" w:cs="Times New Roman"/>
                <w:sz w:val="20"/>
                <w:szCs w:val="20"/>
                <w:lang w:eastAsia="cs-CZ"/>
              </w:rPr>
              <w:t>1 028</w:t>
            </w:r>
          </w:p>
        </w:tc>
        <w:tc>
          <w:tcPr>
            <w:tcW w:w="1417" w:type="dxa"/>
            <w:tcBorders>
              <w:top w:val="nil"/>
              <w:bottom w:val="nil"/>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10 617</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1 191</w:t>
            </w:r>
          </w:p>
        </w:tc>
        <w:tc>
          <w:tcPr>
            <w:tcW w:w="1418" w:type="dxa"/>
            <w:tcBorders>
              <w:top w:val="nil"/>
              <w:bottom w:val="nil"/>
            </w:tcBorders>
            <w:shd w:val="clear" w:color="auto" w:fill="auto"/>
            <w:vAlign w:val="center"/>
          </w:tcPr>
          <w:p w:rsidR="009A036B" w:rsidRPr="00A4529F" w:rsidRDefault="009A036B" w:rsidP="009A036B">
            <w:pPr>
              <w:jc w:val="right"/>
              <w:rPr>
                <w:rFonts w:eastAsia="Times New Roman" w:cs="Times New Roman"/>
                <w:sz w:val="20"/>
                <w:szCs w:val="20"/>
                <w:lang w:eastAsia="cs-CZ"/>
              </w:rPr>
            </w:pPr>
            <w:r w:rsidRPr="00A4529F">
              <w:rPr>
                <w:rFonts w:eastAsia="Times New Roman" w:cs="Times New Roman"/>
                <w:sz w:val="20"/>
                <w:szCs w:val="20"/>
                <w:lang w:eastAsia="cs-CZ"/>
              </w:rPr>
              <w:t>10 293</w:t>
            </w:r>
          </w:p>
          <w:p w:rsidR="009A036B" w:rsidRPr="00AC01AC" w:rsidRDefault="009A036B" w:rsidP="009A036B">
            <w:pPr>
              <w:jc w:val="right"/>
              <w:rPr>
                <w:rFonts w:eastAsia="Times New Roman" w:cs="Times New Roman"/>
                <w:color w:val="FF0000"/>
                <w:sz w:val="20"/>
                <w:szCs w:val="20"/>
                <w:lang w:eastAsia="cs-CZ"/>
              </w:rPr>
            </w:pPr>
            <w:r w:rsidRPr="00A4529F">
              <w:rPr>
                <w:rFonts w:eastAsia="Times New Roman" w:cs="Times New Roman"/>
                <w:sz w:val="20"/>
                <w:szCs w:val="20"/>
                <w:lang w:eastAsia="cs-CZ"/>
              </w:rPr>
              <w:t>810</w:t>
            </w:r>
          </w:p>
        </w:tc>
        <w:tc>
          <w:tcPr>
            <w:tcW w:w="997" w:type="dxa"/>
            <w:tcBorders>
              <w:top w:val="nil"/>
              <w:bottom w:val="nil"/>
            </w:tcBorders>
            <w:shd w:val="clear" w:color="auto" w:fill="auto"/>
            <w:vAlign w:val="center"/>
          </w:tcPr>
          <w:p w:rsidR="009A036B" w:rsidRPr="000C31E6" w:rsidRDefault="009A036B" w:rsidP="009A036B">
            <w:pPr>
              <w:jc w:val="right"/>
              <w:rPr>
                <w:rFonts w:eastAsia="Times New Roman" w:cs="Times New Roman"/>
                <w:sz w:val="20"/>
                <w:szCs w:val="20"/>
                <w:lang w:eastAsia="cs-CZ"/>
              </w:rPr>
            </w:pPr>
            <w:r w:rsidRPr="000C31E6">
              <w:rPr>
                <w:rFonts w:eastAsia="Times New Roman" w:cs="Times New Roman"/>
                <w:sz w:val="20"/>
                <w:szCs w:val="20"/>
                <w:lang w:eastAsia="cs-CZ"/>
              </w:rPr>
              <w:t>96,95</w:t>
            </w:r>
          </w:p>
          <w:p w:rsidR="009A036B" w:rsidRPr="000C31E6" w:rsidRDefault="009A036B" w:rsidP="009A036B">
            <w:pPr>
              <w:jc w:val="right"/>
              <w:rPr>
                <w:rFonts w:eastAsia="Times New Roman" w:cs="Times New Roman"/>
                <w:sz w:val="20"/>
                <w:szCs w:val="20"/>
                <w:highlight w:val="yellow"/>
                <w:lang w:eastAsia="cs-CZ"/>
              </w:rPr>
            </w:pPr>
            <w:r w:rsidRPr="000C31E6">
              <w:rPr>
                <w:rFonts w:eastAsia="Times New Roman" w:cs="Times New Roman"/>
                <w:sz w:val="20"/>
                <w:szCs w:val="20"/>
                <w:lang w:eastAsia="cs-CZ"/>
              </w:rPr>
              <w:t>68,01</w:t>
            </w:r>
          </w:p>
        </w:tc>
      </w:tr>
      <w:tr w:rsidR="009A036B" w:rsidRPr="00BD3648" w:rsidTr="003A20EE">
        <w:tc>
          <w:tcPr>
            <w:tcW w:w="4252" w:type="dxa"/>
            <w:tcBorders>
              <w:top w:val="nil"/>
              <w:bottom w:val="nil"/>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ostatní neinvestiční výdaje</w:t>
            </w:r>
          </w:p>
        </w:tc>
        <w:tc>
          <w:tcPr>
            <w:tcW w:w="1418" w:type="dxa"/>
            <w:tcBorders>
              <w:top w:val="nil"/>
              <w:bottom w:val="nil"/>
            </w:tcBorders>
            <w:shd w:val="clear" w:color="auto" w:fill="auto"/>
            <w:vAlign w:val="center"/>
          </w:tcPr>
          <w:p w:rsidR="009A036B" w:rsidRPr="00402994" w:rsidRDefault="009A036B" w:rsidP="009A036B">
            <w:pPr>
              <w:ind w:right="15"/>
              <w:jc w:val="right"/>
              <w:rPr>
                <w:rFonts w:eastAsia="Times New Roman" w:cs="Times New Roman"/>
                <w:color w:val="FF0000"/>
                <w:sz w:val="20"/>
                <w:szCs w:val="20"/>
                <w:lang w:eastAsia="cs-CZ"/>
              </w:rPr>
            </w:pPr>
            <w:r w:rsidRPr="00402994">
              <w:rPr>
                <w:rFonts w:eastAsia="Times New Roman" w:cs="Times New Roman"/>
                <w:sz w:val="20"/>
                <w:szCs w:val="20"/>
                <w:lang w:eastAsia="cs-CZ"/>
              </w:rPr>
              <w:t>1 857 644</w:t>
            </w:r>
          </w:p>
        </w:tc>
        <w:tc>
          <w:tcPr>
            <w:tcW w:w="1417" w:type="dxa"/>
            <w:tcBorders>
              <w:top w:val="nil"/>
              <w:bottom w:val="nil"/>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1 987 417</w:t>
            </w:r>
          </w:p>
        </w:tc>
        <w:tc>
          <w:tcPr>
            <w:tcW w:w="1418" w:type="dxa"/>
            <w:tcBorders>
              <w:top w:val="nil"/>
              <w:bottom w:val="nil"/>
            </w:tcBorders>
            <w:shd w:val="clear" w:color="auto" w:fill="auto"/>
            <w:vAlign w:val="center"/>
          </w:tcPr>
          <w:p w:rsidR="009A036B" w:rsidRPr="00AC01AC" w:rsidRDefault="009A036B" w:rsidP="009A036B">
            <w:pPr>
              <w:jc w:val="right"/>
              <w:rPr>
                <w:rFonts w:eastAsia="Times New Roman" w:cs="Times New Roman"/>
                <w:color w:val="FF0000"/>
                <w:sz w:val="20"/>
                <w:szCs w:val="20"/>
                <w:lang w:eastAsia="cs-CZ"/>
              </w:rPr>
            </w:pPr>
            <w:r w:rsidRPr="00EC614C">
              <w:rPr>
                <w:rFonts w:eastAsia="Times New Roman" w:cs="Times New Roman"/>
                <w:sz w:val="20"/>
                <w:szCs w:val="20"/>
                <w:lang w:eastAsia="cs-CZ"/>
              </w:rPr>
              <w:t>6 886 101</w:t>
            </w:r>
          </w:p>
        </w:tc>
        <w:tc>
          <w:tcPr>
            <w:tcW w:w="997" w:type="dxa"/>
            <w:tcBorders>
              <w:top w:val="nil"/>
              <w:bottom w:val="nil"/>
            </w:tcBorders>
            <w:shd w:val="clear" w:color="auto" w:fill="auto"/>
            <w:vAlign w:val="center"/>
          </w:tcPr>
          <w:p w:rsidR="009A036B" w:rsidRPr="000C31E6" w:rsidRDefault="009A036B" w:rsidP="009A036B">
            <w:pPr>
              <w:jc w:val="right"/>
              <w:rPr>
                <w:rFonts w:eastAsia="Times New Roman" w:cs="Times New Roman"/>
                <w:sz w:val="20"/>
                <w:szCs w:val="20"/>
                <w:lang w:eastAsia="cs-CZ"/>
              </w:rPr>
            </w:pPr>
            <w:r w:rsidRPr="000C31E6">
              <w:rPr>
                <w:rFonts w:eastAsia="Times New Roman" w:cs="Times New Roman"/>
                <w:sz w:val="20"/>
                <w:szCs w:val="20"/>
                <w:lang w:eastAsia="cs-CZ"/>
              </w:rPr>
              <w:t xml:space="preserve">346,48          </w:t>
            </w:r>
          </w:p>
        </w:tc>
      </w:tr>
      <w:tr w:rsidR="00ED1974" w:rsidRPr="00BD3648" w:rsidTr="003A20EE">
        <w:tc>
          <w:tcPr>
            <w:tcW w:w="4252" w:type="dxa"/>
            <w:tcBorders>
              <w:top w:val="nil"/>
              <w:bottom w:val="nil"/>
            </w:tcBorders>
            <w:shd w:val="clear" w:color="auto" w:fill="auto"/>
          </w:tcPr>
          <w:p w:rsidR="00ED1974" w:rsidRPr="00402994" w:rsidRDefault="00ED1974" w:rsidP="009A036B">
            <w:pPr>
              <w:tabs>
                <w:tab w:val="left" w:pos="290"/>
                <w:tab w:val="left" w:pos="500"/>
                <w:tab w:val="left" w:pos="965"/>
              </w:tabs>
              <w:rPr>
                <w:rFonts w:eastAsia="Times New Roman" w:cs="Times New Roman"/>
                <w:sz w:val="20"/>
                <w:szCs w:val="20"/>
                <w:lang w:eastAsia="cs-CZ"/>
              </w:rPr>
            </w:pPr>
            <w:r w:rsidRPr="00402994">
              <w:rPr>
                <w:rFonts w:eastAsia="Times New Roman" w:cs="Times New Roman"/>
                <w:sz w:val="20"/>
                <w:szCs w:val="20"/>
                <w:lang w:eastAsia="cs-CZ"/>
              </w:rPr>
              <w:t xml:space="preserve">      z toho:</w:t>
            </w:r>
            <w:r>
              <w:rPr>
                <w:rFonts w:eastAsia="Times New Roman" w:cs="Times New Roman"/>
                <w:sz w:val="20"/>
                <w:szCs w:val="20"/>
                <w:lang w:eastAsia="cs-CZ"/>
              </w:rPr>
              <w:t xml:space="preserve"> kompenzace slev jízdného</w:t>
            </w:r>
          </w:p>
        </w:tc>
        <w:tc>
          <w:tcPr>
            <w:tcW w:w="1418" w:type="dxa"/>
            <w:tcBorders>
              <w:top w:val="nil"/>
              <w:bottom w:val="nil"/>
            </w:tcBorders>
            <w:shd w:val="clear" w:color="auto" w:fill="auto"/>
            <w:vAlign w:val="center"/>
          </w:tcPr>
          <w:p w:rsidR="00ED1974" w:rsidRPr="00402994" w:rsidRDefault="00ED1974" w:rsidP="009A036B">
            <w:pPr>
              <w:ind w:right="15"/>
              <w:jc w:val="right"/>
              <w:rPr>
                <w:rFonts w:eastAsia="Times New Roman" w:cs="Times New Roman"/>
                <w:sz w:val="20"/>
                <w:szCs w:val="20"/>
                <w:lang w:eastAsia="cs-CZ"/>
              </w:rPr>
            </w:pPr>
            <w:r>
              <w:rPr>
                <w:rFonts w:eastAsia="Times New Roman" w:cs="Times New Roman"/>
                <w:sz w:val="20"/>
                <w:szCs w:val="20"/>
                <w:lang w:eastAsia="cs-CZ"/>
              </w:rPr>
              <w:t>240 896</w:t>
            </w:r>
          </w:p>
        </w:tc>
        <w:tc>
          <w:tcPr>
            <w:tcW w:w="1417" w:type="dxa"/>
            <w:tcBorders>
              <w:top w:val="nil"/>
              <w:bottom w:val="nil"/>
            </w:tcBorders>
            <w:shd w:val="clear" w:color="auto" w:fill="auto"/>
            <w:vAlign w:val="center"/>
          </w:tcPr>
          <w:p w:rsidR="00ED1974" w:rsidRPr="00402994" w:rsidRDefault="00ED1974" w:rsidP="009A036B">
            <w:pPr>
              <w:jc w:val="right"/>
              <w:rPr>
                <w:rFonts w:eastAsia="Times New Roman" w:cs="Times New Roman"/>
                <w:sz w:val="20"/>
                <w:szCs w:val="20"/>
                <w:lang w:eastAsia="cs-CZ"/>
              </w:rPr>
            </w:pPr>
            <w:r>
              <w:rPr>
                <w:rFonts w:eastAsia="Times New Roman" w:cs="Times New Roman"/>
                <w:sz w:val="20"/>
                <w:szCs w:val="20"/>
                <w:lang w:eastAsia="cs-CZ"/>
              </w:rPr>
              <w:t>260 000</w:t>
            </w:r>
          </w:p>
        </w:tc>
        <w:tc>
          <w:tcPr>
            <w:tcW w:w="1418" w:type="dxa"/>
            <w:tcBorders>
              <w:top w:val="nil"/>
              <w:bottom w:val="nil"/>
            </w:tcBorders>
            <w:shd w:val="clear" w:color="auto" w:fill="auto"/>
            <w:vAlign w:val="center"/>
          </w:tcPr>
          <w:p w:rsidR="00ED1974" w:rsidRPr="009D16BA" w:rsidRDefault="00ED1974" w:rsidP="009A036B">
            <w:pPr>
              <w:jc w:val="right"/>
              <w:rPr>
                <w:rFonts w:eastAsia="Times New Roman" w:cs="Times New Roman"/>
                <w:sz w:val="20"/>
                <w:szCs w:val="20"/>
                <w:lang w:eastAsia="cs-CZ"/>
              </w:rPr>
            </w:pPr>
            <w:r>
              <w:rPr>
                <w:rFonts w:eastAsia="Times New Roman" w:cs="Times New Roman"/>
                <w:sz w:val="20"/>
                <w:szCs w:val="20"/>
                <w:lang w:eastAsia="cs-CZ"/>
              </w:rPr>
              <w:t>6 000 000</w:t>
            </w:r>
          </w:p>
        </w:tc>
        <w:tc>
          <w:tcPr>
            <w:tcW w:w="997" w:type="dxa"/>
            <w:tcBorders>
              <w:top w:val="nil"/>
              <w:bottom w:val="nil"/>
            </w:tcBorders>
            <w:shd w:val="clear" w:color="auto" w:fill="auto"/>
            <w:vAlign w:val="center"/>
          </w:tcPr>
          <w:p w:rsidR="00ED1974" w:rsidRPr="000C31E6" w:rsidRDefault="00ED1974" w:rsidP="009A036B">
            <w:pPr>
              <w:jc w:val="right"/>
              <w:rPr>
                <w:rFonts w:eastAsia="Times New Roman" w:cs="Times New Roman"/>
                <w:sz w:val="20"/>
                <w:szCs w:val="20"/>
                <w:lang w:eastAsia="cs-CZ"/>
              </w:rPr>
            </w:pPr>
            <w:r>
              <w:rPr>
                <w:rFonts w:eastAsia="Times New Roman" w:cs="Times New Roman"/>
                <w:sz w:val="20"/>
                <w:szCs w:val="20"/>
                <w:lang w:eastAsia="cs-CZ"/>
              </w:rPr>
              <w:t>2 307,69</w:t>
            </w:r>
          </w:p>
        </w:tc>
      </w:tr>
      <w:tr w:rsidR="009A036B" w:rsidRPr="00BD3648" w:rsidTr="003A20EE">
        <w:tc>
          <w:tcPr>
            <w:tcW w:w="4252" w:type="dxa"/>
            <w:tcBorders>
              <w:top w:val="nil"/>
              <w:bottom w:val="nil"/>
            </w:tcBorders>
            <w:shd w:val="clear" w:color="auto" w:fill="auto"/>
          </w:tcPr>
          <w:p w:rsidR="009A036B" w:rsidRPr="00402994" w:rsidRDefault="009A036B" w:rsidP="008F7D8A">
            <w:pPr>
              <w:tabs>
                <w:tab w:val="left" w:pos="500"/>
                <w:tab w:val="left" w:pos="965"/>
              </w:tabs>
              <w:ind w:left="881"/>
              <w:rPr>
                <w:rFonts w:eastAsia="Times New Roman" w:cs="Times New Roman"/>
                <w:sz w:val="20"/>
                <w:szCs w:val="20"/>
                <w:lang w:eastAsia="cs-CZ"/>
              </w:rPr>
            </w:pPr>
            <w:r w:rsidRPr="00402994">
              <w:rPr>
                <w:rFonts w:eastAsia="Times New Roman" w:cs="Times New Roman"/>
                <w:sz w:val="20"/>
                <w:szCs w:val="20"/>
                <w:lang w:eastAsia="cs-CZ"/>
              </w:rPr>
              <w:t>dopravně správní agendy (pol. 5139)</w:t>
            </w:r>
          </w:p>
        </w:tc>
        <w:tc>
          <w:tcPr>
            <w:tcW w:w="1418" w:type="dxa"/>
            <w:tcBorders>
              <w:top w:val="nil"/>
              <w:bottom w:val="nil"/>
            </w:tcBorders>
            <w:shd w:val="clear" w:color="auto" w:fill="auto"/>
            <w:vAlign w:val="center"/>
          </w:tcPr>
          <w:p w:rsidR="009A036B" w:rsidRPr="00402994" w:rsidRDefault="009A036B" w:rsidP="009A036B">
            <w:pPr>
              <w:ind w:right="15"/>
              <w:jc w:val="right"/>
              <w:rPr>
                <w:rFonts w:eastAsia="Times New Roman" w:cs="Times New Roman"/>
                <w:color w:val="FF0000"/>
                <w:sz w:val="20"/>
                <w:szCs w:val="20"/>
                <w:lang w:eastAsia="cs-CZ"/>
              </w:rPr>
            </w:pPr>
            <w:r w:rsidRPr="00402994">
              <w:rPr>
                <w:rFonts w:eastAsia="Times New Roman" w:cs="Times New Roman"/>
                <w:sz w:val="20"/>
                <w:szCs w:val="20"/>
                <w:lang w:eastAsia="cs-CZ"/>
              </w:rPr>
              <w:t>213 734</w:t>
            </w:r>
          </w:p>
        </w:tc>
        <w:tc>
          <w:tcPr>
            <w:tcW w:w="1417" w:type="dxa"/>
            <w:tcBorders>
              <w:top w:val="nil"/>
              <w:bottom w:val="nil"/>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250 000</w:t>
            </w:r>
          </w:p>
        </w:tc>
        <w:tc>
          <w:tcPr>
            <w:tcW w:w="1418" w:type="dxa"/>
            <w:tcBorders>
              <w:top w:val="nil"/>
              <w:bottom w:val="nil"/>
            </w:tcBorders>
            <w:shd w:val="clear" w:color="auto" w:fill="auto"/>
            <w:vAlign w:val="center"/>
          </w:tcPr>
          <w:p w:rsidR="009A036B" w:rsidRPr="00AC01AC" w:rsidRDefault="009A036B" w:rsidP="009A036B">
            <w:pPr>
              <w:jc w:val="right"/>
              <w:rPr>
                <w:rFonts w:eastAsia="Times New Roman" w:cs="Times New Roman"/>
                <w:color w:val="FF0000"/>
                <w:sz w:val="20"/>
                <w:szCs w:val="20"/>
                <w:lang w:eastAsia="cs-CZ"/>
              </w:rPr>
            </w:pPr>
            <w:r w:rsidRPr="009D16BA">
              <w:rPr>
                <w:rFonts w:eastAsia="Times New Roman" w:cs="Times New Roman"/>
                <w:sz w:val="20"/>
                <w:szCs w:val="20"/>
                <w:lang w:eastAsia="cs-CZ"/>
              </w:rPr>
              <w:t>280 000</w:t>
            </w:r>
          </w:p>
        </w:tc>
        <w:tc>
          <w:tcPr>
            <w:tcW w:w="997" w:type="dxa"/>
            <w:tcBorders>
              <w:top w:val="nil"/>
              <w:bottom w:val="nil"/>
            </w:tcBorders>
            <w:shd w:val="clear" w:color="auto" w:fill="auto"/>
            <w:vAlign w:val="center"/>
          </w:tcPr>
          <w:p w:rsidR="009A036B" w:rsidRPr="000C31E6" w:rsidRDefault="009A036B" w:rsidP="009A036B">
            <w:pPr>
              <w:jc w:val="right"/>
              <w:rPr>
                <w:rFonts w:eastAsia="Times New Roman" w:cs="Times New Roman"/>
                <w:sz w:val="20"/>
                <w:szCs w:val="20"/>
                <w:lang w:eastAsia="cs-CZ"/>
              </w:rPr>
            </w:pPr>
            <w:r w:rsidRPr="000C31E6">
              <w:rPr>
                <w:rFonts w:eastAsia="Times New Roman" w:cs="Times New Roman"/>
                <w:sz w:val="20"/>
                <w:szCs w:val="20"/>
                <w:lang w:eastAsia="cs-CZ"/>
              </w:rPr>
              <w:t>112,00</w:t>
            </w:r>
          </w:p>
        </w:tc>
      </w:tr>
      <w:tr w:rsidR="009A036B" w:rsidRPr="00BD3648" w:rsidTr="003A20EE">
        <w:tc>
          <w:tcPr>
            <w:tcW w:w="4252" w:type="dxa"/>
            <w:tcBorders>
              <w:top w:val="nil"/>
              <w:bottom w:val="nil"/>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w:t>
            </w:r>
            <w:r w:rsidR="003A20EE">
              <w:rPr>
                <w:rFonts w:eastAsia="Times New Roman" w:cs="Times New Roman"/>
                <w:sz w:val="20"/>
                <w:szCs w:val="20"/>
                <w:lang w:eastAsia="cs-CZ"/>
              </w:rPr>
              <w:t xml:space="preserve">        programové financování </w:t>
            </w:r>
            <w:r w:rsidRPr="00402994">
              <w:rPr>
                <w:rFonts w:eastAsia="Times New Roman" w:cs="Times New Roman"/>
                <w:sz w:val="20"/>
                <w:szCs w:val="20"/>
                <w:lang w:eastAsia="cs-CZ"/>
              </w:rPr>
              <w:t>(EDS/SMVS)</w:t>
            </w:r>
          </w:p>
        </w:tc>
        <w:tc>
          <w:tcPr>
            <w:tcW w:w="1418" w:type="dxa"/>
            <w:tcBorders>
              <w:top w:val="nil"/>
              <w:bottom w:val="nil"/>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74 344</w:t>
            </w:r>
          </w:p>
        </w:tc>
        <w:tc>
          <w:tcPr>
            <w:tcW w:w="1417" w:type="dxa"/>
            <w:tcBorders>
              <w:top w:val="nil"/>
              <w:bottom w:val="nil"/>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108 363</w:t>
            </w:r>
          </w:p>
        </w:tc>
        <w:tc>
          <w:tcPr>
            <w:tcW w:w="1418" w:type="dxa"/>
            <w:tcBorders>
              <w:top w:val="nil"/>
              <w:bottom w:val="nil"/>
            </w:tcBorders>
            <w:shd w:val="clear" w:color="auto" w:fill="auto"/>
            <w:vAlign w:val="center"/>
          </w:tcPr>
          <w:p w:rsidR="009A036B" w:rsidRPr="00AC01AC" w:rsidRDefault="009A036B" w:rsidP="009A036B">
            <w:pPr>
              <w:jc w:val="right"/>
              <w:rPr>
                <w:rFonts w:eastAsia="Times New Roman" w:cs="Times New Roman"/>
                <w:color w:val="FF0000"/>
                <w:sz w:val="20"/>
                <w:szCs w:val="20"/>
                <w:lang w:eastAsia="cs-CZ"/>
              </w:rPr>
            </w:pPr>
            <w:r w:rsidRPr="00527F53">
              <w:rPr>
                <w:rFonts w:eastAsia="Times New Roman" w:cs="Times New Roman"/>
                <w:sz w:val="20"/>
                <w:szCs w:val="20"/>
                <w:lang w:eastAsia="cs-CZ"/>
              </w:rPr>
              <w:t>74 026</w:t>
            </w:r>
          </w:p>
        </w:tc>
        <w:tc>
          <w:tcPr>
            <w:tcW w:w="997" w:type="dxa"/>
            <w:tcBorders>
              <w:top w:val="nil"/>
              <w:bottom w:val="nil"/>
            </w:tcBorders>
            <w:shd w:val="clear" w:color="auto" w:fill="auto"/>
            <w:vAlign w:val="center"/>
          </w:tcPr>
          <w:p w:rsidR="009A036B" w:rsidRPr="000C31E6" w:rsidRDefault="009A036B" w:rsidP="009A036B">
            <w:pPr>
              <w:jc w:val="right"/>
              <w:rPr>
                <w:rFonts w:eastAsia="Times New Roman" w:cs="Times New Roman"/>
                <w:sz w:val="20"/>
                <w:szCs w:val="20"/>
                <w:lang w:eastAsia="cs-CZ"/>
              </w:rPr>
            </w:pPr>
            <w:r w:rsidRPr="000C31E6">
              <w:rPr>
                <w:rFonts w:eastAsia="Times New Roman" w:cs="Times New Roman"/>
                <w:sz w:val="20"/>
                <w:szCs w:val="20"/>
                <w:lang w:eastAsia="cs-CZ"/>
              </w:rPr>
              <w:t>68,31</w:t>
            </w:r>
          </w:p>
        </w:tc>
      </w:tr>
      <w:tr w:rsidR="009A036B" w:rsidRPr="00BD3648" w:rsidTr="00323319">
        <w:tc>
          <w:tcPr>
            <w:tcW w:w="4252" w:type="dxa"/>
            <w:tcBorders>
              <w:top w:val="nil"/>
              <w:bottom w:val="single" w:sz="8" w:space="0" w:color="7F7F7F" w:themeColor="text1" w:themeTint="80"/>
            </w:tcBorders>
            <w:shd w:val="clear" w:color="auto" w:fill="auto"/>
          </w:tcPr>
          <w:p w:rsidR="009A036B" w:rsidRPr="00402994" w:rsidRDefault="00323319" w:rsidP="009A036B">
            <w:pPr>
              <w:rPr>
                <w:rFonts w:eastAsia="Times New Roman" w:cs="Times New Roman"/>
                <w:sz w:val="20"/>
                <w:szCs w:val="20"/>
                <w:lang w:eastAsia="cs-CZ"/>
              </w:rPr>
            </w:pPr>
            <w:r>
              <w:rPr>
                <w:rFonts w:eastAsia="Times New Roman" w:cs="Times New Roman"/>
                <w:sz w:val="20"/>
                <w:szCs w:val="20"/>
                <w:lang w:eastAsia="cs-CZ"/>
              </w:rPr>
              <w:t xml:space="preserve">                  </w:t>
            </w:r>
            <w:r w:rsidR="009A036B" w:rsidRPr="00402994">
              <w:rPr>
                <w:rFonts w:eastAsia="Times New Roman" w:cs="Times New Roman"/>
                <w:sz w:val="20"/>
                <w:szCs w:val="20"/>
                <w:lang w:eastAsia="cs-CZ"/>
              </w:rPr>
              <w:t>prostředky EU</w:t>
            </w:r>
          </w:p>
        </w:tc>
        <w:tc>
          <w:tcPr>
            <w:tcW w:w="1418" w:type="dxa"/>
            <w:tcBorders>
              <w:top w:val="nil"/>
              <w:bottom w:val="single" w:sz="8" w:space="0" w:color="7F7F7F" w:themeColor="text1" w:themeTint="80"/>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8 480</w:t>
            </w:r>
          </w:p>
        </w:tc>
        <w:tc>
          <w:tcPr>
            <w:tcW w:w="141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4 959</w:t>
            </w:r>
          </w:p>
        </w:tc>
        <w:tc>
          <w:tcPr>
            <w:tcW w:w="1418" w:type="dxa"/>
            <w:tcBorders>
              <w:top w:val="nil"/>
              <w:bottom w:val="single" w:sz="8" w:space="0" w:color="7F7F7F" w:themeColor="text1" w:themeTint="80"/>
            </w:tcBorders>
            <w:shd w:val="clear" w:color="auto" w:fill="auto"/>
            <w:vAlign w:val="center"/>
          </w:tcPr>
          <w:p w:rsidR="009A036B" w:rsidRPr="00AC01AC" w:rsidRDefault="009A036B" w:rsidP="00323319">
            <w:pPr>
              <w:jc w:val="right"/>
              <w:rPr>
                <w:rFonts w:eastAsia="Times New Roman" w:cs="Times New Roman"/>
                <w:color w:val="FF0000"/>
                <w:sz w:val="20"/>
                <w:szCs w:val="20"/>
                <w:lang w:eastAsia="cs-CZ"/>
              </w:rPr>
            </w:pPr>
            <w:r w:rsidRPr="00100433">
              <w:rPr>
                <w:rFonts w:eastAsia="Times New Roman" w:cs="Times New Roman"/>
                <w:sz w:val="20"/>
                <w:szCs w:val="20"/>
                <w:lang w:eastAsia="cs-CZ"/>
              </w:rPr>
              <w:t xml:space="preserve">            </w:t>
            </w:r>
            <w:r>
              <w:rPr>
                <w:rFonts w:eastAsia="Times New Roman" w:cs="Times New Roman"/>
                <w:sz w:val="20"/>
                <w:szCs w:val="20"/>
                <w:lang w:eastAsia="cs-CZ"/>
              </w:rPr>
              <w:t>6 096</w:t>
            </w:r>
          </w:p>
        </w:tc>
        <w:tc>
          <w:tcPr>
            <w:tcW w:w="997" w:type="dxa"/>
            <w:tcBorders>
              <w:top w:val="nil"/>
              <w:bottom w:val="single" w:sz="8" w:space="0" w:color="7F7F7F" w:themeColor="text1" w:themeTint="80"/>
            </w:tcBorders>
            <w:shd w:val="clear" w:color="auto" w:fill="auto"/>
            <w:vAlign w:val="center"/>
          </w:tcPr>
          <w:p w:rsidR="009A036B" w:rsidRPr="000C31E6" w:rsidRDefault="009A036B" w:rsidP="009A036B">
            <w:pPr>
              <w:jc w:val="right"/>
              <w:rPr>
                <w:rFonts w:eastAsia="Times New Roman" w:cs="Times New Roman"/>
                <w:sz w:val="20"/>
                <w:szCs w:val="20"/>
                <w:lang w:eastAsia="cs-CZ"/>
              </w:rPr>
            </w:pPr>
            <w:r w:rsidRPr="000C31E6">
              <w:rPr>
                <w:rFonts w:eastAsia="Times New Roman" w:cs="Times New Roman"/>
                <w:sz w:val="20"/>
                <w:szCs w:val="20"/>
                <w:lang w:eastAsia="cs-CZ"/>
              </w:rPr>
              <w:t>122,93</w:t>
            </w:r>
          </w:p>
        </w:tc>
      </w:tr>
      <w:tr w:rsidR="009A036B" w:rsidRPr="00BD3648" w:rsidTr="003A20EE">
        <w:tc>
          <w:tcPr>
            <w:tcW w:w="4252" w:type="dxa"/>
            <w:tcBorders>
              <w:top w:val="single" w:sz="8" w:space="0" w:color="7F7F7F" w:themeColor="text1" w:themeTint="80"/>
              <w:bottom w:val="nil"/>
            </w:tcBorders>
            <w:shd w:val="clear" w:color="auto" w:fill="auto"/>
          </w:tcPr>
          <w:p w:rsidR="009A036B" w:rsidRPr="00402994" w:rsidRDefault="009A036B" w:rsidP="009A036B">
            <w:pPr>
              <w:tabs>
                <w:tab w:val="left" w:pos="830"/>
              </w:tabs>
              <w:rPr>
                <w:rFonts w:eastAsia="Times New Roman" w:cs="Times New Roman"/>
                <w:b/>
                <w:sz w:val="20"/>
                <w:szCs w:val="20"/>
                <w:lang w:eastAsia="cs-CZ"/>
              </w:rPr>
            </w:pPr>
            <w:r w:rsidRPr="00402994">
              <w:rPr>
                <w:rFonts w:eastAsia="Times New Roman" w:cs="Times New Roman"/>
                <w:b/>
                <w:sz w:val="20"/>
                <w:szCs w:val="20"/>
                <w:lang w:eastAsia="cs-CZ"/>
              </w:rPr>
              <w:t xml:space="preserve">Neinvestiční transfery příspěvkovým </w:t>
            </w:r>
            <w:r w:rsidR="00D910C9">
              <w:rPr>
                <w:rFonts w:eastAsia="Times New Roman" w:cs="Times New Roman"/>
                <w:b/>
                <w:sz w:val="20"/>
                <w:szCs w:val="20"/>
                <w:lang w:eastAsia="cs-CZ"/>
              </w:rPr>
              <w:t xml:space="preserve">                     </w:t>
            </w:r>
            <w:r w:rsidRPr="00402994">
              <w:rPr>
                <w:rFonts w:eastAsia="Times New Roman" w:cs="Times New Roman"/>
                <w:b/>
                <w:sz w:val="20"/>
                <w:szCs w:val="20"/>
                <w:lang w:eastAsia="cs-CZ"/>
              </w:rPr>
              <w:t xml:space="preserve">a podobným organizacím </w:t>
            </w:r>
            <w:r w:rsidRPr="00402994">
              <w:rPr>
                <w:rFonts w:eastAsia="Times New Roman" w:cs="Times New Roman"/>
                <w:sz w:val="20"/>
                <w:szCs w:val="20"/>
                <w:lang w:eastAsia="cs-CZ"/>
              </w:rPr>
              <w:t>(</w:t>
            </w:r>
            <w:proofErr w:type="spellStart"/>
            <w:r w:rsidRPr="00402994">
              <w:rPr>
                <w:rFonts w:eastAsia="Times New Roman" w:cs="Times New Roman"/>
                <w:sz w:val="20"/>
                <w:szCs w:val="20"/>
                <w:lang w:eastAsia="cs-CZ"/>
              </w:rPr>
              <w:t>podsesk</w:t>
            </w:r>
            <w:proofErr w:type="spellEnd"/>
            <w:r w:rsidRPr="00402994">
              <w:rPr>
                <w:rFonts w:eastAsia="Times New Roman" w:cs="Times New Roman"/>
                <w:sz w:val="20"/>
                <w:szCs w:val="20"/>
                <w:lang w:eastAsia="cs-CZ"/>
              </w:rPr>
              <w:t xml:space="preserve"> pol. 533)</w:t>
            </w:r>
          </w:p>
        </w:tc>
        <w:tc>
          <w:tcPr>
            <w:tcW w:w="1418" w:type="dxa"/>
            <w:tcBorders>
              <w:top w:val="single" w:sz="8" w:space="0" w:color="7F7F7F" w:themeColor="text1" w:themeTint="80"/>
              <w:bottom w:val="nil"/>
            </w:tcBorders>
            <w:shd w:val="clear" w:color="auto" w:fill="auto"/>
            <w:vAlign w:val="bottom"/>
          </w:tcPr>
          <w:p w:rsidR="009A036B" w:rsidRPr="00402994" w:rsidRDefault="009A036B" w:rsidP="009A036B">
            <w:pPr>
              <w:ind w:right="15"/>
              <w:jc w:val="right"/>
              <w:rPr>
                <w:rFonts w:eastAsia="Times New Roman" w:cs="Times New Roman"/>
                <w:b/>
                <w:color w:val="FF0000"/>
                <w:sz w:val="20"/>
                <w:szCs w:val="20"/>
                <w:lang w:eastAsia="cs-CZ"/>
              </w:rPr>
            </w:pPr>
            <w:r w:rsidRPr="00402994">
              <w:rPr>
                <w:rFonts w:eastAsia="Times New Roman" w:cs="Times New Roman"/>
                <w:b/>
                <w:sz w:val="20"/>
                <w:szCs w:val="20"/>
                <w:lang w:eastAsia="cs-CZ"/>
              </w:rPr>
              <w:t>3 797 898</w:t>
            </w:r>
          </w:p>
        </w:tc>
        <w:tc>
          <w:tcPr>
            <w:tcW w:w="141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b/>
                <w:sz w:val="20"/>
                <w:szCs w:val="20"/>
                <w:lang w:eastAsia="cs-CZ"/>
              </w:rPr>
            </w:pPr>
            <w:r w:rsidRPr="00402994">
              <w:rPr>
                <w:rFonts w:eastAsia="Times New Roman" w:cs="Times New Roman"/>
                <w:b/>
                <w:sz w:val="20"/>
                <w:szCs w:val="20"/>
                <w:lang w:eastAsia="cs-CZ"/>
              </w:rPr>
              <w:t>141 895</w:t>
            </w:r>
          </w:p>
        </w:tc>
        <w:tc>
          <w:tcPr>
            <w:tcW w:w="1418" w:type="dxa"/>
            <w:tcBorders>
              <w:top w:val="single" w:sz="8" w:space="0" w:color="7F7F7F" w:themeColor="text1" w:themeTint="80"/>
              <w:bottom w:val="nil"/>
            </w:tcBorders>
            <w:shd w:val="clear" w:color="auto" w:fill="auto"/>
            <w:vAlign w:val="bottom"/>
          </w:tcPr>
          <w:p w:rsidR="009A036B" w:rsidRPr="007E777E" w:rsidRDefault="009A036B" w:rsidP="009A036B">
            <w:pPr>
              <w:jc w:val="right"/>
              <w:rPr>
                <w:rFonts w:eastAsia="Times New Roman" w:cs="Times New Roman"/>
                <w:b/>
                <w:color w:val="FF0000"/>
                <w:sz w:val="20"/>
                <w:szCs w:val="20"/>
                <w:lang w:eastAsia="cs-CZ"/>
              </w:rPr>
            </w:pPr>
            <w:r w:rsidRPr="00D24B2D">
              <w:rPr>
                <w:rFonts w:eastAsia="Times New Roman" w:cs="Times New Roman"/>
                <w:b/>
                <w:sz w:val="20"/>
                <w:szCs w:val="20"/>
                <w:lang w:eastAsia="cs-CZ"/>
              </w:rPr>
              <w:t xml:space="preserve">737 </w:t>
            </w:r>
            <w:r w:rsidRPr="000B3E8B">
              <w:rPr>
                <w:rFonts w:eastAsia="Times New Roman" w:cs="Times New Roman"/>
                <w:b/>
                <w:sz w:val="20"/>
                <w:szCs w:val="20"/>
                <w:lang w:eastAsia="cs-CZ"/>
              </w:rPr>
              <w:t>387</w:t>
            </w:r>
          </w:p>
        </w:tc>
        <w:tc>
          <w:tcPr>
            <w:tcW w:w="997" w:type="dxa"/>
            <w:tcBorders>
              <w:top w:val="single" w:sz="8" w:space="0" w:color="7F7F7F" w:themeColor="text1" w:themeTint="80"/>
              <w:bottom w:val="nil"/>
            </w:tcBorders>
            <w:shd w:val="clear" w:color="auto" w:fill="auto"/>
            <w:vAlign w:val="bottom"/>
          </w:tcPr>
          <w:p w:rsidR="009A036B" w:rsidRPr="004764E3" w:rsidRDefault="009A036B" w:rsidP="009A036B">
            <w:pPr>
              <w:jc w:val="right"/>
              <w:rPr>
                <w:rFonts w:eastAsia="Times New Roman" w:cs="Times New Roman"/>
                <w:b/>
                <w:sz w:val="20"/>
                <w:szCs w:val="20"/>
                <w:lang w:eastAsia="cs-CZ"/>
              </w:rPr>
            </w:pPr>
            <w:r w:rsidRPr="004764E3">
              <w:rPr>
                <w:rFonts w:eastAsia="Times New Roman" w:cs="Times New Roman"/>
                <w:b/>
                <w:sz w:val="20"/>
                <w:szCs w:val="20"/>
                <w:lang w:eastAsia="cs-CZ"/>
              </w:rPr>
              <w:t>519,67</w:t>
            </w:r>
          </w:p>
        </w:tc>
      </w:tr>
      <w:tr w:rsidR="009A036B" w:rsidRPr="00BD3648" w:rsidTr="003A20EE">
        <w:tc>
          <w:tcPr>
            <w:tcW w:w="4252" w:type="dxa"/>
            <w:tcBorders>
              <w:top w:val="nil"/>
              <w:bottom w:val="single" w:sz="8" w:space="0" w:color="7F7F7F" w:themeColor="text1" w:themeTint="80"/>
            </w:tcBorders>
            <w:shd w:val="clear" w:color="auto" w:fill="auto"/>
          </w:tcPr>
          <w:p w:rsidR="009A036B" w:rsidRPr="00402994" w:rsidRDefault="009A036B" w:rsidP="009A036B">
            <w:pPr>
              <w:tabs>
                <w:tab w:val="left" w:pos="830"/>
              </w:tabs>
              <w:rPr>
                <w:rFonts w:eastAsia="Times New Roman" w:cs="Times New Roman"/>
                <w:sz w:val="20"/>
                <w:szCs w:val="20"/>
                <w:lang w:eastAsia="cs-CZ"/>
              </w:rPr>
            </w:pPr>
            <w:r w:rsidRPr="00402994">
              <w:rPr>
                <w:rFonts w:eastAsia="Times New Roman" w:cs="Times New Roman"/>
                <w:sz w:val="20"/>
                <w:szCs w:val="20"/>
                <w:lang w:eastAsia="cs-CZ"/>
              </w:rPr>
              <w:t xml:space="preserve">      z toho: dopravně správní agendy</w:t>
            </w:r>
          </w:p>
          <w:p w:rsidR="009A036B" w:rsidRPr="00402994" w:rsidRDefault="003A20EE" w:rsidP="009A036B">
            <w:pPr>
              <w:tabs>
                <w:tab w:val="left" w:pos="830"/>
              </w:tabs>
              <w:rPr>
                <w:rFonts w:eastAsia="Times New Roman" w:cs="Times New Roman"/>
                <w:sz w:val="20"/>
                <w:szCs w:val="20"/>
                <w:lang w:eastAsia="cs-CZ"/>
              </w:rPr>
            </w:pPr>
            <w:r>
              <w:rPr>
                <w:rFonts w:eastAsia="Times New Roman" w:cs="Times New Roman"/>
                <w:sz w:val="20"/>
                <w:szCs w:val="20"/>
                <w:lang w:eastAsia="cs-CZ"/>
              </w:rPr>
              <w:t xml:space="preserve">                  </w:t>
            </w:r>
            <w:r w:rsidR="009A036B" w:rsidRPr="00402994">
              <w:rPr>
                <w:rFonts w:eastAsia="Times New Roman" w:cs="Times New Roman"/>
                <w:sz w:val="20"/>
                <w:szCs w:val="20"/>
                <w:lang w:eastAsia="cs-CZ"/>
              </w:rPr>
              <w:t>výzkum a vývoj</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w:t>
            </w:r>
            <w:r w:rsidR="003A20EE">
              <w:rPr>
                <w:rFonts w:eastAsia="Times New Roman" w:cs="Times New Roman"/>
                <w:sz w:val="20"/>
                <w:szCs w:val="20"/>
                <w:lang w:eastAsia="cs-CZ"/>
              </w:rPr>
              <w:t xml:space="preserve">  programové financování </w:t>
            </w:r>
            <w:r w:rsidRPr="00402994">
              <w:rPr>
                <w:rFonts w:eastAsia="Times New Roman" w:cs="Times New Roman"/>
                <w:sz w:val="20"/>
                <w:szCs w:val="20"/>
                <w:lang w:eastAsia="cs-CZ"/>
              </w:rPr>
              <w:t>(EDS/SMVS)</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prostředky EU</w:t>
            </w:r>
          </w:p>
        </w:tc>
        <w:tc>
          <w:tcPr>
            <w:tcW w:w="1418" w:type="dxa"/>
            <w:tcBorders>
              <w:top w:val="nil"/>
              <w:bottom w:val="single" w:sz="8" w:space="0" w:color="7F7F7F" w:themeColor="text1" w:themeTint="80"/>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36 472</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7 919</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0</w:t>
            </w:r>
          </w:p>
          <w:p w:rsidR="009A036B" w:rsidRPr="00402994" w:rsidRDefault="009A036B" w:rsidP="009A036B">
            <w:pPr>
              <w:ind w:right="15"/>
              <w:jc w:val="right"/>
              <w:rPr>
                <w:rFonts w:eastAsia="Times New Roman" w:cs="Times New Roman"/>
                <w:color w:val="FF0000"/>
                <w:sz w:val="20"/>
                <w:szCs w:val="20"/>
                <w:lang w:eastAsia="cs-CZ"/>
              </w:rPr>
            </w:pPr>
            <w:r w:rsidRPr="00402994">
              <w:rPr>
                <w:rFonts w:eastAsia="Times New Roman" w:cs="Times New Roman"/>
                <w:sz w:val="20"/>
                <w:szCs w:val="20"/>
                <w:lang w:eastAsia="cs-CZ"/>
              </w:rPr>
              <w:t xml:space="preserve">0                 </w:t>
            </w:r>
          </w:p>
        </w:tc>
        <w:tc>
          <w:tcPr>
            <w:tcW w:w="141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49 072</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43 000</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tc>
        <w:tc>
          <w:tcPr>
            <w:tcW w:w="1418" w:type="dxa"/>
            <w:tcBorders>
              <w:top w:val="nil"/>
              <w:bottom w:val="single" w:sz="8" w:space="0" w:color="7F7F7F" w:themeColor="text1" w:themeTint="80"/>
            </w:tcBorders>
            <w:shd w:val="clear" w:color="auto" w:fill="auto"/>
            <w:vAlign w:val="center"/>
          </w:tcPr>
          <w:p w:rsidR="009A036B" w:rsidRPr="000B3E8B" w:rsidRDefault="009A036B" w:rsidP="009A036B">
            <w:pPr>
              <w:jc w:val="right"/>
              <w:rPr>
                <w:rFonts w:eastAsia="Times New Roman" w:cs="Times New Roman"/>
                <w:sz w:val="20"/>
                <w:szCs w:val="20"/>
                <w:lang w:eastAsia="cs-CZ"/>
              </w:rPr>
            </w:pPr>
            <w:r w:rsidRPr="000B3E8B">
              <w:rPr>
                <w:rFonts w:eastAsia="Times New Roman" w:cs="Times New Roman"/>
                <w:sz w:val="20"/>
                <w:szCs w:val="20"/>
                <w:lang w:eastAsia="cs-CZ"/>
              </w:rPr>
              <w:t>50 221</w:t>
            </w:r>
          </w:p>
          <w:p w:rsidR="009A036B" w:rsidRPr="007E777E" w:rsidRDefault="009A036B" w:rsidP="009A036B">
            <w:pPr>
              <w:jc w:val="right"/>
              <w:rPr>
                <w:rFonts w:eastAsia="Times New Roman" w:cs="Times New Roman"/>
                <w:sz w:val="20"/>
                <w:szCs w:val="20"/>
                <w:lang w:eastAsia="cs-CZ"/>
              </w:rPr>
            </w:pPr>
            <w:r w:rsidRPr="007E777E">
              <w:rPr>
                <w:rFonts w:eastAsia="Times New Roman" w:cs="Times New Roman"/>
                <w:sz w:val="20"/>
                <w:szCs w:val="20"/>
                <w:lang w:eastAsia="cs-CZ"/>
              </w:rPr>
              <w:t>42 750</w:t>
            </w:r>
          </w:p>
          <w:p w:rsidR="009A036B" w:rsidRPr="000A3DDD" w:rsidRDefault="009A036B" w:rsidP="009A036B">
            <w:pPr>
              <w:jc w:val="right"/>
              <w:rPr>
                <w:rFonts w:eastAsia="Times New Roman" w:cs="Times New Roman"/>
                <w:sz w:val="20"/>
                <w:szCs w:val="20"/>
                <w:lang w:eastAsia="cs-CZ"/>
              </w:rPr>
            </w:pPr>
            <w:r w:rsidRPr="000A3DDD">
              <w:rPr>
                <w:rFonts w:eastAsia="Times New Roman" w:cs="Times New Roman"/>
                <w:sz w:val="20"/>
                <w:szCs w:val="20"/>
                <w:lang w:eastAsia="cs-CZ"/>
              </w:rPr>
              <w:t>0</w:t>
            </w:r>
          </w:p>
          <w:p w:rsidR="009A036B" w:rsidRPr="00AC01AC" w:rsidRDefault="009A036B" w:rsidP="009A036B">
            <w:pPr>
              <w:jc w:val="right"/>
              <w:rPr>
                <w:rFonts w:eastAsia="Times New Roman" w:cs="Times New Roman"/>
                <w:color w:val="FF0000"/>
                <w:sz w:val="20"/>
                <w:szCs w:val="20"/>
                <w:lang w:eastAsia="cs-CZ"/>
              </w:rPr>
            </w:pPr>
            <w:r w:rsidRPr="000A3DDD">
              <w:rPr>
                <w:rFonts w:eastAsia="Times New Roman" w:cs="Times New Roman"/>
                <w:sz w:val="20"/>
                <w:szCs w:val="20"/>
                <w:lang w:eastAsia="cs-CZ"/>
              </w:rPr>
              <w:t>0</w:t>
            </w:r>
          </w:p>
        </w:tc>
        <w:tc>
          <w:tcPr>
            <w:tcW w:w="997" w:type="dxa"/>
            <w:tcBorders>
              <w:top w:val="nil"/>
              <w:bottom w:val="single" w:sz="8" w:space="0" w:color="7F7F7F" w:themeColor="text1" w:themeTint="80"/>
            </w:tcBorders>
            <w:shd w:val="clear" w:color="auto" w:fill="auto"/>
            <w:vAlign w:val="center"/>
          </w:tcPr>
          <w:p w:rsidR="009A036B" w:rsidRPr="004764E3" w:rsidRDefault="009A036B" w:rsidP="009A036B">
            <w:pPr>
              <w:jc w:val="right"/>
              <w:rPr>
                <w:rFonts w:eastAsia="Times New Roman" w:cs="Times New Roman"/>
                <w:sz w:val="20"/>
                <w:szCs w:val="20"/>
                <w:lang w:eastAsia="cs-CZ"/>
              </w:rPr>
            </w:pPr>
            <w:r w:rsidRPr="004764E3">
              <w:rPr>
                <w:rFonts w:eastAsia="Times New Roman" w:cs="Times New Roman"/>
                <w:sz w:val="20"/>
                <w:szCs w:val="20"/>
                <w:lang w:eastAsia="cs-CZ"/>
              </w:rPr>
              <w:t>102,34</w:t>
            </w:r>
          </w:p>
          <w:p w:rsidR="009A036B" w:rsidRPr="004764E3" w:rsidRDefault="009A036B" w:rsidP="009A036B">
            <w:pPr>
              <w:jc w:val="right"/>
              <w:rPr>
                <w:rFonts w:eastAsia="Times New Roman" w:cs="Times New Roman"/>
                <w:sz w:val="20"/>
                <w:szCs w:val="20"/>
                <w:lang w:eastAsia="cs-CZ"/>
              </w:rPr>
            </w:pPr>
            <w:r w:rsidRPr="004764E3">
              <w:rPr>
                <w:rFonts w:eastAsia="Times New Roman" w:cs="Times New Roman"/>
                <w:sz w:val="20"/>
                <w:szCs w:val="20"/>
                <w:lang w:eastAsia="cs-CZ"/>
              </w:rPr>
              <w:t>99,42</w:t>
            </w:r>
          </w:p>
          <w:p w:rsidR="009A036B" w:rsidRPr="004764E3" w:rsidRDefault="009A036B" w:rsidP="009A036B">
            <w:pPr>
              <w:jc w:val="right"/>
              <w:rPr>
                <w:rFonts w:eastAsia="Times New Roman" w:cs="Times New Roman"/>
                <w:sz w:val="20"/>
                <w:szCs w:val="20"/>
                <w:lang w:eastAsia="cs-CZ"/>
              </w:rPr>
            </w:pPr>
            <w:r w:rsidRPr="004764E3">
              <w:rPr>
                <w:rFonts w:eastAsia="Times New Roman" w:cs="Times New Roman"/>
                <w:sz w:val="20"/>
                <w:szCs w:val="20"/>
                <w:lang w:eastAsia="cs-CZ"/>
              </w:rPr>
              <w:t>x</w:t>
            </w:r>
          </w:p>
          <w:p w:rsidR="009A036B" w:rsidRPr="004764E3" w:rsidRDefault="009A036B" w:rsidP="009A036B">
            <w:pPr>
              <w:jc w:val="right"/>
              <w:rPr>
                <w:rFonts w:eastAsia="Times New Roman" w:cs="Times New Roman"/>
                <w:sz w:val="20"/>
                <w:szCs w:val="20"/>
                <w:lang w:eastAsia="cs-CZ"/>
              </w:rPr>
            </w:pPr>
            <w:r w:rsidRPr="004764E3">
              <w:rPr>
                <w:rFonts w:eastAsia="Times New Roman" w:cs="Times New Roman"/>
                <w:sz w:val="20"/>
                <w:szCs w:val="20"/>
                <w:lang w:eastAsia="cs-CZ"/>
              </w:rPr>
              <w:t>x</w:t>
            </w:r>
          </w:p>
        </w:tc>
      </w:tr>
      <w:tr w:rsidR="009A036B" w:rsidRPr="00BD3648" w:rsidTr="003A20EE">
        <w:trPr>
          <w:trHeight w:val="450"/>
        </w:trPr>
        <w:tc>
          <w:tcPr>
            <w:tcW w:w="4252" w:type="dxa"/>
            <w:tcBorders>
              <w:top w:val="single" w:sz="8" w:space="0" w:color="7F7F7F" w:themeColor="text1" w:themeTint="80"/>
              <w:bottom w:val="nil"/>
            </w:tcBorders>
            <w:shd w:val="clear" w:color="auto" w:fill="auto"/>
          </w:tcPr>
          <w:p w:rsidR="009A036B" w:rsidRPr="00402994" w:rsidRDefault="009A036B" w:rsidP="009A036B">
            <w:pPr>
              <w:rPr>
                <w:rFonts w:eastAsia="Times New Roman" w:cs="Times New Roman"/>
                <w:b/>
                <w:bCs/>
                <w:sz w:val="20"/>
                <w:szCs w:val="20"/>
                <w:lang w:eastAsia="cs-CZ"/>
              </w:rPr>
            </w:pPr>
            <w:r w:rsidRPr="00402994">
              <w:rPr>
                <w:rFonts w:eastAsia="Times New Roman" w:cs="Times New Roman"/>
                <w:b/>
                <w:bCs/>
                <w:sz w:val="20"/>
                <w:szCs w:val="20"/>
                <w:lang w:eastAsia="cs-CZ"/>
              </w:rPr>
              <w:t xml:space="preserve">Neinvestiční dotace neziskovým a podobným organizacím </w:t>
            </w:r>
            <w:r w:rsidRPr="00402994">
              <w:rPr>
                <w:rFonts w:eastAsia="Times New Roman" w:cs="Times New Roman"/>
                <w:bCs/>
                <w:sz w:val="20"/>
                <w:szCs w:val="20"/>
                <w:lang w:eastAsia="cs-CZ"/>
              </w:rPr>
              <w:t>(</w:t>
            </w:r>
            <w:proofErr w:type="spellStart"/>
            <w:r w:rsidRPr="00402994">
              <w:rPr>
                <w:rFonts w:eastAsia="Times New Roman" w:cs="Times New Roman"/>
                <w:bCs/>
                <w:sz w:val="20"/>
                <w:szCs w:val="20"/>
                <w:lang w:eastAsia="cs-CZ"/>
              </w:rPr>
              <w:t>podsesk</w:t>
            </w:r>
            <w:proofErr w:type="spellEnd"/>
            <w:r w:rsidRPr="00402994">
              <w:rPr>
                <w:rFonts w:eastAsia="Times New Roman" w:cs="Times New Roman"/>
                <w:bCs/>
                <w:sz w:val="20"/>
                <w:szCs w:val="20"/>
                <w:lang w:eastAsia="cs-CZ"/>
              </w:rPr>
              <w:t>. pol. 522)</w:t>
            </w:r>
          </w:p>
        </w:tc>
        <w:tc>
          <w:tcPr>
            <w:tcW w:w="1418" w:type="dxa"/>
            <w:tcBorders>
              <w:top w:val="single" w:sz="8" w:space="0" w:color="7F7F7F" w:themeColor="text1" w:themeTint="80"/>
              <w:bottom w:val="nil"/>
            </w:tcBorders>
            <w:shd w:val="clear" w:color="auto" w:fill="auto"/>
            <w:vAlign w:val="bottom"/>
          </w:tcPr>
          <w:p w:rsidR="009A036B" w:rsidRPr="00402994" w:rsidRDefault="009A036B" w:rsidP="009A036B">
            <w:pPr>
              <w:ind w:right="15"/>
              <w:jc w:val="right"/>
              <w:rPr>
                <w:rFonts w:eastAsia="Times New Roman" w:cs="Times New Roman"/>
                <w:b/>
                <w:bCs/>
                <w:sz w:val="20"/>
                <w:szCs w:val="20"/>
                <w:lang w:eastAsia="cs-CZ"/>
              </w:rPr>
            </w:pPr>
            <w:r w:rsidRPr="00402994">
              <w:rPr>
                <w:rFonts w:eastAsia="Times New Roman" w:cs="Times New Roman"/>
                <w:b/>
                <w:sz w:val="20"/>
                <w:szCs w:val="20"/>
                <w:lang w:eastAsia="cs-CZ"/>
              </w:rPr>
              <w:t>9 057</w:t>
            </w:r>
          </w:p>
        </w:tc>
        <w:tc>
          <w:tcPr>
            <w:tcW w:w="141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b/>
                <w:sz w:val="20"/>
                <w:szCs w:val="20"/>
                <w:lang w:eastAsia="cs-CZ"/>
              </w:rPr>
            </w:pPr>
            <w:r w:rsidRPr="00402994">
              <w:rPr>
                <w:rFonts w:eastAsia="Times New Roman" w:cs="Times New Roman"/>
                <w:b/>
                <w:sz w:val="20"/>
                <w:szCs w:val="20"/>
                <w:lang w:eastAsia="cs-CZ"/>
              </w:rPr>
              <w:t>7 500</w:t>
            </w:r>
          </w:p>
        </w:tc>
        <w:tc>
          <w:tcPr>
            <w:tcW w:w="1418" w:type="dxa"/>
            <w:tcBorders>
              <w:top w:val="single" w:sz="8" w:space="0" w:color="7F7F7F" w:themeColor="text1" w:themeTint="80"/>
              <w:bottom w:val="nil"/>
            </w:tcBorders>
            <w:shd w:val="clear" w:color="auto" w:fill="auto"/>
            <w:vAlign w:val="bottom"/>
          </w:tcPr>
          <w:p w:rsidR="009A036B" w:rsidRPr="008468C0" w:rsidRDefault="009A036B" w:rsidP="009A036B">
            <w:pPr>
              <w:jc w:val="right"/>
              <w:rPr>
                <w:rFonts w:eastAsia="Times New Roman" w:cs="Times New Roman"/>
                <w:b/>
                <w:sz w:val="20"/>
                <w:szCs w:val="20"/>
                <w:lang w:eastAsia="cs-CZ"/>
              </w:rPr>
            </w:pPr>
            <w:r w:rsidRPr="008468C0">
              <w:rPr>
                <w:rFonts w:eastAsia="Times New Roman" w:cs="Times New Roman"/>
                <w:b/>
                <w:sz w:val="20"/>
                <w:szCs w:val="20"/>
                <w:lang w:eastAsia="cs-CZ"/>
              </w:rPr>
              <w:t>9 600</w:t>
            </w:r>
          </w:p>
        </w:tc>
        <w:tc>
          <w:tcPr>
            <w:tcW w:w="99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b/>
                <w:bCs/>
                <w:color w:val="FF0000"/>
                <w:sz w:val="20"/>
                <w:szCs w:val="20"/>
                <w:lang w:eastAsia="cs-CZ"/>
              </w:rPr>
            </w:pPr>
            <w:r w:rsidRPr="00402994">
              <w:rPr>
                <w:rFonts w:eastAsia="Times New Roman" w:cs="Times New Roman"/>
                <w:b/>
                <w:color w:val="000000" w:themeColor="text1"/>
                <w:sz w:val="20"/>
                <w:szCs w:val="20"/>
                <w:lang w:eastAsia="cs-CZ"/>
              </w:rPr>
              <w:t>128,00</w:t>
            </w:r>
          </w:p>
        </w:tc>
      </w:tr>
      <w:tr w:rsidR="009A036B" w:rsidRPr="00BD3648" w:rsidTr="003A20EE">
        <w:trPr>
          <w:trHeight w:val="398"/>
        </w:trPr>
        <w:tc>
          <w:tcPr>
            <w:tcW w:w="4252" w:type="dxa"/>
            <w:tcBorders>
              <w:top w:val="nil"/>
              <w:bottom w:val="single" w:sz="8" w:space="0" w:color="7F7F7F" w:themeColor="text1" w:themeTint="80"/>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z toho: programové financování (EDS/SMVS)</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prostředky EU</w:t>
            </w:r>
          </w:p>
        </w:tc>
        <w:tc>
          <w:tcPr>
            <w:tcW w:w="1418" w:type="dxa"/>
            <w:tcBorders>
              <w:top w:val="nil"/>
              <w:bottom w:val="single" w:sz="8" w:space="0" w:color="7F7F7F" w:themeColor="text1" w:themeTint="80"/>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307</w:t>
            </w:r>
          </w:p>
          <w:p w:rsidR="009A036B" w:rsidRPr="00402994" w:rsidRDefault="009A036B" w:rsidP="009A036B">
            <w:pPr>
              <w:ind w:right="15"/>
              <w:jc w:val="right"/>
              <w:rPr>
                <w:rFonts w:eastAsia="Times New Roman" w:cs="Times New Roman"/>
                <w:bCs/>
                <w:sz w:val="20"/>
                <w:szCs w:val="20"/>
                <w:lang w:eastAsia="cs-CZ"/>
              </w:rPr>
            </w:pPr>
            <w:r w:rsidRPr="00402994">
              <w:rPr>
                <w:rFonts w:eastAsia="Times New Roman" w:cs="Times New Roman"/>
                <w:sz w:val="20"/>
                <w:szCs w:val="20"/>
                <w:lang w:eastAsia="cs-CZ"/>
              </w:rPr>
              <w:t>0</w:t>
            </w:r>
          </w:p>
        </w:tc>
        <w:tc>
          <w:tcPr>
            <w:tcW w:w="141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tc>
        <w:tc>
          <w:tcPr>
            <w:tcW w:w="1418" w:type="dxa"/>
            <w:tcBorders>
              <w:top w:val="nil"/>
              <w:bottom w:val="single" w:sz="8" w:space="0" w:color="7F7F7F" w:themeColor="text1" w:themeTint="80"/>
            </w:tcBorders>
            <w:shd w:val="clear" w:color="auto" w:fill="auto"/>
            <w:vAlign w:val="center"/>
          </w:tcPr>
          <w:p w:rsidR="009A036B" w:rsidRPr="008468C0" w:rsidRDefault="009A036B" w:rsidP="009A036B">
            <w:pPr>
              <w:jc w:val="right"/>
              <w:rPr>
                <w:rFonts w:eastAsia="Times New Roman" w:cs="Times New Roman"/>
                <w:sz w:val="20"/>
                <w:szCs w:val="20"/>
                <w:lang w:eastAsia="cs-CZ"/>
              </w:rPr>
            </w:pPr>
            <w:r w:rsidRPr="008468C0">
              <w:rPr>
                <w:rFonts w:eastAsia="Times New Roman" w:cs="Times New Roman"/>
                <w:sz w:val="20"/>
                <w:szCs w:val="20"/>
                <w:lang w:eastAsia="cs-CZ"/>
              </w:rPr>
              <w:t>0</w:t>
            </w:r>
          </w:p>
          <w:p w:rsidR="009A036B" w:rsidRPr="008468C0" w:rsidRDefault="009A036B" w:rsidP="009A036B">
            <w:pPr>
              <w:jc w:val="right"/>
              <w:rPr>
                <w:rFonts w:eastAsia="Times New Roman" w:cs="Times New Roman"/>
                <w:sz w:val="20"/>
                <w:szCs w:val="20"/>
                <w:lang w:eastAsia="cs-CZ"/>
              </w:rPr>
            </w:pPr>
            <w:r w:rsidRPr="008468C0">
              <w:rPr>
                <w:rFonts w:eastAsia="Times New Roman" w:cs="Times New Roman"/>
                <w:sz w:val="20"/>
                <w:szCs w:val="20"/>
                <w:lang w:eastAsia="cs-CZ"/>
              </w:rPr>
              <w:t>0</w:t>
            </w:r>
          </w:p>
        </w:tc>
        <w:tc>
          <w:tcPr>
            <w:tcW w:w="99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color w:val="000000" w:themeColor="text1"/>
                <w:sz w:val="20"/>
                <w:szCs w:val="20"/>
                <w:lang w:eastAsia="cs-CZ"/>
              </w:rPr>
            </w:pPr>
            <w:r w:rsidRPr="00402994">
              <w:rPr>
                <w:rFonts w:eastAsia="Times New Roman" w:cs="Times New Roman"/>
                <w:color w:val="000000" w:themeColor="text1"/>
                <w:sz w:val="20"/>
                <w:szCs w:val="20"/>
                <w:lang w:eastAsia="cs-CZ"/>
              </w:rPr>
              <w:t>x</w:t>
            </w:r>
          </w:p>
          <w:p w:rsidR="009A036B" w:rsidRPr="00402994" w:rsidRDefault="009A036B" w:rsidP="009A036B">
            <w:pPr>
              <w:jc w:val="right"/>
              <w:rPr>
                <w:rFonts w:eastAsia="Times New Roman" w:cs="Times New Roman"/>
                <w:b/>
                <w:bCs/>
                <w:color w:val="FF0000"/>
                <w:sz w:val="20"/>
                <w:szCs w:val="20"/>
                <w:lang w:eastAsia="cs-CZ"/>
              </w:rPr>
            </w:pPr>
            <w:r w:rsidRPr="00402994">
              <w:rPr>
                <w:rFonts w:eastAsia="Times New Roman" w:cs="Times New Roman"/>
                <w:color w:val="000000" w:themeColor="text1"/>
                <w:sz w:val="20"/>
                <w:szCs w:val="20"/>
                <w:lang w:eastAsia="cs-CZ"/>
              </w:rPr>
              <w:t>x</w:t>
            </w:r>
          </w:p>
        </w:tc>
      </w:tr>
      <w:tr w:rsidR="009A036B" w:rsidRPr="008329C3" w:rsidTr="003A20EE">
        <w:trPr>
          <w:trHeight w:val="431"/>
        </w:trPr>
        <w:tc>
          <w:tcPr>
            <w:tcW w:w="4252" w:type="dxa"/>
            <w:tcBorders>
              <w:top w:val="single" w:sz="8" w:space="0" w:color="7F7F7F" w:themeColor="text1" w:themeTint="80"/>
              <w:bottom w:val="nil"/>
            </w:tcBorders>
            <w:shd w:val="clear" w:color="auto" w:fill="auto"/>
          </w:tcPr>
          <w:p w:rsidR="009A036B" w:rsidRPr="00402994" w:rsidRDefault="009A036B" w:rsidP="009A036B">
            <w:pPr>
              <w:rPr>
                <w:rFonts w:eastAsia="Times New Roman" w:cs="Times New Roman"/>
                <w:b/>
                <w:bCs/>
                <w:sz w:val="20"/>
                <w:szCs w:val="20"/>
                <w:lang w:eastAsia="cs-CZ"/>
              </w:rPr>
            </w:pPr>
            <w:r w:rsidRPr="00402994">
              <w:rPr>
                <w:rFonts w:eastAsia="Times New Roman" w:cs="Times New Roman"/>
                <w:b/>
                <w:bCs/>
                <w:sz w:val="20"/>
                <w:szCs w:val="20"/>
                <w:lang w:eastAsia="cs-CZ"/>
              </w:rPr>
              <w:t xml:space="preserve">Neinvestiční transfery veřejným rozpočtům územní úrovně </w:t>
            </w:r>
            <w:r w:rsidRPr="00402994">
              <w:rPr>
                <w:rFonts w:eastAsia="Times New Roman" w:cs="Times New Roman"/>
                <w:sz w:val="20"/>
                <w:szCs w:val="20"/>
                <w:lang w:eastAsia="cs-CZ"/>
              </w:rPr>
              <w:t>(</w:t>
            </w:r>
            <w:proofErr w:type="spellStart"/>
            <w:r w:rsidRPr="00402994">
              <w:rPr>
                <w:rFonts w:eastAsia="Times New Roman" w:cs="Times New Roman"/>
                <w:sz w:val="20"/>
                <w:szCs w:val="20"/>
                <w:lang w:eastAsia="cs-CZ"/>
              </w:rPr>
              <w:t>podsesk</w:t>
            </w:r>
            <w:proofErr w:type="spellEnd"/>
            <w:r w:rsidRPr="00402994">
              <w:rPr>
                <w:rFonts w:eastAsia="Times New Roman" w:cs="Times New Roman"/>
                <w:sz w:val="20"/>
                <w:szCs w:val="20"/>
                <w:lang w:eastAsia="cs-CZ"/>
              </w:rPr>
              <w:t>. pol. 532)</w:t>
            </w:r>
          </w:p>
        </w:tc>
        <w:tc>
          <w:tcPr>
            <w:tcW w:w="1418" w:type="dxa"/>
            <w:tcBorders>
              <w:top w:val="single" w:sz="8" w:space="0" w:color="7F7F7F" w:themeColor="text1" w:themeTint="80"/>
              <w:bottom w:val="nil"/>
            </w:tcBorders>
            <w:shd w:val="clear" w:color="auto" w:fill="auto"/>
            <w:vAlign w:val="bottom"/>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b/>
                <w:sz w:val="20"/>
                <w:szCs w:val="20"/>
                <w:lang w:eastAsia="cs-CZ"/>
              </w:rPr>
              <w:t>2 779 424</w:t>
            </w:r>
          </w:p>
        </w:tc>
        <w:tc>
          <w:tcPr>
            <w:tcW w:w="141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b/>
                <w:sz w:val="20"/>
                <w:szCs w:val="20"/>
                <w:lang w:eastAsia="cs-CZ"/>
              </w:rPr>
              <w:t xml:space="preserve">2 814 002 </w:t>
            </w:r>
          </w:p>
        </w:tc>
        <w:tc>
          <w:tcPr>
            <w:tcW w:w="1418"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b/>
                <w:sz w:val="20"/>
                <w:szCs w:val="20"/>
                <w:lang w:eastAsia="cs-CZ"/>
              </w:rPr>
              <w:t xml:space="preserve">2 894 352 </w:t>
            </w:r>
          </w:p>
        </w:tc>
        <w:tc>
          <w:tcPr>
            <w:tcW w:w="99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color w:val="000000" w:themeColor="text1"/>
                <w:sz w:val="20"/>
                <w:szCs w:val="20"/>
                <w:lang w:eastAsia="cs-CZ"/>
              </w:rPr>
            </w:pPr>
            <w:r w:rsidRPr="00402994">
              <w:rPr>
                <w:rFonts w:eastAsia="Times New Roman" w:cs="Times New Roman"/>
                <w:b/>
                <w:color w:val="000000" w:themeColor="text1"/>
                <w:sz w:val="20"/>
                <w:szCs w:val="20"/>
                <w:lang w:eastAsia="cs-CZ"/>
              </w:rPr>
              <w:t>102,86</w:t>
            </w:r>
          </w:p>
        </w:tc>
      </w:tr>
      <w:tr w:rsidR="009A036B" w:rsidRPr="008329C3" w:rsidTr="003A20EE">
        <w:tc>
          <w:tcPr>
            <w:tcW w:w="4252" w:type="dxa"/>
            <w:tcBorders>
              <w:top w:val="nil"/>
              <w:bottom w:val="single" w:sz="8" w:space="0" w:color="7F7F7F" w:themeColor="text1" w:themeTint="80"/>
            </w:tcBorders>
            <w:shd w:val="clear" w:color="auto" w:fill="auto"/>
          </w:tcPr>
          <w:p w:rsidR="009A036B" w:rsidRPr="00402994" w:rsidRDefault="009A036B" w:rsidP="009A036B">
            <w:pPr>
              <w:tabs>
                <w:tab w:val="left" w:pos="540"/>
              </w:tabs>
              <w:rPr>
                <w:rFonts w:eastAsia="Times New Roman" w:cs="Times New Roman"/>
                <w:sz w:val="20"/>
                <w:szCs w:val="20"/>
                <w:lang w:eastAsia="cs-CZ"/>
              </w:rPr>
            </w:pPr>
            <w:r w:rsidRPr="00402994">
              <w:rPr>
                <w:rFonts w:eastAsia="Times New Roman" w:cs="Times New Roman"/>
                <w:sz w:val="20"/>
                <w:szCs w:val="20"/>
                <w:lang w:eastAsia="cs-CZ"/>
              </w:rPr>
              <w:t xml:space="preserve">      z toho: programové financování (EDS/SMVS)</w:t>
            </w:r>
          </w:p>
          <w:p w:rsidR="009A036B" w:rsidRPr="00402994" w:rsidRDefault="009A036B" w:rsidP="009A036B">
            <w:pPr>
              <w:tabs>
                <w:tab w:val="left" w:pos="540"/>
              </w:tabs>
              <w:rPr>
                <w:rFonts w:eastAsia="Times New Roman" w:cs="Times New Roman"/>
                <w:sz w:val="20"/>
                <w:szCs w:val="20"/>
                <w:lang w:eastAsia="cs-CZ"/>
              </w:rPr>
            </w:pPr>
            <w:r w:rsidRPr="00402994">
              <w:rPr>
                <w:rFonts w:eastAsia="Times New Roman" w:cs="Times New Roman"/>
                <w:sz w:val="20"/>
                <w:szCs w:val="20"/>
                <w:lang w:eastAsia="cs-CZ"/>
              </w:rPr>
              <w:t xml:space="preserve">                  prostředky EU</w:t>
            </w:r>
          </w:p>
        </w:tc>
        <w:tc>
          <w:tcPr>
            <w:tcW w:w="1418" w:type="dxa"/>
            <w:tcBorders>
              <w:top w:val="nil"/>
              <w:bottom w:val="single" w:sz="8" w:space="0" w:color="7F7F7F" w:themeColor="text1" w:themeTint="80"/>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0</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0</w:t>
            </w:r>
          </w:p>
        </w:tc>
        <w:tc>
          <w:tcPr>
            <w:tcW w:w="141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tc>
        <w:tc>
          <w:tcPr>
            <w:tcW w:w="1418"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tc>
        <w:tc>
          <w:tcPr>
            <w:tcW w:w="99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b/>
                <w:bCs/>
                <w:color w:val="000000" w:themeColor="text1"/>
                <w:sz w:val="20"/>
                <w:szCs w:val="20"/>
                <w:lang w:eastAsia="cs-CZ"/>
              </w:rPr>
            </w:pPr>
            <w:r w:rsidRPr="00402994">
              <w:rPr>
                <w:rFonts w:eastAsia="Times New Roman" w:cs="Times New Roman"/>
                <w:color w:val="000000" w:themeColor="text1"/>
                <w:sz w:val="20"/>
                <w:szCs w:val="20"/>
                <w:lang w:eastAsia="cs-CZ"/>
              </w:rPr>
              <w:t>x</w:t>
            </w:r>
          </w:p>
          <w:p w:rsidR="009A036B" w:rsidRPr="00402994" w:rsidRDefault="009A036B" w:rsidP="009A036B">
            <w:pPr>
              <w:jc w:val="right"/>
              <w:rPr>
                <w:rFonts w:eastAsia="Times New Roman" w:cs="Times New Roman"/>
                <w:color w:val="000000" w:themeColor="text1"/>
                <w:sz w:val="20"/>
                <w:szCs w:val="20"/>
                <w:lang w:eastAsia="cs-CZ"/>
              </w:rPr>
            </w:pPr>
            <w:r w:rsidRPr="00402994">
              <w:rPr>
                <w:rFonts w:eastAsia="Times New Roman" w:cs="Times New Roman"/>
                <w:color w:val="000000" w:themeColor="text1"/>
                <w:sz w:val="20"/>
                <w:szCs w:val="20"/>
                <w:lang w:eastAsia="cs-CZ"/>
              </w:rPr>
              <w:t>x</w:t>
            </w:r>
          </w:p>
        </w:tc>
      </w:tr>
      <w:tr w:rsidR="009A036B" w:rsidRPr="00BD3648" w:rsidTr="003A20EE">
        <w:trPr>
          <w:trHeight w:val="403"/>
        </w:trPr>
        <w:tc>
          <w:tcPr>
            <w:tcW w:w="4252" w:type="dxa"/>
            <w:tcBorders>
              <w:top w:val="single" w:sz="8" w:space="0" w:color="7F7F7F" w:themeColor="text1" w:themeTint="80"/>
              <w:bottom w:val="nil"/>
            </w:tcBorders>
            <w:shd w:val="clear" w:color="auto" w:fill="auto"/>
          </w:tcPr>
          <w:p w:rsidR="009A036B" w:rsidRPr="00402994" w:rsidRDefault="009A036B" w:rsidP="009A036B">
            <w:pPr>
              <w:rPr>
                <w:rFonts w:eastAsia="Times New Roman" w:cs="Times New Roman"/>
                <w:b/>
                <w:bCs/>
                <w:sz w:val="20"/>
                <w:szCs w:val="20"/>
                <w:lang w:eastAsia="cs-CZ"/>
              </w:rPr>
            </w:pPr>
            <w:r w:rsidRPr="00402994">
              <w:rPr>
                <w:rFonts w:eastAsia="Times New Roman" w:cs="Times New Roman"/>
                <w:b/>
                <w:bCs/>
                <w:sz w:val="20"/>
                <w:szCs w:val="20"/>
                <w:lang w:eastAsia="cs-CZ"/>
              </w:rPr>
              <w:t>Neinvestiční dotace podnikatelským</w:t>
            </w:r>
            <w:r>
              <w:rPr>
                <w:rFonts w:eastAsia="Times New Roman" w:cs="Times New Roman"/>
                <w:b/>
                <w:bCs/>
                <w:sz w:val="20"/>
                <w:szCs w:val="20"/>
                <w:lang w:eastAsia="cs-CZ"/>
              </w:rPr>
              <w:t xml:space="preserve"> subjektům</w:t>
            </w:r>
            <w:r w:rsidRPr="00402994">
              <w:rPr>
                <w:rFonts w:eastAsia="Times New Roman" w:cs="Times New Roman"/>
                <w:b/>
                <w:bCs/>
                <w:sz w:val="20"/>
                <w:szCs w:val="20"/>
                <w:lang w:eastAsia="cs-CZ"/>
              </w:rPr>
              <w:t xml:space="preserve"> </w:t>
            </w:r>
            <w:r>
              <w:rPr>
                <w:rFonts w:eastAsia="Times New Roman" w:cs="Times New Roman"/>
                <w:sz w:val="20"/>
                <w:szCs w:val="20"/>
                <w:lang w:eastAsia="cs-CZ"/>
              </w:rPr>
              <w:t>(</w:t>
            </w:r>
            <w:proofErr w:type="spellStart"/>
            <w:r>
              <w:rPr>
                <w:rFonts w:eastAsia="Times New Roman" w:cs="Times New Roman"/>
                <w:sz w:val="20"/>
                <w:szCs w:val="20"/>
                <w:lang w:eastAsia="cs-CZ"/>
              </w:rPr>
              <w:t>podsesk</w:t>
            </w:r>
            <w:proofErr w:type="spellEnd"/>
            <w:r>
              <w:rPr>
                <w:rFonts w:eastAsia="Times New Roman" w:cs="Times New Roman"/>
                <w:sz w:val="20"/>
                <w:szCs w:val="20"/>
                <w:lang w:eastAsia="cs-CZ"/>
              </w:rPr>
              <w:t>. pol. 521 a  položka</w:t>
            </w:r>
            <w:r w:rsidRPr="00402994">
              <w:rPr>
                <w:rFonts w:eastAsia="Times New Roman" w:cs="Times New Roman"/>
                <w:sz w:val="20"/>
                <w:szCs w:val="20"/>
                <w:lang w:eastAsia="cs-CZ"/>
              </w:rPr>
              <w:t xml:space="preserve"> 5193)</w:t>
            </w:r>
          </w:p>
        </w:tc>
        <w:tc>
          <w:tcPr>
            <w:tcW w:w="1418" w:type="dxa"/>
            <w:tcBorders>
              <w:top w:val="single" w:sz="8" w:space="0" w:color="7F7F7F" w:themeColor="text1" w:themeTint="80"/>
              <w:bottom w:val="nil"/>
            </w:tcBorders>
            <w:shd w:val="clear" w:color="auto" w:fill="auto"/>
            <w:vAlign w:val="bottom"/>
          </w:tcPr>
          <w:p w:rsidR="009A036B" w:rsidRPr="00402994" w:rsidRDefault="009A036B" w:rsidP="009A036B">
            <w:pPr>
              <w:ind w:right="15"/>
              <w:jc w:val="right"/>
              <w:rPr>
                <w:rFonts w:eastAsia="Times New Roman" w:cs="Times New Roman"/>
                <w:b/>
                <w:sz w:val="20"/>
                <w:szCs w:val="20"/>
                <w:lang w:eastAsia="cs-CZ"/>
              </w:rPr>
            </w:pPr>
          </w:p>
          <w:p w:rsidR="009A036B" w:rsidRPr="00402994" w:rsidRDefault="009A036B" w:rsidP="009A036B">
            <w:pPr>
              <w:ind w:right="15"/>
              <w:jc w:val="right"/>
              <w:rPr>
                <w:rFonts w:eastAsia="Times New Roman" w:cs="Times New Roman"/>
                <w:b/>
                <w:sz w:val="20"/>
                <w:szCs w:val="20"/>
                <w:lang w:eastAsia="cs-CZ"/>
              </w:rPr>
            </w:pPr>
            <w:r w:rsidRPr="00402994">
              <w:rPr>
                <w:rFonts w:eastAsia="Times New Roman" w:cs="Times New Roman"/>
                <w:b/>
                <w:sz w:val="20"/>
                <w:szCs w:val="20"/>
                <w:lang w:eastAsia="cs-CZ"/>
              </w:rPr>
              <w:t>4 723 826</w:t>
            </w:r>
          </w:p>
        </w:tc>
        <w:tc>
          <w:tcPr>
            <w:tcW w:w="141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b/>
                <w:sz w:val="20"/>
                <w:szCs w:val="20"/>
                <w:lang w:eastAsia="cs-CZ"/>
              </w:rPr>
            </w:pPr>
          </w:p>
          <w:p w:rsidR="009A036B" w:rsidRPr="00402994" w:rsidRDefault="009A036B" w:rsidP="009A036B">
            <w:pPr>
              <w:jc w:val="right"/>
              <w:rPr>
                <w:rFonts w:eastAsia="Times New Roman" w:cs="Times New Roman"/>
                <w:b/>
                <w:sz w:val="20"/>
                <w:szCs w:val="20"/>
                <w:lang w:eastAsia="cs-CZ"/>
              </w:rPr>
            </w:pPr>
            <w:r w:rsidRPr="00402994">
              <w:rPr>
                <w:rFonts w:eastAsia="Times New Roman" w:cs="Times New Roman"/>
                <w:b/>
                <w:sz w:val="20"/>
                <w:szCs w:val="20"/>
                <w:lang w:eastAsia="cs-CZ"/>
              </w:rPr>
              <w:t xml:space="preserve">5 607 299 </w:t>
            </w:r>
          </w:p>
        </w:tc>
        <w:tc>
          <w:tcPr>
            <w:tcW w:w="1418" w:type="dxa"/>
            <w:tcBorders>
              <w:top w:val="single" w:sz="8" w:space="0" w:color="7F7F7F" w:themeColor="text1" w:themeTint="80"/>
              <w:bottom w:val="nil"/>
            </w:tcBorders>
            <w:shd w:val="clear" w:color="auto" w:fill="auto"/>
            <w:vAlign w:val="bottom"/>
          </w:tcPr>
          <w:p w:rsidR="009A036B" w:rsidRPr="00AC01AC" w:rsidRDefault="009A036B" w:rsidP="009A036B">
            <w:pPr>
              <w:jc w:val="right"/>
              <w:rPr>
                <w:rFonts w:eastAsia="Times New Roman" w:cs="Times New Roman"/>
                <w:b/>
                <w:color w:val="FF0000"/>
                <w:sz w:val="20"/>
                <w:szCs w:val="20"/>
                <w:lang w:eastAsia="cs-CZ"/>
              </w:rPr>
            </w:pPr>
          </w:p>
          <w:p w:rsidR="009A036B" w:rsidRPr="00AC01AC" w:rsidRDefault="009A036B" w:rsidP="009A036B">
            <w:pPr>
              <w:jc w:val="right"/>
              <w:rPr>
                <w:rFonts w:eastAsia="Times New Roman" w:cs="Times New Roman"/>
                <w:b/>
                <w:color w:val="FF0000"/>
                <w:sz w:val="20"/>
                <w:szCs w:val="20"/>
                <w:lang w:eastAsia="cs-CZ"/>
              </w:rPr>
            </w:pPr>
            <w:r w:rsidRPr="008468C0">
              <w:rPr>
                <w:rFonts w:eastAsia="Times New Roman" w:cs="Times New Roman"/>
                <w:b/>
                <w:sz w:val="20"/>
                <w:szCs w:val="20"/>
                <w:lang w:eastAsia="cs-CZ"/>
              </w:rPr>
              <w:t xml:space="preserve">5 468 442 </w:t>
            </w:r>
          </w:p>
        </w:tc>
        <w:tc>
          <w:tcPr>
            <w:tcW w:w="99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b/>
                <w:color w:val="FF0000"/>
                <w:sz w:val="20"/>
                <w:szCs w:val="20"/>
                <w:lang w:eastAsia="cs-CZ"/>
              </w:rPr>
            </w:pPr>
          </w:p>
          <w:p w:rsidR="009A036B" w:rsidRPr="00402994" w:rsidRDefault="009A036B" w:rsidP="009A036B">
            <w:pPr>
              <w:jc w:val="right"/>
              <w:rPr>
                <w:rFonts w:eastAsia="Times New Roman" w:cs="Times New Roman"/>
                <w:b/>
                <w:color w:val="FF0000"/>
                <w:sz w:val="20"/>
                <w:szCs w:val="20"/>
                <w:lang w:eastAsia="cs-CZ"/>
              </w:rPr>
            </w:pPr>
            <w:r w:rsidRPr="00402994">
              <w:rPr>
                <w:rFonts w:eastAsia="Times New Roman" w:cs="Times New Roman"/>
                <w:b/>
                <w:sz w:val="20"/>
                <w:szCs w:val="20"/>
                <w:lang w:eastAsia="cs-CZ"/>
              </w:rPr>
              <w:t>97,52</w:t>
            </w:r>
          </w:p>
        </w:tc>
      </w:tr>
      <w:tr w:rsidR="009A036B" w:rsidRPr="00BD3648" w:rsidTr="003A20EE">
        <w:tc>
          <w:tcPr>
            <w:tcW w:w="4252" w:type="dxa"/>
            <w:tcBorders>
              <w:top w:val="nil"/>
              <w:bottom w:val="single" w:sz="8" w:space="0" w:color="7F7F7F" w:themeColor="text1" w:themeTint="80"/>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z toho: programové financování (EDS/SMVS)</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prostředky EU</w:t>
            </w:r>
          </w:p>
        </w:tc>
        <w:tc>
          <w:tcPr>
            <w:tcW w:w="1418" w:type="dxa"/>
            <w:tcBorders>
              <w:top w:val="nil"/>
              <w:bottom w:val="single" w:sz="8" w:space="0" w:color="7F7F7F" w:themeColor="text1" w:themeTint="80"/>
            </w:tcBorders>
            <w:shd w:val="clear" w:color="auto" w:fill="auto"/>
            <w:vAlign w:val="center"/>
          </w:tcPr>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3 693</w:t>
            </w:r>
          </w:p>
          <w:p w:rsidR="009A036B" w:rsidRPr="00402994" w:rsidRDefault="009A036B" w:rsidP="009A036B">
            <w:pPr>
              <w:ind w:right="15"/>
              <w:jc w:val="right"/>
              <w:rPr>
                <w:rFonts w:eastAsia="Times New Roman" w:cs="Times New Roman"/>
                <w:b/>
                <w:sz w:val="20"/>
                <w:szCs w:val="20"/>
                <w:lang w:eastAsia="cs-CZ"/>
              </w:rPr>
            </w:pPr>
            <w:r w:rsidRPr="00402994">
              <w:rPr>
                <w:rFonts w:eastAsia="Times New Roman" w:cs="Times New Roman"/>
                <w:sz w:val="20"/>
                <w:szCs w:val="20"/>
                <w:lang w:eastAsia="cs-CZ"/>
              </w:rPr>
              <w:t>0</w:t>
            </w:r>
          </w:p>
        </w:tc>
        <w:tc>
          <w:tcPr>
            <w:tcW w:w="141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4 000</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53 268</w:t>
            </w:r>
          </w:p>
        </w:tc>
        <w:tc>
          <w:tcPr>
            <w:tcW w:w="1418" w:type="dxa"/>
            <w:tcBorders>
              <w:top w:val="nil"/>
              <w:bottom w:val="single" w:sz="8" w:space="0" w:color="7F7F7F" w:themeColor="text1" w:themeTint="80"/>
            </w:tcBorders>
            <w:shd w:val="clear" w:color="auto" w:fill="auto"/>
            <w:vAlign w:val="center"/>
          </w:tcPr>
          <w:p w:rsidR="009A036B" w:rsidRPr="008468C0" w:rsidRDefault="009A036B" w:rsidP="009A036B">
            <w:pPr>
              <w:jc w:val="right"/>
              <w:rPr>
                <w:rFonts w:eastAsia="Times New Roman" w:cs="Times New Roman"/>
                <w:sz w:val="20"/>
                <w:szCs w:val="20"/>
                <w:lang w:eastAsia="cs-CZ"/>
              </w:rPr>
            </w:pPr>
            <w:r w:rsidRPr="008468C0">
              <w:rPr>
                <w:rFonts w:eastAsia="Times New Roman" w:cs="Times New Roman"/>
                <w:sz w:val="20"/>
                <w:szCs w:val="20"/>
                <w:lang w:eastAsia="cs-CZ"/>
              </w:rPr>
              <w:t>4 000</w:t>
            </w:r>
          </w:p>
          <w:p w:rsidR="009A036B" w:rsidRPr="00AC01AC" w:rsidRDefault="009A036B" w:rsidP="009A036B">
            <w:pPr>
              <w:jc w:val="right"/>
              <w:rPr>
                <w:rFonts w:eastAsia="Times New Roman" w:cs="Times New Roman"/>
                <w:color w:val="FF0000"/>
                <w:sz w:val="20"/>
                <w:szCs w:val="20"/>
                <w:lang w:eastAsia="cs-CZ"/>
              </w:rPr>
            </w:pPr>
            <w:r w:rsidRPr="008468C0">
              <w:rPr>
                <w:rFonts w:eastAsia="Times New Roman" w:cs="Times New Roman"/>
                <w:sz w:val="20"/>
                <w:szCs w:val="20"/>
                <w:lang w:eastAsia="cs-CZ"/>
              </w:rPr>
              <w:t>12 918</w:t>
            </w:r>
          </w:p>
        </w:tc>
        <w:tc>
          <w:tcPr>
            <w:tcW w:w="99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 xml:space="preserve">100,00               </w:t>
            </w:r>
          </w:p>
          <w:p w:rsidR="009A036B" w:rsidRPr="00402994" w:rsidRDefault="009A036B" w:rsidP="009A036B">
            <w:pPr>
              <w:jc w:val="right"/>
              <w:rPr>
                <w:rFonts w:eastAsia="Times New Roman" w:cs="Times New Roman"/>
                <w:color w:val="FF0000"/>
                <w:sz w:val="20"/>
                <w:szCs w:val="20"/>
                <w:lang w:eastAsia="cs-CZ"/>
              </w:rPr>
            </w:pPr>
            <w:r>
              <w:rPr>
                <w:rFonts w:eastAsia="Times New Roman" w:cs="Times New Roman"/>
                <w:color w:val="000000" w:themeColor="text1"/>
                <w:sz w:val="20"/>
                <w:szCs w:val="20"/>
                <w:lang w:eastAsia="cs-CZ"/>
              </w:rPr>
              <w:t>24,25</w:t>
            </w:r>
          </w:p>
        </w:tc>
      </w:tr>
      <w:tr w:rsidR="009A036B" w:rsidRPr="00BD3648" w:rsidTr="003A20EE">
        <w:tc>
          <w:tcPr>
            <w:tcW w:w="4252" w:type="dxa"/>
            <w:tcBorders>
              <w:top w:val="single" w:sz="8" w:space="0" w:color="7F7F7F" w:themeColor="text1" w:themeTint="80"/>
              <w:bottom w:val="nil"/>
            </w:tcBorders>
            <w:shd w:val="clear" w:color="auto" w:fill="auto"/>
          </w:tcPr>
          <w:p w:rsidR="009A036B" w:rsidRPr="00402994" w:rsidRDefault="009A036B" w:rsidP="009A036B">
            <w:pPr>
              <w:rPr>
                <w:rFonts w:eastAsia="Times New Roman" w:cs="Times New Roman"/>
                <w:b/>
                <w:bCs/>
                <w:sz w:val="20"/>
                <w:szCs w:val="20"/>
                <w:lang w:eastAsia="cs-CZ"/>
              </w:rPr>
            </w:pPr>
            <w:r w:rsidRPr="00402994">
              <w:rPr>
                <w:rFonts w:eastAsia="Times New Roman" w:cs="Times New Roman"/>
                <w:b/>
                <w:bCs/>
                <w:sz w:val="20"/>
                <w:szCs w:val="20"/>
                <w:lang w:eastAsia="cs-CZ"/>
              </w:rPr>
              <w:t xml:space="preserve">Neinvestiční dotace státním fondům  </w:t>
            </w:r>
            <w:r w:rsidR="002F1811">
              <w:rPr>
                <w:rFonts w:eastAsia="Times New Roman" w:cs="Times New Roman"/>
                <w:sz w:val="20"/>
                <w:szCs w:val="20"/>
                <w:lang w:eastAsia="cs-CZ"/>
              </w:rPr>
              <w:t>(</w:t>
            </w:r>
            <w:proofErr w:type="spellStart"/>
            <w:r w:rsidR="002F1811">
              <w:rPr>
                <w:rFonts w:eastAsia="Times New Roman" w:cs="Times New Roman"/>
                <w:sz w:val="20"/>
                <w:szCs w:val="20"/>
                <w:lang w:eastAsia="cs-CZ"/>
              </w:rPr>
              <w:t>podsesk</w:t>
            </w:r>
            <w:proofErr w:type="spellEnd"/>
            <w:r w:rsidR="002F1811">
              <w:rPr>
                <w:rFonts w:eastAsia="Times New Roman" w:cs="Times New Roman"/>
                <w:sz w:val="20"/>
                <w:szCs w:val="20"/>
                <w:lang w:eastAsia="cs-CZ"/>
              </w:rPr>
              <w:t>. pol. 531</w:t>
            </w:r>
            <w:r w:rsidRPr="00402994">
              <w:rPr>
                <w:rFonts w:eastAsia="Times New Roman" w:cs="Times New Roman"/>
                <w:sz w:val="20"/>
                <w:szCs w:val="20"/>
                <w:lang w:eastAsia="cs-CZ"/>
              </w:rPr>
              <w:t>)</w:t>
            </w:r>
          </w:p>
        </w:tc>
        <w:tc>
          <w:tcPr>
            <w:tcW w:w="1418" w:type="dxa"/>
            <w:tcBorders>
              <w:top w:val="single" w:sz="8" w:space="0" w:color="7F7F7F" w:themeColor="text1" w:themeTint="80"/>
              <w:bottom w:val="nil"/>
            </w:tcBorders>
            <w:shd w:val="clear" w:color="auto" w:fill="auto"/>
            <w:vAlign w:val="bottom"/>
          </w:tcPr>
          <w:p w:rsidR="009A036B" w:rsidRPr="00402994" w:rsidRDefault="009A036B" w:rsidP="009A036B">
            <w:pPr>
              <w:ind w:right="15"/>
              <w:jc w:val="right"/>
              <w:rPr>
                <w:rFonts w:eastAsia="Times New Roman" w:cs="Times New Roman"/>
                <w:bCs/>
                <w:sz w:val="20"/>
                <w:szCs w:val="20"/>
                <w:lang w:eastAsia="cs-CZ"/>
              </w:rPr>
            </w:pPr>
            <w:r w:rsidRPr="00402994">
              <w:rPr>
                <w:rFonts w:eastAsia="Times New Roman" w:cs="Times New Roman"/>
                <w:b/>
                <w:bCs/>
                <w:sz w:val="20"/>
                <w:szCs w:val="20"/>
                <w:lang w:eastAsia="cs-CZ"/>
              </w:rPr>
              <w:t>9 880 920</w:t>
            </w:r>
          </w:p>
        </w:tc>
        <w:tc>
          <w:tcPr>
            <w:tcW w:w="1417" w:type="dxa"/>
            <w:tcBorders>
              <w:top w:val="single" w:sz="8" w:space="0" w:color="7F7F7F" w:themeColor="text1" w:themeTint="80"/>
              <w:bottom w:val="nil"/>
            </w:tcBorders>
            <w:shd w:val="clear" w:color="auto" w:fill="auto"/>
            <w:vAlign w:val="bottom"/>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b/>
                <w:sz w:val="20"/>
                <w:szCs w:val="20"/>
                <w:lang w:eastAsia="cs-CZ"/>
              </w:rPr>
              <w:t>4 958 142</w:t>
            </w:r>
          </w:p>
        </w:tc>
        <w:tc>
          <w:tcPr>
            <w:tcW w:w="1418" w:type="dxa"/>
            <w:tcBorders>
              <w:top w:val="single" w:sz="8" w:space="0" w:color="7F7F7F" w:themeColor="text1" w:themeTint="80"/>
              <w:bottom w:val="nil"/>
            </w:tcBorders>
            <w:shd w:val="clear" w:color="auto" w:fill="auto"/>
            <w:vAlign w:val="bottom"/>
          </w:tcPr>
          <w:p w:rsidR="009A036B" w:rsidRPr="00AC01AC" w:rsidRDefault="009A036B" w:rsidP="009A036B">
            <w:pPr>
              <w:jc w:val="right"/>
              <w:rPr>
                <w:rFonts w:eastAsia="Times New Roman" w:cs="Times New Roman"/>
                <w:color w:val="FF0000"/>
                <w:sz w:val="20"/>
                <w:szCs w:val="20"/>
                <w:lang w:eastAsia="cs-CZ"/>
              </w:rPr>
            </w:pPr>
            <w:r w:rsidRPr="004217CF">
              <w:rPr>
                <w:rFonts w:eastAsia="Times New Roman" w:cs="Times New Roman"/>
                <w:b/>
                <w:sz w:val="20"/>
                <w:szCs w:val="20"/>
                <w:lang w:eastAsia="cs-CZ"/>
              </w:rPr>
              <w:t>6 056 287</w:t>
            </w:r>
          </w:p>
        </w:tc>
        <w:tc>
          <w:tcPr>
            <w:tcW w:w="997" w:type="dxa"/>
            <w:tcBorders>
              <w:top w:val="single" w:sz="8" w:space="0" w:color="7F7F7F" w:themeColor="text1" w:themeTint="80"/>
              <w:bottom w:val="nil"/>
            </w:tcBorders>
            <w:shd w:val="clear" w:color="auto" w:fill="auto"/>
            <w:vAlign w:val="bottom"/>
          </w:tcPr>
          <w:p w:rsidR="009A036B" w:rsidRPr="007E777E" w:rsidRDefault="009A036B" w:rsidP="009A036B">
            <w:pPr>
              <w:jc w:val="right"/>
              <w:rPr>
                <w:rFonts w:eastAsia="Times New Roman" w:cs="Times New Roman"/>
                <w:b/>
                <w:bCs/>
                <w:color w:val="FF0000"/>
                <w:sz w:val="20"/>
                <w:szCs w:val="20"/>
                <w:lang w:eastAsia="cs-CZ"/>
              </w:rPr>
            </w:pPr>
            <w:r w:rsidRPr="002A6F4D">
              <w:rPr>
                <w:rFonts w:eastAsia="Times New Roman" w:cs="Times New Roman"/>
                <w:b/>
                <w:bCs/>
                <w:sz w:val="20"/>
                <w:szCs w:val="20"/>
                <w:lang w:eastAsia="cs-CZ"/>
              </w:rPr>
              <w:t>122,15</w:t>
            </w:r>
          </w:p>
        </w:tc>
      </w:tr>
      <w:tr w:rsidR="009A036B" w:rsidRPr="00BD3648" w:rsidTr="003A20EE">
        <w:tc>
          <w:tcPr>
            <w:tcW w:w="4252" w:type="dxa"/>
            <w:tcBorders>
              <w:top w:val="nil"/>
              <w:bottom w:val="single" w:sz="8" w:space="0" w:color="7F7F7F" w:themeColor="text1" w:themeTint="80"/>
            </w:tcBorders>
            <w:shd w:val="clear" w:color="auto" w:fill="auto"/>
          </w:tcPr>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z toho: programové financování (EDS/SMVS)</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prostředky EU</w:t>
            </w:r>
          </w:p>
        </w:tc>
        <w:tc>
          <w:tcPr>
            <w:tcW w:w="1418" w:type="dxa"/>
            <w:tcBorders>
              <w:top w:val="nil"/>
              <w:bottom w:val="single" w:sz="8" w:space="0" w:color="7F7F7F" w:themeColor="text1" w:themeTint="80"/>
            </w:tcBorders>
            <w:shd w:val="clear" w:color="auto" w:fill="auto"/>
            <w:vAlign w:val="center"/>
          </w:tcPr>
          <w:p w:rsidR="009A036B" w:rsidRPr="00402994" w:rsidRDefault="009A036B" w:rsidP="009A036B">
            <w:pPr>
              <w:ind w:right="15"/>
              <w:jc w:val="right"/>
              <w:rPr>
                <w:rFonts w:eastAsia="Times New Roman" w:cs="Times New Roman"/>
                <w:bCs/>
                <w:sz w:val="20"/>
                <w:szCs w:val="20"/>
                <w:lang w:eastAsia="cs-CZ"/>
              </w:rPr>
            </w:pPr>
            <w:r w:rsidRPr="00402994">
              <w:rPr>
                <w:rFonts w:eastAsia="Times New Roman" w:cs="Times New Roman"/>
                <w:bCs/>
                <w:sz w:val="20"/>
                <w:szCs w:val="20"/>
                <w:lang w:eastAsia="cs-CZ"/>
              </w:rPr>
              <w:t>1 070</w:t>
            </w:r>
          </w:p>
          <w:p w:rsidR="009A036B" w:rsidRPr="00402994" w:rsidRDefault="009A036B" w:rsidP="009A036B">
            <w:pPr>
              <w:ind w:right="15"/>
              <w:jc w:val="right"/>
              <w:rPr>
                <w:rFonts w:eastAsia="Times New Roman" w:cs="Times New Roman"/>
                <w:bCs/>
                <w:sz w:val="20"/>
                <w:szCs w:val="20"/>
                <w:lang w:eastAsia="cs-CZ"/>
              </w:rPr>
            </w:pPr>
            <w:r w:rsidRPr="00402994">
              <w:rPr>
                <w:rFonts w:eastAsia="Times New Roman" w:cs="Times New Roman"/>
                <w:bCs/>
                <w:sz w:val="20"/>
                <w:szCs w:val="20"/>
                <w:lang w:eastAsia="cs-CZ"/>
              </w:rPr>
              <w:t>20 690</w:t>
            </w:r>
          </w:p>
        </w:tc>
        <w:tc>
          <w:tcPr>
            <w:tcW w:w="1417" w:type="dxa"/>
            <w:tcBorders>
              <w:top w:val="nil"/>
              <w:bottom w:val="single" w:sz="8" w:space="0" w:color="7F7F7F" w:themeColor="text1" w:themeTint="80"/>
            </w:tcBorders>
            <w:shd w:val="clear" w:color="auto" w:fill="auto"/>
            <w:vAlign w:val="center"/>
          </w:tcPr>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0</w:t>
            </w:r>
          </w:p>
          <w:p w:rsidR="009A036B" w:rsidRPr="00402994" w:rsidRDefault="009A036B" w:rsidP="009A036B">
            <w:pPr>
              <w:jc w:val="right"/>
              <w:rPr>
                <w:rFonts w:eastAsia="Times New Roman" w:cs="Times New Roman"/>
                <w:sz w:val="20"/>
                <w:szCs w:val="20"/>
                <w:lang w:eastAsia="cs-CZ"/>
              </w:rPr>
            </w:pPr>
            <w:r w:rsidRPr="00402994">
              <w:rPr>
                <w:rFonts w:eastAsia="Times New Roman" w:cs="Times New Roman"/>
                <w:sz w:val="20"/>
                <w:szCs w:val="20"/>
                <w:lang w:eastAsia="cs-CZ"/>
              </w:rPr>
              <w:t>61 811</w:t>
            </w:r>
          </w:p>
        </w:tc>
        <w:tc>
          <w:tcPr>
            <w:tcW w:w="1418" w:type="dxa"/>
            <w:tcBorders>
              <w:top w:val="nil"/>
              <w:bottom w:val="single" w:sz="8" w:space="0" w:color="7F7F7F" w:themeColor="text1" w:themeTint="80"/>
            </w:tcBorders>
            <w:shd w:val="clear" w:color="auto" w:fill="auto"/>
            <w:vAlign w:val="center"/>
          </w:tcPr>
          <w:p w:rsidR="009A036B" w:rsidRPr="007E777E" w:rsidRDefault="009A036B" w:rsidP="009A036B">
            <w:pPr>
              <w:jc w:val="right"/>
              <w:rPr>
                <w:rFonts w:eastAsia="Times New Roman" w:cs="Times New Roman"/>
                <w:sz w:val="20"/>
                <w:szCs w:val="20"/>
                <w:lang w:eastAsia="cs-CZ"/>
              </w:rPr>
            </w:pPr>
            <w:r w:rsidRPr="007E777E">
              <w:rPr>
                <w:rFonts w:eastAsia="Times New Roman" w:cs="Times New Roman"/>
                <w:sz w:val="20"/>
                <w:szCs w:val="20"/>
                <w:lang w:eastAsia="cs-CZ"/>
              </w:rPr>
              <w:t>0</w:t>
            </w:r>
          </w:p>
          <w:p w:rsidR="009A036B" w:rsidRPr="00AC01AC" w:rsidRDefault="009A036B" w:rsidP="009A036B">
            <w:pPr>
              <w:jc w:val="right"/>
              <w:rPr>
                <w:rFonts w:eastAsia="Times New Roman" w:cs="Times New Roman"/>
                <w:color w:val="FF0000"/>
                <w:sz w:val="20"/>
                <w:szCs w:val="20"/>
                <w:lang w:eastAsia="cs-CZ"/>
              </w:rPr>
            </w:pPr>
            <w:r w:rsidRPr="007E777E">
              <w:rPr>
                <w:rFonts w:eastAsia="Times New Roman" w:cs="Times New Roman"/>
                <w:sz w:val="20"/>
                <w:szCs w:val="20"/>
                <w:lang w:eastAsia="cs-CZ"/>
              </w:rPr>
              <w:t>59 956</w:t>
            </w:r>
          </w:p>
        </w:tc>
        <w:tc>
          <w:tcPr>
            <w:tcW w:w="997" w:type="dxa"/>
            <w:tcBorders>
              <w:top w:val="nil"/>
              <w:bottom w:val="single" w:sz="8" w:space="0" w:color="7F7F7F" w:themeColor="text1" w:themeTint="80"/>
            </w:tcBorders>
            <w:shd w:val="clear" w:color="auto" w:fill="auto"/>
            <w:vAlign w:val="center"/>
          </w:tcPr>
          <w:p w:rsidR="009A036B" w:rsidRPr="007E777E" w:rsidRDefault="009A036B" w:rsidP="009A036B">
            <w:pPr>
              <w:jc w:val="right"/>
              <w:rPr>
                <w:rFonts w:eastAsia="Times New Roman" w:cs="Times New Roman"/>
                <w:color w:val="FF0000"/>
                <w:sz w:val="20"/>
                <w:szCs w:val="20"/>
                <w:lang w:eastAsia="cs-CZ"/>
              </w:rPr>
            </w:pPr>
            <w:r w:rsidRPr="002A6F4D">
              <w:rPr>
                <w:rFonts w:eastAsia="Times New Roman" w:cs="Times New Roman"/>
                <w:sz w:val="20"/>
                <w:szCs w:val="20"/>
                <w:lang w:eastAsia="cs-CZ"/>
              </w:rPr>
              <w:t>x</w:t>
            </w:r>
            <w:r w:rsidRPr="007E777E">
              <w:rPr>
                <w:rFonts w:eastAsia="Times New Roman" w:cs="Times New Roman"/>
                <w:b/>
                <w:bCs/>
                <w:color w:val="FF0000"/>
                <w:sz w:val="20"/>
                <w:szCs w:val="20"/>
                <w:lang w:eastAsia="cs-CZ"/>
              </w:rPr>
              <w:t xml:space="preserve">                </w:t>
            </w:r>
          </w:p>
          <w:p w:rsidR="009A036B" w:rsidRPr="007E777E" w:rsidRDefault="009A036B" w:rsidP="009A036B">
            <w:pPr>
              <w:jc w:val="right"/>
              <w:rPr>
                <w:rFonts w:eastAsia="Times New Roman" w:cs="Times New Roman"/>
                <w:color w:val="FF0000"/>
                <w:sz w:val="20"/>
                <w:szCs w:val="20"/>
                <w:lang w:eastAsia="cs-CZ"/>
              </w:rPr>
            </w:pPr>
            <w:r w:rsidRPr="00A21D48">
              <w:rPr>
                <w:rFonts w:eastAsia="Times New Roman" w:cs="Times New Roman"/>
                <w:sz w:val="20"/>
                <w:szCs w:val="20"/>
                <w:lang w:eastAsia="cs-CZ"/>
              </w:rPr>
              <w:t>97,00</w:t>
            </w:r>
          </w:p>
        </w:tc>
      </w:tr>
      <w:tr w:rsidR="009A036B" w:rsidRPr="00BD3648" w:rsidTr="003A20EE">
        <w:trPr>
          <w:trHeight w:val="383"/>
        </w:trPr>
        <w:tc>
          <w:tcPr>
            <w:tcW w:w="4252" w:type="dxa"/>
            <w:tcBorders>
              <w:top w:val="single" w:sz="8" w:space="0" w:color="7F7F7F" w:themeColor="text1" w:themeTint="80"/>
              <w:bottom w:val="single" w:sz="8" w:space="0" w:color="7F7F7F" w:themeColor="text1" w:themeTint="80"/>
            </w:tcBorders>
            <w:shd w:val="clear" w:color="auto" w:fill="auto"/>
          </w:tcPr>
          <w:p w:rsidR="009A036B" w:rsidRPr="00402994" w:rsidRDefault="009A036B" w:rsidP="009A036B">
            <w:pPr>
              <w:rPr>
                <w:rFonts w:eastAsia="Times New Roman" w:cs="Times New Roman"/>
                <w:b/>
                <w:bCs/>
                <w:sz w:val="20"/>
                <w:szCs w:val="20"/>
                <w:lang w:eastAsia="cs-CZ"/>
              </w:rPr>
            </w:pPr>
            <w:r w:rsidRPr="00402994">
              <w:rPr>
                <w:rFonts w:eastAsia="Times New Roman" w:cs="Times New Roman"/>
                <w:b/>
                <w:bCs/>
                <w:sz w:val="20"/>
                <w:szCs w:val="20"/>
                <w:lang w:eastAsia="cs-CZ"/>
              </w:rPr>
              <w:t xml:space="preserve">Neinvestiční transfery do zahraničí </w:t>
            </w:r>
            <w:r w:rsidRPr="00402994">
              <w:rPr>
                <w:rFonts w:eastAsia="Times New Roman" w:cs="Times New Roman"/>
                <w:sz w:val="20"/>
                <w:szCs w:val="20"/>
                <w:lang w:eastAsia="cs-CZ"/>
              </w:rPr>
              <w:t>(</w:t>
            </w:r>
            <w:proofErr w:type="spellStart"/>
            <w:r w:rsidRPr="00402994">
              <w:rPr>
                <w:rFonts w:eastAsia="Times New Roman" w:cs="Times New Roman"/>
                <w:sz w:val="20"/>
                <w:szCs w:val="20"/>
                <w:lang w:eastAsia="cs-CZ"/>
              </w:rPr>
              <w:t>podsesk</w:t>
            </w:r>
            <w:proofErr w:type="spellEnd"/>
            <w:r w:rsidRPr="00402994">
              <w:rPr>
                <w:rFonts w:eastAsia="Times New Roman" w:cs="Times New Roman"/>
                <w:sz w:val="20"/>
                <w:szCs w:val="20"/>
                <w:lang w:eastAsia="cs-CZ"/>
              </w:rPr>
              <w:t>. pol. 551, 553, 554)</w:t>
            </w:r>
          </w:p>
        </w:tc>
        <w:tc>
          <w:tcPr>
            <w:tcW w:w="1418" w:type="dxa"/>
            <w:tcBorders>
              <w:top w:val="single" w:sz="8" w:space="0" w:color="7F7F7F" w:themeColor="text1" w:themeTint="80"/>
              <w:bottom w:val="single" w:sz="8" w:space="0" w:color="7F7F7F" w:themeColor="text1" w:themeTint="80"/>
            </w:tcBorders>
            <w:shd w:val="clear" w:color="auto" w:fill="auto"/>
            <w:vAlign w:val="bottom"/>
          </w:tcPr>
          <w:p w:rsidR="009A036B" w:rsidRPr="00402994" w:rsidRDefault="009A036B" w:rsidP="009A036B">
            <w:pPr>
              <w:ind w:right="15"/>
              <w:jc w:val="right"/>
              <w:rPr>
                <w:rFonts w:eastAsia="Times New Roman" w:cs="Times New Roman"/>
                <w:b/>
                <w:bCs/>
                <w:sz w:val="20"/>
                <w:szCs w:val="20"/>
                <w:lang w:eastAsia="cs-CZ"/>
              </w:rPr>
            </w:pPr>
            <w:r w:rsidRPr="00402994">
              <w:rPr>
                <w:rFonts w:eastAsia="Times New Roman" w:cs="Times New Roman"/>
                <w:b/>
                <w:bCs/>
                <w:sz w:val="20"/>
                <w:szCs w:val="20"/>
                <w:lang w:eastAsia="cs-CZ"/>
              </w:rPr>
              <w:t>939 233</w:t>
            </w:r>
          </w:p>
        </w:tc>
        <w:tc>
          <w:tcPr>
            <w:tcW w:w="1417" w:type="dxa"/>
            <w:tcBorders>
              <w:top w:val="single" w:sz="8" w:space="0" w:color="7F7F7F" w:themeColor="text1" w:themeTint="80"/>
              <w:bottom w:val="single" w:sz="8" w:space="0" w:color="7F7F7F" w:themeColor="text1" w:themeTint="80"/>
            </w:tcBorders>
            <w:shd w:val="clear" w:color="auto" w:fill="auto"/>
            <w:vAlign w:val="bottom"/>
          </w:tcPr>
          <w:p w:rsidR="009A036B" w:rsidRPr="00402994" w:rsidRDefault="009A036B" w:rsidP="009A036B">
            <w:pPr>
              <w:jc w:val="right"/>
              <w:rPr>
                <w:rFonts w:eastAsia="Times New Roman" w:cs="Times New Roman"/>
                <w:b/>
                <w:sz w:val="20"/>
                <w:szCs w:val="20"/>
                <w:lang w:eastAsia="cs-CZ"/>
              </w:rPr>
            </w:pPr>
            <w:r w:rsidRPr="00402994">
              <w:rPr>
                <w:rFonts w:eastAsia="Times New Roman" w:cs="Times New Roman"/>
                <w:b/>
                <w:sz w:val="20"/>
                <w:szCs w:val="20"/>
                <w:lang w:eastAsia="cs-CZ"/>
              </w:rPr>
              <w:t>951 822</w:t>
            </w:r>
          </w:p>
        </w:tc>
        <w:tc>
          <w:tcPr>
            <w:tcW w:w="1418" w:type="dxa"/>
            <w:tcBorders>
              <w:top w:val="single" w:sz="8" w:space="0" w:color="7F7F7F" w:themeColor="text1" w:themeTint="80"/>
              <w:bottom w:val="single" w:sz="8" w:space="0" w:color="7F7F7F" w:themeColor="text1" w:themeTint="80"/>
            </w:tcBorders>
            <w:shd w:val="clear" w:color="auto" w:fill="auto"/>
            <w:vAlign w:val="bottom"/>
          </w:tcPr>
          <w:p w:rsidR="009A036B" w:rsidRPr="00402994" w:rsidRDefault="009A036B" w:rsidP="009A036B">
            <w:pPr>
              <w:jc w:val="right"/>
              <w:rPr>
                <w:rFonts w:eastAsia="Times New Roman" w:cs="Times New Roman"/>
                <w:b/>
                <w:sz w:val="20"/>
                <w:szCs w:val="20"/>
                <w:lang w:eastAsia="cs-CZ"/>
              </w:rPr>
            </w:pPr>
            <w:r w:rsidRPr="00402994">
              <w:rPr>
                <w:rFonts w:eastAsia="Times New Roman" w:cs="Times New Roman"/>
                <w:b/>
                <w:sz w:val="20"/>
                <w:szCs w:val="20"/>
                <w:lang w:eastAsia="cs-CZ"/>
              </w:rPr>
              <w:t>954 275</w:t>
            </w:r>
          </w:p>
        </w:tc>
        <w:tc>
          <w:tcPr>
            <w:tcW w:w="997" w:type="dxa"/>
            <w:tcBorders>
              <w:top w:val="single" w:sz="8" w:space="0" w:color="7F7F7F" w:themeColor="text1" w:themeTint="80"/>
              <w:bottom w:val="single" w:sz="8" w:space="0" w:color="7F7F7F" w:themeColor="text1" w:themeTint="80"/>
            </w:tcBorders>
            <w:shd w:val="clear" w:color="auto" w:fill="auto"/>
            <w:vAlign w:val="bottom"/>
          </w:tcPr>
          <w:p w:rsidR="009A036B" w:rsidRPr="00402994" w:rsidRDefault="009A036B" w:rsidP="009A036B">
            <w:pPr>
              <w:jc w:val="right"/>
              <w:rPr>
                <w:rFonts w:eastAsia="Times New Roman" w:cs="Times New Roman"/>
                <w:b/>
                <w:bCs/>
                <w:color w:val="FF0000"/>
                <w:sz w:val="20"/>
                <w:szCs w:val="20"/>
                <w:lang w:eastAsia="cs-CZ"/>
              </w:rPr>
            </w:pPr>
            <w:r w:rsidRPr="00402994">
              <w:rPr>
                <w:rFonts w:eastAsia="Times New Roman" w:cs="Times New Roman"/>
                <w:b/>
                <w:bCs/>
                <w:color w:val="000000" w:themeColor="text1"/>
                <w:sz w:val="20"/>
                <w:szCs w:val="20"/>
                <w:lang w:eastAsia="cs-CZ"/>
              </w:rPr>
              <w:t>100,26</w:t>
            </w:r>
          </w:p>
        </w:tc>
      </w:tr>
      <w:tr w:rsidR="009A036B" w:rsidRPr="007855FF" w:rsidTr="003A20EE">
        <w:trPr>
          <w:trHeight w:hRule="exact" w:val="1005"/>
        </w:trPr>
        <w:tc>
          <w:tcPr>
            <w:tcW w:w="4252" w:type="dxa"/>
            <w:tcBorders>
              <w:top w:val="single" w:sz="8" w:space="0" w:color="7F7F7F" w:themeColor="text1" w:themeTint="80"/>
            </w:tcBorders>
            <w:shd w:val="clear" w:color="auto" w:fill="auto"/>
            <w:vAlign w:val="bottom"/>
          </w:tcPr>
          <w:p w:rsidR="009A036B" w:rsidRPr="00402994" w:rsidRDefault="009A036B" w:rsidP="009A036B">
            <w:pPr>
              <w:rPr>
                <w:rFonts w:eastAsia="Times New Roman" w:cs="Times New Roman"/>
                <w:b/>
                <w:lang w:eastAsia="cs-CZ"/>
              </w:rPr>
            </w:pPr>
            <w:r w:rsidRPr="00402994">
              <w:rPr>
                <w:rFonts w:eastAsia="Times New Roman" w:cs="Times New Roman"/>
                <w:b/>
                <w:lang w:eastAsia="cs-CZ"/>
              </w:rPr>
              <w:t xml:space="preserve">BĚŽNÉ VÝDAJE CELKEM  </w:t>
            </w:r>
          </w:p>
          <w:p w:rsidR="009A036B" w:rsidRPr="00402994" w:rsidRDefault="009A036B" w:rsidP="009A036B">
            <w:pPr>
              <w:rPr>
                <w:rFonts w:eastAsia="Times New Roman" w:cs="Times New Roman"/>
                <w:bCs/>
                <w:sz w:val="20"/>
                <w:szCs w:val="20"/>
                <w:lang w:eastAsia="cs-CZ"/>
              </w:rPr>
            </w:pPr>
            <w:r w:rsidRPr="00402994">
              <w:rPr>
                <w:rFonts w:eastAsia="Times New Roman" w:cs="Times New Roman"/>
                <w:sz w:val="20"/>
                <w:szCs w:val="20"/>
                <w:lang w:eastAsia="cs-CZ"/>
              </w:rPr>
              <w:t xml:space="preserve">z toho: </w:t>
            </w:r>
            <w:r w:rsidRPr="00402994">
              <w:rPr>
                <w:rFonts w:eastAsia="Times New Roman" w:cs="Times New Roman"/>
                <w:bCs/>
                <w:sz w:val="20"/>
                <w:szCs w:val="20"/>
                <w:lang w:eastAsia="cs-CZ"/>
              </w:rPr>
              <w:t>dopravně správní agendy</w:t>
            </w:r>
          </w:p>
          <w:p w:rsidR="009A036B" w:rsidRPr="00402994" w:rsidRDefault="009A036B" w:rsidP="009A036B">
            <w:pPr>
              <w:rPr>
                <w:rFonts w:eastAsia="Times New Roman" w:cs="Times New Roman"/>
                <w:sz w:val="20"/>
                <w:szCs w:val="20"/>
                <w:lang w:eastAsia="cs-CZ"/>
              </w:rPr>
            </w:pPr>
            <w:r w:rsidRPr="00402994">
              <w:rPr>
                <w:rFonts w:eastAsia="Times New Roman" w:cs="Times New Roman"/>
                <w:b/>
                <w:bCs/>
                <w:sz w:val="20"/>
                <w:szCs w:val="20"/>
                <w:lang w:eastAsia="cs-CZ"/>
              </w:rPr>
              <w:t xml:space="preserve">            </w:t>
            </w:r>
            <w:r w:rsidRPr="00402994">
              <w:rPr>
                <w:rFonts w:eastAsia="Times New Roman" w:cs="Times New Roman"/>
                <w:sz w:val="20"/>
                <w:szCs w:val="20"/>
                <w:lang w:eastAsia="cs-CZ"/>
              </w:rPr>
              <w:t>programové financování (EDS/SMVS)</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prostředky EU</w:t>
            </w:r>
          </w:p>
          <w:p w:rsidR="009A036B" w:rsidRPr="00402994" w:rsidRDefault="009A036B" w:rsidP="009A036B">
            <w:pPr>
              <w:rPr>
                <w:rFonts w:eastAsia="Times New Roman" w:cs="Times New Roman"/>
                <w:sz w:val="20"/>
                <w:szCs w:val="20"/>
                <w:lang w:eastAsia="cs-CZ"/>
              </w:rPr>
            </w:pPr>
            <w:r w:rsidRPr="00402994">
              <w:rPr>
                <w:rFonts w:eastAsia="Times New Roman" w:cs="Times New Roman"/>
                <w:sz w:val="20"/>
                <w:szCs w:val="20"/>
                <w:lang w:eastAsia="cs-CZ"/>
              </w:rPr>
              <w:t xml:space="preserve">           </w:t>
            </w:r>
          </w:p>
        </w:tc>
        <w:tc>
          <w:tcPr>
            <w:tcW w:w="1418" w:type="dxa"/>
            <w:tcBorders>
              <w:top w:val="single" w:sz="8" w:space="0" w:color="7F7F7F" w:themeColor="text1" w:themeTint="80"/>
            </w:tcBorders>
            <w:shd w:val="clear" w:color="auto" w:fill="auto"/>
          </w:tcPr>
          <w:p w:rsidR="009A036B" w:rsidRPr="00402994" w:rsidRDefault="009A036B" w:rsidP="009A036B">
            <w:pPr>
              <w:ind w:right="15"/>
              <w:jc w:val="right"/>
              <w:rPr>
                <w:rFonts w:eastAsia="Times New Roman" w:cs="Times New Roman"/>
                <w:b/>
                <w:lang w:eastAsia="cs-CZ"/>
              </w:rPr>
            </w:pPr>
            <w:r w:rsidRPr="00402994">
              <w:rPr>
                <w:rFonts w:eastAsia="Times New Roman" w:cs="Times New Roman"/>
                <w:b/>
                <w:lang w:eastAsia="cs-CZ"/>
              </w:rPr>
              <w:t>24 637 233</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 xml:space="preserve">        250 206</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 xml:space="preserve">           79 414</w:t>
            </w:r>
          </w:p>
          <w:p w:rsidR="009A036B" w:rsidRPr="00402994" w:rsidRDefault="009A036B" w:rsidP="009A036B">
            <w:pPr>
              <w:ind w:right="15"/>
              <w:jc w:val="right"/>
              <w:rPr>
                <w:rFonts w:eastAsia="Times New Roman" w:cs="Times New Roman"/>
                <w:sz w:val="20"/>
                <w:szCs w:val="20"/>
                <w:lang w:eastAsia="cs-CZ"/>
              </w:rPr>
            </w:pPr>
            <w:r w:rsidRPr="00402994">
              <w:rPr>
                <w:rFonts w:eastAsia="Times New Roman" w:cs="Times New Roman"/>
                <w:sz w:val="20"/>
                <w:szCs w:val="20"/>
                <w:lang w:eastAsia="cs-CZ"/>
              </w:rPr>
              <w:t xml:space="preserve">102 460   </w:t>
            </w:r>
          </w:p>
        </w:tc>
        <w:tc>
          <w:tcPr>
            <w:tcW w:w="1417" w:type="dxa"/>
            <w:tcBorders>
              <w:top w:val="single" w:sz="8" w:space="0" w:color="7F7F7F" w:themeColor="text1" w:themeTint="80"/>
            </w:tcBorders>
            <w:shd w:val="clear" w:color="auto" w:fill="auto"/>
          </w:tcPr>
          <w:p w:rsidR="009A036B" w:rsidRPr="00402994" w:rsidRDefault="009A036B" w:rsidP="003A20EE">
            <w:pPr>
              <w:jc w:val="right"/>
              <w:rPr>
                <w:rFonts w:eastAsia="Times New Roman" w:cs="Times New Roman"/>
                <w:b/>
                <w:lang w:eastAsia="cs-CZ"/>
              </w:rPr>
            </w:pPr>
            <w:r w:rsidRPr="00402994">
              <w:rPr>
                <w:rFonts w:eastAsia="Times New Roman" w:cs="Times New Roman"/>
                <w:b/>
                <w:lang w:eastAsia="cs-CZ"/>
              </w:rPr>
              <w:t>17 214 303</w:t>
            </w:r>
          </w:p>
          <w:p w:rsidR="009A036B" w:rsidRPr="00402994" w:rsidRDefault="009A036B" w:rsidP="003A20EE">
            <w:pPr>
              <w:jc w:val="right"/>
              <w:rPr>
                <w:rFonts w:eastAsia="Times New Roman" w:cs="Times New Roman"/>
                <w:sz w:val="20"/>
                <w:szCs w:val="20"/>
                <w:lang w:eastAsia="cs-CZ"/>
              </w:rPr>
            </w:pPr>
            <w:r w:rsidRPr="00402994">
              <w:rPr>
                <w:rFonts w:eastAsia="Times New Roman" w:cs="Times New Roman"/>
                <w:sz w:val="20"/>
                <w:szCs w:val="20"/>
                <w:lang w:eastAsia="cs-CZ"/>
              </w:rPr>
              <w:t>299 072</w:t>
            </w:r>
          </w:p>
          <w:p w:rsidR="009A036B" w:rsidRPr="00402994" w:rsidRDefault="009A036B" w:rsidP="003A20EE">
            <w:pPr>
              <w:jc w:val="right"/>
              <w:rPr>
                <w:rFonts w:eastAsia="Times New Roman" w:cs="Times New Roman"/>
                <w:sz w:val="20"/>
                <w:szCs w:val="20"/>
                <w:lang w:eastAsia="cs-CZ"/>
              </w:rPr>
            </w:pPr>
            <w:r w:rsidRPr="00402994">
              <w:rPr>
                <w:rFonts w:eastAsia="Times New Roman" w:cs="Times New Roman"/>
                <w:sz w:val="20"/>
                <w:szCs w:val="20"/>
                <w:lang w:eastAsia="cs-CZ"/>
              </w:rPr>
              <w:t>112 363</w:t>
            </w:r>
          </w:p>
          <w:p w:rsidR="009A036B" w:rsidRPr="00402994" w:rsidRDefault="009A036B" w:rsidP="003A20EE">
            <w:pPr>
              <w:tabs>
                <w:tab w:val="center" w:pos="560"/>
                <w:tab w:val="right" w:pos="1120"/>
              </w:tabs>
              <w:jc w:val="right"/>
              <w:rPr>
                <w:rFonts w:eastAsia="Times New Roman" w:cs="Times New Roman"/>
                <w:sz w:val="20"/>
                <w:szCs w:val="20"/>
                <w:lang w:eastAsia="cs-CZ"/>
              </w:rPr>
            </w:pPr>
            <w:r w:rsidRPr="00402994">
              <w:rPr>
                <w:rFonts w:eastAsia="Times New Roman" w:cs="Times New Roman"/>
                <w:sz w:val="20"/>
                <w:szCs w:val="20"/>
                <w:lang w:eastAsia="cs-CZ"/>
              </w:rPr>
              <w:t>213 851</w:t>
            </w:r>
          </w:p>
        </w:tc>
        <w:tc>
          <w:tcPr>
            <w:tcW w:w="1418" w:type="dxa"/>
            <w:tcBorders>
              <w:top w:val="single" w:sz="8" w:space="0" w:color="7F7F7F" w:themeColor="text1" w:themeTint="80"/>
            </w:tcBorders>
            <w:shd w:val="clear" w:color="auto" w:fill="auto"/>
          </w:tcPr>
          <w:p w:rsidR="009A036B" w:rsidRPr="007B3E7D" w:rsidRDefault="009A036B" w:rsidP="009A036B">
            <w:pPr>
              <w:jc w:val="right"/>
              <w:rPr>
                <w:rFonts w:eastAsia="Times New Roman" w:cs="Times New Roman"/>
                <w:b/>
                <w:lang w:eastAsia="cs-CZ"/>
              </w:rPr>
            </w:pPr>
            <w:r w:rsidRPr="007B3E7D">
              <w:rPr>
                <w:rFonts w:eastAsia="Times New Roman" w:cs="Times New Roman"/>
                <w:b/>
                <w:lang w:eastAsia="cs-CZ"/>
              </w:rPr>
              <w:t xml:space="preserve">23 727 160   </w:t>
            </w:r>
          </w:p>
          <w:p w:rsidR="009A036B" w:rsidRPr="00215E74" w:rsidRDefault="009A036B" w:rsidP="009A036B">
            <w:pPr>
              <w:jc w:val="right"/>
              <w:rPr>
                <w:rFonts w:eastAsia="Times New Roman" w:cs="Times New Roman"/>
                <w:color w:val="FF0000"/>
                <w:sz w:val="20"/>
                <w:szCs w:val="20"/>
                <w:lang w:eastAsia="cs-CZ"/>
              </w:rPr>
            </w:pPr>
            <w:r w:rsidRPr="001E0A4D">
              <w:rPr>
                <w:rFonts w:eastAsia="Times New Roman" w:cs="Times New Roman"/>
                <w:sz w:val="20"/>
                <w:szCs w:val="20"/>
                <w:lang w:eastAsia="cs-CZ"/>
              </w:rPr>
              <w:t>330 221</w:t>
            </w:r>
          </w:p>
          <w:p w:rsidR="009A036B" w:rsidRPr="00527F53" w:rsidRDefault="009A036B" w:rsidP="009A036B">
            <w:pPr>
              <w:jc w:val="right"/>
              <w:rPr>
                <w:rFonts w:eastAsia="Times New Roman" w:cs="Times New Roman"/>
                <w:sz w:val="20"/>
                <w:szCs w:val="20"/>
                <w:lang w:eastAsia="cs-CZ"/>
              </w:rPr>
            </w:pPr>
            <w:r w:rsidRPr="00527F53">
              <w:rPr>
                <w:rFonts w:eastAsia="Times New Roman" w:cs="Times New Roman"/>
                <w:sz w:val="20"/>
                <w:szCs w:val="20"/>
                <w:lang w:eastAsia="cs-CZ"/>
              </w:rPr>
              <w:t>78 026</w:t>
            </w:r>
          </w:p>
          <w:p w:rsidR="009A036B" w:rsidRPr="00402994" w:rsidRDefault="009A036B" w:rsidP="009A036B">
            <w:pPr>
              <w:tabs>
                <w:tab w:val="center" w:pos="560"/>
                <w:tab w:val="right" w:pos="1120"/>
              </w:tabs>
              <w:jc w:val="right"/>
              <w:rPr>
                <w:rFonts w:eastAsia="Times New Roman" w:cs="Times New Roman"/>
                <w:color w:val="FF0000"/>
                <w:sz w:val="20"/>
                <w:szCs w:val="20"/>
                <w:lang w:eastAsia="cs-CZ"/>
              </w:rPr>
            </w:pPr>
            <w:r w:rsidRPr="007E7D14">
              <w:rPr>
                <w:rFonts w:eastAsia="Times New Roman" w:cs="Times New Roman"/>
                <w:sz w:val="20"/>
                <w:szCs w:val="20"/>
                <w:lang w:eastAsia="cs-CZ"/>
              </w:rPr>
              <w:t xml:space="preserve">142 491      </w:t>
            </w:r>
          </w:p>
        </w:tc>
        <w:tc>
          <w:tcPr>
            <w:tcW w:w="997" w:type="dxa"/>
            <w:tcBorders>
              <w:top w:val="single" w:sz="8" w:space="0" w:color="7F7F7F" w:themeColor="text1" w:themeTint="80"/>
            </w:tcBorders>
            <w:shd w:val="clear" w:color="auto" w:fill="auto"/>
            <w:vAlign w:val="center"/>
          </w:tcPr>
          <w:p w:rsidR="009A036B" w:rsidRPr="002A6F4D" w:rsidRDefault="009A036B" w:rsidP="009A036B">
            <w:pPr>
              <w:jc w:val="right"/>
              <w:rPr>
                <w:rFonts w:eastAsia="Times New Roman" w:cs="Times New Roman"/>
                <w:b/>
                <w:lang w:eastAsia="cs-CZ"/>
              </w:rPr>
            </w:pPr>
            <w:r w:rsidRPr="002A6F4D">
              <w:rPr>
                <w:rFonts w:eastAsia="Times New Roman" w:cs="Times New Roman"/>
                <w:b/>
                <w:lang w:eastAsia="cs-CZ"/>
              </w:rPr>
              <w:t>137,83</w:t>
            </w:r>
          </w:p>
          <w:p w:rsidR="009A036B" w:rsidRPr="002A6F4D" w:rsidRDefault="009A036B" w:rsidP="009A036B">
            <w:pPr>
              <w:jc w:val="right"/>
              <w:rPr>
                <w:rFonts w:eastAsia="Times New Roman" w:cs="Times New Roman"/>
                <w:sz w:val="20"/>
                <w:szCs w:val="24"/>
                <w:lang w:eastAsia="cs-CZ"/>
              </w:rPr>
            </w:pPr>
            <w:r w:rsidRPr="002A6F4D">
              <w:rPr>
                <w:rFonts w:eastAsia="Times New Roman" w:cs="Times New Roman"/>
                <w:sz w:val="20"/>
                <w:szCs w:val="24"/>
                <w:lang w:eastAsia="cs-CZ"/>
              </w:rPr>
              <w:t>110,42</w:t>
            </w:r>
          </w:p>
          <w:p w:rsidR="009A036B" w:rsidRPr="002A6F4D" w:rsidRDefault="009A036B" w:rsidP="009A036B">
            <w:pPr>
              <w:jc w:val="right"/>
              <w:rPr>
                <w:rFonts w:eastAsia="Times New Roman" w:cs="Times New Roman"/>
                <w:sz w:val="20"/>
                <w:szCs w:val="24"/>
                <w:lang w:eastAsia="cs-CZ"/>
              </w:rPr>
            </w:pPr>
            <w:r w:rsidRPr="002A6F4D">
              <w:rPr>
                <w:rFonts w:eastAsia="Times New Roman" w:cs="Times New Roman"/>
                <w:sz w:val="20"/>
                <w:szCs w:val="24"/>
                <w:lang w:eastAsia="cs-CZ"/>
              </w:rPr>
              <w:t>69,44</w:t>
            </w:r>
          </w:p>
          <w:p w:rsidR="009A036B" w:rsidRPr="002A6F4D" w:rsidRDefault="009A036B" w:rsidP="009A036B">
            <w:pPr>
              <w:jc w:val="right"/>
              <w:rPr>
                <w:rFonts w:eastAsia="Times New Roman" w:cs="Times New Roman"/>
                <w:sz w:val="20"/>
                <w:szCs w:val="24"/>
                <w:lang w:eastAsia="cs-CZ"/>
              </w:rPr>
            </w:pPr>
            <w:r w:rsidRPr="002A6F4D">
              <w:rPr>
                <w:rFonts w:eastAsia="Times New Roman" w:cs="Times New Roman"/>
                <w:sz w:val="20"/>
                <w:szCs w:val="24"/>
                <w:lang w:eastAsia="cs-CZ"/>
              </w:rPr>
              <w:t>66,63</w:t>
            </w:r>
          </w:p>
          <w:p w:rsidR="009A036B" w:rsidRPr="00402994" w:rsidRDefault="009A036B" w:rsidP="009A036B">
            <w:pPr>
              <w:jc w:val="right"/>
              <w:rPr>
                <w:rFonts w:eastAsia="Times New Roman" w:cs="Times New Roman"/>
                <w:color w:val="FF0000"/>
                <w:sz w:val="20"/>
                <w:szCs w:val="20"/>
                <w:lang w:eastAsia="cs-CZ"/>
              </w:rPr>
            </w:pPr>
          </w:p>
        </w:tc>
      </w:tr>
    </w:tbl>
    <w:p w:rsidR="00857587" w:rsidRPr="0001421C" w:rsidRDefault="00857587" w:rsidP="00857587">
      <w:pPr>
        <w:rPr>
          <w:rFonts w:cs="Times New Roman"/>
          <w:bCs/>
          <w:color w:val="FF0000"/>
          <w:szCs w:val="24"/>
        </w:rPr>
      </w:pPr>
      <w:r w:rsidRPr="0001421C">
        <w:rPr>
          <w:color w:val="FF0000"/>
        </w:rPr>
        <w:t xml:space="preserve">                                                                                                                                                                                        </w:t>
      </w:r>
    </w:p>
    <w:p w:rsidR="00857587" w:rsidRPr="004717A0" w:rsidRDefault="00857587" w:rsidP="00857587">
      <w:pPr>
        <w:pStyle w:val="Titulek"/>
        <w:keepNext/>
      </w:pPr>
      <w:bookmarkStart w:id="39" w:name="_Toc526424762"/>
      <w:bookmarkStart w:id="40" w:name="_Toc463338096"/>
      <w:r w:rsidRPr="004717A0">
        <w:lastRenderedPageBreak/>
        <w:t xml:space="preserve">Graf č. </w:t>
      </w:r>
      <w:r w:rsidR="0001421C" w:rsidRPr="004717A0">
        <w:rPr>
          <w:noProof/>
        </w:rPr>
        <w:fldChar w:fldCharType="begin"/>
      </w:r>
      <w:r w:rsidR="0001421C" w:rsidRPr="004717A0">
        <w:rPr>
          <w:noProof/>
        </w:rPr>
        <w:instrText xml:space="preserve"> SEQ Graf_č. \* ARABIC </w:instrText>
      </w:r>
      <w:r w:rsidR="0001421C" w:rsidRPr="004717A0">
        <w:rPr>
          <w:noProof/>
        </w:rPr>
        <w:fldChar w:fldCharType="separate"/>
      </w:r>
      <w:r w:rsidR="00AF5225">
        <w:rPr>
          <w:noProof/>
        </w:rPr>
        <w:t>5</w:t>
      </w:r>
      <w:r w:rsidR="0001421C" w:rsidRPr="004717A0">
        <w:rPr>
          <w:noProof/>
        </w:rPr>
        <w:fldChar w:fldCharType="end"/>
      </w:r>
      <w:r w:rsidRPr="004717A0">
        <w:t>: Členění běžných výdajů</w:t>
      </w:r>
      <w:bookmarkEnd w:id="39"/>
      <w:r w:rsidRPr="004717A0">
        <w:t xml:space="preserve"> </w:t>
      </w:r>
      <w:bookmarkEnd w:id="40"/>
    </w:p>
    <w:p w:rsidR="00857587" w:rsidRPr="0001421C" w:rsidRDefault="004717A0" w:rsidP="00857587">
      <w:pPr>
        <w:pStyle w:val="obyctext"/>
        <w:ind w:firstLine="0"/>
        <w:rPr>
          <w:color w:val="FF0000"/>
        </w:rPr>
      </w:pPr>
      <w:r>
        <w:rPr>
          <w:noProof/>
        </w:rPr>
        <w:drawing>
          <wp:inline distT="0" distB="0" distL="0" distR="0" wp14:anchorId="3AFDD8B3" wp14:editId="37E11E4C">
            <wp:extent cx="5760720" cy="2701925"/>
            <wp:effectExtent l="0" t="0" r="11430" b="3175"/>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A036B" w:rsidRDefault="009A036B" w:rsidP="007B2F4B">
      <w:pPr>
        <w:pStyle w:val="Nadpis3"/>
      </w:pPr>
      <w:bookmarkStart w:id="41" w:name="_Toc462314390"/>
      <w:bookmarkStart w:id="42" w:name="_Toc526424689"/>
      <w:r w:rsidRPr="00FB2717">
        <w:t xml:space="preserve">Běžné </w:t>
      </w:r>
      <w:r w:rsidRPr="007B2F4B">
        <w:t>výdaje</w:t>
      </w:r>
      <w:r w:rsidRPr="00FB2717">
        <w:t xml:space="preserve"> organizačních složek státu bez podseskupení položek 521, 522, 531, 532, 533, 551, 553, 554 a 5193</w:t>
      </w:r>
      <w:bookmarkEnd w:id="41"/>
      <w:bookmarkEnd w:id="42"/>
    </w:p>
    <w:p w:rsidR="009A036B" w:rsidRPr="00880811" w:rsidRDefault="009A036B" w:rsidP="001D1C48">
      <w:pPr>
        <w:pStyle w:val="Styl1"/>
      </w:pPr>
      <w:r w:rsidRPr="00E37DDE">
        <w:t xml:space="preserve">Navrhovaný objem běžných výdajů po vyloučení podseskupení položek rozpočtové skladby 521, 522, 531, 532, 533, 551, 553, 554 a položky 5193 ve výši </w:t>
      </w:r>
      <w:r w:rsidRPr="002B2CDF">
        <w:t xml:space="preserve">7 606 816 tis. Kč, </w:t>
      </w:r>
      <w:r w:rsidRPr="0001421C">
        <w:rPr>
          <w:color w:val="FF0000"/>
        </w:rPr>
        <w:br/>
      </w:r>
      <w:r w:rsidRPr="00880811">
        <w:t xml:space="preserve">tj. 278,27 % schváleného rozpočtu na rok 2018, je určen na financování orgánů státní správy </w:t>
      </w:r>
      <w:r w:rsidRPr="00880811">
        <w:br/>
        <w:t>a ostatní organizační složky státu.</w:t>
      </w:r>
    </w:p>
    <w:p w:rsidR="009A036B" w:rsidRPr="00DA42E9" w:rsidRDefault="009A036B" w:rsidP="009A036B">
      <w:pPr>
        <w:pStyle w:val="obyctext"/>
        <w:rPr>
          <w:b/>
        </w:rPr>
      </w:pPr>
      <w:r w:rsidRPr="00DA42E9">
        <w:rPr>
          <w:b/>
        </w:rPr>
        <w:t>Organizační složky státu zajišťující výkon státní správy:</w:t>
      </w:r>
    </w:p>
    <w:p w:rsidR="009A036B" w:rsidRPr="00B54FFD" w:rsidRDefault="009A036B" w:rsidP="00876F5F">
      <w:pPr>
        <w:pStyle w:val="Styl1"/>
        <w:numPr>
          <w:ilvl w:val="0"/>
          <w:numId w:val="26"/>
        </w:numPr>
        <w:spacing w:after="0"/>
        <w:ind w:left="851" w:hanging="284"/>
      </w:pPr>
      <w:r w:rsidRPr="00B54FFD">
        <w:t>Ústřední orgán Ministerstva dopravy (ÚO MD)</w:t>
      </w:r>
    </w:p>
    <w:p w:rsidR="009A036B" w:rsidRPr="00B54FFD" w:rsidRDefault="009A036B" w:rsidP="00876F5F">
      <w:pPr>
        <w:pStyle w:val="Styl1"/>
        <w:numPr>
          <w:ilvl w:val="0"/>
          <w:numId w:val="26"/>
        </w:numPr>
        <w:spacing w:after="0"/>
        <w:ind w:left="851" w:hanging="284"/>
      </w:pPr>
      <w:r w:rsidRPr="00B54FFD">
        <w:t>Úřad pro civilní letectví (ÚCL)</w:t>
      </w:r>
    </w:p>
    <w:p w:rsidR="009A036B" w:rsidRPr="00B54FFD" w:rsidRDefault="009A036B" w:rsidP="00876F5F">
      <w:pPr>
        <w:pStyle w:val="Styl1"/>
        <w:numPr>
          <w:ilvl w:val="0"/>
          <w:numId w:val="26"/>
        </w:numPr>
        <w:spacing w:after="0"/>
        <w:ind w:left="851" w:hanging="284"/>
      </w:pPr>
      <w:r w:rsidRPr="00B54FFD">
        <w:t>Státní plavební správa (SPS)</w:t>
      </w:r>
    </w:p>
    <w:p w:rsidR="009A036B" w:rsidRPr="00B54FFD" w:rsidRDefault="009A036B" w:rsidP="00876F5F">
      <w:pPr>
        <w:pStyle w:val="Styl1"/>
        <w:numPr>
          <w:ilvl w:val="0"/>
          <w:numId w:val="26"/>
        </w:numPr>
        <w:spacing w:after="0"/>
        <w:ind w:left="851" w:hanging="284"/>
      </w:pPr>
      <w:r w:rsidRPr="00B54FFD">
        <w:t>Drážní úřad (DÚ)</w:t>
      </w:r>
    </w:p>
    <w:p w:rsidR="009A036B" w:rsidRPr="00B54FFD" w:rsidRDefault="009A036B" w:rsidP="00876F5F">
      <w:pPr>
        <w:pStyle w:val="Styl1"/>
        <w:numPr>
          <w:ilvl w:val="0"/>
          <w:numId w:val="26"/>
        </w:numPr>
        <w:spacing w:after="0"/>
        <w:ind w:left="851" w:hanging="284"/>
      </w:pPr>
      <w:r w:rsidRPr="00B54FFD">
        <w:t>Drážní inspekce (DI)</w:t>
      </w:r>
    </w:p>
    <w:p w:rsidR="009A036B" w:rsidRPr="00B54FFD" w:rsidRDefault="009A036B" w:rsidP="00876F5F">
      <w:pPr>
        <w:pStyle w:val="Styl1"/>
        <w:numPr>
          <w:ilvl w:val="0"/>
          <w:numId w:val="26"/>
        </w:numPr>
        <w:spacing w:after="0"/>
        <w:ind w:left="851" w:hanging="284"/>
      </w:pPr>
      <w:r w:rsidRPr="00B54FFD">
        <w:t>Ústav pro odborné zjišťování příčin leteckých nehod (ÚZPLN)</w:t>
      </w:r>
    </w:p>
    <w:p w:rsidR="009A036B" w:rsidRPr="00DA42E9" w:rsidRDefault="009A036B" w:rsidP="00876F5F">
      <w:pPr>
        <w:pStyle w:val="obyctext"/>
        <w:spacing w:before="240"/>
        <w:rPr>
          <w:b/>
        </w:rPr>
      </w:pPr>
      <w:r w:rsidRPr="00DA42E9">
        <w:rPr>
          <w:b/>
        </w:rPr>
        <w:t>Ostatní organizační složky státu:</w:t>
      </w:r>
    </w:p>
    <w:p w:rsidR="009A036B" w:rsidRPr="00B54FFD" w:rsidRDefault="009A036B" w:rsidP="00F04969">
      <w:pPr>
        <w:pStyle w:val="Styl1"/>
        <w:numPr>
          <w:ilvl w:val="0"/>
          <w:numId w:val="27"/>
        </w:numPr>
        <w:ind w:left="851" w:hanging="284"/>
      </w:pPr>
      <w:r w:rsidRPr="00B54FFD">
        <w:t>Ředitelství vodních cest ČR (ŘVC ČR)</w:t>
      </w:r>
    </w:p>
    <w:p w:rsidR="009A036B" w:rsidRDefault="009A036B" w:rsidP="001D1C48">
      <w:pPr>
        <w:pStyle w:val="Styl1"/>
      </w:pPr>
      <w:r w:rsidRPr="00477023">
        <w:t>Výše navržených běžn</w:t>
      </w:r>
      <w:r>
        <w:t>ých výdajů je výrazně ovlivněna</w:t>
      </w:r>
      <w:r w:rsidRPr="00477023">
        <w:t xml:space="preserve"> zejména</w:t>
      </w:r>
      <w:r w:rsidRPr="00477023">
        <w:rPr>
          <w:rFonts w:asciiTheme="minorHAnsi" w:eastAsiaTheme="minorHAnsi" w:hAnsiTheme="minorHAnsi" w:cstheme="minorBidi"/>
          <w:sz w:val="22"/>
          <w:szCs w:val="22"/>
          <w:lang w:eastAsia="en-US"/>
        </w:rPr>
        <w:t xml:space="preserve"> </w:t>
      </w:r>
      <w:r>
        <w:t>výdaji</w:t>
      </w:r>
      <w:r w:rsidRPr="00477023">
        <w:t xml:space="preserve"> na kompenzaci ztráty vznikající dopravcům ve veřejné osobní dopravě přiznáváním stát</w:t>
      </w:r>
      <w:r>
        <w:t xml:space="preserve">em nařízených </w:t>
      </w:r>
      <w:r w:rsidR="00DA42E9">
        <w:t>slev,</w:t>
      </w:r>
      <w:r w:rsidR="00DA42E9" w:rsidRPr="00477023">
        <w:t xml:space="preserve"> dopadem</w:t>
      </w:r>
      <w:r w:rsidRPr="00477023">
        <w:t xml:space="preserve"> zabezpečení činností spojených s dopravně správními agendami vyplývajících </w:t>
      </w:r>
      <w:r w:rsidR="003A20EE">
        <w:br/>
      </w:r>
      <w:r w:rsidRPr="00477023">
        <w:t xml:space="preserve">ze zákona č. 247/2000 Sb., o získávání a zdokonalování odborné způsobilosti k řízení motorových vozidel a o změnách některých zákonů, ve znění pozdějších úprav, zákona </w:t>
      </w:r>
      <w:r w:rsidR="003A20EE">
        <w:br/>
      </w:r>
      <w:r w:rsidRPr="00477023">
        <w:t xml:space="preserve">č. 361/2000 Sb., o provozu na pozemních komunikacích a o změnách některých zákonů, </w:t>
      </w:r>
      <w:r w:rsidR="003A20EE">
        <w:br/>
      </w:r>
      <w:r w:rsidRPr="00477023">
        <w:t xml:space="preserve">ve znění pozdějších úprav, zákona č. 56/2001 Sb., o podmínkách provozu vozidel na pozemních komunikacích a o změně zákona č. 168/1999 Sb., o pojištění odpovědnosti za škodu způsobenou provozem vozidla a o změně některých souvisejících zákonů, ve znění pozdějších úprav. Další výdaje vyplynuly zejména ze zákona č. 240/2000 Sb., o krizovém řízení a o změně některých zákonů, ve znění pozdějších úprav a ze zákona č. 241/2000 Sb., o hospodářských </w:t>
      </w:r>
      <w:r w:rsidRPr="00477023">
        <w:lastRenderedPageBreak/>
        <w:t>opatřeních pro krizové stavy a o změně některých souvisejících zákonů, ve znění pozdějších úprav.</w:t>
      </w:r>
    </w:p>
    <w:p w:rsidR="00F624F2" w:rsidRPr="000339E1" w:rsidRDefault="00F624F2" w:rsidP="007B2F4B">
      <w:pPr>
        <w:pStyle w:val="Nadpis3"/>
      </w:pPr>
      <w:bookmarkStart w:id="43" w:name="_Toc526424690"/>
      <w:r w:rsidRPr="007B2F4B">
        <w:t>Mzdové</w:t>
      </w:r>
      <w:r w:rsidRPr="000339E1">
        <w:t xml:space="preserve"> výdaje a počty pracovníků za OSS a PO</w:t>
      </w:r>
      <w:bookmarkEnd w:id="38"/>
      <w:bookmarkEnd w:id="43"/>
    </w:p>
    <w:p w:rsidR="002C756F" w:rsidRPr="002C756F" w:rsidRDefault="002C756F" w:rsidP="002C756F">
      <w:pPr>
        <w:pStyle w:val="obyctext"/>
        <w:spacing w:before="240" w:after="0"/>
        <w:rPr>
          <w:b/>
          <w:u w:val="single"/>
        </w:rPr>
      </w:pPr>
      <w:bookmarkStart w:id="44" w:name="_Toc462314392"/>
      <w:r w:rsidRPr="002C756F">
        <w:rPr>
          <w:b/>
          <w:u w:val="single"/>
        </w:rPr>
        <w:t>A) Objem výdajů na platy a ostatní platby za provedenou práci</w:t>
      </w:r>
    </w:p>
    <w:p w:rsidR="002C756F" w:rsidRPr="002C756F" w:rsidRDefault="002C756F" w:rsidP="002C756F">
      <w:pPr>
        <w:pStyle w:val="obyctext"/>
        <w:spacing w:after="0"/>
      </w:pPr>
      <w:r w:rsidRPr="002C756F">
        <w:t>Objem výdajů na platy a ostatní platby za provedenou práci organizačních složek státu (Ústřední orgán MD „ÚO MD“, Úřad pro civilní letectví „ÚCL“, Státní plavební správa „SPS“, Drážní úřad „DÚ“, Drážní inspekce „DI“, Ústav pro odborné zjišťování příčin leteckých nehod „ÚZPLN“ a Ředitelství vodních cest ČR „ŘVC ČR“) a objem mzdových nákladů příspěvkové organizace (Centrum služeb pro silniční dopravu „CSPSD“) je navrhován v celkové výši 561 690 tis. Kč, což představuje snížení o 17 735 tis. Kč oproti roku 2018, kdy byl objem prostředků ve výši 579 425 tis. Kč.</w:t>
      </w:r>
    </w:p>
    <w:p w:rsidR="002C756F" w:rsidRPr="002C756F" w:rsidRDefault="002C756F" w:rsidP="002C756F">
      <w:pPr>
        <w:pStyle w:val="obyctext"/>
        <w:spacing w:before="240" w:after="0"/>
        <w:rPr>
          <w:b/>
        </w:rPr>
      </w:pPr>
      <w:r w:rsidRPr="002C756F">
        <w:rPr>
          <w:b/>
        </w:rPr>
        <w:t xml:space="preserve">V oblasti platů a ostatních plateb za provedenou práci bylo ve směrném čísle promítnuto na rok 2019 oproti předchozímu roku: </w:t>
      </w:r>
    </w:p>
    <w:p w:rsidR="00AC16D8" w:rsidRPr="00AC16D8" w:rsidRDefault="00AC16D8" w:rsidP="00D71937">
      <w:pPr>
        <w:pStyle w:val="obyctext"/>
        <w:numPr>
          <w:ilvl w:val="0"/>
          <w:numId w:val="50"/>
        </w:numPr>
        <w:tabs>
          <w:tab w:val="left" w:pos="426"/>
        </w:tabs>
        <w:spacing w:before="60" w:after="0"/>
        <w:ind w:left="851" w:hanging="284"/>
      </w:pPr>
      <w:r w:rsidRPr="00AC16D8">
        <w:rPr>
          <w:b/>
        </w:rPr>
        <w:t>krácení</w:t>
      </w:r>
      <w:r w:rsidRPr="00AC16D8">
        <w:t xml:space="preserve"> objemu prostředků SR na platy nad 3% míru neobsazenosti ke konci </w:t>
      </w:r>
      <w:r w:rsidR="00D71937">
        <w:br/>
      </w:r>
      <w:r w:rsidRPr="00AC16D8">
        <w:t xml:space="preserve">1. čtvrtletí 2018, tj. snížení ve výši </w:t>
      </w:r>
      <w:r w:rsidRPr="00AC16D8">
        <w:rPr>
          <w:b/>
        </w:rPr>
        <w:t>27 798 tis. Kč;</w:t>
      </w:r>
    </w:p>
    <w:p w:rsidR="00AC16D8" w:rsidRPr="00AC16D8" w:rsidRDefault="00AC16D8" w:rsidP="00D71937">
      <w:pPr>
        <w:pStyle w:val="obyctext"/>
        <w:numPr>
          <w:ilvl w:val="0"/>
          <w:numId w:val="50"/>
        </w:numPr>
        <w:tabs>
          <w:tab w:val="left" w:pos="426"/>
        </w:tabs>
        <w:spacing w:before="60" w:after="0"/>
        <w:ind w:left="851" w:hanging="284"/>
        <w:rPr>
          <w:b/>
        </w:rPr>
      </w:pPr>
      <w:r w:rsidRPr="00AC16D8">
        <w:rPr>
          <w:b/>
        </w:rPr>
        <w:t xml:space="preserve">krácení </w:t>
      </w:r>
      <w:r w:rsidRPr="00AC16D8">
        <w:t xml:space="preserve">objemu prostředků z fondů EU (SR a EU podíl) na platy nad 3% míru neobsazenosti ke konci 1. čtvrtletí 2018 ve výši </w:t>
      </w:r>
      <w:r w:rsidRPr="00AC16D8">
        <w:rPr>
          <w:b/>
        </w:rPr>
        <w:t>18 351 tis. Kč;</w:t>
      </w:r>
    </w:p>
    <w:p w:rsidR="00AC16D8" w:rsidRPr="00AC16D8" w:rsidRDefault="00AC16D8" w:rsidP="00D71937">
      <w:pPr>
        <w:pStyle w:val="obyctext"/>
        <w:numPr>
          <w:ilvl w:val="0"/>
          <w:numId w:val="50"/>
        </w:numPr>
        <w:tabs>
          <w:tab w:val="left" w:pos="426"/>
        </w:tabs>
        <w:spacing w:before="60" w:after="0"/>
        <w:ind w:left="851" w:hanging="284"/>
      </w:pPr>
      <w:r w:rsidRPr="00AC16D8">
        <w:rPr>
          <w:b/>
        </w:rPr>
        <w:t>snížení</w:t>
      </w:r>
      <w:r w:rsidRPr="00AC16D8">
        <w:t xml:space="preserve"> objemu prostředků na platy a ostatní platby za p</w:t>
      </w:r>
      <w:r w:rsidR="00D71937">
        <w:t xml:space="preserve">rovedenou práci z fondů EU (SR </w:t>
      </w:r>
      <w:r w:rsidRPr="00AC16D8">
        <w:t xml:space="preserve">a EU podíl) ve vazbě na nevyčerpané nároky z předchozích let a ve vazbě </w:t>
      </w:r>
      <w:r w:rsidR="00D71937">
        <w:br/>
      </w:r>
      <w:r w:rsidRPr="00AC16D8">
        <w:t xml:space="preserve">na stanovenou nižší částku u Komunitárních programů (některé projekty skončily </w:t>
      </w:r>
      <w:r w:rsidR="00D71937">
        <w:br/>
      </w:r>
      <w:r w:rsidRPr="00AC16D8">
        <w:t xml:space="preserve">v roce 2018) ve výši </w:t>
      </w:r>
      <w:r w:rsidRPr="00AC16D8">
        <w:rPr>
          <w:b/>
        </w:rPr>
        <w:t>7 096 tis. Kč;</w:t>
      </w:r>
      <w:r w:rsidRPr="00AC16D8">
        <w:t xml:space="preserve"> </w:t>
      </w:r>
    </w:p>
    <w:p w:rsidR="00AC16D8" w:rsidRPr="00AC16D8" w:rsidRDefault="00AC16D8" w:rsidP="00D71937">
      <w:pPr>
        <w:pStyle w:val="obyctext"/>
        <w:numPr>
          <w:ilvl w:val="0"/>
          <w:numId w:val="50"/>
        </w:numPr>
        <w:tabs>
          <w:tab w:val="left" w:pos="426"/>
        </w:tabs>
        <w:spacing w:before="60" w:after="0"/>
        <w:ind w:left="851" w:hanging="284"/>
      </w:pPr>
      <w:r w:rsidRPr="00AC16D8">
        <w:rPr>
          <w:b/>
        </w:rPr>
        <w:t>navýšení</w:t>
      </w:r>
      <w:r w:rsidRPr="00AC16D8">
        <w:t xml:space="preserve"> prostředků na platy o 6 % v souladu s UV č. 379/2018 ve výši </w:t>
      </w:r>
      <w:r w:rsidR="00D71937">
        <w:br/>
      </w:r>
      <w:r w:rsidRPr="00AC16D8">
        <w:rPr>
          <w:b/>
        </w:rPr>
        <w:t>29 377 tis. Kč;</w:t>
      </w:r>
    </w:p>
    <w:p w:rsidR="00AC16D8" w:rsidRPr="00AC16D8" w:rsidRDefault="00AC16D8" w:rsidP="00D71937">
      <w:pPr>
        <w:pStyle w:val="obyctext"/>
        <w:numPr>
          <w:ilvl w:val="0"/>
          <w:numId w:val="50"/>
        </w:numPr>
        <w:tabs>
          <w:tab w:val="left" w:pos="426"/>
        </w:tabs>
        <w:spacing w:before="60" w:after="0"/>
        <w:ind w:left="851" w:hanging="284"/>
      </w:pPr>
      <w:r w:rsidRPr="00AC16D8">
        <w:rPr>
          <w:b/>
        </w:rPr>
        <w:t>navýšení</w:t>
      </w:r>
      <w:r w:rsidRPr="00AC16D8">
        <w:t xml:space="preserve"> prostředků na platy o 500 Kč/zaměstnanec/měsíc u obsazených míst s </w:t>
      </w:r>
      <w:proofErr w:type="gramStart"/>
      <w:r w:rsidRPr="00AC16D8">
        <w:t>toleranci</w:t>
      </w:r>
      <w:proofErr w:type="gramEnd"/>
      <w:r w:rsidRPr="00AC16D8">
        <w:t xml:space="preserve"> 3% míry neobsazenosti ke konci 1. čtvrtletí 2018 v so</w:t>
      </w:r>
      <w:r w:rsidR="00D71937">
        <w:t xml:space="preserve">uladu </w:t>
      </w:r>
      <w:r w:rsidR="00D71937">
        <w:br/>
        <w:t xml:space="preserve">s UV č. 588/2018 ve výši </w:t>
      </w:r>
      <w:r w:rsidRPr="00AC16D8">
        <w:rPr>
          <w:b/>
        </w:rPr>
        <w:t>5 443 tis. Kč</w:t>
      </w:r>
      <w:r w:rsidRPr="00AC16D8">
        <w:t xml:space="preserve"> (v tom: prostředky na platy ve výši </w:t>
      </w:r>
      <w:r w:rsidR="00D71937">
        <w:br/>
      </w:r>
      <w:r w:rsidRPr="00AC16D8">
        <w:t>5 356 tis. Kč a platy představitelů státní moci ve výši 87 tis. Kč);</w:t>
      </w:r>
    </w:p>
    <w:p w:rsidR="00AC16D8" w:rsidRPr="00AC16D8" w:rsidRDefault="00AC16D8" w:rsidP="00D71937">
      <w:pPr>
        <w:pStyle w:val="obyctext"/>
        <w:numPr>
          <w:ilvl w:val="0"/>
          <w:numId w:val="50"/>
        </w:numPr>
        <w:tabs>
          <w:tab w:val="left" w:pos="426"/>
        </w:tabs>
        <w:spacing w:before="60" w:after="0"/>
        <w:ind w:left="851" w:hanging="284"/>
      </w:pPr>
      <w:r w:rsidRPr="00AC16D8">
        <w:t xml:space="preserve">navýšení výdajů na ostatní </w:t>
      </w:r>
      <w:r w:rsidR="00ED1974">
        <w:t xml:space="preserve">platby za provedenou práci </w:t>
      </w:r>
      <w:r w:rsidRPr="00AC16D8">
        <w:t>ve výši 1 500 tis. Kč v souladu s usnesením Poslanecké sněmovny č. 1583 z 55. schůze ze dne 2. března 2017 k informaci ministra dopravy k problematice vysokorychlostních tratí (ve schváleném rozpočtu na rok 2018 byla částka navýšená jen pro rok 2018 bez vazby na rok 2019, tzn. ve srovnání základen 2018 a 2019 to vychází součtově 0 Kč);</w:t>
      </w:r>
    </w:p>
    <w:p w:rsidR="00AC16D8" w:rsidRPr="00AC16D8" w:rsidRDefault="00AC16D8" w:rsidP="00D71937">
      <w:pPr>
        <w:pStyle w:val="obyctext"/>
        <w:numPr>
          <w:ilvl w:val="0"/>
          <w:numId w:val="50"/>
        </w:numPr>
        <w:tabs>
          <w:tab w:val="left" w:pos="426"/>
        </w:tabs>
        <w:spacing w:before="60" w:after="0"/>
        <w:ind w:left="851" w:hanging="284"/>
      </w:pPr>
      <w:r w:rsidRPr="00AC16D8">
        <w:rPr>
          <w:b/>
        </w:rPr>
        <w:t>navýšení</w:t>
      </w:r>
      <w:r w:rsidRPr="00AC16D8">
        <w:t xml:space="preserve"> prostředků na plat představitele státní moci ve výši </w:t>
      </w:r>
      <w:r w:rsidRPr="00AC16D8">
        <w:rPr>
          <w:b/>
        </w:rPr>
        <w:t>251 tis. Kč</w:t>
      </w:r>
      <w:r w:rsidRPr="00AC16D8">
        <w:t xml:space="preserve"> v závislosti na aktualizaci platů ústavních činitelů na </w:t>
      </w:r>
      <w:r w:rsidR="0052402E">
        <w:t>data ČSÚ (jedná se o vliv ze střednědobého výhledu</w:t>
      </w:r>
      <w:r w:rsidRPr="00AC16D8">
        <w:t xml:space="preserve"> při zpracování návrhu SR na rok 2018);</w:t>
      </w:r>
    </w:p>
    <w:p w:rsidR="00AC16D8" w:rsidRPr="00AC16D8" w:rsidRDefault="00AC16D8" w:rsidP="00D71937">
      <w:pPr>
        <w:pStyle w:val="obyctext"/>
        <w:numPr>
          <w:ilvl w:val="0"/>
          <w:numId w:val="50"/>
        </w:numPr>
        <w:tabs>
          <w:tab w:val="left" w:pos="426"/>
        </w:tabs>
        <w:spacing w:before="60" w:after="0"/>
        <w:ind w:left="851" w:hanging="284"/>
        <w:rPr>
          <w:b/>
        </w:rPr>
      </w:pPr>
      <w:r w:rsidRPr="00AC16D8">
        <w:rPr>
          <w:b/>
        </w:rPr>
        <w:t>navýšení</w:t>
      </w:r>
      <w:r w:rsidRPr="00AC16D8">
        <w:t xml:space="preserve"> prostředků na platy ve výši </w:t>
      </w:r>
      <w:r w:rsidRPr="00AC16D8">
        <w:rPr>
          <w:b/>
        </w:rPr>
        <w:t>439 tis. Kč</w:t>
      </w:r>
      <w:r w:rsidRPr="00AC16D8">
        <w:t xml:space="preserve"> z důvodu nárůstů počtu žádostí </w:t>
      </w:r>
      <w:r w:rsidR="00D71937">
        <w:br/>
      </w:r>
      <w:r w:rsidRPr="00AC16D8">
        <w:t>o vůdce malého plavidla a rozšiřování splavnosti vodní</w:t>
      </w:r>
      <w:r w:rsidR="0052402E">
        <w:t xml:space="preserve">ch ploch (jedná se o vliv </w:t>
      </w:r>
      <w:r w:rsidR="00D71937">
        <w:br/>
      </w:r>
      <w:r w:rsidR="0052402E">
        <w:t>ze střednědobého výhledu</w:t>
      </w:r>
      <w:r w:rsidRPr="00AC16D8">
        <w:t xml:space="preserve"> při zpracování návrhu SR na rok </w:t>
      </w:r>
      <w:proofErr w:type="gramStart"/>
      <w:r w:rsidRPr="00AC16D8">
        <w:t>2018) ;</w:t>
      </w:r>
      <w:proofErr w:type="gramEnd"/>
    </w:p>
    <w:p w:rsidR="00AC16D8" w:rsidRPr="00AC16D8" w:rsidRDefault="00AC16D8" w:rsidP="00D71937">
      <w:pPr>
        <w:pStyle w:val="obyctext"/>
        <w:numPr>
          <w:ilvl w:val="0"/>
          <w:numId w:val="50"/>
        </w:numPr>
        <w:tabs>
          <w:tab w:val="left" w:pos="426"/>
        </w:tabs>
        <w:spacing w:before="60" w:after="0"/>
        <w:ind w:left="851" w:hanging="284"/>
      </w:pPr>
      <w:r w:rsidRPr="00AC16D8">
        <w:t xml:space="preserve">schválená změna systemizace s účinnosti od </w:t>
      </w:r>
      <w:proofErr w:type="gramStart"/>
      <w:r w:rsidRPr="00AC16D8">
        <w:t>1.1.2018</w:t>
      </w:r>
      <w:proofErr w:type="gramEnd"/>
      <w:r w:rsidRPr="00AC16D8">
        <w:t xml:space="preserve"> – UV č. 895/2017 a od 1.6.2018 – UV č. 332/2018 a MV.</w:t>
      </w:r>
    </w:p>
    <w:p w:rsidR="002C756F" w:rsidRDefault="002C756F" w:rsidP="002C756F">
      <w:pPr>
        <w:pStyle w:val="obyctext"/>
        <w:tabs>
          <w:tab w:val="left" w:pos="567"/>
        </w:tabs>
        <w:spacing w:before="240" w:after="0"/>
        <w:ind w:firstLine="0"/>
        <w:rPr>
          <w:b/>
        </w:rPr>
      </w:pPr>
      <w:r w:rsidRPr="002C756F">
        <w:rPr>
          <w:b/>
        </w:rPr>
        <w:tab/>
      </w:r>
    </w:p>
    <w:p w:rsidR="002C756F" w:rsidRDefault="002C756F" w:rsidP="002C756F">
      <w:pPr>
        <w:pStyle w:val="obyctext"/>
        <w:tabs>
          <w:tab w:val="left" w:pos="567"/>
        </w:tabs>
        <w:spacing w:before="240" w:after="0"/>
        <w:ind w:firstLine="0"/>
        <w:rPr>
          <w:b/>
        </w:rPr>
      </w:pPr>
    </w:p>
    <w:p w:rsidR="00AC16D8" w:rsidRDefault="00AC16D8" w:rsidP="002C756F">
      <w:pPr>
        <w:pStyle w:val="obyctext"/>
        <w:tabs>
          <w:tab w:val="left" w:pos="567"/>
        </w:tabs>
        <w:spacing w:before="240" w:after="0"/>
        <w:ind w:firstLine="0"/>
        <w:rPr>
          <w:b/>
        </w:rPr>
      </w:pPr>
    </w:p>
    <w:p w:rsidR="002C756F" w:rsidRPr="002C756F" w:rsidRDefault="002C756F" w:rsidP="002C756F">
      <w:pPr>
        <w:pStyle w:val="obyctext"/>
        <w:tabs>
          <w:tab w:val="left" w:pos="567"/>
        </w:tabs>
        <w:spacing w:before="240" w:after="0"/>
        <w:ind w:firstLine="0"/>
        <w:rPr>
          <w:b/>
        </w:rPr>
      </w:pPr>
      <w:r w:rsidRPr="002C756F">
        <w:rPr>
          <w:b/>
        </w:rPr>
        <w:lastRenderedPageBreak/>
        <w:t xml:space="preserve">U jednotlivých OSS a PO jsou na rok 2019 promítnuté tyto změny: </w:t>
      </w:r>
    </w:p>
    <w:p w:rsidR="002C756F" w:rsidRPr="002C756F" w:rsidRDefault="002C756F" w:rsidP="002C756F">
      <w:pPr>
        <w:pStyle w:val="obyctext"/>
        <w:tabs>
          <w:tab w:val="left" w:pos="426"/>
        </w:tabs>
        <w:spacing w:after="0"/>
        <w:ind w:left="425" w:firstLine="0"/>
        <w:rPr>
          <w:u w:val="single"/>
        </w:rPr>
      </w:pPr>
      <w:r w:rsidRPr="002C756F">
        <w:rPr>
          <w:u w:val="single"/>
        </w:rPr>
        <w:t>ÚO MD</w:t>
      </w:r>
    </w:p>
    <w:p w:rsidR="002C756F" w:rsidRPr="002C756F" w:rsidRDefault="002C756F" w:rsidP="00F04969">
      <w:pPr>
        <w:pStyle w:val="obyctext"/>
        <w:numPr>
          <w:ilvl w:val="0"/>
          <w:numId w:val="43"/>
        </w:numPr>
        <w:tabs>
          <w:tab w:val="left" w:pos="426"/>
        </w:tabs>
        <w:spacing w:after="0"/>
        <w:ind w:hanging="1145"/>
        <w:rPr>
          <w:b/>
        </w:rPr>
      </w:pPr>
      <w:r w:rsidRPr="002C756F">
        <w:t>krácení objemu prostředků na platy za neobsazenost míst ve výši 12 937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krácení objemu prostředků na platy z fondů EU (SR a EU podíl) za neobsazenost míst ve výši 18 351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 xml:space="preserve">snížení objemu prostředků na platy a ostatní platby za provedenou práci z fondů EU (SR </w:t>
      </w:r>
      <w:r w:rsidRPr="002C756F">
        <w:br/>
        <w:t xml:space="preserve">a EU podíl) ve vazbě na nevyčerpané nároky z předchozích let a ve vazbě na stanovenou nižší částku u Komunitárních programů (některé projekty skončily v roce 2018) ve výši 6 730 tis. Kč; </w:t>
      </w:r>
    </w:p>
    <w:p w:rsidR="002C756F" w:rsidRPr="002C756F" w:rsidRDefault="002C756F" w:rsidP="00F04969">
      <w:pPr>
        <w:pStyle w:val="obyctext"/>
        <w:numPr>
          <w:ilvl w:val="0"/>
          <w:numId w:val="43"/>
        </w:numPr>
        <w:tabs>
          <w:tab w:val="left" w:pos="426"/>
        </w:tabs>
        <w:spacing w:before="60" w:after="0"/>
        <w:ind w:left="425" w:hanging="425"/>
        <w:rPr>
          <w:b/>
        </w:rPr>
      </w:pPr>
      <w:r w:rsidRPr="002C756F">
        <w:t>navýšení prostředků na platy o 6 % ve výši 13 929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navýšení prostředků na platy o 500 Kč/zaměstnanec/měsíc ve výši 2 311 tis. Kč (prostředky na platy ve výši 2 224 tis. Kč a plat představitele státní moci ve výši 87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navýšení prostředků na plat představitele státní moci ve výši 251 tis. Kč v závislosti na aktualizaci platů ústavních činitelů na data ČSÚ (jedná se o vliv ze SDV při zpracování návrhu SR na rok 2018);</w:t>
      </w:r>
    </w:p>
    <w:p w:rsidR="002C756F" w:rsidRPr="002C756F" w:rsidRDefault="002C756F" w:rsidP="00F04969">
      <w:pPr>
        <w:pStyle w:val="obyctext"/>
        <w:numPr>
          <w:ilvl w:val="0"/>
          <w:numId w:val="45"/>
        </w:numPr>
        <w:tabs>
          <w:tab w:val="left" w:pos="426"/>
        </w:tabs>
        <w:spacing w:before="60" w:after="0"/>
        <w:ind w:left="426" w:hanging="426"/>
      </w:pPr>
      <w:r w:rsidRPr="002C756F">
        <w:t>navýšení výdajů na ostatní platby za provedenou práci ve výši 1 500 tis. Kč z důvodu pokračování zapojení zahraničních expertů s praktickými zkušenostmi s výstavbou vysokorychlostních tratí (ve schváleném rozpočtu na rok 2018 byla částka navýšená jen pro rok 2018 bez vazby na rok 2019, tzn. ve srovnání základen 2018 a 2019 to vychází součtově 0 Kč);</w:t>
      </w:r>
    </w:p>
    <w:p w:rsidR="002C756F" w:rsidRPr="002C756F" w:rsidRDefault="002C756F" w:rsidP="00F04969">
      <w:pPr>
        <w:pStyle w:val="obyctext"/>
        <w:numPr>
          <w:ilvl w:val="0"/>
          <w:numId w:val="43"/>
        </w:numPr>
        <w:tabs>
          <w:tab w:val="left" w:pos="426"/>
        </w:tabs>
        <w:spacing w:before="60" w:after="0"/>
        <w:ind w:left="425" w:hanging="425"/>
        <w:rPr>
          <w:b/>
        </w:rPr>
      </w:pPr>
      <w:r w:rsidRPr="002C756F">
        <w:t xml:space="preserve">změna systemizace schválená MV s účinnosti od </w:t>
      </w:r>
      <w:proofErr w:type="gramStart"/>
      <w:r w:rsidRPr="002C756F">
        <w:t>1.6.2018</w:t>
      </w:r>
      <w:proofErr w:type="gramEnd"/>
      <w:r w:rsidRPr="002C756F">
        <w:t>, kdy dochází k přesunu částky na rok 2019 ve výši 96 tis. Kč (jen podíl SR) z implementace OPD 2014-2020 na výkon agendy pověřence v oblasti ochrany osobních údajů ve smyslu nařízení GDPR.</w:t>
      </w:r>
    </w:p>
    <w:p w:rsidR="002C756F" w:rsidRPr="002C756F" w:rsidRDefault="002C756F" w:rsidP="002C756F">
      <w:pPr>
        <w:pStyle w:val="obyctext"/>
        <w:tabs>
          <w:tab w:val="left" w:pos="0"/>
        </w:tabs>
        <w:spacing w:before="180" w:after="0"/>
        <w:ind w:firstLine="0"/>
        <w:rPr>
          <w:b/>
          <w:i/>
        </w:rPr>
      </w:pPr>
      <w:r w:rsidRPr="002C756F">
        <w:tab/>
      </w:r>
      <w:r w:rsidRPr="002C756F">
        <w:rPr>
          <w:i/>
        </w:rPr>
        <w:t xml:space="preserve">Prostředky na platy a ostatní platby za provedenou práci u ÚO MD jsou stanovené pro rok 2019 v celkové výši 297 467 tis. Kč. Ve srovnání s rokem 2018 dochází ke snížení </w:t>
      </w:r>
      <w:r w:rsidRPr="002C756F">
        <w:rPr>
          <w:i/>
        </w:rPr>
        <w:br/>
        <w:t>o 21 527 tis. Kč, tj. o 6,75</w:t>
      </w:r>
      <w:r w:rsidR="00DA42E9">
        <w:rPr>
          <w:i/>
        </w:rPr>
        <w:t xml:space="preserve"> </w:t>
      </w:r>
      <w:r w:rsidRPr="002C756F">
        <w:rPr>
          <w:i/>
        </w:rPr>
        <w:t>%.</w:t>
      </w:r>
    </w:p>
    <w:p w:rsidR="002C756F" w:rsidRPr="002C756F" w:rsidRDefault="002C756F" w:rsidP="002C756F">
      <w:pPr>
        <w:pStyle w:val="obyctext"/>
        <w:tabs>
          <w:tab w:val="left" w:pos="426"/>
        </w:tabs>
        <w:spacing w:after="0"/>
        <w:ind w:left="425" w:firstLine="0"/>
        <w:rPr>
          <w:u w:val="single"/>
        </w:rPr>
      </w:pPr>
      <w:r w:rsidRPr="002C756F">
        <w:rPr>
          <w:u w:val="single"/>
        </w:rPr>
        <w:t>ÚCL</w:t>
      </w:r>
    </w:p>
    <w:p w:rsidR="002C756F" w:rsidRPr="002C756F" w:rsidRDefault="002C756F" w:rsidP="00F04969">
      <w:pPr>
        <w:pStyle w:val="obyctext"/>
        <w:numPr>
          <w:ilvl w:val="0"/>
          <w:numId w:val="43"/>
        </w:numPr>
        <w:tabs>
          <w:tab w:val="left" w:pos="426"/>
        </w:tabs>
        <w:spacing w:after="0"/>
        <w:ind w:hanging="1145"/>
        <w:rPr>
          <w:b/>
        </w:rPr>
      </w:pPr>
      <w:r w:rsidRPr="002C756F">
        <w:t xml:space="preserve">krácení objemu prostředků </w:t>
      </w:r>
      <w:r w:rsidR="0052402E">
        <w:t xml:space="preserve">na platy </w:t>
      </w:r>
      <w:r w:rsidRPr="002C756F">
        <w:t>za neobsazenost míst ve výši 11 515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navýšení prostředků na platy o 6 % ve výši 6 468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navýšení prostředků na platy o 500 Kč/zaměstnanec/měsíc ve výši 960 tis. Kč.</w:t>
      </w:r>
    </w:p>
    <w:p w:rsidR="002C756F" w:rsidRPr="002C756F" w:rsidRDefault="002C756F" w:rsidP="002C756F">
      <w:pPr>
        <w:pStyle w:val="obyctext"/>
        <w:tabs>
          <w:tab w:val="left" w:pos="0"/>
        </w:tabs>
        <w:spacing w:before="180" w:after="0"/>
        <w:rPr>
          <w:b/>
          <w:i/>
        </w:rPr>
      </w:pPr>
      <w:r w:rsidRPr="002C756F">
        <w:rPr>
          <w:i/>
        </w:rPr>
        <w:t xml:space="preserve">Prostředky na platy a ostatní platby za provedenou práci u ÚCL jsou stanovené pro rok 2019 v celkové výši 104 326 tis. Kč. Ve srovnání s rokem 2018 dochází ke snížení </w:t>
      </w:r>
      <w:r w:rsidRPr="002C756F">
        <w:rPr>
          <w:i/>
        </w:rPr>
        <w:br/>
        <w:t>o 4 087 tis. Kč, tj. o 3,77</w:t>
      </w:r>
      <w:r w:rsidR="00DA42E9">
        <w:rPr>
          <w:i/>
        </w:rPr>
        <w:t xml:space="preserve"> </w:t>
      </w:r>
      <w:r w:rsidRPr="002C756F">
        <w:rPr>
          <w:i/>
        </w:rPr>
        <w:t>%.</w:t>
      </w:r>
    </w:p>
    <w:p w:rsidR="002C756F" w:rsidRPr="002C756F" w:rsidRDefault="002C756F" w:rsidP="002C756F">
      <w:pPr>
        <w:pStyle w:val="obyctext"/>
        <w:tabs>
          <w:tab w:val="left" w:pos="426"/>
        </w:tabs>
        <w:spacing w:after="0"/>
        <w:ind w:left="425" w:firstLine="0"/>
        <w:rPr>
          <w:u w:val="single"/>
        </w:rPr>
      </w:pPr>
      <w:r w:rsidRPr="002C756F">
        <w:rPr>
          <w:u w:val="single"/>
        </w:rPr>
        <w:t>SPS</w:t>
      </w:r>
    </w:p>
    <w:p w:rsidR="002C756F" w:rsidRPr="002C756F" w:rsidRDefault="002C756F" w:rsidP="00F04969">
      <w:pPr>
        <w:pStyle w:val="obyctext"/>
        <w:numPr>
          <w:ilvl w:val="0"/>
          <w:numId w:val="43"/>
        </w:numPr>
        <w:tabs>
          <w:tab w:val="left" w:pos="426"/>
        </w:tabs>
        <w:spacing w:after="0"/>
        <w:ind w:left="425" w:hanging="425"/>
        <w:rPr>
          <w:b/>
        </w:rPr>
      </w:pPr>
      <w:r w:rsidRPr="002C756F">
        <w:t>navýšení prostředků na platy o 6 % ve výši 2 200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navýšení prostředků na platy o 500 Kč/zaměstnanec/měsíc ve výši 534 tis. Kč;</w:t>
      </w:r>
    </w:p>
    <w:p w:rsidR="002C756F" w:rsidRPr="002C756F" w:rsidRDefault="002C756F" w:rsidP="00F04969">
      <w:pPr>
        <w:pStyle w:val="obyctext"/>
        <w:numPr>
          <w:ilvl w:val="0"/>
          <w:numId w:val="43"/>
        </w:numPr>
        <w:tabs>
          <w:tab w:val="left" w:pos="426"/>
        </w:tabs>
        <w:spacing w:before="60" w:after="0"/>
        <w:ind w:left="425" w:hanging="425"/>
        <w:rPr>
          <w:b/>
        </w:rPr>
      </w:pPr>
      <w:r w:rsidRPr="002C756F">
        <w:t>navýšení prostředků na platy ve výši 439 tis. Kč z důvodu nárůstů počtu žádostí o vůdce malého plavidla a rozšiřování splavnosti vodních ploch (jedná se o vliv ze SDV při zpracování návrhu SR na rok 2018);</w:t>
      </w:r>
    </w:p>
    <w:p w:rsidR="002C756F" w:rsidRPr="002C756F" w:rsidRDefault="002C756F" w:rsidP="00F04969">
      <w:pPr>
        <w:pStyle w:val="obyctext"/>
        <w:numPr>
          <w:ilvl w:val="0"/>
          <w:numId w:val="43"/>
        </w:numPr>
        <w:tabs>
          <w:tab w:val="left" w:pos="426"/>
        </w:tabs>
        <w:spacing w:before="60" w:after="0"/>
        <w:ind w:left="425" w:hanging="425"/>
        <w:rPr>
          <w:b/>
        </w:rPr>
      </w:pPr>
      <w:r w:rsidRPr="002C756F">
        <w:t xml:space="preserve">snížení objemu prostředků na platy a ostatní platby za provedenou práci z fondů EU (SR </w:t>
      </w:r>
      <w:r w:rsidRPr="002C756F">
        <w:br/>
        <w:t>a EU podíl) ve vazbě na nevyčerpané nároky z předchozích let a ve vazbě na stanovenou nižší částku u Komunitárního programu ve výši  366 tis. Kč.</w:t>
      </w:r>
    </w:p>
    <w:p w:rsidR="002C756F" w:rsidRPr="002C756F" w:rsidRDefault="002C756F" w:rsidP="002C756F">
      <w:pPr>
        <w:pStyle w:val="obyctext"/>
        <w:tabs>
          <w:tab w:val="left" w:pos="0"/>
        </w:tabs>
        <w:spacing w:before="180" w:after="0"/>
        <w:rPr>
          <w:b/>
          <w:i/>
        </w:rPr>
      </w:pPr>
      <w:r w:rsidRPr="002C756F">
        <w:rPr>
          <w:i/>
        </w:rPr>
        <w:lastRenderedPageBreak/>
        <w:t xml:space="preserve">Prostředky na platy a ostatní platby za provedenou práci u SPS jsou stanovené pro rok 2019 v celkové výši 40 163 tis. Kč. Ve srovnání s rokem 2018 dochází ke zvýšení </w:t>
      </w:r>
      <w:r w:rsidRPr="002C756F">
        <w:rPr>
          <w:i/>
        </w:rPr>
        <w:br/>
        <w:t>o 2 807 tis. Kč, tj. o 7,51</w:t>
      </w:r>
      <w:r w:rsidR="00DA42E9">
        <w:rPr>
          <w:i/>
        </w:rPr>
        <w:t xml:space="preserve"> </w:t>
      </w:r>
      <w:r w:rsidRPr="002C756F">
        <w:rPr>
          <w:i/>
        </w:rPr>
        <w:t>%.</w:t>
      </w:r>
    </w:p>
    <w:p w:rsidR="000339E1" w:rsidRPr="00AC4936" w:rsidRDefault="000339E1" w:rsidP="000339E1">
      <w:pPr>
        <w:pStyle w:val="obyctext"/>
        <w:tabs>
          <w:tab w:val="left" w:pos="426"/>
        </w:tabs>
        <w:spacing w:after="0"/>
        <w:ind w:left="425" w:firstLine="0"/>
        <w:rPr>
          <w:u w:val="single"/>
        </w:rPr>
      </w:pPr>
      <w:r w:rsidRPr="00AC4936">
        <w:rPr>
          <w:u w:val="single"/>
        </w:rPr>
        <w:t>DÚ</w:t>
      </w:r>
    </w:p>
    <w:p w:rsidR="000339E1" w:rsidRPr="007D43D4" w:rsidRDefault="000339E1" w:rsidP="007D43D4">
      <w:pPr>
        <w:pStyle w:val="obyctext"/>
        <w:numPr>
          <w:ilvl w:val="0"/>
          <w:numId w:val="43"/>
        </w:numPr>
        <w:tabs>
          <w:tab w:val="left" w:pos="426"/>
        </w:tabs>
        <w:spacing w:before="60" w:after="0"/>
        <w:ind w:left="425" w:hanging="425"/>
      </w:pPr>
      <w:r>
        <w:t>krácení objemu prostředků</w:t>
      </w:r>
      <w:r w:rsidR="0052402E">
        <w:t xml:space="preserve"> na platy</w:t>
      </w:r>
      <w:r>
        <w:t xml:space="preserve"> za neobsazenost míst ve výši 1 126 tis. Kč;</w:t>
      </w:r>
    </w:p>
    <w:p w:rsidR="000339E1" w:rsidRPr="007D43D4" w:rsidRDefault="000339E1" w:rsidP="007D43D4">
      <w:pPr>
        <w:pStyle w:val="obyctext"/>
        <w:numPr>
          <w:ilvl w:val="0"/>
          <w:numId w:val="43"/>
        </w:numPr>
        <w:tabs>
          <w:tab w:val="left" w:pos="426"/>
        </w:tabs>
        <w:spacing w:before="60" w:after="0"/>
        <w:ind w:left="425" w:hanging="425"/>
      </w:pPr>
      <w:r>
        <w:t>navýšení prostředků na platy o 6 % ve výši 3 024 tis. Kč;</w:t>
      </w:r>
    </w:p>
    <w:p w:rsidR="000339E1" w:rsidRPr="00DA579F" w:rsidRDefault="000339E1" w:rsidP="007D43D4">
      <w:pPr>
        <w:pStyle w:val="obyctext"/>
        <w:numPr>
          <w:ilvl w:val="0"/>
          <w:numId w:val="43"/>
        </w:numPr>
        <w:tabs>
          <w:tab w:val="left" w:pos="426"/>
        </w:tabs>
        <w:spacing w:before="60" w:after="0"/>
        <w:ind w:left="425" w:hanging="425"/>
        <w:rPr>
          <w:b/>
        </w:rPr>
      </w:pPr>
      <w:r>
        <w:t>navýšení prostředků na platy o 500 Kč/zaměstnanec/měsíc ve výši 678 tis. Kč.</w:t>
      </w:r>
    </w:p>
    <w:p w:rsidR="000339E1" w:rsidRPr="001569A6" w:rsidRDefault="000339E1" w:rsidP="000339E1">
      <w:pPr>
        <w:pStyle w:val="obyctext"/>
        <w:tabs>
          <w:tab w:val="left" w:pos="0"/>
        </w:tabs>
        <w:spacing w:before="180" w:after="0"/>
        <w:rPr>
          <w:b/>
          <w:i/>
        </w:rPr>
      </w:pPr>
      <w:r w:rsidRPr="001569A6">
        <w:rPr>
          <w:i/>
        </w:rPr>
        <w:t xml:space="preserve">Prostředky na platy a ostatní platby za provedenou práci u </w:t>
      </w:r>
      <w:r>
        <w:rPr>
          <w:i/>
        </w:rPr>
        <w:t>D</w:t>
      </w:r>
      <w:r w:rsidRPr="001569A6">
        <w:rPr>
          <w:i/>
        </w:rPr>
        <w:t xml:space="preserve">Ú jsou stanovené pro rok 2019 v celkové výši </w:t>
      </w:r>
      <w:r>
        <w:rPr>
          <w:i/>
        </w:rPr>
        <w:t>53 105</w:t>
      </w:r>
      <w:r w:rsidRPr="001569A6">
        <w:rPr>
          <w:i/>
        </w:rPr>
        <w:t xml:space="preserve"> tis. Kč. Ve srovnání s rokem 2018 dochází k</w:t>
      </w:r>
      <w:r>
        <w:rPr>
          <w:i/>
        </w:rPr>
        <w:t>e</w:t>
      </w:r>
      <w:r w:rsidRPr="001569A6">
        <w:rPr>
          <w:i/>
        </w:rPr>
        <w:t xml:space="preserve"> </w:t>
      </w:r>
      <w:r>
        <w:rPr>
          <w:i/>
        </w:rPr>
        <w:t>zvýšení</w:t>
      </w:r>
      <w:r w:rsidRPr="001569A6">
        <w:rPr>
          <w:i/>
        </w:rPr>
        <w:t xml:space="preserve"> </w:t>
      </w:r>
      <w:r>
        <w:rPr>
          <w:i/>
        </w:rPr>
        <w:br/>
      </w:r>
      <w:r w:rsidRPr="001569A6">
        <w:rPr>
          <w:i/>
        </w:rPr>
        <w:t xml:space="preserve">o </w:t>
      </w:r>
      <w:r>
        <w:rPr>
          <w:i/>
        </w:rPr>
        <w:t>2 576</w:t>
      </w:r>
      <w:r w:rsidRPr="001569A6">
        <w:rPr>
          <w:i/>
        </w:rPr>
        <w:t xml:space="preserve"> tis. Kč, tj. o </w:t>
      </w:r>
      <w:r>
        <w:rPr>
          <w:i/>
        </w:rPr>
        <w:t xml:space="preserve">5,10 </w:t>
      </w:r>
      <w:r w:rsidRPr="001569A6">
        <w:rPr>
          <w:i/>
        </w:rPr>
        <w:t>%.</w:t>
      </w:r>
    </w:p>
    <w:p w:rsidR="000339E1" w:rsidRPr="00AC4936" w:rsidRDefault="000339E1" w:rsidP="000339E1">
      <w:pPr>
        <w:pStyle w:val="obyctext"/>
        <w:tabs>
          <w:tab w:val="left" w:pos="426"/>
        </w:tabs>
        <w:spacing w:after="0"/>
        <w:ind w:left="425" w:firstLine="0"/>
        <w:rPr>
          <w:u w:val="single"/>
        </w:rPr>
      </w:pPr>
      <w:r w:rsidRPr="00AC4936">
        <w:rPr>
          <w:u w:val="single"/>
        </w:rPr>
        <w:t>DI</w:t>
      </w:r>
    </w:p>
    <w:p w:rsidR="000339E1" w:rsidRPr="007D43D4" w:rsidRDefault="000339E1" w:rsidP="007D43D4">
      <w:pPr>
        <w:pStyle w:val="obyctext"/>
        <w:numPr>
          <w:ilvl w:val="0"/>
          <w:numId w:val="43"/>
        </w:numPr>
        <w:tabs>
          <w:tab w:val="left" w:pos="426"/>
        </w:tabs>
        <w:spacing w:before="60" w:after="0"/>
        <w:ind w:left="425" w:hanging="425"/>
      </w:pPr>
      <w:r>
        <w:t>krácení objemu prostředků</w:t>
      </w:r>
      <w:r w:rsidR="0052402E">
        <w:t xml:space="preserve"> na platy</w:t>
      </w:r>
      <w:r>
        <w:t xml:space="preserve"> za neobsazenost míst ve výši 693 tis. Kč;</w:t>
      </w:r>
    </w:p>
    <w:p w:rsidR="000339E1" w:rsidRPr="007D43D4" w:rsidRDefault="000339E1" w:rsidP="007D43D4">
      <w:pPr>
        <w:pStyle w:val="obyctext"/>
        <w:numPr>
          <w:ilvl w:val="0"/>
          <w:numId w:val="43"/>
        </w:numPr>
        <w:tabs>
          <w:tab w:val="left" w:pos="426"/>
        </w:tabs>
        <w:spacing w:before="60" w:after="0"/>
        <w:ind w:left="425" w:hanging="425"/>
      </w:pPr>
      <w:r>
        <w:t>navýšení prostředků na platy o 6 % ve výši 1 158 tis. Kč;</w:t>
      </w:r>
    </w:p>
    <w:p w:rsidR="000339E1" w:rsidRPr="00C9480F" w:rsidRDefault="000339E1" w:rsidP="007D43D4">
      <w:pPr>
        <w:pStyle w:val="obyctext"/>
        <w:numPr>
          <w:ilvl w:val="0"/>
          <w:numId w:val="43"/>
        </w:numPr>
        <w:tabs>
          <w:tab w:val="left" w:pos="426"/>
        </w:tabs>
        <w:spacing w:before="60" w:after="0"/>
        <w:ind w:left="425" w:hanging="425"/>
        <w:rPr>
          <w:b/>
        </w:rPr>
      </w:pPr>
      <w:r>
        <w:t>navýšení prostředků na platy o 500 Kč/zaměstnanec/měsíc ve výši 228 tis. Kč.</w:t>
      </w:r>
    </w:p>
    <w:p w:rsidR="000339E1" w:rsidRPr="001569A6" w:rsidRDefault="000339E1" w:rsidP="000339E1">
      <w:pPr>
        <w:pStyle w:val="obyctext"/>
        <w:tabs>
          <w:tab w:val="left" w:pos="0"/>
        </w:tabs>
        <w:spacing w:before="180" w:after="0"/>
        <w:rPr>
          <w:b/>
          <w:i/>
        </w:rPr>
      </w:pPr>
      <w:r w:rsidRPr="001569A6">
        <w:rPr>
          <w:i/>
        </w:rPr>
        <w:t xml:space="preserve">Prostředky na platy a ostatní platby za provedenou práci u </w:t>
      </w:r>
      <w:r>
        <w:rPr>
          <w:i/>
        </w:rPr>
        <w:t>DI</w:t>
      </w:r>
      <w:r w:rsidRPr="001569A6">
        <w:rPr>
          <w:i/>
        </w:rPr>
        <w:t xml:space="preserve"> </w:t>
      </w:r>
      <w:proofErr w:type="gramStart"/>
      <w:r w:rsidRPr="001569A6">
        <w:rPr>
          <w:i/>
        </w:rPr>
        <w:t>jsou</w:t>
      </w:r>
      <w:proofErr w:type="gramEnd"/>
      <w:r w:rsidRPr="001569A6">
        <w:rPr>
          <w:i/>
        </w:rPr>
        <w:t xml:space="preserve"> stanovené pro rok 2019 v celkové výši </w:t>
      </w:r>
      <w:r>
        <w:rPr>
          <w:i/>
        </w:rPr>
        <w:t>20 021</w:t>
      </w:r>
      <w:r w:rsidRPr="001569A6">
        <w:rPr>
          <w:i/>
        </w:rPr>
        <w:t xml:space="preserve"> tis. Kč. Ve srovnání s rokem 2018 dochází k</w:t>
      </w:r>
      <w:r>
        <w:rPr>
          <w:i/>
        </w:rPr>
        <w:t>e</w:t>
      </w:r>
      <w:r w:rsidRPr="001569A6">
        <w:rPr>
          <w:i/>
        </w:rPr>
        <w:t xml:space="preserve"> </w:t>
      </w:r>
      <w:r>
        <w:rPr>
          <w:i/>
        </w:rPr>
        <w:t>zvýšení</w:t>
      </w:r>
      <w:r w:rsidRPr="001569A6">
        <w:rPr>
          <w:i/>
        </w:rPr>
        <w:t xml:space="preserve"> </w:t>
      </w:r>
      <w:r>
        <w:rPr>
          <w:i/>
        </w:rPr>
        <w:br/>
      </w:r>
      <w:r w:rsidRPr="001569A6">
        <w:rPr>
          <w:i/>
        </w:rPr>
        <w:t xml:space="preserve">o </w:t>
      </w:r>
      <w:r>
        <w:rPr>
          <w:i/>
        </w:rPr>
        <w:t>693</w:t>
      </w:r>
      <w:r w:rsidRPr="001569A6">
        <w:rPr>
          <w:i/>
        </w:rPr>
        <w:t xml:space="preserve"> tis. Kč, tj. o </w:t>
      </w:r>
      <w:r>
        <w:rPr>
          <w:i/>
        </w:rPr>
        <w:t xml:space="preserve">3,59 </w:t>
      </w:r>
      <w:r w:rsidRPr="001569A6">
        <w:rPr>
          <w:i/>
        </w:rPr>
        <w:t>%.</w:t>
      </w:r>
    </w:p>
    <w:p w:rsidR="000339E1" w:rsidRPr="00AC4936" w:rsidRDefault="000339E1" w:rsidP="000339E1">
      <w:pPr>
        <w:pStyle w:val="obyctext"/>
        <w:tabs>
          <w:tab w:val="left" w:pos="426"/>
        </w:tabs>
        <w:spacing w:after="0"/>
        <w:ind w:left="425" w:firstLine="0"/>
        <w:rPr>
          <w:u w:val="single"/>
        </w:rPr>
      </w:pPr>
      <w:r w:rsidRPr="00AC4936">
        <w:rPr>
          <w:u w:val="single"/>
        </w:rPr>
        <w:t>ÚZPLN</w:t>
      </w:r>
    </w:p>
    <w:p w:rsidR="000339E1" w:rsidRPr="007D43D4" w:rsidRDefault="000339E1" w:rsidP="007D43D4">
      <w:pPr>
        <w:pStyle w:val="obyctext"/>
        <w:numPr>
          <w:ilvl w:val="0"/>
          <w:numId w:val="43"/>
        </w:numPr>
        <w:tabs>
          <w:tab w:val="left" w:pos="426"/>
        </w:tabs>
        <w:spacing w:before="60" w:after="0"/>
        <w:ind w:left="425" w:hanging="425"/>
      </w:pPr>
      <w:r>
        <w:t xml:space="preserve">krácení objemu prostředků </w:t>
      </w:r>
      <w:r w:rsidR="0052402E">
        <w:t xml:space="preserve">na platy </w:t>
      </w:r>
      <w:r>
        <w:t>za neobsazenost míst ve výši 318 tis. Kč;</w:t>
      </w:r>
    </w:p>
    <w:p w:rsidR="000339E1" w:rsidRPr="007D43D4" w:rsidRDefault="000339E1" w:rsidP="007D43D4">
      <w:pPr>
        <w:pStyle w:val="obyctext"/>
        <w:numPr>
          <w:ilvl w:val="0"/>
          <w:numId w:val="43"/>
        </w:numPr>
        <w:tabs>
          <w:tab w:val="left" w:pos="426"/>
        </w:tabs>
        <w:spacing w:before="60" w:after="0"/>
        <w:ind w:left="425" w:hanging="425"/>
      </w:pPr>
      <w:r>
        <w:t>navýšení prostředků na platy o 6 % ve výši 488 tis. Kč;</w:t>
      </w:r>
    </w:p>
    <w:p w:rsidR="000339E1" w:rsidRPr="005B71C6" w:rsidRDefault="000339E1" w:rsidP="007D43D4">
      <w:pPr>
        <w:pStyle w:val="obyctext"/>
        <w:numPr>
          <w:ilvl w:val="0"/>
          <w:numId w:val="43"/>
        </w:numPr>
        <w:tabs>
          <w:tab w:val="left" w:pos="426"/>
        </w:tabs>
        <w:spacing w:before="60" w:after="0"/>
        <w:ind w:left="425" w:hanging="425"/>
        <w:rPr>
          <w:b/>
        </w:rPr>
      </w:pPr>
      <w:r>
        <w:t>navýšení prostředků na platy o 500 Kč/zaměstnanec/měsíc ve výši 90 tis. Kč;</w:t>
      </w:r>
    </w:p>
    <w:p w:rsidR="000339E1" w:rsidRPr="001569A6" w:rsidRDefault="000339E1" w:rsidP="000339E1">
      <w:pPr>
        <w:pStyle w:val="obyctext"/>
        <w:tabs>
          <w:tab w:val="left" w:pos="0"/>
        </w:tabs>
        <w:spacing w:before="180" w:after="0"/>
        <w:rPr>
          <w:b/>
          <w:i/>
        </w:rPr>
      </w:pPr>
      <w:r w:rsidRPr="001569A6">
        <w:rPr>
          <w:i/>
        </w:rPr>
        <w:t xml:space="preserve">Prostředky na platy a ostatní platby za provedenou práci u </w:t>
      </w:r>
      <w:r>
        <w:rPr>
          <w:i/>
        </w:rPr>
        <w:t>ÚZPLN</w:t>
      </w:r>
      <w:r w:rsidRPr="001569A6">
        <w:rPr>
          <w:i/>
        </w:rPr>
        <w:t xml:space="preserve"> jsou stanovené pro rok 2019 v celkové výši </w:t>
      </w:r>
      <w:r>
        <w:rPr>
          <w:i/>
        </w:rPr>
        <w:t>8 441</w:t>
      </w:r>
      <w:r w:rsidRPr="001569A6">
        <w:rPr>
          <w:i/>
        </w:rPr>
        <w:t xml:space="preserve"> tis. Kč. Ve srovnání s rokem 2018 dochází k</w:t>
      </w:r>
      <w:r>
        <w:rPr>
          <w:i/>
        </w:rPr>
        <w:t>e</w:t>
      </w:r>
      <w:r w:rsidRPr="001569A6">
        <w:rPr>
          <w:i/>
        </w:rPr>
        <w:t xml:space="preserve"> </w:t>
      </w:r>
      <w:r>
        <w:rPr>
          <w:i/>
        </w:rPr>
        <w:t>zvýšení</w:t>
      </w:r>
      <w:r w:rsidRPr="001569A6">
        <w:rPr>
          <w:i/>
        </w:rPr>
        <w:t xml:space="preserve"> </w:t>
      </w:r>
      <w:r>
        <w:rPr>
          <w:i/>
        </w:rPr>
        <w:br/>
      </w:r>
      <w:r w:rsidRPr="001569A6">
        <w:rPr>
          <w:i/>
        </w:rPr>
        <w:t xml:space="preserve">o </w:t>
      </w:r>
      <w:r>
        <w:rPr>
          <w:i/>
        </w:rPr>
        <w:t>260</w:t>
      </w:r>
      <w:r w:rsidRPr="001569A6">
        <w:rPr>
          <w:i/>
        </w:rPr>
        <w:t xml:space="preserve"> tis. Kč, tj. o </w:t>
      </w:r>
      <w:r>
        <w:rPr>
          <w:i/>
        </w:rPr>
        <w:t xml:space="preserve">3,18 </w:t>
      </w:r>
      <w:r w:rsidRPr="001569A6">
        <w:rPr>
          <w:i/>
        </w:rPr>
        <w:t>%.</w:t>
      </w:r>
    </w:p>
    <w:p w:rsidR="000339E1" w:rsidRPr="00AC4936" w:rsidRDefault="000339E1" w:rsidP="000339E1">
      <w:pPr>
        <w:pStyle w:val="obyctext"/>
        <w:tabs>
          <w:tab w:val="left" w:pos="426"/>
        </w:tabs>
        <w:spacing w:after="0"/>
        <w:ind w:left="425" w:firstLine="0"/>
        <w:rPr>
          <w:u w:val="single"/>
        </w:rPr>
      </w:pPr>
      <w:r w:rsidRPr="00AC4936">
        <w:rPr>
          <w:u w:val="single"/>
        </w:rPr>
        <w:t>ŘVC ČR</w:t>
      </w:r>
    </w:p>
    <w:p w:rsidR="000339E1" w:rsidRPr="007D43D4" w:rsidRDefault="000339E1" w:rsidP="007D43D4">
      <w:pPr>
        <w:pStyle w:val="obyctext"/>
        <w:numPr>
          <w:ilvl w:val="0"/>
          <w:numId w:val="43"/>
        </w:numPr>
        <w:tabs>
          <w:tab w:val="left" w:pos="426"/>
        </w:tabs>
        <w:spacing w:before="60" w:after="0"/>
        <w:ind w:left="425" w:hanging="425"/>
      </w:pPr>
      <w:r>
        <w:t>navýšení prostředků na platy o 6 % ve výši 368 tis. Kč;</w:t>
      </w:r>
    </w:p>
    <w:p w:rsidR="000339E1" w:rsidRPr="00C9480F" w:rsidRDefault="000339E1" w:rsidP="007D43D4">
      <w:pPr>
        <w:pStyle w:val="obyctext"/>
        <w:numPr>
          <w:ilvl w:val="0"/>
          <w:numId w:val="43"/>
        </w:numPr>
        <w:tabs>
          <w:tab w:val="left" w:pos="426"/>
        </w:tabs>
        <w:spacing w:before="60" w:after="0"/>
        <w:ind w:left="425" w:hanging="425"/>
        <w:rPr>
          <w:b/>
        </w:rPr>
      </w:pPr>
      <w:r>
        <w:t>navýšení prostředků na platy o 500 Kč/zaměstnanec/měsíc ve výši 114 tis. Kč.</w:t>
      </w:r>
    </w:p>
    <w:p w:rsidR="000339E1" w:rsidRPr="001569A6" w:rsidRDefault="000339E1" w:rsidP="000339E1">
      <w:pPr>
        <w:pStyle w:val="obyctext"/>
        <w:tabs>
          <w:tab w:val="left" w:pos="0"/>
        </w:tabs>
        <w:spacing w:before="180" w:after="0"/>
        <w:rPr>
          <w:b/>
          <w:i/>
        </w:rPr>
      </w:pPr>
      <w:r w:rsidRPr="001569A6">
        <w:rPr>
          <w:i/>
        </w:rPr>
        <w:t xml:space="preserve">Prostředky na platy a ostatní platby za provedenou práci u </w:t>
      </w:r>
      <w:r>
        <w:rPr>
          <w:i/>
        </w:rPr>
        <w:t>ŘVC ČR</w:t>
      </w:r>
      <w:r w:rsidRPr="001569A6">
        <w:rPr>
          <w:i/>
        </w:rPr>
        <w:t xml:space="preserve"> jsou stanovené pro rok 2019 v celkové výši </w:t>
      </w:r>
      <w:r>
        <w:rPr>
          <w:i/>
        </w:rPr>
        <w:t>6 644</w:t>
      </w:r>
      <w:r w:rsidRPr="001569A6">
        <w:rPr>
          <w:i/>
        </w:rPr>
        <w:t xml:space="preserve"> tis. Kč. Ve srovnání s rokem 2018 dochází k</w:t>
      </w:r>
      <w:r>
        <w:rPr>
          <w:i/>
        </w:rPr>
        <w:t>e</w:t>
      </w:r>
      <w:r w:rsidRPr="001569A6">
        <w:rPr>
          <w:i/>
        </w:rPr>
        <w:t xml:space="preserve"> </w:t>
      </w:r>
      <w:r>
        <w:rPr>
          <w:i/>
        </w:rPr>
        <w:t>zvýšení</w:t>
      </w:r>
      <w:r w:rsidRPr="001569A6">
        <w:rPr>
          <w:i/>
        </w:rPr>
        <w:t xml:space="preserve"> </w:t>
      </w:r>
      <w:r>
        <w:rPr>
          <w:i/>
        </w:rPr>
        <w:br/>
      </w:r>
      <w:r w:rsidRPr="001569A6">
        <w:rPr>
          <w:i/>
        </w:rPr>
        <w:t xml:space="preserve">o </w:t>
      </w:r>
      <w:r>
        <w:rPr>
          <w:i/>
        </w:rPr>
        <w:t>482</w:t>
      </w:r>
      <w:r w:rsidRPr="001569A6">
        <w:rPr>
          <w:i/>
        </w:rPr>
        <w:t xml:space="preserve"> tis. Kč, tj. o </w:t>
      </w:r>
      <w:r>
        <w:rPr>
          <w:i/>
        </w:rPr>
        <w:t xml:space="preserve">7,82 </w:t>
      </w:r>
      <w:r w:rsidRPr="001569A6">
        <w:rPr>
          <w:i/>
        </w:rPr>
        <w:t>%.</w:t>
      </w:r>
    </w:p>
    <w:p w:rsidR="000339E1" w:rsidRPr="00AC4936" w:rsidRDefault="000339E1" w:rsidP="000339E1">
      <w:pPr>
        <w:pStyle w:val="obyctext"/>
        <w:tabs>
          <w:tab w:val="left" w:pos="426"/>
        </w:tabs>
        <w:spacing w:after="0"/>
        <w:ind w:left="425" w:firstLine="0"/>
        <w:rPr>
          <w:u w:val="single"/>
        </w:rPr>
      </w:pPr>
      <w:r w:rsidRPr="00AC4936">
        <w:rPr>
          <w:u w:val="single"/>
        </w:rPr>
        <w:t>CSPSD</w:t>
      </w:r>
    </w:p>
    <w:p w:rsidR="000339E1" w:rsidRPr="007D43D4" w:rsidRDefault="000339E1" w:rsidP="007D43D4">
      <w:pPr>
        <w:pStyle w:val="obyctext"/>
        <w:numPr>
          <w:ilvl w:val="0"/>
          <w:numId w:val="43"/>
        </w:numPr>
        <w:tabs>
          <w:tab w:val="left" w:pos="426"/>
        </w:tabs>
        <w:spacing w:before="60" w:after="0"/>
        <w:ind w:left="425" w:hanging="425"/>
      </w:pPr>
      <w:r>
        <w:t xml:space="preserve">krácení objemu prostředků </w:t>
      </w:r>
      <w:r w:rsidR="0052402E">
        <w:t xml:space="preserve">na platy </w:t>
      </w:r>
      <w:r>
        <w:t>za neobsazenost míst ve výši 1 209 tis. Kč;</w:t>
      </w:r>
    </w:p>
    <w:p w:rsidR="000339E1" w:rsidRPr="007D43D4" w:rsidRDefault="000339E1" w:rsidP="007D43D4">
      <w:pPr>
        <w:pStyle w:val="obyctext"/>
        <w:numPr>
          <w:ilvl w:val="0"/>
          <w:numId w:val="43"/>
        </w:numPr>
        <w:tabs>
          <w:tab w:val="left" w:pos="426"/>
        </w:tabs>
        <w:spacing w:before="60" w:after="0"/>
        <w:ind w:left="425" w:hanging="425"/>
      </w:pPr>
      <w:r>
        <w:t>navýšení prostředků na platy o 6 % ve výši 1 742 tis. Kč;</w:t>
      </w:r>
    </w:p>
    <w:p w:rsidR="000339E1" w:rsidRPr="00C9480F" w:rsidRDefault="000339E1" w:rsidP="007D43D4">
      <w:pPr>
        <w:pStyle w:val="obyctext"/>
        <w:numPr>
          <w:ilvl w:val="0"/>
          <w:numId w:val="43"/>
        </w:numPr>
        <w:tabs>
          <w:tab w:val="left" w:pos="426"/>
        </w:tabs>
        <w:spacing w:before="60" w:after="0"/>
        <w:ind w:left="425" w:hanging="425"/>
        <w:rPr>
          <w:b/>
        </w:rPr>
      </w:pPr>
      <w:r>
        <w:t>navýšení prostředků na platy o 500 Kč/zaměstnanec/měsíc ve výši 528 tis. Kč.</w:t>
      </w:r>
    </w:p>
    <w:p w:rsidR="000339E1" w:rsidRDefault="000339E1" w:rsidP="000339E1">
      <w:pPr>
        <w:pStyle w:val="obyctext"/>
        <w:tabs>
          <w:tab w:val="left" w:pos="0"/>
        </w:tabs>
        <w:spacing w:before="180" w:after="0"/>
        <w:rPr>
          <w:i/>
        </w:rPr>
      </w:pPr>
      <w:r w:rsidRPr="001569A6">
        <w:rPr>
          <w:i/>
        </w:rPr>
        <w:t xml:space="preserve">Prostředky na platy a ostatní platby za provedenou práci u </w:t>
      </w:r>
      <w:r>
        <w:rPr>
          <w:i/>
        </w:rPr>
        <w:t>CSPSD</w:t>
      </w:r>
      <w:r w:rsidRPr="001569A6">
        <w:rPr>
          <w:i/>
        </w:rPr>
        <w:t xml:space="preserve"> jsou stanovené pro rok 2019 v celkové výši </w:t>
      </w:r>
      <w:r>
        <w:rPr>
          <w:i/>
        </w:rPr>
        <w:t xml:space="preserve">31 524 </w:t>
      </w:r>
      <w:r w:rsidRPr="001569A6">
        <w:rPr>
          <w:i/>
        </w:rPr>
        <w:t>tis. Kč. Ve srovnání s rokem 2018 dochází k</w:t>
      </w:r>
      <w:r>
        <w:rPr>
          <w:i/>
        </w:rPr>
        <w:t>e</w:t>
      </w:r>
      <w:r w:rsidRPr="001569A6">
        <w:rPr>
          <w:i/>
        </w:rPr>
        <w:t xml:space="preserve"> </w:t>
      </w:r>
      <w:r>
        <w:rPr>
          <w:i/>
        </w:rPr>
        <w:t>zvýšení</w:t>
      </w:r>
      <w:r w:rsidRPr="001569A6">
        <w:rPr>
          <w:i/>
        </w:rPr>
        <w:t xml:space="preserve"> </w:t>
      </w:r>
      <w:r>
        <w:rPr>
          <w:i/>
        </w:rPr>
        <w:br/>
      </w:r>
      <w:r w:rsidRPr="001569A6">
        <w:rPr>
          <w:i/>
        </w:rPr>
        <w:t xml:space="preserve">o </w:t>
      </w:r>
      <w:r>
        <w:rPr>
          <w:i/>
        </w:rPr>
        <w:t>1 061</w:t>
      </w:r>
      <w:r w:rsidRPr="001569A6">
        <w:rPr>
          <w:i/>
        </w:rPr>
        <w:t xml:space="preserve"> tis. Kč, tj. o </w:t>
      </w:r>
      <w:r>
        <w:rPr>
          <w:i/>
        </w:rPr>
        <w:t xml:space="preserve">3,48 </w:t>
      </w:r>
      <w:r w:rsidRPr="001569A6">
        <w:rPr>
          <w:i/>
        </w:rPr>
        <w:t>%.</w:t>
      </w:r>
    </w:p>
    <w:p w:rsidR="00AC16D8" w:rsidRDefault="00AC16D8" w:rsidP="000339E1">
      <w:pPr>
        <w:pStyle w:val="obyctext"/>
        <w:tabs>
          <w:tab w:val="left" w:pos="0"/>
        </w:tabs>
        <w:spacing w:before="180" w:after="0"/>
        <w:rPr>
          <w:i/>
        </w:rPr>
      </w:pPr>
    </w:p>
    <w:p w:rsidR="00AC16D8" w:rsidRDefault="00AC16D8" w:rsidP="000339E1">
      <w:pPr>
        <w:pStyle w:val="obyctext"/>
        <w:tabs>
          <w:tab w:val="left" w:pos="0"/>
        </w:tabs>
        <w:spacing w:before="180" w:after="0"/>
        <w:rPr>
          <w:i/>
        </w:rPr>
      </w:pPr>
    </w:p>
    <w:p w:rsidR="00AC16D8" w:rsidRPr="001569A6" w:rsidRDefault="00AC16D8" w:rsidP="000339E1">
      <w:pPr>
        <w:pStyle w:val="obyctext"/>
        <w:tabs>
          <w:tab w:val="left" w:pos="0"/>
        </w:tabs>
        <w:spacing w:before="180" w:after="0"/>
        <w:rPr>
          <w:b/>
          <w:i/>
        </w:rPr>
      </w:pPr>
    </w:p>
    <w:p w:rsidR="000339E1" w:rsidRDefault="000339E1" w:rsidP="000339E1">
      <w:pPr>
        <w:pStyle w:val="obyctext"/>
        <w:spacing w:before="360"/>
        <w:rPr>
          <w:b/>
          <w:u w:val="single"/>
        </w:rPr>
      </w:pPr>
      <w:r>
        <w:rPr>
          <w:b/>
          <w:u w:val="single"/>
        </w:rPr>
        <w:lastRenderedPageBreak/>
        <w:t>B) Počty funkčních míst</w:t>
      </w:r>
    </w:p>
    <w:p w:rsidR="000339E1" w:rsidRPr="00716756" w:rsidRDefault="000339E1" w:rsidP="000339E1">
      <w:pPr>
        <w:pStyle w:val="obyctext"/>
      </w:pPr>
      <w:r w:rsidRPr="00705793">
        <w:t>Počty funkčních míst</w:t>
      </w:r>
      <w:r w:rsidRPr="00716756">
        <w:t xml:space="preserve"> pro rok 2019 ve výši 1 023 jsou oproti roku 2018 sníženy o 24, kdy byl počet funkčních míst ve výši 1 047. </w:t>
      </w:r>
    </w:p>
    <w:p w:rsidR="000339E1" w:rsidRPr="00716756" w:rsidRDefault="000339E1" w:rsidP="000339E1">
      <w:pPr>
        <w:pStyle w:val="obyctext"/>
        <w:spacing w:before="240" w:after="0"/>
        <w:rPr>
          <w:b/>
        </w:rPr>
      </w:pPr>
      <w:r w:rsidRPr="00716756">
        <w:rPr>
          <w:b/>
        </w:rPr>
        <w:t xml:space="preserve">V oblasti počtu zaměstnanců </w:t>
      </w:r>
      <w:r>
        <w:rPr>
          <w:b/>
        </w:rPr>
        <w:t>bylo ve směrném čísle promítnuto na rok 2019 oproti předchozímu roku:</w:t>
      </w:r>
      <w:r w:rsidRPr="00732929">
        <w:rPr>
          <w:b/>
        </w:rPr>
        <w:t xml:space="preserve"> </w:t>
      </w:r>
      <w:r w:rsidRPr="00716756">
        <w:rPr>
          <w:b/>
        </w:rPr>
        <w:t xml:space="preserve"> </w:t>
      </w:r>
    </w:p>
    <w:p w:rsidR="00AC16D8" w:rsidRDefault="00AC16D8" w:rsidP="00D71937">
      <w:pPr>
        <w:pStyle w:val="obyctext"/>
        <w:numPr>
          <w:ilvl w:val="0"/>
          <w:numId w:val="51"/>
        </w:numPr>
        <w:tabs>
          <w:tab w:val="left" w:pos="426"/>
        </w:tabs>
        <w:spacing w:before="60" w:after="0"/>
        <w:ind w:left="851" w:hanging="284"/>
      </w:pPr>
      <w:r>
        <w:t xml:space="preserve">krácení počtu míst </w:t>
      </w:r>
      <w:r w:rsidRPr="00642509">
        <w:t xml:space="preserve">nad </w:t>
      </w:r>
      <w:r>
        <w:t>5</w:t>
      </w:r>
      <w:r w:rsidRPr="00642509">
        <w:t xml:space="preserve">% </w:t>
      </w:r>
      <w:r>
        <w:t xml:space="preserve">míru </w:t>
      </w:r>
      <w:r w:rsidRPr="00642509">
        <w:t>neobsazenost</w:t>
      </w:r>
      <w:r>
        <w:t>i</w:t>
      </w:r>
      <w:r w:rsidRPr="00642509">
        <w:t xml:space="preserve"> ke konci 1. čtvrtletí 2018, tj. snížení </w:t>
      </w:r>
      <w:r w:rsidR="00D71937">
        <w:br/>
      </w:r>
      <w:r w:rsidRPr="00642509">
        <w:t xml:space="preserve">ve výši </w:t>
      </w:r>
      <w:r>
        <w:t>27 míst (v tom: ÚO MD – 12 míst, ÚCL – 14 míst, CSPSD – 1 místo)</w:t>
      </w:r>
      <w:r w:rsidRPr="00642509">
        <w:t>;</w:t>
      </w:r>
    </w:p>
    <w:p w:rsidR="00AC16D8" w:rsidRDefault="00AC16D8" w:rsidP="00D71937">
      <w:pPr>
        <w:pStyle w:val="obyctext"/>
        <w:numPr>
          <w:ilvl w:val="0"/>
          <w:numId w:val="51"/>
        </w:numPr>
        <w:tabs>
          <w:tab w:val="left" w:pos="426"/>
        </w:tabs>
        <w:spacing w:before="60" w:after="0"/>
        <w:ind w:left="851" w:hanging="284"/>
      </w:pPr>
      <w:r>
        <w:t>krácení počtu míst z fondů EU nad 5% míru neobsazenosti ke konci 1. čtvrtletí 2018, tj. snížení ve výši 6 míst (v tom: ÚO MD – 6 míst, OP Doprava 2014-2020)</w:t>
      </w:r>
      <w:r w:rsidRPr="00642509">
        <w:t>;</w:t>
      </w:r>
    </w:p>
    <w:p w:rsidR="00AC16D8" w:rsidRDefault="00AC16D8" w:rsidP="00D71937">
      <w:pPr>
        <w:pStyle w:val="obyctext"/>
        <w:numPr>
          <w:ilvl w:val="0"/>
          <w:numId w:val="51"/>
        </w:numPr>
        <w:tabs>
          <w:tab w:val="left" w:pos="426"/>
        </w:tabs>
        <w:spacing w:before="60" w:after="0"/>
        <w:ind w:left="851" w:hanging="284"/>
      </w:pPr>
      <w:r>
        <w:t>navýšení 5 míst bez finančního krytí u ÚO MD na zajištění agendy odvolávání proti rozhodnutí ve stavebním řízení (novela zákona č. 416/2009 Sb.)</w:t>
      </w:r>
      <w:r w:rsidRPr="00642509">
        <w:t>;</w:t>
      </w:r>
    </w:p>
    <w:p w:rsidR="00AC16D8" w:rsidRDefault="00AC16D8" w:rsidP="00D71937">
      <w:pPr>
        <w:pStyle w:val="obyctext"/>
        <w:numPr>
          <w:ilvl w:val="0"/>
          <w:numId w:val="51"/>
        </w:numPr>
        <w:tabs>
          <w:tab w:val="left" w:pos="426"/>
        </w:tabs>
        <w:spacing w:before="60" w:after="0"/>
        <w:ind w:left="851" w:hanging="284"/>
      </w:pPr>
      <w:r>
        <w:t>navýšení 4 míst bez finančního krytí u ÚCL na zajištění kontrolní činnosti z podnětu EASA</w:t>
      </w:r>
      <w:r w:rsidRPr="00642509">
        <w:t>;</w:t>
      </w:r>
    </w:p>
    <w:p w:rsidR="00AC16D8" w:rsidRDefault="00AC16D8" w:rsidP="00D71937">
      <w:pPr>
        <w:pStyle w:val="obyctext"/>
        <w:numPr>
          <w:ilvl w:val="0"/>
          <w:numId w:val="51"/>
        </w:numPr>
        <w:tabs>
          <w:tab w:val="left" w:pos="426"/>
        </w:tabs>
        <w:spacing w:before="60" w:after="0"/>
        <w:ind w:left="851" w:hanging="284"/>
      </w:pPr>
      <w:r>
        <w:t xml:space="preserve">schválená změna systemizace s účinnosti od </w:t>
      </w:r>
      <w:proofErr w:type="gramStart"/>
      <w:r>
        <w:t>1.1.2018</w:t>
      </w:r>
      <w:proofErr w:type="gramEnd"/>
      <w:r>
        <w:t xml:space="preserve"> – UV č. 895/2017 a od 1.6.2018 – UV č. 332/2018 a MV.</w:t>
      </w:r>
    </w:p>
    <w:p w:rsidR="000339E1" w:rsidRDefault="000339E1" w:rsidP="000339E1">
      <w:pPr>
        <w:pStyle w:val="obyctext"/>
        <w:tabs>
          <w:tab w:val="left" w:pos="567"/>
        </w:tabs>
        <w:spacing w:before="240" w:after="0"/>
        <w:ind w:firstLine="0"/>
        <w:rPr>
          <w:b/>
        </w:rPr>
      </w:pPr>
      <w:r>
        <w:rPr>
          <w:b/>
        </w:rPr>
        <w:tab/>
        <w:t>U jednotlivých OSS a PO jsou v rámci počtu zaměstnanců promítnuté na rok 2019 tyto změny</w:t>
      </w:r>
      <w:r w:rsidRPr="00127B20">
        <w:rPr>
          <w:b/>
        </w:rPr>
        <w:t xml:space="preserve">: </w:t>
      </w:r>
    </w:p>
    <w:p w:rsidR="000339E1" w:rsidRPr="00AC4936" w:rsidRDefault="000339E1" w:rsidP="000339E1">
      <w:pPr>
        <w:pStyle w:val="obyctext"/>
        <w:tabs>
          <w:tab w:val="left" w:pos="426"/>
        </w:tabs>
        <w:spacing w:after="0"/>
        <w:ind w:left="425" w:firstLine="0"/>
        <w:rPr>
          <w:u w:val="single"/>
        </w:rPr>
      </w:pPr>
      <w:r w:rsidRPr="00AC4936">
        <w:rPr>
          <w:u w:val="single"/>
        </w:rPr>
        <w:t>ÚO MD</w:t>
      </w:r>
    </w:p>
    <w:p w:rsidR="000339E1" w:rsidRPr="007D43D4" w:rsidRDefault="000339E1" w:rsidP="007D43D4">
      <w:pPr>
        <w:pStyle w:val="obyctext"/>
        <w:numPr>
          <w:ilvl w:val="0"/>
          <w:numId w:val="43"/>
        </w:numPr>
        <w:tabs>
          <w:tab w:val="left" w:pos="426"/>
        </w:tabs>
        <w:spacing w:before="60" w:after="0"/>
        <w:ind w:left="425" w:hanging="425"/>
      </w:pPr>
      <w:r>
        <w:t>krácení míst za neobsazenost ve výši 12;</w:t>
      </w:r>
    </w:p>
    <w:p w:rsidR="000339E1" w:rsidRPr="007D43D4" w:rsidRDefault="000339E1" w:rsidP="007D43D4">
      <w:pPr>
        <w:pStyle w:val="obyctext"/>
        <w:numPr>
          <w:ilvl w:val="0"/>
          <w:numId w:val="43"/>
        </w:numPr>
        <w:tabs>
          <w:tab w:val="left" w:pos="426"/>
        </w:tabs>
        <w:spacing w:before="60" w:after="0"/>
        <w:ind w:left="425" w:hanging="425"/>
      </w:pPr>
      <w:r>
        <w:t xml:space="preserve">krácení míst z fondů EU za neobsazenost ve výši 6 (1 kmenový zaměstnanec </w:t>
      </w:r>
      <w:r>
        <w:br/>
        <w:t>a 5 jednorázové navýšení);</w:t>
      </w:r>
    </w:p>
    <w:p w:rsidR="000339E1" w:rsidRPr="007D43D4" w:rsidRDefault="000339E1" w:rsidP="007D43D4">
      <w:pPr>
        <w:pStyle w:val="obyctext"/>
        <w:numPr>
          <w:ilvl w:val="0"/>
          <w:numId w:val="43"/>
        </w:numPr>
        <w:tabs>
          <w:tab w:val="left" w:pos="426"/>
        </w:tabs>
        <w:spacing w:before="60" w:after="0"/>
        <w:ind w:left="425" w:hanging="425"/>
      </w:pPr>
      <w:r>
        <w:t>navýšení 5 míst bez finančního krytí na zajištění agendy odvolávání proti rozhodnutí ve stavebním řízení (novela zákona č. 416/2009 Sb.);</w:t>
      </w:r>
    </w:p>
    <w:p w:rsidR="000339E1" w:rsidRPr="007D43D4" w:rsidRDefault="000339E1" w:rsidP="007D43D4">
      <w:pPr>
        <w:pStyle w:val="obyctext"/>
        <w:numPr>
          <w:ilvl w:val="0"/>
          <w:numId w:val="43"/>
        </w:numPr>
        <w:tabs>
          <w:tab w:val="left" w:pos="426"/>
        </w:tabs>
        <w:spacing w:before="60" w:after="0"/>
        <w:ind w:left="425" w:hanging="425"/>
      </w:pPr>
      <w:r>
        <w:t>schválená změna system</w:t>
      </w:r>
      <w:r w:rsidR="00CA24A2">
        <w:t>izace UV č. 895/2017 s účinností</w:t>
      </w:r>
      <w:r>
        <w:t xml:space="preserve"> </w:t>
      </w:r>
      <w:proofErr w:type="gramStart"/>
      <w:r>
        <w:t>1.1.2018</w:t>
      </w:r>
      <w:proofErr w:type="gramEnd"/>
      <w:r>
        <w:t xml:space="preserve">, kdy bylo zrušeno </w:t>
      </w:r>
      <w:r>
        <w:br/>
        <w:t>1 místo náměstka Sekce infrastruktury, civilního letectví a kosmických aktivit;</w:t>
      </w:r>
    </w:p>
    <w:p w:rsidR="000339E1" w:rsidRPr="00AC4936" w:rsidRDefault="000339E1" w:rsidP="007D43D4">
      <w:pPr>
        <w:pStyle w:val="obyctext"/>
        <w:numPr>
          <w:ilvl w:val="0"/>
          <w:numId w:val="43"/>
        </w:numPr>
        <w:tabs>
          <w:tab w:val="left" w:pos="426"/>
        </w:tabs>
        <w:spacing w:before="60" w:after="0"/>
        <w:ind w:left="425" w:hanging="425"/>
        <w:rPr>
          <w:b/>
        </w:rPr>
      </w:pPr>
      <w:r>
        <w:t xml:space="preserve">schválená </w:t>
      </w:r>
      <w:r w:rsidR="00CA24A2">
        <w:t>změna systemizace MV s účinností</w:t>
      </w:r>
      <w:r>
        <w:t xml:space="preserve"> </w:t>
      </w:r>
      <w:proofErr w:type="gramStart"/>
      <w:r>
        <w:t>1.6.2018</w:t>
      </w:r>
      <w:proofErr w:type="gramEnd"/>
      <w:r>
        <w:t xml:space="preserve">, kdy byl přesun 1 místa v implementaci OPD 2014-2020 (jednalo se jen o národní 15% podíl, podíl EU zůstal nezměněn) na místo k výkonu agendy pověřence v oblasti ochrany osobních údajů </w:t>
      </w:r>
      <w:r w:rsidR="00910632">
        <w:br/>
      </w:r>
      <w:r>
        <w:t>ve smyslu nařízení GDPR.</w:t>
      </w:r>
    </w:p>
    <w:p w:rsidR="000339E1" w:rsidRPr="001569A6" w:rsidRDefault="000339E1" w:rsidP="000339E1">
      <w:pPr>
        <w:pStyle w:val="obyctext"/>
        <w:tabs>
          <w:tab w:val="left" w:pos="0"/>
        </w:tabs>
        <w:spacing w:before="180" w:after="0"/>
        <w:ind w:firstLine="0"/>
        <w:rPr>
          <w:b/>
          <w:i/>
        </w:rPr>
      </w:pPr>
      <w:r>
        <w:tab/>
      </w:r>
      <w:r w:rsidRPr="001569A6">
        <w:rPr>
          <w:i/>
        </w:rPr>
        <w:t>P</w:t>
      </w:r>
      <w:r>
        <w:rPr>
          <w:i/>
        </w:rPr>
        <w:t>očet zaměstnanců</w:t>
      </w:r>
      <w:r w:rsidRPr="001569A6">
        <w:rPr>
          <w:i/>
        </w:rPr>
        <w:t xml:space="preserve"> ÚO MD j</w:t>
      </w:r>
      <w:r>
        <w:rPr>
          <w:i/>
        </w:rPr>
        <w:t>e</w:t>
      </w:r>
      <w:r w:rsidRPr="001569A6">
        <w:rPr>
          <w:i/>
        </w:rPr>
        <w:t xml:space="preserve"> pro rok 2019 </w:t>
      </w:r>
      <w:r>
        <w:rPr>
          <w:i/>
        </w:rPr>
        <w:t xml:space="preserve">stanoven </w:t>
      </w:r>
      <w:r w:rsidRPr="001569A6">
        <w:rPr>
          <w:i/>
        </w:rPr>
        <w:t>v</w:t>
      </w:r>
      <w:r>
        <w:rPr>
          <w:i/>
        </w:rPr>
        <w:t>e</w:t>
      </w:r>
      <w:r w:rsidRPr="001569A6">
        <w:rPr>
          <w:i/>
        </w:rPr>
        <w:t xml:space="preserve"> výši </w:t>
      </w:r>
      <w:r>
        <w:rPr>
          <w:i/>
        </w:rPr>
        <w:t>489</w:t>
      </w:r>
      <w:r w:rsidRPr="001569A6">
        <w:rPr>
          <w:i/>
        </w:rPr>
        <w:t xml:space="preserve">. Ve srovnání s rokem 2018 dochází ke snížení o </w:t>
      </w:r>
      <w:r>
        <w:rPr>
          <w:i/>
        </w:rPr>
        <w:t>14</w:t>
      </w:r>
      <w:r w:rsidRPr="001569A6">
        <w:rPr>
          <w:i/>
        </w:rPr>
        <w:t xml:space="preserve">, tj. o </w:t>
      </w:r>
      <w:r>
        <w:rPr>
          <w:i/>
        </w:rPr>
        <w:t>2</w:t>
      </w:r>
      <w:r w:rsidRPr="001569A6">
        <w:rPr>
          <w:i/>
        </w:rPr>
        <w:t>,7</w:t>
      </w:r>
      <w:r>
        <w:rPr>
          <w:i/>
        </w:rPr>
        <w:t>8</w:t>
      </w:r>
      <w:r w:rsidR="00DA42E9">
        <w:rPr>
          <w:i/>
        </w:rPr>
        <w:t xml:space="preserve"> </w:t>
      </w:r>
      <w:r w:rsidRPr="001569A6">
        <w:rPr>
          <w:i/>
        </w:rPr>
        <w:t>%.</w:t>
      </w:r>
    </w:p>
    <w:p w:rsidR="000339E1" w:rsidRPr="00AC4936" w:rsidRDefault="000339E1" w:rsidP="000339E1">
      <w:pPr>
        <w:pStyle w:val="obyctext"/>
        <w:tabs>
          <w:tab w:val="left" w:pos="426"/>
        </w:tabs>
        <w:spacing w:after="0"/>
        <w:ind w:left="425" w:firstLine="0"/>
        <w:rPr>
          <w:u w:val="single"/>
        </w:rPr>
      </w:pPr>
      <w:r w:rsidRPr="00AC4936">
        <w:rPr>
          <w:u w:val="single"/>
        </w:rPr>
        <w:t>ÚCL</w:t>
      </w:r>
    </w:p>
    <w:p w:rsidR="000339E1" w:rsidRPr="007D43D4" w:rsidRDefault="000339E1" w:rsidP="007D43D4">
      <w:pPr>
        <w:pStyle w:val="obyctext"/>
        <w:numPr>
          <w:ilvl w:val="0"/>
          <w:numId w:val="43"/>
        </w:numPr>
        <w:tabs>
          <w:tab w:val="left" w:pos="426"/>
        </w:tabs>
        <w:spacing w:before="60" w:after="0"/>
        <w:ind w:left="425" w:hanging="425"/>
      </w:pPr>
      <w:r>
        <w:t>krácení míst za neobsazenost ve výši 14;</w:t>
      </w:r>
    </w:p>
    <w:p w:rsidR="000339E1" w:rsidRPr="005B71C6" w:rsidRDefault="000339E1" w:rsidP="007D43D4">
      <w:pPr>
        <w:pStyle w:val="obyctext"/>
        <w:numPr>
          <w:ilvl w:val="0"/>
          <w:numId w:val="43"/>
        </w:numPr>
        <w:tabs>
          <w:tab w:val="left" w:pos="426"/>
        </w:tabs>
        <w:spacing w:before="60" w:after="0"/>
        <w:ind w:left="425" w:hanging="425"/>
        <w:rPr>
          <w:b/>
        </w:rPr>
      </w:pPr>
      <w:r>
        <w:t>navýšení 4 míst bez finančního krytí na zajištění kontrolní činnosti z podnětu EASA.</w:t>
      </w:r>
    </w:p>
    <w:p w:rsidR="000339E1" w:rsidRPr="001569A6" w:rsidRDefault="000339E1" w:rsidP="000339E1">
      <w:pPr>
        <w:pStyle w:val="obyctext"/>
        <w:tabs>
          <w:tab w:val="left" w:pos="0"/>
        </w:tabs>
        <w:spacing w:before="180" w:after="0"/>
        <w:ind w:firstLine="0"/>
        <w:rPr>
          <w:b/>
          <w:i/>
        </w:rPr>
      </w:pPr>
      <w:r>
        <w:tab/>
      </w:r>
      <w:r w:rsidRPr="001569A6">
        <w:rPr>
          <w:i/>
        </w:rPr>
        <w:t>P</w:t>
      </w:r>
      <w:r>
        <w:rPr>
          <w:i/>
        </w:rPr>
        <w:t>očet zaměstnanců</w:t>
      </w:r>
      <w:r w:rsidRPr="001569A6">
        <w:rPr>
          <w:i/>
        </w:rPr>
        <w:t xml:space="preserve"> Ú</w:t>
      </w:r>
      <w:r>
        <w:rPr>
          <w:i/>
        </w:rPr>
        <w:t>CL</w:t>
      </w:r>
      <w:r w:rsidRPr="001569A6">
        <w:rPr>
          <w:i/>
        </w:rPr>
        <w:t xml:space="preserve"> j</w:t>
      </w:r>
      <w:r>
        <w:rPr>
          <w:i/>
        </w:rPr>
        <w:t>e</w:t>
      </w:r>
      <w:r w:rsidRPr="001569A6">
        <w:rPr>
          <w:i/>
        </w:rPr>
        <w:t xml:space="preserve"> pro rok 2019 </w:t>
      </w:r>
      <w:r>
        <w:rPr>
          <w:i/>
        </w:rPr>
        <w:t xml:space="preserve">stanoven </w:t>
      </w:r>
      <w:r w:rsidRPr="001569A6">
        <w:rPr>
          <w:i/>
        </w:rPr>
        <w:t>v</w:t>
      </w:r>
      <w:r>
        <w:rPr>
          <w:i/>
        </w:rPr>
        <w:t>e</w:t>
      </w:r>
      <w:r w:rsidRPr="001569A6">
        <w:rPr>
          <w:i/>
        </w:rPr>
        <w:t xml:space="preserve"> výši </w:t>
      </w:r>
      <w:r>
        <w:rPr>
          <w:i/>
        </w:rPr>
        <w:t>167</w:t>
      </w:r>
      <w:r w:rsidRPr="001569A6">
        <w:rPr>
          <w:i/>
        </w:rPr>
        <w:t xml:space="preserve">. Ve srovnání s rokem 2018 dochází ke snížení o </w:t>
      </w:r>
      <w:r>
        <w:rPr>
          <w:i/>
        </w:rPr>
        <w:t>10</w:t>
      </w:r>
      <w:r w:rsidRPr="001569A6">
        <w:rPr>
          <w:i/>
        </w:rPr>
        <w:t xml:space="preserve">, tj. o </w:t>
      </w:r>
      <w:r>
        <w:rPr>
          <w:i/>
        </w:rPr>
        <w:t xml:space="preserve">5,65 </w:t>
      </w:r>
      <w:r w:rsidRPr="001569A6">
        <w:rPr>
          <w:i/>
        </w:rPr>
        <w:t>%.</w:t>
      </w:r>
    </w:p>
    <w:p w:rsidR="000339E1" w:rsidRPr="00AC4936" w:rsidRDefault="000339E1" w:rsidP="000339E1">
      <w:pPr>
        <w:pStyle w:val="obyctext"/>
        <w:tabs>
          <w:tab w:val="left" w:pos="426"/>
        </w:tabs>
        <w:spacing w:after="0"/>
        <w:ind w:left="425" w:firstLine="0"/>
        <w:rPr>
          <w:u w:val="single"/>
        </w:rPr>
      </w:pPr>
      <w:r w:rsidRPr="00AC4936">
        <w:rPr>
          <w:u w:val="single"/>
        </w:rPr>
        <w:t>SPS</w:t>
      </w:r>
    </w:p>
    <w:p w:rsidR="000339E1" w:rsidRPr="007D43D4" w:rsidRDefault="000339E1" w:rsidP="007D43D4">
      <w:pPr>
        <w:pStyle w:val="obyctext"/>
        <w:numPr>
          <w:ilvl w:val="0"/>
          <w:numId w:val="43"/>
        </w:numPr>
        <w:tabs>
          <w:tab w:val="left" w:pos="426"/>
        </w:tabs>
        <w:spacing w:before="60" w:after="0"/>
        <w:ind w:left="425" w:hanging="425"/>
      </w:pPr>
      <w:r w:rsidRPr="007D43D4">
        <w:t>navýšení 1místa z důvodu nárůstů počtu žádostí o vůdce malého plavidla a rozšiřování splavn</w:t>
      </w:r>
      <w:r>
        <w:t>osti vodních ploch (jedná se o vliv ze SDV při zpracování návrhu SR na rok 2018).</w:t>
      </w:r>
    </w:p>
    <w:p w:rsidR="000339E1" w:rsidRPr="001569A6" w:rsidRDefault="000339E1" w:rsidP="000339E1">
      <w:pPr>
        <w:pStyle w:val="obyctext"/>
        <w:tabs>
          <w:tab w:val="left" w:pos="0"/>
        </w:tabs>
        <w:spacing w:before="180" w:after="0"/>
        <w:ind w:firstLine="0"/>
        <w:rPr>
          <w:b/>
          <w:i/>
        </w:rPr>
      </w:pPr>
      <w:r>
        <w:tab/>
      </w:r>
      <w:r w:rsidRPr="001569A6">
        <w:rPr>
          <w:i/>
        </w:rPr>
        <w:t>P</w:t>
      </w:r>
      <w:r>
        <w:rPr>
          <w:i/>
        </w:rPr>
        <w:t>očet zaměstnanců</w:t>
      </w:r>
      <w:r w:rsidRPr="001569A6">
        <w:rPr>
          <w:i/>
        </w:rPr>
        <w:t xml:space="preserve"> </w:t>
      </w:r>
      <w:r>
        <w:rPr>
          <w:i/>
        </w:rPr>
        <w:t>SPS</w:t>
      </w:r>
      <w:r w:rsidRPr="001569A6">
        <w:rPr>
          <w:i/>
        </w:rPr>
        <w:t xml:space="preserve"> j</w:t>
      </w:r>
      <w:r>
        <w:rPr>
          <w:i/>
        </w:rPr>
        <w:t>e</w:t>
      </w:r>
      <w:r w:rsidRPr="001569A6">
        <w:rPr>
          <w:i/>
        </w:rPr>
        <w:t xml:space="preserve"> pro rok 2019 </w:t>
      </w:r>
      <w:r>
        <w:rPr>
          <w:i/>
        </w:rPr>
        <w:t xml:space="preserve">stanoven </w:t>
      </w:r>
      <w:r w:rsidRPr="001569A6">
        <w:rPr>
          <w:i/>
        </w:rPr>
        <w:t>v</w:t>
      </w:r>
      <w:r>
        <w:rPr>
          <w:i/>
        </w:rPr>
        <w:t>e</w:t>
      </w:r>
      <w:r w:rsidRPr="001569A6">
        <w:rPr>
          <w:i/>
        </w:rPr>
        <w:t xml:space="preserve"> výši </w:t>
      </w:r>
      <w:r>
        <w:rPr>
          <w:i/>
        </w:rPr>
        <w:t>89</w:t>
      </w:r>
      <w:r w:rsidRPr="001569A6">
        <w:rPr>
          <w:i/>
        </w:rPr>
        <w:t xml:space="preserve">. Ve srovnání s rokem 2018 dochází ke </w:t>
      </w:r>
      <w:r>
        <w:rPr>
          <w:i/>
        </w:rPr>
        <w:t>zvýšen</w:t>
      </w:r>
      <w:r w:rsidRPr="001569A6">
        <w:rPr>
          <w:i/>
        </w:rPr>
        <w:t xml:space="preserve">í o </w:t>
      </w:r>
      <w:r>
        <w:rPr>
          <w:i/>
        </w:rPr>
        <w:t>1</w:t>
      </w:r>
      <w:r w:rsidRPr="001569A6">
        <w:rPr>
          <w:i/>
        </w:rPr>
        <w:t xml:space="preserve">, tj. o </w:t>
      </w:r>
      <w:r>
        <w:rPr>
          <w:i/>
        </w:rPr>
        <w:t xml:space="preserve">1,14 </w:t>
      </w:r>
      <w:r w:rsidRPr="001569A6">
        <w:rPr>
          <w:i/>
        </w:rPr>
        <w:t>%.</w:t>
      </w:r>
    </w:p>
    <w:p w:rsidR="00AC16D8" w:rsidRDefault="00AC16D8" w:rsidP="000339E1">
      <w:pPr>
        <w:pStyle w:val="obyctext"/>
        <w:tabs>
          <w:tab w:val="left" w:pos="426"/>
        </w:tabs>
        <w:spacing w:after="0"/>
        <w:ind w:left="425" w:firstLine="0"/>
        <w:rPr>
          <w:u w:val="single"/>
        </w:rPr>
      </w:pPr>
    </w:p>
    <w:p w:rsidR="000339E1" w:rsidRPr="00AC4936" w:rsidRDefault="000339E1" w:rsidP="000339E1">
      <w:pPr>
        <w:pStyle w:val="obyctext"/>
        <w:tabs>
          <w:tab w:val="left" w:pos="426"/>
        </w:tabs>
        <w:spacing w:after="0"/>
        <w:ind w:left="425" w:firstLine="0"/>
        <w:rPr>
          <w:u w:val="single"/>
        </w:rPr>
      </w:pPr>
      <w:r w:rsidRPr="00AC4936">
        <w:rPr>
          <w:u w:val="single"/>
        </w:rPr>
        <w:lastRenderedPageBreak/>
        <w:t>DÚ</w:t>
      </w:r>
    </w:p>
    <w:p w:rsidR="000339E1" w:rsidRPr="001569A6" w:rsidRDefault="000339E1" w:rsidP="000339E1">
      <w:pPr>
        <w:pStyle w:val="obyctext"/>
        <w:tabs>
          <w:tab w:val="left" w:pos="0"/>
        </w:tabs>
        <w:spacing w:before="180" w:after="0"/>
        <w:ind w:firstLine="0"/>
        <w:rPr>
          <w:b/>
          <w:i/>
        </w:rPr>
      </w:pPr>
      <w:r>
        <w:tab/>
      </w:r>
      <w:r w:rsidRPr="001569A6">
        <w:rPr>
          <w:i/>
        </w:rPr>
        <w:t>P</w:t>
      </w:r>
      <w:r>
        <w:rPr>
          <w:i/>
        </w:rPr>
        <w:t>očet zaměstnanců</w:t>
      </w:r>
      <w:r w:rsidRPr="001569A6">
        <w:rPr>
          <w:i/>
        </w:rPr>
        <w:t xml:space="preserve"> </w:t>
      </w:r>
      <w:r>
        <w:rPr>
          <w:i/>
        </w:rPr>
        <w:t>D</w:t>
      </w:r>
      <w:r w:rsidRPr="001569A6">
        <w:rPr>
          <w:i/>
        </w:rPr>
        <w:t>Ú j</w:t>
      </w:r>
      <w:r>
        <w:rPr>
          <w:i/>
        </w:rPr>
        <w:t>e</w:t>
      </w:r>
      <w:r w:rsidRPr="001569A6">
        <w:rPr>
          <w:i/>
        </w:rPr>
        <w:t xml:space="preserve"> pro rok 2019 </w:t>
      </w:r>
      <w:r>
        <w:rPr>
          <w:i/>
        </w:rPr>
        <w:t xml:space="preserve">stanoven </w:t>
      </w:r>
      <w:r w:rsidRPr="001569A6">
        <w:rPr>
          <w:i/>
        </w:rPr>
        <w:t>v</w:t>
      </w:r>
      <w:r>
        <w:rPr>
          <w:i/>
        </w:rPr>
        <w:t>e</w:t>
      </w:r>
      <w:r w:rsidRPr="001569A6">
        <w:rPr>
          <w:i/>
        </w:rPr>
        <w:t xml:space="preserve"> výši </w:t>
      </w:r>
      <w:r>
        <w:rPr>
          <w:i/>
        </w:rPr>
        <w:t>115</w:t>
      </w:r>
      <w:r w:rsidRPr="001569A6">
        <w:rPr>
          <w:i/>
        </w:rPr>
        <w:t xml:space="preserve">. Ve srovnání s rokem 2018 </w:t>
      </w:r>
      <w:r>
        <w:rPr>
          <w:i/>
        </w:rPr>
        <w:t>ne</w:t>
      </w:r>
      <w:r w:rsidRPr="001569A6">
        <w:rPr>
          <w:i/>
        </w:rPr>
        <w:t xml:space="preserve">dochází ke </w:t>
      </w:r>
      <w:r>
        <w:rPr>
          <w:i/>
        </w:rPr>
        <w:t>změně.</w:t>
      </w:r>
    </w:p>
    <w:p w:rsidR="000339E1" w:rsidRPr="00AC4936" w:rsidRDefault="000339E1" w:rsidP="000339E1">
      <w:pPr>
        <w:pStyle w:val="obyctext"/>
        <w:tabs>
          <w:tab w:val="left" w:pos="426"/>
        </w:tabs>
        <w:spacing w:after="0"/>
        <w:ind w:left="425" w:firstLine="0"/>
        <w:rPr>
          <w:u w:val="single"/>
        </w:rPr>
      </w:pPr>
      <w:r w:rsidRPr="00AC4936">
        <w:rPr>
          <w:u w:val="single"/>
        </w:rPr>
        <w:t>DI</w:t>
      </w:r>
    </w:p>
    <w:p w:rsidR="000339E1" w:rsidRPr="001569A6" w:rsidRDefault="000339E1" w:rsidP="000339E1">
      <w:pPr>
        <w:pStyle w:val="obyctext"/>
        <w:tabs>
          <w:tab w:val="left" w:pos="0"/>
        </w:tabs>
        <w:spacing w:before="180" w:after="0"/>
        <w:ind w:firstLine="0"/>
        <w:rPr>
          <w:b/>
          <w:i/>
        </w:rPr>
      </w:pPr>
      <w:r>
        <w:tab/>
      </w:r>
      <w:r w:rsidRPr="001569A6">
        <w:rPr>
          <w:i/>
        </w:rPr>
        <w:t>P</w:t>
      </w:r>
      <w:r>
        <w:rPr>
          <w:i/>
        </w:rPr>
        <w:t>očet zaměstnanců</w:t>
      </w:r>
      <w:r w:rsidRPr="001569A6">
        <w:rPr>
          <w:i/>
        </w:rPr>
        <w:t xml:space="preserve"> </w:t>
      </w:r>
      <w:r>
        <w:rPr>
          <w:i/>
        </w:rPr>
        <w:t>DI</w:t>
      </w:r>
      <w:r w:rsidRPr="001569A6">
        <w:rPr>
          <w:i/>
        </w:rPr>
        <w:t xml:space="preserve"> </w:t>
      </w:r>
      <w:proofErr w:type="gramStart"/>
      <w:r w:rsidRPr="001569A6">
        <w:rPr>
          <w:i/>
        </w:rPr>
        <w:t>j</w:t>
      </w:r>
      <w:r>
        <w:rPr>
          <w:i/>
        </w:rPr>
        <w:t>e</w:t>
      </w:r>
      <w:proofErr w:type="gramEnd"/>
      <w:r w:rsidRPr="001569A6">
        <w:rPr>
          <w:i/>
        </w:rPr>
        <w:t xml:space="preserve"> pro rok 2019 </w:t>
      </w:r>
      <w:r>
        <w:rPr>
          <w:i/>
        </w:rPr>
        <w:t xml:space="preserve">stanoven </w:t>
      </w:r>
      <w:r w:rsidRPr="001569A6">
        <w:rPr>
          <w:i/>
        </w:rPr>
        <w:t>v</w:t>
      </w:r>
      <w:r>
        <w:rPr>
          <w:i/>
        </w:rPr>
        <w:t>e</w:t>
      </w:r>
      <w:r w:rsidRPr="001569A6">
        <w:rPr>
          <w:i/>
        </w:rPr>
        <w:t xml:space="preserve"> výši </w:t>
      </w:r>
      <w:r>
        <w:rPr>
          <w:i/>
        </w:rPr>
        <w:t>39</w:t>
      </w:r>
      <w:r w:rsidRPr="001569A6">
        <w:rPr>
          <w:i/>
        </w:rPr>
        <w:t xml:space="preserve">. Ve srovnání s rokem 2018 </w:t>
      </w:r>
      <w:r>
        <w:rPr>
          <w:i/>
        </w:rPr>
        <w:t>ne</w:t>
      </w:r>
      <w:r w:rsidRPr="001569A6">
        <w:rPr>
          <w:i/>
        </w:rPr>
        <w:t xml:space="preserve">dochází ke </w:t>
      </w:r>
      <w:r>
        <w:rPr>
          <w:i/>
        </w:rPr>
        <w:t>změně.</w:t>
      </w:r>
    </w:p>
    <w:p w:rsidR="000339E1" w:rsidRPr="00AC4936" w:rsidRDefault="000339E1" w:rsidP="000339E1">
      <w:pPr>
        <w:pStyle w:val="obyctext"/>
        <w:tabs>
          <w:tab w:val="left" w:pos="426"/>
        </w:tabs>
        <w:spacing w:after="0"/>
        <w:ind w:left="425" w:firstLine="0"/>
        <w:rPr>
          <w:u w:val="single"/>
        </w:rPr>
      </w:pPr>
      <w:r w:rsidRPr="00AC4936">
        <w:rPr>
          <w:u w:val="single"/>
        </w:rPr>
        <w:t>ÚZPLN</w:t>
      </w:r>
    </w:p>
    <w:p w:rsidR="000339E1" w:rsidRPr="001569A6" w:rsidRDefault="000339E1" w:rsidP="000339E1">
      <w:pPr>
        <w:pStyle w:val="obyctext"/>
        <w:tabs>
          <w:tab w:val="left" w:pos="0"/>
        </w:tabs>
        <w:spacing w:before="180" w:after="0"/>
        <w:ind w:firstLine="0"/>
        <w:rPr>
          <w:b/>
          <w:i/>
        </w:rPr>
      </w:pPr>
      <w:r>
        <w:tab/>
      </w:r>
      <w:r w:rsidRPr="001569A6">
        <w:rPr>
          <w:i/>
        </w:rPr>
        <w:t>P</w:t>
      </w:r>
      <w:r>
        <w:rPr>
          <w:i/>
        </w:rPr>
        <w:t>očet zaměstnanců</w:t>
      </w:r>
      <w:r w:rsidRPr="001569A6">
        <w:rPr>
          <w:i/>
        </w:rPr>
        <w:t xml:space="preserve"> </w:t>
      </w:r>
      <w:r>
        <w:rPr>
          <w:i/>
        </w:rPr>
        <w:t>ÚZPLN</w:t>
      </w:r>
      <w:r w:rsidRPr="001569A6">
        <w:rPr>
          <w:i/>
        </w:rPr>
        <w:t xml:space="preserve"> j</w:t>
      </w:r>
      <w:r>
        <w:rPr>
          <w:i/>
        </w:rPr>
        <w:t>e</w:t>
      </w:r>
      <w:r w:rsidRPr="001569A6">
        <w:rPr>
          <w:i/>
        </w:rPr>
        <w:t xml:space="preserve"> pro rok 2019 </w:t>
      </w:r>
      <w:r>
        <w:rPr>
          <w:i/>
        </w:rPr>
        <w:t xml:space="preserve">stanoven </w:t>
      </w:r>
      <w:r w:rsidRPr="001569A6">
        <w:rPr>
          <w:i/>
        </w:rPr>
        <w:t>v</w:t>
      </w:r>
      <w:r>
        <w:rPr>
          <w:i/>
        </w:rPr>
        <w:t>e</w:t>
      </w:r>
      <w:r w:rsidRPr="001569A6">
        <w:rPr>
          <w:i/>
        </w:rPr>
        <w:t xml:space="preserve"> výši </w:t>
      </w:r>
      <w:r>
        <w:rPr>
          <w:i/>
        </w:rPr>
        <w:t>15</w:t>
      </w:r>
      <w:r w:rsidRPr="001569A6">
        <w:rPr>
          <w:i/>
        </w:rPr>
        <w:t xml:space="preserve">. Ve srovnání s rokem 2018 </w:t>
      </w:r>
      <w:r>
        <w:rPr>
          <w:i/>
        </w:rPr>
        <w:t>ne</w:t>
      </w:r>
      <w:r w:rsidRPr="001569A6">
        <w:rPr>
          <w:i/>
        </w:rPr>
        <w:t xml:space="preserve">dochází ke </w:t>
      </w:r>
      <w:r>
        <w:rPr>
          <w:i/>
        </w:rPr>
        <w:t>změně.</w:t>
      </w:r>
    </w:p>
    <w:p w:rsidR="000339E1" w:rsidRPr="00AC4936" w:rsidRDefault="000339E1" w:rsidP="000339E1">
      <w:pPr>
        <w:pStyle w:val="obyctext"/>
        <w:tabs>
          <w:tab w:val="left" w:pos="426"/>
        </w:tabs>
        <w:spacing w:after="0"/>
        <w:ind w:left="425" w:firstLine="0"/>
        <w:rPr>
          <w:u w:val="single"/>
        </w:rPr>
      </w:pPr>
      <w:r w:rsidRPr="00AC4936">
        <w:rPr>
          <w:u w:val="single"/>
        </w:rPr>
        <w:t>ŘVC ČR</w:t>
      </w:r>
    </w:p>
    <w:p w:rsidR="000339E1" w:rsidRPr="001569A6" w:rsidRDefault="000339E1" w:rsidP="000339E1">
      <w:pPr>
        <w:pStyle w:val="obyctext"/>
        <w:tabs>
          <w:tab w:val="left" w:pos="0"/>
        </w:tabs>
        <w:spacing w:before="180" w:after="0"/>
        <w:ind w:firstLine="0"/>
        <w:rPr>
          <w:b/>
          <w:i/>
        </w:rPr>
      </w:pPr>
      <w:r>
        <w:tab/>
      </w:r>
      <w:r w:rsidRPr="001569A6">
        <w:rPr>
          <w:i/>
        </w:rPr>
        <w:t>P</w:t>
      </w:r>
      <w:r>
        <w:rPr>
          <w:i/>
        </w:rPr>
        <w:t>očet zaměstnanců</w:t>
      </w:r>
      <w:r w:rsidRPr="001569A6">
        <w:rPr>
          <w:i/>
        </w:rPr>
        <w:t xml:space="preserve"> </w:t>
      </w:r>
      <w:r>
        <w:rPr>
          <w:i/>
        </w:rPr>
        <w:t>ŘVC ČR</w:t>
      </w:r>
      <w:r w:rsidRPr="001569A6">
        <w:rPr>
          <w:i/>
        </w:rPr>
        <w:t xml:space="preserve"> j</w:t>
      </w:r>
      <w:r>
        <w:rPr>
          <w:i/>
        </w:rPr>
        <w:t>e</w:t>
      </w:r>
      <w:r w:rsidRPr="001569A6">
        <w:rPr>
          <w:i/>
        </w:rPr>
        <w:t xml:space="preserve"> pro rok 2019 </w:t>
      </w:r>
      <w:r>
        <w:rPr>
          <w:i/>
        </w:rPr>
        <w:t xml:space="preserve">stanoven </w:t>
      </w:r>
      <w:r w:rsidRPr="001569A6">
        <w:rPr>
          <w:i/>
        </w:rPr>
        <w:t>v</w:t>
      </w:r>
      <w:r>
        <w:rPr>
          <w:i/>
        </w:rPr>
        <w:t>e</w:t>
      </w:r>
      <w:r w:rsidRPr="001569A6">
        <w:rPr>
          <w:i/>
        </w:rPr>
        <w:t xml:space="preserve"> výši </w:t>
      </w:r>
      <w:r>
        <w:rPr>
          <w:i/>
        </w:rPr>
        <w:t>19</w:t>
      </w:r>
      <w:r w:rsidRPr="001569A6">
        <w:rPr>
          <w:i/>
        </w:rPr>
        <w:t xml:space="preserve">. Ve srovnání s rokem 2018 </w:t>
      </w:r>
      <w:r>
        <w:rPr>
          <w:i/>
        </w:rPr>
        <w:t>ne</w:t>
      </w:r>
      <w:r w:rsidRPr="001569A6">
        <w:rPr>
          <w:i/>
        </w:rPr>
        <w:t xml:space="preserve">dochází ke </w:t>
      </w:r>
      <w:r>
        <w:rPr>
          <w:i/>
        </w:rPr>
        <w:t>změně.</w:t>
      </w:r>
    </w:p>
    <w:p w:rsidR="000339E1" w:rsidRPr="00AC4936" w:rsidRDefault="000339E1" w:rsidP="000339E1">
      <w:pPr>
        <w:pStyle w:val="obyctext"/>
        <w:tabs>
          <w:tab w:val="left" w:pos="426"/>
        </w:tabs>
        <w:spacing w:after="0"/>
        <w:ind w:left="425" w:firstLine="0"/>
        <w:rPr>
          <w:u w:val="single"/>
        </w:rPr>
      </w:pPr>
      <w:r w:rsidRPr="00AC4936">
        <w:rPr>
          <w:u w:val="single"/>
        </w:rPr>
        <w:t>CSPSD</w:t>
      </w:r>
    </w:p>
    <w:p w:rsidR="000339E1" w:rsidRPr="00AC16D8" w:rsidRDefault="000339E1" w:rsidP="00AC16D8">
      <w:pPr>
        <w:pStyle w:val="obyctext"/>
        <w:numPr>
          <w:ilvl w:val="0"/>
          <w:numId w:val="43"/>
        </w:numPr>
        <w:tabs>
          <w:tab w:val="left" w:pos="426"/>
        </w:tabs>
        <w:spacing w:before="60" w:after="0"/>
        <w:ind w:left="425" w:hanging="425"/>
      </w:pPr>
      <w:r w:rsidRPr="007D43D4">
        <w:t>krácení míst za neobsazenost</w:t>
      </w:r>
      <w:r>
        <w:t xml:space="preserve"> ve výši 1.</w:t>
      </w:r>
    </w:p>
    <w:p w:rsidR="000339E1" w:rsidRDefault="000339E1" w:rsidP="000339E1">
      <w:pPr>
        <w:pStyle w:val="obyctext"/>
        <w:tabs>
          <w:tab w:val="left" w:pos="0"/>
        </w:tabs>
        <w:spacing w:before="180" w:after="0"/>
        <w:ind w:firstLine="0"/>
        <w:rPr>
          <w:i/>
        </w:rPr>
      </w:pPr>
      <w:r>
        <w:tab/>
      </w:r>
      <w:r w:rsidRPr="001569A6">
        <w:rPr>
          <w:i/>
        </w:rPr>
        <w:t>P</w:t>
      </w:r>
      <w:r>
        <w:rPr>
          <w:i/>
        </w:rPr>
        <w:t>očet zaměstnanců</w:t>
      </w:r>
      <w:r w:rsidRPr="001569A6">
        <w:rPr>
          <w:i/>
        </w:rPr>
        <w:t xml:space="preserve"> </w:t>
      </w:r>
      <w:r>
        <w:rPr>
          <w:i/>
        </w:rPr>
        <w:t>CSPSD</w:t>
      </w:r>
      <w:r w:rsidRPr="001569A6">
        <w:rPr>
          <w:i/>
        </w:rPr>
        <w:t xml:space="preserve"> j</w:t>
      </w:r>
      <w:r>
        <w:rPr>
          <w:i/>
        </w:rPr>
        <w:t>e</w:t>
      </w:r>
      <w:r w:rsidRPr="001569A6">
        <w:rPr>
          <w:i/>
        </w:rPr>
        <w:t xml:space="preserve"> pro rok 2019 </w:t>
      </w:r>
      <w:r>
        <w:rPr>
          <w:i/>
        </w:rPr>
        <w:t xml:space="preserve">stanoven </w:t>
      </w:r>
      <w:r w:rsidRPr="001569A6">
        <w:rPr>
          <w:i/>
        </w:rPr>
        <w:t>v</w:t>
      </w:r>
      <w:r>
        <w:rPr>
          <w:i/>
        </w:rPr>
        <w:t>e</w:t>
      </w:r>
      <w:r w:rsidRPr="001569A6">
        <w:rPr>
          <w:i/>
        </w:rPr>
        <w:t xml:space="preserve"> výši </w:t>
      </w:r>
      <w:r>
        <w:rPr>
          <w:i/>
        </w:rPr>
        <w:t>90</w:t>
      </w:r>
      <w:r w:rsidRPr="001569A6">
        <w:rPr>
          <w:i/>
        </w:rPr>
        <w:t xml:space="preserve">. Ve srovnání s rokem 2018 dochází ke snížení o </w:t>
      </w:r>
      <w:r>
        <w:rPr>
          <w:i/>
        </w:rPr>
        <w:t>1</w:t>
      </w:r>
      <w:r w:rsidRPr="001569A6">
        <w:rPr>
          <w:i/>
        </w:rPr>
        <w:t xml:space="preserve">, tj. o </w:t>
      </w:r>
      <w:r>
        <w:rPr>
          <w:i/>
        </w:rPr>
        <w:t xml:space="preserve">1,10 </w:t>
      </w:r>
      <w:r w:rsidRPr="001569A6">
        <w:rPr>
          <w:i/>
        </w:rPr>
        <w:t>%.</w:t>
      </w:r>
    </w:p>
    <w:p w:rsidR="000339E1" w:rsidRDefault="000339E1" w:rsidP="000339E1">
      <w:pPr>
        <w:pStyle w:val="obyctext"/>
        <w:spacing w:before="360"/>
        <w:rPr>
          <w:b/>
          <w:u w:val="single"/>
        </w:rPr>
      </w:pPr>
      <w:r>
        <w:rPr>
          <w:b/>
          <w:u w:val="single"/>
        </w:rPr>
        <w:t>C) Průměrný plat</w:t>
      </w:r>
    </w:p>
    <w:p w:rsidR="000339E1" w:rsidRDefault="000339E1" w:rsidP="001D1C48">
      <w:pPr>
        <w:pStyle w:val="Styl1"/>
      </w:pPr>
      <w:r w:rsidRPr="00705793">
        <w:t>Průměrný plat</w:t>
      </w:r>
      <w:r w:rsidRPr="00EF5CCF">
        <w:t xml:space="preserve"> v kapitole Ministerstvo dopravy je pro rok 2019 navržen ve výši </w:t>
      </w:r>
      <w:r w:rsidRPr="00EF5CCF">
        <w:br/>
        <w:t>44 373 Kč. Ve srovnání s předchozím rokem, kdy byl průměrný plat ve výši 44 563 Kč, dochází ke snížení zejména vlivem krácení za neobsazenost.</w:t>
      </w:r>
    </w:p>
    <w:p w:rsidR="000339E1" w:rsidRPr="00394484" w:rsidRDefault="000339E1" w:rsidP="000339E1">
      <w:pPr>
        <w:pStyle w:val="obyctext"/>
        <w:spacing w:after="0"/>
        <w:rPr>
          <w:b/>
          <w:u w:val="single"/>
        </w:rPr>
      </w:pPr>
      <w:r w:rsidRPr="00394484">
        <w:rPr>
          <w:b/>
          <w:u w:val="single"/>
        </w:rPr>
        <w:t xml:space="preserve">D) </w:t>
      </w:r>
      <w:r>
        <w:rPr>
          <w:b/>
          <w:u w:val="single"/>
        </w:rPr>
        <w:t>Prostředky</w:t>
      </w:r>
      <w:r w:rsidRPr="00394484">
        <w:rPr>
          <w:b/>
          <w:u w:val="single"/>
        </w:rPr>
        <w:t xml:space="preserve"> z rozp</w:t>
      </w:r>
      <w:r>
        <w:rPr>
          <w:b/>
          <w:u w:val="single"/>
        </w:rPr>
        <w:t>očtu EU a finančních mechanismů</w:t>
      </w:r>
    </w:p>
    <w:p w:rsidR="000339E1" w:rsidRPr="00000745" w:rsidRDefault="000339E1" w:rsidP="000339E1">
      <w:pPr>
        <w:pStyle w:val="obyctext"/>
        <w:tabs>
          <w:tab w:val="left" w:pos="426"/>
        </w:tabs>
        <w:spacing w:after="0"/>
        <w:ind w:firstLine="0"/>
        <w:rPr>
          <w:u w:val="single"/>
        </w:rPr>
      </w:pPr>
      <w:r w:rsidRPr="00000745">
        <w:rPr>
          <w:u w:val="single"/>
        </w:rPr>
        <w:t>Ope</w:t>
      </w:r>
      <w:r w:rsidR="00F65BC7">
        <w:rPr>
          <w:u w:val="single"/>
        </w:rPr>
        <w:t>rační program</w:t>
      </w:r>
      <w:r w:rsidRPr="00000745">
        <w:rPr>
          <w:u w:val="single"/>
        </w:rPr>
        <w:t xml:space="preserve"> Doprava na období 2014-2020 (týká se jen ÚO MD)  </w:t>
      </w:r>
    </w:p>
    <w:p w:rsidR="000339E1" w:rsidRDefault="000339E1" w:rsidP="00460067">
      <w:pPr>
        <w:pStyle w:val="Styl1"/>
        <w:numPr>
          <w:ilvl w:val="0"/>
          <w:numId w:val="37"/>
        </w:numPr>
        <w:spacing w:before="60" w:after="0"/>
        <w:ind w:left="284" w:hanging="284"/>
      </w:pPr>
      <w:r>
        <w:t xml:space="preserve">prostředky na platy </w:t>
      </w:r>
      <w:r w:rsidRPr="00A43681">
        <w:t>ve výši 6 818 tis. Kč ze státního rozpočtu a 38 461 tis. Kč z rozpočtu EU</w:t>
      </w:r>
      <w:r>
        <w:t>, celkem ve výši 45 279 tis. Kč;</w:t>
      </w:r>
    </w:p>
    <w:p w:rsidR="000339E1" w:rsidRDefault="000339E1" w:rsidP="00460067">
      <w:pPr>
        <w:pStyle w:val="Styl1"/>
        <w:numPr>
          <w:ilvl w:val="0"/>
          <w:numId w:val="37"/>
        </w:numPr>
        <w:spacing w:before="60" w:after="0"/>
        <w:ind w:left="284" w:hanging="284"/>
      </w:pPr>
      <w:r>
        <w:t xml:space="preserve">ostatní platby za provedenou práci ve </w:t>
      </w:r>
      <w:r w:rsidRPr="00A43681">
        <w:t xml:space="preserve">výši 663 tis. Kč ze státního rozpočtu </w:t>
      </w:r>
      <w:r w:rsidR="00910632">
        <w:br/>
      </w:r>
      <w:r w:rsidRPr="00A43681">
        <w:t>a 3 759</w:t>
      </w:r>
      <w:r>
        <w:t xml:space="preserve"> tis. Kč prostředků EU, celkem ve výši 4 422 tis. Kč;</w:t>
      </w:r>
    </w:p>
    <w:p w:rsidR="000339E1" w:rsidRDefault="000339E1" w:rsidP="00460067">
      <w:pPr>
        <w:pStyle w:val="Styl1"/>
        <w:numPr>
          <w:ilvl w:val="0"/>
          <w:numId w:val="37"/>
        </w:numPr>
        <w:spacing w:before="60" w:after="0"/>
        <w:ind w:left="284" w:hanging="284"/>
      </w:pPr>
      <w:r>
        <w:t xml:space="preserve">počet </w:t>
      </w:r>
      <w:r w:rsidRPr="00A43681">
        <w:t>95,03 zaměstnanců přepočtených plně zapojených do implementace OPD</w:t>
      </w:r>
      <w:r>
        <w:t xml:space="preserve"> </w:t>
      </w:r>
      <w:r w:rsidR="00910632">
        <w:br/>
      </w:r>
      <w:r w:rsidR="0052402E">
        <w:t>(v tom: 60,03 kmenoví zaměstnanci</w:t>
      </w:r>
      <w:r>
        <w:t xml:space="preserve"> a 35 jednorázové navýšení).</w:t>
      </w:r>
    </w:p>
    <w:p w:rsidR="000339E1" w:rsidRPr="00000745" w:rsidRDefault="000339E1" w:rsidP="000339E1">
      <w:pPr>
        <w:spacing w:before="240" w:line="240" w:lineRule="auto"/>
        <w:rPr>
          <w:rFonts w:eastAsia="Times New Roman" w:cs="Times New Roman"/>
          <w:szCs w:val="24"/>
          <w:u w:val="single"/>
          <w:lang w:eastAsia="cs-CZ"/>
        </w:rPr>
      </w:pPr>
      <w:r w:rsidRPr="00000745">
        <w:rPr>
          <w:rFonts w:eastAsia="Times New Roman" w:cs="Times New Roman"/>
          <w:szCs w:val="24"/>
          <w:u w:val="single"/>
          <w:lang w:eastAsia="cs-CZ"/>
        </w:rPr>
        <w:t>Komunitární programy EU</w:t>
      </w:r>
    </w:p>
    <w:p w:rsidR="000339E1" w:rsidRPr="00EB5B4C" w:rsidRDefault="000339E1" w:rsidP="00F04969">
      <w:pPr>
        <w:pStyle w:val="Odstavecseseznamem"/>
        <w:numPr>
          <w:ilvl w:val="0"/>
          <w:numId w:val="20"/>
        </w:numPr>
        <w:spacing w:before="120"/>
        <w:ind w:left="284" w:hanging="284"/>
      </w:pPr>
      <w:r w:rsidRPr="00EB5B4C">
        <w:t>CROCODILE 3</w:t>
      </w:r>
      <w:r>
        <w:t xml:space="preserve"> (ÚO MD)</w:t>
      </w:r>
    </w:p>
    <w:p w:rsidR="000339E1" w:rsidRDefault="000339E1" w:rsidP="00F04969">
      <w:pPr>
        <w:pStyle w:val="obyctext"/>
        <w:numPr>
          <w:ilvl w:val="0"/>
          <w:numId w:val="38"/>
        </w:numPr>
        <w:tabs>
          <w:tab w:val="left" w:pos="2410"/>
        </w:tabs>
        <w:spacing w:before="60" w:after="0"/>
        <w:ind w:left="567" w:hanging="283"/>
      </w:pPr>
      <w:r>
        <w:t xml:space="preserve">prostředky na platy </w:t>
      </w:r>
      <w:r w:rsidRPr="00A43681">
        <w:t xml:space="preserve">ve výši </w:t>
      </w:r>
      <w:r>
        <w:t>280</w:t>
      </w:r>
      <w:r w:rsidRPr="00A43681">
        <w:t xml:space="preserve"> tis. Kč ze státního rozpočtu a </w:t>
      </w:r>
      <w:r>
        <w:t>70</w:t>
      </w:r>
      <w:r w:rsidRPr="00A43681">
        <w:t xml:space="preserve"> tis. Kč z rozpočtu EU</w:t>
      </w:r>
      <w:r>
        <w:t>, celkem ve výši 350 tis. Kč;</w:t>
      </w:r>
    </w:p>
    <w:p w:rsidR="000339E1" w:rsidRDefault="000339E1" w:rsidP="00F04969">
      <w:pPr>
        <w:pStyle w:val="obyctext"/>
        <w:numPr>
          <w:ilvl w:val="0"/>
          <w:numId w:val="38"/>
        </w:numPr>
        <w:tabs>
          <w:tab w:val="left" w:pos="2410"/>
        </w:tabs>
        <w:spacing w:before="60" w:after="0"/>
        <w:ind w:left="567" w:hanging="283"/>
      </w:pPr>
      <w:r>
        <w:t xml:space="preserve">ostatní platby za provedenou práci ve </w:t>
      </w:r>
      <w:r w:rsidRPr="00A43681">
        <w:t xml:space="preserve">výši </w:t>
      </w:r>
      <w:r>
        <w:t>119</w:t>
      </w:r>
      <w:r w:rsidRPr="00A43681">
        <w:t xml:space="preserve"> tis. Kč ze státního rozpočtu a </w:t>
      </w:r>
      <w:r>
        <w:t xml:space="preserve">30 tis. Kč </w:t>
      </w:r>
      <w:r w:rsidR="0052402E">
        <w:t>z rozpočtu</w:t>
      </w:r>
      <w:r>
        <w:t xml:space="preserve"> EU, celkem ve výši 149 tis. Kč;</w:t>
      </w:r>
    </w:p>
    <w:p w:rsidR="000339E1" w:rsidRPr="006723F8" w:rsidRDefault="000339E1" w:rsidP="00F04969">
      <w:pPr>
        <w:pStyle w:val="obyctext"/>
        <w:numPr>
          <w:ilvl w:val="0"/>
          <w:numId w:val="38"/>
        </w:numPr>
        <w:tabs>
          <w:tab w:val="left" w:pos="2410"/>
        </w:tabs>
        <w:spacing w:before="60" w:after="0"/>
        <w:ind w:left="567" w:hanging="283"/>
      </w:pPr>
      <w:r>
        <w:t xml:space="preserve">počet </w:t>
      </w:r>
      <w:r w:rsidRPr="00A43681">
        <w:t>zaměstnanců</w:t>
      </w:r>
      <w:r>
        <w:t xml:space="preserve"> 1,8</w:t>
      </w:r>
      <w:r>
        <w:rPr>
          <w:color w:val="FF0000"/>
        </w:rPr>
        <w:t xml:space="preserve"> </w:t>
      </w:r>
      <w:r w:rsidRPr="006723F8">
        <w:t>(kmenoví zaměstnanci).</w:t>
      </w:r>
    </w:p>
    <w:p w:rsidR="000339E1" w:rsidRPr="00EB5B4C" w:rsidRDefault="000339E1" w:rsidP="00F04969">
      <w:pPr>
        <w:pStyle w:val="Odstavecseseznamem"/>
        <w:numPr>
          <w:ilvl w:val="0"/>
          <w:numId w:val="20"/>
        </w:numPr>
        <w:tabs>
          <w:tab w:val="left" w:pos="2410"/>
        </w:tabs>
        <w:spacing w:before="240"/>
        <w:ind w:left="284" w:hanging="284"/>
      </w:pPr>
      <w:r>
        <w:t>C-ROADS (ÚO MD)</w:t>
      </w:r>
    </w:p>
    <w:p w:rsidR="000339E1" w:rsidRDefault="000339E1" w:rsidP="00F04969">
      <w:pPr>
        <w:pStyle w:val="obyctext"/>
        <w:numPr>
          <w:ilvl w:val="0"/>
          <w:numId w:val="38"/>
        </w:numPr>
        <w:tabs>
          <w:tab w:val="left" w:pos="2410"/>
        </w:tabs>
        <w:spacing w:before="60" w:after="0"/>
        <w:ind w:left="567" w:hanging="283"/>
      </w:pPr>
      <w:r>
        <w:t xml:space="preserve">prostředky na platy </w:t>
      </w:r>
      <w:r w:rsidRPr="00A43681">
        <w:t xml:space="preserve">ve výši </w:t>
      </w:r>
      <w:r>
        <w:t>57</w:t>
      </w:r>
      <w:r w:rsidRPr="00A43681">
        <w:t xml:space="preserve"> tis. Kč ze státního rozpočtu a </w:t>
      </w:r>
      <w:r>
        <w:t>321</w:t>
      </w:r>
      <w:r w:rsidRPr="00A43681">
        <w:t xml:space="preserve"> tis. Kč z rozpočtu EU</w:t>
      </w:r>
      <w:r>
        <w:t>, celkem ve výši 378 tis. Kč;</w:t>
      </w:r>
    </w:p>
    <w:p w:rsidR="000339E1" w:rsidRDefault="000339E1" w:rsidP="00F04969">
      <w:pPr>
        <w:pStyle w:val="obyctext"/>
        <w:numPr>
          <w:ilvl w:val="0"/>
          <w:numId w:val="38"/>
        </w:numPr>
        <w:tabs>
          <w:tab w:val="left" w:pos="2410"/>
        </w:tabs>
        <w:spacing w:before="60" w:after="0"/>
        <w:ind w:left="567" w:hanging="283"/>
      </w:pPr>
      <w:r>
        <w:lastRenderedPageBreak/>
        <w:t xml:space="preserve">ostatní platby za provedenou práci ve </w:t>
      </w:r>
      <w:r w:rsidRPr="00A43681">
        <w:t xml:space="preserve">výši </w:t>
      </w:r>
      <w:r>
        <w:t>441</w:t>
      </w:r>
      <w:r w:rsidRPr="00A43681">
        <w:t xml:space="preserve"> tis. Kč ze státního rozpočtu a </w:t>
      </w:r>
      <w:r w:rsidR="0052402E">
        <w:t>2 500 tis. Kč z rozpočtu</w:t>
      </w:r>
      <w:r>
        <w:t xml:space="preserve"> EU, celkem ve výši 2 941 tis. Kč;</w:t>
      </w:r>
    </w:p>
    <w:p w:rsidR="000339E1" w:rsidRDefault="000339E1" w:rsidP="00F04969">
      <w:pPr>
        <w:pStyle w:val="obyctext"/>
        <w:numPr>
          <w:ilvl w:val="0"/>
          <w:numId w:val="38"/>
        </w:numPr>
        <w:tabs>
          <w:tab w:val="left" w:pos="2410"/>
        </w:tabs>
        <w:spacing w:before="60" w:after="0"/>
        <w:ind w:left="567" w:hanging="283"/>
      </w:pPr>
      <w:r>
        <w:t xml:space="preserve">počet </w:t>
      </w:r>
      <w:r w:rsidRPr="00A43681">
        <w:t xml:space="preserve">zaměstnanců </w:t>
      </w:r>
      <w:r>
        <w:t>3,3 (kmenoví zaměstnanci).</w:t>
      </w:r>
    </w:p>
    <w:p w:rsidR="000339E1" w:rsidRPr="00EB5B4C" w:rsidRDefault="000339E1" w:rsidP="00F04969">
      <w:pPr>
        <w:pStyle w:val="Odstavecseseznamem"/>
        <w:numPr>
          <w:ilvl w:val="0"/>
          <w:numId w:val="20"/>
        </w:numPr>
        <w:tabs>
          <w:tab w:val="left" w:pos="2410"/>
        </w:tabs>
        <w:spacing w:before="240"/>
        <w:ind w:left="284" w:hanging="284"/>
      </w:pPr>
      <w:r>
        <w:t>TP CEF (ÚO MD)</w:t>
      </w:r>
    </w:p>
    <w:p w:rsidR="000339E1" w:rsidRDefault="000339E1" w:rsidP="00F04969">
      <w:pPr>
        <w:pStyle w:val="obyctext"/>
        <w:numPr>
          <w:ilvl w:val="0"/>
          <w:numId w:val="38"/>
        </w:numPr>
        <w:tabs>
          <w:tab w:val="left" w:pos="2410"/>
        </w:tabs>
        <w:spacing w:before="60" w:after="0"/>
        <w:ind w:left="567" w:hanging="283"/>
      </w:pPr>
      <w:r>
        <w:t xml:space="preserve">prostředky na platy </w:t>
      </w:r>
      <w:r w:rsidRPr="00A43681">
        <w:t xml:space="preserve">ve výši </w:t>
      </w:r>
      <w:r>
        <w:t>32</w:t>
      </w:r>
      <w:r w:rsidRPr="00A43681">
        <w:t xml:space="preserve"> tis. Kč ze státního rozpočtu a </w:t>
      </w:r>
      <w:r>
        <w:t>788</w:t>
      </w:r>
      <w:r w:rsidRPr="00A43681">
        <w:t xml:space="preserve"> tis. Kč z rozpočtu EU</w:t>
      </w:r>
      <w:r>
        <w:t>, celkem ve výši 820 tis. Kč;</w:t>
      </w:r>
    </w:p>
    <w:p w:rsidR="000339E1" w:rsidRDefault="000339E1" w:rsidP="00F04969">
      <w:pPr>
        <w:pStyle w:val="obyctext"/>
        <w:numPr>
          <w:ilvl w:val="0"/>
          <w:numId w:val="38"/>
        </w:numPr>
        <w:tabs>
          <w:tab w:val="left" w:pos="2410"/>
        </w:tabs>
        <w:spacing w:before="60" w:after="0"/>
        <w:ind w:left="567" w:hanging="283"/>
      </w:pPr>
      <w:r>
        <w:t xml:space="preserve">počet </w:t>
      </w:r>
      <w:r w:rsidRPr="00A43681">
        <w:t xml:space="preserve">zaměstnanců </w:t>
      </w:r>
      <w:r>
        <w:t>1,3 (kmenoví zaměstnanci).</w:t>
      </w:r>
    </w:p>
    <w:p w:rsidR="000339E1" w:rsidRPr="00EB5B4C" w:rsidRDefault="000339E1" w:rsidP="00F04969">
      <w:pPr>
        <w:pStyle w:val="Odstavecseseznamem"/>
        <w:numPr>
          <w:ilvl w:val="0"/>
          <w:numId w:val="20"/>
        </w:numPr>
        <w:tabs>
          <w:tab w:val="left" w:pos="2410"/>
        </w:tabs>
        <w:spacing w:before="240"/>
        <w:ind w:left="284" w:hanging="284"/>
      </w:pPr>
      <w:r>
        <w:t>RIS COMEX (SPS)</w:t>
      </w:r>
    </w:p>
    <w:p w:rsidR="000339E1" w:rsidRDefault="000339E1" w:rsidP="00F04969">
      <w:pPr>
        <w:pStyle w:val="obyctext"/>
        <w:numPr>
          <w:ilvl w:val="0"/>
          <w:numId w:val="38"/>
        </w:numPr>
        <w:tabs>
          <w:tab w:val="left" w:pos="2410"/>
        </w:tabs>
        <w:spacing w:before="60" w:after="0"/>
        <w:ind w:left="567" w:hanging="283"/>
      </w:pPr>
      <w:r>
        <w:t xml:space="preserve">prostředky na platy </w:t>
      </w:r>
      <w:r w:rsidRPr="00A43681">
        <w:t xml:space="preserve">ve výši </w:t>
      </w:r>
      <w:r>
        <w:t>103</w:t>
      </w:r>
      <w:r w:rsidRPr="00A43681">
        <w:t xml:space="preserve"> tis. Kč ze státního rozpočtu</w:t>
      </w:r>
      <w:r>
        <w:t xml:space="preserve"> (z toho 74 tis. Kč motivace)</w:t>
      </w:r>
      <w:r w:rsidRPr="00A43681">
        <w:t xml:space="preserve"> </w:t>
      </w:r>
      <w:r>
        <w:br/>
      </w:r>
      <w:r w:rsidRPr="00A43681">
        <w:t xml:space="preserve">a </w:t>
      </w:r>
      <w:r>
        <w:t>583</w:t>
      </w:r>
      <w:r w:rsidRPr="00A43681">
        <w:t xml:space="preserve"> tis. Kč z rozpočtu EU</w:t>
      </w:r>
      <w:r>
        <w:t xml:space="preserve"> (z toho 420 tis. Kč motivace), celkem ve výši 686 tis. Kč;</w:t>
      </w:r>
    </w:p>
    <w:p w:rsidR="000339E1" w:rsidRPr="00910632" w:rsidRDefault="000339E1" w:rsidP="00F04969">
      <w:pPr>
        <w:pStyle w:val="obyctext"/>
        <w:numPr>
          <w:ilvl w:val="0"/>
          <w:numId w:val="38"/>
        </w:numPr>
        <w:tabs>
          <w:tab w:val="left" w:pos="2410"/>
        </w:tabs>
        <w:spacing w:before="60" w:after="0"/>
        <w:ind w:left="567" w:hanging="283"/>
      </w:pPr>
      <w:r>
        <w:t xml:space="preserve">počet </w:t>
      </w:r>
      <w:r w:rsidRPr="00A43681">
        <w:t>zaměstnanců</w:t>
      </w:r>
      <w:r>
        <w:t xml:space="preserve"> 0,4</w:t>
      </w:r>
      <w:r w:rsidR="00910632">
        <w:t xml:space="preserve"> </w:t>
      </w:r>
      <w:r>
        <w:t>(kmenoví zaměstnanci) a 4 (motivace).</w:t>
      </w:r>
    </w:p>
    <w:p w:rsidR="000339E1" w:rsidRPr="00000745" w:rsidRDefault="000339E1" w:rsidP="000339E1">
      <w:pPr>
        <w:spacing w:before="240" w:line="240" w:lineRule="auto"/>
        <w:rPr>
          <w:rFonts w:eastAsia="Times New Roman" w:cs="Times New Roman"/>
          <w:szCs w:val="24"/>
          <w:u w:val="single"/>
          <w:lang w:eastAsia="cs-CZ"/>
        </w:rPr>
      </w:pPr>
      <w:r>
        <w:rPr>
          <w:rFonts w:eastAsia="Times New Roman" w:cs="Times New Roman"/>
          <w:szCs w:val="24"/>
          <w:u w:val="single"/>
          <w:lang w:eastAsia="cs-CZ"/>
        </w:rPr>
        <w:t>Operační program Zaměstnanost (týká se jen ÚO MD)</w:t>
      </w:r>
    </w:p>
    <w:p w:rsidR="000339E1" w:rsidRDefault="000339E1" w:rsidP="00F04969">
      <w:pPr>
        <w:pStyle w:val="obyctext"/>
        <w:numPr>
          <w:ilvl w:val="0"/>
          <w:numId w:val="39"/>
        </w:numPr>
        <w:tabs>
          <w:tab w:val="left" w:pos="426"/>
        </w:tabs>
        <w:spacing w:before="60" w:after="0"/>
        <w:ind w:left="284" w:hanging="284"/>
      </w:pPr>
      <w:r>
        <w:t xml:space="preserve">prostředky na platy </w:t>
      </w:r>
      <w:r w:rsidRPr="00A43681">
        <w:t xml:space="preserve">ve výši </w:t>
      </w:r>
      <w:r>
        <w:t>286</w:t>
      </w:r>
      <w:r w:rsidRPr="00A43681">
        <w:t xml:space="preserve"> tis. Kč ze státního rozpočtu a </w:t>
      </w:r>
      <w:r>
        <w:t>286</w:t>
      </w:r>
      <w:r w:rsidRPr="00A43681">
        <w:t xml:space="preserve"> tis. Kč z rozpočtu EU</w:t>
      </w:r>
      <w:r>
        <w:t>, celkem ve výši 573 tis. Kč;</w:t>
      </w:r>
    </w:p>
    <w:p w:rsidR="000339E1" w:rsidRPr="006723F8" w:rsidRDefault="000339E1" w:rsidP="00F04969">
      <w:pPr>
        <w:pStyle w:val="obyctext"/>
        <w:numPr>
          <w:ilvl w:val="0"/>
          <w:numId w:val="39"/>
        </w:numPr>
        <w:tabs>
          <w:tab w:val="left" w:pos="426"/>
        </w:tabs>
        <w:spacing w:before="60" w:after="0"/>
        <w:ind w:left="284" w:hanging="284"/>
      </w:pPr>
      <w:r>
        <w:t xml:space="preserve">počet </w:t>
      </w:r>
      <w:r w:rsidRPr="00A43681">
        <w:t>zaměstnanců</w:t>
      </w:r>
      <w:r>
        <w:t xml:space="preserve"> 2</w:t>
      </w:r>
      <w:r>
        <w:rPr>
          <w:color w:val="FF0000"/>
        </w:rPr>
        <w:t xml:space="preserve"> </w:t>
      </w:r>
      <w:r w:rsidRPr="006723F8">
        <w:t>(jednorázové navýšení).</w:t>
      </w:r>
    </w:p>
    <w:p w:rsidR="00347E0D" w:rsidRDefault="000339E1" w:rsidP="00F04969">
      <w:pPr>
        <w:pStyle w:val="Styl1"/>
        <w:numPr>
          <w:ilvl w:val="0"/>
          <w:numId w:val="39"/>
        </w:numPr>
        <w:ind w:left="284" w:hanging="284"/>
      </w:pPr>
      <w:r w:rsidRPr="00FD7C37">
        <w:t>Podrobné informace k jednotlivým programům EU jsou uvedené v části 3.5 Prostředky fondů Evropské unie.</w:t>
      </w:r>
    </w:p>
    <w:p w:rsidR="00347E0D" w:rsidRDefault="00347E0D">
      <w:pPr>
        <w:spacing w:after="160"/>
        <w:jc w:val="left"/>
        <w:rPr>
          <w:rFonts w:eastAsia="Times New Roman" w:cs="Times New Roman"/>
          <w:iCs/>
          <w:szCs w:val="24"/>
          <w:lang w:eastAsia="cs-CZ"/>
        </w:rPr>
      </w:pPr>
      <w:r>
        <w:br w:type="page"/>
      </w:r>
    </w:p>
    <w:p w:rsidR="00F472F7" w:rsidRPr="009A036B" w:rsidRDefault="00F472F7" w:rsidP="007B2F4B">
      <w:pPr>
        <w:pStyle w:val="Nadpis3"/>
      </w:pPr>
      <w:bookmarkStart w:id="45" w:name="_Toc489274098"/>
      <w:bookmarkStart w:id="46" w:name="_Toc526424691"/>
      <w:r w:rsidRPr="009A036B">
        <w:lastRenderedPageBreak/>
        <w:t>Organizační složky státu</w:t>
      </w:r>
      <w:bookmarkEnd w:id="45"/>
      <w:bookmarkEnd w:id="46"/>
    </w:p>
    <w:bookmarkEnd w:id="44"/>
    <w:p w:rsidR="00BD28A7" w:rsidRPr="009A036B" w:rsidRDefault="00BD28A7" w:rsidP="00BD28A7">
      <w:pPr>
        <w:spacing w:before="360" w:after="120"/>
        <w:ind w:left="539"/>
        <w:rPr>
          <w:rFonts w:cs="Times New Roman"/>
          <w:b/>
          <w:bCs/>
          <w:szCs w:val="24"/>
          <w:u w:val="single"/>
        </w:rPr>
      </w:pPr>
      <w:r w:rsidRPr="009A036B">
        <w:rPr>
          <w:rFonts w:cs="Times New Roman"/>
          <w:b/>
          <w:bCs/>
          <w:szCs w:val="24"/>
          <w:u w:val="single"/>
        </w:rPr>
        <w:t>Ústřední orgán MD</w:t>
      </w:r>
    </w:p>
    <w:p w:rsidR="00BD28A7" w:rsidRPr="009A036B" w:rsidRDefault="00BD28A7" w:rsidP="001D1C48">
      <w:pPr>
        <w:pStyle w:val="Styl1"/>
      </w:pPr>
      <w:r w:rsidRPr="009A036B">
        <w:t xml:space="preserve">Ministerstvo dopravy ČR je ústředním orgánem státní správy.   </w:t>
      </w:r>
    </w:p>
    <w:p w:rsidR="00DA42E9" w:rsidRPr="00DA42E9" w:rsidRDefault="006F225C" w:rsidP="00DA42E9">
      <w:pPr>
        <w:pStyle w:val="Titulek"/>
        <w:keepNext/>
      </w:pPr>
      <w:r w:rsidRPr="009A036B">
        <w:t>Tabulka</w:t>
      </w:r>
      <w:r w:rsidR="00F11D45" w:rsidRPr="009A036B">
        <w:t xml:space="preserve"> č.</w:t>
      </w:r>
      <w:r w:rsidRPr="009A036B">
        <w:t xml:space="preserve"> </w:t>
      </w:r>
      <w:r w:rsidR="0001421C" w:rsidRPr="009A036B">
        <w:rPr>
          <w:noProof/>
        </w:rPr>
        <w:fldChar w:fldCharType="begin"/>
      </w:r>
      <w:r w:rsidR="0001421C" w:rsidRPr="009A036B">
        <w:rPr>
          <w:noProof/>
        </w:rPr>
        <w:instrText xml:space="preserve"> SEQ Tabulka \* ARABIC </w:instrText>
      </w:r>
      <w:r w:rsidR="0001421C" w:rsidRPr="009A036B">
        <w:rPr>
          <w:noProof/>
        </w:rPr>
        <w:fldChar w:fldCharType="separate"/>
      </w:r>
      <w:r w:rsidR="00AF5225">
        <w:rPr>
          <w:noProof/>
        </w:rPr>
        <w:t>7</w:t>
      </w:r>
      <w:r w:rsidR="0001421C" w:rsidRPr="009A036B">
        <w:rPr>
          <w:noProof/>
        </w:rPr>
        <w:fldChar w:fldCharType="end"/>
      </w:r>
      <w:r w:rsidR="00F11D45" w:rsidRPr="009A036B">
        <w:t xml:space="preserve"> Ústřední orgán MD – běžné výdaje (v tis. Kč)</w:t>
      </w:r>
    </w:p>
    <w:tbl>
      <w:tblPr>
        <w:tblStyle w:val="Svtltabulkasmkou1zvraznn1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62"/>
        <w:gridCol w:w="1337"/>
        <w:gridCol w:w="1257"/>
        <w:gridCol w:w="1187"/>
        <w:gridCol w:w="909"/>
      </w:tblGrid>
      <w:tr w:rsidR="009A036B" w:rsidRPr="00633ED0" w:rsidTr="009A036B">
        <w:trPr>
          <w:trHeight w:val="862"/>
        </w:trPr>
        <w:tc>
          <w:tcPr>
            <w:tcW w:w="241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Ukazatel</w:t>
            </w:r>
          </w:p>
        </w:tc>
        <w:tc>
          <w:tcPr>
            <w:tcW w:w="73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Skutečnost 2017</w:t>
            </w:r>
          </w:p>
        </w:tc>
        <w:tc>
          <w:tcPr>
            <w:tcW w:w="67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Schválený</w:t>
            </w:r>
          </w:p>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rozpočet</w:t>
            </w:r>
          </w:p>
          <w:p w:rsidR="009A036B" w:rsidRPr="00633ED0" w:rsidRDefault="009A036B" w:rsidP="009A036B">
            <w:pPr>
              <w:ind w:left="-70"/>
              <w:jc w:val="center"/>
              <w:rPr>
                <w:rFonts w:eastAsia="Times New Roman" w:cs="Times New Roman"/>
                <w:b/>
                <w:lang w:eastAsia="cs-CZ"/>
              </w:rPr>
            </w:pPr>
            <w:r w:rsidRPr="00633ED0">
              <w:rPr>
                <w:rFonts w:eastAsia="Times New Roman" w:cs="Times New Roman"/>
                <w:b/>
                <w:lang w:eastAsia="cs-CZ"/>
              </w:rPr>
              <w:t>2018</w:t>
            </w:r>
          </w:p>
        </w:tc>
        <w:tc>
          <w:tcPr>
            <w:tcW w:w="66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Návrh</w:t>
            </w:r>
          </w:p>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rozpočtu</w:t>
            </w:r>
          </w:p>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2019</w:t>
            </w:r>
          </w:p>
        </w:tc>
        <w:tc>
          <w:tcPr>
            <w:tcW w:w="5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Index</w:t>
            </w:r>
          </w:p>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2019/</w:t>
            </w:r>
            <w:r w:rsidRPr="00633ED0">
              <w:rPr>
                <w:rFonts w:eastAsia="Times New Roman" w:cs="Times New Roman"/>
                <w:b/>
                <w:lang w:eastAsia="cs-CZ"/>
              </w:rPr>
              <w:br/>
              <w:t>2018</w:t>
            </w:r>
          </w:p>
          <w:p w:rsidR="009A036B" w:rsidRPr="00633ED0" w:rsidRDefault="009A036B" w:rsidP="009A036B">
            <w:pPr>
              <w:jc w:val="center"/>
              <w:rPr>
                <w:rFonts w:eastAsia="Times New Roman" w:cs="Times New Roman"/>
                <w:b/>
                <w:lang w:eastAsia="cs-CZ"/>
              </w:rPr>
            </w:pPr>
            <w:r w:rsidRPr="00633ED0">
              <w:rPr>
                <w:rFonts w:eastAsia="Times New Roman" w:cs="Times New Roman"/>
                <w:b/>
                <w:lang w:eastAsia="cs-CZ"/>
              </w:rPr>
              <w:t>(v %)</w:t>
            </w:r>
          </w:p>
        </w:tc>
      </w:tr>
      <w:tr w:rsidR="009A036B" w:rsidRPr="00633ED0" w:rsidTr="009A036B">
        <w:trPr>
          <w:trHeight w:val="243"/>
        </w:trPr>
        <w:tc>
          <w:tcPr>
            <w:tcW w:w="2414" w:type="pct"/>
            <w:tcBorders>
              <w:top w:val="single" w:sz="4" w:space="0" w:color="7F7F7F" w:themeColor="text1" w:themeTint="80"/>
              <w:bottom w:val="single" w:sz="8" w:space="0" w:color="7F7F7F" w:themeColor="text1" w:themeTint="80"/>
            </w:tcBorders>
            <w:shd w:val="clear" w:color="auto" w:fill="auto"/>
          </w:tcPr>
          <w:p w:rsidR="009A036B" w:rsidRPr="00633ED0" w:rsidRDefault="009A036B" w:rsidP="009A036B">
            <w:pPr>
              <w:jc w:val="center"/>
              <w:rPr>
                <w:rFonts w:eastAsia="Times New Roman" w:cs="Times New Roman"/>
                <w:szCs w:val="24"/>
                <w:lang w:eastAsia="cs-CZ"/>
              </w:rPr>
            </w:pPr>
            <w:r w:rsidRPr="00633ED0">
              <w:rPr>
                <w:rFonts w:eastAsia="Times New Roman" w:cs="Times New Roman"/>
                <w:szCs w:val="24"/>
                <w:lang w:eastAsia="cs-CZ"/>
              </w:rPr>
              <w:t>a</w:t>
            </w:r>
          </w:p>
        </w:tc>
        <w:tc>
          <w:tcPr>
            <w:tcW w:w="739" w:type="pct"/>
            <w:tcBorders>
              <w:top w:val="single" w:sz="4" w:space="0" w:color="7F7F7F" w:themeColor="text1" w:themeTint="80"/>
              <w:bottom w:val="single" w:sz="8" w:space="0" w:color="7F7F7F" w:themeColor="text1" w:themeTint="80"/>
            </w:tcBorders>
            <w:shd w:val="clear" w:color="auto" w:fill="auto"/>
          </w:tcPr>
          <w:p w:rsidR="009A036B" w:rsidRPr="00633ED0" w:rsidRDefault="009A036B" w:rsidP="009A036B">
            <w:pPr>
              <w:jc w:val="center"/>
              <w:rPr>
                <w:rFonts w:eastAsia="Times New Roman" w:cs="Times New Roman"/>
                <w:szCs w:val="24"/>
                <w:lang w:eastAsia="cs-CZ"/>
              </w:rPr>
            </w:pPr>
            <w:r w:rsidRPr="00633ED0">
              <w:rPr>
                <w:rFonts w:eastAsia="Times New Roman" w:cs="Times New Roman"/>
                <w:szCs w:val="24"/>
                <w:lang w:eastAsia="cs-CZ"/>
              </w:rPr>
              <w:t>1</w:t>
            </w:r>
          </w:p>
        </w:tc>
        <w:tc>
          <w:tcPr>
            <w:tcW w:w="678" w:type="pct"/>
            <w:tcBorders>
              <w:top w:val="single" w:sz="4" w:space="0" w:color="7F7F7F" w:themeColor="text1" w:themeTint="80"/>
              <w:bottom w:val="single" w:sz="8" w:space="0" w:color="7F7F7F" w:themeColor="text1" w:themeTint="80"/>
            </w:tcBorders>
            <w:shd w:val="clear" w:color="auto" w:fill="auto"/>
          </w:tcPr>
          <w:p w:rsidR="009A036B" w:rsidRPr="00633ED0" w:rsidRDefault="009A036B" w:rsidP="009A036B">
            <w:pPr>
              <w:jc w:val="center"/>
              <w:rPr>
                <w:rFonts w:eastAsia="Times New Roman" w:cs="Times New Roman"/>
                <w:szCs w:val="24"/>
                <w:lang w:eastAsia="cs-CZ"/>
              </w:rPr>
            </w:pPr>
            <w:r w:rsidRPr="00633ED0">
              <w:rPr>
                <w:rFonts w:eastAsia="Times New Roman" w:cs="Times New Roman"/>
                <w:szCs w:val="24"/>
                <w:lang w:eastAsia="cs-CZ"/>
              </w:rPr>
              <w:t>2</w:t>
            </w:r>
          </w:p>
        </w:tc>
        <w:tc>
          <w:tcPr>
            <w:tcW w:w="663" w:type="pct"/>
            <w:tcBorders>
              <w:top w:val="single" w:sz="4" w:space="0" w:color="7F7F7F" w:themeColor="text1" w:themeTint="80"/>
              <w:bottom w:val="single" w:sz="8" w:space="0" w:color="7F7F7F" w:themeColor="text1" w:themeTint="80"/>
            </w:tcBorders>
            <w:shd w:val="clear" w:color="auto" w:fill="auto"/>
          </w:tcPr>
          <w:p w:rsidR="009A036B" w:rsidRPr="00633ED0" w:rsidRDefault="009A036B" w:rsidP="009A036B">
            <w:pPr>
              <w:jc w:val="center"/>
              <w:rPr>
                <w:rFonts w:eastAsia="Times New Roman" w:cs="Times New Roman"/>
                <w:szCs w:val="24"/>
                <w:lang w:eastAsia="cs-CZ"/>
              </w:rPr>
            </w:pPr>
            <w:r w:rsidRPr="00633ED0">
              <w:rPr>
                <w:rFonts w:eastAsia="Times New Roman" w:cs="Times New Roman"/>
                <w:szCs w:val="24"/>
                <w:lang w:eastAsia="cs-CZ"/>
              </w:rPr>
              <w:t>3</w:t>
            </w:r>
          </w:p>
        </w:tc>
        <w:tc>
          <w:tcPr>
            <w:tcW w:w="506" w:type="pct"/>
            <w:tcBorders>
              <w:top w:val="single" w:sz="4" w:space="0" w:color="7F7F7F" w:themeColor="text1" w:themeTint="80"/>
              <w:bottom w:val="single" w:sz="8" w:space="0" w:color="7F7F7F" w:themeColor="text1" w:themeTint="80"/>
            </w:tcBorders>
            <w:shd w:val="clear" w:color="auto" w:fill="auto"/>
          </w:tcPr>
          <w:p w:rsidR="009A036B" w:rsidRPr="00633ED0" w:rsidRDefault="009A036B" w:rsidP="009A036B">
            <w:pPr>
              <w:jc w:val="center"/>
              <w:rPr>
                <w:rFonts w:eastAsia="Times New Roman" w:cs="Times New Roman"/>
                <w:szCs w:val="24"/>
                <w:lang w:eastAsia="cs-CZ"/>
              </w:rPr>
            </w:pPr>
            <w:r w:rsidRPr="00633ED0">
              <w:rPr>
                <w:rFonts w:eastAsia="Times New Roman" w:cs="Times New Roman"/>
                <w:szCs w:val="24"/>
                <w:lang w:eastAsia="cs-CZ"/>
              </w:rPr>
              <w:t>4</w:t>
            </w:r>
          </w:p>
        </w:tc>
      </w:tr>
      <w:tr w:rsidR="009A036B" w:rsidRPr="00633ED0" w:rsidTr="009A036B">
        <w:trPr>
          <w:trHeight w:val="367"/>
        </w:trPr>
        <w:tc>
          <w:tcPr>
            <w:tcW w:w="2414" w:type="pct"/>
            <w:tcBorders>
              <w:top w:val="single" w:sz="8" w:space="0" w:color="7F7F7F" w:themeColor="text1" w:themeTint="80"/>
              <w:bottom w:val="single" w:sz="8" w:space="0" w:color="7F7F7F" w:themeColor="text1" w:themeTint="80"/>
            </w:tcBorders>
            <w:shd w:val="clear" w:color="auto" w:fill="auto"/>
          </w:tcPr>
          <w:p w:rsidR="009A036B" w:rsidRPr="00633ED0" w:rsidRDefault="009A036B" w:rsidP="009A036B">
            <w:pPr>
              <w:spacing w:before="80"/>
              <w:rPr>
                <w:rFonts w:eastAsia="Times New Roman" w:cs="Times New Roman"/>
                <w:lang w:eastAsia="cs-CZ"/>
              </w:rPr>
            </w:pPr>
            <w:r w:rsidRPr="00633ED0">
              <w:rPr>
                <w:rFonts w:eastAsia="Times New Roman" w:cs="Times New Roman"/>
                <w:b/>
                <w:iCs/>
                <w:lang w:eastAsia="cs-CZ"/>
              </w:rPr>
              <w:t xml:space="preserve">Běžné výdaje (bez položky 5193) </w:t>
            </w:r>
            <w:r w:rsidRPr="00633ED0">
              <w:rPr>
                <w:rFonts w:eastAsia="Times New Roman" w:cs="Times New Roman"/>
                <w:lang w:eastAsia="cs-CZ"/>
              </w:rPr>
              <w:t xml:space="preserve">v tom: </w:t>
            </w:r>
          </w:p>
        </w:tc>
        <w:tc>
          <w:tcPr>
            <w:tcW w:w="739" w:type="pct"/>
            <w:tcBorders>
              <w:top w:val="single" w:sz="8" w:space="0" w:color="7F7F7F" w:themeColor="text1" w:themeTint="80"/>
              <w:bottom w:val="single" w:sz="8" w:space="0" w:color="7F7F7F" w:themeColor="text1" w:themeTint="80"/>
            </w:tcBorders>
            <w:shd w:val="clear" w:color="auto" w:fill="auto"/>
          </w:tcPr>
          <w:p w:rsidR="009A036B" w:rsidRPr="00633ED0" w:rsidRDefault="009A036B" w:rsidP="009A036B">
            <w:pPr>
              <w:spacing w:before="80"/>
              <w:jc w:val="right"/>
              <w:rPr>
                <w:rFonts w:eastAsia="Times New Roman" w:cs="Times New Roman"/>
                <w:b/>
                <w:bCs/>
                <w:color w:val="FF0000"/>
                <w:lang w:eastAsia="cs-CZ"/>
              </w:rPr>
            </w:pPr>
            <w:r w:rsidRPr="00633ED0">
              <w:rPr>
                <w:rFonts w:eastAsia="Times New Roman" w:cs="Times New Roman"/>
                <w:b/>
                <w:bCs/>
                <w:lang w:eastAsia="cs-CZ"/>
              </w:rPr>
              <w:t>2 099 674 </w:t>
            </w:r>
          </w:p>
        </w:tc>
        <w:tc>
          <w:tcPr>
            <w:tcW w:w="678" w:type="pct"/>
            <w:tcBorders>
              <w:top w:val="single" w:sz="8" w:space="0" w:color="7F7F7F" w:themeColor="text1" w:themeTint="80"/>
              <w:bottom w:val="single" w:sz="8" w:space="0" w:color="7F7F7F" w:themeColor="text1" w:themeTint="80"/>
            </w:tcBorders>
            <w:shd w:val="clear" w:color="auto" w:fill="auto"/>
          </w:tcPr>
          <w:p w:rsidR="009A036B" w:rsidRPr="00633ED0" w:rsidRDefault="009A036B" w:rsidP="009A036B">
            <w:pPr>
              <w:spacing w:before="80"/>
              <w:jc w:val="right"/>
              <w:rPr>
                <w:rFonts w:eastAsia="Times New Roman" w:cs="Times New Roman"/>
                <w:b/>
                <w:bCs/>
                <w:lang w:eastAsia="cs-CZ"/>
              </w:rPr>
            </w:pPr>
            <w:r w:rsidRPr="00633ED0">
              <w:rPr>
                <w:rFonts w:eastAsia="Times New Roman" w:cs="Times New Roman"/>
                <w:b/>
                <w:bCs/>
                <w:lang w:eastAsia="cs-CZ"/>
              </w:rPr>
              <w:t>2 305 404</w:t>
            </w:r>
          </w:p>
        </w:tc>
        <w:tc>
          <w:tcPr>
            <w:tcW w:w="663" w:type="pct"/>
            <w:tcBorders>
              <w:top w:val="single" w:sz="8" w:space="0" w:color="7F7F7F" w:themeColor="text1" w:themeTint="80"/>
              <w:bottom w:val="single" w:sz="8" w:space="0" w:color="7F7F7F" w:themeColor="text1" w:themeTint="80"/>
            </w:tcBorders>
            <w:shd w:val="clear" w:color="auto" w:fill="auto"/>
          </w:tcPr>
          <w:p w:rsidR="009A036B" w:rsidRPr="00633ED0" w:rsidRDefault="009A036B" w:rsidP="009A036B">
            <w:pPr>
              <w:spacing w:before="80"/>
              <w:rPr>
                <w:rFonts w:eastAsia="Times New Roman" w:cs="Times New Roman"/>
                <w:b/>
                <w:bCs/>
                <w:color w:val="FF0000"/>
                <w:lang w:eastAsia="cs-CZ"/>
              </w:rPr>
            </w:pPr>
            <w:r w:rsidRPr="009156E5">
              <w:rPr>
                <w:rFonts w:eastAsia="Times New Roman" w:cs="Times New Roman"/>
                <w:b/>
                <w:bCs/>
                <w:lang w:eastAsia="cs-CZ"/>
              </w:rPr>
              <w:t>7 178 327</w:t>
            </w:r>
          </w:p>
        </w:tc>
        <w:tc>
          <w:tcPr>
            <w:tcW w:w="506" w:type="pct"/>
            <w:tcBorders>
              <w:top w:val="single" w:sz="8" w:space="0" w:color="7F7F7F" w:themeColor="text1" w:themeTint="80"/>
              <w:bottom w:val="single" w:sz="8" w:space="0" w:color="7F7F7F" w:themeColor="text1" w:themeTint="80"/>
            </w:tcBorders>
            <w:shd w:val="clear" w:color="auto" w:fill="auto"/>
          </w:tcPr>
          <w:p w:rsidR="009A036B" w:rsidRPr="00633ED0" w:rsidRDefault="009A036B" w:rsidP="009A036B">
            <w:pPr>
              <w:spacing w:before="80"/>
              <w:jc w:val="right"/>
              <w:rPr>
                <w:rFonts w:eastAsia="Times New Roman" w:cs="Times New Roman"/>
                <w:b/>
                <w:bCs/>
                <w:color w:val="FF0000"/>
                <w:lang w:eastAsia="cs-CZ"/>
              </w:rPr>
            </w:pPr>
            <w:r w:rsidRPr="008E36CF">
              <w:rPr>
                <w:rFonts w:eastAsia="Times New Roman" w:cs="Times New Roman"/>
                <w:b/>
                <w:bCs/>
                <w:lang w:eastAsia="cs-CZ"/>
              </w:rPr>
              <w:t>311,37</w:t>
            </w:r>
          </w:p>
        </w:tc>
      </w:tr>
      <w:tr w:rsidR="009A036B" w:rsidRPr="00920730" w:rsidTr="00B72178">
        <w:trPr>
          <w:trHeight w:val="3244"/>
        </w:trPr>
        <w:tc>
          <w:tcPr>
            <w:tcW w:w="2414" w:type="pct"/>
            <w:tcBorders>
              <w:top w:val="single" w:sz="8" w:space="0" w:color="7F7F7F" w:themeColor="text1" w:themeTint="80"/>
            </w:tcBorders>
            <w:shd w:val="clear" w:color="auto" w:fill="auto"/>
          </w:tcPr>
          <w:p w:rsidR="009A036B" w:rsidRPr="00633ED0" w:rsidRDefault="009A036B" w:rsidP="009A036B">
            <w:pPr>
              <w:rPr>
                <w:rFonts w:eastAsia="Times New Roman" w:cs="Times New Roman"/>
                <w:sz w:val="20"/>
                <w:szCs w:val="24"/>
                <w:lang w:eastAsia="cs-CZ"/>
              </w:rPr>
            </w:pPr>
            <w:r w:rsidRPr="00633ED0">
              <w:rPr>
                <w:rFonts w:eastAsia="Times New Roman" w:cs="Times New Roman"/>
                <w:sz w:val="20"/>
                <w:szCs w:val="24"/>
                <w:lang w:eastAsia="cs-CZ"/>
              </w:rPr>
              <w:t>platy zaměstnanců a ostatní platby</w:t>
            </w:r>
          </w:p>
          <w:p w:rsidR="009A036B" w:rsidRPr="00633ED0" w:rsidRDefault="009A036B" w:rsidP="009A036B">
            <w:pPr>
              <w:rPr>
                <w:rFonts w:eastAsia="Times New Roman" w:cs="Times New Roman"/>
                <w:sz w:val="20"/>
                <w:szCs w:val="24"/>
                <w:lang w:eastAsia="cs-CZ"/>
              </w:rPr>
            </w:pPr>
            <w:r w:rsidRPr="00633ED0">
              <w:rPr>
                <w:rFonts w:eastAsia="Times New Roman" w:cs="Times New Roman"/>
                <w:sz w:val="20"/>
                <w:szCs w:val="24"/>
                <w:lang w:eastAsia="cs-CZ"/>
              </w:rPr>
              <w:t>za provedenou práci</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z toho: výdaje na programy spolufinancované         </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 v tom:</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OP Zaměstnanost</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  </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w:t>
            </w:r>
            <w:r>
              <w:rPr>
                <w:rFonts w:eastAsia="Times New Roman" w:cs="Times New Roman"/>
                <w:i/>
                <w:sz w:val="20"/>
                <w:szCs w:val="24"/>
                <w:lang w:eastAsia="cs-CZ"/>
              </w:rPr>
              <w:t xml:space="preserve"> </w:t>
            </w:r>
            <w:r w:rsidRPr="00633ED0">
              <w:rPr>
                <w:rFonts w:eastAsia="Times New Roman" w:cs="Times New Roman"/>
                <w:i/>
                <w:sz w:val="20"/>
                <w:szCs w:val="24"/>
                <w:lang w:eastAsia="cs-CZ"/>
              </w:rPr>
              <w:t>OP Doprava 2014-2020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w:t>
            </w:r>
          </w:p>
          <w:p w:rsidR="009A036B" w:rsidRPr="00633ED0" w:rsidRDefault="009A036B" w:rsidP="009A036B">
            <w:pPr>
              <w:tabs>
                <w:tab w:val="left" w:pos="1295"/>
              </w:tabs>
              <w:rPr>
                <w:rFonts w:eastAsia="Times New Roman" w:cs="Times New Roman"/>
                <w:i/>
                <w:sz w:val="20"/>
                <w:szCs w:val="24"/>
                <w:lang w:eastAsia="cs-CZ"/>
              </w:rPr>
            </w:pPr>
            <w:r w:rsidRPr="00633ED0">
              <w:rPr>
                <w:rFonts w:eastAsia="Times New Roman" w:cs="Times New Roman"/>
                <w:i/>
                <w:sz w:val="20"/>
                <w:szCs w:val="24"/>
                <w:lang w:eastAsia="cs-CZ"/>
              </w:rPr>
              <w:t xml:space="preserve">                      Komunitární programy 2014-2020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(CEF, Horizont 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w:t>
            </w:r>
          </w:p>
        </w:tc>
        <w:tc>
          <w:tcPr>
            <w:tcW w:w="739" w:type="pct"/>
            <w:tcBorders>
              <w:top w:val="single" w:sz="8" w:space="0" w:color="7F7F7F" w:themeColor="text1" w:themeTint="80"/>
            </w:tcBorders>
            <w:shd w:val="clear" w:color="auto" w:fill="auto"/>
            <w:vAlign w:val="bottom"/>
          </w:tcPr>
          <w:p w:rsidR="009A036B" w:rsidRPr="00633ED0" w:rsidRDefault="009A036B" w:rsidP="00B72178">
            <w:pPr>
              <w:jc w:val="right"/>
              <w:rPr>
                <w:rFonts w:eastAsia="Times New Roman" w:cs="Times New Roman"/>
                <w:sz w:val="20"/>
                <w:szCs w:val="24"/>
                <w:lang w:eastAsia="cs-CZ"/>
              </w:rPr>
            </w:pPr>
            <w:r w:rsidRPr="00633ED0">
              <w:rPr>
                <w:rFonts w:eastAsia="Times New Roman" w:cs="Times New Roman"/>
                <w:sz w:val="20"/>
                <w:szCs w:val="24"/>
                <w:lang w:eastAsia="cs-CZ"/>
              </w:rPr>
              <w:t>272 749</w:t>
            </w:r>
          </w:p>
          <w:p w:rsidR="009A036B" w:rsidRPr="00633ED0" w:rsidRDefault="009A036B" w:rsidP="00B72178">
            <w:pPr>
              <w:jc w:val="right"/>
              <w:rPr>
                <w:rFonts w:eastAsia="Times New Roman" w:cs="Times New Roman"/>
                <w:i/>
                <w:color w:val="FF0000"/>
                <w:sz w:val="20"/>
                <w:szCs w:val="24"/>
                <w:lang w:eastAsia="cs-CZ"/>
              </w:rPr>
            </w:pP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61 739</w:t>
            </w: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x</w:t>
            </w: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x</w:t>
            </w:r>
          </w:p>
          <w:p w:rsidR="009A036B" w:rsidRPr="00633ED0" w:rsidRDefault="009A036B" w:rsidP="00B72178">
            <w:pPr>
              <w:jc w:val="right"/>
              <w:rPr>
                <w:rFonts w:eastAsia="Times New Roman" w:cs="Times New Roman"/>
                <w:sz w:val="20"/>
                <w:szCs w:val="24"/>
                <w:lang w:eastAsia="cs-CZ"/>
              </w:rPr>
            </w:pPr>
            <w:r w:rsidRPr="00633ED0">
              <w:rPr>
                <w:rFonts w:eastAsia="Times New Roman" w:cs="Times New Roman"/>
                <w:i/>
                <w:sz w:val="20"/>
                <w:szCs w:val="24"/>
                <w:lang w:eastAsia="cs-CZ"/>
              </w:rPr>
              <w:t>x</w:t>
            </w: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59 914</w:t>
            </w: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8 987</w:t>
            </w: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     </w:t>
            </w:r>
            <w:r w:rsidRPr="00633ED0">
              <w:rPr>
                <w:rFonts w:eastAsia="Times New Roman" w:cs="Times New Roman"/>
                <w:sz w:val="20"/>
                <w:szCs w:val="24"/>
                <w:lang w:eastAsia="cs-CZ"/>
              </w:rPr>
              <w:t>50 927</w:t>
            </w:r>
          </w:p>
          <w:p w:rsidR="009A036B" w:rsidRPr="00633ED0" w:rsidRDefault="009A036B" w:rsidP="00B72178">
            <w:pPr>
              <w:jc w:val="right"/>
              <w:rPr>
                <w:rFonts w:eastAsia="Times New Roman" w:cs="Times New Roman"/>
                <w:i/>
                <w:color w:val="FF0000"/>
                <w:sz w:val="20"/>
                <w:szCs w:val="24"/>
                <w:lang w:eastAsia="cs-CZ"/>
              </w:rPr>
            </w:pP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           1 825</w:t>
            </w:r>
          </w:p>
          <w:p w:rsidR="009A036B" w:rsidRPr="00633ED0" w:rsidRDefault="009A036B" w:rsidP="00B72178">
            <w:pPr>
              <w:jc w:val="right"/>
              <w:rPr>
                <w:rFonts w:eastAsia="Times New Roman" w:cs="Times New Roman"/>
                <w:i/>
                <w:sz w:val="20"/>
                <w:szCs w:val="24"/>
                <w:lang w:eastAsia="cs-CZ"/>
              </w:rPr>
            </w:pPr>
            <w:r w:rsidRPr="00633ED0">
              <w:rPr>
                <w:rFonts w:eastAsia="Times New Roman" w:cs="Times New Roman"/>
                <w:i/>
                <w:sz w:val="20"/>
                <w:szCs w:val="24"/>
                <w:lang w:eastAsia="cs-CZ"/>
              </w:rPr>
              <w:t>51</w:t>
            </w:r>
          </w:p>
          <w:p w:rsidR="009A036B" w:rsidRPr="00633ED0" w:rsidRDefault="009A036B" w:rsidP="00B72178">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 xml:space="preserve">1 773         </w:t>
            </w:r>
          </w:p>
        </w:tc>
        <w:tc>
          <w:tcPr>
            <w:tcW w:w="678" w:type="pct"/>
            <w:tcBorders>
              <w:top w:val="single" w:sz="8" w:space="0" w:color="7F7F7F" w:themeColor="text1" w:themeTint="80"/>
            </w:tcBorders>
            <w:shd w:val="clear" w:color="auto" w:fill="auto"/>
            <w:vAlign w:val="bottom"/>
          </w:tcPr>
          <w:p w:rsidR="009A036B" w:rsidRPr="00633ED0" w:rsidRDefault="009A036B" w:rsidP="009A036B">
            <w:pPr>
              <w:jc w:val="right"/>
              <w:rPr>
                <w:rFonts w:eastAsia="Times New Roman" w:cs="Times New Roman"/>
                <w:sz w:val="20"/>
                <w:szCs w:val="24"/>
                <w:lang w:eastAsia="cs-CZ"/>
              </w:rPr>
            </w:pPr>
            <w:r w:rsidRPr="00633ED0">
              <w:rPr>
                <w:rFonts w:eastAsia="Times New Roman" w:cs="Times New Roman"/>
                <w:sz w:val="20"/>
                <w:szCs w:val="24"/>
                <w:lang w:eastAsia="cs-CZ"/>
              </w:rPr>
              <w:t>318 993</w:t>
            </w:r>
          </w:p>
          <w:p w:rsidR="009A036B" w:rsidRPr="00633ED0" w:rsidRDefault="009A036B" w:rsidP="009A036B">
            <w:pPr>
              <w:jc w:val="right"/>
              <w:rPr>
                <w:rFonts w:eastAsia="Times New Roman" w:cs="Times New Roman"/>
                <w:i/>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80 754</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1 058</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529</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529</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73 294</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     10 994</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62 300</w:t>
            </w:r>
          </w:p>
          <w:p w:rsidR="009A036B" w:rsidRPr="00633ED0" w:rsidRDefault="009A036B" w:rsidP="009A036B">
            <w:pPr>
              <w:jc w:val="right"/>
              <w:rPr>
                <w:rFonts w:eastAsia="Times New Roman" w:cs="Times New Roman"/>
                <w:i/>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6 402</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1 005</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5 397</w:t>
            </w:r>
          </w:p>
        </w:tc>
        <w:tc>
          <w:tcPr>
            <w:tcW w:w="663" w:type="pct"/>
            <w:tcBorders>
              <w:top w:val="single" w:sz="8" w:space="0" w:color="7F7F7F" w:themeColor="text1" w:themeTint="80"/>
            </w:tcBorders>
            <w:shd w:val="clear" w:color="auto" w:fill="auto"/>
            <w:vAlign w:val="bottom"/>
          </w:tcPr>
          <w:p w:rsidR="009A036B" w:rsidRPr="00C75D4E" w:rsidRDefault="009A036B" w:rsidP="009A036B">
            <w:pPr>
              <w:jc w:val="right"/>
              <w:rPr>
                <w:rFonts w:eastAsia="Times New Roman" w:cs="Times New Roman"/>
                <w:sz w:val="20"/>
                <w:szCs w:val="24"/>
                <w:lang w:eastAsia="cs-CZ"/>
              </w:rPr>
            </w:pPr>
            <w:r w:rsidRPr="00C75D4E">
              <w:rPr>
                <w:rFonts w:eastAsia="Times New Roman" w:cs="Times New Roman"/>
                <w:sz w:val="20"/>
                <w:szCs w:val="24"/>
                <w:lang w:eastAsia="cs-CZ"/>
              </w:rPr>
              <w:t>297 467</w:t>
            </w:r>
          </w:p>
          <w:p w:rsidR="009A036B" w:rsidRPr="00633ED0" w:rsidRDefault="009A036B" w:rsidP="009A036B">
            <w:pPr>
              <w:jc w:val="right"/>
              <w:rPr>
                <w:rFonts w:eastAsia="Times New Roman" w:cs="Times New Roman"/>
                <w:i/>
                <w:color w:val="FF0000"/>
                <w:sz w:val="20"/>
                <w:szCs w:val="24"/>
                <w:lang w:eastAsia="cs-CZ"/>
              </w:rPr>
            </w:pPr>
          </w:p>
          <w:p w:rsidR="009A036B" w:rsidRPr="00AB7596" w:rsidRDefault="009A036B" w:rsidP="009A036B">
            <w:pPr>
              <w:jc w:val="right"/>
              <w:rPr>
                <w:rFonts w:eastAsia="Times New Roman" w:cs="Times New Roman"/>
                <w:i/>
                <w:sz w:val="20"/>
                <w:szCs w:val="24"/>
                <w:lang w:eastAsia="cs-CZ"/>
              </w:rPr>
            </w:pPr>
            <w:r w:rsidRPr="00AB7596">
              <w:rPr>
                <w:rFonts w:eastAsia="Times New Roman" w:cs="Times New Roman"/>
                <w:i/>
                <w:sz w:val="20"/>
                <w:szCs w:val="24"/>
                <w:lang w:eastAsia="cs-CZ"/>
              </w:rPr>
              <w:t>54 914</w:t>
            </w:r>
          </w:p>
          <w:p w:rsidR="009A036B" w:rsidRPr="00E0143F" w:rsidRDefault="009A036B" w:rsidP="009A036B">
            <w:pPr>
              <w:jc w:val="right"/>
              <w:rPr>
                <w:rFonts w:eastAsia="Times New Roman" w:cs="Times New Roman"/>
                <w:i/>
                <w:sz w:val="20"/>
                <w:szCs w:val="24"/>
                <w:lang w:eastAsia="cs-CZ"/>
              </w:rPr>
            </w:pPr>
            <w:r w:rsidRPr="00E0143F">
              <w:rPr>
                <w:rFonts w:eastAsia="Times New Roman" w:cs="Times New Roman"/>
                <w:i/>
                <w:sz w:val="20"/>
                <w:szCs w:val="24"/>
                <w:lang w:eastAsia="cs-CZ"/>
              </w:rPr>
              <w:t>573</w:t>
            </w:r>
          </w:p>
          <w:p w:rsidR="009A036B" w:rsidRPr="007E7909" w:rsidRDefault="009A036B" w:rsidP="009A036B">
            <w:pPr>
              <w:jc w:val="right"/>
              <w:rPr>
                <w:rFonts w:eastAsia="Times New Roman" w:cs="Times New Roman"/>
                <w:i/>
                <w:sz w:val="20"/>
                <w:szCs w:val="24"/>
                <w:lang w:eastAsia="cs-CZ"/>
              </w:rPr>
            </w:pPr>
            <w:r w:rsidRPr="007E7909">
              <w:rPr>
                <w:rFonts w:eastAsia="Times New Roman" w:cs="Times New Roman"/>
                <w:i/>
                <w:sz w:val="20"/>
                <w:szCs w:val="24"/>
                <w:lang w:eastAsia="cs-CZ"/>
              </w:rPr>
              <w:t>286</w:t>
            </w:r>
          </w:p>
          <w:p w:rsidR="009A036B" w:rsidRPr="00323513" w:rsidRDefault="009A036B" w:rsidP="009A036B">
            <w:pPr>
              <w:jc w:val="right"/>
              <w:rPr>
                <w:rFonts w:eastAsia="Times New Roman" w:cs="Times New Roman"/>
                <w:i/>
                <w:sz w:val="20"/>
                <w:szCs w:val="24"/>
                <w:lang w:eastAsia="cs-CZ"/>
              </w:rPr>
            </w:pPr>
            <w:r w:rsidRPr="00323513">
              <w:rPr>
                <w:rFonts w:eastAsia="Times New Roman" w:cs="Times New Roman"/>
                <w:i/>
                <w:sz w:val="20"/>
                <w:szCs w:val="24"/>
                <w:lang w:eastAsia="cs-CZ"/>
              </w:rPr>
              <w:t>286</w:t>
            </w:r>
          </w:p>
          <w:p w:rsidR="009A036B" w:rsidRPr="00FD6BC7" w:rsidRDefault="009A036B" w:rsidP="009A036B">
            <w:pPr>
              <w:jc w:val="right"/>
              <w:rPr>
                <w:rFonts w:eastAsia="Times New Roman" w:cs="Times New Roman"/>
                <w:i/>
                <w:sz w:val="20"/>
                <w:szCs w:val="24"/>
                <w:lang w:eastAsia="cs-CZ"/>
              </w:rPr>
            </w:pPr>
            <w:r w:rsidRPr="00FD6BC7">
              <w:rPr>
                <w:rFonts w:eastAsia="Times New Roman" w:cs="Times New Roman"/>
                <w:i/>
                <w:sz w:val="20"/>
                <w:szCs w:val="24"/>
                <w:lang w:eastAsia="cs-CZ"/>
              </w:rPr>
              <w:t>49 702</w:t>
            </w:r>
          </w:p>
          <w:p w:rsidR="009A036B" w:rsidRPr="00BF2A3D" w:rsidRDefault="009A036B" w:rsidP="009A036B">
            <w:pPr>
              <w:jc w:val="right"/>
              <w:rPr>
                <w:rFonts w:eastAsia="Times New Roman" w:cs="Times New Roman"/>
                <w:i/>
                <w:sz w:val="20"/>
                <w:szCs w:val="24"/>
                <w:lang w:eastAsia="cs-CZ"/>
              </w:rPr>
            </w:pPr>
            <w:r w:rsidRPr="00BF2A3D">
              <w:rPr>
                <w:rFonts w:eastAsia="Times New Roman" w:cs="Times New Roman"/>
                <w:i/>
                <w:sz w:val="20"/>
                <w:szCs w:val="24"/>
                <w:lang w:eastAsia="cs-CZ"/>
              </w:rPr>
              <w:t xml:space="preserve">7 482     </w:t>
            </w:r>
          </w:p>
          <w:p w:rsidR="009A036B" w:rsidRPr="00BF2A3D" w:rsidRDefault="009A036B" w:rsidP="009A036B">
            <w:pPr>
              <w:jc w:val="right"/>
              <w:rPr>
                <w:rFonts w:eastAsia="Times New Roman" w:cs="Times New Roman"/>
                <w:i/>
                <w:sz w:val="20"/>
                <w:szCs w:val="24"/>
                <w:lang w:eastAsia="cs-CZ"/>
              </w:rPr>
            </w:pPr>
            <w:r w:rsidRPr="00BF2A3D">
              <w:rPr>
                <w:rFonts w:eastAsia="Times New Roman" w:cs="Times New Roman"/>
                <w:i/>
                <w:sz w:val="20"/>
                <w:szCs w:val="24"/>
                <w:lang w:eastAsia="cs-CZ"/>
              </w:rPr>
              <w:t>42 220</w:t>
            </w:r>
          </w:p>
          <w:p w:rsidR="009A036B" w:rsidRPr="00633ED0" w:rsidRDefault="009A036B" w:rsidP="009A036B">
            <w:pPr>
              <w:jc w:val="right"/>
              <w:rPr>
                <w:rFonts w:eastAsia="Times New Roman" w:cs="Times New Roman"/>
                <w:i/>
                <w:color w:val="FF0000"/>
                <w:sz w:val="20"/>
                <w:szCs w:val="24"/>
                <w:lang w:eastAsia="cs-CZ"/>
              </w:rPr>
            </w:pPr>
          </w:p>
          <w:p w:rsidR="009A036B" w:rsidRPr="00A84BD7" w:rsidRDefault="009A036B" w:rsidP="009A036B">
            <w:pPr>
              <w:jc w:val="right"/>
              <w:rPr>
                <w:rFonts w:eastAsia="Times New Roman" w:cs="Times New Roman"/>
                <w:i/>
                <w:sz w:val="20"/>
                <w:szCs w:val="24"/>
                <w:lang w:eastAsia="cs-CZ"/>
              </w:rPr>
            </w:pPr>
            <w:r w:rsidRPr="00A84BD7">
              <w:rPr>
                <w:rFonts w:eastAsia="Times New Roman" w:cs="Times New Roman"/>
                <w:i/>
                <w:sz w:val="20"/>
                <w:szCs w:val="24"/>
                <w:lang w:eastAsia="cs-CZ"/>
              </w:rPr>
              <w:t>4 639</w:t>
            </w:r>
          </w:p>
          <w:p w:rsidR="009A036B" w:rsidRPr="00274E3E" w:rsidRDefault="009A036B" w:rsidP="009A036B">
            <w:pPr>
              <w:jc w:val="right"/>
              <w:rPr>
                <w:rFonts w:eastAsia="Times New Roman" w:cs="Times New Roman"/>
                <w:i/>
                <w:sz w:val="20"/>
                <w:szCs w:val="24"/>
                <w:lang w:eastAsia="cs-CZ"/>
              </w:rPr>
            </w:pPr>
            <w:r w:rsidRPr="00274E3E">
              <w:rPr>
                <w:rFonts w:eastAsia="Times New Roman" w:cs="Times New Roman"/>
                <w:i/>
                <w:sz w:val="20"/>
                <w:szCs w:val="24"/>
                <w:lang w:eastAsia="cs-CZ"/>
              </w:rPr>
              <w:t>930</w:t>
            </w:r>
          </w:p>
          <w:p w:rsidR="009A036B" w:rsidRPr="00633ED0" w:rsidRDefault="009A036B" w:rsidP="009A036B">
            <w:pPr>
              <w:jc w:val="right"/>
              <w:rPr>
                <w:rFonts w:eastAsia="Times New Roman" w:cs="Times New Roman"/>
                <w:i/>
                <w:color w:val="FF0000"/>
                <w:sz w:val="20"/>
                <w:szCs w:val="24"/>
                <w:lang w:eastAsia="cs-CZ"/>
              </w:rPr>
            </w:pPr>
            <w:r w:rsidRPr="00274E3E">
              <w:rPr>
                <w:rFonts w:eastAsia="Times New Roman" w:cs="Times New Roman"/>
                <w:i/>
                <w:sz w:val="20"/>
                <w:szCs w:val="24"/>
                <w:lang w:eastAsia="cs-CZ"/>
              </w:rPr>
              <w:t>3 710</w:t>
            </w:r>
          </w:p>
        </w:tc>
        <w:tc>
          <w:tcPr>
            <w:tcW w:w="506" w:type="pct"/>
            <w:tcBorders>
              <w:top w:val="single" w:sz="8" w:space="0" w:color="7F7F7F" w:themeColor="text1" w:themeTint="80"/>
            </w:tcBorders>
            <w:shd w:val="clear" w:color="auto" w:fill="auto"/>
            <w:vAlign w:val="bottom"/>
          </w:tcPr>
          <w:p w:rsidR="009A036B" w:rsidRPr="00920730" w:rsidRDefault="009A036B" w:rsidP="009A036B">
            <w:pPr>
              <w:jc w:val="right"/>
              <w:rPr>
                <w:rFonts w:eastAsia="Times New Roman" w:cs="Times New Roman"/>
                <w:sz w:val="20"/>
                <w:szCs w:val="24"/>
                <w:lang w:eastAsia="cs-CZ"/>
              </w:rPr>
            </w:pPr>
            <w:r w:rsidRPr="00920730">
              <w:rPr>
                <w:rFonts w:eastAsia="Times New Roman" w:cs="Times New Roman"/>
                <w:sz w:val="20"/>
                <w:szCs w:val="24"/>
                <w:lang w:eastAsia="cs-CZ"/>
              </w:rPr>
              <w:t>93,25</w:t>
            </w:r>
          </w:p>
          <w:p w:rsidR="009A036B" w:rsidRPr="00920730" w:rsidRDefault="009A036B" w:rsidP="009A036B">
            <w:pPr>
              <w:jc w:val="right"/>
              <w:rPr>
                <w:rFonts w:eastAsia="Times New Roman" w:cs="Times New Roman"/>
                <w:i/>
                <w:sz w:val="20"/>
                <w:szCs w:val="24"/>
                <w:lang w:eastAsia="cs-CZ"/>
              </w:rPr>
            </w:pP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68,00</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 xml:space="preserve">    54,16</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54,06</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54,06</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67,81</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68,06</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67,77</w:t>
            </w:r>
          </w:p>
          <w:p w:rsidR="009A036B" w:rsidRPr="00920730" w:rsidRDefault="009A036B" w:rsidP="009A036B">
            <w:pPr>
              <w:jc w:val="center"/>
              <w:rPr>
                <w:rFonts w:eastAsia="Times New Roman" w:cs="Times New Roman"/>
                <w:i/>
                <w:sz w:val="20"/>
                <w:szCs w:val="24"/>
                <w:lang w:eastAsia="cs-CZ"/>
              </w:rPr>
            </w:pPr>
            <w:r w:rsidRPr="00920730">
              <w:rPr>
                <w:rFonts w:eastAsia="Times New Roman" w:cs="Times New Roman"/>
                <w:i/>
                <w:sz w:val="20"/>
                <w:szCs w:val="24"/>
                <w:lang w:eastAsia="cs-CZ"/>
              </w:rPr>
              <w:t xml:space="preserve">   </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72,46</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92,54</w:t>
            </w:r>
          </w:p>
          <w:p w:rsidR="009A036B" w:rsidRPr="00920730" w:rsidRDefault="009A036B" w:rsidP="009A036B">
            <w:pPr>
              <w:jc w:val="right"/>
              <w:rPr>
                <w:rFonts w:eastAsia="Times New Roman" w:cs="Times New Roman"/>
                <w:i/>
                <w:sz w:val="20"/>
                <w:szCs w:val="24"/>
                <w:lang w:eastAsia="cs-CZ"/>
              </w:rPr>
            </w:pPr>
            <w:r w:rsidRPr="00920730">
              <w:rPr>
                <w:rFonts w:eastAsia="Times New Roman" w:cs="Times New Roman"/>
                <w:i/>
                <w:sz w:val="20"/>
                <w:szCs w:val="24"/>
                <w:lang w:eastAsia="cs-CZ"/>
              </w:rPr>
              <w:t>68,74</w:t>
            </w:r>
          </w:p>
        </w:tc>
      </w:tr>
      <w:tr w:rsidR="009A036B" w:rsidRPr="00633ED0" w:rsidTr="009A036B">
        <w:trPr>
          <w:trHeight w:val="829"/>
        </w:trPr>
        <w:tc>
          <w:tcPr>
            <w:tcW w:w="2414" w:type="pct"/>
            <w:shd w:val="clear" w:color="auto" w:fill="auto"/>
          </w:tcPr>
          <w:p w:rsidR="009A036B" w:rsidRPr="00633ED0" w:rsidRDefault="009A036B" w:rsidP="009A036B">
            <w:pPr>
              <w:rPr>
                <w:rFonts w:eastAsia="Times New Roman" w:cs="Times New Roman"/>
                <w:sz w:val="20"/>
                <w:szCs w:val="24"/>
                <w:lang w:eastAsia="cs-CZ"/>
              </w:rPr>
            </w:pPr>
            <w:r w:rsidRPr="00633ED0">
              <w:rPr>
                <w:rFonts w:eastAsia="Times New Roman" w:cs="Times New Roman"/>
                <w:sz w:val="20"/>
                <w:szCs w:val="24"/>
                <w:lang w:eastAsia="cs-CZ"/>
              </w:rPr>
              <w:t>povinné pojistné placené zaměstnavatelem</w:t>
            </w:r>
          </w:p>
          <w:p w:rsidR="009A036B" w:rsidRPr="00633ED0" w:rsidRDefault="009A036B" w:rsidP="009A036B">
            <w:pPr>
              <w:rPr>
                <w:rFonts w:eastAsia="Times New Roman" w:cs="Times New Roman"/>
                <w:sz w:val="20"/>
                <w:szCs w:val="24"/>
                <w:lang w:eastAsia="cs-CZ"/>
              </w:rPr>
            </w:pPr>
            <w:r w:rsidRPr="00633ED0">
              <w:rPr>
                <w:rFonts w:eastAsia="Times New Roman" w:cs="Times New Roman"/>
                <w:sz w:val="20"/>
                <w:szCs w:val="24"/>
                <w:lang w:eastAsia="cs-CZ"/>
              </w:rPr>
              <w:t xml:space="preserve">z toho: </w:t>
            </w:r>
            <w:r w:rsidRPr="00633ED0">
              <w:rPr>
                <w:rFonts w:eastAsia="Times New Roman" w:cs="Times New Roman"/>
                <w:i/>
                <w:sz w:val="20"/>
                <w:szCs w:val="24"/>
                <w:lang w:eastAsia="cs-CZ"/>
              </w:rPr>
              <w:t xml:space="preserve">výdaje na programy spolufinancované         </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 v tom:</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OP Zaměstnanost</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                </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OP Doprava 2014-2020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w:t>
            </w:r>
          </w:p>
          <w:p w:rsidR="009A036B" w:rsidRPr="00633ED0" w:rsidRDefault="009A036B" w:rsidP="009A036B">
            <w:pPr>
              <w:tabs>
                <w:tab w:val="left" w:pos="1295"/>
              </w:tabs>
              <w:rPr>
                <w:rFonts w:eastAsia="Times New Roman" w:cs="Times New Roman"/>
                <w:i/>
                <w:sz w:val="20"/>
                <w:szCs w:val="24"/>
                <w:lang w:eastAsia="cs-CZ"/>
              </w:rPr>
            </w:pPr>
            <w:r w:rsidRPr="00633ED0">
              <w:rPr>
                <w:rFonts w:eastAsia="Times New Roman" w:cs="Times New Roman"/>
                <w:i/>
                <w:sz w:val="20"/>
                <w:szCs w:val="24"/>
                <w:lang w:eastAsia="cs-CZ"/>
              </w:rPr>
              <w:t xml:space="preserve">                      Komunitární programy 2014-2020</w:t>
            </w:r>
          </w:p>
          <w:p w:rsidR="009A036B" w:rsidRPr="00633ED0" w:rsidRDefault="002F1811" w:rsidP="009A036B">
            <w:pPr>
              <w:rPr>
                <w:rFonts w:eastAsia="Times New Roman" w:cs="Times New Roman"/>
                <w:i/>
                <w:sz w:val="20"/>
                <w:szCs w:val="24"/>
                <w:lang w:eastAsia="cs-CZ"/>
              </w:rPr>
            </w:pPr>
            <w:r>
              <w:rPr>
                <w:rFonts w:eastAsia="Times New Roman" w:cs="Times New Roman"/>
                <w:i/>
                <w:sz w:val="20"/>
                <w:szCs w:val="24"/>
                <w:lang w:eastAsia="cs-CZ"/>
              </w:rPr>
              <w:t xml:space="preserve">                     (</w:t>
            </w:r>
            <w:r w:rsidR="009A036B" w:rsidRPr="00633ED0">
              <w:rPr>
                <w:rFonts w:eastAsia="Times New Roman" w:cs="Times New Roman"/>
                <w:i/>
                <w:sz w:val="20"/>
                <w:szCs w:val="24"/>
                <w:lang w:eastAsia="cs-CZ"/>
              </w:rPr>
              <w:t>CEF, Horizont 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                                           </w:t>
            </w:r>
          </w:p>
        </w:tc>
        <w:tc>
          <w:tcPr>
            <w:tcW w:w="739" w:type="pct"/>
            <w:shd w:val="clear" w:color="auto" w:fill="auto"/>
          </w:tcPr>
          <w:p w:rsidR="009A036B" w:rsidRPr="00633ED0" w:rsidRDefault="009A036B" w:rsidP="009A036B">
            <w:pPr>
              <w:jc w:val="right"/>
              <w:rPr>
                <w:rFonts w:eastAsia="Times New Roman" w:cs="Times New Roman"/>
                <w:sz w:val="20"/>
                <w:szCs w:val="24"/>
                <w:lang w:eastAsia="cs-CZ"/>
              </w:rPr>
            </w:pPr>
            <w:r w:rsidRPr="00633ED0">
              <w:rPr>
                <w:rFonts w:eastAsia="Times New Roman" w:cs="Times New Roman"/>
                <w:sz w:val="20"/>
                <w:szCs w:val="24"/>
                <w:lang w:eastAsia="cs-CZ"/>
              </w:rPr>
              <w:t>91 923</w:t>
            </w:r>
          </w:p>
          <w:p w:rsidR="009A036B" w:rsidRPr="00633ED0" w:rsidRDefault="009A036B" w:rsidP="009A036B">
            <w:pPr>
              <w:jc w:val="right"/>
              <w:rPr>
                <w:rFonts w:eastAsia="Times New Roman" w:cs="Times New Roman"/>
                <w:color w:val="FF0000"/>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20 814</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x</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x</w:t>
            </w:r>
          </w:p>
          <w:p w:rsidR="009A036B" w:rsidRPr="00633ED0" w:rsidRDefault="009A036B" w:rsidP="009A036B">
            <w:pPr>
              <w:jc w:val="right"/>
              <w:rPr>
                <w:rFonts w:eastAsia="Times New Roman" w:cs="Times New Roman"/>
                <w:sz w:val="20"/>
                <w:szCs w:val="24"/>
                <w:lang w:eastAsia="cs-CZ"/>
              </w:rPr>
            </w:pPr>
            <w:r w:rsidRPr="00633ED0">
              <w:rPr>
                <w:rFonts w:eastAsia="Times New Roman" w:cs="Times New Roman"/>
                <w:i/>
                <w:sz w:val="20"/>
                <w:szCs w:val="24"/>
                <w:lang w:eastAsia="cs-CZ"/>
              </w:rPr>
              <w:t>x</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20 202</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3 030</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17 171</w:t>
            </w:r>
          </w:p>
          <w:p w:rsidR="009A036B" w:rsidRPr="00633ED0" w:rsidRDefault="009A036B" w:rsidP="009A036B">
            <w:pPr>
              <w:jc w:val="right"/>
              <w:rPr>
                <w:rFonts w:eastAsia="Times New Roman" w:cs="Times New Roman"/>
                <w:i/>
                <w:color w:val="FF0000"/>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612</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17</w:t>
            </w:r>
          </w:p>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595</w:t>
            </w:r>
          </w:p>
        </w:tc>
        <w:tc>
          <w:tcPr>
            <w:tcW w:w="678" w:type="pct"/>
            <w:shd w:val="clear" w:color="auto" w:fill="auto"/>
          </w:tcPr>
          <w:p w:rsidR="009A036B" w:rsidRPr="00633ED0" w:rsidRDefault="009A036B" w:rsidP="009A036B">
            <w:pPr>
              <w:jc w:val="right"/>
              <w:rPr>
                <w:rFonts w:eastAsia="Times New Roman" w:cs="Times New Roman"/>
                <w:sz w:val="20"/>
                <w:szCs w:val="24"/>
                <w:lang w:eastAsia="cs-CZ"/>
              </w:rPr>
            </w:pPr>
            <w:r w:rsidRPr="00633ED0">
              <w:rPr>
                <w:rFonts w:eastAsia="Times New Roman" w:cs="Times New Roman"/>
                <w:sz w:val="20"/>
                <w:szCs w:val="24"/>
                <w:lang w:eastAsia="cs-CZ"/>
              </w:rPr>
              <w:t>108 458</w:t>
            </w:r>
          </w:p>
          <w:p w:rsidR="009A036B" w:rsidRPr="00633ED0" w:rsidRDefault="009A036B" w:rsidP="009A036B">
            <w:pPr>
              <w:jc w:val="right"/>
              <w:rPr>
                <w:rFonts w:eastAsia="Times New Roman" w:cs="Times New Roman"/>
                <w:i/>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27 457 </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360</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180</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180</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 24 920</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3 738</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21 182</w:t>
            </w:r>
          </w:p>
          <w:p w:rsidR="009A036B" w:rsidRPr="00633ED0" w:rsidRDefault="009A036B" w:rsidP="009A036B">
            <w:pPr>
              <w:jc w:val="right"/>
              <w:rPr>
                <w:rFonts w:eastAsia="Times New Roman" w:cs="Times New Roman"/>
                <w:i/>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       2 177</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342</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1 835</w:t>
            </w:r>
          </w:p>
        </w:tc>
        <w:tc>
          <w:tcPr>
            <w:tcW w:w="663" w:type="pct"/>
            <w:shd w:val="clear" w:color="auto" w:fill="auto"/>
          </w:tcPr>
          <w:p w:rsidR="009A036B" w:rsidRPr="00CF78C2" w:rsidRDefault="009A036B" w:rsidP="009A036B">
            <w:pPr>
              <w:jc w:val="right"/>
              <w:rPr>
                <w:rFonts w:eastAsia="Times New Roman" w:cs="Times New Roman"/>
                <w:sz w:val="20"/>
                <w:szCs w:val="24"/>
                <w:lang w:eastAsia="cs-CZ"/>
              </w:rPr>
            </w:pPr>
            <w:r w:rsidRPr="00CF78C2">
              <w:rPr>
                <w:rFonts w:eastAsia="Times New Roman" w:cs="Times New Roman"/>
                <w:sz w:val="20"/>
                <w:szCs w:val="24"/>
                <w:lang w:eastAsia="cs-CZ"/>
              </w:rPr>
              <w:t>101 139</w:t>
            </w:r>
          </w:p>
          <w:p w:rsidR="009A036B" w:rsidRPr="00633ED0" w:rsidRDefault="009A036B" w:rsidP="009A036B">
            <w:pPr>
              <w:jc w:val="right"/>
              <w:rPr>
                <w:rFonts w:eastAsia="Times New Roman" w:cs="Times New Roman"/>
                <w:i/>
                <w:color w:val="FF0000"/>
                <w:sz w:val="20"/>
                <w:szCs w:val="24"/>
                <w:lang w:eastAsia="cs-CZ"/>
              </w:rPr>
            </w:pPr>
          </w:p>
          <w:p w:rsidR="009A036B" w:rsidRPr="00E14EA9" w:rsidRDefault="009A036B" w:rsidP="009A036B">
            <w:pPr>
              <w:jc w:val="right"/>
              <w:rPr>
                <w:rFonts w:eastAsia="Times New Roman" w:cs="Times New Roman"/>
                <w:i/>
                <w:sz w:val="20"/>
                <w:szCs w:val="24"/>
                <w:lang w:eastAsia="cs-CZ"/>
              </w:rPr>
            </w:pPr>
            <w:r>
              <w:rPr>
                <w:rFonts w:eastAsia="Times New Roman" w:cs="Times New Roman"/>
                <w:i/>
                <w:sz w:val="20"/>
                <w:szCs w:val="24"/>
                <w:lang w:eastAsia="cs-CZ"/>
              </w:rPr>
              <w:t>18</w:t>
            </w:r>
            <w:r w:rsidRPr="00E14EA9">
              <w:rPr>
                <w:rFonts w:eastAsia="Times New Roman" w:cs="Times New Roman"/>
                <w:i/>
                <w:sz w:val="20"/>
                <w:szCs w:val="24"/>
                <w:lang w:eastAsia="cs-CZ"/>
              </w:rPr>
              <w:t xml:space="preserve"> 671 </w:t>
            </w:r>
          </w:p>
          <w:p w:rsidR="009A036B" w:rsidRPr="00AB7596" w:rsidRDefault="009A036B" w:rsidP="009A036B">
            <w:pPr>
              <w:jc w:val="right"/>
              <w:rPr>
                <w:rFonts w:eastAsia="Times New Roman" w:cs="Times New Roman"/>
                <w:i/>
                <w:sz w:val="20"/>
                <w:szCs w:val="24"/>
                <w:lang w:eastAsia="cs-CZ"/>
              </w:rPr>
            </w:pPr>
            <w:r w:rsidRPr="00AB7596">
              <w:rPr>
                <w:rFonts w:eastAsia="Times New Roman" w:cs="Times New Roman"/>
                <w:i/>
                <w:sz w:val="20"/>
                <w:szCs w:val="24"/>
                <w:lang w:eastAsia="cs-CZ"/>
              </w:rPr>
              <w:t>195</w:t>
            </w:r>
          </w:p>
          <w:p w:rsidR="009A036B" w:rsidRPr="008B1560" w:rsidRDefault="009A036B" w:rsidP="009A036B">
            <w:pPr>
              <w:jc w:val="right"/>
              <w:rPr>
                <w:rFonts w:eastAsia="Times New Roman" w:cs="Times New Roman"/>
                <w:i/>
                <w:sz w:val="20"/>
                <w:szCs w:val="24"/>
                <w:lang w:eastAsia="cs-CZ"/>
              </w:rPr>
            </w:pPr>
            <w:r w:rsidRPr="008B1560">
              <w:rPr>
                <w:rFonts w:eastAsia="Times New Roman" w:cs="Times New Roman"/>
                <w:i/>
                <w:sz w:val="20"/>
                <w:szCs w:val="24"/>
                <w:lang w:eastAsia="cs-CZ"/>
              </w:rPr>
              <w:t>97</w:t>
            </w:r>
          </w:p>
          <w:p w:rsidR="009A036B" w:rsidRPr="008B1560" w:rsidRDefault="009A036B" w:rsidP="009A036B">
            <w:pPr>
              <w:jc w:val="right"/>
              <w:rPr>
                <w:rFonts w:eastAsia="Times New Roman" w:cs="Times New Roman"/>
                <w:i/>
                <w:sz w:val="20"/>
                <w:szCs w:val="24"/>
                <w:lang w:eastAsia="cs-CZ"/>
              </w:rPr>
            </w:pPr>
            <w:r w:rsidRPr="008B1560">
              <w:rPr>
                <w:rFonts w:eastAsia="Times New Roman" w:cs="Times New Roman"/>
                <w:i/>
                <w:sz w:val="20"/>
                <w:szCs w:val="24"/>
                <w:lang w:eastAsia="cs-CZ"/>
              </w:rPr>
              <w:t>97</w:t>
            </w:r>
          </w:p>
          <w:p w:rsidR="009A036B" w:rsidRPr="00E83515" w:rsidRDefault="009A036B" w:rsidP="009A036B">
            <w:pPr>
              <w:jc w:val="right"/>
              <w:rPr>
                <w:rFonts w:eastAsia="Times New Roman" w:cs="Times New Roman"/>
                <w:i/>
                <w:sz w:val="20"/>
                <w:szCs w:val="24"/>
                <w:lang w:eastAsia="cs-CZ"/>
              </w:rPr>
            </w:pPr>
            <w:r>
              <w:rPr>
                <w:rFonts w:eastAsia="Times New Roman" w:cs="Times New Roman"/>
                <w:i/>
                <w:sz w:val="20"/>
                <w:szCs w:val="24"/>
                <w:lang w:eastAsia="cs-CZ"/>
              </w:rPr>
              <w:t xml:space="preserve"> 16</w:t>
            </w:r>
            <w:r w:rsidRPr="00E83515">
              <w:rPr>
                <w:rFonts w:eastAsia="Times New Roman" w:cs="Times New Roman"/>
                <w:i/>
                <w:sz w:val="20"/>
                <w:szCs w:val="24"/>
                <w:lang w:eastAsia="cs-CZ"/>
              </w:rPr>
              <w:t xml:space="preserve"> 899</w:t>
            </w:r>
          </w:p>
          <w:p w:rsidR="009A036B" w:rsidRPr="004A08EC" w:rsidRDefault="009A036B" w:rsidP="009A036B">
            <w:pPr>
              <w:jc w:val="right"/>
              <w:rPr>
                <w:rFonts w:eastAsia="Times New Roman" w:cs="Times New Roman"/>
                <w:i/>
                <w:sz w:val="20"/>
                <w:szCs w:val="24"/>
                <w:lang w:eastAsia="cs-CZ"/>
              </w:rPr>
            </w:pPr>
            <w:r w:rsidRPr="004A08EC">
              <w:rPr>
                <w:rFonts w:eastAsia="Times New Roman" w:cs="Times New Roman"/>
                <w:i/>
                <w:sz w:val="20"/>
                <w:szCs w:val="24"/>
                <w:lang w:eastAsia="cs-CZ"/>
              </w:rPr>
              <w:t>2 544</w:t>
            </w:r>
          </w:p>
          <w:p w:rsidR="009A036B" w:rsidRPr="009736AD" w:rsidRDefault="009A036B" w:rsidP="009A036B">
            <w:pPr>
              <w:jc w:val="right"/>
              <w:rPr>
                <w:rFonts w:eastAsia="Times New Roman" w:cs="Times New Roman"/>
                <w:i/>
                <w:sz w:val="20"/>
                <w:szCs w:val="24"/>
                <w:lang w:eastAsia="cs-CZ"/>
              </w:rPr>
            </w:pPr>
            <w:r w:rsidRPr="009736AD">
              <w:rPr>
                <w:rFonts w:eastAsia="Times New Roman" w:cs="Times New Roman"/>
                <w:i/>
                <w:sz w:val="20"/>
                <w:szCs w:val="24"/>
                <w:lang w:eastAsia="cs-CZ"/>
              </w:rPr>
              <w:t>14 355</w:t>
            </w:r>
          </w:p>
          <w:p w:rsidR="009A036B" w:rsidRPr="00633ED0" w:rsidRDefault="009A036B" w:rsidP="009A036B">
            <w:pPr>
              <w:jc w:val="right"/>
              <w:rPr>
                <w:rFonts w:eastAsia="Times New Roman" w:cs="Times New Roman"/>
                <w:i/>
                <w:color w:val="FF0000"/>
                <w:sz w:val="20"/>
                <w:szCs w:val="24"/>
                <w:lang w:eastAsia="cs-CZ"/>
              </w:rPr>
            </w:pPr>
          </w:p>
          <w:p w:rsidR="009A036B" w:rsidRPr="00740665" w:rsidRDefault="009A036B" w:rsidP="009A036B">
            <w:pPr>
              <w:jc w:val="right"/>
              <w:rPr>
                <w:rFonts w:eastAsia="Times New Roman" w:cs="Times New Roman"/>
                <w:i/>
                <w:sz w:val="20"/>
                <w:szCs w:val="24"/>
                <w:lang w:eastAsia="cs-CZ"/>
              </w:rPr>
            </w:pPr>
            <w:r w:rsidRPr="00740665">
              <w:rPr>
                <w:rFonts w:eastAsia="Times New Roman" w:cs="Times New Roman"/>
                <w:i/>
                <w:sz w:val="20"/>
                <w:szCs w:val="24"/>
                <w:lang w:eastAsia="cs-CZ"/>
              </w:rPr>
              <w:t xml:space="preserve">1 577       </w:t>
            </w:r>
          </w:p>
          <w:p w:rsidR="009A036B" w:rsidRPr="004A08EC" w:rsidRDefault="009A036B" w:rsidP="009A036B">
            <w:pPr>
              <w:jc w:val="right"/>
              <w:rPr>
                <w:rFonts w:eastAsia="Times New Roman" w:cs="Times New Roman"/>
                <w:i/>
                <w:sz w:val="20"/>
                <w:szCs w:val="24"/>
                <w:lang w:eastAsia="cs-CZ"/>
              </w:rPr>
            </w:pPr>
            <w:r w:rsidRPr="004A08EC">
              <w:rPr>
                <w:rFonts w:eastAsia="Times New Roman" w:cs="Times New Roman"/>
                <w:i/>
                <w:sz w:val="20"/>
                <w:szCs w:val="24"/>
                <w:lang w:eastAsia="cs-CZ"/>
              </w:rPr>
              <w:t>316</w:t>
            </w:r>
          </w:p>
          <w:p w:rsidR="009A036B" w:rsidRPr="00633ED0" w:rsidRDefault="009A036B" w:rsidP="009A036B">
            <w:pPr>
              <w:jc w:val="right"/>
              <w:rPr>
                <w:rFonts w:eastAsia="Times New Roman" w:cs="Times New Roman"/>
                <w:i/>
                <w:color w:val="FF0000"/>
                <w:sz w:val="20"/>
                <w:szCs w:val="24"/>
                <w:lang w:eastAsia="cs-CZ"/>
              </w:rPr>
            </w:pPr>
            <w:r w:rsidRPr="00D11860">
              <w:rPr>
                <w:rFonts w:eastAsia="Times New Roman" w:cs="Times New Roman"/>
                <w:i/>
                <w:sz w:val="20"/>
                <w:szCs w:val="24"/>
                <w:lang w:eastAsia="cs-CZ"/>
              </w:rPr>
              <w:t>1 261</w:t>
            </w:r>
          </w:p>
        </w:tc>
        <w:tc>
          <w:tcPr>
            <w:tcW w:w="506" w:type="pct"/>
            <w:shd w:val="clear" w:color="auto" w:fill="auto"/>
          </w:tcPr>
          <w:p w:rsidR="009A036B" w:rsidRPr="00DE79CB" w:rsidRDefault="009A036B" w:rsidP="009A036B">
            <w:pPr>
              <w:jc w:val="right"/>
              <w:rPr>
                <w:rFonts w:eastAsia="Times New Roman" w:cs="Times New Roman"/>
                <w:sz w:val="20"/>
                <w:szCs w:val="24"/>
                <w:lang w:eastAsia="cs-CZ"/>
              </w:rPr>
            </w:pPr>
            <w:r w:rsidRPr="00DE79CB">
              <w:rPr>
                <w:rFonts w:eastAsia="Times New Roman" w:cs="Times New Roman"/>
                <w:sz w:val="20"/>
                <w:szCs w:val="24"/>
                <w:lang w:eastAsia="cs-CZ"/>
              </w:rPr>
              <w:t>93,25</w:t>
            </w:r>
          </w:p>
          <w:p w:rsidR="009A036B" w:rsidRPr="00633ED0" w:rsidRDefault="009A036B" w:rsidP="009A036B">
            <w:pPr>
              <w:jc w:val="right"/>
              <w:rPr>
                <w:rFonts w:eastAsia="Times New Roman" w:cs="Times New Roman"/>
                <w:i/>
                <w:color w:val="FF0000"/>
                <w:sz w:val="20"/>
                <w:szCs w:val="24"/>
                <w:lang w:eastAsia="cs-CZ"/>
              </w:rPr>
            </w:pPr>
          </w:p>
          <w:p w:rsidR="009A036B" w:rsidRPr="00DE79CB" w:rsidRDefault="009A036B" w:rsidP="009A036B">
            <w:pPr>
              <w:jc w:val="right"/>
              <w:rPr>
                <w:rFonts w:eastAsia="Times New Roman" w:cs="Times New Roman"/>
                <w:i/>
                <w:sz w:val="20"/>
                <w:szCs w:val="24"/>
                <w:lang w:eastAsia="cs-CZ"/>
              </w:rPr>
            </w:pPr>
            <w:r>
              <w:rPr>
                <w:rFonts w:eastAsia="Times New Roman" w:cs="Times New Roman"/>
                <w:i/>
                <w:sz w:val="20"/>
                <w:szCs w:val="24"/>
                <w:lang w:eastAsia="cs-CZ"/>
              </w:rPr>
              <w:t>68,00</w:t>
            </w:r>
          </w:p>
          <w:p w:rsidR="009A036B" w:rsidRPr="00DE79CB" w:rsidRDefault="009A036B" w:rsidP="009A036B">
            <w:pPr>
              <w:jc w:val="right"/>
              <w:rPr>
                <w:rFonts w:eastAsia="Times New Roman" w:cs="Times New Roman"/>
                <w:i/>
                <w:sz w:val="20"/>
                <w:szCs w:val="24"/>
                <w:lang w:eastAsia="cs-CZ"/>
              </w:rPr>
            </w:pPr>
            <w:r w:rsidRPr="00DE79CB">
              <w:rPr>
                <w:rFonts w:eastAsia="Times New Roman" w:cs="Times New Roman"/>
                <w:i/>
                <w:sz w:val="20"/>
                <w:szCs w:val="24"/>
                <w:lang w:eastAsia="cs-CZ"/>
              </w:rPr>
              <w:t>54,17</w:t>
            </w:r>
          </w:p>
          <w:p w:rsidR="009A036B" w:rsidRPr="00DE79CB" w:rsidRDefault="009A036B" w:rsidP="009A036B">
            <w:pPr>
              <w:jc w:val="right"/>
              <w:rPr>
                <w:rFonts w:eastAsia="Times New Roman" w:cs="Times New Roman"/>
                <w:i/>
                <w:sz w:val="20"/>
                <w:szCs w:val="24"/>
                <w:lang w:eastAsia="cs-CZ"/>
              </w:rPr>
            </w:pPr>
            <w:r w:rsidRPr="00DE79CB">
              <w:rPr>
                <w:rFonts w:eastAsia="Times New Roman" w:cs="Times New Roman"/>
                <w:i/>
                <w:sz w:val="20"/>
                <w:szCs w:val="24"/>
                <w:lang w:eastAsia="cs-CZ"/>
              </w:rPr>
              <w:t>53,89</w:t>
            </w:r>
          </w:p>
          <w:p w:rsidR="009A036B" w:rsidRPr="00DE79CB" w:rsidRDefault="009A036B" w:rsidP="009A036B">
            <w:pPr>
              <w:jc w:val="right"/>
              <w:rPr>
                <w:rFonts w:eastAsia="Times New Roman" w:cs="Times New Roman"/>
                <w:i/>
                <w:sz w:val="20"/>
                <w:szCs w:val="24"/>
                <w:lang w:eastAsia="cs-CZ"/>
              </w:rPr>
            </w:pPr>
            <w:r w:rsidRPr="00DE79CB">
              <w:rPr>
                <w:rFonts w:eastAsia="Times New Roman" w:cs="Times New Roman"/>
                <w:i/>
                <w:sz w:val="20"/>
                <w:szCs w:val="24"/>
                <w:lang w:eastAsia="cs-CZ"/>
              </w:rPr>
              <w:t>53,89</w:t>
            </w:r>
          </w:p>
          <w:p w:rsidR="009A036B" w:rsidRPr="004F54C5" w:rsidRDefault="009A036B" w:rsidP="009A036B">
            <w:pPr>
              <w:jc w:val="right"/>
              <w:rPr>
                <w:rFonts w:eastAsia="Times New Roman" w:cs="Times New Roman"/>
                <w:i/>
                <w:sz w:val="20"/>
                <w:szCs w:val="24"/>
                <w:lang w:eastAsia="cs-CZ"/>
              </w:rPr>
            </w:pPr>
            <w:r>
              <w:rPr>
                <w:rFonts w:eastAsia="Times New Roman" w:cs="Times New Roman"/>
                <w:i/>
                <w:sz w:val="20"/>
                <w:szCs w:val="24"/>
                <w:lang w:eastAsia="cs-CZ"/>
              </w:rPr>
              <w:t>67,81</w:t>
            </w:r>
          </w:p>
          <w:p w:rsidR="009A036B" w:rsidRPr="004F54C5" w:rsidRDefault="009A036B" w:rsidP="009A036B">
            <w:pPr>
              <w:jc w:val="right"/>
              <w:rPr>
                <w:rFonts w:eastAsia="Times New Roman" w:cs="Times New Roman"/>
                <w:i/>
                <w:sz w:val="20"/>
                <w:szCs w:val="24"/>
                <w:lang w:eastAsia="cs-CZ"/>
              </w:rPr>
            </w:pPr>
            <w:r w:rsidRPr="004F54C5">
              <w:rPr>
                <w:rFonts w:eastAsia="Times New Roman" w:cs="Times New Roman"/>
                <w:i/>
                <w:sz w:val="20"/>
                <w:szCs w:val="24"/>
                <w:lang w:eastAsia="cs-CZ"/>
              </w:rPr>
              <w:t>68,06</w:t>
            </w:r>
          </w:p>
          <w:p w:rsidR="009A036B" w:rsidRPr="004F54C5" w:rsidRDefault="009A036B" w:rsidP="009A036B">
            <w:pPr>
              <w:jc w:val="right"/>
              <w:rPr>
                <w:rFonts w:eastAsia="Times New Roman" w:cs="Times New Roman"/>
                <w:i/>
                <w:sz w:val="20"/>
                <w:szCs w:val="24"/>
                <w:lang w:eastAsia="cs-CZ"/>
              </w:rPr>
            </w:pPr>
            <w:r w:rsidRPr="004F54C5">
              <w:rPr>
                <w:rFonts w:eastAsia="Times New Roman" w:cs="Times New Roman"/>
                <w:i/>
                <w:sz w:val="20"/>
                <w:szCs w:val="24"/>
                <w:lang w:eastAsia="cs-CZ"/>
              </w:rPr>
              <w:t>67,77</w:t>
            </w:r>
          </w:p>
          <w:p w:rsidR="009A036B" w:rsidRPr="00633ED0" w:rsidRDefault="009A036B" w:rsidP="009A036B">
            <w:pPr>
              <w:jc w:val="right"/>
              <w:rPr>
                <w:rFonts w:eastAsia="Times New Roman" w:cs="Times New Roman"/>
                <w:i/>
                <w:color w:val="FF0000"/>
                <w:sz w:val="20"/>
                <w:szCs w:val="24"/>
                <w:lang w:eastAsia="cs-CZ"/>
              </w:rPr>
            </w:pPr>
          </w:p>
          <w:p w:rsidR="009A036B" w:rsidRPr="00C62803" w:rsidRDefault="009A036B" w:rsidP="009A036B">
            <w:pPr>
              <w:jc w:val="right"/>
              <w:rPr>
                <w:rFonts w:eastAsia="Times New Roman" w:cs="Times New Roman"/>
                <w:i/>
                <w:sz w:val="20"/>
                <w:szCs w:val="24"/>
                <w:lang w:eastAsia="cs-CZ"/>
              </w:rPr>
            </w:pPr>
            <w:r w:rsidRPr="00C62803">
              <w:rPr>
                <w:rFonts w:eastAsia="Times New Roman" w:cs="Times New Roman"/>
                <w:i/>
                <w:sz w:val="20"/>
                <w:szCs w:val="24"/>
                <w:lang w:eastAsia="cs-CZ"/>
              </w:rPr>
              <w:t>72,44</w:t>
            </w:r>
          </w:p>
          <w:p w:rsidR="009A036B" w:rsidRPr="00C62803" w:rsidRDefault="009A036B" w:rsidP="009A036B">
            <w:pPr>
              <w:jc w:val="right"/>
              <w:rPr>
                <w:rFonts w:eastAsia="Times New Roman" w:cs="Times New Roman"/>
                <w:i/>
                <w:sz w:val="20"/>
                <w:szCs w:val="24"/>
                <w:lang w:eastAsia="cs-CZ"/>
              </w:rPr>
            </w:pPr>
            <w:r w:rsidRPr="00C62803">
              <w:rPr>
                <w:rFonts w:eastAsia="Times New Roman" w:cs="Times New Roman"/>
                <w:i/>
                <w:sz w:val="20"/>
                <w:szCs w:val="24"/>
                <w:lang w:eastAsia="cs-CZ"/>
              </w:rPr>
              <w:t>92,40</w:t>
            </w:r>
          </w:p>
          <w:p w:rsidR="009A036B" w:rsidRPr="00633ED0" w:rsidRDefault="009A036B" w:rsidP="009A036B">
            <w:pPr>
              <w:jc w:val="right"/>
              <w:rPr>
                <w:rFonts w:eastAsia="Times New Roman" w:cs="Times New Roman"/>
                <w:i/>
                <w:color w:val="FF0000"/>
                <w:sz w:val="20"/>
                <w:szCs w:val="24"/>
                <w:lang w:eastAsia="cs-CZ"/>
              </w:rPr>
            </w:pPr>
            <w:r w:rsidRPr="00C62803">
              <w:rPr>
                <w:rFonts w:eastAsia="Times New Roman" w:cs="Times New Roman"/>
                <w:i/>
                <w:sz w:val="20"/>
                <w:szCs w:val="24"/>
                <w:lang w:eastAsia="cs-CZ"/>
              </w:rPr>
              <w:t>68,72</w:t>
            </w:r>
          </w:p>
        </w:tc>
      </w:tr>
      <w:tr w:rsidR="009A036B" w:rsidRPr="00633ED0" w:rsidTr="009A036B">
        <w:trPr>
          <w:trHeight w:val="74"/>
        </w:trPr>
        <w:tc>
          <w:tcPr>
            <w:tcW w:w="2414" w:type="pct"/>
            <w:tcBorders>
              <w:bottom w:val="single" w:sz="4" w:space="0" w:color="7F7F7F" w:themeColor="text1" w:themeTint="80"/>
            </w:tcBorders>
            <w:shd w:val="clear" w:color="auto" w:fill="auto"/>
          </w:tcPr>
          <w:p w:rsidR="009A036B" w:rsidRPr="00633ED0" w:rsidRDefault="009A036B" w:rsidP="009A036B">
            <w:pPr>
              <w:rPr>
                <w:rFonts w:eastAsia="Times New Roman" w:cs="Times New Roman"/>
                <w:sz w:val="20"/>
                <w:szCs w:val="24"/>
                <w:lang w:eastAsia="cs-CZ"/>
              </w:rPr>
            </w:pPr>
            <w:r w:rsidRPr="00633ED0">
              <w:rPr>
                <w:rFonts w:eastAsia="Times New Roman" w:cs="Times New Roman"/>
                <w:sz w:val="20"/>
                <w:szCs w:val="24"/>
                <w:lang w:eastAsia="cs-CZ"/>
              </w:rPr>
              <w:t>převod FKSP</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z toho: výdaje na programy spolufinancované         </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 v tom:                        </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OP Zaměstnanost</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               </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OP Doprava 2014-2020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w:t>
            </w:r>
          </w:p>
          <w:p w:rsidR="009A036B" w:rsidRPr="00633ED0" w:rsidRDefault="009A036B" w:rsidP="009A036B">
            <w:pPr>
              <w:tabs>
                <w:tab w:val="left" w:pos="1295"/>
              </w:tabs>
              <w:rPr>
                <w:rFonts w:eastAsia="Times New Roman" w:cs="Times New Roman"/>
                <w:i/>
                <w:sz w:val="20"/>
                <w:szCs w:val="24"/>
                <w:lang w:eastAsia="cs-CZ"/>
              </w:rPr>
            </w:pPr>
            <w:r>
              <w:rPr>
                <w:rFonts w:eastAsia="Times New Roman" w:cs="Times New Roman"/>
                <w:i/>
                <w:sz w:val="20"/>
                <w:szCs w:val="24"/>
                <w:lang w:eastAsia="cs-CZ"/>
              </w:rPr>
              <w:t xml:space="preserve">                      </w:t>
            </w:r>
            <w:r w:rsidRPr="00633ED0">
              <w:rPr>
                <w:rFonts w:eastAsia="Times New Roman" w:cs="Times New Roman"/>
                <w:i/>
                <w:sz w:val="20"/>
                <w:szCs w:val="24"/>
                <w:lang w:eastAsia="cs-CZ"/>
              </w:rPr>
              <w:t>Komunitární programy 2014-2020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(CEF, Horizont 2020)</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z rozpočtu EU</w:t>
            </w:r>
          </w:p>
        </w:tc>
        <w:tc>
          <w:tcPr>
            <w:tcW w:w="739" w:type="pct"/>
            <w:tcBorders>
              <w:bottom w:val="single" w:sz="4" w:space="0" w:color="7F7F7F" w:themeColor="text1" w:themeTint="80"/>
            </w:tcBorders>
            <w:shd w:val="clear" w:color="auto" w:fill="auto"/>
          </w:tcPr>
          <w:p w:rsidR="009A036B" w:rsidRPr="00633ED0" w:rsidRDefault="009A036B" w:rsidP="009A036B">
            <w:pPr>
              <w:jc w:val="right"/>
              <w:rPr>
                <w:rFonts w:eastAsia="Times New Roman" w:cs="Times New Roman"/>
                <w:sz w:val="20"/>
                <w:szCs w:val="24"/>
                <w:lang w:eastAsia="cs-CZ"/>
              </w:rPr>
            </w:pPr>
            <w:r w:rsidRPr="00633ED0">
              <w:rPr>
                <w:rFonts w:eastAsia="Times New Roman" w:cs="Times New Roman"/>
                <w:sz w:val="20"/>
                <w:szCs w:val="24"/>
                <w:lang w:eastAsia="cs-CZ"/>
              </w:rPr>
              <w:t>5 300</w:t>
            </w:r>
          </w:p>
          <w:p w:rsidR="009A036B" w:rsidRPr="00633ED0" w:rsidRDefault="009A036B" w:rsidP="009A036B">
            <w:pPr>
              <w:rPr>
                <w:rFonts w:eastAsia="Times New Roman" w:cs="Times New Roman"/>
                <w:i/>
                <w:color w:val="FF0000"/>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1 174</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x</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x</w:t>
            </w:r>
          </w:p>
          <w:p w:rsidR="009A036B" w:rsidRPr="00633ED0" w:rsidRDefault="009A036B" w:rsidP="009A036B">
            <w:pPr>
              <w:jc w:val="right"/>
              <w:rPr>
                <w:rFonts w:eastAsia="Times New Roman" w:cs="Times New Roman"/>
                <w:sz w:val="20"/>
                <w:szCs w:val="24"/>
                <w:lang w:eastAsia="cs-CZ"/>
              </w:rPr>
            </w:pPr>
            <w:r w:rsidRPr="00633ED0">
              <w:rPr>
                <w:rFonts w:eastAsia="Times New Roman" w:cs="Times New Roman"/>
                <w:i/>
                <w:sz w:val="20"/>
                <w:szCs w:val="24"/>
                <w:lang w:eastAsia="cs-CZ"/>
              </w:rPr>
              <w:t>x</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1 142</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171</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971                 </w:t>
            </w:r>
          </w:p>
          <w:p w:rsidR="009A036B" w:rsidRPr="00633ED0" w:rsidRDefault="009A036B" w:rsidP="009A036B">
            <w:pPr>
              <w:jc w:val="right"/>
              <w:rPr>
                <w:rFonts w:eastAsia="Times New Roman" w:cs="Times New Roman"/>
                <w:i/>
                <w:color w:val="FF0000"/>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32</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w:t>
            </w:r>
          </w:p>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31</w:t>
            </w:r>
            <w:r w:rsidRPr="00633ED0">
              <w:rPr>
                <w:rFonts w:eastAsia="Times New Roman" w:cs="Times New Roman"/>
                <w:i/>
                <w:color w:val="FF0000"/>
                <w:sz w:val="20"/>
                <w:szCs w:val="24"/>
                <w:lang w:eastAsia="cs-CZ"/>
              </w:rPr>
              <w:t xml:space="preserve">  </w:t>
            </w:r>
          </w:p>
        </w:tc>
        <w:tc>
          <w:tcPr>
            <w:tcW w:w="678" w:type="pct"/>
            <w:tcBorders>
              <w:bottom w:val="single" w:sz="4" w:space="0" w:color="7F7F7F" w:themeColor="text1" w:themeTint="80"/>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6 036</w:t>
            </w:r>
          </w:p>
          <w:p w:rsidR="009A036B" w:rsidRPr="00633ED0" w:rsidRDefault="009A036B" w:rsidP="009A036B">
            <w:pPr>
              <w:rPr>
                <w:rFonts w:eastAsia="Times New Roman" w:cs="Times New Roman"/>
                <w:i/>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      1 394</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22</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11</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11</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1 289</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193</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1 096</w:t>
            </w:r>
          </w:p>
          <w:p w:rsidR="009A036B" w:rsidRPr="00633ED0" w:rsidRDefault="009A036B" w:rsidP="009A036B">
            <w:pPr>
              <w:jc w:val="right"/>
              <w:rPr>
                <w:rFonts w:eastAsia="Times New Roman" w:cs="Times New Roman"/>
                <w:i/>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83</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16</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67</w:t>
            </w:r>
          </w:p>
        </w:tc>
        <w:tc>
          <w:tcPr>
            <w:tcW w:w="663" w:type="pct"/>
            <w:tcBorders>
              <w:bottom w:val="single" w:sz="4" w:space="0" w:color="7F7F7F" w:themeColor="text1" w:themeTint="80"/>
            </w:tcBorders>
            <w:shd w:val="clear" w:color="auto" w:fill="auto"/>
          </w:tcPr>
          <w:p w:rsidR="009A036B" w:rsidRPr="00741A0D" w:rsidRDefault="009A036B" w:rsidP="009A036B">
            <w:pPr>
              <w:jc w:val="right"/>
              <w:rPr>
                <w:rFonts w:eastAsia="Times New Roman" w:cs="Times New Roman"/>
                <w:i/>
                <w:sz w:val="20"/>
                <w:szCs w:val="24"/>
                <w:lang w:eastAsia="cs-CZ"/>
              </w:rPr>
            </w:pPr>
            <w:r w:rsidRPr="00741A0D">
              <w:rPr>
                <w:rFonts w:eastAsia="Times New Roman" w:cs="Times New Roman"/>
                <w:i/>
                <w:sz w:val="20"/>
                <w:szCs w:val="24"/>
                <w:lang w:eastAsia="cs-CZ"/>
              </w:rPr>
              <w:t>5 657</w:t>
            </w:r>
          </w:p>
          <w:p w:rsidR="009A036B" w:rsidRPr="00633ED0" w:rsidRDefault="009A036B" w:rsidP="009A036B">
            <w:pPr>
              <w:rPr>
                <w:rFonts w:eastAsia="Times New Roman" w:cs="Times New Roman"/>
                <w:i/>
                <w:color w:val="FF0000"/>
                <w:sz w:val="20"/>
                <w:szCs w:val="24"/>
                <w:lang w:eastAsia="cs-CZ"/>
              </w:rPr>
            </w:pPr>
          </w:p>
          <w:p w:rsidR="009A036B" w:rsidRPr="00617DA1" w:rsidRDefault="009A036B" w:rsidP="009A036B">
            <w:pPr>
              <w:jc w:val="right"/>
              <w:rPr>
                <w:rFonts w:eastAsia="Times New Roman" w:cs="Times New Roman"/>
                <w:i/>
                <w:sz w:val="20"/>
                <w:szCs w:val="24"/>
                <w:lang w:eastAsia="cs-CZ"/>
              </w:rPr>
            </w:pPr>
            <w:r w:rsidRPr="00617DA1">
              <w:rPr>
                <w:rFonts w:eastAsia="Times New Roman" w:cs="Times New Roman"/>
                <w:i/>
                <w:sz w:val="20"/>
                <w:szCs w:val="24"/>
                <w:lang w:eastAsia="cs-CZ"/>
              </w:rPr>
              <w:t xml:space="preserve">      949</w:t>
            </w:r>
          </w:p>
          <w:p w:rsidR="009A036B" w:rsidRPr="00617DA1" w:rsidRDefault="009A036B" w:rsidP="009A036B">
            <w:pPr>
              <w:jc w:val="right"/>
              <w:rPr>
                <w:rFonts w:eastAsia="Times New Roman" w:cs="Times New Roman"/>
                <w:i/>
                <w:sz w:val="20"/>
                <w:szCs w:val="24"/>
                <w:lang w:eastAsia="cs-CZ"/>
              </w:rPr>
            </w:pPr>
            <w:r>
              <w:rPr>
                <w:rFonts w:eastAsia="Times New Roman" w:cs="Times New Roman"/>
                <w:i/>
                <w:sz w:val="20"/>
                <w:szCs w:val="24"/>
                <w:lang w:eastAsia="cs-CZ"/>
              </w:rPr>
              <w:t>12</w:t>
            </w:r>
          </w:p>
          <w:p w:rsidR="009A036B" w:rsidRPr="00CF5FDB" w:rsidRDefault="009A036B" w:rsidP="009A036B">
            <w:pPr>
              <w:jc w:val="right"/>
              <w:rPr>
                <w:rFonts w:eastAsia="Times New Roman" w:cs="Times New Roman"/>
                <w:i/>
                <w:sz w:val="20"/>
                <w:szCs w:val="24"/>
                <w:lang w:eastAsia="cs-CZ"/>
              </w:rPr>
            </w:pPr>
            <w:r w:rsidRPr="00CF5FDB">
              <w:rPr>
                <w:rFonts w:eastAsia="Times New Roman" w:cs="Times New Roman"/>
                <w:i/>
                <w:sz w:val="20"/>
                <w:szCs w:val="24"/>
                <w:lang w:eastAsia="cs-CZ"/>
              </w:rPr>
              <w:t>6</w:t>
            </w:r>
          </w:p>
          <w:p w:rsidR="009A036B" w:rsidRPr="00CF5FDB" w:rsidRDefault="009A036B" w:rsidP="009A036B">
            <w:pPr>
              <w:jc w:val="right"/>
              <w:rPr>
                <w:rFonts w:eastAsia="Times New Roman" w:cs="Times New Roman"/>
                <w:i/>
                <w:sz w:val="20"/>
                <w:szCs w:val="24"/>
                <w:lang w:eastAsia="cs-CZ"/>
              </w:rPr>
            </w:pPr>
            <w:r w:rsidRPr="00CF5FDB">
              <w:rPr>
                <w:rFonts w:eastAsia="Times New Roman" w:cs="Times New Roman"/>
                <w:i/>
                <w:sz w:val="20"/>
                <w:szCs w:val="24"/>
                <w:lang w:eastAsia="cs-CZ"/>
              </w:rPr>
              <w:t>6</w:t>
            </w:r>
          </w:p>
          <w:p w:rsidR="009A036B" w:rsidRPr="00617DA1" w:rsidRDefault="009A036B" w:rsidP="009A036B">
            <w:pPr>
              <w:jc w:val="right"/>
              <w:rPr>
                <w:rFonts w:eastAsia="Times New Roman" w:cs="Times New Roman"/>
                <w:i/>
                <w:sz w:val="20"/>
                <w:szCs w:val="24"/>
                <w:lang w:eastAsia="cs-CZ"/>
              </w:rPr>
            </w:pPr>
            <w:r w:rsidRPr="00617DA1">
              <w:rPr>
                <w:rFonts w:eastAsia="Times New Roman" w:cs="Times New Roman"/>
                <w:i/>
                <w:sz w:val="20"/>
                <w:szCs w:val="24"/>
                <w:lang w:eastAsia="cs-CZ"/>
              </w:rPr>
              <w:t>906</w:t>
            </w:r>
          </w:p>
          <w:p w:rsidR="009A036B" w:rsidRPr="000212D1" w:rsidRDefault="009A036B" w:rsidP="009A036B">
            <w:pPr>
              <w:jc w:val="right"/>
              <w:rPr>
                <w:rFonts w:eastAsia="Times New Roman" w:cs="Times New Roman"/>
                <w:i/>
                <w:sz w:val="20"/>
                <w:szCs w:val="24"/>
                <w:lang w:eastAsia="cs-CZ"/>
              </w:rPr>
            </w:pPr>
            <w:r w:rsidRPr="000212D1">
              <w:rPr>
                <w:rFonts w:eastAsia="Times New Roman" w:cs="Times New Roman"/>
                <w:i/>
                <w:sz w:val="20"/>
                <w:szCs w:val="24"/>
                <w:lang w:eastAsia="cs-CZ"/>
              </w:rPr>
              <w:t>136</w:t>
            </w:r>
          </w:p>
          <w:p w:rsidR="009A036B" w:rsidRPr="000212D1" w:rsidRDefault="009A036B" w:rsidP="009A036B">
            <w:pPr>
              <w:jc w:val="right"/>
              <w:rPr>
                <w:rFonts w:eastAsia="Times New Roman" w:cs="Times New Roman"/>
                <w:i/>
                <w:sz w:val="20"/>
                <w:szCs w:val="24"/>
                <w:lang w:eastAsia="cs-CZ"/>
              </w:rPr>
            </w:pPr>
            <w:r w:rsidRPr="000212D1">
              <w:rPr>
                <w:rFonts w:eastAsia="Times New Roman" w:cs="Times New Roman"/>
                <w:i/>
                <w:sz w:val="20"/>
                <w:szCs w:val="24"/>
                <w:lang w:eastAsia="cs-CZ"/>
              </w:rPr>
              <w:t>769</w:t>
            </w:r>
          </w:p>
          <w:p w:rsidR="009A036B" w:rsidRPr="00633ED0" w:rsidRDefault="009A036B" w:rsidP="009A036B">
            <w:pPr>
              <w:jc w:val="right"/>
              <w:rPr>
                <w:rFonts w:eastAsia="Times New Roman" w:cs="Times New Roman"/>
                <w:i/>
                <w:color w:val="FF0000"/>
                <w:sz w:val="20"/>
                <w:szCs w:val="24"/>
                <w:lang w:eastAsia="cs-CZ"/>
              </w:rPr>
            </w:pPr>
          </w:p>
          <w:p w:rsidR="009A036B" w:rsidRPr="009F2CBD" w:rsidRDefault="009A036B" w:rsidP="009A036B">
            <w:pPr>
              <w:jc w:val="right"/>
              <w:rPr>
                <w:rFonts w:eastAsia="Times New Roman" w:cs="Times New Roman"/>
                <w:i/>
                <w:sz w:val="20"/>
                <w:szCs w:val="24"/>
                <w:lang w:eastAsia="cs-CZ"/>
              </w:rPr>
            </w:pPr>
            <w:r w:rsidRPr="009F2CBD">
              <w:rPr>
                <w:rFonts w:eastAsia="Times New Roman" w:cs="Times New Roman"/>
                <w:i/>
                <w:sz w:val="20"/>
                <w:szCs w:val="24"/>
                <w:lang w:eastAsia="cs-CZ"/>
              </w:rPr>
              <w:t>31</w:t>
            </w:r>
          </w:p>
          <w:p w:rsidR="009A036B" w:rsidRPr="009F2CBD" w:rsidRDefault="009A036B" w:rsidP="009A036B">
            <w:pPr>
              <w:jc w:val="right"/>
              <w:rPr>
                <w:rFonts w:eastAsia="Times New Roman" w:cs="Times New Roman"/>
                <w:i/>
                <w:sz w:val="20"/>
                <w:szCs w:val="24"/>
                <w:lang w:eastAsia="cs-CZ"/>
              </w:rPr>
            </w:pPr>
            <w:r w:rsidRPr="009F2CBD">
              <w:rPr>
                <w:rFonts w:eastAsia="Times New Roman" w:cs="Times New Roman"/>
                <w:i/>
                <w:sz w:val="20"/>
                <w:szCs w:val="24"/>
                <w:lang w:eastAsia="cs-CZ"/>
              </w:rPr>
              <w:t>7</w:t>
            </w:r>
          </w:p>
          <w:p w:rsidR="009A036B" w:rsidRPr="00633ED0" w:rsidRDefault="009A036B" w:rsidP="009A036B">
            <w:pPr>
              <w:jc w:val="right"/>
              <w:rPr>
                <w:rFonts w:eastAsia="Times New Roman" w:cs="Times New Roman"/>
                <w:i/>
                <w:color w:val="FF0000"/>
                <w:sz w:val="20"/>
                <w:szCs w:val="24"/>
                <w:lang w:eastAsia="cs-CZ"/>
              </w:rPr>
            </w:pPr>
            <w:r w:rsidRPr="009F2CBD">
              <w:rPr>
                <w:rFonts w:eastAsia="Times New Roman" w:cs="Times New Roman"/>
                <w:i/>
                <w:sz w:val="20"/>
                <w:szCs w:val="24"/>
                <w:lang w:eastAsia="cs-CZ"/>
              </w:rPr>
              <w:t>24</w:t>
            </w:r>
          </w:p>
        </w:tc>
        <w:tc>
          <w:tcPr>
            <w:tcW w:w="506" w:type="pct"/>
            <w:tcBorders>
              <w:bottom w:val="single" w:sz="4" w:space="0" w:color="7F7F7F" w:themeColor="text1" w:themeTint="80"/>
            </w:tcBorders>
            <w:shd w:val="clear" w:color="auto" w:fill="auto"/>
          </w:tcPr>
          <w:p w:rsidR="009A036B" w:rsidRPr="007D4E53" w:rsidRDefault="009A036B" w:rsidP="009A036B">
            <w:pPr>
              <w:jc w:val="right"/>
              <w:rPr>
                <w:rFonts w:eastAsia="Times New Roman" w:cs="Times New Roman"/>
                <w:i/>
                <w:sz w:val="20"/>
                <w:szCs w:val="24"/>
                <w:lang w:eastAsia="cs-CZ"/>
              </w:rPr>
            </w:pPr>
            <w:r w:rsidRPr="007D4E53">
              <w:rPr>
                <w:rFonts w:eastAsia="Times New Roman" w:cs="Times New Roman"/>
                <w:i/>
                <w:sz w:val="20"/>
                <w:szCs w:val="24"/>
                <w:lang w:eastAsia="cs-CZ"/>
              </w:rPr>
              <w:t>93,72</w:t>
            </w:r>
          </w:p>
          <w:p w:rsidR="009A036B" w:rsidRPr="00633ED0" w:rsidRDefault="009A036B" w:rsidP="009A036B">
            <w:pPr>
              <w:rPr>
                <w:rFonts w:eastAsia="Times New Roman" w:cs="Times New Roman"/>
                <w:i/>
                <w:color w:val="FF0000"/>
                <w:sz w:val="20"/>
                <w:szCs w:val="24"/>
                <w:lang w:eastAsia="cs-CZ"/>
              </w:rPr>
            </w:pPr>
          </w:p>
          <w:p w:rsidR="009A036B" w:rsidRPr="007D4E53" w:rsidRDefault="009A036B" w:rsidP="009A036B">
            <w:pPr>
              <w:jc w:val="right"/>
              <w:rPr>
                <w:rFonts w:eastAsia="Times New Roman" w:cs="Times New Roman"/>
                <w:i/>
                <w:sz w:val="20"/>
                <w:szCs w:val="24"/>
                <w:lang w:eastAsia="cs-CZ"/>
              </w:rPr>
            </w:pPr>
            <w:r w:rsidRPr="007D4E53">
              <w:rPr>
                <w:rFonts w:eastAsia="Times New Roman" w:cs="Times New Roman"/>
                <w:i/>
                <w:sz w:val="20"/>
                <w:szCs w:val="24"/>
                <w:lang w:eastAsia="cs-CZ"/>
              </w:rPr>
              <w:t>68,08</w:t>
            </w:r>
          </w:p>
          <w:p w:rsidR="009A036B" w:rsidRPr="007D4E53" w:rsidRDefault="009A036B" w:rsidP="009A036B">
            <w:pPr>
              <w:jc w:val="right"/>
              <w:rPr>
                <w:rFonts w:eastAsia="Times New Roman" w:cs="Times New Roman"/>
                <w:i/>
                <w:sz w:val="20"/>
                <w:szCs w:val="24"/>
                <w:lang w:eastAsia="cs-CZ"/>
              </w:rPr>
            </w:pPr>
            <w:r w:rsidRPr="007D4E53">
              <w:rPr>
                <w:rFonts w:eastAsia="Times New Roman" w:cs="Times New Roman"/>
                <w:i/>
                <w:sz w:val="20"/>
                <w:szCs w:val="24"/>
                <w:lang w:eastAsia="cs-CZ"/>
              </w:rPr>
              <w:t>54,55</w:t>
            </w:r>
          </w:p>
          <w:p w:rsidR="009A036B" w:rsidRPr="007D4E53" w:rsidRDefault="009A036B" w:rsidP="009A036B">
            <w:pPr>
              <w:jc w:val="right"/>
              <w:rPr>
                <w:rFonts w:eastAsia="Times New Roman" w:cs="Times New Roman"/>
                <w:i/>
                <w:sz w:val="20"/>
                <w:szCs w:val="24"/>
                <w:lang w:eastAsia="cs-CZ"/>
              </w:rPr>
            </w:pPr>
            <w:r w:rsidRPr="007D4E53">
              <w:rPr>
                <w:rFonts w:eastAsia="Times New Roman" w:cs="Times New Roman"/>
                <w:i/>
                <w:sz w:val="20"/>
                <w:szCs w:val="24"/>
                <w:lang w:eastAsia="cs-CZ"/>
              </w:rPr>
              <w:t>54,55</w:t>
            </w:r>
          </w:p>
          <w:p w:rsidR="009A036B" w:rsidRPr="007D4E53" w:rsidRDefault="009A036B" w:rsidP="009A036B">
            <w:pPr>
              <w:jc w:val="right"/>
              <w:rPr>
                <w:rFonts w:eastAsia="Times New Roman" w:cs="Times New Roman"/>
                <w:i/>
                <w:sz w:val="20"/>
                <w:szCs w:val="24"/>
                <w:lang w:eastAsia="cs-CZ"/>
              </w:rPr>
            </w:pPr>
            <w:r w:rsidRPr="007D4E53">
              <w:rPr>
                <w:rFonts w:eastAsia="Times New Roman" w:cs="Times New Roman"/>
                <w:i/>
                <w:sz w:val="20"/>
                <w:szCs w:val="24"/>
                <w:lang w:eastAsia="cs-CZ"/>
              </w:rPr>
              <w:t>54,55</w:t>
            </w:r>
          </w:p>
          <w:p w:rsidR="009A036B" w:rsidRPr="00340F3C" w:rsidRDefault="009A036B" w:rsidP="009A036B">
            <w:pPr>
              <w:jc w:val="right"/>
              <w:rPr>
                <w:rFonts w:eastAsia="Times New Roman" w:cs="Times New Roman"/>
                <w:i/>
                <w:sz w:val="20"/>
                <w:szCs w:val="24"/>
                <w:lang w:eastAsia="cs-CZ"/>
              </w:rPr>
            </w:pPr>
            <w:r w:rsidRPr="00340F3C">
              <w:rPr>
                <w:rFonts w:eastAsia="Times New Roman" w:cs="Times New Roman"/>
                <w:i/>
                <w:sz w:val="20"/>
                <w:szCs w:val="24"/>
                <w:lang w:eastAsia="cs-CZ"/>
              </w:rPr>
              <w:t>70,29</w:t>
            </w:r>
          </w:p>
          <w:p w:rsidR="009A036B" w:rsidRPr="008D3712" w:rsidRDefault="009A036B" w:rsidP="009A036B">
            <w:pPr>
              <w:jc w:val="right"/>
              <w:rPr>
                <w:rFonts w:eastAsia="Times New Roman" w:cs="Times New Roman"/>
                <w:i/>
                <w:sz w:val="20"/>
                <w:szCs w:val="24"/>
                <w:lang w:eastAsia="cs-CZ"/>
              </w:rPr>
            </w:pPr>
            <w:r w:rsidRPr="008D3712">
              <w:rPr>
                <w:rFonts w:eastAsia="Times New Roman" w:cs="Times New Roman"/>
                <w:i/>
                <w:sz w:val="20"/>
                <w:szCs w:val="24"/>
                <w:lang w:eastAsia="cs-CZ"/>
              </w:rPr>
              <w:t>70,47</w:t>
            </w:r>
          </w:p>
          <w:p w:rsidR="009A036B" w:rsidRPr="008D3712" w:rsidRDefault="009A036B" w:rsidP="009A036B">
            <w:pPr>
              <w:jc w:val="right"/>
              <w:rPr>
                <w:rFonts w:eastAsia="Times New Roman" w:cs="Times New Roman"/>
                <w:i/>
                <w:sz w:val="20"/>
                <w:szCs w:val="24"/>
                <w:lang w:eastAsia="cs-CZ"/>
              </w:rPr>
            </w:pPr>
            <w:r w:rsidRPr="008D3712">
              <w:rPr>
                <w:rFonts w:eastAsia="Times New Roman" w:cs="Times New Roman"/>
                <w:i/>
                <w:sz w:val="20"/>
                <w:szCs w:val="24"/>
                <w:lang w:eastAsia="cs-CZ"/>
              </w:rPr>
              <w:t>70,16</w:t>
            </w:r>
          </w:p>
          <w:p w:rsidR="009A036B" w:rsidRPr="00633ED0" w:rsidRDefault="009A036B" w:rsidP="009A036B">
            <w:pPr>
              <w:jc w:val="right"/>
              <w:rPr>
                <w:rFonts w:eastAsia="Times New Roman" w:cs="Times New Roman"/>
                <w:i/>
                <w:color w:val="FF0000"/>
                <w:sz w:val="20"/>
                <w:szCs w:val="24"/>
                <w:lang w:eastAsia="cs-CZ"/>
              </w:rPr>
            </w:pPr>
          </w:p>
          <w:p w:rsidR="009A036B" w:rsidRPr="008D3712" w:rsidRDefault="009A036B" w:rsidP="009A036B">
            <w:pPr>
              <w:jc w:val="center"/>
              <w:rPr>
                <w:rFonts w:eastAsia="Times New Roman" w:cs="Times New Roman"/>
                <w:i/>
                <w:sz w:val="20"/>
                <w:szCs w:val="24"/>
                <w:lang w:eastAsia="cs-CZ"/>
              </w:rPr>
            </w:pPr>
            <w:r w:rsidRPr="008D3712">
              <w:rPr>
                <w:rFonts w:eastAsia="Times New Roman" w:cs="Times New Roman"/>
                <w:i/>
                <w:sz w:val="20"/>
                <w:szCs w:val="24"/>
                <w:lang w:eastAsia="cs-CZ"/>
              </w:rPr>
              <w:t xml:space="preserve">    37,35</w:t>
            </w:r>
          </w:p>
          <w:p w:rsidR="009A036B" w:rsidRPr="008D3712" w:rsidRDefault="009A036B" w:rsidP="009A036B">
            <w:pPr>
              <w:jc w:val="right"/>
              <w:rPr>
                <w:rFonts w:eastAsia="Times New Roman" w:cs="Times New Roman"/>
                <w:i/>
                <w:sz w:val="20"/>
                <w:szCs w:val="24"/>
                <w:lang w:eastAsia="cs-CZ"/>
              </w:rPr>
            </w:pPr>
            <w:r w:rsidRPr="008D3712">
              <w:rPr>
                <w:rFonts w:eastAsia="Times New Roman" w:cs="Times New Roman"/>
                <w:i/>
                <w:sz w:val="20"/>
                <w:szCs w:val="24"/>
                <w:lang w:eastAsia="cs-CZ"/>
              </w:rPr>
              <w:t>43,75</w:t>
            </w:r>
          </w:p>
          <w:p w:rsidR="009A036B" w:rsidRPr="00633ED0" w:rsidRDefault="009A036B" w:rsidP="009A036B">
            <w:pPr>
              <w:jc w:val="right"/>
              <w:rPr>
                <w:rFonts w:eastAsia="Times New Roman" w:cs="Times New Roman"/>
                <w:i/>
                <w:color w:val="FF0000"/>
                <w:sz w:val="20"/>
                <w:szCs w:val="24"/>
                <w:lang w:eastAsia="cs-CZ"/>
              </w:rPr>
            </w:pPr>
            <w:r w:rsidRPr="008D3712">
              <w:rPr>
                <w:rFonts w:eastAsia="Times New Roman" w:cs="Times New Roman"/>
                <w:i/>
                <w:sz w:val="20"/>
                <w:szCs w:val="24"/>
                <w:lang w:eastAsia="cs-CZ"/>
              </w:rPr>
              <w:t>35,82</w:t>
            </w:r>
          </w:p>
        </w:tc>
      </w:tr>
      <w:tr w:rsidR="009A036B" w:rsidRPr="00633ED0" w:rsidTr="009A036B">
        <w:trPr>
          <w:trHeight w:val="243"/>
        </w:trPr>
        <w:tc>
          <w:tcPr>
            <w:tcW w:w="2414" w:type="pct"/>
            <w:tcBorders>
              <w:top w:val="single" w:sz="4" w:space="0" w:color="7F7F7F" w:themeColor="text1" w:themeTint="80"/>
              <w:bottom w:val="nil"/>
            </w:tcBorders>
            <w:shd w:val="clear" w:color="auto" w:fill="auto"/>
          </w:tcPr>
          <w:p w:rsidR="009A036B" w:rsidRPr="00633ED0" w:rsidRDefault="009A036B" w:rsidP="009A036B">
            <w:pPr>
              <w:rPr>
                <w:rFonts w:eastAsia="Times New Roman" w:cs="Times New Roman"/>
                <w:sz w:val="20"/>
                <w:szCs w:val="24"/>
                <w:lang w:eastAsia="cs-CZ"/>
              </w:rPr>
            </w:pPr>
            <w:r w:rsidRPr="00633ED0">
              <w:rPr>
                <w:rFonts w:eastAsia="Times New Roman" w:cs="Times New Roman"/>
                <w:sz w:val="20"/>
                <w:szCs w:val="24"/>
                <w:lang w:eastAsia="cs-CZ"/>
              </w:rPr>
              <w:t>ostatní neinvestiční výdaje (bez položky 5193)</w:t>
            </w:r>
          </w:p>
        </w:tc>
        <w:tc>
          <w:tcPr>
            <w:tcW w:w="739" w:type="pct"/>
            <w:tcBorders>
              <w:top w:val="single" w:sz="4" w:space="0" w:color="7F7F7F" w:themeColor="text1" w:themeTint="80"/>
              <w:bottom w:val="nil"/>
            </w:tcBorders>
            <w:shd w:val="clear" w:color="auto" w:fill="auto"/>
          </w:tcPr>
          <w:p w:rsidR="009A036B" w:rsidRPr="00633ED0" w:rsidRDefault="009A036B" w:rsidP="009A036B">
            <w:pPr>
              <w:jc w:val="right"/>
              <w:rPr>
                <w:rFonts w:eastAsia="Times New Roman" w:cs="Times New Roman"/>
                <w:color w:val="FF0000"/>
                <w:sz w:val="20"/>
                <w:szCs w:val="24"/>
                <w:lang w:eastAsia="cs-CZ"/>
              </w:rPr>
            </w:pPr>
            <w:r w:rsidRPr="00633ED0">
              <w:rPr>
                <w:rFonts w:eastAsia="Times New Roman" w:cs="Times New Roman"/>
                <w:sz w:val="20"/>
                <w:szCs w:val="24"/>
                <w:lang w:eastAsia="cs-CZ"/>
              </w:rPr>
              <w:t>1 729 703</w:t>
            </w:r>
          </w:p>
        </w:tc>
        <w:tc>
          <w:tcPr>
            <w:tcW w:w="678" w:type="pct"/>
            <w:tcBorders>
              <w:top w:val="single" w:sz="4" w:space="0" w:color="7F7F7F" w:themeColor="text1" w:themeTint="80"/>
              <w:bottom w:val="nil"/>
            </w:tcBorders>
            <w:shd w:val="clear" w:color="auto" w:fill="auto"/>
          </w:tcPr>
          <w:p w:rsidR="009A036B" w:rsidRPr="00633ED0" w:rsidRDefault="009A036B" w:rsidP="009A036B">
            <w:pPr>
              <w:jc w:val="right"/>
              <w:rPr>
                <w:rFonts w:eastAsia="Times New Roman" w:cs="Times New Roman"/>
                <w:sz w:val="20"/>
                <w:szCs w:val="24"/>
                <w:lang w:eastAsia="cs-CZ"/>
              </w:rPr>
            </w:pPr>
            <w:r w:rsidRPr="00633ED0">
              <w:rPr>
                <w:rFonts w:eastAsia="Times New Roman" w:cs="Times New Roman"/>
                <w:sz w:val="20"/>
                <w:szCs w:val="24"/>
                <w:lang w:eastAsia="cs-CZ"/>
              </w:rPr>
              <w:t xml:space="preserve">1 871 917 </w:t>
            </w:r>
          </w:p>
        </w:tc>
        <w:tc>
          <w:tcPr>
            <w:tcW w:w="663" w:type="pct"/>
            <w:tcBorders>
              <w:top w:val="single" w:sz="4" w:space="0" w:color="7F7F7F" w:themeColor="text1" w:themeTint="80"/>
              <w:bottom w:val="nil"/>
            </w:tcBorders>
            <w:shd w:val="clear" w:color="auto" w:fill="auto"/>
          </w:tcPr>
          <w:p w:rsidR="009A036B" w:rsidRPr="00633ED0" w:rsidRDefault="009A036B" w:rsidP="009A036B">
            <w:pPr>
              <w:jc w:val="right"/>
              <w:rPr>
                <w:rFonts w:eastAsia="Times New Roman" w:cs="Times New Roman"/>
                <w:color w:val="FF0000"/>
                <w:sz w:val="20"/>
                <w:szCs w:val="24"/>
                <w:lang w:eastAsia="cs-CZ"/>
              </w:rPr>
            </w:pPr>
            <w:r w:rsidRPr="001F5DDF">
              <w:rPr>
                <w:rFonts w:eastAsia="Times New Roman" w:cs="Times New Roman"/>
                <w:sz w:val="20"/>
                <w:szCs w:val="24"/>
                <w:lang w:eastAsia="cs-CZ"/>
              </w:rPr>
              <w:t xml:space="preserve">6 774 065 </w:t>
            </w:r>
          </w:p>
        </w:tc>
        <w:tc>
          <w:tcPr>
            <w:tcW w:w="506" w:type="pct"/>
            <w:tcBorders>
              <w:top w:val="single" w:sz="4" w:space="0" w:color="7F7F7F" w:themeColor="text1" w:themeTint="80"/>
              <w:bottom w:val="nil"/>
            </w:tcBorders>
            <w:shd w:val="clear" w:color="auto" w:fill="auto"/>
          </w:tcPr>
          <w:p w:rsidR="009A036B" w:rsidRPr="00633ED0" w:rsidRDefault="009A036B" w:rsidP="009A036B">
            <w:pPr>
              <w:jc w:val="right"/>
              <w:rPr>
                <w:rFonts w:eastAsia="Times New Roman" w:cs="Times New Roman"/>
                <w:color w:val="FF0000"/>
                <w:sz w:val="20"/>
                <w:szCs w:val="24"/>
                <w:lang w:eastAsia="cs-CZ"/>
              </w:rPr>
            </w:pPr>
            <w:r w:rsidRPr="007D7B0B">
              <w:rPr>
                <w:rFonts w:eastAsia="Times New Roman" w:cs="Times New Roman"/>
                <w:sz w:val="20"/>
                <w:szCs w:val="24"/>
                <w:lang w:eastAsia="cs-CZ"/>
              </w:rPr>
              <w:t xml:space="preserve"> 361,88</w:t>
            </w:r>
          </w:p>
        </w:tc>
      </w:tr>
      <w:tr w:rsidR="009A036B" w:rsidRPr="00633ED0" w:rsidTr="009A036B">
        <w:trPr>
          <w:trHeight w:val="228"/>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Pr>
                <w:rFonts w:eastAsia="Times New Roman" w:cs="Times New Roman"/>
                <w:i/>
                <w:sz w:val="20"/>
                <w:szCs w:val="24"/>
                <w:lang w:eastAsia="cs-CZ"/>
              </w:rPr>
              <w:t xml:space="preserve">z toho: </w:t>
            </w:r>
            <w:r w:rsidRPr="00633ED0">
              <w:rPr>
                <w:rFonts w:eastAsia="Times New Roman" w:cs="Times New Roman"/>
                <w:i/>
                <w:sz w:val="20"/>
                <w:szCs w:val="24"/>
                <w:lang w:eastAsia="cs-CZ"/>
              </w:rPr>
              <w:t>dopravně správní agendy (nákup materiálu)</w:t>
            </w:r>
          </w:p>
          <w:p w:rsidR="009A036B" w:rsidRPr="00633ED0" w:rsidRDefault="009A036B" w:rsidP="009A036B">
            <w:pPr>
              <w:rPr>
                <w:rFonts w:eastAsia="Times New Roman" w:cs="Times New Roman"/>
                <w:i/>
                <w:sz w:val="20"/>
                <w:szCs w:val="24"/>
                <w:lang w:eastAsia="cs-CZ"/>
              </w:rPr>
            </w:pPr>
            <w:r>
              <w:rPr>
                <w:rFonts w:eastAsia="Times New Roman" w:cs="Times New Roman"/>
                <w:i/>
                <w:sz w:val="20"/>
                <w:szCs w:val="24"/>
                <w:lang w:eastAsia="cs-CZ"/>
              </w:rPr>
              <w:t xml:space="preserve">           </w:t>
            </w:r>
            <w:r w:rsidRPr="00633ED0">
              <w:rPr>
                <w:rFonts w:eastAsia="Times New Roman" w:cs="Times New Roman"/>
                <w:i/>
                <w:sz w:val="20"/>
                <w:szCs w:val="24"/>
                <w:lang w:eastAsia="cs-CZ"/>
              </w:rPr>
              <w:t xml:space="preserve"> kompenzace slev jízdného </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213 734</w:t>
            </w:r>
          </w:p>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240 896</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250 000</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260 000</w:t>
            </w:r>
          </w:p>
        </w:tc>
        <w:tc>
          <w:tcPr>
            <w:tcW w:w="663"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280 000</w:t>
            </w:r>
          </w:p>
          <w:p w:rsidR="009A036B" w:rsidRPr="00633ED0" w:rsidRDefault="009A036B" w:rsidP="009A036B">
            <w:pPr>
              <w:jc w:val="right"/>
              <w:rPr>
                <w:rFonts w:eastAsia="Times New Roman" w:cs="Times New Roman"/>
                <w:i/>
                <w:color w:val="FF0000"/>
                <w:sz w:val="20"/>
                <w:szCs w:val="24"/>
                <w:lang w:eastAsia="cs-CZ"/>
              </w:rPr>
            </w:pPr>
            <w:r w:rsidRPr="00CF45EF">
              <w:rPr>
                <w:rFonts w:eastAsia="Times New Roman" w:cs="Times New Roman"/>
                <w:i/>
                <w:sz w:val="20"/>
                <w:szCs w:val="24"/>
                <w:lang w:eastAsia="cs-CZ"/>
              </w:rPr>
              <w:t>6 000 000</w:t>
            </w:r>
          </w:p>
        </w:tc>
        <w:tc>
          <w:tcPr>
            <w:tcW w:w="506" w:type="pct"/>
            <w:tcBorders>
              <w:top w:val="nil"/>
              <w:bottom w:val="nil"/>
            </w:tcBorders>
            <w:shd w:val="clear" w:color="auto" w:fill="auto"/>
          </w:tcPr>
          <w:p w:rsidR="009A036B" w:rsidRPr="006C02AB" w:rsidRDefault="009A036B" w:rsidP="009A036B">
            <w:pPr>
              <w:jc w:val="right"/>
              <w:rPr>
                <w:rFonts w:eastAsia="Times New Roman" w:cs="Times New Roman"/>
                <w:i/>
                <w:sz w:val="20"/>
                <w:szCs w:val="24"/>
                <w:lang w:eastAsia="cs-CZ"/>
              </w:rPr>
            </w:pPr>
            <w:r>
              <w:rPr>
                <w:rFonts w:eastAsia="Times New Roman" w:cs="Times New Roman"/>
                <w:i/>
                <w:sz w:val="20"/>
                <w:szCs w:val="24"/>
                <w:lang w:eastAsia="cs-CZ"/>
              </w:rPr>
              <w:t xml:space="preserve">112,00 </w:t>
            </w:r>
            <w:r w:rsidRPr="006C02AB">
              <w:rPr>
                <w:rFonts w:eastAsia="Times New Roman" w:cs="Times New Roman"/>
                <w:i/>
                <w:sz w:val="20"/>
                <w:szCs w:val="24"/>
                <w:lang w:eastAsia="cs-CZ"/>
              </w:rPr>
              <w:t>2307,69</w:t>
            </w:r>
          </w:p>
        </w:tc>
      </w:tr>
      <w:tr w:rsidR="009A036B" w:rsidRPr="00633ED0" w:rsidTr="009A036B">
        <w:trPr>
          <w:trHeight w:val="228"/>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Pr>
                <w:rFonts w:eastAsia="Times New Roman" w:cs="Times New Roman"/>
                <w:i/>
                <w:sz w:val="20"/>
                <w:szCs w:val="24"/>
                <w:lang w:eastAsia="cs-CZ"/>
              </w:rPr>
              <w:t xml:space="preserve">           </w:t>
            </w:r>
            <w:r w:rsidRPr="00633ED0">
              <w:rPr>
                <w:rFonts w:eastAsia="Times New Roman" w:cs="Times New Roman"/>
                <w:i/>
                <w:sz w:val="20"/>
                <w:szCs w:val="24"/>
                <w:lang w:eastAsia="cs-CZ"/>
              </w:rPr>
              <w:t xml:space="preserve"> programové financování (EDS/SMVS)</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74 345</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color w:val="00B050"/>
                <w:sz w:val="20"/>
                <w:szCs w:val="24"/>
                <w:lang w:eastAsia="cs-CZ"/>
              </w:rPr>
            </w:pPr>
            <w:r w:rsidRPr="00633ED0">
              <w:rPr>
                <w:rFonts w:eastAsia="Times New Roman" w:cs="Times New Roman"/>
                <w:i/>
                <w:sz w:val="20"/>
                <w:szCs w:val="24"/>
                <w:lang w:eastAsia="cs-CZ"/>
              </w:rPr>
              <w:t>108 363</w:t>
            </w:r>
          </w:p>
        </w:tc>
        <w:tc>
          <w:tcPr>
            <w:tcW w:w="663"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74 026</w:t>
            </w:r>
          </w:p>
        </w:tc>
        <w:tc>
          <w:tcPr>
            <w:tcW w:w="506"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6C02AB">
              <w:rPr>
                <w:rFonts w:eastAsia="Times New Roman" w:cs="Times New Roman"/>
                <w:i/>
                <w:sz w:val="20"/>
                <w:szCs w:val="24"/>
                <w:lang w:eastAsia="cs-CZ"/>
              </w:rPr>
              <w:t>68,31</w:t>
            </w: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Pr>
                <w:rFonts w:eastAsia="Times New Roman" w:cs="Times New Roman"/>
                <w:i/>
                <w:sz w:val="20"/>
                <w:szCs w:val="24"/>
                <w:lang w:eastAsia="cs-CZ"/>
              </w:rPr>
              <w:lastRenderedPageBreak/>
              <w:t xml:space="preserve">           </w:t>
            </w:r>
            <w:r w:rsidRPr="00633ED0">
              <w:rPr>
                <w:rFonts w:eastAsia="Times New Roman" w:cs="Times New Roman"/>
                <w:i/>
                <w:sz w:val="20"/>
                <w:szCs w:val="24"/>
                <w:lang w:eastAsia="cs-CZ"/>
              </w:rPr>
              <w:t xml:space="preserve"> výdaje na programy spolufinancované  </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color w:val="00B050"/>
                <w:sz w:val="20"/>
                <w:szCs w:val="24"/>
                <w:lang w:eastAsia="cs-CZ"/>
              </w:rPr>
            </w:pPr>
          </w:p>
        </w:tc>
        <w:tc>
          <w:tcPr>
            <w:tcW w:w="663"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p>
        </w:tc>
        <w:tc>
          <w:tcPr>
            <w:tcW w:w="506"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Pr>
                <w:rFonts w:eastAsia="Times New Roman" w:cs="Times New Roman"/>
                <w:i/>
                <w:sz w:val="20"/>
                <w:szCs w:val="24"/>
                <w:lang w:eastAsia="cs-CZ"/>
              </w:rPr>
              <w:t xml:space="preserve">           </w:t>
            </w:r>
            <w:r w:rsidRPr="00633ED0">
              <w:rPr>
                <w:rFonts w:eastAsia="Times New Roman" w:cs="Times New Roman"/>
                <w:i/>
                <w:sz w:val="20"/>
                <w:szCs w:val="24"/>
                <w:lang w:eastAsia="cs-CZ"/>
              </w:rPr>
              <w:t xml:space="preserve"> z rozpočtu EU v tom:</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9 787</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color w:val="00B050"/>
                <w:sz w:val="20"/>
                <w:szCs w:val="24"/>
                <w:lang w:eastAsia="cs-CZ"/>
              </w:rPr>
            </w:pPr>
            <w:r w:rsidRPr="00633ED0">
              <w:rPr>
                <w:rFonts w:eastAsia="Times New Roman" w:cs="Times New Roman"/>
                <w:i/>
                <w:color w:val="00B050"/>
                <w:sz w:val="20"/>
                <w:szCs w:val="24"/>
                <w:lang w:eastAsia="cs-CZ"/>
              </w:rPr>
              <w:t xml:space="preserve"> </w:t>
            </w:r>
            <w:r w:rsidRPr="00633ED0">
              <w:rPr>
                <w:rFonts w:eastAsia="Times New Roman" w:cs="Times New Roman"/>
                <w:i/>
                <w:sz w:val="20"/>
                <w:szCs w:val="24"/>
                <w:lang w:eastAsia="cs-CZ"/>
              </w:rPr>
              <w:t>5 616</w:t>
            </w:r>
          </w:p>
        </w:tc>
        <w:tc>
          <w:tcPr>
            <w:tcW w:w="663"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704B46">
              <w:rPr>
                <w:rFonts w:eastAsia="Times New Roman" w:cs="Times New Roman"/>
                <w:i/>
                <w:sz w:val="20"/>
                <w:szCs w:val="24"/>
                <w:lang w:eastAsia="cs-CZ"/>
              </w:rPr>
              <w:t xml:space="preserve"> 7 009</w:t>
            </w:r>
          </w:p>
        </w:tc>
        <w:tc>
          <w:tcPr>
            <w:tcW w:w="506" w:type="pct"/>
            <w:tcBorders>
              <w:top w:val="nil"/>
              <w:bottom w:val="nil"/>
            </w:tcBorders>
            <w:shd w:val="clear" w:color="auto" w:fill="auto"/>
          </w:tcPr>
          <w:p w:rsidR="009A036B" w:rsidRPr="00980C00" w:rsidRDefault="009A036B" w:rsidP="009A036B">
            <w:pPr>
              <w:jc w:val="right"/>
              <w:rPr>
                <w:rFonts w:eastAsia="Times New Roman" w:cs="Times New Roman"/>
                <w:i/>
                <w:sz w:val="20"/>
                <w:szCs w:val="24"/>
                <w:lang w:eastAsia="cs-CZ"/>
              </w:rPr>
            </w:pPr>
            <w:r w:rsidRPr="00980C00">
              <w:rPr>
                <w:rFonts w:eastAsia="Times New Roman" w:cs="Times New Roman"/>
                <w:i/>
                <w:sz w:val="20"/>
                <w:szCs w:val="24"/>
                <w:lang w:eastAsia="cs-CZ"/>
              </w:rPr>
              <w:t xml:space="preserve">124,80 </w:t>
            </w: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OP Zaměstnanost</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x</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900</w:t>
            </w:r>
          </w:p>
        </w:tc>
        <w:tc>
          <w:tcPr>
            <w:tcW w:w="663" w:type="pct"/>
            <w:tcBorders>
              <w:top w:val="nil"/>
              <w:bottom w:val="nil"/>
            </w:tcBorders>
            <w:shd w:val="clear" w:color="auto" w:fill="auto"/>
          </w:tcPr>
          <w:p w:rsidR="009A036B" w:rsidRPr="00152AD4" w:rsidRDefault="009A036B" w:rsidP="009A036B">
            <w:pPr>
              <w:jc w:val="right"/>
              <w:rPr>
                <w:rFonts w:eastAsia="Times New Roman" w:cs="Times New Roman"/>
                <w:i/>
                <w:sz w:val="20"/>
                <w:szCs w:val="24"/>
                <w:lang w:eastAsia="cs-CZ"/>
              </w:rPr>
            </w:pPr>
            <w:r w:rsidRPr="00152AD4">
              <w:rPr>
                <w:rFonts w:eastAsia="Times New Roman" w:cs="Times New Roman"/>
                <w:i/>
                <w:sz w:val="20"/>
                <w:szCs w:val="24"/>
                <w:lang w:eastAsia="cs-CZ"/>
              </w:rPr>
              <w:t>50</w:t>
            </w:r>
          </w:p>
        </w:tc>
        <w:tc>
          <w:tcPr>
            <w:tcW w:w="506" w:type="pct"/>
            <w:tcBorders>
              <w:top w:val="nil"/>
              <w:bottom w:val="nil"/>
            </w:tcBorders>
            <w:shd w:val="clear" w:color="auto" w:fill="auto"/>
          </w:tcPr>
          <w:p w:rsidR="009A036B" w:rsidRPr="00980C00" w:rsidRDefault="009A036B" w:rsidP="009A036B">
            <w:pPr>
              <w:jc w:val="right"/>
              <w:rPr>
                <w:rFonts w:eastAsia="Times New Roman" w:cs="Times New Roman"/>
                <w:i/>
                <w:sz w:val="20"/>
                <w:szCs w:val="24"/>
                <w:lang w:eastAsia="cs-CZ"/>
              </w:rPr>
            </w:pPr>
            <w:r w:rsidRPr="00980C00">
              <w:rPr>
                <w:rFonts w:eastAsia="Times New Roman" w:cs="Times New Roman"/>
                <w:i/>
                <w:sz w:val="20"/>
                <w:szCs w:val="24"/>
                <w:lang w:eastAsia="cs-CZ"/>
              </w:rPr>
              <w:t>5,56</w:t>
            </w: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x</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450</w:t>
            </w:r>
          </w:p>
        </w:tc>
        <w:tc>
          <w:tcPr>
            <w:tcW w:w="663" w:type="pct"/>
            <w:tcBorders>
              <w:top w:val="nil"/>
              <w:bottom w:val="nil"/>
            </w:tcBorders>
            <w:shd w:val="clear" w:color="auto" w:fill="auto"/>
          </w:tcPr>
          <w:p w:rsidR="009A036B" w:rsidRPr="00152AD4" w:rsidRDefault="009A036B" w:rsidP="009A036B">
            <w:pPr>
              <w:jc w:val="right"/>
              <w:rPr>
                <w:rFonts w:eastAsia="Times New Roman" w:cs="Times New Roman"/>
                <w:i/>
                <w:sz w:val="20"/>
                <w:szCs w:val="24"/>
                <w:lang w:eastAsia="cs-CZ"/>
              </w:rPr>
            </w:pPr>
            <w:r w:rsidRPr="00152AD4">
              <w:rPr>
                <w:rFonts w:eastAsia="Times New Roman" w:cs="Times New Roman"/>
                <w:i/>
                <w:sz w:val="20"/>
                <w:szCs w:val="24"/>
                <w:lang w:eastAsia="cs-CZ"/>
              </w:rPr>
              <w:t>25</w:t>
            </w:r>
          </w:p>
        </w:tc>
        <w:tc>
          <w:tcPr>
            <w:tcW w:w="506" w:type="pct"/>
            <w:tcBorders>
              <w:top w:val="nil"/>
              <w:bottom w:val="nil"/>
            </w:tcBorders>
            <w:shd w:val="clear" w:color="auto" w:fill="auto"/>
          </w:tcPr>
          <w:p w:rsidR="009A036B" w:rsidRPr="00980C00" w:rsidRDefault="009A036B" w:rsidP="009A036B">
            <w:pPr>
              <w:jc w:val="right"/>
              <w:rPr>
                <w:rFonts w:eastAsia="Times New Roman" w:cs="Times New Roman"/>
                <w:i/>
                <w:sz w:val="20"/>
                <w:szCs w:val="24"/>
                <w:lang w:eastAsia="cs-CZ"/>
              </w:rPr>
            </w:pPr>
            <w:r w:rsidRPr="00980C00">
              <w:rPr>
                <w:rFonts w:eastAsia="Times New Roman" w:cs="Times New Roman"/>
                <w:i/>
                <w:sz w:val="20"/>
                <w:szCs w:val="24"/>
                <w:lang w:eastAsia="cs-CZ"/>
              </w:rPr>
              <w:t>5,56</w:t>
            </w: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tabs>
                <w:tab w:val="left" w:pos="1295"/>
              </w:tabs>
              <w:rPr>
                <w:rFonts w:eastAsia="Times New Roman" w:cs="Times New Roman"/>
                <w:i/>
                <w:sz w:val="20"/>
                <w:szCs w:val="24"/>
                <w:lang w:eastAsia="cs-CZ"/>
              </w:rPr>
            </w:pPr>
            <w:r w:rsidRPr="00633ED0">
              <w:rPr>
                <w:rFonts w:eastAsia="Times New Roman" w:cs="Times New Roman"/>
                <w:i/>
                <w:sz w:val="20"/>
                <w:szCs w:val="24"/>
                <w:lang w:eastAsia="cs-CZ"/>
              </w:rPr>
              <w:t xml:space="preserve">                                                       z rozpočtu EU</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x</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450</w:t>
            </w:r>
          </w:p>
        </w:tc>
        <w:tc>
          <w:tcPr>
            <w:tcW w:w="663" w:type="pct"/>
            <w:tcBorders>
              <w:top w:val="nil"/>
              <w:bottom w:val="nil"/>
            </w:tcBorders>
            <w:shd w:val="clear" w:color="auto" w:fill="auto"/>
          </w:tcPr>
          <w:p w:rsidR="009A036B" w:rsidRPr="00152AD4" w:rsidRDefault="009A036B" w:rsidP="009A036B">
            <w:pPr>
              <w:jc w:val="right"/>
              <w:rPr>
                <w:rFonts w:eastAsia="Times New Roman" w:cs="Times New Roman"/>
                <w:i/>
                <w:sz w:val="20"/>
                <w:szCs w:val="24"/>
                <w:lang w:eastAsia="cs-CZ"/>
              </w:rPr>
            </w:pPr>
            <w:r w:rsidRPr="00152AD4">
              <w:rPr>
                <w:rFonts w:eastAsia="Times New Roman" w:cs="Times New Roman"/>
                <w:i/>
                <w:sz w:val="20"/>
                <w:szCs w:val="24"/>
                <w:lang w:eastAsia="cs-CZ"/>
              </w:rPr>
              <w:t>25</w:t>
            </w:r>
          </w:p>
        </w:tc>
        <w:tc>
          <w:tcPr>
            <w:tcW w:w="506" w:type="pct"/>
            <w:tcBorders>
              <w:top w:val="nil"/>
              <w:bottom w:val="nil"/>
            </w:tcBorders>
            <w:shd w:val="clear" w:color="auto" w:fill="auto"/>
          </w:tcPr>
          <w:p w:rsidR="009A036B" w:rsidRPr="00980C00" w:rsidRDefault="009A036B" w:rsidP="009A036B">
            <w:pPr>
              <w:jc w:val="right"/>
              <w:rPr>
                <w:rFonts w:eastAsia="Times New Roman" w:cs="Times New Roman"/>
                <w:i/>
                <w:sz w:val="20"/>
                <w:szCs w:val="24"/>
                <w:lang w:eastAsia="cs-CZ"/>
              </w:rPr>
            </w:pPr>
            <w:r w:rsidRPr="00980C00">
              <w:rPr>
                <w:rFonts w:eastAsia="Times New Roman" w:cs="Times New Roman"/>
                <w:i/>
                <w:sz w:val="20"/>
                <w:szCs w:val="24"/>
                <w:lang w:eastAsia="cs-CZ"/>
              </w:rPr>
              <w:t>5,56</w:t>
            </w: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OP Doprava 2014-2020</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8 194</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color w:val="00B050"/>
                <w:sz w:val="20"/>
                <w:szCs w:val="24"/>
                <w:lang w:eastAsia="cs-CZ"/>
              </w:rPr>
            </w:pPr>
            <w:r w:rsidRPr="00633ED0">
              <w:rPr>
                <w:rFonts w:eastAsia="Times New Roman" w:cs="Times New Roman"/>
                <w:i/>
                <w:sz w:val="20"/>
                <w:szCs w:val="24"/>
                <w:lang w:eastAsia="cs-CZ"/>
              </w:rPr>
              <w:t xml:space="preserve">     1 425</w:t>
            </w:r>
          </w:p>
        </w:tc>
        <w:tc>
          <w:tcPr>
            <w:tcW w:w="663"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7C62E1">
              <w:rPr>
                <w:rFonts w:eastAsia="Times New Roman" w:cs="Times New Roman"/>
                <w:i/>
                <w:sz w:val="20"/>
                <w:szCs w:val="24"/>
                <w:lang w:eastAsia="cs-CZ"/>
              </w:rPr>
              <w:t xml:space="preserve">     1 654</w:t>
            </w:r>
          </w:p>
        </w:tc>
        <w:tc>
          <w:tcPr>
            <w:tcW w:w="506" w:type="pct"/>
            <w:tcBorders>
              <w:top w:val="nil"/>
              <w:bottom w:val="nil"/>
            </w:tcBorders>
            <w:shd w:val="clear" w:color="auto" w:fill="auto"/>
          </w:tcPr>
          <w:p w:rsidR="009A036B" w:rsidRPr="0028567C" w:rsidRDefault="009A036B" w:rsidP="009A036B">
            <w:pPr>
              <w:jc w:val="right"/>
              <w:rPr>
                <w:rFonts w:eastAsia="Times New Roman" w:cs="Times New Roman"/>
                <w:i/>
                <w:sz w:val="20"/>
                <w:szCs w:val="24"/>
                <w:lang w:eastAsia="cs-CZ"/>
              </w:rPr>
            </w:pPr>
            <w:r w:rsidRPr="0028567C">
              <w:rPr>
                <w:rFonts w:eastAsia="Times New Roman" w:cs="Times New Roman"/>
                <w:i/>
                <w:sz w:val="20"/>
                <w:szCs w:val="24"/>
                <w:lang w:eastAsia="cs-CZ"/>
              </w:rPr>
              <w:t>116,07</w:t>
            </w: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rPr>
                <w:rFonts w:eastAsia="Times New Roman" w:cs="Times New Roman"/>
                <w:i/>
                <w:sz w:val="20"/>
                <w:szCs w:val="24"/>
                <w:lang w:eastAsia="cs-CZ"/>
              </w:rPr>
            </w:pPr>
            <w:r w:rsidRPr="00633ED0">
              <w:rPr>
                <w:rFonts w:eastAsia="Times New Roman" w:cs="Times New Roman"/>
                <w:i/>
                <w:sz w:val="20"/>
                <w:szCs w:val="24"/>
                <w:lang w:eastAsia="cs-CZ"/>
              </w:rPr>
              <w:t xml:space="preserve">                                            v tom: ze SR</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1 229</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214</w:t>
            </w:r>
          </w:p>
        </w:tc>
        <w:tc>
          <w:tcPr>
            <w:tcW w:w="663"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7C62E1">
              <w:rPr>
                <w:rFonts w:eastAsia="Times New Roman" w:cs="Times New Roman"/>
                <w:i/>
                <w:sz w:val="20"/>
                <w:szCs w:val="24"/>
                <w:lang w:eastAsia="cs-CZ"/>
              </w:rPr>
              <w:t>248</w:t>
            </w:r>
          </w:p>
        </w:tc>
        <w:tc>
          <w:tcPr>
            <w:tcW w:w="506" w:type="pct"/>
            <w:tcBorders>
              <w:top w:val="nil"/>
              <w:bottom w:val="nil"/>
            </w:tcBorders>
            <w:shd w:val="clear" w:color="auto" w:fill="auto"/>
          </w:tcPr>
          <w:p w:rsidR="009A036B" w:rsidRPr="0028567C" w:rsidRDefault="009A036B" w:rsidP="009A036B">
            <w:pPr>
              <w:jc w:val="right"/>
              <w:rPr>
                <w:rFonts w:eastAsia="Times New Roman" w:cs="Times New Roman"/>
                <w:i/>
                <w:sz w:val="20"/>
                <w:szCs w:val="24"/>
                <w:lang w:eastAsia="cs-CZ"/>
              </w:rPr>
            </w:pPr>
            <w:r w:rsidRPr="0028567C">
              <w:rPr>
                <w:rFonts w:eastAsia="Times New Roman" w:cs="Times New Roman"/>
                <w:i/>
                <w:sz w:val="20"/>
                <w:szCs w:val="24"/>
                <w:lang w:eastAsia="cs-CZ"/>
              </w:rPr>
              <w:t>115,89</w:t>
            </w:r>
          </w:p>
        </w:tc>
      </w:tr>
      <w:tr w:rsidR="009A036B" w:rsidRPr="00633ED0" w:rsidTr="009A036B">
        <w:trPr>
          <w:trHeight w:val="243"/>
        </w:trPr>
        <w:tc>
          <w:tcPr>
            <w:tcW w:w="2414" w:type="pct"/>
            <w:tcBorders>
              <w:top w:val="nil"/>
              <w:bottom w:val="nil"/>
            </w:tcBorders>
            <w:shd w:val="clear" w:color="auto" w:fill="auto"/>
          </w:tcPr>
          <w:p w:rsidR="009A036B" w:rsidRPr="00633ED0" w:rsidRDefault="009A036B" w:rsidP="009A036B">
            <w:pPr>
              <w:tabs>
                <w:tab w:val="left" w:pos="1295"/>
              </w:tabs>
              <w:rPr>
                <w:rFonts w:eastAsia="Times New Roman" w:cs="Times New Roman"/>
                <w:i/>
                <w:sz w:val="20"/>
                <w:szCs w:val="24"/>
                <w:lang w:eastAsia="cs-CZ"/>
              </w:rPr>
            </w:pPr>
            <w:r w:rsidRPr="00633ED0">
              <w:rPr>
                <w:rFonts w:eastAsia="Times New Roman" w:cs="Times New Roman"/>
                <w:i/>
                <w:sz w:val="20"/>
                <w:szCs w:val="24"/>
                <w:lang w:eastAsia="cs-CZ"/>
              </w:rPr>
              <w:t xml:space="preserve">                                                       z rozpočtu EU</w:t>
            </w:r>
          </w:p>
        </w:tc>
        <w:tc>
          <w:tcPr>
            <w:tcW w:w="739"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6 965</w:t>
            </w:r>
          </w:p>
        </w:tc>
        <w:tc>
          <w:tcPr>
            <w:tcW w:w="678" w:type="pct"/>
            <w:tcBorders>
              <w:top w:val="nil"/>
              <w:bottom w:val="nil"/>
            </w:tcBorders>
            <w:shd w:val="clear" w:color="auto" w:fill="auto"/>
          </w:tcPr>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1 211</w:t>
            </w:r>
          </w:p>
        </w:tc>
        <w:tc>
          <w:tcPr>
            <w:tcW w:w="663" w:type="pct"/>
            <w:tcBorders>
              <w:top w:val="nil"/>
              <w:bottom w:val="nil"/>
            </w:tcBorders>
            <w:shd w:val="clear" w:color="auto" w:fill="auto"/>
          </w:tcPr>
          <w:p w:rsidR="009A036B" w:rsidRPr="00633ED0" w:rsidRDefault="009A036B" w:rsidP="009A036B">
            <w:pPr>
              <w:jc w:val="right"/>
              <w:rPr>
                <w:rFonts w:eastAsia="Times New Roman" w:cs="Times New Roman"/>
                <w:i/>
                <w:color w:val="FF0000"/>
                <w:sz w:val="20"/>
                <w:szCs w:val="24"/>
                <w:lang w:eastAsia="cs-CZ"/>
              </w:rPr>
            </w:pPr>
            <w:r w:rsidRPr="007C62E1">
              <w:rPr>
                <w:rFonts w:eastAsia="Times New Roman" w:cs="Times New Roman"/>
                <w:i/>
                <w:sz w:val="20"/>
                <w:szCs w:val="24"/>
                <w:lang w:eastAsia="cs-CZ"/>
              </w:rPr>
              <w:t>1 406</w:t>
            </w:r>
          </w:p>
        </w:tc>
        <w:tc>
          <w:tcPr>
            <w:tcW w:w="506" w:type="pct"/>
            <w:tcBorders>
              <w:top w:val="nil"/>
              <w:bottom w:val="nil"/>
            </w:tcBorders>
            <w:shd w:val="clear" w:color="auto" w:fill="auto"/>
          </w:tcPr>
          <w:p w:rsidR="009A036B" w:rsidRPr="0028567C" w:rsidRDefault="009A036B" w:rsidP="009A036B">
            <w:pPr>
              <w:jc w:val="right"/>
              <w:rPr>
                <w:rFonts w:eastAsia="Times New Roman" w:cs="Times New Roman"/>
                <w:i/>
                <w:sz w:val="20"/>
                <w:szCs w:val="24"/>
                <w:lang w:eastAsia="cs-CZ"/>
              </w:rPr>
            </w:pPr>
            <w:r w:rsidRPr="0028567C">
              <w:rPr>
                <w:rFonts w:eastAsia="Times New Roman" w:cs="Times New Roman"/>
                <w:i/>
                <w:sz w:val="20"/>
                <w:szCs w:val="24"/>
                <w:lang w:eastAsia="cs-CZ"/>
              </w:rPr>
              <w:t>116,10</w:t>
            </w:r>
          </w:p>
        </w:tc>
      </w:tr>
      <w:tr w:rsidR="009A036B" w:rsidRPr="00633ED0" w:rsidTr="009A036B">
        <w:trPr>
          <w:trHeight w:val="243"/>
        </w:trPr>
        <w:tc>
          <w:tcPr>
            <w:tcW w:w="2414" w:type="pct"/>
            <w:tcBorders>
              <w:top w:val="nil"/>
              <w:bottom w:val="single" w:sz="8" w:space="0" w:color="7F7F7F" w:themeColor="text1" w:themeTint="80"/>
            </w:tcBorders>
            <w:shd w:val="clear" w:color="auto" w:fill="auto"/>
          </w:tcPr>
          <w:p w:rsidR="009A036B" w:rsidRPr="00633ED0" w:rsidRDefault="009A036B" w:rsidP="009A036B">
            <w:pPr>
              <w:tabs>
                <w:tab w:val="left" w:pos="1295"/>
              </w:tabs>
              <w:jc w:val="center"/>
              <w:rPr>
                <w:rFonts w:eastAsia="Times New Roman" w:cs="Times New Roman"/>
                <w:i/>
                <w:sz w:val="20"/>
                <w:szCs w:val="24"/>
                <w:lang w:eastAsia="cs-CZ"/>
              </w:rPr>
            </w:pPr>
            <w:r>
              <w:rPr>
                <w:rFonts w:eastAsia="Times New Roman" w:cs="Times New Roman"/>
                <w:i/>
                <w:sz w:val="20"/>
                <w:szCs w:val="24"/>
                <w:lang w:eastAsia="cs-CZ"/>
              </w:rPr>
              <w:t xml:space="preserve">                    </w:t>
            </w:r>
            <w:r w:rsidRPr="00633ED0">
              <w:rPr>
                <w:rFonts w:eastAsia="Times New Roman" w:cs="Times New Roman"/>
                <w:i/>
                <w:sz w:val="20"/>
                <w:szCs w:val="24"/>
                <w:lang w:eastAsia="cs-CZ"/>
              </w:rPr>
              <w:t>Komunitární programy 2014-2020                                                                                                                                                                                                                                                                                                                                                                                                                                                                                                                                                                                                                                                                                                                                                                                                                                                                                                                                                                                                                                                                                                                                                                                                                                                                                                                                                                                                                        (CEF, Horizont 2020)</w:t>
            </w:r>
          </w:p>
          <w:p w:rsidR="009A036B" w:rsidRPr="00633ED0" w:rsidRDefault="009A036B" w:rsidP="009A036B">
            <w:pPr>
              <w:jc w:val="center"/>
              <w:rPr>
                <w:rFonts w:eastAsia="Times New Roman" w:cs="Times New Roman"/>
                <w:i/>
                <w:sz w:val="20"/>
                <w:szCs w:val="24"/>
                <w:lang w:eastAsia="cs-CZ"/>
              </w:rPr>
            </w:pPr>
            <w:r>
              <w:rPr>
                <w:rFonts w:eastAsia="Times New Roman" w:cs="Times New Roman"/>
                <w:i/>
                <w:sz w:val="20"/>
                <w:szCs w:val="24"/>
                <w:lang w:eastAsia="cs-CZ"/>
              </w:rPr>
              <w:t xml:space="preserve">                         </w:t>
            </w:r>
            <w:r w:rsidRPr="00633ED0">
              <w:rPr>
                <w:rFonts w:eastAsia="Times New Roman" w:cs="Times New Roman"/>
                <w:i/>
                <w:sz w:val="20"/>
                <w:szCs w:val="24"/>
                <w:lang w:eastAsia="cs-CZ"/>
              </w:rPr>
              <w:t>v tom: ze SR</w:t>
            </w:r>
          </w:p>
          <w:p w:rsidR="009A036B" w:rsidRPr="00633ED0" w:rsidRDefault="009A036B" w:rsidP="009A036B">
            <w:pPr>
              <w:tabs>
                <w:tab w:val="left" w:pos="1295"/>
              </w:tabs>
              <w:jc w:val="center"/>
              <w:rPr>
                <w:rFonts w:eastAsia="Times New Roman" w:cs="Times New Roman"/>
                <w:i/>
                <w:sz w:val="20"/>
                <w:szCs w:val="24"/>
                <w:lang w:eastAsia="cs-CZ"/>
              </w:rPr>
            </w:pPr>
            <w:r>
              <w:rPr>
                <w:rFonts w:eastAsia="Times New Roman" w:cs="Times New Roman"/>
                <w:i/>
                <w:sz w:val="20"/>
                <w:szCs w:val="24"/>
                <w:lang w:eastAsia="cs-CZ"/>
              </w:rPr>
              <w:t xml:space="preserve">                                                </w:t>
            </w:r>
            <w:r w:rsidR="00181148">
              <w:rPr>
                <w:rFonts w:eastAsia="Times New Roman" w:cs="Times New Roman"/>
                <w:i/>
                <w:sz w:val="20"/>
                <w:szCs w:val="24"/>
                <w:lang w:eastAsia="cs-CZ"/>
              </w:rPr>
              <w:t xml:space="preserve"> </w:t>
            </w:r>
            <w:r w:rsidRPr="00633ED0">
              <w:rPr>
                <w:rFonts w:eastAsia="Times New Roman" w:cs="Times New Roman"/>
                <w:i/>
                <w:sz w:val="20"/>
                <w:szCs w:val="24"/>
                <w:lang w:eastAsia="cs-CZ"/>
              </w:rPr>
              <w:t>z rozpočtu EU</w:t>
            </w:r>
          </w:p>
        </w:tc>
        <w:tc>
          <w:tcPr>
            <w:tcW w:w="739" w:type="pct"/>
            <w:tcBorders>
              <w:top w:val="nil"/>
              <w:bottom w:val="single" w:sz="8" w:space="0" w:color="7F7F7F" w:themeColor="text1" w:themeTint="80"/>
            </w:tcBorders>
            <w:shd w:val="clear" w:color="auto" w:fill="auto"/>
          </w:tcPr>
          <w:p w:rsidR="009A036B" w:rsidRPr="00633ED0" w:rsidRDefault="009A036B" w:rsidP="009A036B">
            <w:pPr>
              <w:jc w:val="right"/>
              <w:rPr>
                <w:rFonts w:eastAsia="Times New Roman" w:cs="Times New Roman"/>
                <w:i/>
                <w:color w:val="FF0000"/>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1 593</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234</w:t>
            </w:r>
          </w:p>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sz w:val="20"/>
                <w:szCs w:val="24"/>
                <w:lang w:eastAsia="cs-CZ"/>
              </w:rPr>
              <w:t>1 359</w:t>
            </w:r>
          </w:p>
        </w:tc>
        <w:tc>
          <w:tcPr>
            <w:tcW w:w="678" w:type="pct"/>
            <w:tcBorders>
              <w:top w:val="nil"/>
              <w:bottom w:val="single" w:sz="8" w:space="0" w:color="7F7F7F" w:themeColor="text1" w:themeTint="80"/>
            </w:tcBorders>
            <w:shd w:val="clear" w:color="auto" w:fill="auto"/>
          </w:tcPr>
          <w:p w:rsidR="009A036B" w:rsidRPr="00633ED0" w:rsidRDefault="009A036B" w:rsidP="009A036B">
            <w:pPr>
              <w:jc w:val="right"/>
              <w:rPr>
                <w:rFonts w:eastAsia="Times New Roman" w:cs="Times New Roman"/>
                <w:i/>
                <w:color w:val="00B050"/>
                <w:sz w:val="20"/>
                <w:szCs w:val="24"/>
                <w:lang w:eastAsia="cs-CZ"/>
              </w:rPr>
            </w:pP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 xml:space="preserve">3 291       </w:t>
            </w:r>
          </w:p>
          <w:p w:rsidR="009A036B" w:rsidRPr="00633ED0" w:rsidRDefault="009A036B" w:rsidP="009A036B">
            <w:pPr>
              <w:jc w:val="right"/>
              <w:rPr>
                <w:rFonts w:eastAsia="Times New Roman" w:cs="Times New Roman"/>
                <w:i/>
                <w:sz w:val="20"/>
                <w:szCs w:val="24"/>
                <w:lang w:eastAsia="cs-CZ"/>
              </w:rPr>
            </w:pPr>
            <w:r w:rsidRPr="00633ED0">
              <w:rPr>
                <w:rFonts w:eastAsia="Times New Roman" w:cs="Times New Roman"/>
                <w:i/>
                <w:sz w:val="20"/>
                <w:szCs w:val="24"/>
                <w:lang w:eastAsia="cs-CZ"/>
              </w:rPr>
              <w:t>154</w:t>
            </w:r>
          </w:p>
          <w:p w:rsidR="009A036B" w:rsidRPr="00633ED0" w:rsidRDefault="009A036B" w:rsidP="009A036B">
            <w:pPr>
              <w:jc w:val="right"/>
              <w:rPr>
                <w:rFonts w:eastAsia="Times New Roman" w:cs="Times New Roman"/>
                <w:i/>
                <w:color w:val="00B050"/>
                <w:sz w:val="20"/>
                <w:szCs w:val="24"/>
                <w:lang w:eastAsia="cs-CZ"/>
              </w:rPr>
            </w:pPr>
            <w:r w:rsidRPr="00633ED0">
              <w:rPr>
                <w:rFonts w:eastAsia="Times New Roman" w:cs="Times New Roman"/>
                <w:i/>
                <w:sz w:val="20"/>
                <w:szCs w:val="24"/>
                <w:lang w:eastAsia="cs-CZ"/>
              </w:rPr>
              <w:t>3 137</w:t>
            </w:r>
          </w:p>
        </w:tc>
        <w:tc>
          <w:tcPr>
            <w:tcW w:w="663" w:type="pct"/>
            <w:tcBorders>
              <w:top w:val="nil"/>
              <w:bottom w:val="single" w:sz="8" w:space="0" w:color="7F7F7F" w:themeColor="text1" w:themeTint="80"/>
            </w:tcBorders>
            <w:shd w:val="clear" w:color="auto" w:fill="auto"/>
          </w:tcPr>
          <w:p w:rsidR="009A036B" w:rsidRPr="00633ED0" w:rsidRDefault="009A036B" w:rsidP="009A036B">
            <w:pPr>
              <w:jc w:val="right"/>
              <w:rPr>
                <w:rFonts w:eastAsia="Times New Roman" w:cs="Times New Roman"/>
                <w:i/>
                <w:color w:val="FF0000"/>
                <w:sz w:val="20"/>
                <w:szCs w:val="24"/>
                <w:lang w:eastAsia="cs-CZ"/>
              </w:rPr>
            </w:pPr>
          </w:p>
          <w:p w:rsidR="009A036B" w:rsidRPr="00633ED0" w:rsidRDefault="009A036B" w:rsidP="009A036B">
            <w:pPr>
              <w:jc w:val="right"/>
              <w:rPr>
                <w:rFonts w:eastAsia="Times New Roman" w:cs="Times New Roman"/>
                <w:i/>
                <w:color w:val="FF0000"/>
                <w:sz w:val="20"/>
                <w:szCs w:val="24"/>
                <w:lang w:eastAsia="cs-CZ"/>
              </w:rPr>
            </w:pPr>
            <w:r w:rsidRPr="00633ED0">
              <w:rPr>
                <w:rFonts w:eastAsia="Times New Roman" w:cs="Times New Roman"/>
                <w:i/>
                <w:color w:val="FF0000"/>
                <w:sz w:val="20"/>
                <w:szCs w:val="24"/>
                <w:lang w:eastAsia="cs-CZ"/>
              </w:rPr>
              <w:t xml:space="preserve">       </w:t>
            </w:r>
            <w:r w:rsidRPr="00322EF9">
              <w:rPr>
                <w:rFonts w:eastAsia="Times New Roman" w:cs="Times New Roman"/>
                <w:i/>
                <w:sz w:val="20"/>
                <w:szCs w:val="24"/>
                <w:lang w:eastAsia="cs-CZ"/>
              </w:rPr>
              <w:t>5 305</w:t>
            </w:r>
          </w:p>
          <w:p w:rsidR="009A036B" w:rsidRPr="00633ED0" w:rsidRDefault="009A036B" w:rsidP="009A036B">
            <w:pPr>
              <w:jc w:val="right"/>
              <w:rPr>
                <w:rFonts w:eastAsia="Times New Roman" w:cs="Times New Roman"/>
                <w:i/>
                <w:color w:val="FF0000"/>
                <w:sz w:val="20"/>
                <w:szCs w:val="24"/>
                <w:lang w:eastAsia="cs-CZ"/>
              </w:rPr>
            </w:pPr>
            <w:r w:rsidRPr="002762B9">
              <w:rPr>
                <w:rFonts w:eastAsia="Times New Roman" w:cs="Times New Roman"/>
                <w:i/>
                <w:sz w:val="20"/>
                <w:szCs w:val="24"/>
                <w:lang w:eastAsia="cs-CZ"/>
              </w:rPr>
              <w:t>802</w:t>
            </w:r>
          </w:p>
          <w:p w:rsidR="009A036B" w:rsidRPr="00633ED0" w:rsidRDefault="009A036B" w:rsidP="009A036B">
            <w:pPr>
              <w:jc w:val="right"/>
              <w:rPr>
                <w:rFonts w:eastAsia="Times New Roman" w:cs="Times New Roman"/>
                <w:i/>
                <w:color w:val="FF0000"/>
                <w:sz w:val="20"/>
                <w:szCs w:val="24"/>
                <w:lang w:eastAsia="cs-CZ"/>
              </w:rPr>
            </w:pPr>
            <w:r w:rsidRPr="002762B9">
              <w:rPr>
                <w:rFonts w:eastAsia="Times New Roman" w:cs="Times New Roman"/>
                <w:i/>
                <w:sz w:val="20"/>
                <w:szCs w:val="24"/>
                <w:lang w:eastAsia="cs-CZ"/>
              </w:rPr>
              <w:t>4 503</w:t>
            </w:r>
          </w:p>
        </w:tc>
        <w:tc>
          <w:tcPr>
            <w:tcW w:w="506" w:type="pct"/>
            <w:tcBorders>
              <w:top w:val="nil"/>
              <w:bottom w:val="single" w:sz="8" w:space="0" w:color="7F7F7F" w:themeColor="text1" w:themeTint="80"/>
            </w:tcBorders>
            <w:shd w:val="clear" w:color="auto" w:fill="auto"/>
          </w:tcPr>
          <w:p w:rsidR="009A036B" w:rsidRPr="00FA46E2" w:rsidRDefault="009A036B" w:rsidP="009A036B">
            <w:pPr>
              <w:jc w:val="right"/>
              <w:rPr>
                <w:rFonts w:eastAsia="Times New Roman" w:cs="Times New Roman"/>
                <w:i/>
                <w:sz w:val="20"/>
                <w:szCs w:val="24"/>
                <w:lang w:eastAsia="cs-CZ"/>
              </w:rPr>
            </w:pPr>
          </w:p>
          <w:p w:rsidR="009A036B" w:rsidRPr="00FA46E2" w:rsidRDefault="009A036B" w:rsidP="009A036B">
            <w:pPr>
              <w:jc w:val="right"/>
              <w:rPr>
                <w:rFonts w:eastAsia="Times New Roman" w:cs="Times New Roman"/>
                <w:i/>
                <w:sz w:val="20"/>
                <w:szCs w:val="24"/>
                <w:lang w:eastAsia="cs-CZ"/>
              </w:rPr>
            </w:pPr>
            <w:r w:rsidRPr="00FA46E2">
              <w:rPr>
                <w:rFonts w:eastAsia="Times New Roman" w:cs="Times New Roman"/>
                <w:i/>
                <w:sz w:val="20"/>
                <w:szCs w:val="24"/>
                <w:lang w:eastAsia="cs-CZ"/>
              </w:rPr>
              <w:t>161,20</w:t>
            </w:r>
          </w:p>
          <w:p w:rsidR="009A036B" w:rsidRPr="00FA46E2" w:rsidRDefault="009A036B" w:rsidP="009A036B">
            <w:pPr>
              <w:jc w:val="right"/>
              <w:rPr>
                <w:rFonts w:eastAsia="Times New Roman" w:cs="Times New Roman"/>
                <w:i/>
                <w:sz w:val="20"/>
                <w:szCs w:val="24"/>
                <w:lang w:eastAsia="cs-CZ"/>
              </w:rPr>
            </w:pPr>
            <w:r w:rsidRPr="00FA46E2">
              <w:rPr>
                <w:rFonts w:eastAsia="Times New Roman" w:cs="Times New Roman"/>
                <w:i/>
                <w:sz w:val="20"/>
                <w:szCs w:val="24"/>
                <w:lang w:eastAsia="cs-CZ"/>
              </w:rPr>
              <w:t>520,78</w:t>
            </w:r>
          </w:p>
          <w:p w:rsidR="009A036B" w:rsidRPr="00FA46E2" w:rsidRDefault="009A036B" w:rsidP="009A036B">
            <w:pPr>
              <w:jc w:val="right"/>
              <w:rPr>
                <w:rFonts w:eastAsia="Times New Roman" w:cs="Times New Roman"/>
                <w:i/>
                <w:sz w:val="20"/>
                <w:szCs w:val="24"/>
                <w:lang w:eastAsia="cs-CZ"/>
              </w:rPr>
            </w:pPr>
            <w:r w:rsidRPr="00FA46E2">
              <w:rPr>
                <w:rFonts w:eastAsia="Times New Roman" w:cs="Times New Roman"/>
                <w:i/>
                <w:sz w:val="20"/>
                <w:szCs w:val="24"/>
                <w:lang w:eastAsia="cs-CZ"/>
              </w:rPr>
              <w:t>143,54</w:t>
            </w:r>
          </w:p>
        </w:tc>
      </w:tr>
    </w:tbl>
    <w:p w:rsidR="009A036B" w:rsidRPr="0097323A" w:rsidRDefault="009A036B" w:rsidP="001D1C48">
      <w:pPr>
        <w:pStyle w:val="Styl1"/>
        <w:rPr>
          <w:color w:val="FF0000"/>
        </w:rPr>
      </w:pPr>
      <w:r w:rsidRPr="00D000DB">
        <w:t>Navrhovaný objem běžných výdajů na rok 2019 ve výši 7 178</w:t>
      </w:r>
      <w:r>
        <w:rPr>
          <w:color w:val="FF0000"/>
        </w:rPr>
        <w:t xml:space="preserve"> </w:t>
      </w:r>
      <w:r w:rsidRPr="00D000DB">
        <w:t xml:space="preserve">327 tis. Kč </w:t>
      </w:r>
      <w:r w:rsidRPr="00A262C6">
        <w:t xml:space="preserve">tvoří výdaje na platy zaměstnanců a ostatní platby za provedenou práci a s </w:t>
      </w:r>
      <w:r w:rsidRPr="00D000DB">
        <w:t xml:space="preserve">tím související povinné platby (pojistné a převod FKSP) ve výši 404 262 tis. Kč a ostatní neinvestiční výdaje ve výši </w:t>
      </w:r>
      <w:r>
        <w:rPr>
          <w:color w:val="FF0000"/>
        </w:rPr>
        <w:br/>
      </w:r>
      <w:r w:rsidRPr="00A262C6">
        <w:t>6 774 065 tis. Kč.</w:t>
      </w:r>
    </w:p>
    <w:p w:rsidR="009A036B" w:rsidRPr="0097323A" w:rsidRDefault="009A036B" w:rsidP="001D1C48">
      <w:pPr>
        <w:pStyle w:val="Styl1"/>
        <w:rPr>
          <w:color w:val="FF0000"/>
        </w:rPr>
      </w:pPr>
      <w:r w:rsidRPr="00834FC0">
        <w:t xml:space="preserve">Na navrhovaném objemu ostatních neinvestičních výdajů na rok 2019 ve výši </w:t>
      </w:r>
      <w:r w:rsidRPr="00834FC0">
        <w:br/>
        <w:t xml:space="preserve">6 774 065 tis. Kč (o 4 902 148 tis. Kč více než v roce 2018) </w:t>
      </w:r>
      <w:r w:rsidRPr="00E375A9">
        <w:t>se nejvíce podílí výdaje na kompenzaci ztráty vznikající dopravcům ve veřejné osobní dopravě přiznáváním státem na</w:t>
      </w:r>
      <w:r w:rsidRPr="00C1637C">
        <w:t>řízených slev ve výši 6 000 000 tis. Kč (nárůst oproti 2018 o 5 740 000 tis. Kč</w:t>
      </w:r>
      <w:r>
        <w:t xml:space="preserve"> z důvodu zavedení nových slev</w:t>
      </w:r>
      <w:r w:rsidR="0023222D">
        <w:t xml:space="preserve"> od </w:t>
      </w:r>
      <w:proofErr w:type="gramStart"/>
      <w:r w:rsidR="0023222D">
        <w:t>1.9.2018</w:t>
      </w:r>
      <w:proofErr w:type="gramEnd"/>
      <w:r>
        <w:t>)</w:t>
      </w:r>
      <w:r w:rsidRPr="00C1637C">
        <w:t xml:space="preserve">. Mezi další objemově významné výdaje patří zejména financování činností dopravně správních agend, které jsou na rok 2019 rozpočtovány ve výši </w:t>
      </w:r>
      <w:r w:rsidR="00910632">
        <w:br/>
      </w:r>
      <w:r w:rsidRPr="00C1637C">
        <w:t xml:space="preserve">280 000 tis. Kč. </w:t>
      </w:r>
    </w:p>
    <w:p w:rsidR="009A036B" w:rsidRPr="0097323A" w:rsidRDefault="009A036B" w:rsidP="001D1C48">
      <w:pPr>
        <w:pStyle w:val="Styl1"/>
        <w:rPr>
          <w:color w:val="FF0000"/>
        </w:rPr>
      </w:pPr>
      <w:r w:rsidRPr="00DF0A04">
        <w:t xml:space="preserve">Podíl státního rozpočtu na programech spolufinancovaných z rozpočtu EU (včetně prostředků na platy a příslušenství) je rozpočtován ve výši 12 879 tis. Kč </w:t>
      </w:r>
      <w:r w:rsidRPr="00CC5385">
        <w:t xml:space="preserve">(v tom: finanční prostředky na technickou pomoc OP Doprava 2014-2020 ve výši 10 410 tis. Kč, </w:t>
      </w:r>
      <w:r>
        <w:rPr>
          <w:color w:val="FF0000"/>
        </w:rPr>
        <w:br/>
      </w:r>
      <w:r w:rsidRPr="001D441A">
        <w:t xml:space="preserve">OP Zaměstnanost ve výši 414 tis. Kč a finanční prostředky na Komunitární programy ve výši </w:t>
      </w:r>
      <w:r>
        <w:rPr>
          <w:color w:val="FF0000"/>
        </w:rPr>
        <w:br/>
      </w:r>
      <w:r w:rsidRPr="00CC5385">
        <w:t xml:space="preserve">2 055 tis. Kč). </w:t>
      </w:r>
      <w:r w:rsidRPr="00235E46">
        <w:t xml:space="preserve">Podíl prostředků z rozpočtu EU je rozpočtován ve výši 68 662 tis. Kč (v tom: finanční prostředky na technickou pomoc OP Doprava 2014-2020 ve </w:t>
      </w:r>
      <w:r w:rsidRPr="00AA57B2">
        <w:t xml:space="preserve">výši 58 750 tis. Kč, </w:t>
      </w:r>
      <w:r>
        <w:rPr>
          <w:color w:val="FF0000"/>
        </w:rPr>
        <w:br/>
      </w:r>
      <w:r w:rsidRPr="00235E46">
        <w:t>OP Zaměstnanost ve výši 414</w:t>
      </w:r>
      <w:r>
        <w:t xml:space="preserve"> tis. Kč a</w:t>
      </w:r>
      <w:r w:rsidRPr="00235E46">
        <w:t xml:space="preserve"> </w:t>
      </w:r>
      <w:r w:rsidRPr="00AA57B2">
        <w:t xml:space="preserve">finanční prostředky na komunitární programy ve výši </w:t>
      </w:r>
      <w:r w:rsidRPr="0097323A">
        <w:rPr>
          <w:color w:val="FF0000"/>
        </w:rPr>
        <w:br/>
      </w:r>
      <w:r w:rsidRPr="00AA57B2">
        <w:t>9 498 tis. Kč).</w:t>
      </w:r>
    </w:p>
    <w:p w:rsidR="009A036B" w:rsidRPr="0097323A" w:rsidRDefault="009A036B" w:rsidP="001D1C48">
      <w:pPr>
        <w:pStyle w:val="Styl1"/>
        <w:rPr>
          <w:color w:val="FF0000"/>
          <w:sz w:val="22"/>
          <w:szCs w:val="22"/>
        </w:rPr>
      </w:pPr>
      <w:r w:rsidRPr="002833B3">
        <w:t xml:space="preserve">Prostředky ke krytí úkolů krizového řízení jsou v návrhu rozpočtu na rok 2019 rozpočtovány v celkové výši 2 353 tis. Kč, z toho dle zák. č. 240/2000 Sb. ve výši </w:t>
      </w:r>
      <w:r w:rsidRPr="002833B3">
        <w:br/>
        <w:t>1 811 tis. Kč. Na prevenci v oblasti bezpečnosti silničního provozu</w:t>
      </w:r>
      <w:r w:rsidR="0023222D">
        <w:t xml:space="preserve"> (BESIP)</w:t>
      </w:r>
      <w:r w:rsidRPr="002833B3">
        <w:t xml:space="preserve"> jsou zajištěny prostřed</w:t>
      </w:r>
      <w:r w:rsidRPr="0054216E">
        <w:t>ky ve výši 23 150 tis. Kč.</w:t>
      </w:r>
    </w:p>
    <w:p w:rsidR="009A036B" w:rsidRPr="00702E44" w:rsidRDefault="009A036B" w:rsidP="001D1C48">
      <w:pPr>
        <w:pStyle w:val="Styl1"/>
      </w:pPr>
      <w:r w:rsidRPr="00702E44">
        <w:t xml:space="preserve">Stejně jako v minulých letech, tak i v roce 2019, budou vzdělávací aktivity týkající </w:t>
      </w:r>
      <w:r w:rsidR="00910632">
        <w:br/>
      </w:r>
      <w:r w:rsidRPr="00702E44">
        <w:t xml:space="preserve">se prosazování rovnosti mužů a žen zabezpečovány prostřednictvím Institutu státní správy a ostatní genderové výdaje budou zahrnuty v rámci ostatních běžných výdajů ústředního orgánu Ministerstva dopravy. </w:t>
      </w:r>
    </w:p>
    <w:p w:rsidR="009A036B" w:rsidRPr="0001421C" w:rsidRDefault="009A036B" w:rsidP="001D1C48">
      <w:pPr>
        <w:pStyle w:val="Styl1"/>
        <w:rPr>
          <w:color w:val="FF0000"/>
        </w:rPr>
      </w:pPr>
      <w:r w:rsidRPr="00C649C8">
        <w:t xml:space="preserve">Počet zaměstnanců organizace pro rok 2019 je oproti roku 2018 snížen </w:t>
      </w:r>
      <w:r w:rsidRPr="0001421C">
        <w:rPr>
          <w:color w:val="FF0000"/>
        </w:rPr>
        <w:br/>
      </w:r>
      <w:r w:rsidRPr="00432886">
        <w:t xml:space="preserve">o 14 zaměstnanců (viz část 3.2.2), tj. na 489 zaměstnanců. </w:t>
      </w:r>
    </w:p>
    <w:p w:rsidR="00910632" w:rsidRDefault="00910632" w:rsidP="00BD28A7">
      <w:pPr>
        <w:spacing w:before="360" w:after="120"/>
        <w:ind w:left="539"/>
        <w:rPr>
          <w:rFonts w:cs="Times New Roman"/>
          <w:b/>
          <w:u w:val="single"/>
        </w:rPr>
      </w:pPr>
    </w:p>
    <w:p w:rsidR="00910632" w:rsidRDefault="00910632" w:rsidP="00BD28A7">
      <w:pPr>
        <w:spacing w:before="360" w:after="120"/>
        <w:ind w:left="539"/>
        <w:rPr>
          <w:rFonts w:cs="Times New Roman"/>
          <w:b/>
          <w:u w:val="single"/>
        </w:rPr>
      </w:pPr>
    </w:p>
    <w:p w:rsidR="00910632" w:rsidRDefault="00910632" w:rsidP="00BD28A7">
      <w:pPr>
        <w:spacing w:before="360" w:after="120"/>
        <w:ind w:left="539"/>
        <w:rPr>
          <w:rFonts w:cs="Times New Roman"/>
          <w:b/>
          <w:u w:val="single"/>
        </w:rPr>
      </w:pPr>
    </w:p>
    <w:p w:rsidR="00BD28A7" w:rsidRPr="00CA2C79" w:rsidRDefault="00BD28A7" w:rsidP="00BD28A7">
      <w:pPr>
        <w:spacing w:before="360" w:after="120"/>
        <w:ind w:left="539"/>
        <w:rPr>
          <w:rFonts w:cs="Times New Roman"/>
          <w:b/>
          <w:u w:val="single"/>
        </w:rPr>
      </w:pPr>
      <w:r w:rsidRPr="00CA2C79">
        <w:rPr>
          <w:rFonts w:cs="Times New Roman"/>
          <w:b/>
          <w:u w:val="single"/>
        </w:rPr>
        <w:lastRenderedPageBreak/>
        <w:t xml:space="preserve">Úřad pro civilní letectví </w:t>
      </w:r>
    </w:p>
    <w:p w:rsidR="00886FD2" w:rsidRPr="00FF7B95" w:rsidRDefault="00886FD2" w:rsidP="001D1C48">
      <w:pPr>
        <w:pStyle w:val="Styl1"/>
      </w:pPr>
      <w:r w:rsidRPr="00FF7B95">
        <w:t xml:space="preserve">Úřad pro civilní letectví byl zřízen zákonem č. 49/1997 Sb., o civilním letectví, ve znění pozdějších předpisů, jako správní úřad pro výkon státní správy ve věcech civilního letectví </w:t>
      </w:r>
      <w:r w:rsidR="00910632">
        <w:br/>
      </w:r>
      <w:r w:rsidRPr="00FF7B95">
        <w:t>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rsidR="00886FD2" w:rsidRPr="00FF7B95" w:rsidRDefault="00886FD2" w:rsidP="00886FD2">
      <w:pPr>
        <w:pStyle w:val="Titulek"/>
        <w:keepNext/>
      </w:pPr>
      <w:r w:rsidRPr="00FF7B95">
        <w:t xml:space="preserve">Tabulka č. </w:t>
      </w:r>
      <w:r w:rsidRPr="00FF7B95">
        <w:rPr>
          <w:noProof/>
        </w:rPr>
        <w:fldChar w:fldCharType="begin"/>
      </w:r>
      <w:r w:rsidRPr="00FF7B95">
        <w:rPr>
          <w:noProof/>
        </w:rPr>
        <w:instrText xml:space="preserve"> SEQ Tabulka \* ARABIC </w:instrText>
      </w:r>
      <w:r w:rsidRPr="00FF7B95">
        <w:rPr>
          <w:noProof/>
        </w:rPr>
        <w:fldChar w:fldCharType="separate"/>
      </w:r>
      <w:r w:rsidR="00AF5225">
        <w:rPr>
          <w:noProof/>
        </w:rPr>
        <w:t>8</w:t>
      </w:r>
      <w:r w:rsidRPr="00FF7B95">
        <w:rPr>
          <w:noProof/>
        </w:rPr>
        <w:fldChar w:fldCharType="end"/>
      </w:r>
      <w:r w:rsidRPr="00FF7B95">
        <w:t xml:space="preserve"> Úřad pro civilní letectví – běžné výdaje (v tis. Kč)</w:t>
      </w:r>
    </w:p>
    <w:tbl>
      <w:tblPr>
        <w:tblStyle w:val="Svtltabulkasmkou1zvraznn1"/>
        <w:tblW w:w="4961"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8"/>
        <w:gridCol w:w="1417"/>
        <w:gridCol w:w="1274"/>
        <w:gridCol w:w="1132"/>
        <w:gridCol w:w="850"/>
      </w:tblGrid>
      <w:tr w:rsidR="00910632" w:rsidRPr="0001421C" w:rsidTr="00146324">
        <w:trPr>
          <w:trHeight w:val="790"/>
        </w:trPr>
        <w:tc>
          <w:tcPr>
            <w:tcW w:w="23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Ukazatel</w:t>
            </w:r>
          </w:p>
        </w:tc>
        <w:tc>
          <w:tcPr>
            <w:tcW w:w="78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Skutečnost</w:t>
            </w:r>
          </w:p>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2017</w:t>
            </w:r>
          </w:p>
        </w:tc>
        <w:tc>
          <w:tcPr>
            <w:tcW w:w="7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Schválený</w:t>
            </w:r>
          </w:p>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rozpočet</w:t>
            </w:r>
          </w:p>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201</w:t>
            </w:r>
            <w:r>
              <w:rPr>
                <w:rFonts w:eastAsia="Times New Roman" w:cs="Times New Roman"/>
                <w:b/>
                <w:lang w:eastAsia="cs-CZ"/>
              </w:rPr>
              <w:t>8</w:t>
            </w:r>
          </w:p>
        </w:tc>
        <w:tc>
          <w:tcPr>
            <w:tcW w:w="63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Návrh</w:t>
            </w:r>
          </w:p>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rozpočtu</w:t>
            </w:r>
          </w:p>
          <w:p w:rsidR="00886FD2" w:rsidRPr="00FF7B95" w:rsidRDefault="00886FD2" w:rsidP="00146324">
            <w:pPr>
              <w:jc w:val="center"/>
              <w:rPr>
                <w:rFonts w:eastAsia="Times New Roman" w:cs="Times New Roman"/>
                <w:b/>
                <w:lang w:eastAsia="cs-CZ"/>
              </w:rPr>
            </w:pPr>
            <w:r w:rsidRPr="00FF7B95">
              <w:rPr>
                <w:rFonts w:eastAsia="Times New Roman" w:cs="Times New Roman"/>
                <w:b/>
                <w:lang w:eastAsia="cs-CZ"/>
              </w:rPr>
              <w:t>201</w:t>
            </w:r>
            <w:r>
              <w:rPr>
                <w:rFonts w:eastAsia="Times New Roman" w:cs="Times New Roman"/>
                <w:b/>
                <w:lang w:eastAsia="cs-CZ"/>
              </w:rPr>
              <w:t>9</w:t>
            </w:r>
          </w:p>
        </w:tc>
        <w:tc>
          <w:tcPr>
            <w:tcW w:w="47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86FD2" w:rsidRPr="00FF7B95" w:rsidRDefault="00886FD2" w:rsidP="008A1F72">
            <w:pPr>
              <w:jc w:val="center"/>
              <w:rPr>
                <w:rFonts w:eastAsia="Times New Roman" w:cs="Times New Roman"/>
                <w:b/>
                <w:lang w:eastAsia="cs-CZ"/>
              </w:rPr>
            </w:pPr>
            <w:r w:rsidRPr="00FF7B95">
              <w:rPr>
                <w:rFonts w:eastAsia="Times New Roman" w:cs="Times New Roman"/>
                <w:b/>
                <w:lang w:eastAsia="cs-CZ"/>
              </w:rPr>
              <w:t>Index</w:t>
            </w:r>
          </w:p>
          <w:p w:rsidR="00886FD2" w:rsidRPr="00FF7B95" w:rsidRDefault="00886FD2" w:rsidP="008A1F72">
            <w:pPr>
              <w:jc w:val="center"/>
              <w:rPr>
                <w:rFonts w:eastAsia="Times New Roman" w:cs="Times New Roman"/>
                <w:b/>
                <w:lang w:eastAsia="cs-CZ"/>
              </w:rPr>
            </w:pPr>
            <w:r w:rsidRPr="00FF7B95">
              <w:rPr>
                <w:rFonts w:eastAsia="Times New Roman" w:cs="Times New Roman"/>
                <w:b/>
                <w:lang w:eastAsia="cs-CZ"/>
              </w:rPr>
              <w:t>201</w:t>
            </w:r>
            <w:r>
              <w:rPr>
                <w:rFonts w:eastAsia="Times New Roman" w:cs="Times New Roman"/>
                <w:b/>
                <w:lang w:eastAsia="cs-CZ"/>
              </w:rPr>
              <w:t>9</w:t>
            </w:r>
            <w:r w:rsidRPr="00FF7B95">
              <w:rPr>
                <w:rFonts w:eastAsia="Times New Roman" w:cs="Times New Roman"/>
                <w:b/>
                <w:lang w:eastAsia="cs-CZ"/>
              </w:rPr>
              <w:t>/201</w:t>
            </w:r>
            <w:r>
              <w:rPr>
                <w:rFonts w:eastAsia="Times New Roman" w:cs="Times New Roman"/>
                <w:b/>
                <w:lang w:eastAsia="cs-CZ"/>
              </w:rPr>
              <w:t>8</w:t>
            </w:r>
            <w:r w:rsidRPr="00FF7B95">
              <w:rPr>
                <w:rFonts w:eastAsia="Times New Roman" w:cs="Times New Roman"/>
                <w:b/>
                <w:lang w:eastAsia="cs-CZ"/>
              </w:rPr>
              <w:t xml:space="preserve"> (v %)</w:t>
            </w:r>
          </w:p>
        </w:tc>
      </w:tr>
      <w:tr w:rsidR="00910632" w:rsidRPr="0001421C" w:rsidTr="00910632">
        <w:trPr>
          <w:trHeight w:val="248"/>
        </w:trPr>
        <w:tc>
          <w:tcPr>
            <w:tcW w:w="2398" w:type="pct"/>
            <w:tcBorders>
              <w:top w:val="single" w:sz="4" w:space="0" w:color="7F7F7F" w:themeColor="text1" w:themeTint="80"/>
              <w:bottom w:val="single" w:sz="8" w:space="0" w:color="7F7F7F" w:themeColor="text1" w:themeTint="80"/>
            </w:tcBorders>
            <w:shd w:val="clear" w:color="auto" w:fill="auto"/>
          </w:tcPr>
          <w:p w:rsidR="00886FD2" w:rsidRPr="00FF7B95" w:rsidRDefault="00886FD2" w:rsidP="008A1F72">
            <w:pPr>
              <w:jc w:val="center"/>
              <w:rPr>
                <w:rFonts w:eastAsia="Times New Roman" w:cs="Times New Roman"/>
                <w:szCs w:val="24"/>
                <w:lang w:eastAsia="cs-CZ"/>
              </w:rPr>
            </w:pPr>
            <w:r w:rsidRPr="00FF7B95">
              <w:rPr>
                <w:rFonts w:eastAsia="Times New Roman" w:cs="Times New Roman"/>
                <w:szCs w:val="24"/>
                <w:lang w:eastAsia="cs-CZ"/>
              </w:rPr>
              <w:t>a</w:t>
            </w:r>
          </w:p>
        </w:tc>
        <w:tc>
          <w:tcPr>
            <w:tcW w:w="789" w:type="pct"/>
            <w:tcBorders>
              <w:top w:val="single" w:sz="4" w:space="0" w:color="7F7F7F" w:themeColor="text1" w:themeTint="80"/>
              <w:bottom w:val="single" w:sz="8" w:space="0" w:color="7F7F7F" w:themeColor="text1" w:themeTint="80"/>
            </w:tcBorders>
            <w:shd w:val="clear" w:color="auto" w:fill="auto"/>
          </w:tcPr>
          <w:p w:rsidR="00886FD2" w:rsidRPr="00FF7B95" w:rsidRDefault="00886FD2" w:rsidP="008A1F72">
            <w:pPr>
              <w:jc w:val="center"/>
              <w:rPr>
                <w:rFonts w:eastAsia="Times New Roman" w:cs="Times New Roman"/>
                <w:szCs w:val="24"/>
                <w:lang w:eastAsia="cs-CZ"/>
              </w:rPr>
            </w:pPr>
            <w:r w:rsidRPr="00FF7B95">
              <w:rPr>
                <w:rFonts w:eastAsia="Times New Roman" w:cs="Times New Roman"/>
                <w:szCs w:val="24"/>
                <w:lang w:eastAsia="cs-CZ"/>
              </w:rPr>
              <w:t>1</w:t>
            </w:r>
          </w:p>
        </w:tc>
        <w:tc>
          <w:tcPr>
            <w:tcW w:w="709" w:type="pct"/>
            <w:tcBorders>
              <w:top w:val="single" w:sz="4" w:space="0" w:color="7F7F7F" w:themeColor="text1" w:themeTint="80"/>
              <w:bottom w:val="single" w:sz="8" w:space="0" w:color="7F7F7F" w:themeColor="text1" w:themeTint="80"/>
            </w:tcBorders>
            <w:shd w:val="clear" w:color="auto" w:fill="auto"/>
          </w:tcPr>
          <w:p w:rsidR="00886FD2" w:rsidRPr="00FF7B95" w:rsidRDefault="00886FD2" w:rsidP="008A1F72">
            <w:pPr>
              <w:jc w:val="center"/>
              <w:rPr>
                <w:rFonts w:eastAsia="Times New Roman" w:cs="Times New Roman"/>
                <w:szCs w:val="24"/>
                <w:lang w:eastAsia="cs-CZ"/>
              </w:rPr>
            </w:pPr>
            <w:r w:rsidRPr="00FF7B95">
              <w:rPr>
                <w:rFonts w:eastAsia="Times New Roman" w:cs="Times New Roman"/>
                <w:szCs w:val="24"/>
                <w:lang w:eastAsia="cs-CZ"/>
              </w:rPr>
              <w:t>2</w:t>
            </w:r>
          </w:p>
        </w:tc>
        <w:tc>
          <w:tcPr>
            <w:tcW w:w="630" w:type="pct"/>
            <w:tcBorders>
              <w:top w:val="single" w:sz="4" w:space="0" w:color="7F7F7F" w:themeColor="text1" w:themeTint="80"/>
              <w:bottom w:val="single" w:sz="8" w:space="0" w:color="7F7F7F" w:themeColor="text1" w:themeTint="80"/>
            </w:tcBorders>
            <w:shd w:val="clear" w:color="auto" w:fill="auto"/>
          </w:tcPr>
          <w:p w:rsidR="00886FD2" w:rsidRPr="00FF7B95" w:rsidRDefault="00886FD2" w:rsidP="008A1F72">
            <w:pPr>
              <w:jc w:val="center"/>
              <w:rPr>
                <w:rFonts w:eastAsia="Times New Roman" w:cs="Times New Roman"/>
                <w:szCs w:val="24"/>
                <w:lang w:eastAsia="cs-CZ"/>
              </w:rPr>
            </w:pPr>
            <w:r w:rsidRPr="00FF7B95">
              <w:rPr>
                <w:rFonts w:eastAsia="Times New Roman" w:cs="Times New Roman"/>
                <w:szCs w:val="24"/>
                <w:lang w:eastAsia="cs-CZ"/>
              </w:rPr>
              <w:t>3</w:t>
            </w:r>
          </w:p>
        </w:tc>
        <w:tc>
          <w:tcPr>
            <w:tcW w:w="473" w:type="pct"/>
            <w:tcBorders>
              <w:top w:val="single" w:sz="4" w:space="0" w:color="7F7F7F" w:themeColor="text1" w:themeTint="80"/>
              <w:bottom w:val="single" w:sz="8" w:space="0" w:color="7F7F7F" w:themeColor="text1" w:themeTint="80"/>
            </w:tcBorders>
            <w:shd w:val="clear" w:color="auto" w:fill="auto"/>
          </w:tcPr>
          <w:p w:rsidR="00886FD2" w:rsidRPr="00FF7B95" w:rsidRDefault="00886FD2" w:rsidP="008A1F72">
            <w:pPr>
              <w:jc w:val="center"/>
              <w:rPr>
                <w:rFonts w:eastAsia="Times New Roman" w:cs="Times New Roman"/>
                <w:szCs w:val="24"/>
                <w:lang w:eastAsia="cs-CZ"/>
              </w:rPr>
            </w:pPr>
            <w:r w:rsidRPr="00FF7B95">
              <w:rPr>
                <w:rFonts w:eastAsia="Times New Roman" w:cs="Times New Roman"/>
                <w:szCs w:val="24"/>
                <w:lang w:eastAsia="cs-CZ"/>
              </w:rPr>
              <w:t>4</w:t>
            </w:r>
          </w:p>
        </w:tc>
      </w:tr>
      <w:tr w:rsidR="00910632" w:rsidRPr="0001421C" w:rsidTr="00910632">
        <w:trPr>
          <w:trHeight w:val="401"/>
        </w:trPr>
        <w:tc>
          <w:tcPr>
            <w:tcW w:w="2398" w:type="pct"/>
            <w:tcBorders>
              <w:top w:val="single" w:sz="8" w:space="0" w:color="7F7F7F" w:themeColor="text1" w:themeTint="80"/>
              <w:bottom w:val="single" w:sz="8" w:space="0" w:color="7F7F7F" w:themeColor="text1" w:themeTint="80"/>
            </w:tcBorders>
            <w:shd w:val="clear" w:color="auto" w:fill="auto"/>
          </w:tcPr>
          <w:p w:rsidR="00886FD2" w:rsidRPr="00FF7B95" w:rsidRDefault="00886FD2" w:rsidP="008A1F72">
            <w:pPr>
              <w:spacing w:before="80"/>
              <w:rPr>
                <w:rFonts w:eastAsia="Times New Roman" w:cs="Times New Roman"/>
                <w:b/>
                <w:lang w:eastAsia="cs-CZ"/>
              </w:rPr>
            </w:pPr>
            <w:r w:rsidRPr="00FF7B95">
              <w:rPr>
                <w:rFonts w:eastAsia="Times New Roman" w:cs="Times New Roman"/>
                <w:b/>
                <w:iCs/>
                <w:lang w:eastAsia="cs-CZ"/>
              </w:rPr>
              <w:t xml:space="preserve">Běžné výdaje </w:t>
            </w:r>
            <w:r w:rsidRPr="00FF7B95">
              <w:rPr>
                <w:rFonts w:eastAsia="Times New Roman" w:cs="Times New Roman"/>
                <w:lang w:eastAsia="cs-CZ"/>
              </w:rPr>
              <w:t>v tom:</w:t>
            </w:r>
            <w:r w:rsidRPr="00FF7B95">
              <w:rPr>
                <w:rFonts w:eastAsia="Times New Roman" w:cs="Times New Roman"/>
                <w:b/>
                <w:lang w:eastAsia="cs-CZ"/>
              </w:rPr>
              <w:t xml:space="preserve"> </w:t>
            </w:r>
          </w:p>
        </w:tc>
        <w:tc>
          <w:tcPr>
            <w:tcW w:w="789" w:type="pct"/>
            <w:tcBorders>
              <w:top w:val="single" w:sz="8" w:space="0" w:color="7F7F7F" w:themeColor="text1" w:themeTint="80"/>
              <w:bottom w:val="single" w:sz="8" w:space="0" w:color="7F7F7F" w:themeColor="text1" w:themeTint="80"/>
            </w:tcBorders>
            <w:shd w:val="clear" w:color="auto" w:fill="auto"/>
          </w:tcPr>
          <w:p w:rsidR="00886FD2" w:rsidRPr="00FF7B95" w:rsidRDefault="00886FD2" w:rsidP="008A1F72">
            <w:pPr>
              <w:spacing w:before="120"/>
              <w:jc w:val="right"/>
              <w:rPr>
                <w:rFonts w:eastAsia="Times New Roman" w:cs="Times New Roman"/>
                <w:b/>
                <w:bCs/>
                <w:lang w:eastAsia="cs-CZ"/>
              </w:rPr>
            </w:pPr>
            <w:r w:rsidRPr="00FF7B95">
              <w:rPr>
                <w:rFonts w:eastAsia="Times New Roman" w:cs="Times New Roman"/>
                <w:b/>
                <w:bCs/>
                <w:lang w:eastAsia="cs-CZ"/>
              </w:rPr>
              <w:t>166 753</w:t>
            </w:r>
          </w:p>
        </w:tc>
        <w:tc>
          <w:tcPr>
            <w:tcW w:w="709" w:type="pct"/>
            <w:tcBorders>
              <w:top w:val="single" w:sz="8" w:space="0" w:color="7F7F7F" w:themeColor="text1" w:themeTint="80"/>
              <w:bottom w:val="single" w:sz="8" w:space="0" w:color="7F7F7F" w:themeColor="text1" w:themeTint="80"/>
            </w:tcBorders>
            <w:shd w:val="clear" w:color="auto" w:fill="auto"/>
          </w:tcPr>
          <w:p w:rsidR="00886FD2" w:rsidRPr="00FF7B95" w:rsidRDefault="00886FD2" w:rsidP="008A1F72">
            <w:pPr>
              <w:spacing w:before="120"/>
              <w:jc w:val="right"/>
              <w:rPr>
                <w:rFonts w:eastAsia="Times New Roman" w:cs="Times New Roman"/>
                <w:b/>
                <w:bCs/>
                <w:lang w:eastAsia="cs-CZ"/>
              </w:rPr>
            </w:pPr>
            <w:r w:rsidRPr="00FF7B95">
              <w:rPr>
                <w:rFonts w:eastAsia="Times New Roman" w:cs="Times New Roman"/>
                <w:b/>
                <w:bCs/>
                <w:lang w:eastAsia="cs-CZ"/>
              </w:rPr>
              <w:t>189 150</w:t>
            </w:r>
          </w:p>
        </w:tc>
        <w:tc>
          <w:tcPr>
            <w:tcW w:w="630" w:type="pct"/>
            <w:tcBorders>
              <w:top w:val="single" w:sz="8" w:space="0" w:color="7F7F7F" w:themeColor="text1" w:themeTint="80"/>
              <w:bottom w:val="single" w:sz="8" w:space="0" w:color="7F7F7F" w:themeColor="text1" w:themeTint="80"/>
            </w:tcBorders>
            <w:shd w:val="clear" w:color="auto" w:fill="auto"/>
          </w:tcPr>
          <w:p w:rsidR="00886FD2" w:rsidRPr="00FF7B95" w:rsidRDefault="00886FD2" w:rsidP="008A1F72">
            <w:pPr>
              <w:spacing w:before="120"/>
              <w:jc w:val="right"/>
              <w:rPr>
                <w:rFonts w:eastAsia="Times New Roman" w:cs="Times New Roman"/>
                <w:b/>
                <w:bCs/>
                <w:lang w:eastAsia="cs-CZ"/>
              </w:rPr>
            </w:pPr>
            <w:r w:rsidRPr="00FF7B95">
              <w:rPr>
                <w:rFonts w:eastAsia="Times New Roman" w:cs="Times New Roman"/>
                <w:b/>
                <w:bCs/>
                <w:lang w:eastAsia="cs-CZ"/>
              </w:rPr>
              <w:t>180 942</w:t>
            </w:r>
          </w:p>
        </w:tc>
        <w:tc>
          <w:tcPr>
            <w:tcW w:w="473" w:type="pct"/>
            <w:tcBorders>
              <w:top w:val="single" w:sz="8" w:space="0" w:color="7F7F7F" w:themeColor="text1" w:themeTint="80"/>
              <w:bottom w:val="single" w:sz="8" w:space="0" w:color="7F7F7F" w:themeColor="text1" w:themeTint="80"/>
            </w:tcBorders>
            <w:shd w:val="clear" w:color="auto" w:fill="auto"/>
          </w:tcPr>
          <w:p w:rsidR="00886FD2" w:rsidRPr="00FF7B95" w:rsidRDefault="00886FD2" w:rsidP="008A1F72">
            <w:pPr>
              <w:spacing w:before="120"/>
              <w:jc w:val="right"/>
              <w:rPr>
                <w:rFonts w:eastAsia="Times New Roman" w:cs="Times New Roman"/>
                <w:b/>
                <w:bCs/>
                <w:lang w:eastAsia="cs-CZ"/>
              </w:rPr>
            </w:pPr>
            <w:r w:rsidRPr="00FF7B95">
              <w:rPr>
                <w:rFonts w:eastAsia="Times New Roman" w:cs="Times New Roman"/>
                <w:b/>
                <w:bCs/>
                <w:lang w:eastAsia="cs-CZ"/>
              </w:rPr>
              <w:t>95,66</w:t>
            </w:r>
          </w:p>
        </w:tc>
      </w:tr>
      <w:tr w:rsidR="00910632" w:rsidRPr="0001421C" w:rsidTr="00910632">
        <w:trPr>
          <w:trHeight w:val="480"/>
        </w:trPr>
        <w:tc>
          <w:tcPr>
            <w:tcW w:w="2398" w:type="pct"/>
            <w:tcBorders>
              <w:top w:val="single" w:sz="8" w:space="0" w:color="7F7F7F" w:themeColor="text1" w:themeTint="80"/>
            </w:tcBorders>
            <w:shd w:val="clear" w:color="auto" w:fill="auto"/>
          </w:tcPr>
          <w:p w:rsidR="00886FD2" w:rsidRPr="00FF7B95" w:rsidRDefault="00886FD2" w:rsidP="008A1F72">
            <w:pPr>
              <w:rPr>
                <w:rFonts w:eastAsia="Times New Roman" w:cs="Times New Roman"/>
                <w:lang w:eastAsia="cs-CZ"/>
              </w:rPr>
            </w:pPr>
            <w:r w:rsidRPr="00FF7B95">
              <w:rPr>
                <w:rFonts w:eastAsia="Times New Roman" w:cs="Times New Roman"/>
                <w:lang w:eastAsia="cs-CZ"/>
              </w:rPr>
              <w:t xml:space="preserve">platy zaměstnanců a ostatní platby </w:t>
            </w:r>
          </w:p>
          <w:p w:rsidR="00886FD2" w:rsidRPr="00FF7B95" w:rsidRDefault="00886FD2" w:rsidP="008A1F72">
            <w:pPr>
              <w:rPr>
                <w:rFonts w:eastAsia="Times New Roman" w:cs="Times New Roman"/>
                <w:lang w:eastAsia="cs-CZ"/>
              </w:rPr>
            </w:pPr>
            <w:r w:rsidRPr="00FF7B95">
              <w:rPr>
                <w:rFonts w:eastAsia="Times New Roman" w:cs="Times New Roman"/>
                <w:lang w:eastAsia="cs-CZ"/>
              </w:rPr>
              <w:t>za provedenou práci</w:t>
            </w:r>
          </w:p>
        </w:tc>
        <w:tc>
          <w:tcPr>
            <w:tcW w:w="789" w:type="pct"/>
            <w:tcBorders>
              <w:top w:val="single" w:sz="8" w:space="0" w:color="7F7F7F" w:themeColor="text1" w:themeTint="80"/>
            </w:tcBorders>
            <w:shd w:val="clear" w:color="auto" w:fill="auto"/>
          </w:tcPr>
          <w:p w:rsidR="00886FD2" w:rsidRPr="00FF7B95" w:rsidRDefault="00886FD2" w:rsidP="008A1F72">
            <w:pPr>
              <w:spacing w:before="120"/>
              <w:jc w:val="right"/>
              <w:rPr>
                <w:rFonts w:eastAsia="Times New Roman" w:cs="Times New Roman"/>
                <w:lang w:eastAsia="cs-CZ"/>
              </w:rPr>
            </w:pPr>
            <w:r w:rsidRPr="00FF7B95">
              <w:rPr>
                <w:rFonts w:eastAsia="Times New Roman" w:cs="Times New Roman"/>
                <w:lang w:eastAsia="cs-CZ"/>
              </w:rPr>
              <w:t>92 397</w:t>
            </w:r>
          </w:p>
        </w:tc>
        <w:tc>
          <w:tcPr>
            <w:tcW w:w="709" w:type="pct"/>
            <w:tcBorders>
              <w:top w:val="single" w:sz="8" w:space="0" w:color="7F7F7F" w:themeColor="text1" w:themeTint="80"/>
            </w:tcBorders>
            <w:shd w:val="clear" w:color="auto" w:fill="auto"/>
          </w:tcPr>
          <w:p w:rsidR="00886FD2" w:rsidRPr="00FF7B95" w:rsidRDefault="00886FD2" w:rsidP="008A1F72">
            <w:pPr>
              <w:spacing w:before="120"/>
              <w:jc w:val="right"/>
              <w:rPr>
                <w:rFonts w:eastAsia="Times New Roman" w:cs="Times New Roman"/>
                <w:lang w:eastAsia="cs-CZ"/>
              </w:rPr>
            </w:pPr>
            <w:r w:rsidRPr="00FF7B95">
              <w:rPr>
                <w:rFonts w:eastAsia="Times New Roman" w:cs="Times New Roman"/>
                <w:lang w:eastAsia="cs-CZ"/>
              </w:rPr>
              <w:t>108 413</w:t>
            </w:r>
          </w:p>
        </w:tc>
        <w:tc>
          <w:tcPr>
            <w:tcW w:w="630" w:type="pct"/>
            <w:tcBorders>
              <w:top w:val="single" w:sz="8" w:space="0" w:color="7F7F7F" w:themeColor="text1" w:themeTint="80"/>
            </w:tcBorders>
            <w:shd w:val="clear" w:color="auto" w:fill="auto"/>
          </w:tcPr>
          <w:p w:rsidR="00886FD2" w:rsidRPr="006A0086" w:rsidRDefault="00886FD2" w:rsidP="008A1F72">
            <w:pPr>
              <w:spacing w:before="120"/>
              <w:jc w:val="right"/>
              <w:rPr>
                <w:rFonts w:eastAsia="Times New Roman" w:cs="Times New Roman"/>
                <w:lang w:eastAsia="cs-CZ"/>
              </w:rPr>
            </w:pPr>
            <w:r w:rsidRPr="006A0086">
              <w:rPr>
                <w:rFonts w:eastAsia="Times New Roman" w:cs="Times New Roman"/>
                <w:lang w:eastAsia="cs-CZ"/>
              </w:rPr>
              <w:t>104 326</w:t>
            </w:r>
          </w:p>
        </w:tc>
        <w:tc>
          <w:tcPr>
            <w:tcW w:w="473" w:type="pct"/>
            <w:tcBorders>
              <w:top w:val="single" w:sz="8" w:space="0" w:color="7F7F7F" w:themeColor="text1" w:themeTint="80"/>
            </w:tcBorders>
            <w:shd w:val="clear" w:color="auto" w:fill="auto"/>
          </w:tcPr>
          <w:p w:rsidR="00886FD2" w:rsidRPr="00FF7B95" w:rsidRDefault="00886FD2" w:rsidP="008A1F72">
            <w:pPr>
              <w:spacing w:before="120"/>
              <w:jc w:val="right"/>
              <w:rPr>
                <w:rFonts w:eastAsia="Times New Roman" w:cs="Times New Roman"/>
                <w:lang w:eastAsia="cs-CZ"/>
              </w:rPr>
            </w:pPr>
            <w:r w:rsidRPr="00FF7B95">
              <w:rPr>
                <w:rFonts w:eastAsia="Times New Roman" w:cs="Times New Roman"/>
                <w:lang w:eastAsia="cs-CZ"/>
              </w:rPr>
              <w:t>96,23</w:t>
            </w:r>
          </w:p>
        </w:tc>
      </w:tr>
      <w:tr w:rsidR="00910632" w:rsidRPr="0001421C" w:rsidTr="00910632">
        <w:trPr>
          <w:trHeight w:val="232"/>
        </w:trPr>
        <w:tc>
          <w:tcPr>
            <w:tcW w:w="2398" w:type="pct"/>
            <w:shd w:val="clear" w:color="auto" w:fill="auto"/>
          </w:tcPr>
          <w:p w:rsidR="00886FD2" w:rsidRPr="00FF7B95" w:rsidRDefault="00886FD2" w:rsidP="008A1F72">
            <w:pPr>
              <w:rPr>
                <w:rFonts w:eastAsia="Times New Roman" w:cs="Times New Roman"/>
                <w:lang w:eastAsia="cs-CZ"/>
              </w:rPr>
            </w:pPr>
            <w:r w:rsidRPr="00FF7B95">
              <w:rPr>
                <w:rFonts w:eastAsia="Times New Roman" w:cs="Times New Roman"/>
                <w:lang w:eastAsia="cs-CZ"/>
              </w:rPr>
              <w:t>povinné pojistné placené zaměstnavatelem</w:t>
            </w:r>
          </w:p>
        </w:tc>
        <w:tc>
          <w:tcPr>
            <w:tcW w:w="789" w:type="pct"/>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31 385</w:t>
            </w:r>
          </w:p>
        </w:tc>
        <w:tc>
          <w:tcPr>
            <w:tcW w:w="709" w:type="pct"/>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36 860</w:t>
            </w:r>
          </w:p>
        </w:tc>
        <w:tc>
          <w:tcPr>
            <w:tcW w:w="630" w:type="pct"/>
            <w:shd w:val="clear" w:color="auto" w:fill="auto"/>
          </w:tcPr>
          <w:p w:rsidR="00886FD2" w:rsidRPr="006A0086" w:rsidRDefault="00886FD2" w:rsidP="008A1F72">
            <w:pPr>
              <w:jc w:val="right"/>
              <w:rPr>
                <w:rFonts w:eastAsia="Times New Roman" w:cs="Times New Roman"/>
                <w:lang w:eastAsia="cs-CZ"/>
              </w:rPr>
            </w:pPr>
            <w:r w:rsidRPr="006A0086">
              <w:rPr>
                <w:rFonts w:eastAsia="Times New Roman" w:cs="Times New Roman"/>
                <w:lang w:eastAsia="cs-CZ"/>
              </w:rPr>
              <w:t>35 471</w:t>
            </w:r>
          </w:p>
        </w:tc>
        <w:tc>
          <w:tcPr>
            <w:tcW w:w="473" w:type="pct"/>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96,23</w:t>
            </w:r>
          </w:p>
        </w:tc>
      </w:tr>
      <w:tr w:rsidR="00910632" w:rsidRPr="0001421C" w:rsidTr="00910632">
        <w:trPr>
          <w:trHeight w:val="248"/>
        </w:trPr>
        <w:tc>
          <w:tcPr>
            <w:tcW w:w="2398" w:type="pct"/>
            <w:shd w:val="clear" w:color="auto" w:fill="auto"/>
          </w:tcPr>
          <w:p w:rsidR="00886FD2" w:rsidRPr="00FF7B95" w:rsidRDefault="00886FD2" w:rsidP="008A1F72">
            <w:pPr>
              <w:rPr>
                <w:rFonts w:eastAsia="Times New Roman" w:cs="Times New Roman"/>
                <w:lang w:eastAsia="cs-CZ"/>
              </w:rPr>
            </w:pPr>
            <w:r w:rsidRPr="00FF7B95">
              <w:rPr>
                <w:rFonts w:eastAsia="Times New Roman" w:cs="Times New Roman"/>
                <w:lang w:eastAsia="cs-CZ"/>
              </w:rPr>
              <w:t>převod FKSP</w:t>
            </w:r>
          </w:p>
        </w:tc>
        <w:tc>
          <w:tcPr>
            <w:tcW w:w="789" w:type="pct"/>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1 845</w:t>
            </w:r>
          </w:p>
        </w:tc>
        <w:tc>
          <w:tcPr>
            <w:tcW w:w="709" w:type="pct"/>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2 156</w:t>
            </w:r>
          </w:p>
        </w:tc>
        <w:tc>
          <w:tcPr>
            <w:tcW w:w="630" w:type="pct"/>
            <w:shd w:val="clear" w:color="auto" w:fill="auto"/>
          </w:tcPr>
          <w:p w:rsidR="00886FD2" w:rsidRPr="006A0086" w:rsidRDefault="00886FD2" w:rsidP="008A1F72">
            <w:pPr>
              <w:jc w:val="right"/>
              <w:rPr>
                <w:rFonts w:eastAsia="Times New Roman" w:cs="Times New Roman"/>
                <w:lang w:eastAsia="cs-CZ"/>
              </w:rPr>
            </w:pPr>
            <w:r w:rsidRPr="006A0086">
              <w:rPr>
                <w:rFonts w:eastAsia="Times New Roman" w:cs="Times New Roman"/>
                <w:lang w:eastAsia="cs-CZ"/>
              </w:rPr>
              <w:t>2 074</w:t>
            </w:r>
          </w:p>
        </w:tc>
        <w:tc>
          <w:tcPr>
            <w:tcW w:w="473" w:type="pct"/>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96,20</w:t>
            </w:r>
          </w:p>
        </w:tc>
      </w:tr>
      <w:tr w:rsidR="00910632" w:rsidRPr="0001421C" w:rsidTr="00910632">
        <w:trPr>
          <w:trHeight w:val="248"/>
        </w:trPr>
        <w:tc>
          <w:tcPr>
            <w:tcW w:w="2398" w:type="pct"/>
            <w:tcBorders>
              <w:bottom w:val="nil"/>
            </w:tcBorders>
            <w:shd w:val="clear" w:color="auto" w:fill="auto"/>
          </w:tcPr>
          <w:p w:rsidR="00886FD2" w:rsidRPr="00FF7B95" w:rsidRDefault="00886FD2" w:rsidP="008A1F72">
            <w:pPr>
              <w:rPr>
                <w:rFonts w:eastAsia="Times New Roman" w:cs="Times New Roman"/>
                <w:lang w:eastAsia="cs-CZ"/>
              </w:rPr>
            </w:pPr>
            <w:r w:rsidRPr="00FF7B95">
              <w:rPr>
                <w:rFonts w:eastAsia="Times New Roman" w:cs="Times New Roman"/>
                <w:lang w:eastAsia="cs-CZ"/>
              </w:rPr>
              <w:t>ostatní neinvestiční nákupy a související výdaje</w:t>
            </w:r>
          </w:p>
        </w:tc>
        <w:tc>
          <w:tcPr>
            <w:tcW w:w="789" w:type="pct"/>
            <w:tcBorders>
              <w:bottom w:val="nil"/>
            </w:tcBorders>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41 126</w:t>
            </w:r>
          </w:p>
        </w:tc>
        <w:tc>
          <w:tcPr>
            <w:tcW w:w="709" w:type="pct"/>
            <w:tcBorders>
              <w:bottom w:val="nil"/>
            </w:tcBorders>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41 721</w:t>
            </w:r>
          </w:p>
        </w:tc>
        <w:tc>
          <w:tcPr>
            <w:tcW w:w="630" w:type="pct"/>
            <w:tcBorders>
              <w:bottom w:val="nil"/>
            </w:tcBorders>
            <w:shd w:val="clear" w:color="auto" w:fill="auto"/>
          </w:tcPr>
          <w:p w:rsidR="00886FD2" w:rsidRPr="006A0086" w:rsidRDefault="00886FD2" w:rsidP="008A1F72">
            <w:pPr>
              <w:jc w:val="right"/>
              <w:rPr>
                <w:rFonts w:eastAsia="Times New Roman" w:cs="Times New Roman"/>
                <w:lang w:eastAsia="cs-CZ"/>
              </w:rPr>
            </w:pPr>
            <w:r w:rsidRPr="006A0086">
              <w:rPr>
                <w:rFonts w:eastAsia="Times New Roman" w:cs="Times New Roman"/>
                <w:lang w:eastAsia="cs-CZ"/>
              </w:rPr>
              <w:t>39 071</w:t>
            </w:r>
          </w:p>
        </w:tc>
        <w:tc>
          <w:tcPr>
            <w:tcW w:w="473" w:type="pct"/>
            <w:tcBorders>
              <w:bottom w:val="nil"/>
            </w:tcBorders>
            <w:shd w:val="clear" w:color="auto" w:fill="auto"/>
          </w:tcPr>
          <w:p w:rsidR="00886FD2" w:rsidRPr="00FF7B95" w:rsidRDefault="00886FD2" w:rsidP="008A1F72">
            <w:pPr>
              <w:jc w:val="right"/>
              <w:rPr>
                <w:rFonts w:eastAsia="Times New Roman" w:cs="Times New Roman"/>
                <w:lang w:eastAsia="cs-CZ"/>
              </w:rPr>
            </w:pPr>
            <w:r w:rsidRPr="00FF7B95">
              <w:rPr>
                <w:rFonts w:eastAsia="Times New Roman" w:cs="Times New Roman"/>
                <w:lang w:eastAsia="cs-CZ"/>
              </w:rPr>
              <w:t>93,65</w:t>
            </w:r>
          </w:p>
        </w:tc>
      </w:tr>
      <w:tr w:rsidR="00910632" w:rsidRPr="0001421C" w:rsidTr="00910632">
        <w:trPr>
          <w:trHeight w:val="232"/>
        </w:trPr>
        <w:tc>
          <w:tcPr>
            <w:tcW w:w="2398" w:type="pct"/>
            <w:tcBorders>
              <w:top w:val="nil"/>
              <w:bottom w:val="single" w:sz="8" w:space="0" w:color="7F7F7F" w:themeColor="text1" w:themeTint="80"/>
            </w:tcBorders>
            <w:shd w:val="clear" w:color="auto" w:fill="auto"/>
          </w:tcPr>
          <w:p w:rsidR="00886FD2" w:rsidRPr="00FF7B95" w:rsidRDefault="00886FD2" w:rsidP="008A1F72">
            <w:pPr>
              <w:rPr>
                <w:rFonts w:eastAsia="Times New Roman" w:cs="Times New Roman"/>
                <w:i/>
                <w:lang w:eastAsia="cs-CZ"/>
              </w:rPr>
            </w:pPr>
            <w:r w:rsidRPr="00FF7B95">
              <w:rPr>
                <w:rFonts w:eastAsia="Times New Roman" w:cs="Times New Roman"/>
                <w:i/>
                <w:lang w:eastAsia="cs-CZ"/>
              </w:rPr>
              <w:t xml:space="preserve">z toho: programové financování (EDS/SMVS) </w:t>
            </w:r>
          </w:p>
        </w:tc>
        <w:tc>
          <w:tcPr>
            <w:tcW w:w="789" w:type="pct"/>
            <w:tcBorders>
              <w:top w:val="nil"/>
              <w:bottom w:val="single" w:sz="8" w:space="0" w:color="7F7F7F" w:themeColor="text1" w:themeTint="80"/>
            </w:tcBorders>
            <w:shd w:val="clear" w:color="auto" w:fill="auto"/>
          </w:tcPr>
          <w:p w:rsidR="00886FD2" w:rsidRPr="00FF7B95" w:rsidRDefault="00886FD2" w:rsidP="008A1F72">
            <w:pPr>
              <w:jc w:val="right"/>
              <w:rPr>
                <w:rFonts w:eastAsia="Times New Roman" w:cs="Times New Roman"/>
                <w:i/>
                <w:lang w:eastAsia="cs-CZ"/>
              </w:rPr>
            </w:pPr>
            <w:r w:rsidRPr="00FF7B95">
              <w:rPr>
                <w:rFonts w:eastAsia="Times New Roman" w:cs="Times New Roman"/>
                <w:i/>
                <w:lang w:eastAsia="cs-CZ"/>
              </w:rPr>
              <w:t>0</w:t>
            </w:r>
          </w:p>
        </w:tc>
        <w:tc>
          <w:tcPr>
            <w:tcW w:w="709" w:type="pct"/>
            <w:tcBorders>
              <w:top w:val="nil"/>
              <w:bottom w:val="single" w:sz="8" w:space="0" w:color="7F7F7F" w:themeColor="text1" w:themeTint="80"/>
            </w:tcBorders>
            <w:shd w:val="clear" w:color="auto" w:fill="auto"/>
          </w:tcPr>
          <w:p w:rsidR="00886FD2" w:rsidRPr="00FF7B95" w:rsidRDefault="00886FD2" w:rsidP="008A1F72">
            <w:pPr>
              <w:jc w:val="right"/>
              <w:rPr>
                <w:rFonts w:eastAsia="Times New Roman" w:cs="Times New Roman"/>
                <w:i/>
                <w:lang w:eastAsia="cs-CZ"/>
              </w:rPr>
            </w:pPr>
            <w:r w:rsidRPr="00FF7B95">
              <w:rPr>
                <w:rFonts w:eastAsia="Times New Roman" w:cs="Times New Roman"/>
                <w:i/>
                <w:lang w:eastAsia="cs-CZ"/>
              </w:rPr>
              <w:t>0</w:t>
            </w:r>
          </w:p>
        </w:tc>
        <w:tc>
          <w:tcPr>
            <w:tcW w:w="630" w:type="pct"/>
            <w:tcBorders>
              <w:top w:val="nil"/>
              <w:bottom w:val="single" w:sz="8" w:space="0" w:color="7F7F7F" w:themeColor="text1" w:themeTint="80"/>
            </w:tcBorders>
            <w:shd w:val="clear" w:color="auto" w:fill="auto"/>
          </w:tcPr>
          <w:p w:rsidR="00886FD2" w:rsidRPr="006A0086" w:rsidRDefault="00886FD2" w:rsidP="008A1F72">
            <w:pPr>
              <w:jc w:val="right"/>
              <w:rPr>
                <w:rFonts w:eastAsia="Times New Roman" w:cs="Times New Roman"/>
                <w:i/>
                <w:lang w:eastAsia="cs-CZ"/>
              </w:rPr>
            </w:pPr>
            <w:r w:rsidRPr="006A0086">
              <w:rPr>
                <w:rFonts w:eastAsia="Times New Roman" w:cs="Times New Roman"/>
                <w:i/>
                <w:lang w:eastAsia="cs-CZ"/>
              </w:rPr>
              <w:t>0</w:t>
            </w:r>
          </w:p>
        </w:tc>
        <w:tc>
          <w:tcPr>
            <w:tcW w:w="473" w:type="pct"/>
            <w:tcBorders>
              <w:top w:val="nil"/>
              <w:bottom w:val="single" w:sz="8" w:space="0" w:color="7F7F7F" w:themeColor="text1" w:themeTint="80"/>
            </w:tcBorders>
            <w:shd w:val="clear" w:color="auto" w:fill="auto"/>
          </w:tcPr>
          <w:p w:rsidR="00886FD2" w:rsidRPr="00FF7B95" w:rsidRDefault="00886FD2" w:rsidP="008A1F72">
            <w:pPr>
              <w:jc w:val="right"/>
              <w:rPr>
                <w:rFonts w:eastAsia="Times New Roman" w:cs="Times New Roman"/>
                <w:i/>
                <w:lang w:eastAsia="cs-CZ"/>
              </w:rPr>
            </w:pPr>
            <w:r w:rsidRPr="00FF7B95">
              <w:rPr>
                <w:rFonts w:eastAsia="Times New Roman" w:cs="Times New Roman"/>
                <w:i/>
                <w:lang w:eastAsia="cs-CZ"/>
              </w:rPr>
              <w:t>x</w:t>
            </w:r>
          </w:p>
        </w:tc>
      </w:tr>
    </w:tbl>
    <w:p w:rsidR="00886FD2" w:rsidRPr="001C7512" w:rsidRDefault="00886FD2" w:rsidP="001D1C48">
      <w:pPr>
        <w:pStyle w:val="Styl1"/>
      </w:pPr>
      <w:r w:rsidRPr="006A0086">
        <w:t xml:space="preserve">Navrhovaný objem běžných výdajů na rok 2019 je oproti roku 2018 nižší </w:t>
      </w:r>
      <w:r w:rsidRPr="006A0086">
        <w:br/>
        <w:t>o 8 208 tis. Kč</w:t>
      </w:r>
      <w:r w:rsidRPr="001C7512">
        <w:t>.</w:t>
      </w:r>
    </w:p>
    <w:p w:rsidR="00886FD2" w:rsidRDefault="00886FD2" w:rsidP="001D1C48">
      <w:pPr>
        <w:pStyle w:val="Styl1"/>
      </w:pPr>
      <w:r w:rsidRPr="006A0086">
        <w:t>Výdaje na platy</w:t>
      </w:r>
      <w:r w:rsidR="0023222D">
        <w:t xml:space="preserve"> včetně příslušenství se snížily</w:t>
      </w:r>
      <w:r w:rsidRPr="006A0086">
        <w:t xml:space="preserve"> oproti roku 2018 o 5 558 tis. Kč. V tom je obsaženo snížení platů vč. příslušenství o 15 660 tis. Kč v souvislosti s krácením neobsazených míst, dále navýšení prostředků na platy vč. příslušenství o 6 % na základě usnesení vlády </w:t>
      </w:r>
      <w:r w:rsidRPr="006A0086">
        <w:br/>
        <w:t xml:space="preserve">č. 379/2018, tj. navýšení o 8 797 tis. Kč a navýšení prostředků na platy vč. příslušenství </w:t>
      </w:r>
      <w:r w:rsidR="00E97481">
        <w:br/>
      </w:r>
      <w:r w:rsidRPr="006A0086">
        <w:t>o 1 305 tis. Kč na základě UV č. 588/2018, tj. navýšení celkem o 10 10</w:t>
      </w:r>
      <w:r>
        <w:t>2</w:t>
      </w:r>
      <w:r w:rsidRPr="006A0086">
        <w:t xml:space="preserve"> tis. Kč  (podrobněji viz oddíl 3.2.2 Mzdové výdaje a počty pracovníků OSS a PO).</w:t>
      </w:r>
    </w:p>
    <w:p w:rsidR="00886FD2" w:rsidRDefault="00886FD2" w:rsidP="001D1C48">
      <w:pPr>
        <w:pStyle w:val="Styl1"/>
      </w:pPr>
      <w:r w:rsidRPr="000774D4">
        <w:t xml:space="preserve">Počet zaměstnanců organizace pro rok 2019 je oproti roku 2018 nižší o </w:t>
      </w:r>
      <w:r>
        <w:t>9</w:t>
      </w:r>
      <w:r w:rsidRPr="000774D4">
        <w:t xml:space="preserve">, </w:t>
      </w:r>
      <w:r w:rsidR="00146324">
        <w:br/>
      </w:r>
      <w:r w:rsidRPr="000774D4">
        <w:t xml:space="preserve">tj. </w:t>
      </w:r>
      <w:r>
        <w:t>167</w:t>
      </w:r>
      <w:r w:rsidRPr="000774D4">
        <w:t xml:space="preserve"> zaměstnanců, v tom </w:t>
      </w:r>
      <w:r>
        <w:t>15</w:t>
      </w:r>
      <w:r w:rsidRPr="000774D4">
        <w:t xml:space="preserve"> zaměstnanců v pracovním poměru a </w:t>
      </w:r>
      <w:r>
        <w:t>152</w:t>
      </w:r>
      <w:r w:rsidRPr="000774D4">
        <w:t xml:space="preserve"> státních zaměstnanců. </w:t>
      </w:r>
    </w:p>
    <w:p w:rsidR="00886FD2" w:rsidRPr="000774D4" w:rsidRDefault="00886FD2" w:rsidP="001D1C48">
      <w:pPr>
        <w:pStyle w:val="Styl1"/>
      </w:pPr>
      <w:r w:rsidRPr="000774D4">
        <w:t xml:space="preserve">Objem ostatních neinvestičních nákupů a souvisejících výdajů byl snížen na vrub kapitálových výdajů o 2 650 tis. Kč. Snížení </w:t>
      </w:r>
      <w:r>
        <w:t xml:space="preserve">ostatních </w:t>
      </w:r>
      <w:r w:rsidRPr="000774D4">
        <w:t xml:space="preserve">běžných výdajů v roce 2019 bude pokryto použitím nároků. </w:t>
      </w:r>
    </w:p>
    <w:p w:rsidR="00886FD2" w:rsidRPr="00FD2BC7" w:rsidRDefault="00886FD2" w:rsidP="001D1C48">
      <w:pPr>
        <w:pStyle w:val="Styl1"/>
        <w:rPr>
          <w:szCs w:val="20"/>
        </w:rPr>
      </w:pPr>
      <w:r w:rsidRPr="000774D4">
        <w:t xml:space="preserve">Největší položku běžných výdajů tvoří výdaje na platy zaměstnanců, ostatní </w:t>
      </w:r>
      <w:r w:rsidRPr="009F6B62">
        <w:t xml:space="preserve">platby </w:t>
      </w:r>
      <w:r w:rsidRPr="009F6B62">
        <w:br/>
        <w:t>za provedenou práci a s  tím související povinné platby (pojistné a převod FKSP</w:t>
      </w:r>
      <w:r w:rsidRPr="005D1BA3">
        <w:t xml:space="preserve">). V rámci ostatních běžných výdajů činí největší podíl výdaje na nákup služeb (např. pronájem nebytových prostor, školení zaměstnanců, servis k technickému zázemí budovy), výdaje </w:t>
      </w:r>
      <w:r w:rsidR="00146324">
        <w:br/>
      </w:r>
      <w:r w:rsidRPr="005D1BA3">
        <w:t xml:space="preserve">na opravy a údržbu majetku a cestovné.  </w:t>
      </w:r>
    </w:p>
    <w:p w:rsidR="00BD28A7" w:rsidRPr="00BB5816" w:rsidRDefault="00BD28A7" w:rsidP="00BD28A7">
      <w:pPr>
        <w:pStyle w:val="obyctext"/>
        <w:spacing w:before="360" w:after="120"/>
        <w:rPr>
          <w:b/>
          <w:bCs/>
          <w:u w:val="single"/>
        </w:rPr>
      </w:pPr>
      <w:r w:rsidRPr="00BB5816">
        <w:rPr>
          <w:b/>
          <w:bCs/>
          <w:u w:val="single"/>
        </w:rPr>
        <w:lastRenderedPageBreak/>
        <w:t xml:space="preserve">Státní plavební správa    </w:t>
      </w:r>
    </w:p>
    <w:p w:rsidR="00BB5816" w:rsidRPr="00116794" w:rsidRDefault="00BB5816" w:rsidP="001D1C48">
      <w:pPr>
        <w:pStyle w:val="Styl1"/>
      </w:pPr>
      <w:r w:rsidRPr="00116794">
        <w:t xml:space="preserve">Státní plavební správa je správním úřadem, který vykonává státní správu a státní dozor při provozování plavby na vnitrozemských vodních cestách ve věcech stanovených zákonem </w:t>
      </w:r>
      <w:r w:rsidRPr="00116794">
        <w:br/>
        <w:t xml:space="preserve">č. 114/1995 Sb., o vnitrozemské plavbě, ve znění pozdějších předpisů, jakož i zákonem č. 254/2001 Sb., o vodách a o změně některých zákonů (vodní zákon), ve znění pozdějších předpisů. </w:t>
      </w:r>
    </w:p>
    <w:p w:rsidR="002D41EF" w:rsidRPr="00BB5816" w:rsidRDefault="002D41EF" w:rsidP="002D41EF">
      <w:pPr>
        <w:pStyle w:val="Titulek"/>
        <w:keepNext/>
      </w:pPr>
      <w:r w:rsidRPr="00BB5816">
        <w:t xml:space="preserve">Tabulka č. </w:t>
      </w:r>
      <w:r w:rsidR="0001421C" w:rsidRPr="00BB5816">
        <w:rPr>
          <w:noProof/>
        </w:rPr>
        <w:fldChar w:fldCharType="begin"/>
      </w:r>
      <w:r w:rsidR="0001421C" w:rsidRPr="00BB5816">
        <w:rPr>
          <w:noProof/>
        </w:rPr>
        <w:instrText xml:space="preserve"> SEQ Tabulka \* ARABIC </w:instrText>
      </w:r>
      <w:r w:rsidR="0001421C" w:rsidRPr="00BB5816">
        <w:rPr>
          <w:noProof/>
        </w:rPr>
        <w:fldChar w:fldCharType="separate"/>
      </w:r>
      <w:r w:rsidR="00AF5225">
        <w:rPr>
          <w:noProof/>
        </w:rPr>
        <w:t>9</w:t>
      </w:r>
      <w:r w:rsidR="0001421C" w:rsidRPr="00BB5816">
        <w:rPr>
          <w:noProof/>
        </w:rPr>
        <w:fldChar w:fldCharType="end"/>
      </w:r>
      <w:r w:rsidRPr="00BB5816">
        <w:t xml:space="preserve"> Státní plavební správa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BB5816" w:rsidRPr="0001421C" w:rsidTr="00347E0D">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Skutečnost</w:t>
            </w:r>
          </w:p>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2017</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Schválený</w:t>
            </w:r>
          </w:p>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rozpočet</w:t>
            </w:r>
          </w:p>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2018</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Návrh</w:t>
            </w:r>
          </w:p>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rozpočtu</w:t>
            </w:r>
          </w:p>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2019</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Index</w:t>
            </w:r>
          </w:p>
          <w:p w:rsidR="00BB5816" w:rsidRPr="00116794" w:rsidRDefault="00BB5816" w:rsidP="00146324">
            <w:pPr>
              <w:jc w:val="center"/>
              <w:rPr>
                <w:rFonts w:eastAsia="Times New Roman" w:cs="Times New Roman"/>
                <w:b/>
                <w:szCs w:val="24"/>
                <w:lang w:eastAsia="cs-CZ"/>
              </w:rPr>
            </w:pPr>
            <w:r w:rsidRPr="00116794">
              <w:rPr>
                <w:rFonts w:eastAsia="Times New Roman" w:cs="Times New Roman"/>
                <w:b/>
                <w:szCs w:val="24"/>
                <w:lang w:eastAsia="cs-CZ"/>
              </w:rPr>
              <w:t>2019/</w:t>
            </w:r>
            <w:r w:rsidR="00146324">
              <w:rPr>
                <w:rFonts w:eastAsia="Times New Roman" w:cs="Times New Roman"/>
                <w:b/>
                <w:szCs w:val="24"/>
                <w:lang w:eastAsia="cs-CZ"/>
              </w:rPr>
              <w:br/>
            </w:r>
            <w:r w:rsidRPr="00116794">
              <w:rPr>
                <w:rFonts w:eastAsia="Times New Roman" w:cs="Times New Roman"/>
                <w:b/>
                <w:szCs w:val="24"/>
                <w:lang w:eastAsia="cs-CZ"/>
              </w:rPr>
              <w:t xml:space="preserve">2018 </w:t>
            </w:r>
            <w:r w:rsidR="00347E0D">
              <w:rPr>
                <w:rFonts w:eastAsia="Times New Roman" w:cs="Times New Roman"/>
                <w:b/>
                <w:szCs w:val="24"/>
                <w:lang w:eastAsia="cs-CZ"/>
              </w:rPr>
              <w:br/>
            </w:r>
            <w:r w:rsidRPr="00116794">
              <w:rPr>
                <w:rFonts w:eastAsia="Times New Roman" w:cs="Times New Roman"/>
                <w:b/>
                <w:szCs w:val="24"/>
                <w:lang w:eastAsia="cs-CZ"/>
              </w:rPr>
              <w:t>(v %)</w:t>
            </w:r>
          </w:p>
        </w:tc>
      </w:tr>
      <w:tr w:rsidR="00BB5816" w:rsidRPr="0001421C" w:rsidTr="00347E0D">
        <w:tc>
          <w:tcPr>
            <w:tcW w:w="4280" w:type="dxa"/>
            <w:tcBorders>
              <w:top w:val="single" w:sz="4" w:space="0" w:color="7F7F7F" w:themeColor="text1" w:themeTint="80"/>
              <w:bottom w:val="single" w:sz="8" w:space="0" w:color="7F7F7F" w:themeColor="text1" w:themeTint="80"/>
            </w:tcBorders>
            <w:shd w:val="clear" w:color="auto" w:fill="auto"/>
          </w:tcPr>
          <w:p w:rsidR="00BB5816" w:rsidRPr="00116794" w:rsidRDefault="00BB5816" w:rsidP="000A05A0">
            <w:pPr>
              <w:jc w:val="center"/>
              <w:rPr>
                <w:rFonts w:eastAsia="Times New Roman" w:cs="Times New Roman"/>
                <w:szCs w:val="24"/>
                <w:lang w:eastAsia="cs-CZ"/>
              </w:rPr>
            </w:pPr>
            <w:r w:rsidRPr="00116794">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rsidR="00BB5816" w:rsidRPr="00116794" w:rsidRDefault="00BB5816" w:rsidP="000A05A0">
            <w:pPr>
              <w:jc w:val="center"/>
              <w:rPr>
                <w:rFonts w:eastAsia="Times New Roman" w:cs="Times New Roman"/>
                <w:szCs w:val="24"/>
                <w:lang w:eastAsia="cs-CZ"/>
              </w:rPr>
            </w:pPr>
            <w:r w:rsidRPr="00116794">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BB5816" w:rsidRPr="00116794" w:rsidRDefault="00BB5816" w:rsidP="000A05A0">
            <w:pPr>
              <w:jc w:val="center"/>
              <w:rPr>
                <w:rFonts w:eastAsia="Times New Roman" w:cs="Times New Roman"/>
                <w:szCs w:val="24"/>
                <w:lang w:eastAsia="cs-CZ"/>
              </w:rPr>
            </w:pPr>
            <w:r w:rsidRPr="00116794">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BB5816" w:rsidRPr="00116794" w:rsidRDefault="00BB5816" w:rsidP="000A05A0">
            <w:pPr>
              <w:jc w:val="center"/>
              <w:rPr>
                <w:rFonts w:eastAsia="Times New Roman" w:cs="Times New Roman"/>
                <w:szCs w:val="24"/>
                <w:lang w:eastAsia="cs-CZ"/>
              </w:rPr>
            </w:pPr>
            <w:r w:rsidRPr="00116794">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rsidR="00BB5816" w:rsidRPr="00116794" w:rsidRDefault="00BB5816" w:rsidP="000A05A0">
            <w:pPr>
              <w:jc w:val="center"/>
              <w:rPr>
                <w:rFonts w:eastAsia="Times New Roman" w:cs="Times New Roman"/>
                <w:szCs w:val="24"/>
                <w:lang w:eastAsia="cs-CZ"/>
              </w:rPr>
            </w:pPr>
            <w:r w:rsidRPr="00116794">
              <w:rPr>
                <w:rFonts w:eastAsia="Times New Roman" w:cs="Times New Roman"/>
                <w:szCs w:val="24"/>
                <w:lang w:eastAsia="cs-CZ"/>
              </w:rPr>
              <w:t>4</w:t>
            </w:r>
          </w:p>
        </w:tc>
      </w:tr>
      <w:tr w:rsidR="00BB5816" w:rsidRPr="0001421C" w:rsidTr="00347E0D">
        <w:trPr>
          <w:trHeight w:val="468"/>
        </w:trPr>
        <w:tc>
          <w:tcPr>
            <w:tcW w:w="4280" w:type="dxa"/>
            <w:tcBorders>
              <w:top w:val="single" w:sz="8" w:space="0" w:color="7F7F7F" w:themeColor="text1" w:themeTint="80"/>
              <w:bottom w:val="single" w:sz="8" w:space="0" w:color="7F7F7F" w:themeColor="text1" w:themeTint="80"/>
            </w:tcBorders>
            <w:shd w:val="clear" w:color="auto" w:fill="auto"/>
          </w:tcPr>
          <w:p w:rsidR="00BB5816" w:rsidRPr="00116794" w:rsidRDefault="00BB5816" w:rsidP="000A05A0">
            <w:pPr>
              <w:spacing w:before="120"/>
              <w:rPr>
                <w:rFonts w:eastAsia="Times New Roman" w:cs="Times New Roman"/>
                <w:b/>
                <w:lang w:eastAsia="cs-CZ"/>
              </w:rPr>
            </w:pPr>
            <w:r w:rsidRPr="00116794">
              <w:rPr>
                <w:rFonts w:eastAsia="Times New Roman" w:cs="Times New Roman"/>
                <w:b/>
                <w:bCs/>
                <w:lang w:eastAsia="cs-CZ"/>
              </w:rPr>
              <w:t xml:space="preserve">Běžné výdaje </w:t>
            </w:r>
            <w:r w:rsidRPr="00116794">
              <w:rPr>
                <w:rFonts w:eastAsia="Times New Roman" w:cs="Times New Roman"/>
                <w:lang w:eastAsia="cs-CZ"/>
              </w:rPr>
              <w:t>v tom:</w:t>
            </w:r>
            <w:r w:rsidRPr="00116794">
              <w:rPr>
                <w:rFonts w:eastAsia="Times New Roman" w:cs="Times New Roman"/>
                <w:b/>
                <w:lang w:eastAsia="cs-CZ"/>
              </w:rPr>
              <w:t xml:space="preserve"> </w:t>
            </w:r>
          </w:p>
        </w:tc>
        <w:tc>
          <w:tcPr>
            <w:tcW w:w="1380" w:type="dxa"/>
            <w:tcBorders>
              <w:top w:val="single" w:sz="8" w:space="0" w:color="7F7F7F" w:themeColor="text1" w:themeTint="80"/>
              <w:bottom w:val="single" w:sz="8" w:space="0" w:color="7F7F7F" w:themeColor="text1" w:themeTint="80"/>
            </w:tcBorders>
            <w:shd w:val="clear" w:color="auto" w:fill="auto"/>
            <w:vAlign w:val="center"/>
          </w:tcPr>
          <w:p w:rsidR="00BB5816" w:rsidRPr="00FD3AE2" w:rsidRDefault="00BB5816" w:rsidP="000A05A0">
            <w:pPr>
              <w:jc w:val="right"/>
              <w:rPr>
                <w:rFonts w:eastAsia="Times New Roman" w:cs="Times New Roman"/>
                <w:b/>
                <w:bCs/>
                <w:lang w:eastAsia="cs-CZ"/>
              </w:rPr>
            </w:pPr>
            <w:r>
              <w:rPr>
                <w:rFonts w:eastAsia="Times New Roman" w:cs="Times New Roman"/>
                <w:b/>
                <w:bCs/>
                <w:lang w:eastAsia="cs-CZ"/>
              </w:rPr>
              <w:t>61 953</w:t>
            </w:r>
          </w:p>
        </w:tc>
        <w:tc>
          <w:tcPr>
            <w:tcW w:w="1276" w:type="dxa"/>
            <w:tcBorders>
              <w:top w:val="single" w:sz="8" w:space="0" w:color="7F7F7F" w:themeColor="text1" w:themeTint="80"/>
              <w:bottom w:val="single" w:sz="8" w:space="0" w:color="7F7F7F" w:themeColor="text1" w:themeTint="80"/>
            </w:tcBorders>
            <w:shd w:val="clear" w:color="auto" w:fill="auto"/>
            <w:vAlign w:val="center"/>
          </w:tcPr>
          <w:p w:rsidR="00BB5816" w:rsidRPr="00FD3AE2" w:rsidRDefault="00BB5816" w:rsidP="000A05A0">
            <w:pPr>
              <w:jc w:val="right"/>
              <w:rPr>
                <w:rFonts w:eastAsia="Times New Roman" w:cs="Times New Roman"/>
                <w:b/>
                <w:bCs/>
                <w:lang w:eastAsia="cs-CZ"/>
              </w:rPr>
            </w:pPr>
            <w:r w:rsidRPr="00FD3AE2">
              <w:rPr>
                <w:rFonts w:eastAsia="Times New Roman" w:cs="Times New Roman"/>
                <w:b/>
                <w:bCs/>
                <w:lang w:eastAsia="cs-CZ"/>
              </w:rPr>
              <w:t>68 262</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BB5816" w:rsidRPr="00116794" w:rsidRDefault="00BB5816" w:rsidP="000A05A0">
            <w:pPr>
              <w:jc w:val="right"/>
              <w:rPr>
                <w:rFonts w:eastAsia="Times New Roman" w:cs="Times New Roman"/>
                <w:b/>
                <w:bCs/>
                <w:color w:val="FF0000"/>
                <w:lang w:eastAsia="cs-CZ"/>
              </w:rPr>
            </w:pPr>
            <w:r w:rsidRPr="00970185">
              <w:rPr>
                <w:rFonts w:eastAsia="Times New Roman" w:cs="Times New Roman"/>
                <w:b/>
                <w:bCs/>
                <w:lang w:eastAsia="cs-CZ"/>
              </w:rPr>
              <w:t xml:space="preserve">71 </w:t>
            </w:r>
            <w:r>
              <w:rPr>
                <w:rFonts w:eastAsia="Times New Roman" w:cs="Times New Roman"/>
                <w:b/>
                <w:bCs/>
                <w:lang w:eastAsia="cs-CZ"/>
              </w:rPr>
              <w:t>064</w:t>
            </w:r>
          </w:p>
        </w:tc>
        <w:tc>
          <w:tcPr>
            <w:tcW w:w="992" w:type="dxa"/>
            <w:tcBorders>
              <w:top w:val="single" w:sz="8" w:space="0" w:color="7F7F7F" w:themeColor="text1" w:themeTint="80"/>
              <w:bottom w:val="single" w:sz="8" w:space="0" w:color="7F7F7F" w:themeColor="text1" w:themeTint="80"/>
            </w:tcBorders>
            <w:shd w:val="clear" w:color="auto" w:fill="auto"/>
            <w:vAlign w:val="center"/>
          </w:tcPr>
          <w:p w:rsidR="00BB5816" w:rsidRPr="00533DCB" w:rsidRDefault="00BB5816" w:rsidP="000A05A0">
            <w:pPr>
              <w:jc w:val="right"/>
              <w:rPr>
                <w:rFonts w:eastAsia="Times New Roman" w:cs="Times New Roman"/>
                <w:b/>
                <w:bCs/>
                <w:lang w:eastAsia="cs-CZ"/>
              </w:rPr>
            </w:pPr>
            <w:r w:rsidRPr="00533DCB">
              <w:rPr>
                <w:rFonts w:eastAsia="Times New Roman" w:cs="Times New Roman"/>
                <w:b/>
                <w:bCs/>
                <w:lang w:eastAsia="cs-CZ"/>
              </w:rPr>
              <w:t>104,10</w:t>
            </w:r>
          </w:p>
        </w:tc>
      </w:tr>
      <w:tr w:rsidR="00BB5816" w:rsidRPr="0001421C" w:rsidTr="00347E0D">
        <w:tc>
          <w:tcPr>
            <w:tcW w:w="4280" w:type="dxa"/>
            <w:tcBorders>
              <w:top w:val="single" w:sz="8" w:space="0" w:color="7F7F7F" w:themeColor="text1" w:themeTint="80"/>
              <w:bottom w:val="nil"/>
            </w:tcBorders>
            <w:shd w:val="clear" w:color="auto" w:fill="auto"/>
          </w:tcPr>
          <w:p w:rsidR="00BB5816" w:rsidRPr="00116794" w:rsidRDefault="00BB5816" w:rsidP="000A05A0">
            <w:pPr>
              <w:rPr>
                <w:rFonts w:eastAsia="Times New Roman" w:cs="Times New Roman"/>
                <w:lang w:eastAsia="cs-CZ"/>
              </w:rPr>
            </w:pPr>
            <w:r w:rsidRPr="00116794">
              <w:rPr>
                <w:rFonts w:eastAsia="Times New Roman" w:cs="Times New Roman"/>
                <w:lang w:eastAsia="cs-CZ"/>
              </w:rPr>
              <w:t>platy zaměstnanců a ostatní platby</w:t>
            </w:r>
          </w:p>
          <w:p w:rsidR="00BB5816" w:rsidRPr="00116794" w:rsidRDefault="00BB5816" w:rsidP="000A05A0">
            <w:pPr>
              <w:rPr>
                <w:rFonts w:eastAsia="Times New Roman" w:cs="Times New Roman"/>
                <w:lang w:eastAsia="cs-CZ"/>
              </w:rPr>
            </w:pPr>
            <w:r w:rsidRPr="00116794">
              <w:rPr>
                <w:rFonts w:eastAsia="Times New Roman" w:cs="Times New Roman"/>
                <w:lang w:eastAsia="cs-CZ"/>
              </w:rPr>
              <w:t>za provedenou práci</w:t>
            </w:r>
          </w:p>
        </w:tc>
        <w:tc>
          <w:tcPr>
            <w:tcW w:w="1380" w:type="dxa"/>
            <w:tcBorders>
              <w:top w:val="single" w:sz="8" w:space="0" w:color="7F7F7F" w:themeColor="text1" w:themeTint="80"/>
              <w:bottom w:val="nil"/>
            </w:tcBorders>
            <w:shd w:val="clear" w:color="auto" w:fill="auto"/>
            <w:vAlign w:val="center"/>
          </w:tcPr>
          <w:p w:rsidR="00BB5816" w:rsidRPr="00FD3AE2" w:rsidRDefault="00BB5816" w:rsidP="000A05A0">
            <w:pPr>
              <w:jc w:val="right"/>
              <w:rPr>
                <w:rFonts w:eastAsia="Times New Roman" w:cs="Times New Roman"/>
                <w:lang w:eastAsia="cs-CZ"/>
              </w:rPr>
            </w:pPr>
            <w:r>
              <w:rPr>
                <w:rFonts w:eastAsia="Times New Roman" w:cs="Times New Roman"/>
                <w:lang w:eastAsia="cs-CZ"/>
              </w:rPr>
              <w:t>33 290</w:t>
            </w:r>
          </w:p>
        </w:tc>
        <w:tc>
          <w:tcPr>
            <w:tcW w:w="1276" w:type="dxa"/>
            <w:tcBorders>
              <w:top w:val="single" w:sz="8" w:space="0" w:color="7F7F7F" w:themeColor="text1" w:themeTint="80"/>
              <w:bottom w:val="nil"/>
            </w:tcBorders>
            <w:shd w:val="clear" w:color="auto" w:fill="auto"/>
            <w:vAlign w:val="center"/>
          </w:tcPr>
          <w:p w:rsidR="00BB5816" w:rsidRPr="00FD3AE2" w:rsidRDefault="00BB5816" w:rsidP="000A05A0">
            <w:pPr>
              <w:jc w:val="right"/>
              <w:rPr>
                <w:rFonts w:eastAsia="Times New Roman" w:cs="Times New Roman"/>
                <w:lang w:eastAsia="cs-CZ"/>
              </w:rPr>
            </w:pPr>
            <w:r w:rsidRPr="00FD3AE2">
              <w:rPr>
                <w:rFonts w:eastAsia="Times New Roman" w:cs="Times New Roman"/>
                <w:lang w:eastAsia="cs-CZ"/>
              </w:rPr>
              <w:t>37 356</w:t>
            </w:r>
          </w:p>
        </w:tc>
        <w:tc>
          <w:tcPr>
            <w:tcW w:w="1134" w:type="dxa"/>
            <w:tcBorders>
              <w:top w:val="single" w:sz="8" w:space="0" w:color="7F7F7F" w:themeColor="text1" w:themeTint="80"/>
              <w:bottom w:val="nil"/>
            </w:tcBorders>
            <w:shd w:val="clear" w:color="auto" w:fill="auto"/>
            <w:vAlign w:val="center"/>
          </w:tcPr>
          <w:p w:rsidR="00BB5816" w:rsidRPr="00560423" w:rsidRDefault="00BB5816" w:rsidP="000A05A0">
            <w:pPr>
              <w:jc w:val="right"/>
              <w:rPr>
                <w:rFonts w:eastAsia="Times New Roman" w:cs="Times New Roman"/>
                <w:lang w:eastAsia="cs-CZ"/>
              </w:rPr>
            </w:pPr>
            <w:r w:rsidRPr="00560423">
              <w:rPr>
                <w:rFonts w:eastAsia="Times New Roman" w:cs="Times New Roman"/>
                <w:lang w:eastAsia="cs-CZ"/>
              </w:rPr>
              <w:t>40 163</w:t>
            </w:r>
          </w:p>
        </w:tc>
        <w:tc>
          <w:tcPr>
            <w:tcW w:w="992" w:type="dxa"/>
            <w:tcBorders>
              <w:top w:val="single" w:sz="8" w:space="0" w:color="7F7F7F" w:themeColor="text1" w:themeTint="80"/>
              <w:bottom w:val="nil"/>
            </w:tcBorders>
            <w:shd w:val="clear" w:color="auto" w:fill="auto"/>
            <w:vAlign w:val="center"/>
          </w:tcPr>
          <w:p w:rsidR="00BB5816" w:rsidRPr="00533DCB" w:rsidRDefault="00BB5816" w:rsidP="000A05A0">
            <w:pPr>
              <w:jc w:val="right"/>
              <w:rPr>
                <w:rFonts w:eastAsia="Times New Roman" w:cs="Times New Roman"/>
                <w:lang w:eastAsia="cs-CZ"/>
              </w:rPr>
            </w:pPr>
            <w:r w:rsidRPr="00533DCB">
              <w:rPr>
                <w:rFonts w:eastAsia="Times New Roman" w:cs="Times New Roman"/>
                <w:lang w:eastAsia="cs-CZ"/>
              </w:rPr>
              <w:t>107,51</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z toho: výdaje na programy </w:t>
            </w:r>
            <w:proofErr w:type="spellStart"/>
            <w:r w:rsidRPr="00116794">
              <w:rPr>
                <w:rFonts w:eastAsia="Times New Roman" w:cs="Times New Roman"/>
                <w:i/>
                <w:lang w:eastAsia="cs-CZ"/>
              </w:rPr>
              <w:t>spolufin</w:t>
            </w:r>
            <w:proofErr w:type="spellEnd"/>
            <w:r w:rsidRPr="00116794">
              <w:rPr>
                <w:rFonts w:eastAsia="Times New Roman" w:cs="Times New Roman"/>
                <w:i/>
                <w:lang w:eastAsia="cs-CZ"/>
              </w:rPr>
              <w:t xml:space="preserve">. </w:t>
            </w:r>
            <w:r w:rsidR="00105D3B">
              <w:rPr>
                <w:rFonts w:eastAsia="Times New Roman" w:cs="Times New Roman"/>
                <w:i/>
                <w:lang w:eastAsia="cs-CZ"/>
              </w:rPr>
              <w:t xml:space="preserve">          </w:t>
            </w:r>
            <w:r w:rsidRPr="00116794">
              <w:rPr>
                <w:rFonts w:eastAsia="Times New Roman" w:cs="Times New Roman"/>
                <w:i/>
                <w:lang w:eastAsia="cs-CZ"/>
              </w:rPr>
              <w:t>z rozpočtu EU</w:t>
            </w:r>
          </w:p>
        </w:tc>
        <w:tc>
          <w:tcPr>
            <w:tcW w:w="1380" w:type="dxa"/>
            <w:tcBorders>
              <w:top w:val="nil"/>
              <w:bottom w:val="nil"/>
            </w:tcBorders>
            <w:shd w:val="clear" w:color="auto" w:fill="auto"/>
            <w:vAlign w:val="center"/>
          </w:tcPr>
          <w:p w:rsidR="00BB5816" w:rsidRPr="00FD3AE2" w:rsidRDefault="00BB5816" w:rsidP="000A05A0">
            <w:pPr>
              <w:jc w:val="right"/>
              <w:rPr>
                <w:rFonts w:cs="Times New Roman"/>
              </w:rPr>
            </w:pPr>
            <w:r>
              <w:rPr>
                <w:rFonts w:cs="Times New Roman"/>
              </w:rPr>
              <w:t>704</w:t>
            </w:r>
          </w:p>
        </w:tc>
        <w:tc>
          <w:tcPr>
            <w:tcW w:w="1276" w:type="dxa"/>
            <w:tcBorders>
              <w:top w:val="nil"/>
              <w:bottom w:val="nil"/>
            </w:tcBorders>
            <w:shd w:val="clear" w:color="auto" w:fill="auto"/>
            <w:vAlign w:val="center"/>
          </w:tcPr>
          <w:p w:rsidR="00BB5816" w:rsidRPr="00FD3AE2" w:rsidRDefault="00BB5816" w:rsidP="000A05A0">
            <w:pPr>
              <w:jc w:val="right"/>
              <w:rPr>
                <w:rFonts w:cs="Times New Roman"/>
              </w:rPr>
            </w:pPr>
            <w:r w:rsidRPr="00FD3AE2">
              <w:rPr>
                <w:rFonts w:cs="Times New Roman"/>
              </w:rPr>
              <w:t>1 052</w:t>
            </w:r>
          </w:p>
        </w:tc>
        <w:tc>
          <w:tcPr>
            <w:tcW w:w="1134" w:type="dxa"/>
            <w:tcBorders>
              <w:top w:val="nil"/>
              <w:bottom w:val="nil"/>
            </w:tcBorders>
            <w:shd w:val="clear" w:color="auto" w:fill="auto"/>
            <w:vAlign w:val="center"/>
          </w:tcPr>
          <w:p w:rsidR="00BB5816" w:rsidRPr="00560423" w:rsidRDefault="00BB5816" w:rsidP="000A05A0">
            <w:pPr>
              <w:jc w:val="right"/>
              <w:rPr>
                <w:rFonts w:eastAsia="Times New Roman" w:cs="Times New Roman"/>
                <w:i/>
                <w:lang w:eastAsia="cs-CZ"/>
              </w:rPr>
            </w:pPr>
            <w:r w:rsidRPr="00560423">
              <w:rPr>
                <w:rFonts w:eastAsia="Times New Roman" w:cs="Times New Roman"/>
                <w:i/>
                <w:lang w:eastAsia="cs-CZ"/>
              </w:rPr>
              <w:t xml:space="preserve">686 </w:t>
            </w:r>
          </w:p>
        </w:tc>
        <w:tc>
          <w:tcPr>
            <w:tcW w:w="992" w:type="dxa"/>
            <w:tcBorders>
              <w:top w:val="nil"/>
              <w:bottom w:val="nil"/>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65,21</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             v tom: ze SR</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105</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158</w:t>
            </w:r>
          </w:p>
        </w:tc>
        <w:tc>
          <w:tcPr>
            <w:tcW w:w="1134" w:type="dxa"/>
            <w:tcBorders>
              <w:top w:val="nil"/>
              <w:bottom w:val="nil"/>
            </w:tcBorders>
            <w:shd w:val="clear" w:color="auto" w:fill="auto"/>
            <w:vAlign w:val="center"/>
          </w:tcPr>
          <w:p w:rsidR="00BB5816" w:rsidRPr="00560423" w:rsidRDefault="00BB5816" w:rsidP="000A05A0">
            <w:pPr>
              <w:jc w:val="right"/>
              <w:rPr>
                <w:rFonts w:eastAsia="Times New Roman" w:cs="Times New Roman"/>
                <w:i/>
                <w:lang w:eastAsia="cs-CZ"/>
              </w:rPr>
            </w:pPr>
            <w:r w:rsidRPr="00560423">
              <w:rPr>
                <w:rFonts w:eastAsia="Times New Roman" w:cs="Times New Roman"/>
                <w:i/>
                <w:lang w:eastAsia="cs-CZ"/>
              </w:rPr>
              <w:t>103</w:t>
            </w:r>
          </w:p>
        </w:tc>
        <w:tc>
          <w:tcPr>
            <w:tcW w:w="992" w:type="dxa"/>
            <w:tcBorders>
              <w:top w:val="nil"/>
              <w:bottom w:val="nil"/>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65,19</w:t>
            </w:r>
          </w:p>
        </w:tc>
      </w:tr>
      <w:tr w:rsidR="00BB5816" w:rsidRPr="0001421C" w:rsidTr="00347E0D">
        <w:tc>
          <w:tcPr>
            <w:tcW w:w="4280" w:type="dxa"/>
            <w:tcBorders>
              <w:top w:val="nil"/>
              <w:bottom w:val="single" w:sz="4" w:space="0" w:color="7F7F7F" w:themeColor="text1" w:themeTint="80"/>
            </w:tcBorders>
            <w:shd w:val="clear" w:color="auto" w:fill="auto"/>
          </w:tcPr>
          <w:p w:rsidR="00BB5816" w:rsidRPr="00116794" w:rsidRDefault="00146324" w:rsidP="000A05A0">
            <w:pPr>
              <w:rPr>
                <w:rFonts w:eastAsia="Times New Roman" w:cs="Times New Roman"/>
                <w:i/>
                <w:lang w:eastAsia="cs-CZ"/>
              </w:rPr>
            </w:pPr>
            <w:r>
              <w:rPr>
                <w:rFonts w:eastAsia="Times New Roman" w:cs="Times New Roman"/>
                <w:i/>
                <w:lang w:eastAsia="cs-CZ"/>
              </w:rPr>
              <w:t xml:space="preserve">                        </w:t>
            </w:r>
            <w:r w:rsidR="00BB5816" w:rsidRPr="00116794">
              <w:rPr>
                <w:rFonts w:eastAsia="Times New Roman" w:cs="Times New Roman"/>
                <w:i/>
                <w:lang w:eastAsia="cs-CZ"/>
              </w:rPr>
              <w:t>z rozpočtu EU</w:t>
            </w:r>
          </w:p>
        </w:tc>
        <w:tc>
          <w:tcPr>
            <w:tcW w:w="1380" w:type="dxa"/>
            <w:tcBorders>
              <w:top w:val="nil"/>
              <w:bottom w:val="single" w:sz="4" w:space="0" w:color="7F7F7F" w:themeColor="text1" w:themeTint="80"/>
            </w:tcBorders>
            <w:shd w:val="clear" w:color="auto" w:fill="auto"/>
            <w:vAlign w:val="center"/>
          </w:tcPr>
          <w:p w:rsidR="00BB5816" w:rsidRPr="00951531" w:rsidRDefault="00BB5816" w:rsidP="000A05A0">
            <w:pPr>
              <w:jc w:val="right"/>
              <w:rPr>
                <w:rFonts w:cs="Times New Roman"/>
              </w:rPr>
            </w:pPr>
            <w:r w:rsidRPr="00951531">
              <w:rPr>
                <w:rFonts w:cs="Times New Roman"/>
              </w:rPr>
              <w:t>599</w:t>
            </w:r>
          </w:p>
        </w:tc>
        <w:tc>
          <w:tcPr>
            <w:tcW w:w="1276" w:type="dxa"/>
            <w:tcBorders>
              <w:top w:val="nil"/>
              <w:bottom w:val="single" w:sz="4" w:space="0" w:color="7F7F7F" w:themeColor="text1" w:themeTint="80"/>
            </w:tcBorders>
            <w:shd w:val="clear" w:color="auto" w:fill="auto"/>
            <w:vAlign w:val="center"/>
          </w:tcPr>
          <w:p w:rsidR="00BB5816" w:rsidRPr="00B4382A" w:rsidRDefault="00BB5816" w:rsidP="000A05A0">
            <w:pPr>
              <w:jc w:val="right"/>
              <w:rPr>
                <w:rFonts w:cs="Times New Roman"/>
              </w:rPr>
            </w:pPr>
            <w:r w:rsidRPr="00B4382A">
              <w:rPr>
                <w:rFonts w:cs="Times New Roman"/>
              </w:rPr>
              <w:t>894</w:t>
            </w:r>
          </w:p>
        </w:tc>
        <w:tc>
          <w:tcPr>
            <w:tcW w:w="1134" w:type="dxa"/>
            <w:tcBorders>
              <w:top w:val="nil"/>
              <w:bottom w:val="single" w:sz="4" w:space="0" w:color="7F7F7F" w:themeColor="text1" w:themeTint="80"/>
            </w:tcBorders>
            <w:shd w:val="clear" w:color="auto" w:fill="auto"/>
            <w:vAlign w:val="center"/>
          </w:tcPr>
          <w:p w:rsidR="00BB5816" w:rsidRPr="00560423" w:rsidRDefault="00BB5816" w:rsidP="000A05A0">
            <w:pPr>
              <w:jc w:val="right"/>
              <w:rPr>
                <w:rFonts w:eastAsia="Times New Roman" w:cs="Times New Roman"/>
                <w:i/>
                <w:lang w:eastAsia="cs-CZ"/>
              </w:rPr>
            </w:pPr>
            <w:r w:rsidRPr="00560423">
              <w:rPr>
                <w:rFonts w:eastAsia="Times New Roman" w:cs="Times New Roman"/>
                <w:i/>
                <w:lang w:eastAsia="cs-CZ"/>
              </w:rPr>
              <w:t>583</w:t>
            </w:r>
          </w:p>
        </w:tc>
        <w:tc>
          <w:tcPr>
            <w:tcW w:w="992" w:type="dxa"/>
            <w:tcBorders>
              <w:top w:val="nil"/>
              <w:bottom w:val="single" w:sz="4" w:space="0" w:color="7F7F7F" w:themeColor="text1" w:themeTint="80"/>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65,21</w:t>
            </w:r>
          </w:p>
        </w:tc>
      </w:tr>
      <w:tr w:rsidR="00BB5816" w:rsidRPr="0001421C" w:rsidTr="00347E0D">
        <w:tc>
          <w:tcPr>
            <w:tcW w:w="4280" w:type="dxa"/>
            <w:tcBorders>
              <w:top w:val="single" w:sz="4" w:space="0" w:color="7F7F7F" w:themeColor="text1" w:themeTint="80"/>
              <w:bottom w:val="nil"/>
            </w:tcBorders>
            <w:shd w:val="clear" w:color="auto" w:fill="auto"/>
          </w:tcPr>
          <w:p w:rsidR="00BB5816" w:rsidRPr="00116794" w:rsidRDefault="00BB5816" w:rsidP="000A05A0">
            <w:pPr>
              <w:rPr>
                <w:rFonts w:eastAsia="Times New Roman" w:cs="Times New Roman"/>
                <w:lang w:eastAsia="cs-CZ"/>
              </w:rPr>
            </w:pPr>
            <w:r w:rsidRPr="00116794">
              <w:rPr>
                <w:rFonts w:eastAsia="Times New Roman" w:cs="Times New Roman"/>
                <w:lang w:eastAsia="cs-CZ"/>
              </w:rPr>
              <w:t>povinné pojistné placené zaměstnavatelem</w:t>
            </w:r>
          </w:p>
        </w:tc>
        <w:tc>
          <w:tcPr>
            <w:tcW w:w="1380" w:type="dxa"/>
            <w:tcBorders>
              <w:top w:val="single" w:sz="4" w:space="0" w:color="7F7F7F" w:themeColor="text1" w:themeTint="80"/>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11 347</w:t>
            </w:r>
          </w:p>
        </w:tc>
        <w:tc>
          <w:tcPr>
            <w:tcW w:w="1276" w:type="dxa"/>
            <w:tcBorders>
              <w:top w:val="single" w:sz="4" w:space="0" w:color="7F7F7F" w:themeColor="text1" w:themeTint="80"/>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12 701</w:t>
            </w:r>
          </w:p>
        </w:tc>
        <w:tc>
          <w:tcPr>
            <w:tcW w:w="1134" w:type="dxa"/>
            <w:tcBorders>
              <w:top w:val="single" w:sz="4" w:space="0" w:color="7F7F7F" w:themeColor="text1" w:themeTint="80"/>
              <w:bottom w:val="nil"/>
            </w:tcBorders>
            <w:shd w:val="clear" w:color="auto" w:fill="auto"/>
            <w:vAlign w:val="center"/>
          </w:tcPr>
          <w:p w:rsidR="00BB5816" w:rsidRPr="00116794" w:rsidRDefault="00BB5816" w:rsidP="000A05A0">
            <w:pPr>
              <w:jc w:val="right"/>
              <w:rPr>
                <w:rFonts w:eastAsia="Times New Roman" w:cs="Times New Roman"/>
                <w:color w:val="FF0000"/>
                <w:lang w:eastAsia="cs-CZ"/>
              </w:rPr>
            </w:pPr>
            <w:r w:rsidRPr="00BE2250">
              <w:rPr>
                <w:rFonts w:eastAsia="Times New Roman" w:cs="Times New Roman"/>
                <w:lang w:eastAsia="cs-CZ"/>
              </w:rPr>
              <w:t>13 655</w:t>
            </w:r>
          </w:p>
        </w:tc>
        <w:tc>
          <w:tcPr>
            <w:tcW w:w="992" w:type="dxa"/>
            <w:tcBorders>
              <w:top w:val="single" w:sz="4" w:space="0" w:color="7F7F7F" w:themeColor="text1" w:themeTint="80"/>
              <w:bottom w:val="nil"/>
            </w:tcBorders>
            <w:shd w:val="clear" w:color="auto" w:fill="auto"/>
            <w:vAlign w:val="center"/>
          </w:tcPr>
          <w:p w:rsidR="00BB5816" w:rsidRPr="00533DCB" w:rsidRDefault="00BB5816" w:rsidP="000A05A0">
            <w:pPr>
              <w:jc w:val="right"/>
              <w:rPr>
                <w:rFonts w:eastAsia="Times New Roman" w:cs="Times New Roman"/>
                <w:lang w:eastAsia="cs-CZ"/>
              </w:rPr>
            </w:pPr>
            <w:r w:rsidRPr="00533DCB">
              <w:rPr>
                <w:rFonts w:eastAsia="Times New Roman" w:cs="Times New Roman"/>
                <w:lang w:eastAsia="cs-CZ"/>
              </w:rPr>
              <w:t>107,51</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z toho: výdaje na programy </w:t>
            </w:r>
            <w:proofErr w:type="spellStart"/>
            <w:r w:rsidRPr="00116794">
              <w:rPr>
                <w:rFonts w:eastAsia="Times New Roman" w:cs="Times New Roman"/>
                <w:i/>
                <w:lang w:eastAsia="cs-CZ"/>
              </w:rPr>
              <w:t>spolufin</w:t>
            </w:r>
            <w:proofErr w:type="spellEnd"/>
            <w:r w:rsidRPr="00116794">
              <w:rPr>
                <w:rFonts w:eastAsia="Times New Roman" w:cs="Times New Roman"/>
                <w:i/>
                <w:lang w:eastAsia="cs-CZ"/>
              </w:rPr>
              <w:t xml:space="preserve">. </w:t>
            </w:r>
            <w:r w:rsidR="00105D3B">
              <w:rPr>
                <w:rFonts w:eastAsia="Times New Roman" w:cs="Times New Roman"/>
                <w:i/>
                <w:lang w:eastAsia="cs-CZ"/>
              </w:rPr>
              <w:t xml:space="preserve">           </w:t>
            </w:r>
            <w:r w:rsidRPr="00116794">
              <w:rPr>
                <w:rFonts w:eastAsia="Times New Roman" w:cs="Times New Roman"/>
                <w:i/>
                <w:lang w:eastAsia="cs-CZ"/>
              </w:rPr>
              <w:t>z rozpočtu EU</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268</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358</w:t>
            </w:r>
          </w:p>
        </w:tc>
        <w:tc>
          <w:tcPr>
            <w:tcW w:w="1134" w:type="dxa"/>
            <w:tcBorders>
              <w:top w:val="nil"/>
              <w:bottom w:val="nil"/>
            </w:tcBorders>
            <w:shd w:val="clear" w:color="auto" w:fill="auto"/>
            <w:vAlign w:val="center"/>
          </w:tcPr>
          <w:p w:rsidR="00BB5816" w:rsidRPr="00BE2250" w:rsidRDefault="00BB5816" w:rsidP="000A05A0">
            <w:pPr>
              <w:jc w:val="right"/>
              <w:rPr>
                <w:rFonts w:eastAsia="Times New Roman" w:cs="Times New Roman"/>
                <w:i/>
                <w:lang w:eastAsia="cs-CZ"/>
              </w:rPr>
            </w:pPr>
            <w:r w:rsidRPr="00BE2250">
              <w:rPr>
                <w:rFonts w:eastAsia="Times New Roman" w:cs="Times New Roman"/>
                <w:i/>
                <w:lang w:eastAsia="cs-CZ"/>
              </w:rPr>
              <w:t>233</w:t>
            </w:r>
          </w:p>
        </w:tc>
        <w:tc>
          <w:tcPr>
            <w:tcW w:w="992" w:type="dxa"/>
            <w:tcBorders>
              <w:top w:val="nil"/>
              <w:bottom w:val="nil"/>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65,08</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             v tom: ze SR</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40</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54</w:t>
            </w:r>
          </w:p>
        </w:tc>
        <w:tc>
          <w:tcPr>
            <w:tcW w:w="1134" w:type="dxa"/>
            <w:tcBorders>
              <w:top w:val="nil"/>
              <w:bottom w:val="nil"/>
            </w:tcBorders>
            <w:shd w:val="clear" w:color="auto" w:fill="auto"/>
            <w:vAlign w:val="center"/>
          </w:tcPr>
          <w:p w:rsidR="00BB5816" w:rsidRPr="00BE2250" w:rsidRDefault="00BB5816" w:rsidP="000A05A0">
            <w:pPr>
              <w:jc w:val="right"/>
              <w:rPr>
                <w:rFonts w:eastAsia="Times New Roman" w:cs="Times New Roman"/>
                <w:i/>
                <w:lang w:eastAsia="cs-CZ"/>
              </w:rPr>
            </w:pPr>
            <w:r w:rsidRPr="00BE2250">
              <w:rPr>
                <w:rFonts w:eastAsia="Times New Roman" w:cs="Times New Roman"/>
                <w:i/>
                <w:lang w:eastAsia="cs-CZ"/>
              </w:rPr>
              <w:t>35</w:t>
            </w:r>
          </w:p>
        </w:tc>
        <w:tc>
          <w:tcPr>
            <w:tcW w:w="992" w:type="dxa"/>
            <w:tcBorders>
              <w:top w:val="nil"/>
              <w:bottom w:val="nil"/>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64,81</w:t>
            </w:r>
          </w:p>
        </w:tc>
      </w:tr>
      <w:tr w:rsidR="00BB5816" w:rsidRPr="0001421C" w:rsidTr="00347E0D">
        <w:tc>
          <w:tcPr>
            <w:tcW w:w="4280" w:type="dxa"/>
            <w:tcBorders>
              <w:top w:val="nil"/>
              <w:bottom w:val="single" w:sz="4" w:space="0" w:color="7F7F7F" w:themeColor="text1" w:themeTint="80"/>
            </w:tcBorders>
            <w:shd w:val="clear" w:color="auto" w:fill="auto"/>
          </w:tcPr>
          <w:p w:rsidR="00BB5816" w:rsidRPr="00116794" w:rsidRDefault="00146324" w:rsidP="000A05A0">
            <w:pPr>
              <w:rPr>
                <w:rFonts w:eastAsia="Times New Roman" w:cs="Times New Roman"/>
                <w:i/>
                <w:lang w:eastAsia="cs-CZ"/>
              </w:rPr>
            </w:pPr>
            <w:r>
              <w:rPr>
                <w:rFonts w:eastAsia="Times New Roman" w:cs="Times New Roman"/>
                <w:i/>
                <w:lang w:eastAsia="cs-CZ"/>
              </w:rPr>
              <w:t xml:space="preserve">                        </w:t>
            </w:r>
            <w:r w:rsidR="00BB5816" w:rsidRPr="00116794">
              <w:rPr>
                <w:rFonts w:eastAsia="Times New Roman" w:cs="Times New Roman"/>
                <w:i/>
                <w:lang w:eastAsia="cs-CZ"/>
              </w:rPr>
              <w:t>z rozpočtu EU</w:t>
            </w:r>
          </w:p>
        </w:tc>
        <w:tc>
          <w:tcPr>
            <w:tcW w:w="1380" w:type="dxa"/>
            <w:tcBorders>
              <w:top w:val="nil"/>
              <w:bottom w:val="single" w:sz="4" w:space="0" w:color="7F7F7F" w:themeColor="text1" w:themeTint="80"/>
            </w:tcBorders>
            <w:shd w:val="clear" w:color="auto" w:fill="auto"/>
            <w:vAlign w:val="center"/>
          </w:tcPr>
          <w:p w:rsidR="00BB5816" w:rsidRPr="00951531" w:rsidRDefault="00BB5816" w:rsidP="000A05A0">
            <w:pPr>
              <w:jc w:val="right"/>
              <w:rPr>
                <w:rFonts w:cs="Times New Roman"/>
              </w:rPr>
            </w:pPr>
            <w:r w:rsidRPr="00951531">
              <w:rPr>
                <w:rFonts w:cs="Times New Roman"/>
              </w:rPr>
              <w:t>228</w:t>
            </w:r>
          </w:p>
        </w:tc>
        <w:tc>
          <w:tcPr>
            <w:tcW w:w="1276" w:type="dxa"/>
            <w:tcBorders>
              <w:top w:val="nil"/>
              <w:bottom w:val="single" w:sz="4" w:space="0" w:color="7F7F7F" w:themeColor="text1" w:themeTint="80"/>
            </w:tcBorders>
            <w:shd w:val="clear" w:color="auto" w:fill="auto"/>
            <w:vAlign w:val="center"/>
          </w:tcPr>
          <w:p w:rsidR="00BB5816" w:rsidRPr="00B4382A" w:rsidRDefault="00BB5816" w:rsidP="000A05A0">
            <w:pPr>
              <w:jc w:val="right"/>
              <w:rPr>
                <w:rFonts w:cs="Times New Roman"/>
              </w:rPr>
            </w:pPr>
            <w:r w:rsidRPr="00B4382A">
              <w:rPr>
                <w:rFonts w:cs="Times New Roman"/>
              </w:rPr>
              <w:t>304</w:t>
            </w:r>
          </w:p>
        </w:tc>
        <w:tc>
          <w:tcPr>
            <w:tcW w:w="1134" w:type="dxa"/>
            <w:tcBorders>
              <w:top w:val="nil"/>
              <w:bottom w:val="single" w:sz="4" w:space="0" w:color="7F7F7F" w:themeColor="text1" w:themeTint="80"/>
            </w:tcBorders>
            <w:shd w:val="clear" w:color="auto" w:fill="auto"/>
            <w:vAlign w:val="center"/>
          </w:tcPr>
          <w:p w:rsidR="00BB5816" w:rsidRPr="00BE2250" w:rsidRDefault="00BB5816" w:rsidP="000A05A0">
            <w:pPr>
              <w:jc w:val="right"/>
              <w:rPr>
                <w:rFonts w:eastAsia="Times New Roman" w:cs="Times New Roman"/>
                <w:i/>
                <w:lang w:eastAsia="cs-CZ"/>
              </w:rPr>
            </w:pPr>
            <w:r w:rsidRPr="00BE2250">
              <w:rPr>
                <w:rFonts w:eastAsia="Times New Roman" w:cs="Times New Roman"/>
                <w:i/>
                <w:lang w:eastAsia="cs-CZ"/>
              </w:rPr>
              <w:t>198</w:t>
            </w:r>
          </w:p>
        </w:tc>
        <w:tc>
          <w:tcPr>
            <w:tcW w:w="992" w:type="dxa"/>
            <w:tcBorders>
              <w:top w:val="nil"/>
              <w:bottom w:val="single" w:sz="4" w:space="0" w:color="7F7F7F" w:themeColor="text1" w:themeTint="80"/>
            </w:tcBorders>
            <w:shd w:val="clear" w:color="auto" w:fill="auto"/>
            <w:vAlign w:val="center"/>
          </w:tcPr>
          <w:p w:rsidR="00BB5816" w:rsidRPr="00533DCB" w:rsidRDefault="00BB5816" w:rsidP="00146324">
            <w:pPr>
              <w:jc w:val="right"/>
              <w:rPr>
                <w:rFonts w:eastAsia="Times New Roman" w:cs="Times New Roman"/>
                <w:i/>
                <w:lang w:eastAsia="cs-CZ"/>
              </w:rPr>
            </w:pPr>
            <w:r w:rsidRPr="00533DCB">
              <w:rPr>
                <w:rFonts w:eastAsia="Times New Roman" w:cs="Times New Roman"/>
                <w:i/>
                <w:lang w:eastAsia="cs-CZ"/>
              </w:rPr>
              <w:t>65,13</w:t>
            </w:r>
          </w:p>
        </w:tc>
      </w:tr>
      <w:tr w:rsidR="00BB5816" w:rsidRPr="0001421C" w:rsidTr="00347E0D">
        <w:tc>
          <w:tcPr>
            <w:tcW w:w="4280" w:type="dxa"/>
            <w:tcBorders>
              <w:top w:val="single" w:sz="4" w:space="0" w:color="7F7F7F" w:themeColor="text1" w:themeTint="80"/>
              <w:bottom w:val="nil"/>
            </w:tcBorders>
            <w:shd w:val="clear" w:color="auto" w:fill="auto"/>
          </w:tcPr>
          <w:p w:rsidR="00BB5816" w:rsidRPr="00116794" w:rsidRDefault="00BB5816" w:rsidP="000A05A0">
            <w:pPr>
              <w:rPr>
                <w:rFonts w:eastAsia="Times New Roman" w:cs="Times New Roman"/>
                <w:lang w:eastAsia="cs-CZ"/>
              </w:rPr>
            </w:pPr>
            <w:r w:rsidRPr="00116794">
              <w:rPr>
                <w:rFonts w:eastAsia="Times New Roman" w:cs="Times New Roman"/>
                <w:lang w:eastAsia="cs-CZ"/>
              </w:rPr>
              <w:t>převod FKSP</w:t>
            </w:r>
          </w:p>
        </w:tc>
        <w:tc>
          <w:tcPr>
            <w:tcW w:w="1380" w:type="dxa"/>
            <w:tcBorders>
              <w:top w:val="single" w:sz="4" w:space="0" w:color="7F7F7F" w:themeColor="text1" w:themeTint="80"/>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664</w:t>
            </w:r>
          </w:p>
        </w:tc>
        <w:tc>
          <w:tcPr>
            <w:tcW w:w="1276" w:type="dxa"/>
            <w:tcBorders>
              <w:top w:val="single" w:sz="4" w:space="0" w:color="7F7F7F" w:themeColor="text1" w:themeTint="80"/>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746</w:t>
            </w:r>
          </w:p>
        </w:tc>
        <w:tc>
          <w:tcPr>
            <w:tcW w:w="1134" w:type="dxa"/>
            <w:tcBorders>
              <w:top w:val="single" w:sz="4" w:space="0" w:color="7F7F7F" w:themeColor="text1" w:themeTint="80"/>
              <w:bottom w:val="nil"/>
            </w:tcBorders>
            <w:shd w:val="clear" w:color="auto" w:fill="auto"/>
            <w:vAlign w:val="center"/>
          </w:tcPr>
          <w:p w:rsidR="00BB5816" w:rsidRPr="00BE2250" w:rsidRDefault="00BB5816" w:rsidP="000A05A0">
            <w:pPr>
              <w:jc w:val="right"/>
              <w:rPr>
                <w:rFonts w:eastAsia="Times New Roman" w:cs="Times New Roman"/>
                <w:lang w:eastAsia="cs-CZ"/>
              </w:rPr>
            </w:pPr>
            <w:r w:rsidRPr="00BE2250">
              <w:rPr>
                <w:rFonts w:eastAsia="Times New Roman" w:cs="Times New Roman"/>
                <w:lang w:eastAsia="cs-CZ"/>
              </w:rPr>
              <w:t>802</w:t>
            </w:r>
          </w:p>
        </w:tc>
        <w:tc>
          <w:tcPr>
            <w:tcW w:w="992" w:type="dxa"/>
            <w:tcBorders>
              <w:top w:val="single" w:sz="4" w:space="0" w:color="7F7F7F" w:themeColor="text1" w:themeTint="80"/>
              <w:bottom w:val="nil"/>
            </w:tcBorders>
            <w:shd w:val="clear" w:color="auto" w:fill="auto"/>
            <w:vAlign w:val="center"/>
          </w:tcPr>
          <w:p w:rsidR="00BB5816" w:rsidRPr="00533DCB" w:rsidRDefault="00BB5816" w:rsidP="000A05A0">
            <w:pPr>
              <w:jc w:val="right"/>
              <w:rPr>
                <w:rFonts w:eastAsia="Times New Roman" w:cs="Times New Roman"/>
                <w:lang w:eastAsia="cs-CZ"/>
              </w:rPr>
            </w:pPr>
            <w:r w:rsidRPr="00533DCB">
              <w:rPr>
                <w:rFonts w:eastAsia="Times New Roman" w:cs="Times New Roman"/>
                <w:lang w:eastAsia="cs-CZ"/>
              </w:rPr>
              <w:t>107,51</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z toho: výdaje na programy </w:t>
            </w:r>
            <w:proofErr w:type="spellStart"/>
            <w:r w:rsidRPr="00116794">
              <w:rPr>
                <w:rFonts w:eastAsia="Times New Roman" w:cs="Times New Roman"/>
                <w:i/>
                <w:lang w:eastAsia="cs-CZ"/>
              </w:rPr>
              <w:t>spolufin</w:t>
            </w:r>
            <w:proofErr w:type="spellEnd"/>
            <w:r w:rsidRPr="00116794">
              <w:rPr>
                <w:rFonts w:eastAsia="Times New Roman" w:cs="Times New Roman"/>
                <w:i/>
                <w:lang w:eastAsia="cs-CZ"/>
              </w:rPr>
              <w:t xml:space="preserve">. </w:t>
            </w:r>
            <w:r w:rsidR="00105D3B">
              <w:rPr>
                <w:rFonts w:eastAsia="Times New Roman" w:cs="Times New Roman"/>
                <w:i/>
                <w:lang w:eastAsia="cs-CZ"/>
              </w:rPr>
              <w:t xml:space="preserve">           </w:t>
            </w:r>
            <w:r w:rsidRPr="00116794">
              <w:rPr>
                <w:rFonts w:eastAsia="Times New Roman" w:cs="Times New Roman"/>
                <w:i/>
                <w:lang w:eastAsia="cs-CZ"/>
              </w:rPr>
              <w:t>z rozpočtu EU</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14</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21</w:t>
            </w:r>
          </w:p>
        </w:tc>
        <w:tc>
          <w:tcPr>
            <w:tcW w:w="1134" w:type="dxa"/>
            <w:tcBorders>
              <w:top w:val="nil"/>
              <w:bottom w:val="nil"/>
            </w:tcBorders>
            <w:shd w:val="clear" w:color="auto" w:fill="auto"/>
            <w:vAlign w:val="center"/>
          </w:tcPr>
          <w:p w:rsidR="00BB5816" w:rsidRPr="00BE2250" w:rsidRDefault="00BB5816" w:rsidP="000A05A0">
            <w:pPr>
              <w:jc w:val="right"/>
              <w:rPr>
                <w:rFonts w:eastAsia="Times New Roman" w:cs="Times New Roman"/>
                <w:i/>
                <w:lang w:eastAsia="cs-CZ"/>
              </w:rPr>
            </w:pPr>
            <w:r w:rsidRPr="00BE2250">
              <w:rPr>
                <w:rFonts w:eastAsia="Times New Roman" w:cs="Times New Roman"/>
                <w:i/>
                <w:lang w:eastAsia="cs-CZ"/>
              </w:rPr>
              <w:t>14</w:t>
            </w:r>
          </w:p>
        </w:tc>
        <w:tc>
          <w:tcPr>
            <w:tcW w:w="992" w:type="dxa"/>
            <w:tcBorders>
              <w:top w:val="nil"/>
              <w:bottom w:val="nil"/>
              <w:right w:val="single" w:sz="8" w:space="0" w:color="7F7F7F" w:themeColor="text1" w:themeTint="80"/>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66,67</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             v tom: ze SR</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2</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3</w:t>
            </w:r>
          </w:p>
        </w:tc>
        <w:tc>
          <w:tcPr>
            <w:tcW w:w="1134" w:type="dxa"/>
            <w:tcBorders>
              <w:top w:val="nil"/>
              <w:bottom w:val="nil"/>
            </w:tcBorders>
            <w:shd w:val="clear" w:color="auto" w:fill="auto"/>
            <w:vAlign w:val="center"/>
          </w:tcPr>
          <w:p w:rsidR="00BB5816" w:rsidRPr="00BE2250" w:rsidRDefault="00BB5816" w:rsidP="000A05A0">
            <w:pPr>
              <w:jc w:val="right"/>
              <w:rPr>
                <w:rFonts w:eastAsia="Times New Roman" w:cs="Times New Roman"/>
                <w:i/>
                <w:lang w:eastAsia="cs-CZ"/>
              </w:rPr>
            </w:pPr>
            <w:r w:rsidRPr="00BE2250">
              <w:rPr>
                <w:rFonts w:eastAsia="Times New Roman" w:cs="Times New Roman"/>
                <w:i/>
                <w:lang w:eastAsia="cs-CZ"/>
              </w:rPr>
              <w:t>2</w:t>
            </w:r>
          </w:p>
        </w:tc>
        <w:tc>
          <w:tcPr>
            <w:tcW w:w="992" w:type="dxa"/>
            <w:tcBorders>
              <w:top w:val="nil"/>
              <w:bottom w:val="nil"/>
              <w:right w:val="single" w:sz="8" w:space="0" w:color="7F7F7F" w:themeColor="text1" w:themeTint="80"/>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66,67</w:t>
            </w:r>
          </w:p>
        </w:tc>
      </w:tr>
      <w:tr w:rsidR="00BB5816" w:rsidRPr="0001421C" w:rsidTr="00347E0D">
        <w:tc>
          <w:tcPr>
            <w:tcW w:w="4280" w:type="dxa"/>
            <w:tcBorders>
              <w:top w:val="nil"/>
              <w:bottom w:val="single" w:sz="4" w:space="0" w:color="7F7F7F" w:themeColor="text1" w:themeTint="80"/>
            </w:tcBorders>
            <w:shd w:val="clear" w:color="auto" w:fill="auto"/>
          </w:tcPr>
          <w:p w:rsidR="00BB5816" w:rsidRPr="00116794" w:rsidRDefault="00146324" w:rsidP="000A05A0">
            <w:pPr>
              <w:rPr>
                <w:rFonts w:eastAsia="Times New Roman" w:cs="Times New Roman"/>
                <w:i/>
                <w:lang w:eastAsia="cs-CZ"/>
              </w:rPr>
            </w:pPr>
            <w:r>
              <w:rPr>
                <w:rFonts w:eastAsia="Times New Roman" w:cs="Times New Roman"/>
                <w:i/>
                <w:lang w:eastAsia="cs-CZ"/>
              </w:rPr>
              <w:t xml:space="preserve">                        </w:t>
            </w:r>
            <w:r w:rsidR="00BB5816" w:rsidRPr="00116794">
              <w:rPr>
                <w:rFonts w:eastAsia="Times New Roman" w:cs="Times New Roman"/>
                <w:i/>
                <w:lang w:eastAsia="cs-CZ"/>
              </w:rPr>
              <w:t>z rozpočtu EU</w:t>
            </w:r>
          </w:p>
        </w:tc>
        <w:tc>
          <w:tcPr>
            <w:tcW w:w="1380" w:type="dxa"/>
            <w:tcBorders>
              <w:top w:val="nil"/>
              <w:bottom w:val="single" w:sz="4" w:space="0" w:color="7F7F7F" w:themeColor="text1" w:themeTint="80"/>
            </w:tcBorders>
            <w:shd w:val="clear" w:color="auto" w:fill="auto"/>
            <w:vAlign w:val="center"/>
          </w:tcPr>
          <w:p w:rsidR="00BB5816" w:rsidRPr="00951531" w:rsidRDefault="00BB5816" w:rsidP="000A05A0">
            <w:pPr>
              <w:jc w:val="right"/>
              <w:rPr>
                <w:rFonts w:cs="Times New Roman"/>
              </w:rPr>
            </w:pPr>
            <w:r w:rsidRPr="00951531">
              <w:rPr>
                <w:rFonts w:cs="Times New Roman"/>
              </w:rPr>
              <w:t>12</w:t>
            </w:r>
          </w:p>
        </w:tc>
        <w:tc>
          <w:tcPr>
            <w:tcW w:w="1276" w:type="dxa"/>
            <w:tcBorders>
              <w:top w:val="nil"/>
              <w:bottom w:val="single" w:sz="4" w:space="0" w:color="7F7F7F" w:themeColor="text1" w:themeTint="80"/>
            </w:tcBorders>
            <w:shd w:val="clear" w:color="auto" w:fill="auto"/>
            <w:vAlign w:val="center"/>
          </w:tcPr>
          <w:p w:rsidR="00BB5816" w:rsidRPr="00B4382A" w:rsidRDefault="00BB5816" w:rsidP="000A05A0">
            <w:pPr>
              <w:jc w:val="right"/>
              <w:rPr>
                <w:rFonts w:cs="Times New Roman"/>
              </w:rPr>
            </w:pPr>
            <w:r w:rsidRPr="00B4382A">
              <w:rPr>
                <w:rFonts w:cs="Times New Roman"/>
              </w:rPr>
              <w:t>18</w:t>
            </w:r>
          </w:p>
        </w:tc>
        <w:tc>
          <w:tcPr>
            <w:tcW w:w="1134" w:type="dxa"/>
            <w:tcBorders>
              <w:top w:val="nil"/>
              <w:bottom w:val="single" w:sz="4" w:space="0" w:color="7F7F7F" w:themeColor="text1" w:themeTint="80"/>
            </w:tcBorders>
            <w:shd w:val="clear" w:color="auto" w:fill="auto"/>
            <w:vAlign w:val="center"/>
          </w:tcPr>
          <w:p w:rsidR="00BB5816" w:rsidRPr="00BE2250" w:rsidRDefault="00BB5816" w:rsidP="000A05A0">
            <w:pPr>
              <w:jc w:val="right"/>
              <w:rPr>
                <w:rFonts w:eastAsia="Times New Roman" w:cs="Times New Roman"/>
                <w:i/>
                <w:lang w:eastAsia="cs-CZ"/>
              </w:rPr>
            </w:pPr>
            <w:r w:rsidRPr="00BE2250">
              <w:rPr>
                <w:rFonts w:eastAsia="Times New Roman" w:cs="Times New Roman"/>
                <w:i/>
                <w:lang w:eastAsia="cs-CZ"/>
              </w:rPr>
              <w:t>12</w:t>
            </w:r>
          </w:p>
        </w:tc>
        <w:tc>
          <w:tcPr>
            <w:tcW w:w="992" w:type="dxa"/>
            <w:tcBorders>
              <w:top w:val="nil"/>
              <w:bottom w:val="single" w:sz="4" w:space="0" w:color="7F7F7F" w:themeColor="text1" w:themeTint="80"/>
              <w:right w:val="single" w:sz="8" w:space="0" w:color="7F7F7F" w:themeColor="text1" w:themeTint="80"/>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66,67</w:t>
            </w:r>
          </w:p>
        </w:tc>
      </w:tr>
      <w:tr w:rsidR="00BB5816" w:rsidRPr="0001421C" w:rsidTr="00347E0D">
        <w:trPr>
          <w:trHeight w:val="349"/>
        </w:trPr>
        <w:tc>
          <w:tcPr>
            <w:tcW w:w="4280" w:type="dxa"/>
            <w:tcBorders>
              <w:top w:val="single" w:sz="4" w:space="0" w:color="7F7F7F" w:themeColor="text1" w:themeTint="80"/>
              <w:bottom w:val="nil"/>
            </w:tcBorders>
            <w:shd w:val="clear" w:color="auto" w:fill="auto"/>
          </w:tcPr>
          <w:p w:rsidR="00BB5816" w:rsidRPr="00116794" w:rsidRDefault="00BB5816" w:rsidP="000A05A0">
            <w:pPr>
              <w:spacing w:before="60"/>
              <w:rPr>
                <w:rFonts w:eastAsia="Times New Roman" w:cs="Times New Roman"/>
                <w:lang w:eastAsia="cs-CZ"/>
              </w:rPr>
            </w:pPr>
            <w:r w:rsidRPr="00116794">
              <w:rPr>
                <w:rFonts w:eastAsia="Times New Roman" w:cs="Times New Roman"/>
                <w:lang w:eastAsia="cs-CZ"/>
              </w:rPr>
              <w:t>ostatní neinvestiční nákupy a související výdaje</w:t>
            </w:r>
          </w:p>
        </w:tc>
        <w:tc>
          <w:tcPr>
            <w:tcW w:w="1380" w:type="dxa"/>
            <w:tcBorders>
              <w:top w:val="single" w:sz="4" w:space="0" w:color="7F7F7F" w:themeColor="text1" w:themeTint="80"/>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16 652</w:t>
            </w:r>
          </w:p>
        </w:tc>
        <w:tc>
          <w:tcPr>
            <w:tcW w:w="1276" w:type="dxa"/>
            <w:tcBorders>
              <w:top w:val="single" w:sz="4" w:space="0" w:color="7F7F7F" w:themeColor="text1" w:themeTint="80"/>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17 459</w:t>
            </w:r>
          </w:p>
        </w:tc>
        <w:tc>
          <w:tcPr>
            <w:tcW w:w="1134" w:type="dxa"/>
            <w:tcBorders>
              <w:top w:val="single" w:sz="4" w:space="0" w:color="7F7F7F" w:themeColor="text1" w:themeTint="80"/>
              <w:bottom w:val="nil"/>
            </w:tcBorders>
            <w:shd w:val="clear" w:color="auto" w:fill="auto"/>
            <w:vAlign w:val="center"/>
          </w:tcPr>
          <w:p w:rsidR="00BB5816" w:rsidRPr="00116794" w:rsidRDefault="00BB5816" w:rsidP="000A05A0">
            <w:pPr>
              <w:jc w:val="right"/>
              <w:rPr>
                <w:rFonts w:eastAsia="Times New Roman" w:cs="Times New Roman"/>
                <w:color w:val="FF0000"/>
                <w:highlight w:val="yellow"/>
                <w:lang w:eastAsia="cs-CZ"/>
              </w:rPr>
            </w:pPr>
            <w:r>
              <w:rPr>
                <w:rFonts w:eastAsia="Times New Roman" w:cs="Times New Roman"/>
                <w:lang w:eastAsia="cs-CZ"/>
              </w:rPr>
              <w:t>16 444</w:t>
            </w:r>
            <w:r w:rsidRPr="00970185">
              <w:rPr>
                <w:rFonts w:eastAsia="Times New Roman" w:cs="Times New Roman"/>
                <w:lang w:eastAsia="cs-CZ"/>
              </w:rPr>
              <w:t xml:space="preserve"> </w:t>
            </w:r>
          </w:p>
        </w:tc>
        <w:tc>
          <w:tcPr>
            <w:tcW w:w="992" w:type="dxa"/>
            <w:tcBorders>
              <w:top w:val="single" w:sz="4" w:space="0" w:color="7F7F7F" w:themeColor="text1" w:themeTint="80"/>
              <w:bottom w:val="nil"/>
            </w:tcBorders>
            <w:shd w:val="clear" w:color="auto" w:fill="auto"/>
            <w:vAlign w:val="center"/>
          </w:tcPr>
          <w:p w:rsidR="00BB5816" w:rsidRPr="00533DCB" w:rsidRDefault="00BB5816" w:rsidP="000A05A0">
            <w:pPr>
              <w:jc w:val="right"/>
              <w:rPr>
                <w:rFonts w:eastAsia="Times New Roman" w:cs="Times New Roman"/>
                <w:highlight w:val="yellow"/>
                <w:lang w:eastAsia="cs-CZ"/>
              </w:rPr>
            </w:pPr>
            <w:r w:rsidRPr="00533DCB">
              <w:rPr>
                <w:rFonts w:eastAsia="Times New Roman" w:cs="Times New Roman"/>
                <w:lang w:eastAsia="cs-CZ"/>
              </w:rPr>
              <w:t>94,19</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z toho: programové financování (EDS/SMVS)</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0</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0</w:t>
            </w:r>
          </w:p>
        </w:tc>
        <w:tc>
          <w:tcPr>
            <w:tcW w:w="1134" w:type="dxa"/>
            <w:tcBorders>
              <w:top w:val="nil"/>
              <w:bottom w:val="nil"/>
            </w:tcBorders>
            <w:shd w:val="clear" w:color="auto" w:fill="auto"/>
            <w:vAlign w:val="center"/>
          </w:tcPr>
          <w:p w:rsidR="00BB5816" w:rsidRPr="00970185" w:rsidRDefault="00BB5816" w:rsidP="000A05A0">
            <w:pPr>
              <w:jc w:val="right"/>
              <w:rPr>
                <w:rFonts w:cs="Times New Roman"/>
              </w:rPr>
            </w:pPr>
            <w:r w:rsidRPr="00970185">
              <w:rPr>
                <w:rFonts w:cs="Times New Roman"/>
              </w:rPr>
              <w:t>0</w:t>
            </w:r>
          </w:p>
        </w:tc>
        <w:tc>
          <w:tcPr>
            <w:tcW w:w="992" w:type="dxa"/>
            <w:tcBorders>
              <w:top w:val="nil"/>
              <w:bottom w:val="nil"/>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x</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            výdaje na programy </w:t>
            </w:r>
            <w:proofErr w:type="spellStart"/>
            <w:r w:rsidRPr="00116794">
              <w:rPr>
                <w:rFonts w:eastAsia="Times New Roman" w:cs="Times New Roman"/>
                <w:i/>
                <w:lang w:eastAsia="cs-CZ"/>
              </w:rPr>
              <w:t>spolufin</w:t>
            </w:r>
            <w:proofErr w:type="spellEnd"/>
            <w:r w:rsidRPr="00116794">
              <w:rPr>
                <w:rFonts w:eastAsia="Times New Roman" w:cs="Times New Roman"/>
                <w:i/>
                <w:lang w:eastAsia="cs-CZ"/>
              </w:rPr>
              <w:t xml:space="preserve">. </w:t>
            </w:r>
            <w:r w:rsidR="00105D3B">
              <w:rPr>
                <w:rFonts w:eastAsia="Times New Roman" w:cs="Times New Roman"/>
                <w:i/>
                <w:lang w:eastAsia="cs-CZ"/>
              </w:rPr>
              <w:t xml:space="preserve">           </w:t>
            </w:r>
            <w:r w:rsidRPr="00116794">
              <w:rPr>
                <w:rFonts w:eastAsia="Times New Roman" w:cs="Times New Roman"/>
                <w:i/>
                <w:lang w:eastAsia="cs-CZ"/>
              </w:rPr>
              <w:t>z rozpočtu EU</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184</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 xml:space="preserve"> 190</w:t>
            </w:r>
          </w:p>
        </w:tc>
        <w:tc>
          <w:tcPr>
            <w:tcW w:w="1134" w:type="dxa"/>
            <w:tcBorders>
              <w:top w:val="nil"/>
              <w:bottom w:val="nil"/>
            </w:tcBorders>
            <w:shd w:val="clear" w:color="auto" w:fill="auto"/>
            <w:vAlign w:val="center"/>
          </w:tcPr>
          <w:p w:rsidR="00BB5816" w:rsidRPr="00970185" w:rsidRDefault="00BB5816" w:rsidP="000A05A0">
            <w:pPr>
              <w:jc w:val="right"/>
              <w:rPr>
                <w:rFonts w:cs="Times New Roman"/>
              </w:rPr>
            </w:pPr>
            <w:r w:rsidRPr="00970185">
              <w:rPr>
                <w:rFonts w:cs="Times New Roman"/>
              </w:rPr>
              <w:t>190</w:t>
            </w:r>
          </w:p>
        </w:tc>
        <w:tc>
          <w:tcPr>
            <w:tcW w:w="992" w:type="dxa"/>
            <w:tcBorders>
              <w:top w:val="nil"/>
              <w:bottom w:val="nil"/>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100,00</w:t>
            </w:r>
          </w:p>
        </w:tc>
      </w:tr>
      <w:tr w:rsidR="00BB5816" w:rsidRPr="0001421C" w:rsidTr="00347E0D">
        <w:tc>
          <w:tcPr>
            <w:tcW w:w="4280" w:type="dxa"/>
            <w:tcBorders>
              <w:top w:val="nil"/>
              <w:bottom w:val="nil"/>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            v  tom: ze SR</w:t>
            </w:r>
          </w:p>
        </w:tc>
        <w:tc>
          <w:tcPr>
            <w:tcW w:w="1380" w:type="dxa"/>
            <w:tcBorders>
              <w:top w:val="nil"/>
              <w:bottom w:val="nil"/>
            </w:tcBorders>
            <w:shd w:val="clear" w:color="auto" w:fill="auto"/>
            <w:vAlign w:val="center"/>
          </w:tcPr>
          <w:p w:rsidR="00BB5816" w:rsidRPr="00951531" w:rsidRDefault="00BB5816" w:rsidP="000A05A0">
            <w:pPr>
              <w:jc w:val="right"/>
              <w:rPr>
                <w:rFonts w:cs="Times New Roman"/>
              </w:rPr>
            </w:pPr>
            <w:r w:rsidRPr="00951531">
              <w:rPr>
                <w:rFonts w:cs="Times New Roman"/>
              </w:rPr>
              <w:t>27</w:t>
            </w:r>
          </w:p>
        </w:tc>
        <w:tc>
          <w:tcPr>
            <w:tcW w:w="1276" w:type="dxa"/>
            <w:tcBorders>
              <w:top w:val="nil"/>
              <w:bottom w:val="nil"/>
            </w:tcBorders>
            <w:shd w:val="clear" w:color="auto" w:fill="auto"/>
            <w:vAlign w:val="center"/>
          </w:tcPr>
          <w:p w:rsidR="00BB5816" w:rsidRPr="00B4382A" w:rsidRDefault="00BB5816" w:rsidP="000A05A0">
            <w:pPr>
              <w:jc w:val="right"/>
              <w:rPr>
                <w:rFonts w:cs="Times New Roman"/>
              </w:rPr>
            </w:pPr>
            <w:r w:rsidRPr="00B4382A">
              <w:rPr>
                <w:rFonts w:cs="Times New Roman"/>
              </w:rPr>
              <w:t>28,5</w:t>
            </w:r>
          </w:p>
        </w:tc>
        <w:tc>
          <w:tcPr>
            <w:tcW w:w="1134" w:type="dxa"/>
            <w:tcBorders>
              <w:top w:val="nil"/>
              <w:bottom w:val="nil"/>
            </w:tcBorders>
            <w:shd w:val="clear" w:color="auto" w:fill="auto"/>
            <w:vAlign w:val="center"/>
          </w:tcPr>
          <w:p w:rsidR="00BB5816" w:rsidRPr="00970185" w:rsidRDefault="00BB5816" w:rsidP="000A05A0">
            <w:pPr>
              <w:jc w:val="right"/>
              <w:rPr>
                <w:rFonts w:cs="Times New Roman"/>
              </w:rPr>
            </w:pPr>
            <w:r w:rsidRPr="00970185">
              <w:rPr>
                <w:rFonts w:cs="Times New Roman"/>
              </w:rPr>
              <w:t>28,5</w:t>
            </w:r>
          </w:p>
        </w:tc>
        <w:tc>
          <w:tcPr>
            <w:tcW w:w="992" w:type="dxa"/>
            <w:tcBorders>
              <w:top w:val="nil"/>
              <w:bottom w:val="nil"/>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100,00</w:t>
            </w:r>
          </w:p>
        </w:tc>
      </w:tr>
      <w:tr w:rsidR="00BB5816" w:rsidRPr="0001421C" w:rsidTr="00347E0D">
        <w:tc>
          <w:tcPr>
            <w:tcW w:w="4280" w:type="dxa"/>
            <w:tcBorders>
              <w:top w:val="nil"/>
              <w:bottom w:val="single" w:sz="8" w:space="0" w:color="7F7F7F" w:themeColor="text1" w:themeTint="80"/>
            </w:tcBorders>
            <w:shd w:val="clear" w:color="auto" w:fill="auto"/>
          </w:tcPr>
          <w:p w:rsidR="00BB5816" w:rsidRPr="00116794" w:rsidRDefault="00BB5816" w:rsidP="000A05A0">
            <w:pPr>
              <w:rPr>
                <w:rFonts w:eastAsia="Times New Roman" w:cs="Times New Roman"/>
                <w:i/>
                <w:lang w:eastAsia="cs-CZ"/>
              </w:rPr>
            </w:pPr>
            <w:r w:rsidRPr="00116794">
              <w:rPr>
                <w:rFonts w:eastAsia="Times New Roman" w:cs="Times New Roman"/>
                <w:i/>
                <w:lang w:eastAsia="cs-CZ"/>
              </w:rPr>
              <w:t xml:space="preserve">                        z rozpočtu EU</w:t>
            </w:r>
          </w:p>
        </w:tc>
        <w:tc>
          <w:tcPr>
            <w:tcW w:w="1380" w:type="dxa"/>
            <w:tcBorders>
              <w:top w:val="nil"/>
              <w:bottom w:val="single" w:sz="8" w:space="0" w:color="7F7F7F" w:themeColor="text1" w:themeTint="80"/>
            </w:tcBorders>
            <w:shd w:val="clear" w:color="auto" w:fill="auto"/>
            <w:vAlign w:val="center"/>
          </w:tcPr>
          <w:p w:rsidR="00BB5816" w:rsidRPr="00951531" w:rsidRDefault="00BB5816" w:rsidP="000A05A0">
            <w:pPr>
              <w:jc w:val="right"/>
              <w:rPr>
                <w:rFonts w:cs="Times New Roman"/>
              </w:rPr>
            </w:pPr>
            <w:r w:rsidRPr="00951531">
              <w:rPr>
                <w:rFonts w:cs="Times New Roman"/>
              </w:rPr>
              <w:t>157</w:t>
            </w:r>
          </w:p>
        </w:tc>
        <w:tc>
          <w:tcPr>
            <w:tcW w:w="1276" w:type="dxa"/>
            <w:tcBorders>
              <w:top w:val="nil"/>
              <w:bottom w:val="single" w:sz="8" w:space="0" w:color="7F7F7F" w:themeColor="text1" w:themeTint="80"/>
            </w:tcBorders>
            <w:shd w:val="clear" w:color="auto" w:fill="auto"/>
            <w:vAlign w:val="center"/>
          </w:tcPr>
          <w:p w:rsidR="00BB5816" w:rsidRPr="00B4382A" w:rsidRDefault="00BB5816" w:rsidP="000A05A0">
            <w:pPr>
              <w:jc w:val="right"/>
              <w:rPr>
                <w:rFonts w:cs="Times New Roman"/>
              </w:rPr>
            </w:pPr>
            <w:r w:rsidRPr="00B4382A">
              <w:rPr>
                <w:rFonts w:cs="Times New Roman"/>
              </w:rPr>
              <w:t>161,5</w:t>
            </w:r>
          </w:p>
        </w:tc>
        <w:tc>
          <w:tcPr>
            <w:tcW w:w="1134" w:type="dxa"/>
            <w:tcBorders>
              <w:top w:val="nil"/>
              <w:bottom w:val="single" w:sz="8" w:space="0" w:color="7F7F7F" w:themeColor="text1" w:themeTint="80"/>
            </w:tcBorders>
            <w:shd w:val="clear" w:color="auto" w:fill="auto"/>
            <w:vAlign w:val="center"/>
          </w:tcPr>
          <w:p w:rsidR="00BB5816" w:rsidRPr="00970185" w:rsidRDefault="00BB5816" w:rsidP="000A05A0">
            <w:pPr>
              <w:jc w:val="right"/>
              <w:rPr>
                <w:rFonts w:cs="Times New Roman"/>
              </w:rPr>
            </w:pPr>
            <w:r w:rsidRPr="00970185">
              <w:rPr>
                <w:rFonts w:cs="Times New Roman"/>
              </w:rPr>
              <w:t>161,5</w:t>
            </w:r>
          </w:p>
        </w:tc>
        <w:tc>
          <w:tcPr>
            <w:tcW w:w="992" w:type="dxa"/>
            <w:tcBorders>
              <w:top w:val="nil"/>
              <w:bottom w:val="single" w:sz="8" w:space="0" w:color="7F7F7F" w:themeColor="text1" w:themeTint="80"/>
            </w:tcBorders>
            <w:shd w:val="clear" w:color="auto" w:fill="auto"/>
            <w:vAlign w:val="center"/>
          </w:tcPr>
          <w:p w:rsidR="00BB5816" w:rsidRPr="00533DCB" w:rsidRDefault="00BB5816" w:rsidP="000A05A0">
            <w:pPr>
              <w:jc w:val="right"/>
              <w:rPr>
                <w:rFonts w:eastAsia="Times New Roman" w:cs="Times New Roman"/>
                <w:i/>
                <w:lang w:eastAsia="cs-CZ"/>
              </w:rPr>
            </w:pPr>
            <w:r w:rsidRPr="00533DCB">
              <w:rPr>
                <w:rFonts w:eastAsia="Times New Roman" w:cs="Times New Roman"/>
                <w:i/>
                <w:lang w:eastAsia="cs-CZ"/>
              </w:rPr>
              <w:t>100,00</w:t>
            </w:r>
          </w:p>
        </w:tc>
      </w:tr>
    </w:tbl>
    <w:p w:rsidR="00BB5816" w:rsidRPr="00116794" w:rsidRDefault="00BB5816" w:rsidP="001D1C48">
      <w:pPr>
        <w:pStyle w:val="Styl1"/>
      </w:pPr>
      <w:r w:rsidRPr="00116794">
        <w:t xml:space="preserve">Návrh rozpočtu běžných výdajů na rok 2019 je ve srovnání se schváleným rozpočtem </w:t>
      </w:r>
      <w:r w:rsidR="00146324">
        <w:br/>
      </w:r>
      <w:r w:rsidRPr="00116794">
        <w:t>na rok 2018</w:t>
      </w:r>
      <w:r w:rsidRPr="00116794">
        <w:rPr>
          <w:color w:val="FF0000"/>
        </w:rPr>
        <w:t xml:space="preserve"> </w:t>
      </w:r>
      <w:r w:rsidRPr="00E04230">
        <w:t>o 2 802 tis. Kč vyšší</w:t>
      </w:r>
      <w:r w:rsidRPr="001F62A1">
        <w:t>, a to v souvislosti s nárůstem objemu prostředků na platy zaměstnanců vč. příslušenství dle usnesení vlády č. 379/2018 a usnesení vlády č. 588/2018</w:t>
      </w:r>
      <w:r>
        <w:t xml:space="preserve"> </w:t>
      </w:r>
      <w:r w:rsidRPr="001F62A1">
        <w:t>(podrobněji viz oddíl 3.2.2 Mzdové výdaje a počty pracovníků OSS a PO).</w:t>
      </w:r>
      <w:r>
        <w:t xml:space="preserve"> </w:t>
      </w:r>
      <w:r w:rsidRPr="00116794">
        <w:t>Současně byly také navýšeny prostředky na platy vč. příslušenství z důvodu zvýš</w:t>
      </w:r>
      <w:r>
        <w:t xml:space="preserve">ení počtu státních zaměstnanců </w:t>
      </w:r>
      <w:r>
        <w:br/>
      </w:r>
      <w:r w:rsidRPr="00116794">
        <w:t>o 1 zaměstnance. Zároveň došlo ke snížení ostatních běžných výdajů ve prospěch kapitálových výdajů.</w:t>
      </w:r>
      <w:r>
        <w:t xml:space="preserve"> </w:t>
      </w:r>
    </w:p>
    <w:p w:rsidR="00BB5816" w:rsidRPr="00116794" w:rsidRDefault="00BB5816" w:rsidP="001D1C48">
      <w:pPr>
        <w:pStyle w:val="Styl1"/>
        <w:rPr>
          <w:color w:val="FF0000"/>
        </w:rPr>
      </w:pPr>
      <w:r w:rsidRPr="006B4E52">
        <w:t xml:space="preserve">Z celkového objemu běžných výdajů tvoří největší položku výdaje na platy a ostatní platby za provedenou práci, které jsou navrhovány ve </w:t>
      </w:r>
      <w:r w:rsidRPr="00215EB0">
        <w:t xml:space="preserve">výši 40 163 tis. Kč. </w:t>
      </w:r>
    </w:p>
    <w:p w:rsidR="00BB5816" w:rsidRPr="006B4E52" w:rsidRDefault="00BB5816" w:rsidP="001D1C48">
      <w:pPr>
        <w:pStyle w:val="Styl1"/>
      </w:pPr>
      <w:r w:rsidRPr="006B4E52">
        <w:lastRenderedPageBreak/>
        <w:t>Na ostatní běžné výdaje je alokováno</w:t>
      </w:r>
      <w:r w:rsidRPr="00116794">
        <w:rPr>
          <w:color w:val="FF0000"/>
        </w:rPr>
        <w:t xml:space="preserve"> </w:t>
      </w:r>
      <w:r w:rsidRPr="00215EB0">
        <w:t xml:space="preserve">16 444 tis. Kč. </w:t>
      </w:r>
      <w:r w:rsidRPr="006B4E52">
        <w:t xml:space="preserve">Ty jsou určeny především k zabezpečení činností a úkolů vyplývajících z předmětných zákonů a dále na krytí výdajů spojených s činnostmi, které organizace provádí v rámci jí delegovaných činností, jako </w:t>
      </w:r>
      <w:r w:rsidR="00146324">
        <w:br/>
      </w:r>
      <w:r w:rsidRPr="006B4E52">
        <w:t xml:space="preserve">je např. agenda normalizace v oblasti vodní dopravy a zastupování v Mezinárodní plavební asociaci – PIANC. Dále jsou prostředky určeny na činnosti, které přímo souvisí s vlastní realizací opatření k vydávání plavecké služební knížky, s odborným školením v otázkách mezinárodní plavby a bezpečnosti plavby na vodních cestách zemí EU, se zabezpečením úkolů vyplývajících z novely zákona č. 114/1995 Sb., o vnitrozemské plavbě, pro zajištění „Říčního informačního systému – LAVDIS“, a s vydáváním a kontrolou knihy o odběru zaolejovaných vod na plavidlech, která je stanovena vyhláškou MDS č. 223/1995 Sb. </w:t>
      </w:r>
    </w:p>
    <w:p w:rsidR="00BB5816" w:rsidRPr="00116794" w:rsidRDefault="00BB5816" w:rsidP="001D1C48">
      <w:pPr>
        <w:pStyle w:val="Styl1"/>
        <w:rPr>
          <w:color w:val="FF0000"/>
        </w:rPr>
      </w:pPr>
      <w:r w:rsidRPr="006B4E52">
        <w:t xml:space="preserve">Prostředky ve výši 168 tis. Kč budou použity na národní spolufinancování (15 %) výdajů projektu RIS COMEX (komunitární program CEF), ve výši </w:t>
      </w:r>
      <w:r>
        <w:t xml:space="preserve">955 </w:t>
      </w:r>
      <w:r w:rsidRPr="006B4E52">
        <w:t xml:space="preserve">tis. Kč (85 %) bude organizace </w:t>
      </w:r>
      <w:r w:rsidRPr="00C325F5">
        <w:t xml:space="preserve">příjemcem prostředků EU. Výdaje projektu jsou oproti roku 2018 sníženy o 498 tis. Kč </w:t>
      </w:r>
      <w:r w:rsidRPr="00C325F5">
        <w:br/>
        <w:t>(75 tis. Kč podíl SR a 423 tis. Kč podíl EU). Tento projekt je zaměřen na další rozvoj služeb RIS, a to v rámci tzv. koridorového přístupu, jež přináší výrazné synergické efekty vzájemné spolupráce sousedících zemí v rámci jednotlivých evropských systémů vodních cest. Koridorové informační služby RIS mají umožnit řízení dopravy pomocí kompetentních úřadů a řízení přepravy pomocí logistiky.</w:t>
      </w:r>
    </w:p>
    <w:p w:rsidR="00BB5816" w:rsidRPr="00C325F5" w:rsidRDefault="00BB5816" w:rsidP="001D1C48">
      <w:pPr>
        <w:pStyle w:val="Styl1"/>
      </w:pPr>
      <w:r w:rsidRPr="00C325F5">
        <w:t xml:space="preserve">Počet zaměstnanců organizace pro rok 2019 je ve výši 89, tj. navýšení oproti roku 2018 </w:t>
      </w:r>
      <w:r w:rsidRPr="00C325F5">
        <w:br/>
        <w:t xml:space="preserve">o 1 státního zaměstnance, v tom 19 zaměstnanců v pracovním poměru a 70 státních zaměstnanců.  </w:t>
      </w: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ED7004" w:rsidRDefault="00ED7004" w:rsidP="00BD28A7">
      <w:pPr>
        <w:pStyle w:val="obyctext"/>
        <w:spacing w:before="240"/>
        <w:rPr>
          <w:b/>
          <w:u w:val="single"/>
        </w:rPr>
      </w:pPr>
    </w:p>
    <w:p w:rsidR="001D1C48" w:rsidRDefault="001D1C48" w:rsidP="00BD28A7">
      <w:pPr>
        <w:pStyle w:val="obyctext"/>
        <w:spacing w:before="240"/>
        <w:rPr>
          <w:b/>
          <w:u w:val="single"/>
        </w:rPr>
      </w:pPr>
    </w:p>
    <w:p w:rsidR="001D1C48" w:rsidRDefault="001D1C48" w:rsidP="00BD28A7">
      <w:pPr>
        <w:pStyle w:val="obyctext"/>
        <w:spacing w:before="240"/>
        <w:rPr>
          <w:b/>
          <w:u w:val="single"/>
        </w:rPr>
      </w:pPr>
    </w:p>
    <w:p w:rsidR="00BD28A7" w:rsidRPr="00BA1C1A" w:rsidRDefault="00BD28A7" w:rsidP="00BD28A7">
      <w:pPr>
        <w:pStyle w:val="obyctext"/>
        <w:spacing w:before="240"/>
        <w:rPr>
          <w:b/>
          <w:u w:val="single"/>
        </w:rPr>
      </w:pPr>
      <w:r w:rsidRPr="00BA1C1A">
        <w:rPr>
          <w:b/>
          <w:u w:val="single"/>
        </w:rPr>
        <w:lastRenderedPageBreak/>
        <w:t xml:space="preserve">Drážní úřad </w:t>
      </w:r>
    </w:p>
    <w:p w:rsidR="00ED7004" w:rsidRPr="001D1C48" w:rsidRDefault="00BA1C1A" w:rsidP="001D1C48">
      <w:pPr>
        <w:pStyle w:val="Styl1"/>
      </w:pPr>
      <w:bookmarkStart w:id="47" w:name="_Toc462314393"/>
      <w:r w:rsidRPr="001D1C48">
        <w:t xml:space="preserve">Drážní úřad byl zřízen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a určených technických zařízení, vydávání průkazů způsobilosti drážních vozidel </w:t>
      </w:r>
      <w:r w:rsidRPr="001D1C48">
        <w:br/>
        <w:t>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rsidR="000E39FE" w:rsidRPr="00BA1C1A" w:rsidRDefault="000E39FE" w:rsidP="000E39FE">
      <w:pPr>
        <w:pStyle w:val="Titulek"/>
        <w:keepNext/>
      </w:pPr>
      <w:r w:rsidRPr="00BA1C1A">
        <w:t xml:space="preserve">Tabulka č. </w:t>
      </w:r>
      <w:r w:rsidR="0001421C" w:rsidRPr="00BA1C1A">
        <w:rPr>
          <w:noProof/>
        </w:rPr>
        <w:fldChar w:fldCharType="begin"/>
      </w:r>
      <w:r w:rsidR="0001421C" w:rsidRPr="00BA1C1A">
        <w:rPr>
          <w:noProof/>
        </w:rPr>
        <w:instrText xml:space="preserve"> SEQ Tabulka \* ARABIC </w:instrText>
      </w:r>
      <w:r w:rsidR="0001421C" w:rsidRPr="00BA1C1A">
        <w:rPr>
          <w:noProof/>
        </w:rPr>
        <w:fldChar w:fldCharType="separate"/>
      </w:r>
      <w:r w:rsidR="00AF5225">
        <w:rPr>
          <w:noProof/>
        </w:rPr>
        <w:t>10</w:t>
      </w:r>
      <w:r w:rsidR="0001421C" w:rsidRPr="00BA1C1A">
        <w:rPr>
          <w:noProof/>
        </w:rPr>
        <w:fldChar w:fldCharType="end"/>
      </w:r>
      <w:r w:rsidRPr="00BA1C1A">
        <w:t xml:space="preserve"> Drážní úřad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26"/>
        <w:gridCol w:w="1337"/>
        <w:gridCol w:w="1261"/>
        <w:gridCol w:w="1132"/>
        <w:gridCol w:w="1006"/>
      </w:tblGrid>
      <w:tr w:rsidR="00BA1C1A" w:rsidRPr="00B77E56" w:rsidTr="00F22264">
        <w:trPr>
          <w:trHeight w:val="276"/>
        </w:trPr>
        <w:tc>
          <w:tcPr>
            <w:tcW w:w="4385"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A1C1A" w:rsidRPr="006C5FC6" w:rsidRDefault="00BA1C1A" w:rsidP="00F22264">
            <w:pPr>
              <w:jc w:val="center"/>
              <w:rPr>
                <w:rFonts w:eastAsia="Times New Roman" w:cs="Times New Roman"/>
                <w:b/>
                <w:szCs w:val="24"/>
                <w:lang w:eastAsia="cs-CZ"/>
              </w:rPr>
            </w:pPr>
            <w:r w:rsidRPr="006C5FC6">
              <w:rPr>
                <w:rFonts w:eastAsia="Times New Roman" w:cs="Times New Roman"/>
                <w:b/>
                <w:szCs w:val="24"/>
                <w:lang w:eastAsia="cs-CZ"/>
              </w:rPr>
              <w:t>Ukazatel</w:t>
            </w:r>
          </w:p>
        </w:tc>
        <w:tc>
          <w:tcPr>
            <w:tcW w:w="1275"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A1C1A" w:rsidRPr="006C5FC6" w:rsidRDefault="00BA1C1A" w:rsidP="00F22264">
            <w:pPr>
              <w:jc w:val="center"/>
              <w:rPr>
                <w:rFonts w:eastAsia="Times New Roman" w:cs="Times New Roman"/>
                <w:b/>
                <w:szCs w:val="24"/>
                <w:lang w:eastAsia="cs-CZ"/>
              </w:rPr>
            </w:pPr>
            <w:r w:rsidRPr="006C5FC6">
              <w:rPr>
                <w:rFonts w:eastAsia="Times New Roman" w:cs="Times New Roman"/>
                <w:b/>
                <w:szCs w:val="24"/>
                <w:lang w:eastAsia="cs-CZ"/>
              </w:rPr>
              <w:t>Skutečnost</w:t>
            </w:r>
          </w:p>
          <w:p w:rsidR="00BA1C1A" w:rsidRPr="006C5FC6" w:rsidRDefault="00BA1C1A" w:rsidP="00F22264">
            <w:pPr>
              <w:jc w:val="center"/>
              <w:rPr>
                <w:rFonts w:eastAsia="Times New Roman" w:cs="Times New Roman"/>
                <w:b/>
                <w:szCs w:val="24"/>
                <w:lang w:eastAsia="cs-CZ"/>
              </w:rPr>
            </w:pPr>
            <w:r w:rsidRPr="006C5FC6">
              <w:rPr>
                <w:rFonts w:eastAsia="Times New Roman" w:cs="Times New Roman"/>
                <w:b/>
                <w:szCs w:val="24"/>
                <w:lang w:eastAsia="cs-CZ"/>
              </w:rPr>
              <w:t>2017</w:t>
            </w:r>
          </w:p>
        </w:tc>
        <w:tc>
          <w:tcPr>
            <w:tcW w:w="1261"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A1C1A" w:rsidRPr="00E5763C" w:rsidRDefault="00BA1C1A" w:rsidP="00F22264">
            <w:pPr>
              <w:jc w:val="center"/>
              <w:rPr>
                <w:rFonts w:eastAsia="Times New Roman" w:cs="Times New Roman"/>
                <w:b/>
                <w:szCs w:val="24"/>
                <w:lang w:eastAsia="cs-CZ"/>
              </w:rPr>
            </w:pPr>
            <w:r w:rsidRPr="00E5763C">
              <w:rPr>
                <w:rFonts w:eastAsia="Times New Roman" w:cs="Times New Roman"/>
                <w:b/>
                <w:szCs w:val="24"/>
                <w:lang w:eastAsia="cs-CZ"/>
              </w:rPr>
              <w:t>Schválený</w:t>
            </w:r>
          </w:p>
          <w:p w:rsidR="00BA1C1A" w:rsidRPr="00E5763C" w:rsidRDefault="00BA1C1A" w:rsidP="00F22264">
            <w:pPr>
              <w:jc w:val="center"/>
              <w:rPr>
                <w:rFonts w:eastAsia="Times New Roman" w:cs="Times New Roman"/>
                <w:b/>
                <w:szCs w:val="24"/>
                <w:lang w:eastAsia="cs-CZ"/>
              </w:rPr>
            </w:pPr>
            <w:r w:rsidRPr="00E5763C">
              <w:rPr>
                <w:rFonts w:eastAsia="Times New Roman" w:cs="Times New Roman"/>
                <w:b/>
                <w:szCs w:val="24"/>
                <w:lang w:eastAsia="cs-CZ"/>
              </w:rPr>
              <w:t>rozpočet</w:t>
            </w:r>
          </w:p>
          <w:p w:rsidR="00BA1C1A" w:rsidRPr="00E5763C" w:rsidRDefault="00BA1C1A" w:rsidP="00F22264">
            <w:pPr>
              <w:jc w:val="center"/>
              <w:rPr>
                <w:rFonts w:eastAsia="Times New Roman" w:cs="Times New Roman"/>
                <w:b/>
                <w:szCs w:val="24"/>
                <w:lang w:eastAsia="cs-CZ"/>
              </w:rPr>
            </w:pPr>
            <w:r w:rsidRPr="00E5763C">
              <w:rPr>
                <w:rFonts w:eastAsia="Times New Roman" w:cs="Times New Roman"/>
                <w:b/>
                <w:szCs w:val="24"/>
                <w:lang w:eastAsia="cs-CZ"/>
              </w:rPr>
              <w:t>2018</w:t>
            </w:r>
          </w:p>
        </w:tc>
        <w:tc>
          <w:tcPr>
            <w:tcW w:w="1132"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A1C1A" w:rsidRPr="00E5763C" w:rsidRDefault="00BA1C1A" w:rsidP="00F22264">
            <w:pPr>
              <w:jc w:val="center"/>
              <w:rPr>
                <w:rFonts w:eastAsia="Times New Roman" w:cs="Times New Roman"/>
                <w:b/>
                <w:szCs w:val="24"/>
                <w:lang w:eastAsia="cs-CZ"/>
              </w:rPr>
            </w:pPr>
            <w:r w:rsidRPr="00E5763C">
              <w:rPr>
                <w:rFonts w:eastAsia="Times New Roman" w:cs="Times New Roman"/>
                <w:b/>
                <w:szCs w:val="24"/>
                <w:lang w:eastAsia="cs-CZ"/>
              </w:rPr>
              <w:t>Návrh</w:t>
            </w:r>
          </w:p>
          <w:p w:rsidR="00BA1C1A" w:rsidRPr="00E5763C" w:rsidRDefault="00BA1C1A" w:rsidP="00F22264">
            <w:pPr>
              <w:jc w:val="center"/>
              <w:rPr>
                <w:rFonts w:eastAsia="Times New Roman" w:cs="Times New Roman"/>
                <w:b/>
                <w:szCs w:val="24"/>
                <w:lang w:eastAsia="cs-CZ"/>
              </w:rPr>
            </w:pPr>
            <w:r w:rsidRPr="00E5763C">
              <w:rPr>
                <w:rFonts w:eastAsia="Times New Roman" w:cs="Times New Roman"/>
                <w:b/>
                <w:szCs w:val="24"/>
                <w:lang w:eastAsia="cs-CZ"/>
              </w:rPr>
              <w:t>rozpočtu</w:t>
            </w:r>
          </w:p>
          <w:p w:rsidR="00BA1C1A" w:rsidRPr="00E5763C" w:rsidRDefault="00BA1C1A" w:rsidP="00F22264">
            <w:pPr>
              <w:jc w:val="center"/>
              <w:rPr>
                <w:rFonts w:eastAsia="Times New Roman" w:cs="Times New Roman"/>
                <w:b/>
                <w:szCs w:val="24"/>
                <w:lang w:eastAsia="cs-CZ"/>
              </w:rPr>
            </w:pPr>
            <w:r w:rsidRPr="00E5763C">
              <w:rPr>
                <w:rFonts w:eastAsia="Times New Roman" w:cs="Times New Roman"/>
                <w:b/>
                <w:szCs w:val="24"/>
                <w:lang w:eastAsia="cs-CZ"/>
              </w:rPr>
              <w:t>2019</w:t>
            </w:r>
          </w:p>
        </w:tc>
        <w:tc>
          <w:tcPr>
            <w:tcW w:w="1009"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A1C1A" w:rsidRPr="00895CDE" w:rsidRDefault="00BA1C1A" w:rsidP="00F22264">
            <w:pPr>
              <w:jc w:val="center"/>
              <w:rPr>
                <w:rFonts w:eastAsia="Times New Roman" w:cs="Times New Roman"/>
                <w:b/>
                <w:szCs w:val="24"/>
                <w:lang w:eastAsia="cs-CZ"/>
              </w:rPr>
            </w:pPr>
            <w:r w:rsidRPr="00895CDE">
              <w:rPr>
                <w:rFonts w:eastAsia="Times New Roman" w:cs="Times New Roman"/>
                <w:b/>
                <w:szCs w:val="24"/>
                <w:lang w:eastAsia="cs-CZ"/>
              </w:rPr>
              <w:t>Index</w:t>
            </w:r>
          </w:p>
          <w:p w:rsidR="00BA1C1A" w:rsidRPr="00895CDE" w:rsidRDefault="00BA1C1A" w:rsidP="00F22264">
            <w:pPr>
              <w:jc w:val="center"/>
              <w:rPr>
                <w:rFonts w:eastAsia="Times New Roman" w:cs="Times New Roman"/>
                <w:b/>
                <w:szCs w:val="24"/>
                <w:lang w:eastAsia="cs-CZ"/>
              </w:rPr>
            </w:pPr>
            <w:r w:rsidRPr="00895CDE">
              <w:rPr>
                <w:rFonts w:eastAsia="Times New Roman" w:cs="Times New Roman"/>
                <w:b/>
                <w:szCs w:val="24"/>
                <w:lang w:eastAsia="cs-CZ"/>
              </w:rPr>
              <w:t>2019/</w:t>
            </w:r>
            <w:r>
              <w:rPr>
                <w:rFonts w:eastAsia="Times New Roman" w:cs="Times New Roman"/>
                <w:b/>
                <w:szCs w:val="24"/>
                <w:lang w:eastAsia="cs-CZ"/>
              </w:rPr>
              <w:br/>
            </w:r>
            <w:r w:rsidRPr="00895CDE">
              <w:rPr>
                <w:rFonts w:eastAsia="Times New Roman" w:cs="Times New Roman"/>
                <w:b/>
                <w:szCs w:val="24"/>
                <w:lang w:eastAsia="cs-CZ"/>
              </w:rPr>
              <w:t xml:space="preserve">2018 </w:t>
            </w:r>
            <w:r>
              <w:rPr>
                <w:rFonts w:eastAsia="Times New Roman" w:cs="Times New Roman"/>
                <w:b/>
                <w:szCs w:val="24"/>
                <w:lang w:eastAsia="cs-CZ"/>
              </w:rPr>
              <w:br/>
            </w:r>
            <w:r w:rsidRPr="00895CDE">
              <w:rPr>
                <w:rFonts w:eastAsia="Times New Roman" w:cs="Times New Roman"/>
                <w:b/>
                <w:szCs w:val="24"/>
                <w:lang w:eastAsia="cs-CZ"/>
              </w:rPr>
              <w:t>(v %)</w:t>
            </w:r>
          </w:p>
        </w:tc>
      </w:tr>
      <w:tr w:rsidR="00BA1C1A" w:rsidRPr="00B77E56" w:rsidTr="00F22264">
        <w:trPr>
          <w:trHeight w:val="636"/>
        </w:trPr>
        <w:tc>
          <w:tcPr>
            <w:tcW w:w="4385"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6C5FC6" w:rsidRDefault="00BA1C1A" w:rsidP="00F22264">
            <w:pPr>
              <w:rPr>
                <w:rFonts w:eastAsia="Times New Roman" w:cs="Times New Roman"/>
                <w:lang w:eastAsia="cs-CZ"/>
              </w:rPr>
            </w:pPr>
          </w:p>
        </w:tc>
        <w:tc>
          <w:tcPr>
            <w:tcW w:w="1275"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6C5FC6" w:rsidRDefault="00BA1C1A" w:rsidP="00F22264">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E5763C" w:rsidRDefault="00BA1C1A" w:rsidP="00F22264">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E5763C" w:rsidRDefault="00BA1C1A" w:rsidP="00F22264">
            <w:pPr>
              <w:rPr>
                <w:rFonts w:eastAsia="Times New Roman" w:cs="Times New Roman"/>
                <w:lang w:eastAsia="cs-CZ"/>
              </w:rPr>
            </w:pPr>
          </w:p>
        </w:tc>
        <w:tc>
          <w:tcPr>
            <w:tcW w:w="1009"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895CDE" w:rsidRDefault="00BA1C1A" w:rsidP="00F22264">
            <w:pPr>
              <w:rPr>
                <w:rFonts w:eastAsia="Times New Roman" w:cs="Times New Roman"/>
                <w:lang w:eastAsia="cs-CZ"/>
              </w:rPr>
            </w:pPr>
          </w:p>
        </w:tc>
      </w:tr>
      <w:tr w:rsidR="00BA1C1A" w:rsidRPr="00B77E56" w:rsidTr="00ED7004">
        <w:trPr>
          <w:trHeight w:val="276"/>
        </w:trPr>
        <w:tc>
          <w:tcPr>
            <w:tcW w:w="4385"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6C5FC6" w:rsidRDefault="00BA1C1A" w:rsidP="00F22264">
            <w:pPr>
              <w:rPr>
                <w:rFonts w:eastAsia="Times New Roman" w:cs="Times New Roman"/>
                <w:lang w:eastAsia="cs-CZ"/>
              </w:rPr>
            </w:pPr>
          </w:p>
        </w:tc>
        <w:tc>
          <w:tcPr>
            <w:tcW w:w="1275"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6C5FC6" w:rsidRDefault="00BA1C1A" w:rsidP="00F22264">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E5763C" w:rsidRDefault="00BA1C1A" w:rsidP="00F22264">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E5763C" w:rsidRDefault="00BA1C1A" w:rsidP="00F22264">
            <w:pPr>
              <w:rPr>
                <w:rFonts w:eastAsia="Times New Roman" w:cs="Times New Roman"/>
                <w:lang w:eastAsia="cs-CZ"/>
              </w:rPr>
            </w:pPr>
          </w:p>
        </w:tc>
        <w:tc>
          <w:tcPr>
            <w:tcW w:w="1009"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BA1C1A" w:rsidRPr="00895CDE" w:rsidRDefault="00BA1C1A" w:rsidP="00F22264">
            <w:pPr>
              <w:rPr>
                <w:rFonts w:eastAsia="Times New Roman" w:cs="Times New Roman"/>
                <w:lang w:eastAsia="cs-CZ"/>
              </w:rPr>
            </w:pPr>
          </w:p>
        </w:tc>
      </w:tr>
      <w:tr w:rsidR="00BA1C1A" w:rsidRPr="00B77E56" w:rsidTr="00F22264">
        <w:trPr>
          <w:trHeight w:val="300"/>
        </w:trPr>
        <w:tc>
          <w:tcPr>
            <w:tcW w:w="4385" w:type="dxa"/>
            <w:tcBorders>
              <w:top w:val="single" w:sz="4" w:space="0" w:color="7F7F7F" w:themeColor="text1" w:themeTint="80"/>
              <w:bottom w:val="single" w:sz="8" w:space="0" w:color="7F7F7F" w:themeColor="text1" w:themeTint="80"/>
            </w:tcBorders>
            <w:shd w:val="clear" w:color="auto" w:fill="auto"/>
          </w:tcPr>
          <w:p w:rsidR="00BA1C1A" w:rsidRPr="006C5FC6" w:rsidRDefault="00BA1C1A" w:rsidP="00F22264">
            <w:pPr>
              <w:jc w:val="center"/>
              <w:rPr>
                <w:rFonts w:eastAsia="Times New Roman" w:cs="Times New Roman"/>
                <w:lang w:eastAsia="cs-CZ"/>
              </w:rPr>
            </w:pPr>
            <w:r w:rsidRPr="006C5FC6">
              <w:rPr>
                <w:rFonts w:eastAsia="Times New Roman" w:cs="Times New Roman"/>
                <w:lang w:eastAsia="cs-CZ"/>
              </w:rPr>
              <w:t>A</w:t>
            </w:r>
          </w:p>
        </w:tc>
        <w:tc>
          <w:tcPr>
            <w:tcW w:w="1275" w:type="dxa"/>
            <w:tcBorders>
              <w:top w:val="single" w:sz="4" w:space="0" w:color="7F7F7F" w:themeColor="text1" w:themeTint="80"/>
              <w:bottom w:val="single" w:sz="8" w:space="0" w:color="7F7F7F" w:themeColor="text1" w:themeTint="80"/>
            </w:tcBorders>
            <w:shd w:val="clear" w:color="auto" w:fill="auto"/>
          </w:tcPr>
          <w:p w:rsidR="00BA1C1A" w:rsidRPr="006C5FC6" w:rsidRDefault="00BA1C1A" w:rsidP="00F22264">
            <w:pPr>
              <w:jc w:val="center"/>
              <w:rPr>
                <w:rFonts w:eastAsia="Times New Roman" w:cs="Times New Roman"/>
                <w:lang w:eastAsia="cs-CZ"/>
              </w:rPr>
            </w:pPr>
            <w:r w:rsidRPr="006C5FC6">
              <w:rPr>
                <w:rFonts w:eastAsia="Times New Roman" w:cs="Times New Roman"/>
                <w:lang w:eastAsia="cs-CZ"/>
              </w:rPr>
              <w:t>1</w:t>
            </w:r>
          </w:p>
        </w:tc>
        <w:tc>
          <w:tcPr>
            <w:tcW w:w="1261" w:type="dxa"/>
            <w:tcBorders>
              <w:top w:val="single" w:sz="4" w:space="0" w:color="7F7F7F" w:themeColor="text1" w:themeTint="80"/>
              <w:bottom w:val="single" w:sz="8" w:space="0" w:color="7F7F7F" w:themeColor="text1" w:themeTint="80"/>
            </w:tcBorders>
            <w:shd w:val="clear" w:color="auto" w:fill="auto"/>
          </w:tcPr>
          <w:p w:rsidR="00BA1C1A" w:rsidRPr="00E5763C" w:rsidRDefault="00BA1C1A" w:rsidP="00F22264">
            <w:pPr>
              <w:jc w:val="center"/>
              <w:rPr>
                <w:rFonts w:eastAsia="Times New Roman" w:cs="Times New Roman"/>
                <w:lang w:eastAsia="cs-CZ"/>
              </w:rPr>
            </w:pPr>
            <w:r w:rsidRPr="00E5763C">
              <w:rPr>
                <w:rFonts w:eastAsia="Times New Roman" w:cs="Times New Roman"/>
                <w:lang w:eastAsia="cs-CZ"/>
              </w:rPr>
              <w:t>2</w:t>
            </w:r>
          </w:p>
        </w:tc>
        <w:tc>
          <w:tcPr>
            <w:tcW w:w="1132" w:type="dxa"/>
            <w:tcBorders>
              <w:top w:val="single" w:sz="4" w:space="0" w:color="7F7F7F" w:themeColor="text1" w:themeTint="80"/>
              <w:bottom w:val="single" w:sz="8" w:space="0" w:color="7F7F7F" w:themeColor="text1" w:themeTint="80"/>
            </w:tcBorders>
            <w:shd w:val="clear" w:color="auto" w:fill="auto"/>
          </w:tcPr>
          <w:p w:rsidR="00BA1C1A" w:rsidRPr="00E5763C" w:rsidRDefault="00BA1C1A" w:rsidP="00F22264">
            <w:pPr>
              <w:jc w:val="center"/>
              <w:rPr>
                <w:rFonts w:eastAsia="Times New Roman" w:cs="Times New Roman"/>
                <w:lang w:eastAsia="cs-CZ"/>
              </w:rPr>
            </w:pPr>
            <w:r w:rsidRPr="00E5763C">
              <w:rPr>
                <w:rFonts w:eastAsia="Times New Roman" w:cs="Times New Roman"/>
                <w:lang w:eastAsia="cs-CZ"/>
              </w:rPr>
              <w:t>3</w:t>
            </w:r>
          </w:p>
        </w:tc>
        <w:tc>
          <w:tcPr>
            <w:tcW w:w="1009" w:type="dxa"/>
            <w:tcBorders>
              <w:top w:val="single" w:sz="4" w:space="0" w:color="7F7F7F" w:themeColor="text1" w:themeTint="80"/>
              <w:bottom w:val="single" w:sz="8" w:space="0" w:color="7F7F7F" w:themeColor="text1" w:themeTint="80"/>
            </w:tcBorders>
            <w:shd w:val="clear" w:color="auto" w:fill="auto"/>
          </w:tcPr>
          <w:p w:rsidR="00BA1C1A" w:rsidRPr="00895CDE" w:rsidRDefault="00BA1C1A" w:rsidP="00F22264">
            <w:pPr>
              <w:jc w:val="center"/>
              <w:rPr>
                <w:rFonts w:eastAsia="Times New Roman" w:cs="Times New Roman"/>
                <w:lang w:eastAsia="cs-CZ"/>
              </w:rPr>
            </w:pPr>
            <w:r w:rsidRPr="00895CDE">
              <w:rPr>
                <w:rFonts w:eastAsia="Times New Roman" w:cs="Times New Roman"/>
                <w:lang w:eastAsia="cs-CZ"/>
              </w:rPr>
              <w:t>4</w:t>
            </w:r>
          </w:p>
        </w:tc>
      </w:tr>
      <w:tr w:rsidR="00BA1C1A" w:rsidRPr="00B77E56" w:rsidTr="00F22264">
        <w:trPr>
          <w:trHeight w:val="309"/>
        </w:trPr>
        <w:tc>
          <w:tcPr>
            <w:tcW w:w="4385" w:type="dxa"/>
            <w:tcBorders>
              <w:top w:val="single" w:sz="8" w:space="0" w:color="7F7F7F" w:themeColor="text1" w:themeTint="80"/>
              <w:bottom w:val="single" w:sz="8" w:space="0" w:color="7F7F7F" w:themeColor="text1" w:themeTint="80"/>
            </w:tcBorders>
            <w:shd w:val="clear" w:color="auto" w:fill="auto"/>
          </w:tcPr>
          <w:p w:rsidR="00BA1C1A" w:rsidRPr="006C5FC6" w:rsidRDefault="00BA1C1A" w:rsidP="00F22264">
            <w:pPr>
              <w:spacing w:before="60"/>
              <w:rPr>
                <w:rFonts w:eastAsia="Times New Roman" w:cs="Times New Roman"/>
                <w:b/>
                <w:bCs/>
                <w:lang w:eastAsia="cs-CZ"/>
              </w:rPr>
            </w:pPr>
            <w:r w:rsidRPr="006C5FC6">
              <w:rPr>
                <w:rFonts w:eastAsia="Times New Roman" w:cs="Times New Roman"/>
                <w:b/>
                <w:bCs/>
                <w:lang w:eastAsia="cs-CZ"/>
              </w:rPr>
              <w:t xml:space="preserve">Běžné výdaje </w:t>
            </w:r>
            <w:r w:rsidRPr="006C5FC6">
              <w:rPr>
                <w:rFonts w:eastAsia="Times New Roman" w:cs="Times New Roman"/>
                <w:bCs/>
                <w:lang w:eastAsia="cs-CZ"/>
              </w:rPr>
              <w:t>v tom:</w:t>
            </w:r>
          </w:p>
        </w:tc>
        <w:tc>
          <w:tcPr>
            <w:tcW w:w="1275" w:type="dxa"/>
            <w:tcBorders>
              <w:top w:val="single" w:sz="8" w:space="0" w:color="7F7F7F" w:themeColor="text1" w:themeTint="80"/>
              <w:bottom w:val="single" w:sz="8" w:space="0" w:color="7F7F7F" w:themeColor="text1" w:themeTint="80"/>
            </w:tcBorders>
            <w:shd w:val="clear" w:color="auto" w:fill="auto"/>
          </w:tcPr>
          <w:p w:rsidR="00BA1C1A" w:rsidRPr="006C5FC6" w:rsidRDefault="00BA1C1A" w:rsidP="00F22264">
            <w:pPr>
              <w:spacing w:before="60"/>
              <w:jc w:val="right"/>
              <w:rPr>
                <w:rFonts w:eastAsia="Times New Roman" w:cs="Times New Roman"/>
                <w:b/>
                <w:bCs/>
                <w:lang w:eastAsia="cs-CZ"/>
              </w:rPr>
            </w:pPr>
            <w:r w:rsidRPr="006C5FC6">
              <w:rPr>
                <w:rFonts w:eastAsia="Times New Roman" w:cs="Times New Roman"/>
                <w:b/>
                <w:bCs/>
                <w:lang w:eastAsia="cs-CZ"/>
              </w:rPr>
              <w:t>85 977</w:t>
            </w:r>
          </w:p>
        </w:tc>
        <w:tc>
          <w:tcPr>
            <w:tcW w:w="1261" w:type="dxa"/>
            <w:tcBorders>
              <w:top w:val="single" w:sz="8" w:space="0" w:color="7F7F7F" w:themeColor="text1" w:themeTint="80"/>
              <w:bottom w:val="single" w:sz="8" w:space="0" w:color="7F7F7F" w:themeColor="text1" w:themeTint="80"/>
            </w:tcBorders>
            <w:shd w:val="clear" w:color="auto" w:fill="auto"/>
          </w:tcPr>
          <w:p w:rsidR="00BA1C1A" w:rsidRPr="00E5763C" w:rsidRDefault="00BA1C1A" w:rsidP="00F22264">
            <w:pPr>
              <w:spacing w:before="60"/>
              <w:jc w:val="right"/>
              <w:rPr>
                <w:rFonts w:eastAsia="Times New Roman" w:cs="Times New Roman"/>
                <w:b/>
                <w:bCs/>
                <w:lang w:eastAsia="cs-CZ"/>
              </w:rPr>
            </w:pPr>
            <w:r w:rsidRPr="00E5763C">
              <w:rPr>
                <w:rFonts w:eastAsia="Times New Roman" w:cs="Times New Roman"/>
                <w:b/>
                <w:bCs/>
                <w:lang w:eastAsia="cs-CZ"/>
              </w:rPr>
              <w:t>95 353</w:t>
            </w:r>
          </w:p>
        </w:tc>
        <w:tc>
          <w:tcPr>
            <w:tcW w:w="1132" w:type="dxa"/>
            <w:tcBorders>
              <w:top w:val="single" w:sz="8" w:space="0" w:color="7F7F7F" w:themeColor="text1" w:themeTint="80"/>
              <w:bottom w:val="single" w:sz="8" w:space="0" w:color="7F7F7F" w:themeColor="text1" w:themeTint="80"/>
            </w:tcBorders>
            <w:shd w:val="clear" w:color="auto" w:fill="auto"/>
          </w:tcPr>
          <w:p w:rsidR="00BA1C1A" w:rsidRPr="00C06322" w:rsidRDefault="00BA1C1A" w:rsidP="00F22264">
            <w:pPr>
              <w:spacing w:before="60"/>
              <w:jc w:val="right"/>
              <w:rPr>
                <w:rFonts w:eastAsia="Times New Roman" w:cs="Times New Roman"/>
                <w:b/>
                <w:bCs/>
                <w:lang w:eastAsia="cs-CZ"/>
              </w:rPr>
            </w:pPr>
            <w:r w:rsidRPr="00C06322">
              <w:rPr>
                <w:rFonts w:eastAsia="Times New Roman" w:cs="Times New Roman"/>
                <w:b/>
                <w:bCs/>
                <w:lang w:eastAsia="cs-CZ"/>
              </w:rPr>
              <w:t>98 856</w:t>
            </w:r>
          </w:p>
        </w:tc>
        <w:tc>
          <w:tcPr>
            <w:tcW w:w="1009" w:type="dxa"/>
            <w:tcBorders>
              <w:top w:val="single" w:sz="8" w:space="0" w:color="7F7F7F" w:themeColor="text1" w:themeTint="80"/>
              <w:bottom w:val="single" w:sz="8" w:space="0" w:color="7F7F7F" w:themeColor="text1" w:themeTint="80"/>
            </w:tcBorders>
            <w:shd w:val="clear" w:color="auto" w:fill="auto"/>
          </w:tcPr>
          <w:p w:rsidR="00BA1C1A" w:rsidRPr="00C06322" w:rsidRDefault="00BA1C1A" w:rsidP="00F22264">
            <w:pPr>
              <w:spacing w:before="60"/>
              <w:jc w:val="right"/>
              <w:rPr>
                <w:rFonts w:eastAsia="Times New Roman" w:cs="Times New Roman"/>
                <w:b/>
                <w:bCs/>
                <w:lang w:eastAsia="cs-CZ"/>
              </w:rPr>
            </w:pPr>
            <w:r w:rsidRPr="00C06322">
              <w:rPr>
                <w:rFonts w:eastAsia="Times New Roman" w:cs="Times New Roman"/>
                <w:b/>
                <w:bCs/>
                <w:lang w:eastAsia="cs-CZ"/>
              </w:rPr>
              <w:t>103,67</w:t>
            </w:r>
          </w:p>
        </w:tc>
      </w:tr>
      <w:tr w:rsidR="00BA1C1A" w:rsidRPr="00B77E56" w:rsidTr="00F22264">
        <w:trPr>
          <w:trHeight w:val="520"/>
        </w:trPr>
        <w:tc>
          <w:tcPr>
            <w:tcW w:w="4385" w:type="dxa"/>
            <w:tcBorders>
              <w:top w:val="single" w:sz="8" w:space="0" w:color="7F7F7F" w:themeColor="text1" w:themeTint="80"/>
            </w:tcBorders>
            <w:shd w:val="clear" w:color="auto" w:fill="auto"/>
          </w:tcPr>
          <w:p w:rsidR="00BA1C1A" w:rsidRPr="006C5FC6" w:rsidRDefault="00BA1C1A" w:rsidP="00F22264">
            <w:pPr>
              <w:rPr>
                <w:rFonts w:eastAsia="Times New Roman" w:cs="Times New Roman"/>
                <w:lang w:eastAsia="cs-CZ"/>
              </w:rPr>
            </w:pPr>
            <w:r w:rsidRPr="006C5FC6">
              <w:rPr>
                <w:rFonts w:eastAsia="Times New Roman" w:cs="Times New Roman"/>
                <w:lang w:eastAsia="cs-CZ"/>
              </w:rPr>
              <w:t>platy zaměstnanců a ostatní platby</w:t>
            </w:r>
          </w:p>
          <w:p w:rsidR="00BA1C1A" w:rsidRPr="006C5FC6" w:rsidRDefault="00BA1C1A" w:rsidP="00F22264">
            <w:pPr>
              <w:rPr>
                <w:rFonts w:eastAsia="Times New Roman" w:cs="Times New Roman"/>
                <w:lang w:eastAsia="cs-CZ"/>
              </w:rPr>
            </w:pPr>
            <w:r w:rsidRPr="006C5FC6">
              <w:rPr>
                <w:rFonts w:eastAsia="Times New Roman" w:cs="Times New Roman"/>
                <w:lang w:eastAsia="cs-CZ"/>
              </w:rPr>
              <w:t>za provedenou práci</w:t>
            </w:r>
          </w:p>
        </w:tc>
        <w:tc>
          <w:tcPr>
            <w:tcW w:w="1275" w:type="dxa"/>
            <w:tcBorders>
              <w:top w:val="single" w:sz="8" w:space="0" w:color="7F7F7F" w:themeColor="text1" w:themeTint="80"/>
            </w:tcBorders>
            <w:shd w:val="clear" w:color="auto" w:fill="auto"/>
            <w:noWrap/>
          </w:tcPr>
          <w:p w:rsidR="00BA1C1A" w:rsidRPr="006C5FC6" w:rsidRDefault="00BA1C1A" w:rsidP="00F22264">
            <w:pPr>
              <w:spacing w:before="120"/>
              <w:jc w:val="right"/>
              <w:rPr>
                <w:rFonts w:ascii="Arial" w:eastAsia="Times New Roman" w:hAnsi="Arial" w:cs="Arial"/>
                <w:lang w:eastAsia="cs-CZ"/>
              </w:rPr>
            </w:pPr>
            <w:r w:rsidRPr="006C5FC6">
              <w:rPr>
                <w:rFonts w:eastAsia="Times New Roman" w:cs="Times New Roman"/>
                <w:lang w:eastAsia="cs-CZ"/>
              </w:rPr>
              <w:t>46 317</w:t>
            </w:r>
          </w:p>
        </w:tc>
        <w:tc>
          <w:tcPr>
            <w:tcW w:w="1261" w:type="dxa"/>
            <w:tcBorders>
              <w:top w:val="single" w:sz="8" w:space="0" w:color="7F7F7F" w:themeColor="text1" w:themeTint="80"/>
            </w:tcBorders>
            <w:shd w:val="clear" w:color="auto" w:fill="auto"/>
            <w:noWrap/>
          </w:tcPr>
          <w:p w:rsidR="00BA1C1A" w:rsidRPr="00E5763C" w:rsidRDefault="00BA1C1A" w:rsidP="00F22264">
            <w:pPr>
              <w:spacing w:before="120"/>
              <w:jc w:val="right"/>
              <w:rPr>
                <w:rFonts w:ascii="Arial" w:eastAsia="Times New Roman" w:hAnsi="Arial" w:cs="Arial"/>
                <w:lang w:eastAsia="cs-CZ"/>
              </w:rPr>
            </w:pPr>
            <w:r w:rsidRPr="00E5763C">
              <w:rPr>
                <w:rFonts w:eastAsia="Times New Roman" w:cs="Times New Roman"/>
                <w:lang w:eastAsia="cs-CZ"/>
              </w:rPr>
              <w:t xml:space="preserve"> 50 529</w:t>
            </w:r>
          </w:p>
        </w:tc>
        <w:tc>
          <w:tcPr>
            <w:tcW w:w="1132" w:type="dxa"/>
            <w:tcBorders>
              <w:top w:val="single" w:sz="8" w:space="0" w:color="7F7F7F" w:themeColor="text1" w:themeTint="80"/>
            </w:tcBorders>
            <w:shd w:val="clear" w:color="auto" w:fill="auto"/>
            <w:noWrap/>
          </w:tcPr>
          <w:p w:rsidR="00BA1C1A" w:rsidRPr="00C06322" w:rsidRDefault="00BA1C1A" w:rsidP="00F22264">
            <w:pPr>
              <w:spacing w:before="120"/>
              <w:jc w:val="right"/>
              <w:rPr>
                <w:rFonts w:eastAsia="Times New Roman" w:cstheme="minorHAnsi"/>
                <w:lang w:eastAsia="cs-CZ"/>
              </w:rPr>
            </w:pPr>
            <w:r w:rsidRPr="00C06322">
              <w:rPr>
                <w:rFonts w:eastAsia="Times New Roman" w:cstheme="minorHAnsi"/>
                <w:lang w:eastAsia="cs-CZ"/>
              </w:rPr>
              <w:t>53 105</w:t>
            </w:r>
          </w:p>
        </w:tc>
        <w:tc>
          <w:tcPr>
            <w:tcW w:w="1009" w:type="dxa"/>
            <w:tcBorders>
              <w:top w:val="single" w:sz="8" w:space="0" w:color="7F7F7F" w:themeColor="text1" w:themeTint="80"/>
            </w:tcBorders>
            <w:shd w:val="clear" w:color="auto" w:fill="auto"/>
          </w:tcPr>
          <w:p w:rsidR="00BA1C1A" w:rsidRPr="00C06322" w:rsidRDefault="00BA1C1A" w:rsidP="00F22264">
            <w:pPr>
              <w:spacing w:before="120"/>
              <w:jc w:val="right"/>
              <w:rPr>
                <w:rFonts w:eastAsia="Times New Roman" w:cs="Times New Roman"/>
                <w:b/>
                <w:bCs/>
                <w:lang w:eastAsia="cs-CZ"/>
              </w:rPr>
            </w:pPr>
            <w:r w:rsidRPr="00C06322">
              <w:rPr>
                <w:rFonts w:eastAsia="Times New Roman" w:cs="Times New Roman"/>
                <w:lang w:eastAsia="cs-CZ"/>
              </w:rPr>
              <w:t>105,10</w:t>
            </w:r>
          </w:p>
        </w:tc>
      </w:tr>
      <w:tr w:rsidR="00BA1C1A" w:rsidRPr="00B77E56" w:rsidTr="00F22264">
        <w:trPr>
          <w:trHeight w:val="255"/>
        </w:trPr>
        <w:tc>
          <w:tcPr>
            <w:tcW w:w="4385" w:type="dxa"/>
            <w:shd w:val="clear" w:color="auto" w:fill="auto"/>
          </w:tcPr>
          <w:p w:rsidR="00BA1C1A" w:rsidRPr="006C5FC6" w:rsidRDefault="00BA1C1A" w:rsidP="00F22264">
            <w:pPr>
              <w:rPr>
                <w:rFonts w:eastAsia="Times New Roman" w:cs="Times New Roman"/>
                <w:lang w:eastAsia="cs-CZ"/>
              </w:rPr>
            </w:pPr>
            <w:r w:rsidRPr="006C5FC6">
              <w:rPr>
                <w:rFonts w:eastAsia="Times New Roman" w:cs="Times New Roman"/>
                <w:lang w:eastAsia="cs-CZ"/>
              </w:rPr>
              <w:t>povinné pojistné placené zaměstnavatelem</w:t>
            </w:r>
          </w:p>
        </w:tc>
        <w:tc>
          <w:tcPr>
            <w:tcW w:w="1275" w:type="dxa"/>
            <w:shd w:val="clear" w:color="auto" w:fill="auto"/>
          </w:tcPr>
          <w:p w:rsidR="00BA1C1A" w:rsidRPr="006C5FC6" w:rsidRDefault="00BA1C1A" w:rsidP="00F22264">
            <w:pPr>
              <w:jc w:val="right"/>
              <w:rPr>
                <w:rFonts w:eastAsia="Times New Roman" w:cs="Times New Roman"/>
                <w:lang w:eastAsia="cs-CZ"/>
              </w:rPr>
            </w:pPr>
            <w:r w:rsidRPr="006C5FC6">
              <w:rPr>
                <w:rFonts w:eastAsia="Times New Roman" w:cs="Times New Roman"/>
                <w:lang w:eastAsia="cs-CZ"/>
              </w:rPr>
              <w:t>15 718</w:t>
            </w:r>
          </w:p>
        </w:tc>
        <w:tc>
          <w:tcPr>
            <w:tcW w:w="1261" w:type="dxa"/>
            <w:shd w:val="clear" w:color="auto" w:fill="auto"/>
          </w:tcPr>
          <w:p w:rsidR="00BA1C1A" w:rsidRPr="00E5763C" w:rsidRDefault="00BA1C1A" w:rsidP="00F22264">
            <w:pPr>
              <w:jc w:val="right"/>
              <w:rPr>
                <w:rFonts w:eastAsia="Times New Roman" w:cs="Times New Roman"/>
                <w:lang w:eastAsia="cs-CZ"/>
              </w:rPr>
            </w:pPr>
            <w:r w:rsidRPr="00E5763C">
              <w:rPr>
                <w:rFonts w:eastAsia="Times New Roman" w:cs="Times New Roman"/>
                <w:lang w:eastAsia="cs-CZ"/>
              </w:rPr>
              <w:t>17 180</w:t>
            </w:r>
          </w:p>
        </w:tc>
        <w:tc>
          <w:tcPr>
            <w:tcW w:w="1132" w:type="dxa"/>
            <w:shd w:val="clear" w:color="auto" w:fill="auto"/>
          </w:tcPr>
          <w:p w:rsidR="00BA1C1A" w:rsidRPr="00C06322" w:rsidRDefault="00BA1C1A" w:rsidP="00F22264">
            <w:pPr>
              <w:jc w:val="right"/>
              <w:rPr>
                <w:rFonts w:eastAsia="Times New Roman" w:cs="Times New Roman"/>
                <w:lang w:eastAsia="cs-CZ"/>
              </w:rPr>
            </w:pPr>
            <w:r w:rsidRPr="00C06322">
              <w:rPr>
                <w:rFonts w:eastAsia="Times New Roman" w:cs="Times New Roman"/>
                <w:lang w:eastAsia="cs-CZ"/>
              </w:rPr>
              <w:t>18 055</w:t>
            </w:r>
          </w:p>
        </w:tc>
        <w:tc>
          <w:tcPr>
            <w:tcW w:w="1009" w:type="dxa"/>
            <w:shd w:val="clear" w:color="auto" w:fill="auto"/>
          </w:tcPr>
          <w:p w:rsidR="00BA1C1A" w:rsidRPr="00C06322" w:rsidRDefault="00BA1C1A" w:rsidP="00F22264">
            <w:pPr>
              <w:jc w:val="right"/>
              <w:rPr>
                <w:rFonts w:eastAsia="Times New Roman" w:cs="Times New Roman"/>
                <w:lang w:eastAsia="cs-CZ"/>
              </w:rPr>
            </w:pPr>
            <w:r w:rsidRPr="00C06322">
              <w:rPr>
                <w:rFonts w:eastAsia="Times New Roman" w:cs="Times New Roman"/>
                <w:lang w:eastAsia="cs-CZ"/>
              </w:rPr>
              <w:t>105,09</w:t>
            </w:r>
          </w:p>
        </w:tc>
      </w:tr>
      <w:tr w:rsidR="00BA1C1A" w:rsidRPr="00B77E56" w:rsidTr="00F22264">
        <w:trPr>
          <w:trHeight w:val="255"/>
        </w:trPr>
        <w:tc>
          <w:tcPr>
            <w:tcW w:w="4385" w:type="dxa"/>
            <w:tcBorders>
              <w:bottom w:val="single" w:sz="4" w:space="0" w:color="7F7F7F" w:themeColor="text1" w:themeTint="80"/>
            </w:tcBorders>
            <w:shd w:val="clear" w:color="auto" w:fill="auto"/>
          </w:tcPr>
          <w:p w:rsidR="00BA1C1A" w:rsidRPr="006C5FC6" w:rsidRDefault="00BA1C1A" w:rsidP="00F22264">
            <w:pPr>
              <w:rPr>
                <w:rFonts w:eastAsia="Times New Roman" w:cs="Times New Roman"/>
                <w:lang w:eastAsia="cs-CZ"/>
              </w:rPr>
            </w:pPr>
            <w:r w:rsidRPr="006C5FC6">
              <w:rPr>
                <w:rFonts w:eastAsia="Times New Roman" w:cs="Times New Roman"/>
                <w:lang w:eastAsia="cs-CZ"/>
              </w:rPr>
              <w:t>převod FKSP</w:t>
            </w:r>
          </w:p>
        </w:tc>
        <w:tc>
          <w:tcPr>
            <w:tcW w:w="1275" w:type="dxa"/>
            <w:tcBorders>
              <w:bottom w:val="single" w:sz="4" w:space="0" w:color="7F7F7F" w:themeColor="text1" w:themeTint="80"/>
            </w:tcBorders>
            <w:shd w:val="clear" w:color="auto" w:fill="auto"/>
          </w:tcPr>
          <w:p w:rsidR="00BA1C1A" w:rsidRPr="006C5FC6" w:rsidRDefault="00BA1C1A" w:rsidP="00F22264">
            <w:pPr>
              <w:jc w:val="right"/>
              <w:rPr>
                <w:rFonts w:eastAsia="Times New Roman" w:cs="Times New Roman"/>
                <w:lang w:eastAsia="cs-CZ"/>
              </w:rPr>
            </w:pPr>
            <w:r w:rsidRPr="006C5FC6">
              <w:rPr>
                <w:rFonts w:eastAsia="Times New Roman" w:cs="Times New Roman"/>
                <w:lang w:eastAsia="cs-CZ"/>
              </w:rPr>
              <w:t>922</w:t>
            </w:r>
          </w:p>
        </w:tc>
        <w:tc>
          <w:tcPr>
            <w:tcW w:w="1261" w:type="dxa"/>
            <w:tcBorders>
              <w:bottom w:val="single" w:sz="4" w:space="0" w:color="7F7F7F" w:themeColor="text1" w:themeTint="80"/>
            </w:tcBorders>
            <w:shd w:val="clear" w:color="auto" w:fill="auto"/>
          </w:tcPr>
          <w:p w:rsidR="00BA1C1A" w:rsidRPr="00E5763C" w:rsidRDefault="00BA1C1A" w:rsidP="00F22264">
            <w:pPr>
              <w:jc w:val="right"/>
              <w:rPr>
                <w:rFonts w:eastAsia="Times New Roman" w:cs="Times New Roman"/>
                <w:lang w:eastAsia="cs-CZ"/>
              </w:rPr>
            </w:pPr>
            <w:r w:rsidRPr="00E5763C">
              <w:rPr>
                <w:rFonts w:eastAsia="Times New Roman" w:cs="Times New Roman"/>
                <w:lang w:eastAsia="cs-CZ"/>
              </w:rPr>
              <w:t>1 008</w:t>
            </w:r>
          </w:p>
        </w:tc>
        <w:tc>
          <w:tcPr>
            <w:tcW w:w="1132" w:type="dxa"/>
            <w:tcBorders>
              <w:bottom w:val="single" w:sz="4" w:space="0" w:color="7F7F7F" w:themeColor="text1" w:themeTint="80"/>
            </w:tcBorders>
            <w:shd w:val="clear" w:color="auto" w:fill="auto"/>
          </w:tcPr>
          <w:p w:rsidR="00BA1C1A" w:rsidRPr="00C06322" w:rsidRDefault="00BA1C1A" w:rsidP="00F22264">
            <w:pPr>
              <w:jc w:val="right"/>
              <w:rPr>
                <w:rFonts w:eastAsia="Times New Roman" w:cs="Times New Roman"/>
                <w:lang w:eastAsia="cs-CZ"/>
              </w:rPr>
            </w:pPr>
            <w:r w:rsidRPr="00C06322">
              <w:rPr>
                <w:rFonts w:eastAsia="Times New Roman" w:cs="Times New Roman"/>
                <w:lang w:eastAsia="cs-CZ"/>
              </w:rPr>
              <w:t>1 060</w:t>
            </w:r>
          </w:p>
        </w:tc>
        <w:tc>
          <w:tcPr>
            <w:tcW w:w="1009" w:type="dxa"/>
            <w:tcBorders>
              <w:bottom w:val="single" w:sz="4" w:space="0" w:color="7F7F7F" w:themeColor="text1" w:themeTint="80"/>
            </w:tcBorders>
            <w:shd w:val="clear" w:color="auto" w:fill="auto"/>
          </w:tcPr>
          <w:p w:rsidR="00BA1C1A" w:rsidRPr="00C06322" w:rsidRDefault="00BA1C1A" w:rsidP="00F22264">
            <w:pPr>
              <w:jc w:val="right"/>
              <w:rPr>
                <w:rFonts w:eastAsia="Times New Roman" w:cs="Times New Roman"/>
                <w:lang w:eastAsia="cs-CZ"/>
              </w:rPr>
            </w:pPr>
            <w:r w:rsidRPr="00C06322">
              <w:rPr>
                <w:rFonts w:eastAsia="Times New Roman" w:cs="Times New Roman"/>
                <w:lang w:eastAsia="cs-CZ"/>
              </w:rPr>
              <w:t>105,16</w:t>
            </w:r>
          </w:p>
        </w:tc>
      </w:tr>
      <w:tr w:rsidR="00BA1C1A" w:rsidRPr="00B77E56" w:rsidTr="00F22264">
        <w:trPr>
          <w:trHeight w:val="255"/>
        </w:trPr>
        <w:tc>
          <w:tcPr>
            <w:tcW w:w="4385" w:type="dxa"/>
            <w:tcBorders>
              <w:top w:val="single" w:sz="4" w:space="0" w:color="7F7F7F" w:themeColor="text1" w:themeTint="80"/>
              <w:bottom w:val="nil"/>
            </w:tcBorders>
            <w:shd w:val="clear" w:color="auto" w:fill="auto"/>
          </w:tcPr>
          <w:p w:rsidR="00BA1C1A" w:rsidRPr="006C5FC6" w:rsidRDefault="00BA1C1A" w:rsidP="00F22264">
            <w:pPr>
              <w:rPr>
                <w:rFonts w:eastAsia="Times New Roman" w:cs="Times New Roman"/>
                <w:lang w:eastAsia="cs-CZ"/>
              </w:rPr>
            </w:pPr>
            <w:r w:rsidRPr="006C5FC6">
              <w:rPr>
                <w:rFonts w:eastAsia="Times New Roman" w:cs="Times New Roman"/>
                <w:lang w:eastAsia="cs-CZ"/>
              </w:rPr>
              <w:t xml:space="preserve">ostatní </w:t>
            </w:r>
            <w:proofErr w:type="spellStart"/>
            <w:r w:rsidRPr="006C5FC6">
              <w:rPr>
                <w:rFonts w:eastAsia="Times New Roman" w:cs="Times New Roman"/>
                <w:lang w:eastAsia="cs-CZ"/>
              </w:rPr>
              <w:t>neinv</w:t>
            </w:r>
            <w:proofErr w:type="spellEnd"/>
            <w:r w:rsidRPr="006C5FC6">
              <w:rPr>
                <w:rFonts w:eastAsia="Times New Roman" w:cs="Times New Roman"/>
                <w:lang w:eastAsia="cs-CZ"/>
              </w:rPr>
              <w:t>. nákupy a související výdaje</w:t>
            </w:r>
          </w:p>
        </w:tc>
        <w:tc>
          <w:tcPr>
            <w:tcW w:w="1275" w:type="dxa"/>
            <w:tcBorders>
              <w:top w:val="single" w:sz="4" w:space="0" w:color="7F7F7F" w:themeColor="text1" w:themeTint="80"/>
              <w:bottom w:val="nil"/>
            </w:tcBorders>
            <w:shd w:val="clear" w:color="auto" w:fill="auto"/>
          </w:tcPr>
          <w:p w:rsidR="00BA1C1A" w:rsidRPr="006C5FC6" w:rsidRDefault="00BA1C1A" w:rsidP="00F22264">
            <w:pPr>
              <w:jc w:val="right"/>
              <w:rPr>
                <w:rFonts w:eastAsia="Times New Roman" w:cs="Times New Roman"/>
                <w:lang w:eastAsia="cs-CZ"/>
              </w:rPr>
            </w:pPr>
            <w:r w:rsidRPr="006C5FC6">
              <w:rPr>
                <w:rFonts w:eastAsia="Times New Roman" w:cs="Times New Roman"/>
                <w:lang w:eastAsia="cs-CZ"/>
              </w:rPr>
              <w:t>23 020</w:t>
            </w:r>
          </w:p>
        </w:tc>
        <w:tc>
          <w:tcPr>
            <w:tcW w:w="1261" w:type="dxa"/>
            <w:tcBorders>
              <w:top w:val="single" w:sz="4" w:space="0" w:color="7F7F7F" w:themeColor="text1" w:themeTint="80"/>
              <w:bottom w:val="nil"/>
            </w:tcBorders>
            <w:shd w:val="clear" w:color="auto" w:fill="auto"/>
          </w:tcPr>
          <w:p w:rsidR="00BA1C1A" w:rsidRPr="00E5763C" w:rsidRDefault="00BA1C1A" w:rsidP="00F22264">
            <w:pPr>
              <w:jc w:val="right"/>
              <w:rPr>
                <w:rFonts w:eastAsia="Times New Roman" w:cs="Times New Roman"/>
                <w:lang w:eastAsia="cs-CZ"/>
              </w:rPr>
            </w:pPr>
            <w:r w:rsidRPr="00E5763C">
              <w:rPr>
                <w:rFonts w:eastAsia="Times New Roman" w:cs="Times New Roman"/>
                <w:lang w:eastAsia="cs-CZ"/>
              </w:rPr>
              <w:t>26 636</w:t>
            </w:r>
          </w:p>
        </w:tc>
        <w:tc>
          <w:tcPr>
            <w:tcW w:w="1132" w:type="dxa"/>
            <w:tcBorders>
              <w:top w:val="single" w:sz="4" w:space="0" w:color="7F7F7F" w:themeColor="text1" w:themeTint="80"/>
              <w:bottom w:val="nil"/>
            </w:tcBorders>
            <w:shd w:val="clear" w:color="auto" w:fill="auto"/>
          </w:tcPr>
          <w:p w:rsidR="00BA1C1A" w:rsidRPr="00C06322" w:rsidRDefault="00BA1C1A" w:rsidP="00F22264">
            <w:pPr>
              <w:jc w:val="right"/>
              <w:rPr>
                <w:rFonts w:eastAsia="Times New Roman" w:cs="Times New Roman"/>
                <w:lang w:eastAsia="cs-CZ"/>
              </w:rPr>
            </w:pPr>
            <w:r w:rsidRPr="00C06322">
              <w:rPr>
                <w:rFonts w:eastAsia="Times New Roman" w:cs="Times New Roman"/>
                <w:lang w:eastAsia="cs-CZ"/>
              </w:rPr>
              <w:t>26 636</w:t>
            </w:r>
          </w:p>
        </w:tc>
        <w:tc>
          <w:tcPr>
            <w:tcW w:w="1009" w:type="dxa"/>
            <w:tcBorders>
              <w:top w:val="single" w:sz="4" w:space="0" w:color="7F7F7F" w:themeColor="text1" w:themeTint="80"/>
              <w:bottom w:val="nil"/>
            </w:tcBorders>
            <w:shd w:val="clear" w:color="auto" w:fill="auto"/>
          </w:tcPr>
          <w:p w:rsidR="00BA1C1A" w:rsidRPr="00C06322" w:rsidRDefault="00BA1C1A" w:rsidP="00F22264">
            <w:pPr>
              <w:jc w:val="right"/>
              <w:rPr>
                <w:rFonts w:eastAsia="Times New Roman" w:cs="Times New Roman"/>
                <w:lang w:eastAsia="cs-CZ"/>
              </w:rPr>
            </w:pPr>
            <w:r w:rsidRPr="00C06322">
              <w:rPr>
                <w:rFonts w:eastAsia="Times New Roman" w:cs="Times New Roman"/>
                <w:lang w:eastAsia="cs-CZ"/>
              </w:rPr>
              <w:t>100,00</w:t>
            </w:r>
          </w:p>
        </w:tc>
      </w:tr>
      <w:tr w:rsidR="00BA1C1A" w:rsidRPr="00B77E56" w:rsidTr="00146324">
        <w:trPr>
          <w:trHeight w:val="255"/>
        </w:trPr>
        <w:tc>
          <w:tcPr>
            <w:tcW w:w="4385" w:type="dxa"/>
            <w:tcBorders>
              <w:top w:val="nil"/>
            </w:tcBorders>
            <w:shd w:val="clear" w:color="auto" w:fill="auto"/>
          </w:tcPr>
          <w:p w:rsidR="00BA1C1A" w:rsidRPr="006C5FC6" w:rsidRDefault="00BA1C1A" w:rsidP="00F22264">
            <w:pPr>
              <w:rPr>
                <w:rFonts w:eastAsia="Times New Roman" w:cs="Times New Roman"/>
                <w:i/>
                <w:lang w:eastAsia="cs-CZ"/>
              </w:rPr>
            </w:pPr>
            <w:r w:rsidRPr="006C5FC6">
              <w:rPr>
                <w:rFonts w:eastAsia="Times New Roman" w:cs="Times New Roman"/>
                <w:i/>
                <w:lang w:eastAsia="cs-CZ"/>
              </w:rPr>
              <w:t>z toho: programové financování (EDS/SMVS)</w:t>
            </w:r>
          </w:p>
        </w:tc>
        <w:tc>
          <w:tcPr>
            <w:tcW w:w="1275" w:type="dxa"/>
            <w:tcBorders>
              <w:top w:val="nil"/>
            </w:tcBorders>
            <w:shd w:val="clear" w:color="auto" w:fill="auto"/>
            <w:vAlign w:val="center"/>
          </w:tcPr>
          <w:p w:rsidR="00BA1C1A" w:rsidRPr="006C5FC6" w:rsidRDefault="00BA1C1A" w:rsidP="00146324">
            <w:pPr>
              <w:jc w:val="right"/>
              <w:rPr>
                <w:rFonts w:eastAsia="Times New Roman" w:cs="Times New Roman"/>
                <w:i/>
                <w:lang w:eastAsia="cs-CZ"/>
              </w:rPr>
            </w:pPr>
            <w:r w:rsidRPr="006C5FC6">
              <w:rPr>
                <w:rFonts w:eastAsia="Times New Roman" w:cs="Times New Roman"/>
                <w:i/>
                <w:lang w:eastAsia="cs-CZ"/>
              </w:rPr>
              <w:t>0</w:t>
            </w:r>
          </w:p>
        </w:tc>
        <w:tc>
          <w:tcPr>
            <w:tcW w:w="1261" w:type="dxa"/>
            <w:tcBorders>
              <w:top w:val="nil"/>
            </w:tcBorders>
            <w:shd w:val="clear" w:color="auto" w:fill="auto"/>
            <w:vAlign w:val="center"/>
          </w:tcPr>
          <w:p w:rsidR="00BA1C1A" w:rsidRPr="00E5763C" w:rsidRDefault="00BA1C1A" w:rsidP="00146324">
            <w:pPr>
              <w:jc w:val="right"/>
              <w:rPr>
                <w:rFonts w:eastAsia="Times New Roman" w:cs="Times New Roman"/>
                <w:i/>
                <w:lang w:eastAsia="cs-CZ"/>
              </w:rPr>
            </w:pPr>
            <w:r w:rsidRPr="00E5763C">
              <w:rPr>
                <w:rFonts w:eastAsia="Times New Roman" w:cs="Times New Roman"/>
                <w:i/>
                <w:lang w:eastAsia="cs-CZ"/>
              </w:rPr>
              <w:t>0</w:t>
            </w:r>
          </w:p>
        </w:tc>
        <w:tc>
          <w:tcPr>
            <w:tcW w:w="1132" w:type="dxa"/>
            <w:tcBorders>
              <w:top w:val="nil"/>
            </w:tcBorders>
            <w:shd w:val="clear" w:color="auto" w:fill="auto"/>
            <w:vAlign w:val="center"/>
          </w:tcPr>
          <w:p w:rsidR="00BA1C1A" w:rsidRPr="00E5763C" w:rsidRDefault="00BA1C1A" w:rsidP="00146324">
            <w:pPr>
              <w:jc w:val="right"/>
              <w:rPr>
                <w:rFonts w:eastAsia="Times New Roman" w:cs="Times New Roman"/>
                <w:i/>
                <w:lang w:eastAsia="cs-CZ"/>
              </w:rPr>
            </w:pPr>
            <w:r w:rsidRPr="00E5763C">
              <w:rPr>
                <w:rFonts w:eastAsia="Times New Roman" w:cs="Times New Roman"/>
                <w:i/>
                <w:lang w:eastAsia="cs-CZ"/>
              </w:rPr>
              <w:t>0</w:t>
            </w:r>
          </w:p>
        </w:tc>
        <w:tc>
          <w:tcPr>
            <w:tcW w:w="1009" w:type="dxa"/>
            <w:tcBorders>
              <w:top w:val="nil"/>
            </w:tcBorders>
            <w:shd w:val="clear" w:color="auto" w:fill="auto"/>
            <w:vAlign w:val="center"/>
          </w:tcPr>
          <w:p w:rsidR="00BA1C1A" w:rsidRPr="00895CDE" w:rsidRDefault="00BA1C1A" w:rsidP="00146324">
            <w:pPr>
              <w:jc w:val="right"/>
              <w:rPr>
                <w:rFonts w:eastAsia="Times New Roman" w:cs="Times New Roman"/>
                <w:i/>
                <w:lang w:eastAsia="cs-CZ"/>
              </w:rPr>
            </w:pPr>
            <w:r w:rsidRPr="00895CDE">
              <w:rPr>
                <w:rFonts w:eastAsia="Times New Roman" w:cs="Times New Roman"/>
                <w:i/>
                <w:lang w:eastAsia="cs-CZ"/>
              </w:rPr>
              <w:t>x</w:t>
            </w:r>
          </w:p>
        </w:tc>
      </w:tr>
    </w:tbl>
    <w:p w:rsidR="00BA1C1A" w:rsidRPr="001D1C48" w:rsidRDefault="00BA1C1A" w:rsidP="001D1C48">
      <w:pPr>
        <w:pStyle w:val="Styl1"/>
      </w:pPr>
      <w:r w:rsidRPr="001D1C48">
        <w:t xml:space="preserve">Navrhovaný objem běžných výdajů na rok 2019 je oproti roku 2018 vyšší </w:t>
      </w:r>
      <w:r w:rsidRPr="001D1C48">
        <w:br/>
        <w:t>o 3 503 tis. Kč.</w:t>
      </w:r>
    </w:p>
    <w:p w:rsidR="00BA1C1A" w:rsidRPr="001D1C48" w:rsidRDefault="00BA1C1A" w:rsidP="001D1C48">
      <w:pPr>
        <w:pStyle w:val="Styl1"/>
      </w:pPr>
      <w:r w:rsidRPr="001D1C48">
        <w:t xml:space="preserve">Výdaje na platy vč. příslušenství se zvýšily oproti roku 2018 o 3 503 tis. Kč, v tom je obsaženo snížení platů vč. příslušenství o 1 532 tis. Kč v souvislosti s krácením neobsazených míst a dále navýšení prostředků na platy vč. příslušenství na základě UV č. 379/2018 </w:t>
      </w:r>
      <w:r w:rsidRPr="001D1C48">
        <w:br/>
        <w:t>o 4 113 tis. Kč a UV č. 588/2018 o 922 tis. Kč, tj. n</w:t>
      </w:r>
      <w:r w:rsidR="00CA24A2">
        <w:t xml:space="preserve">avýšení celkem o 5 035 tis. Kč </w:t>
      </w:r>
      <w:r w:rsidRPr="001D1C48">
        <w:t>(podrobněji viz oddíl 3.2.2 Mzdové výdaje a počty pracovníků OSS a PO).</w:t>
      </w:r>
    </w:p>
    <w:p w:rsidR="00BA1C1A" w:rsidRPr="001D1C48" w:rsidRDefault="00BA1C1A" w:rsidP="001D1C48">
      <w:pPr>
        <w:pStyle w:val="Styl1"/>
      </w:pPr>
      <w:r w:rsidRPr="001D1C48">
        <w:t xml:space="preserve">Největší položku běžných výdajů tvoří výdaje na platy a ostatní platby za provedenou práci, které jsou navrhovány ve výši 53 105 tis. Kč. Ostatní běžné výdaje zůstaly ve stejné výši, tj. 26 636 tis. Kč. V rámci ostatních běžných výdajů činí největší podíl výdaje na nákup služeb (např. nájemné, konzultační, poradenské a právní služby, ostatní služby, zpracování dat a služby související s informačními a komunikačními technologiemi), drobný hmotný dlouhodobý majetek (nový nábytek, podlahové krytiny) a nákup materiálu. </w:t>
      </w:r>
    </w:p>
    <w:p w:rsidR="00BA1C1A" w:rsidRPr="001D1C48" w:rsidRDefault="00BA1C1A" w:rsidP="001D1C48">
      <w:pPr>
        <w:pStyle w:val="Styl1"/>
      </w:pPr>
      <w:r w:rsidRPr="001D1C48">
        <w:t xml:space="preserve">Počet zaměstnanců organizace pro rok 2019 je ve výši 115 zaměstnanců, v tom 107 státních zaměstnanců a 8 zaměstnanců v pracovním poměru. </w:t>
      </w:r>
    </w:p>
    <w:p w:rsidR="00ED7004" w:rsidRDefault="00ED7004" w:rsidP="0057450B">
      <w:pPr>
        <w:spacing w:before="240" w:after="80" w:line="240" w:lineRule="auto"/>
        <w:ind w:left="539"/>
        <w:rPr>
          <w:rFonts w:eastAsia="Times New Roman" w:cs="Times New Roman"/>
          <w:b/>
          <w:szCs w:val="24"/>
          <w:u w:val="single"/>
          <w:lang w:eastAsia="cs-CZ"/>
        </w:rPr>
      </w:pPr>
    </w:p>
    <w:p w:rsidR="00ED7004" w:rsidRDefault="00ED7004" w:rsidP="0057450B">
      <w:pPr>
        <w:spacing w:before="240" w:after="80" w:line="240" w:lineRule="auto"/>
        <w:ind w:left="539"/>
        <w:rPr>
          <w:rFonts w:eastAsia="Times New Roman" w:cs="Times New Roman"/>
          <w:b/>
          <w:szCs w:val="24"/>
          <w:u w:val="single"/>
          <w:lang w:eastAsia="cs-CZ"/>
        </w:rPr>
      </w:pPr>
    </w:p>
    <w:p w:rsidR="00ED7004" w:rsidRDefault="00ED7004" w:rsidP="0057450B">
      <w:pPr>
        <w:spacing w:before="240" w:after="80" w:line="240" w:lineRule="auto"/>
        <w:ind w:left="539"/>
        <w:rPr>
          <w:rFonts w:eastAsia="Times New Roman" w:cs="Times New Roman"/>
          <w:b/>
          <w:szCs w:val="24"/>
          <w:u w:val="single"/>
          <w:lang w:eastAsia="cs-CZ"/>
        </w:rPr>
      </w:pPr>
    </w:p>
    <w:p w:rsidR="00ED7004" w:rsidRDefault="00ED7004" w:rsidP="0057450B">
      <w:pPr>
        <w:spacing w:before="240" w:after="80" w:line="240" w:lineRule="auto"/>
        <w:ind w:left="539"/>
        <w:rPr>
          <w:rFonts w:eastAsia="Times New Roman" w:cs="Times New Roman"/>
          <w:b/>
          <w:szCs w:val="24"/>
          <w:u w:val="single"/>
          <w:lang w:eastAsia="cs-CZ"/>
        </w:rPr>
      </w:pPr>
    </w:p>
    <w:p w:rsidR="0057450B" w:rsidRPr="00CA4522" w:rsidRDefault="0057450B" w:rsidP="0057450B">
      <w:pPr>
        <w:spacing w:before="240" w:after="80" w:line="240" w:lineRule="auto"/>
        <w:ind w:left="539"/>
        <w:rPr>
          <w:rFonts w:eastAsia="Times New Roman" w:cs="Times New Roman"/>
          <w:b/>
          <w:szCs w:val="24"/>
          <w:u w:val="single"/>
          <w:lang w:eastAsia="cs-CZ"/>
        </w:rPr>
      </w:pPr>
      <w:r w:rsidRPr="00CA4522">
        <w:rPr>
          <w:rFonts w:eastAsia="Times New Roman" w:cs="Times New Roman"/>
          <w:b/>
          <w:szCs w:val="24"/>
          <w:u w:val="single"/>
          <w:lang w:eastAsia="cs-CZ"/>
        </w:rPr>
        <w:lastRenderedPageBreak/>
        <w:t>Drážní inspekce</w:t>
      </w:r>
    </w:p>
    <w:p w:rsidR="0057450B" w:rsidRPr="00CA4522" w:rsidRDefault="0057450B" w:rsidP="001D1C48">
      <w:pPr>
        <w:pStyle w:val="Styl1"/>
      </w:pPr>
      <w:r w:rsidRPr="00CA4522">
        <w:t>Organizační složka státu Drážní inspekce vznikla jako správní úřad k </w:t>
      </w:r>
      <w:r w:rsidR="00146324" w:rsidRPr="00CA4522">
        <w:t>1. 1. 2003</w:t>
      </w:r>
      <w:r w:rsidRPr="00CA4522">
        <w:t xml:space="preserve"> podle zákona č. 77/2002 Sb., o akciové společnosti České dráhy, státní organizaci Správa železniční dopravní cesty a o změně zákona č. 266/1994 Sb., o dráhách, ve znění pozdějších předpisů</w:t>
      </w:r>
      <w:r w:rsidR="00BE5DDF">
        <w:t>,</w:t>
      </w:r>
      <w:r w:rsidRPr="00CA4522">
        <w:t xml:space="preserve"> a zákona č. 77/1997 Sb., o státním podniku, ve znění pozdějších předpisů. </w:t>
      </w:r>
    </w:p>
    <w:p w:rsidR="0057450B" w:rsidRPr="0029029B" w:rsidRDefault="0057450B" w:rsidP="001D1C48">
      <w:pPr>
        <w:pStyle w:val="Styl1"/>
      </w:pPr>
      <w:r w:rsidRPr="0029029B">
        <w:t>Hlavní činností organizace je zjišťování příčin a okolností vzniku mimořád</w:t>
      </w:r>
      <w:r w:rsidR="003C011C" w:rsidRPr="0029029B">
        <w:t>ných událostí v drážní dopravě</w:t>
      </w:r>
      <w:r w:rsidR="00BE5DDF">
        <w:t>,</w:t>
      </w:r>
      <w:r w:rsidR="003C011C" w:rsidRPr="0029029B">
        <w:t xml:space="preserve"> a to na drahách železničních, tramvajových, trolejbusových, lanových </w:t>
      </w:r>
      <w:r w:rsidR="00146324">
        <w:br/>
      </w:r>
      <w:r w:rsidR="003C011C" w:rsidRPr="0029029B">
        <w:t>a speciálních</w:t>
      </w:r>
      <w:r w:rsidR="00CA24A2">
        <w:t xml:space="preserve"> (metro) s cílem zabránit jejich</w:t>
      </w:r>
      <w:r w:rsidR="003C011C" w:rsidRPr="0029029B">
        <w:t xml:space="preserve"> opakování. </w:t>
      </w:r>
    </w:p>
    <w:p w:rsidR="0057450B" w:rsidRPr="0029029B" w:rsidRDefault="0057450B" w:rsidP="0057450B">
      <w:pPr>
        <w:pStyle w:val="Titulek"/>
        <w:keepNext/>
      </w:pPr>
      <w:r w:rsidRPr="0029029B">
        <w:t xml:space="preserve">Tabulka č. </w:t>
      </w:r>
      <w:r w:rsidR="0001421C" w:rsidRPr="0029029B">
        <w:rPr>
          <w:noProof/>
        </w:rPr>
        <w:fldChar w:fldCharType="begin"/>
      </w:r>
      <w:r w:rsidR="0001421C" w:rsidRPr="0029029B">
        <w:rPr>
          <w:noProof/>
        </w:rPr>
        <w:instrText xml:space="preserve"> SEQ Tabulka \* ARABIC </w:instrText>
      </w:r>
      <w:r w:rsidR="0001421C" w:rsidRPr="0029029B">
        <w:rPr>
          <w:noProof/>
        </w:rPr>
        <w:fldChar w:fldCharType="separate"/>
      </w:r>
      <w:r w:rsidR="00AF5225">
        <w:rPr>
          <w:noProof/>
        </w:rPr>
        <w:t>11</w:t>
      </w:r>
      <w:r w:rsidR="0001421C" w:rsidRPr="0029029B">
        <w:rPr>
          <w:noProof/>
        </w:rPr>
        <w:fldChar w:fldCharType="end"/>
      </w:r>
      <w:r w:rsidRPr="0029029B">
        <w:t xml:space="preserve"> Drážní inspekce – běžné výdaje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70"/>
        <w:gridCol w:w="1356"/>
        <w:gridCol w:w="1273"/>
        <w:gridCol w:w="1132"/>
        <w:gridCol w:w="921"/>
      </w:tblGrid>
      <w:tr w:rsidR="0001421C" w:rsidRPr="0001421C" w:rsidTr="00F07B29">
        <w:tc>
          <w:tcPr>
            <w:tcW w:w="241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7450B" w:rsidRPr="0029029B" w:rsidRDefault="0057450B" w:rsidP="00146324">
            <w:pPr>
              <w:jc w:val="center"/>
              <w:rPr>
                <w:rFonts w:eastAsia="Times New Roman" w:cs="Times New Roman"/>
                <w:b/>
                <w:szCs w:val="24"/>
                <w:lang w:eastAsia="cs-CZ"/>
              </w:rPr>
            </w:pPr>
            <w:r w:rsidRPr="0029029B">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7450B" w:rsidRPr="0029029B" w:rsidRDefault="0057450B" w:rsidP="00146324">
            <w:pPr>
              <w:jc w:val="center"/>
              <w:rPr>
                <w:rFonts w:eastAsia="Times New Roman" w:cs="Times New Roman"/>
                <w:b/>
                <w:szCs w:val="24"/>
                <w:lang w:eastAsia="cs-CZ"/>
              </w:rPr>
            </w:pPr>
            <w:r w:rsidRPr="0029029B">
              <w:rPr>
                <w:rFonts w:eastAsia="Times New Roman" w:cs="Times New Roman"/>
                <w:b/>
                <w:szCs w:val="24"/>
                <w:lang w:eastAsia="cs-CZ"/>
              </w:rPr>
              <w:t>Skutečnost</w:t>
            </w:r>
          </w:p>
          <w:p w:rsidR="0057450B" w:rsidRPr="0029029B" w:rsidRDefault="0029029B" w:rsidP="00146324">
            <w:pPr>
              <w:jc w:val="center"/>
              <w:rPr>
                <w:rFonts w:eastAsia="Times New Roman" w:cs="Times New Roman"/>
                <w:b/>
                <w:szCs w:val="24"/>
                <w:lang w:eastAsia="cs-CZ"/>
              </w:rPr>
            </w:pPr>
            <w:r w:rsidRPr="0029029B">
              <w:rPr>
                <w:rFonts w:eastAsia="Times New Roman" w:cs="Times New Roman"/>
                <w:b/>
                <w:szCs w:val="24"/>
                <w:lang w:eastAsia="cs-CZ"/>
              </w:rPr>
              <w:t>2017</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7450B" w:rsidRPr="0029029B" w:rsidRDefault="0057450B" w:rsidP="00146324">
            <w:pPr>
              <w:jc w:val="center"/>
              <w:rPr>
                <w:rFonts w:eastAsia="Times New Roman" w:cs="Times New Roman"/>
                <w:b/>
                <w:szCs w:val="24"/>
                <w:lang w:eastAsia="cs-CZ"/>
              </w:rPr>
            </w:pPr>
            <w:r w:rsidRPr="0029029B">
              <w:rPr>
                <w:rFonts w:eastAsia="Times New Roman" w:cs="Times New Roman"/>
                <w:b/>
                <w:szCs w:val="24"/>
                <w:lang w:eastAsia="cs-CZ"/>
              </w:rPr>
              <w:t>Schválený</w:t>
            </w:r>
          </w:p>
          <w:p w:rsidR="0057450B" w:rsidRPr="0029029B" w:rsidRDefault="0057450B" w:rsidP="00146324">
            <w:pPr>
              <w:jc w:val="center"/>
              <w:rPr>
                <w:rFonts w:eastAsia="Times New Roman" w:cs="Times New Roman"/>
                <w:b/>
                <w:szCs w:val="24"/>
                <w:lang w:eastAsia="cs-CZ"/>
              </w:rPr>
            </w:pPr>
            <w:r w:rsidRPr="0029029B">
              <w:rPr>
                <w:rFonts w:eastAsia="Times New Roman" w:cs="Times New Roman"/>
                <w:b/>
                <w:szCs w:val="24"/>
                <w:lang w:eastAsia="cs-CZ"/>
              </w:rPr>
              <w:t>rozpočet</w:t>
            </w:r>
          </w:p>
          <w:p w:rsidR="0057450B" w:rsidRPr="0029029B" w:rsidRDefault="0029029B" w:rsidP="00146324">
            <w:pPr>
              <w:jc w:val="center"/>
              <w:rPr>
                <w:rFonts w:eastAsia="Times New Roman" w:cs="Times New Roman"/>
                <w:b/>
                <w:szCs w:val="24"/>
                <w:lang w:eastAsia="cs-CZ"/>
              </w:rPr>
            </w:pPr>
            <w:r w:rsidRPr="0029029B">
              <w:rPr>
                <w:rFonts w:eastAsia="Times New Roman" w:cs="Times New Roman"/>
                <w:b/>
                <w:szCs w:val="24"/>
                <w:lang w:eastAsia="cs-CZ"/>
              </w:rPr>
              <w:t>2018</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7450B" w:rsidRPr="0029029B" w:rsidRDefault="0057450B" w:rsidP="00146324">
            <w:pPr>
              <w:jc w:val="center"/>
              <w:rPr>
                <w:rFonts w:eastAsia="Times New Roman" w:cs="Times New Roman"/>
                <w:b/>
                <w:szCs w:val="24"/>
                <w:lang w:eastAsia="cs-CZ"/>
              </w:rPr>
            </w:pPr>
            <w:r w:rsidRPr="0029029B">
              <w:rPr>
                <w:rFonts w:eastAsia="Times New Roman" w:cs="Times New Roman"/>
                <w:b/>
                <w:szCs w:val="24"/>
                <w:lang w:eastAsia="cs-CZ"/>
              </w:rPr>
              <w:t>Návrh</w:t>
            </w:r>
          </w:p>
          <w:p w:rsidR="0057450B" w:rsidRPr="0029029B" w:rsidRDefault="0057450B" w:rsidP="00146324">
            <w:pPr>
              <w:jc w:val="center"/>
              <w:rPr>
                <w:rFonts w:eastAsia="Times New Roman" w:cs="Times New Roman"/>
                <w:b/>
                <w:szCs w:val="24"/>
                <w:lang w:eastAsia="cs-CZ"/>
              </w:rPr>
            </w:pPr>
            <w:r w:rsidRPr="0029029B">
              <w:rPr>
                <w:rFonts w:eastAsia="Times New Roman" w:cs="Times New Roman"/>
                <w:b/>
                <w:szCs w:val="24"/>
                <w:lang w:eastAsia="cs-CZ"/>
              </w:rPr>
              <w:t>rozpočtu</w:t>
            </w:r>
          </w:p>
          <w:p w:rsidR="0057450B" w:rsidRPr="0029029B" w:rsidRDefault="0029029B" w:rsidP="00146324">
            <w:pPr>
              <w:jc w:val="center"/>
              <w:rPr>
                <w:rFonts w:eastAsia="Times New Roman" w:cs="Times New Roman"/>
                <w:b/>
                <w:szCs w:val="24"/>
                <w:lang w:eastAsia="cs-CZ"/>
              </w:rPr>
            </w:pPr>
            <w:r w:rsidRPr="0029029B">
              <w:rPr>
                <w:rFonts w:eastAsia="Times New Roman" w:cs="Times New Roman"/>
                <w:b/>
                <w:szCs w:val="24"/>
                <w:lang w:eastAsia="cs-CZ"/>
              </w:rPr>
              <w:t>2019</w:t>
            </w:r>
          </w:p>
        </w:tc>
        <w:tc>
          <w:tcPr>
            <w:tcW w:w="5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7450B" w:rsidRPr="0029029B" w:rsidRDefault="0057450B" w:rsidP="00146324">
            <w:pPr>
              <w:jc w:val="center"/>
              <w:rPr>
                <w:rFonts w:eastAsia="Times New Roman" w:cs="Times New Roman"/>
                <w:b/>
                <w:szCs w:val="24"/>
                <w:lang w:eastAsia="cs-CZ"/>
              </w:rPr>
            </w:pPr>
            <w:r w:rsidRPr="0029029B">
              <w:rPr>
                <w:rFonts w:eastAsia="Times New Roman" w:cs="Times New Roman"/>
                <w:b/>
                <w:szCs w:val="24"/>
                <w:lang w:eastAsia="cs-CZ"/>
              </w:rPr>
              <w:t>Index</w:t>
            </w:r>
          </w:p>
          <w:p w:rsidR="0057450B" w:rsidRPr="0029029B" w:rsidRDefault="0029029B" w:rsidP="00146324">
            <w:pPr>
              <w:jc w:val="center"/>
              <w:rPr>
                <w:rFonts w:eastAsia="Times New Roman" w:cs="Times New Roman"/>
                <w:b/>
                <w:szCs w:val="24"/>
                <w:lang w:eastAsia="cs-CZ"/>
              </w:rPr>
            </w:pPr>
            <w:r w:rsidRPr="0029029B">
              <w:rPr>
                <w:rFonts w:eastAsia="Times New Roman" w:cs="Times New Roman"/>
                <w:b/>
                <w:szCs w:val="24"/>
                <w:lang w:eastAsia="cs-CZ"/>
              </w:rPr>
              <w:t>2019/</w:t>
            </w:r>
            <w:r w:rsidR="00146324">
              <w:rPr>
                <w:rFonts w:eastAsia="Times New Roman" w:cs="Times New Roman"/>
                <w:b/>
                <w:szCs w:val="24"/>
                <w:lang w:eastAsia="cs-CZ"/>
              </w:rPr>
              <w:br/>
            </w:r>
            <w:r w:rsidRPr="0029029B">
              <w:rPr>
                <w:rFonts w:eastAsia="Times New Roman" w:cs="Times New Roman"/>
                <w:b/>
                <w:szCs w:val="24"/>
                <w:lang w:eastAsia="cs-CZ"/>
              </w:rPr>
              <w:t>2018</w:t>
            </w:r>
            <w:r w:rsidR="0057450B" w:rsidRPr="0029029B">
              <w:rPr>
                <w:rFonts w:eastAsia="Times New Roman" w:cs="Times New Roman"/>
                <w:b/>
                <w:szCs w:val="24"/>
                <w:lang w:eastAsia="cs-CZ"/>
              </w:rPr>
              <w:t xml:space="preserve"> </w:t>
            </w:r>
            <w:r w:rsidR="00146324">
              <w:rPr>
                <w:rFonts w:eastAsia="Times New Roman" w:cs="Times New Roman"/>
                <w:b/>
                <w:szCs w:val="24"/>
                <w:lang w:eastAsia="cs-CZ"/>
              </w:rPr>
              <w:br/>
            </w:r>
            <w:r w:rsidR="0057450B" w:rsidRPr="0029029B">
              <w:rPr>
                <w:rFonts w:eastAsia="Times New Roman" w:cs="Times New Roman"/>
                <w:b/>
                <w:szCs w:val="24"/>
                <w:lang w:eastAsia="cs-CZ"/>
              </w:rPr>
              <w:t>(v %)</w:t>
            </w:r>
          </w:p>
        </w:tc>
      </w:tr>
      <w:tr w:rsidR="0001421C" w:rsidRPr="0001421C" w:rsidTr="00F07B29">
        <w:tc>
          <w:tcPr>
            <w:tcW w:w="2414" w:type="pct"/>
            <w:tcBorders>
              <w:top w:val="single" w:sz="4" w:space="0" w:color="7F7F7F" w:themeColor="text1" w:themeTint="80"/>
              <w:bottom w:val="single" w:sz="8" w:space="0" w:color="7F7F7F" w:themeColor="text1" w:themeTint="80"/>
            </w:tcBorders>
            <w:shd w:val="clear" w:color="auto" w:fill="auto"/>
          </w:tcPr>
          <w:p w:rsidR="0057450B" w:rsidRPr="0029029B" w:rsidRDefault="0057450B" w:rsidP="00C14965">
            <w:pPr>
              <w:jc w:val="center"/>
              <w:rPr>
                <w:rFonts w:eastAsia="Times New Roman" w:cs="Times New Roman"/>
                <w:szCs w:val="24"/>
                <w:lang w:eastAsia="cs-CZ"/>
              </w:rPr>
            </w:pPr>
            <w:r w:rsidRPr="0029029B">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rsidR="0057450B" w:rsidRPr="0029029B" w:rsidRDefault="0057450B" w:rsidP="00C14965">
            <w:pPr>
              <w:jc w:val="center"/>
              <w:rPr>
                <w:rFonts w:eastAsia="Times New Roman" w:cs="Times New Roman"/>
                <w:szCs w:val="24"/>
                <w:lang w:eastAsia="cs-CZ"/>
              </w:rPr>
            </w:pPr>
            <w:r w:rsidRPr="0029029B">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rsidR="0057450B" w:rsidRPr="0029029B" w:rsidRDefault="0057450B" w:rsidP="00C14965">
            <w:pPr>
              <w:jc w:val="center"/>
              <w:rPr>
                <w:rFonts w:eastAsia="Times New Roman" w:cs="Times New Roman"/>
                <w:szCs w:val="24"/>
                <w:lang w:eastAsia="cs-CZ"/>
              </w:rPr>
            </w:pPr>
            <w:r w:rsidRPr="0029029B">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rsidR="0057450B" w:rsidRPr="0029029B" w:rsidRDefault="0057450B" w:rsidP="00C14965">
            <w:pPr>
              <w:jc w:val="center"/>
              <w:rPr>
                <w:rFonts w:eastAsia="Times New Roman" w:cs="Times New Roman"/>
                <w:szCs w:val="24"/>
                <w:lang w:eastAsia="cs-CZ"/>
              </w:rPr>
            </w:pPr>
            <w:r w:rsidRPr="0029029B">
              <w:rPr>
                <w:rFonts w:eastAsia="Times New Roman" w:cs="Times New Roman"/>
                <w:szCs w:val="24"/>
                <w:lang w:eastAsia="cs-CZ"/>
              </w:rPr>
              <w:t>3</w:t>
            </w:r>
          </w:p>
        </w:tc>
        <w:tc>
          <w:tcPr>
            <w:tcW w:w="509" w:type="pct"/>
            <w:tcBorders>
              <w:top w:val="single" w:sz="4" w:space="0" w:color="7F7F7F" w:themeColor="text1" w:themeTint="80"/>
              <w:bottom w:val="single" w:sz="8" w:space="0" w:color="7F7F7F" w:themeColor="text1" w:themeTint="80"/>
            </w:tcBorders>
            <w:shd w:val="clear" w:color="auto" w:fill="auto"/>
          </w:tcPr>
          <w:p w:rsidR="0057450B" w:rsidRPr="0029029B" w:rsidRDefault="0057450B" w:rsidP="00C14965">
            <w:pPr>
              <w:jc w:val="center"/>
              <w:rPr>
                <w:rFonts w:eastAsia="Times New Roman" w:cs="Times New Roman"/>
                <w:szCs w:val="24"/>
                <w:lang w:eastAsia="cs-CZ"/>
              </w:rPr>
            </w:pPr>
            <w:r w:rsidRPr="0029029B">
              <w:rPr>
                <w:rFonts w:eastAsia="Times New Roman" w:cs="Times New Roman"/>
                <w:szCs w:val="24"/>
                <w:lang w:eastAsia="cs-CZ"/>
              </w:rPr>
              <w:t>4</w:t>
            </w:r>
          </w:p>
        </w:tc>
      </w:tr>
      <w:tr w:rsidR="0001421C" w:rsidRPr="0001421C" w:rsidTr="00F07B29">
        <w:trPr>
          <w:trHeight w:val="332"/>
        </w:trPr>
        <w:tc>
          <w:tcPr>
            <w:tcW w:w="2414" w:type="pct"/>
            <w:tcBorders>
              <w:top w:val="single" w:sz="8" w:space="0" w:color="7F7F7F" w:themeColor="text1" w:themeTint="80"/>
              <w:bottom w:val="single" w:sz="8" w:space="0" w:color="7F7F7F" w:themeColor="text1" w:themeTint="80"/>
            </w:tcBorders>
            <w:shd w:val="clear" w:color="auto" w:fill="auto"/>
          </w:tcPr>
          <w:p w:rsidR="0057450B" w:rsidRPr="0029029B" w:rsidRDefault="0057450B" w:rsidP="00C14965">
            <w:pPr>
              <w:spacing w:before="80"/>
              <w:rPr>
                <w:rFonts w:eastAsia="Times New Roman" w:cs="Times New Roman"/>
                <w:lang w:eastAsia="cs-CZ"/>
              </w:rPr>
            </w:pPr>
            <w:r w:rsidRPr="0029029B">
              <w:rPr>
                <w:rFonts w:eastAsia="Times New Roman" w:cs="Times New Roman"/>
                <w:b/>
                <w:iCs/>
                <w:lang w:eastAsia="cs-CZ"/>
              </w:rPr>
              <w:t xml:space="preserve">Běžné výdaje </w:t>
            </w:r>
            <w:r w:rsidRPr="0029029B">
              <w:rPr>
                <w:rFonts w:eastAsia="Times New Roman" w:cs="Times New Roman"/>
                <w:lang w:eastAsia="cs-CZ"/>
              </w:rPr>
              <w:t xml:space="preserve">v tom: </w:t>
            </w:r>
          </w:p>
        </w:tc>
        <w:tc>
          <w:tcPr>
            <w:tcW w:w="749" w:type="pct"/>
            <w:tcBorders>
              <w:top w:val="single" w:sz="8" w:space="0" w:color="7F7F7F" w:themeColor="text1" w:themeTint="80"/>
              <w:bottom w:val="single" w:sz="8" w:space="0" w:color="7F7F7F" w:themeColor="text1" w:themeTint="80"/>
            </w:tcBorders>
            <w:shd w:val="clear" w:color="auto" w:fill="auto"/>
            <w:vAlign w:val="center"/>
          </w:tcPr>
          <w:p w:rsidR="0057450B" w:rsidRPr="0029029B" w:rsidRDefault="0029029B" w:rsidP="00146324">
            <w:pPr>
              <w:spacing w:before="80"/>
              <w:jc w:val="right"/>
              <w:rPr>
                <w:rFonts w:eastAsia="Times New Roman" w:cs="Times New Roman"/>
                <w:b/>
                <w:bCs/>
                <w:lang w:eastAsia="cs-CZ"/>
              </w:rPr>
            </w:pPr>
            <w:r w:rsidRPr="0029029B">
              <w:rPr>
                <w:rFonts w:eastAsia="Times New Roman" w:cs="Times New Roman"/>
                <w:b/>
                <w:bCs/>
                <w:lang w:eastAsia="cs-CZ"/>
              </w:rPr>
              <w:t>36 101</w:t>
            </w:r>
          </w:p>
        </w:tc>
        <w:tc>
          <w:tcPr>
            <w:tcW w:w="703" w:type="pct"/>
            <w:tcBorders>
              <w:top w:val="single" w:sz="8" w:space="0" w:color="7F7F7F" w:themeColor="text1" w:themeTint="80"/>
              <w:bottom w:val="single" w:sz="8" w:space="0" w:color="7F7F7F" w:themeColor="text1" w:themeTint="80"/>
            </w:tcBorders>
            <w:shd w:val="clear" w:color="auto" w:fill="auto"/>
            <w:vAlign w:val="center"/>
          </w:tcPr>
          <w:p w:rsidR="0057450B" w:rsidRPr="0029029B" w:rsidRDefault="0029029B" w:rsidP="00146324">
            <w:pPr>
              <w:spacing w:before="80"/>
              <w:jc w:val="right"/>
              <w:rPr>
                <w:rFonts w:eastAsia="Times New Roman" w:cs="Times New Roman"/>
                <w:b/>
                <w:bCs/>
                <w:lang w:eastAsia="cs-CZ"/>
              </w:rPr>
            </w:pPr>
            <w:r w:rsidRPr="0029029B">
              <w:rPr>
                <w:rFonts w:eastAsia="Times New Roman" w:cs="Times New Roman"/>
                <w:b/>
                <w:bCs/>
                <w:lang w:eastAsia="cs-CZ"/>
              </w:rPr>
              <w:t>35 703</w:t>
            </w:r>
            <w:r w:rsidR="0057450B" w:rsidRPr="0029029B">
              <w:rPr>
                <w:rFonts w:eastAsia="Times New Roman" w:cs="Times New Roman"/>
                <w:b/>
                <w:bCs/>
                <w:lang w:eastAsia="cs-CZ"/>
              </w:rPr>
              <w:t xml:space="preserve"> </w:t>
            </w:r>
          </w:p>
        </w:tc>
        <w:tc>
          <w:tcPr>
            <w:tcW w:w="625" w:type="pct"/>
            <w:tcBorders>
              <w:top w:val="single" w:sz="8" w:space="0" w:color="7F7F7F" w:themeColor="text1" w:themeTint="80"/>
              <w:bottom w:val="single" w:sz="8" w:space="0" w:color="7F7F7F" w:themeColor="text1" w:themeTint="80"/>
            </w:tcBorders>
            <w:shd w:val="clear" w:color="auto" w:fill="auto"/>
            <w:vAlign w:val="center"/>
          </w:tcPr>
          <w:p w:rsidR="0057450B" w:rsidRPr="0001421C" w:rsidRDefault="00F22264" w:rsidP="00146324">
            <w:pPr>
              <w:spacing w:before="80"/>
              <w:jc w:val="right"/>
              <w:rPr>
                <w:rFonts w:eastAsia="Times New Roman" w:cs="Times New Roman"/>
                <w:b/>
                <w:bCs/>
                <w:color w:val="FF0000"/>
                <w:lang w:eastAsia="cs-CZ"/>
              </w:rPr>
            </w:pPr>
            <w:r w:rsidRPr="00F22264">
              <w:rPr>
                <w:rFonts w:eastAsia="Times New Roman" w:cs="Times New Roman"/>
                <w:b/>
                <w:bCs/>
                <w:lang w:eastAsia="cs-CZ"/>
              </w:rPr>
              <w:t>36 846</w:t>
            </w:r>
            <w:r w:rsidR="0057450B" w:rsidRPr="00F22264">
              <w:rPr>
                <w:rFonts w:eastAsia="Times New Roman" w:cs="Times New Roman"/>
                <w:b/>
                <w:bCs/>
                <w:lang w:eastAsia="cs-CZ"/>
              </w:rPr>
              <w:t xml:space="preserve"> </w:t>
            </w:r>
          </w:p>
        </w:tc>
        <w:tc>
          <w:tcPr>
            <w:tcW w:w="509" w:type="pct"/>
            <w:tcBorders>
              <w:top w:val="single" w:sz="8" w:space="0" w:color="7F7F7F" w:themeColor="text1" w:themeTint="80"/>
              <w:bottom w:val="single" w:sz="8" w:space="0" w:color="7F7F7F" w:themeColor="text1" w:themeTint="80"/>
            </w:tcBorders>
            <w:shd w:val="clear" w:color="auto" w:fill="auto"/>
            <w:vAlign w:val="center"/>
          </w:tcPr>
          <w:p w:rsidR="0057450B" w:rsidRPr="00F22264" w:rsidRDefault="00F22264" w:rsidP="00146324">
            <w:pPr>
              <w:spacing w:before="80"/>
              <w:jc w:val="right"/>
              <w:rPr>
                <w:rFonts w:eastAsia="Times New Roman" w:cs="Times New Roman"/>
                <w:b/>
                <w:bCs/>
                <w:lang w:eastAsia="cs-CZ"/>
              </w:rPr>
            </w:pPr>
            <w:r w:rsidRPr="00F22264">
              <w:rPr>
                <w:rFonts w:eastAsia="Times New Roman" w:cs="Times New Roman"/>
                <w:b/>
                <w:bCs/>
                <w:lang w:eastAsia="cs-CZ"/>
              </w:rPr>
              <w:t>103,20</w:t>
            </w:r>
          </w:p>
        </w:tc>
      </w:tr>
      <w:tr w:rsidR="0001421C" w:rsidRPr="0001421C" w:rsidTr="00F07B29">
        <w:tc>
          <w:tcPr>
            <w:tcW w:w="2414" w:type="pct"/>
            <w:tcBorders>
              <w:top w:val="single" w:sz="8" w:space="0" w:color="7F7F7F" w:themeColor="text1" w:themeTint="80"/>
            </w:tcBorders>
            <w:shd w:val="clear" w:color="auto" w:fill="auto"/>
          </w:tcPr>
          <w:p w:rsidR="0057450B" w:rsidRPr="0029029B" w:rsidRDefault="0057450B" w:rsidP="00C14965">
            <w:pPr>
              <w:rPr>
                <w:rFonts w:eastAsia="Times New Roman" w:cs="Times New Roman"/>
                <w:lang w:eastAsia="cs-CZ"/>
              </w:rPr>
            </w:pPr>
            <w:r w:rsidRPr="0029029B">
              <w:rPr>
                <w:rFonts w:eastAsia="Times New Roman" w:cs="Times New Roman"/>
                <w:lang w:eastAsia="cs-CZ"/>
              </w:rPr>
              <w:t>platy zaměstnanců a ostatní platby</w:t>
            </w:r>
          </w:p>
          <w:p w:rsidR="0057450B" w:rsidRPr="0029029B" w:rsidRDefault="0057450B" w:rsidP="00C14965">
            <w:pPr>
              <w:rPr>
                <w:rFonts w:eastAsia="Times New Roman" w:cs="Times New Roman"/>
                <w:lang w:eastAsia="cs-CZ"/>
              </w:rPr>
            </w:pPr>
            <w:r w:rsidRPr="0029029B">
              <w:rPr>
                <w:rFonts w:eastAsia="Times New Roman" w:cs="Times New Roman"/>
                <w:lang w:eastAsia="cs-CZ"/>
              </w:rPr>
              <w:t>za provedenou práci</w:t>
            </w:r>
          </w:p>
        </w:tc>
        <w:tc>
          <w:tcPr>
            <w:tcW w:w="749" w:type="pct"/>
            <w:tcBorders>
              <w:top w:val="single" w:sz="8" w:space="0" w:color="7F7F7F" w:themeColor="text1" w:themeTint="80"/>
            </w:tcBorders>
            <w:shd w:val="clear" w:color="auto" w:fill="auto"/>
            <w:vAlign w:val="center"/>
          </w:tcPr>
          <w:p w:rsidR="0057450B" w:rsidRPr="0029029B" w:rsidRDefault="0029029B" w:rsidP="00146324">
            <w:pPr>
              <w:jc w:val="right"/>
              <w:rPr>
                <w:rFonts w:eastAsia="Times New Roman" w:cs="Times New Roman"/>
                <w:lang w:eastAsia="cs-CZ"/>
              </w:rPr>
            </w:pPr>
            <w:r w:rsidRPr="0029029B">
              <w:rPr>
                <w:rFonts w:eastAsia="Times New Roman" w:cs="Times New Roman"/>
                <w:lang w:eastAsia="cs-CZ"/>
              </w:rPr>
              <w:t>20 006</w:t>
            </w:r>
          </w:p>
        </w:tc>
        <w:tc>
          <w:tcPr>
            <w:tcW w:w="703" w:type="pct"/>
            <w:tcBorders>
              <w:top w:val="single" w:sz="8" w:space="0" w:color="7F7F7F" w:themeColor="text1" w:themeTint="80"/>
            </w:tcBorders>
            <w:shd w:val="clear" w:color="auto" w:fill="auto"/>
            <w:vAlign w:val="center"/>
          </w:tcPr>
          <w:p w:rsidR="0057450B" w:rsidRPr="0029029B" w:rsidRDefault="0029029B" w:rsidP="00146324">
            <w:pPr>
              <w:jc w:val="right"/>
              <w:rPr>
                <w:rFonts w:eastAsia="Times New Roman" w:cs="Times New Roman"/>
                <w:lang w:eastAsia="cs-CZ"/>
              </w:rPr>
            </w:pPr>
            <w:r w:rsidRPr="0029029B">
              <w:rPr>
                <w:rFonts w:eastAsia="Times New Roman" w:cs="Times New Roman"/>
                <w:lang w:eastAsia="cs-CZ"/>
              </w:rPr>
              <w:t>19 328</w:t>
            </w:r>
          </w:p>
        </w:tc>
        <w:tc>
          <w:tcPr>
            <w:tcW w:w="625" w:type="pct"/>
            <w:tcBorders>
              <w:top w:val="single" w:sz="8" w:space="0" w:color="7F7F7F" w:themeColor="text1" w:themeTint="80"/>
            </w:tcBorders>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20 021</w:t>
            </w:r>
          </w:p>
        </w:tc>
        <w:tc>
          <w:tcPr>
            <w:tcW w:w="509" w:type="pct"/>
            <w:tcBorders>
              <w:top w:val="single" w:sz="8" w:space="0" w:color="7F7F7F" w:themeColor="text1" w:themeTint="80"/>
            </w:tcBorders>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103,59</w:t>
            </w:r>
          </w:p>
        </w:tc>
      </w:tr>
      <w:tr w:rsidR="00F07B29" w:rsidRPr="0001421C" w:rsidTr="00F07B29">
        <w:tc>
          <w:tcPr>
            <w:tcW w:w="2414" w:type="pct"/>
            <w:shd w:val="clear" w:color="auto" w:fill="auto"/>
            <w:vAlign w:val="center"/>
          </w:tcPr>
          <w:p w:rsidR="0057450B" w:rsidRPr="0029029B" w:rsidRDefault="00F07B29" w:rsidP="00146324">
            <w:pPr>
              <w:jc w:val="left"/>
              <w:rPr>
                <w:rFonts w:eastAsia="Times New Roman" w:cs="Times New Roman"/>
                <w:lang w:eastAsia="cs-CZ"/>
              </w:rPr>
            </w:pPr>
            <w:r>
              <w:rPr>
                <w:rFonts w:eastAsia="Times New Roman" w:cs="Times New Roman"/>
                <w:lang w:eastAsia="cs-CZ"/>
              </w:rPr>
              <w:t xml:space="preserve">povinné pojistné placené </w:t>
            </w:r>
            <w:r w:rsidR="0057450B" w:rsidRPr="0029029B">
              <w:rPr>
                <w:rFonts w:eastAsia="Times New Roman" w:cs="Times New Roman"/>
                <w:lang w:eastAsia="cs-CZ"/>
              </w:rPr>
              <w:t>zaměstnavatelem</w:t>
            </w:r>
          </w:p>
        </w:tc>
        <w:tc>
          <w:tcPr>
            <w:tcW w:w="749" w:type="pct"/>
            <w:shd w:val="clear" w:color="auto" w:fill="auto"/>
            <w:vAlign w:val="center"/>
          </w:tcPr>
          <w:p w:rsidR="0057450B" w:rsidRPr="0029029B" w:rsidRDefault="0029029B" w:rsidP="00146324">
            <w:pPr>
              <w:jc w:val="right"/>
              <w:rPr>
                <w:rFonts w:eastAsia="Times New Roman" w:cs="Times New Roman"/>
                <w:lang w:eastAsia="cs-CZ"/>
              </w:rPr>
            </w:pPr>
            <w:r w:rsidRPr="0029029B">
              <w:rPr>
                <w:rFonts w:eastAsia="Times New Roman" w:cs="Times New Roman"/>
                <w:lang w:eastAsia="cs-CZ"/>
              </w:rPr>
              <w:t>6</w:t>
            </w:r>
            <w:r>
              <w:rPr>
                <w:rFonts w:eastAsia="Times New Roman" w:cs="Times New Roman"/>
                <w:lang w:eastAsia="cs-CZ"/>
              </w:rPr>
              <w:t> </w:t>
            </w:r>
            <w:r w:rsidRPr="0029029B">
              <w:rPr>
                <w:rFonts w:eastAsia="Times New Roman" w:cs="Times New Roman"/>
                <w:lang w:eastAsia="cs-CZ"/>
              </w:rPr>
              <w:t>637</w:t>
            </w:r>
          </w:p>
        </w:tc>
        <w:tc>
          <w:tcPr>
            <w:tcW w:w="703" w:type="pct"/>
            <w:shd w:val="clear" w:color="auto" w:fill="auto"/>
            <w:vAlign w:val="center"/>
          </w:tcPr>
          <w:p w:rsidR="0057450B" w:rsidRPr="0029029B" w:rsidRDefault="0029029B" w:rsidP="00146324">
            <w:pPr>
              <w:ind w:left="60"/>
              <w:jc w:val="right"/>
              <w:rPr>
                <w:rFonts w:eastAsia="Times New Roman" w:cs="Times New Roman"/>
                <w:lang w:eastAsia="cs-CZ"/>
              </w:rPr>
            </w:pPr>
            <w:r w:rsidRPr="0029029B">
              <w:rPr>
                <w:rFonts w:eastAsia="Times New Roman" w:cs="Times New Roman"/>
                <w:lang w:eastAsia="cs-CZ"/>
              </w:rPr>
              <w:t xml:space="preserve">      6 572</w:t>
            </w:r>
          </w:p>
        </w:tc>
        <w:tc>
          <w:tcPr>
            <w:tcW w:w="625" w:type="pct"/>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6 807</w:t>
            </w:r>
          </w:p>
        </w:tc>
        <w:tc>
          <w:tcPr>
            <w:tcW w:w="509" w:type="pct"/>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103,58</w:t>
            </w:r>
          </w:p>
        </w:tc>
      </w:tr>
      <w:tr w:rsidR="0001421C" w:rsidRPr="0001421C" w:rsidTr="00F07B29">
        <w:tc>
          <w:tcPr>
            <w:tcW w:w="2414" w:type="pct"/>
            <w:shd w:val="clear" w:color="auto" w:fill="auto"/>
          </w:tcPr>
          <w:p w:rsidR="0057450B" w:rsidRPr="0029029B" w:rsidRDefault="0057450B" w:rsidP="00C14965">
            <w:pPr>
              <w:rPr>
                <w:rFonts w:eastAsia="Times New Roman" w:cs="Times New Roman"/>
                <w:lang w:eastAsia="cs-CZ"/>
              </w:rPr>
            </w:pPr>
            <w:r w:rsidRPr="0029029B">
              <w:rPr>
                <w:rFonts w:eastAsia="Times New Roman" w:cs="Times New Roman"/>
                <w:lang w:eastAsia="cs-CZ"/>
              </w:rPr>
              <w:t>převod FKSP</w:t>
            </w:r>
          </w:p>
        </w:tc>
        <w:tc>
          <w:tcPr>
            <w:tcW w:w="749" w:type="pct"/>
            <w:shd w:val="clear" w:color="auto" w:fill="auto"/>
            <w:vAlign w:val="center"/>
          </w:tcPr>
          <w:p w:rsidR="0057450B" w:rsidRPr="0029029B" w:rsidRDefault="0029029B" w:rsidP="00146324">
            <w:pPr>
              <w:jc w:val="right"/>
              <w:rPr>
                <w:rFonts w:eastAsia="Times New Roman" w:cs="Times New Roman"/>
                <w:lang w:eastAsia="cs-CZ"/>
              </w:rPr>
            </w:pPr>
            <w:r w:rsidRPr="0029029B">
              <w:rPr>
                <w:rFonts w:eastAsia="Times New Roman" w:cs="Times New Roman"/>
                <w:lang w:eastAsia="cs-CZ"/>
              </w:rPr>
              <w:t>390</w:t>
            </w:r>
          </w:p>
        </w:tc>
        <w:tc>
          <w:tcPr>
            <w:tcW w:w="703" w:type="pct"/>
            <w:shd w:val="clear" w:color="auto" w:fill="auto"/>
            <w:vAlign w:val="center"/>
          </w:tcPr>
          <w:p w:rsidR="0057450B" w:rsidRPr="0029029B" w:rsidRDefault="0029029B" w:rsidP="00146324">
            <w:pPr>
              <w:jc w:val="right"/>
              <w:rPr>
                <w:rFonts w:eastAsia="Times New Roman" w:cs="Times New Roman"/>
                <w:lang w:eastAsia="cs-CZ"/>
              </w:rPr>
            </w:pPr>
            <w:r w:rsidRPr="0029029B">
              <w:rPr>
                <w:rFonts w:eastAsia="Times New Roman" w:cs="Times New Roman"/>
                <w:lang w:eastAsia="cs-CZ"/>
              </w:rPr>
              <w:t>386</w:t>
            </w:r>
          </w:p>
        </w:tc>
        <w:tc>
          <w:tcPr>
            <w:tcW w:w="625" w:type="pct"/>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400</w:t>
            </w:r>
          </w:p>
        </w:tc>
        <w:tc>
          <w:tcPr>
            <w:tcW w:w="509" w:type="pct"/>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103,63</w:t>
            </w:r>
          </w:p>
        </w:tc>
      </w:tr>
      <w:tr w:rsidR="0001421C" w:rsidRPr="0001421C" w:rsidTr="00F07B29">
        <w:tc>
          <w:tcPr>
            <w:tcW w:w="2414" w:type="pct"/>
            <w:tcBorders>
              <w:bottom w:val="nil"/>
            </w:tcBorders>
            <w:shd w:val="clear" w:color="auto" w:fill="auto"/>
          </w:tcPr>
          <w:p w:rsidR="0057450B" w:rsidRPr="0029029B" w:rsidRDefault="0057450B" w:rsidP="00C14965">
            <w:pPr>
              <w:rPr>
                <w:rFonts w:eastAsia="Times New Roman" w:cs="Times New Roman"/>
                <w:lang w:eastAsia="cs-CZ"/>
              </w:rPr>
            </w:pPr>
            <w:r w:rsidRPr="0029029B">
              <w:rPr>
                <w:rFonts w:eastAsia="Times New Roman" w:cs="Times New Roman"/>
                <w:lang w:eastAsia="cs-CZ"/>
              </w:rPr>
              <w:t xml:space="preserve">ostatní </w:t>
            </w:r>
            <w:proofErr w:type="spellStart"/>
            <w:r w:rsidRPr="0029029B">
              <w:rPr>
                <w:rFonts w:eastAsia="Times New Roman" w:cs="Times New Roman"/>
                <w:lang w:eastAsia="cs-CZ"/>
              </w:rPr>
              <w:t>neinv</w:t>
            </w:r>
            <w:proofErr w:type="spellEnd"/>
            <w:r w:rsidRPr="0029029B">
              <w:rPr>
                <w:rFonts w:eastAsia="Times New Roman" w:cs="Times New Roman"/>
                <w:lang w:eastAsia="cs-CZ"/>
              </w:rPr>
              <w:t>. nákupy a související výdaje</w:t>
            </w:r>
          </w:p>
        </w:tc>
        <w:tc>
          <w:tcPr>
            <w:tcW w:w="749" w:type="pct"/>
            <w:tcBorders>
              <w:bottom w:val="nil"/>
            </w:tcBorders>
            <w:shd w:val="clear" w:color="auto" w:fill="auto"/>
            <w:vAlign w:val="center"/>
          </w:tcPr>
          <w:p w:rsidR="0057450B" w:rsidRPr="0029029B" w:rsidRDefault="0029029B" w:rsidP="00146324">
            <w:pPr>
              <w:jc w:val="right"/>
              <w:rPr>
                <w:rFonts w:eastAsia="Times New Roman" w:cs="Times New Roman"/>
                <w:lang w:eastAsia="cs-CZ"/>
              </w:rPr>
            </w:pPr>
            <w:r w:rsidRPr="0029029B">
              <w:rPr>
                <w:rFonts w:eastAsia="Times New Roman" w:cs="Times New Roman"/>
                <w:lang w:eastAsia="cs-CZ"/>
              </w:rPr>
              <w:t>9 068</w:t>
            </w:r>
          </w:p>
        </w:tc>
        <w:tc>
          <w:tcPr>
            <w:tcW w:w="703" w:type="pct"/>
            <w:tcBorders>
              <w:bottom w:val="nil"/>
            </w:tcBorders>
            <w:shd w:val="clear" w:color="auto" w:fill="auto"/>
            <w:vAlign w:val="center"/>
          </w:tcPr>
          <w:p w:rsidR="0057450B" w:rsidRPr="0029029B" w:rsidRDefault="0029029B" w:rsidP="00146324">
            <w:pPr>
              <w:jc w:val="right"/>
              <w:rPr>
                <w:rFonts w:eastAsia="Times New Roman" w:cs="Times New Roman"/>
                <w:lang w:eastAsia="cs-CZ"/>
              </w:rPr>
            </w:pPr>
            <w:r w:rsidRPr="0029029B">
              <w:rPr>
                <w:rFonts w:eastAsia="Times New Roman" w:cs="Times New Roman"/>
                <w:lang w:eastAsia="cs-CZ"/>
              </w:rPr>
              <w:t>9 417</w:t>
            </w:r>
          </w:p>
        </w:tc>
        <w:tc>
          <w:tcPr>
            <w:tcW w:w="625" w:type="pct"/>
            <w:tcBorders>
              <w:bottom w:val="nil"/>
            </w:tcBorders>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9</w:t>
            </w:r>
            <w:r w:rsidR="00F95B31">
              <w:rPr>
                <w:rFonts w:eastAsia="Times New Roman" w:cs="Times New Roman"/>
                <w:lang w:eastAsia="cs-CZ"/>
              </w:rPr>
              <w:t xml:space="preserve"> </w:t>
            </w:r>
            <w:r w:rsidRPr="00F22264">
              <w:rPr>
                <w:rFonts w:eastAsia="Times New Roman" w:cs="Times New Roman"/>
                <w:lang w:eastAsia="cs-CZ"/>
              </w:rPr>
              <w:t>618</w:t>
            </w:r>
          </w:p>
        </w:tc>
        <w:tc>
          <w:tcPr>
            <w:tcW w:w="509" w:type="pct"/>
            <w:tcBorders>
              <w:bottom w:val="nil"/>
            </w:tcBorders>
            <w:shd w:val="clear" w:color="auto" w:fill="auto"/>
            <w:vAlign w:val="center"/>
          </w:tcPr>
          <w:p w:rsidR="0057450B" w:rsidRPr="00F22264" w:rsidRDefault="00F22264" w:rsidP="00146324">
            <w:pPr>
              <w:jc w:val="right"/>
              <w:rPr>
                <w:rFonts w:eastAsia="Times New Roman" w:cs="Times New Roman"/>
                <w:lang w:eastAsia="cs-CZ"/>
              </w:rPr>
            </w:pPr>
            <w:r w:rsidRPr="00F22264">
              <w:rPr>
                <w:rFonts w:eastAsia="Times New Roman" w:cs="Times New Roman"/>
                <w:lang w:eastAsia="cs-CZ"/>
              </w:rPr>
              <w:t>102,13</w:t>
            </w:r>
          </w:p>
        </w:tc>
      </w:tr>
      <w:tr w:rsidR="0001421C" w:rsidRPr="0001421C" w:rsidTr="00F07B29">
        <w:tc>
          <w:tcPr>
            <w:tcW w:w="2414" w:type="pct"/>
            <w:tcBorders>
              <w:top w:val="nil"/>
              <w:bottom w:val="single" w:sz="8" w:space="0" w:color="7F7F7F" w:themeColor="text1" w:themeTint="80"/>
            </w:tcBorders>
            <w:shd w:val="clear" w:color="auto" w:fill="auto"/>
          </w:tcPr>
          <w:p w:rsidR="0057450B" w:rsidRPr="0029029B" w:rsidRDefault="0057450B" w:rsidP="00C14965">
            <w:pPr>
              <w:rPr>
                <w:rFonts w:eastAsia="Times New Roman" w:cs="Times New Roman"/>
                <w:i/>
                <w:lang w:eastAsia="cs-CZ"/>
              </w:rPr>
            </w:pPr>
            <w:r w:rsidRPr="0029029B">
              <w:rPr>
                <w:rFonts w:eastAsia="Times New Roman" w:cs="Times New Roman"/>
                <w:i/>
                <w:lang w:eastAsia="cs-CZ"/>
              </w:rPr>
              <w:t>z toho: programové financování (EDS/SMVS)</w:t>
            </w:r>
          </w:p>
        </w:tc>
        <w:tc>
          <w:tcPr>
            <w:tcW w:w="749" w:type="pct"/>
            <w:tcBorders>
              <w:top w:val="nil"/>
              <w:bottom w:val="single" w:sz="8" w:space="0" w:color="7F7F7F" w:themeColor="text1" w:themeTint="80"/>
            </w:tcBorders>
            <w:shd w:val="clear" w:color="auto" w:fill="auto"/>
            <w:vAlign w:val="center"/>
          </w:tcPr>
          <w:p w:rsidR="0057450B" w:rsidRPr="0029029B" w:rsidRDefault="0057450B" w:rsidP="00146324">
            <w:pPr>
              <w:jc w:val="right"/>
              <w:rPr>
                <w:rFonts w:eastAsia="Times New Roman" w:cs="Times New Roman"/>
                <w:i/>
                <w:lang w:eastAsia="cs-CZ"/>
              </w:rPr>
            </w:pPr>
            <w:r w:rsidRPr="0029029B">
              <w:rPr>
                <w:rFonts w:eastAsia="Times New Roman" w:cs="Times New Roman"/>
                <w:i/>
                <w:lang w:eastAsia="cs-CZ"/>
              </w:rPr>
              <w:t>0</w:t>
            </w:r>
          </w:p>
        </w:tc>
        <w:tc>
          <w:tcPr>
            <w:tcW w:w="703" w:type="pct"/>
            <w:tcBorders>
              <w:top w:val="nil"/>
              <w:bottom w:val="single" w:sz="8" w:space="0" w:color="7F7F7F" w:themeColor="text1" w:themeTint="80"/>
            </w:tcBorders>
            <w:shd w:val="clear" w:color="auto" w:fill="auto"/>
            <w:vAlign w:val="center"/>
          </w:tcPr>
          <w:p w:rsidR="0057450B" w:rsidRPr="0029029B" w:rsidRDefault="0057450B" w:rsidP="00146324">
            <w:pPr>
              <w:jc w:val="right"/>
              <w:rPr>
                <w:rFonts w:eastAsia="Times New Roman" w:cs="Times New Roman"/>
                <w:i/>
                <w:lang w:eastAsia="cs-CZ"/>
              </w:rPr>
            </w:pPr>
            <w:r w:rsidRPr="0029029B">
              <w:rPr>
                <w:rFonts w:eastAsia="Times New Roman" w:cs="Times New Roman"/>
                <w:i/>
                <w:lang w:eastAsia="cs-CZ"/>
              </w:rPr>
              <w:t>0</w:t>
            </w:r>
          </w:p>
        </w:tc>
        <w:tc>
          <w:tcPr>
            <w:tcW w:w="625" w:type="pct"/>
            <w:tcBorders>
              <w:top w:val="nil"/>
              <w:bottom w:val="single" w:sz="8" w:space="0" w:color="7F7F7F" w:themeColor="text1" w:themeTint="80"/>
            </w:tcBorders>
            <w:shd w:val="clear" w:color="auto" w:fill="auto"/>
            <w:vAlign w:val="center"/>
          </w:tcPr>
          <w:p w:rsidR="0057450B" w:rsidRPr="00F22264" w:rsidRDefault="0057450B" w:rsidP="00146324">
            <w:pPr>
              <w:jc w:val="right"/>
              <w:rPr>
                <w:rFonts w:eastAsia="Times New Roman" w:cs="Times New Roman"/>
                <w:i/>
                <w:lang w:eastAsia="cs-CZ"/>
              </w:rPr>
            </w:pPr>
            <w:r w:rsidRPr="00F22264">
              <w:rPr>
                <w:rFonts w:eastAsia="Times New Roman" w:cs="Times New Roman"/>
                <w:i/>
                <w:lang w:eastAsia="cs-CZ"/>
              </w:rPr>
              <w:t>0</w:t>
            </w:r>
          </w:p>
        </w:tc>
        <w:tc>
          <w:tcPr>
            <w:tcW w:w="509" w:type="pct"/>
            <w:tcBorders>
              <w:top w:val="nil"/>
              <w:bottom w:val="single" w:sz="8" w:space="0" w:color="7F7F7F" w:themeColor="text1" w:themeTint="80"/>
            </w:tcBorders>
            <w:shd w:val="clear" w:color="auto" w:fill="auto"/>
            <w:vAlign w:val="center"/>
          </w:tcPr>
          <w:p w:rsidR="0057450B" w:rsidRPr="0001421C" w:rsidRDefault="0057450B" w:rsidP="00146324">
            <w:pPr>
              <w:jc w:val="right"/>
              <w:rPr>
                <w:rFonts w:eastAsia="Times New Roman" w:cs="Times New Roman"/>
                <w:i/>
                <w:color w:val="FF0000"/>
                <w:lang w:eastAsia="cs-CZ"/>
              </w:rPr>
            </w:pPr>
            <w:r w:rsidRPr="00F22264">
              <w:rPr>
                <w:rFonts w:eastAsia="Times New Roman" w:cs="Times New Roman"/>
                <w:i/>
                <w:lang w:eastAsia="cs-CZ"/>
              </w:rPr>
              <w:t>x</w:t>
            </w:r>
          </w:p>
        </w:tc>
      </w:tr>
    </w:tbl>
    <w:p w:rsidR="0057450B" w:rsidRPr="00964F4F" w:rsidRDefault="0057450B" w:rsidP="001D1C48">
      <w:pPr>
        <w:pStyle w:val="Styl1"/>
      </w:pPr>
      <w:r w:rsidRPr="00964F4F">
        <w:t>Navrhovaný o</w:t>
      </w:r>
      <w:r w:rsidR="00964F4F" w:rsidRPr="00964F4F">
        <w:t>bjem běžných výdajů pro r</w:t>
      </w:r>
      <w:r w:rsidR="00F95B31">
        <w:t>ok 2019 je o 1 143 tis. Kč vyšší</w:t>
      </w:r>
      <w:r w:rsidR="00964F4F" w:rsidRPr="00964F4F">
        <w:t xml:space="preserve"> oproti roku 2018</w:t>
      </w:r>
      <w:r w:rsidRPr="00964F4F">
        <w:t xml:space="preserve">. </w:t>
      </w:r>
    </w:p>
    <w:p w:rsidR="00A434D3" w:rsidRDefault="00A434D3" w:rsidP="001D1C48">
      <w:pPr>
        <w:pStyle w:val="Styl1"/>
      </w:pPr>
      <w:r>
        <w:t>Výdaje na platy včetně příslušenství se zvýšily</w:t>
      </w:r>
      <w:r w:rsidR="00B63C58">
        <w:t xml:space="preserve"> oproti roku 2018 o 942</w:t>
      </w:r>
      <w:r>
        <w:t xml:space="preserve"> tis. Kč. V tom je obsaženo snížení platů vč. příslušenství </w:t>
      </w:r>
      <w:r w:rsidRPr="00A434D3">
        <w:t>o 942 tis. Kč</w:t>
      </w:r>
      <w:r>
        <w:t xml:space="preserve"> v souvislosti s krácením neobsazených míst a dále navýšení prostředků na platy vč. příslušenství ve výši 1 574 tis. Kč na základě </w:t>
      </w:r>
      <w:r w:rsidR="00E65B37">
        <w:br/>
      </w:r>
      <w:r>
        <w:t xml:space="preserve">UV č. 379/2018 a navýšení prostředků na platy vč. příslušenství </w:t>
      </w:r>
      <w:r w:rsidRPr="00B63C58">
        <w:t>ve výši</w:t>
      </w:r>
      <w:r w:rsidR="00B63C58" w:rsidRPr="00B63C58">
        <w:t xml:space="preserve"> 310</w:t>
      </w:r>
      <w:r w:rsidRPr="00B63C58">
        <w:t xml:space="preserve">  tis. Kč na základě UV č. 588/2018,  tj. navýšení celkem </w:t>
      </w:r>
      <w:r w:rsidR="00B63C58" w:rsidRPr="00B63C58">
        <w:t>o 1 884</w:t>
      </w:r>
      <w:r w:rsidRPr="00B63C58">
        <w:t xml:space="preserve"> tis. Kč (podrobněji viz oddíl 3.2.2 Mzdové výda</w:t>
      </w:r>
      <w:r w:rsidR="00B63C58" w:rsidRPr="00B63C58">
        <w:t>je a počty pracovníků OSS a PO).</w:t>
      </w:r>
    </w:p>
    <w:p w:rsidR="00A434D3" w:rsidRPr="00B63C58" w:rsidRDefault="00A434D3" w:rsidP="001D1C48">
      <w:pPr>
        <w:pStyle w:val="Styl1"/>
      </w:pPr>
      <w:r w:rsidRPr="00B63C58">
        <w:t>Počet zaměstnanců organizace je pro rok 2019</w:t>
      </w:r>
      <w:r w:rsidR="00B63C58" w:rsidRPr="00B63C58">
        <w:t xml:space="preserve"> stanoven ve výši 39 zaměstnanců, v tom 39 </w:t>
      </w:r>
      <w:r w:rsidRPr="00B63C58">
        <w:t>státních zaměstnanců.</w:t>
      </w:r>
    </w:p>
    <w:p w:rsidR="00A434D3" w:rsidRPr="00DA02A1" w:rsidRDefault="00A434D3" w:rsidP="001D1C48">
      <w:pPr>
        <w:pStyle w:val="Styl1"/>
      </w:pPr>
      <w:r w:rsidRPr="00707BF8">
        <w:t>Ostatní běžné výdaje jsou ve srovnání s</w:t>
      </w:r>
      <w:r w:rsidR="00F95B31">
        <w:t> rokem 2018 o 201 tis. Kč vyšší</w:t>
      </w:r>
      <w:r w:rsidRPr="00707BF8">
        <w:t>. V rámci ostatních běžných výdajů činí největší podíl výdaje na nájemné a výdaje na nákup ostatních služeb. Dalšími významnými položkami jsou výdaje na pohonné hmoty a na cestovné, výdaje na telekomunikační služby, na opravy a udržování, tj. výdaje přímo související s šetřením mimořádných událostí v drážní dopravě.</w:t>
      </w:r>
      <w:r w:rsidRPr="00DA02A1">
        <w:t xml:space="preserve"> </w:t>
      </w:r>
    </w:p>
    <w:p w:rsidR="00ED7004" w:rsidRDefault="00ED7004" w:rsidP="001D1C48">
      <w:pPr>
        <w:pStyle w:val="Styl1"/>
        <w:rPr>
          <w:b/>
          <w:u w:val="single"/>
        </w:rPr>
      </w:pPr>
    </w:p>
    <w:p w:rsidR="00F95B31" w:rsidRDefault="00F95B31" w:rsidP="001D1C48">
      <w:pPr>
        <w:pStyle w:val="Styl1"/>
        <w:rPr>
          <w:b/>
          <w:u w:val="single"/>
        </w:rPr>
      </w:pPr>
    </w:p>
    <w:p w:rsidR="00F95B31" w:rsidRDefault="00F95B31" w:rsidP="001D1C48">
      <w:pPr>
        <w:pStyle w:val="Styl1"/>
        <w:rPr>
          <w:b/>
          <w:u w:val="single"/>
        </w:rPr>
      </w:pPr>
    </w:p>
    <w:p w:rsidR="00F95B31" w:rsidRDefault="00F95B31" w:rsidP="001D1C48">
      <w:pPr>
        <w:pStyle w:val="Styl1"/>
        <w:rPr>
          <w:b/>
          <w:u w:val="single"/>
        </w:rPr>
      </w:pPr>
    </w:p>
    <w:p w:rsidR="0057450B" w:rsidRPr="00886FD2" w:rsidRDefault="0057450B" w:rsidP="0057450B">
      <w:pPr>
        <w:spacing w:before="240" w:after="80" w:line="240" w:lineRule="auto"/>
        <w:ind w:left="539"/>
        <w:rPr>
          <w:rFonts w:eastAsia="Times New Roman" w:cs="Times New Roman"/>
          <w:b/>
          <w:szCs w:val="24"/>
          <w:u w:val="single"/>
          <w:lang w:eastAsia="cs-CZ"/>
        </w:rPr>
      </w:pPr>
      <w:r w:rsidRPr="00886FD2">
        <w:rPr>
          <w:rFonts w:eastAsia="Times New Roman" w:cs="Times New Roman"/>
          <w:b/>
          <w:szCs w:val="24"/>
          <w:u w:val="single"/>
          <w:lang w:eastAsia="cs-CZ"/>
        </w:rPr>
        <w:lastRenderedPageBreak/>
        <w:t xml:space="preserve">Ředitelství vodních cest ČR  </w:t>
      </w:r>
    </w:p>
    <w:p w:rsidR="00886FD2" w:rsidRPr="00285CD5" w:rsidRDefault="00886FD2" w:rsidP="001D1C48">
      <w:pPr>
        <w:pStyle w:val="Styl1"/>
      </w:pPr>
      <w:r w:rsidRPr="00285CD5">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hospodaří s majetkem ve vlastnictví a nájmu ČR v přístavním městě Hamburku v SRN.</w:t>
      </w:r>
    </w:p>
    <w:p w:rsidR="00886FD2" w:rsidRPr="00285CD5" w:rsidRDefault="00886FD2" w:rsidP="00886FD2">
      <w:pPr>
        <w:pStyle w:val="Titulek"/>
        <w:keepNext/>
      </w:pPr>
      <w:r w:rsidRPr="00285CD5">
        <w:t xml:space="preserve">Tabulka č. </w:t>
      </w:r>
      <w:r w:rsidRPr="00285CD5">
        <w:rPr>
          <w:noProof/>
        </w:rPr>
        <w:fldChar w:fldCharType="begin"/>
      </w:r>
      <w:r w:rsidRPr="00285CD5">
        <w:rPr>
          <w:noProof/>
        </w:rPr>
        <w:instrText xml:space="preserve"> SEQ Tabulka \* ARABIC </w:instrText>
      </w:r>
      <w:r w:rsidRPr="00285CD5">
        <w:rPr>
          <w:noProof/>
        </w:rPr>
        <w:fldChar w:fldCharType="separate"/>
      </w:r>
      <w:r w:rsidR="00AF5225">
        <w:rPr>
          <w:noProof/>
        </w:rPr>
        <w:t>12</w:t>
      </w:r>
      <w:r w:rsidRPr="00285CD5">
        <w:rPr>
          <w:noProof/>
        </w:rPr>
        <w:fldChar w:fldCharType="end"/>
      </w:r>
      <w:r w:rsidRPr="00285CD5">
        <w:rPr>
          <w:noProof/>
        </w:rPr>
        <w:t xml:space="preserve"> Ředitelství vodních cest ČR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76"/>
        <w:gridCol w:w="1134"/>
        <w:gridCol w:w="992"/>
      </w:tblGrid>
      <w:tr w:rsidR="00886FD2" w:rsidRPr="0001421C" w:rsidTr="00E65B37">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285CD5" w:rsidRDefault="00886FD2" w:rsidP="00E65B37">
            <w:pPr>
              <w:jc w:val="center"/>
              <w:rPr>
                <w:rFonts w:eastAsia="Times New Roman" w:cs="Times New Roman"/>
                <w:b/>
                <w:szCs w:val="24"/>
                <w:lang w:eastAsia="cs-CZ"/>
              </w:rPr>
            </w:pPr>
            <w:r w:rsidRPr="00285CD5">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285CD5" w:rsidRDefault="00886FD2" w:rsidP="00E65B37">
            <w:pPr>
              <w:jc w:val="center"/>
              <w:rPr>
                <w:rFonts w:eastAsia="Times New Roman" w:cs="Times New Roman"/>
                <w:b/>
                <w:szCs w:val="24"/>
                <w:lang w:eastAsia="cs-CZ"/>
              </w:rPr>
            </w:pPr>
            <w:r w:rsidRPr="00285CD5">
              <w:rPr>
                <w:rFonts w:eastAsia="Times New Roman" w:cs="Times New Roman"/>
                <w:b/>
                <w:szCs w:val="24"/>
                <w:lang w:eastAsia="cs-CZ"/>
              </w:rPr>
              <w:t>Skutečnost</w:t>
            </w:r>
          </w:p>
          <w:p w:rsidR="00886FD2" w:rsidRPr="00285CD5" w:rsidRDefault="00886FD2" w:rsidP="00E65B37">
            <w:pPr>
              <w:jc w:val="center"/>
              <w:rPr>
                <w:rFonts w:eastAsia="Times New Roman" w:cs="Times New Roman"/>
                <w:b/>
                <w:szCs w:val="24"/>
                <w:lang w:eastAsia="cs-CZ"/>
              </w:rPr>
            </w:pPr>
            <w:r w:rsidRPr="00285CD5">
              <w:rPr>
                <w:rFonts w:eastAsia="Times New Roman" w:cs="Times New Roman"/>
                <w:b/>
                <w:szCs w:val="24"/>
                <w:lang w:eastAsia="cs-CZ"/>
              </w:rPr>
              <w:t>2017</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285CD5" w:rsidRDefault="00886FD2" w:rsidP="00E65B37">
            <w:pPr>
              <w:jc w:val="center"/>
              <w:rPr>
                <w:rFonts w:eastAsia="Times New Roman" w:cs="Times New Roman"/>
                <w:b/>
                <w:szCs w:val="24"/>
                <w:lang w:eastAsia="cs-CZ"/>
              </w:rPr>
            </w:pPr>
            <w:r w:rsidRPr="00285CD5">
              <w:rPr>
                <w:rFonts w:eastAsia="Times New Roman" w:cs="Times New Roman"/>
                <w:b/>
                <w:szCs w:val="24"/>
                <w:lang w:eastAsia="cs-CZ"/>
              </w:rPr>
              <w:t>Schválený</w:t>
            </w:r>
          </w:p>
          <w:p w:rsidR="00886FD2" w:rsidRPr="00285CD5" w:rsidRDefault="00886FD2" w:rsidP="00E65B37">
            <w:pPr>
              <w:jc w:val="center"/>
              <w:rPr>
                <w:rFonts w:eastAsia="Times New Roman" w:cs="Times New Roman"/>
                <w:b/>
                <w:szCs w:val="24"/>
                <w:lang w:eastAsia="cs-CZ"/>
              </w:rPr>
            </w:pPr>
            <w:r w:rsidRPr="00285CD5">
              <w:rPr>
                <w:rFonts w:eastAsia="Times New Roman" w:cs="Times New Roman"/>
                <w:b/>
                <w:szCs w:val="24"/>
                <w:lang w:eastAsia="cs-CZ"/>
              </w:rPr>
              <w:t>rozpočet</w:t>
            </w:r>
          </w:p>
          <w:p w:rsidR="00886FD2" w:rsidRPr="00285CD5" w:rsidRDefault="00886FD2" w:rsidP="00E65B37">
            <w:pPr>
              <w:jc w:val="center"/>
              <w:rPr>
                <w:rFonts w:eastAsia="Times New Roman" w:cs="Times New Roman"/>
                <w:b/>
                <w:szCs w:val="24"/>
                <w:lang w:eastAsia="cs-CZ"/>
              </w:rPr>
            </w:pPr>
            <w:r w:rsidRPr="00285CD5">
              <w:rPr>
                <w:rFonts w:eastAsia="Times New Roman" w:cs="Times New Roman"/>
                <w:b/>
                <w:szCs w:val="24"/>
                <w:lang w:eastAsia="cs-CZ"/>
              </w:rPr>
              <w:t>2018</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3C1066" w:rsidRDefault="00886FD2" w:rsidP="00E65B37">
            <w:pPr>
              <w:jc w:val="center"/>
              <w:rPr>
                <w:rFonts w:eastAsia="Times New Roman" w:cs="Times New Roman"/>
                <w:b/>
                <w:szCs w:val="24"/>
                <w:lang w:eastAsia="cs-CZ"/>
              </w:rPr>
            </w:pPr>
            <w:r w:rsidRPr="003C1066">
              <w:rPr>
                <w:rFonts w:eastAsia="Times New Roman" w:cs="Times New Roman"/>
                <w:b/>
                <w:szCs w:val="24"/>
                <w:lang w:eastAsia="cs-CZ"/>
              </w:rPr>
              <w:t>Návrh</w:t>
            </w:r>
          </w:p>
          <w:p w:rsidR="00886FD2" w:rsidRPr="003C1066" w:rsidRDefault="00886FD2" w:rsidP="00E65B37">
            <w:pPr>
              <w:jc w:val="center"/>
              <w:rPr>
                <w:rFonts w:eastAsia="Times New Roman" w:cs="Times New Roman"/>
                <w:b/>
                <w:szCs w:val="24"/>
                <w:lang w:eastAsia="cs-CZ"/>
              </w:rPr>
            </w:pPr>
            <w:r w:rsidRPr="003C1066">
              <w:rPr>
                <w:rFonts w:eastAsia="Times New Roman" w:cs="Times New Roman"/>
                <w:b/>
                <w:szCs w:val="24"/>
                <w:lang w:eastAsia="cs-CZ"/>
              </w:rPr>
              <w:t>rozpočtu</w:t>
            </w:r>
          </w:p>
          <w:p w:rsidR="00886FD2" w:rsidRPr="003C1066" w:rsidRDefault="00886FD2" w:rsidP="00E65B37">
            <w:pPr>
              <w:jc w:val="center"/>
              <w:rPr>
                <w:rFonts w:eastAsia="Times New Roman" w:cs="Times New Roman"/>
                <w:b/>
                <w:szCs w:val="24"/>
                <w:lang w:eastAsia="cs-CZ"/>
              </w:rPr>
            </w:pPr>
            <w:r w:rsidRPr="003C1066">
              <w:rPr>
                <w:rFonts w:eastAsia="Times New Roman" w:cs="Times New Roman"/>
                <w:b/>
                <w:szCs w:val="24"/>
                <w:lang w:eastAsia="cs-CZ"/>
              </w:rPr>
              <w:t>2019</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3C1066" w:rsidRDefault="00886FD2" w:rsidP="00E65B37">
            <w:pPr>
              <w:jc w:val="center"/>
              <w:rPr>
                <w:rFonts w:eastAsia="Times New Roman" w:cs="Times New Roman"/>
                <w:b/>
                <w:szCs w:val="24"/>
                <w:lang w:eastAsia="cs-CZ"/>
              </w:rPr>
            </w:pPr>
            <w:r w:rsidRPr="003C1066">
              <w:rPr>
                <w:rFonts w:eastAsia="Times New Roman" w:cs="Times New Roman"/>
                <w:b/>
                <w:szCs w:val="24"/>
                <w:lang w:eastAsia="cs-CZ"/>
              </w:rPr>
              <w:t>Index</w:t>
            </w:r>
          </w:p>
          <w:p w:rsidR="00886FD2" w:rsidRPr="003C1066" w:rsidRDefault="00886FD2" w:rsidP="00E65B37">
            <w:pPr>
              <w:jc w:val="center"/>
              <w:rPr>
                <w:rFonts w:eastAsia="Times New Roman" w:cs="Times New Roman"/>
                <w:b/>
                <w:szCs w:val="24"/>
                <w:lang w:eastAsia="cs-CZ"/>
              </w:rPr>
            </w:pPr>
            <w:r w:rsidRPr="003C1066">
              <w:rPr>
                <w:rFonts w:eastAsia="Times New Roman" w:cs="Times New Roman"/>
                <w:b/>
                <w:szCs w:val="24"/>
                <w:lang w:eastAsia="cs-CZ"/>
              </w:rPr>
              <w:t>2019/</w:t>
            </w:r>
            <w:r w:rsidR="00E65B37">
              <w:rPr>
                <w:rFonts w:eastAsia="Times New Roman" w:cs="Times New Roman"/>
                <w:b/>
                <w:szCs w:val="24"/>
                <w:lang w:eastAsia="cs-CZ"/>
              </w:rPr>
              <w:br/>
            </w:r>
            <w:r w:rsidRPr="003C1066">
              <w:rPr>
                <w:rFonts w:eastAsia="Times New Roman" w:cs="Times New Roman"/>
                <w:b/>
                <w:szCs w:val="24"/>
                <w:lang w:eastAsia="cs-CZ"/>
              </w:rPr>
              <w:t xml:space="preserve">2018 </w:t>
            </w:r>
            <w:r w:rsidR="00E65B37">
              <w:rPr>
                <w:rFonts w:eastAsia="Times New Roman" w:cs="Times New Roman"/>
                <w:b/>
                <w:szCs w:val="24"/>
                <w:lang w:eastAsia="cs-CZ"/>
              </w:rPr>
              <w:br/>
            </w:r>
            <w:r w:rsidRPr="003C1066">
              <w:rPr>
                <w:rFonts w:eastAsia="Times New Roman" w:cs="Times New Roman"/>
                <w:b/>
                <w:szCs w:val="24"/>
                <w:lang w:eastAsia="cs-CZ"/>
              </w:rPr>
              <w:t>(v %)</w:t>
            </w:r>
          </w:p>
        </w:tc>
      </w:tr>
      <w:tr w:rsidR="00886FD2" w:rsidRPr="0001421C" w:rsidTr="00E65B37">
        <w:tc>
          <w:tcPr>
            <w:tcW w:w="4320" w:type="dxa"/>
            <w:tcBorders>
              <w:top w:val="single" w:sz="4" w:space="0" w:color="7F7F7F" w:themeColor="text1" w:themeTint="80"/>
              <w:bottom w:val="single" w:sz="8" w:space="0" w:color="7F7F7F" w:themeColor="text1" w:themeTint="80"/>
            </w:tcBorders>
            <w:shd w:val="clear" w:color="auto" w:fill="auto"/>
          </w:tcPr>
          <w:p w:rsidR="00886FD2" w:rsidRPr="00285CD5" w:rsidRDefault="00886FD2" w:rsidP="008A1F72">
            <w:pPr>
              <w:jc w:val="center"/>
              <w:rPr>
                <w:rFonts w:eastAsia="Times New Roman" w:cs="Times New Roman"/>
                <w:szCs w:val="24"/>
                <w:lang w:eastAsia="cs-CZ"/>
              </w:rPr>
            </w:pPr>
            <w:r w:rsidRPr="00285CD5">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886FD2" w:rsidRPr="00285CD5" w:rsidRDefault="00886FD2" w:rsidP="008A1F72">
            <w:pPr>
              <w:jc w:val="center"/>
              <w:rPr>
                <w:rFonts w:eastAsia="Times New Roman" w:cs="Times New Roman"/>
                <w:szCs w:val="24"/>
                <w:lang w:eastAsia="cs-CZ"/>
              </w:rPr>
            </w:pPr>
            <w:r w:rsidRPr="00285CD5">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886FD2" w:rsidRPr="00285CD5" w:rsidRDefault="00886FD2" w:rsidP="008A1F72">
            <w:pPr>
              <w:jc w:val="center"/>
              <w:rPr>
                <w:rFonts w:eastAsia="Times New Roman" w:cs="Times New Roman"/>
                <w:szCs w:val="24"/>
                <w:lang w:eastAsia="cs-CZ"/>
              </w:rPr>
            </w:pPr>
            <w:r w:rsidRPr="00285CD5">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886FD2" w:rsidRPr="003C1066" w:rsidRDefault="00886FD2" w:rsidP="008A1F72">
            <w:pPr>
              <w:jc w:val="center"/>
              <w:rPr>
                <w:rFonts w:eastAsia="Times New Roman" w:cs="Times New Roman"/>
                <w:szCs w:val="24"/>
                <w:lang w:eastAsia="cs-CZ"/>
              </w:rPr>
            </w:pPr>
            <w:r w:rsidRPr="003C1066">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rsidR="00886FD2" w:rsidRPr="003C1066" w:rsidRDefault="00886FD2" w:rsidP="008A1F72">
            <w:pPr>
              <w:jc w:val="center"/>
              <w:rPr>
                <w:rFonts w:eastAsia="Times New Roman" w:cs="Times New Roman"/>
                <w:szCs w:val="24"/>
                <w:lang w:eastAsia="cs-CZ"/>
              </w:rPr>
            </w:pPr>
            <w:r w:rsidRPr="003C1066">
              <w:rPr>
                <w:rFonts w:eastAsia="Times New Roman" w:cs="Times New Roman"/>
                <w:szCs w:val="24"/>
                <w:lang w:eastAsia="cs-CZ"/>
              </w:rPr>
              <w:t>4</w:t>
            </w:r>
          </w:p>
        </w:tc>
      </w:tr>
      <w:tr w:rsidR="00886FD2" w:rsidRPr="0001421C" w:rsidTr="00E65B37">
        <w:trPr>
          <w:trHeight w:val="468"/>
        </w:trPr>
        <w:tc>
          <w:tcPr>
            <w:tcW w:w="4320" w:type="dxa"/>
            <w:tcBorders>
              <w:top w:val="single" w:sz="8" w:space="0" w:color="7F7F7F" w:themeColor="text1" w:themeTint="80"/>
              <w:bottom w:val="single" w:sz="8" w:space="0" w:color="7F7F7F" w:themeColor="text1" w:themeTint="80"/>
            </w:tcBorders>
            <w:shd w:val="clear" w:color="auto" w:fill="auto"/>
          </w:tcPr>
          <w:p w:rsidR="00886FD2" w:rsidRPr="00285CD5" w:rsidRDefault="00886FD2" w:rsidP="008A1F72">
            <w:pPr>
              <w:spacing w:before="120"/>
              <w:rPr>
                <w:rFonts w:eastAsia="Times New Roman" w:cs="Times New Roman"/>
                <w:lang w:eastAsia="cs-CZ"/>
              </w:rPr>
            </w:pPr>
            <w:r w:rsidRPr="00285CD5">
              <w:rPr>
                <w:rFonts w:eastAsia="Times New Roman" w:cs="Times New Roman"/>
                <w:b/>
                <w:bCs/>
                <w:lang w:eastAsia="cs-CZ"/>
              </w:rPr>
              <w:t xml:space="preserve">Běžné výdaje </w:t>
            </w:r>
            <w:r w:rsidRPr="00285CD5">
              <w:rPr>
                <w:rFonts w:eastAsia="Times New Roman" w:cs="Times New Roman"/>
                <w:lang w:eastAsia="cs-CZ"/>
              </w:rPr>
              <w:t xml:space="preserve">v tom: </w:t>
            </w:r>
          </w:p>
        </w:tc>
        <w:tc>
          <w:tcPr>
            <w:tcW w:w="1340" w:type="dxa"/>
            <w:tcBorders>
              <w:top w:val="single" w:sz="8" w:space="0" w:color="7F7F7F" w:themeColor="text1" w:themeTint="80"/>
              <w:bottom w:val="single" w:sz="8" w:space="0" w:color="7F7F7F" w:themeColor="text1" w:themeTint="80"/>
            </w:tcBorders>
            <w:shd w:val="clear" w:color="auto" w:fill="auto"/>
          </w:tcPr>
          <w:p w:rsidR="00886FD2" w:rsidRPr="00285CD5" w:rsidRDefault="00886FD2" w:rsidP="008A1F72">
            <w:pPr>
              <w:spacing w:before="120"/>
              <w:jc w:val="right"/>
              <w:rPr>
                <w:rFonts w:eastAsia="Times New Roman" w:cs="Times New Roman"/>
                <w:b/>
                <w:bCs/>
                <w:lang w:eastAsia="cs-CZ"/>
              </w:rPr>
            </w:pPr>
            <w:r w:rsidRPr="00285CD5">
              <w:rPr>
                <w:rFonts w:eastAsia="Times New Roman" w:cs="Times New Roman"/>
                <w:b/>
                <w:bCs/>
                <w:lang w:eastAsia="cs-CZ"/>
              </w:rPr>
              <w:t>39 994</w:t>
            </w:r>
          </w:p>
        </w:tc>
        <w:tc>
          <w:tcPr>
            <w:tcW w:w="1276" w:type="dxa"/>
            <w:tcBorders>
              <w:top w:val="single" w:sz="8" w:space="0" w:color="7F7F7F" w:themeColor="text1" w:themeTint="80"/>
              <w:bottom w:val="single" w:sz="8" w:space="0" w:color="7F7F7F" w:themeColor="text1" w:themeTint="80"/>
            </w:tcBorders>
            <w:shd w:val="clear" w:color="auto" w:fill="auto"/>
          </w:tcPr>
          <w:p w:rsidR="00886FD2" w:rsidRPr="00285CD5" w:rsidRDefault="00886FD2" w:rsidP="008A1F72">
            <w:pPr>
              <w:spacing w:before="120"/>
              <w:jc w:val="right"/>
              <w:rPr>
                <w:rFonts w:eastAsia="Times New Roman" w:cs="Times New Roman"/>
                <w:b/>
                <w:bCs/>
                <w:lang w:eastAsia="cs-CZ"/>
              </w:rPr>
            </w:pPr>
            <w:r w:rsidRPr="00285CD5">
              <w:rPr>
                <w:rFonts w:eastAsia="Times New Roman" w:cs="Times New Roman"/>
                <w:b/>
                <w:bCs/>
                <w:lang w:eastAsia="cs-CZ"/>
              </w:rPr>
              <w:t>22 222</w:t>
            </w:r>
          </w:p>
        </w:tc>
        <w:tc>
          <w:tcPr>
            <w:tcW w:w="1134" w:type="dxa"/>
            <w:tcBorders>
              <w:top w:val="single" w:sz="8" w:space="0" w:color="7F7F7F" w:themeColor="text1" w:themeTint="80"/>
              <w:bottom w:val="single" w:sz="8" w:space="0" w:color="7F7F7F" w:themeColor="text1" w:themeTint="80"/>
            </w:tcBorders>
            <w:shd w:val="clear" w:color="auto" w:fill="auto"/>
          </w:tcPr>
          <w:p w:rsidR="00886FD2" w:rsidRPr="003C1066" w:rsidRDefault="00886FD2" w:rsidP="008A1F72">
            <w:pPr>
              <w:spacing w:before="120"/>
              <w:jc w:val="right"/>
              <w:rPr>
                <w:rFonts w:eastAsia="Times New Roman" w:cs="Times New Roman"/>
                <w:b/>
                <w:bCs/>
                <w:lang w:eastAsia="cs-CZ"/>
              </w:rPr>
            </w:pPr>
            <w:r w:rsidRPr="003C1066">
              <w:rPr>
                <w:rFonts w:eastAsia="Times New Roman" w:cs="Times New Roman"/>
                <w:b/>
                <w:bCs/>
                <w:lang w:eastAsia="cs-CZ"/>
              </w:rPr>
              <w:t>22 878</w:t>
            </w:r>
          </w:p>
        </w:tc>
        <w:tc>
          <w:tcPr>
            <w:tcW w:w="992" w:type="dxa"/>
            <w:tcBorders>
              <w:top w:val="single" w:sz="8" w:space="0" w:color="7F7F7F" w:themeColor="text1" w:themeTint="80"/>
              <w:bottom w:val="single" w:sz="8" w:space="0" w:color="7F7F7F" w:themeColor="text1" w:themeTint="80"/>
            </w:tcBorders>
            <w:shd w:val="clear" w:color="auto" w:fill="auto"/>
          </w:tcPr>
          <w:p w:rsidR="00886FD2" w:rsidRPr="003C1066" w:rsidRDefault="00886FD2" w:rsidP="008A1F72">
            <w:pPr>
              <w:spacing w:before="120"/>
              <w:jc w:val="right"/>
              <w:rPr>
                <w:rFonts w:eastAsia="Times New Roman" w:cs="Times New Roman"/>
                <w:b/>
                <w:bCs/>
                <w:lang w:eastAsia="cs-CZ"/>
              </w:rPr>
            </w:pPr>
            <w:r w:rsidRPr="003C1066">
              <w:rPr>
                <w:rFonts w:eastAsia="Times New Roman" w:cs="Times New Roman"/>
                <w:b/>
                <w:bCs/>
                <w:lang w:eastAsia="cs-CZ"/>
              </w:rPr>
              <w:t>102,95</w:t>
            </w:r>
          </w:p>
        </w:tc>
      </w:tr>
      <w:tr w:rsidR="00886FD2" w:rsidRPr="0001421C" w:rsidTr="00E65B37">
        <w:tc>
          <w:tcPr>
            <w:tcW w:w="4320" w:type="dxa"/>
            <w:tcBorders>
              <w:top w:val="single" w:sz="8" w:space="0" w:color="7F7F7F" w:themeColor="text1" w:themeTint="80"/>
              <w:bottom w:val="nil"/>
            </w:tcBorders>
            <w:shd w:val="clear" w:color="auto" w:fill="auto"/>
          </w:tcPr>
          <w:p w:rsidR="00886FD2" w:rsidRPr="00285CD5" w:rsidRDefault="00886FD2" w:rsidP="008A1F72">
            <w:pPr>
              <w:rPr>
                <w:rFonts w:eastAsia="Times New Roman" w:cs="Times New Roman"/>
                <w:lang w:eastAsia="cs-CZ"/>
              </w:rPr>
            </w:pPr>
            <w:r w:rsidRPr="00285CD5">
              <w:rPr>
                <w:rFonts w:eastAsia="Times New Roman" w:cs="Times New Roman"/>
                <w:lang w:eastAsia="cs-CZ"/>
              </w:rPr>
              <w:t>platy zaměstnanců a ostatní platby</w:t>
            </w:r>
          </w:p>
          <w:p w:rsidR="00886FD2" w:rsidRPr="00285CD5" w:rsidRDefault="00886FD2" w:rsidP="008A1F72">
            <w:pPr>
              <w:rPr>
                <w:rFonts w:eastAsia="Times New Roman" w:cs="Times New Roman"/>
                <w:lang w:eastAsia="cs-CZ"/>
              </w:rPr>
            </w:pPr>
            <w:r w:rsidRPr="00285CD5">
              <w:rPr>
                <w:rFonts w:eastAsia="Times New Roman" w:cs="Times New Roman"/>
                <w:lang w:eastAsia="cs-CZ"/>
              </w:rPr>
              <w:t>za provedenou práci</w:t>
            </w:r>
          </w:p>
        </w:tc>
        <w:tc>
          <w:tcPr>
            <w:tcW w:w="1340" w:type="dxa"/>
            <w:tcBorders>
              <w:top w:val="single" w:sz="8" w:space="0" w:color="7F7F7F" w:themeColor="text1" w:themeTint="80"/>
              <w:bottom w:val="nil"/>
            </w:tcBorders>
            <w:shd w:val="clear" w:color="auto" w:fill="auto"/>
          </w:tcPr>
          <w:p w:rsidR="00886FD2" w:rsidRPr="00285CD5" w:rsidRDefault="00886FD2" w:rsidP="008A1F72">
            <w:pPr>
              <w:spacing w:before="120"/>
              <w:jc w:val="right"/>
              <w:rPr>
                <w:rFonts w:eastAsia="Times New Roman" w:cs="Times New Roman"/>
                <w:lang w:eastAsia="cs-CZ"/>
              </w:rPr>
            </w:pPr>
            <w:r w:rsidRPr="00285CD5">
              <w:rPr>
                <w:rFonts w:eastAsia="Times New Roman" w:cs="Times New Roman"/>
                <w:lang w:eastAsia="cs-CZ"/>
              </w:rPr>
              <w:t>6 209</w:t>
            </w:r>
          </w:p>
        </w:tc>
        <w:tc>
          <w:tcPr>
            <w:tcW w:w="1276" w:type="dxa"/>
            <w:tcBorders>
              <w:top w:val="single" w:sz="8" w:space="0" w:color="7F7F7F" w:themeColor="text1" w:themeTint="80"/>
              <w:bottom w:val="nil"/>
            </w:tcBorders>
            <w:shd w:val="clear" w:color="auto" w:fill="auto"/>
          </w:tcPr>
          <w:p w:rsidR="00886FD2" w:rsidRPr="00285CD5" w:rsidRDefault="00886FD2" w:rsidP="008A1F72">
            <w:pPr>
              <w:spacing w:before="120"/>
              <w:jc w:val="right"/>
              <w:rPr>
                <w:rFonts w:eastAsia="Times New Roman" w:cs="Times New Roman"/>
                <w:lang w:eastAsia="cs-CZ"/>
              </w:rPr>
            </w:pPr>
            <w:r w:rsidRPr="00285CD5">
              <w:rPr>
                <w:rFonts w:eastAsia="Times New Roman" w:cs="Times New Roman"/>
                <w:lang w:eastAsia="cs-CZ"/>
              </w:rPr>
              <w:t>6 162</w:t>
            </w:r>
          </w:p>
        </w:tc>
        <w:tc>
          <w:tcPr>
            <w:tcW w:w="1134" w:type="dxa"/>
            <w:tcBorders>
              <w:top w:val="single" w:sz="8" w:space="0" w:color="7F7F7F" w:themeColor="text1" w:themeTint="80"/>
              <w:bottom w:val="nil"/>
            </w:tcBorders>
            <w:shd w:val="clear" w:color="auto" w:fill="auto"/>
          </w:tcPr>
          <w:p w:rsidR="00886FD2" w:rsidRPr="003C1066" w:rsidRDefault="00886FD2" w:rsidP="008A1F72">
            <w:pPr>
              <w:spacing w:before="120"/>
              <w:jc w:val="right"/>
              <w:rPr>
                <w:rFonts w:eastAsia="Times New Roman" w:cs="Times New Roman"/>
                <w:lang w:eastAsia="cs-CZ"/>
              </w:rPr>
            </w:pPr>
            <w:r w:rsidRPr="003C1066">
              <w:rPr>
                <w:rFonts w:eastAsia="Times New Roman" w:cs="Times New Roman"/>
                <w:lang w:eastAsia="cs-CZ"/>
              </w:rPr>
              <w:t>6 644</w:t>
            </w:r>
          </w:p>
        </w:tc>
        <w:tc>
          <w:tcPr>
            <w:tcW w:w="992" w:type="dxa"/>
            <w:tcBorders>
              <w:top w:val="single" w:sz="8" w:space="0" w:color="7F7F7F" w:themeColor="text1" w:themeTint="80"/>
              <w:bottom w:val="nil"/>
            </w:tcBorders>
            <w:shd w:val="clear" w:color="auto" w:fill="auto"/>
          </w:tcPr>
          <w:p w:rsidR="00886FD2" w:rsidRPr="003C1066" w:rsidRDefault="00886FD2" w:rsidP="008A1F72">
            <w:pPr>
              <w:spacing w:before="120"/>
              <w:jc w:val="right"/>
              <w:rPr>
                <w:rFonts w:eastAsia="Times New Roman" w:cs="Times New Roman"/>
                <w:lang w:eastAsia="cs-CZ"/>
              </w:rPr>
            </w:pPr>
            <w:r w:rsidRPr="003C1066">
              <w:rPr>
                <w:rFonts w:eastAsia="Times New Roman" w:cs="Times New Roman"/>
                <w:lang w:eastAsia="cs-CZ"/>
              </w:rPr>
              <w:t>107,82</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z toho: výdaje na </w:t>
            </w:r>
            <w:proofErr w:type="spellStart"/>
            <w:r w:rsidRPr="00285CD5">
              <w:rPr>
                <w:rFonts w:eastAsia="Times New Roman" w:cs="Times New Roman"/>
                <w:i/>
                <w:lang w:eastAsia="cs-CZ"/>
              </w:rPr>
              <w:t>progr</w:t>
            </w:r>
            <w:proofErr w:type="spellEnd"/>
            <w:r w:rsidRPr="00285CD5">
              <w:rPr>
                <w:rFonts w:eastAsia="Times New Roman" w:cs="Times New Roman"/>
                <w:i/>
                <w:lang w:eastAsia="cs-CZ"/>
              </w:rPr>
              <w:t xml:space="preserve">. </w:t>
            </w:r>
            <w:proofErr w:type="spellStart"/>
            <w:r w:rsidRPr="00285CD5">
              <w:rPr>
                <w:rFonts w:eastAsia="Times New Roman" w:cs="Times New Roman"/>
                <w:i/>
                <w:lang w:eastAsia="cs-CZ"/>
              </w:rPr>
              <w:t>spolufin</w:t>
            </w:r>
            <w:proofErr w:type="spellEnd"/>
            <w:r w:rsidRPr="00285CD5">
              <w:rPr>
                <w:rFonts w:eastAsia="Times New Roman" w:cs="Times New Roman"/>
                <w:i/>
                <w:lang w:eastAsia="cs-CZ"/>
              </w:rPr>
              <w:t xml:space="preserve">. z. </w:t>
            </w:r>
            <w:proofErr w:type="spellStart"/>
            <w:r w:rsidRPr="00285CD5">
              <w:rPr>
                <w:rFonts w:eastAsia="Times New Roman" w:cs="Times New Roman"/>
                <w:i/>
                <w:lang w:eastAsia="cs-CZ"/>
              </w:rPr>
              <w:t>rozp</w:t>
            </w:r>
            <w:proofErr w:type="spellEnd"/>
            <w:r w:rsidRPr="00285CD5">
              <w:rPr>
                <w:rFonts w:eastAsia="Times New Roman" w:cs="Times New Roman"/>
                <w:i/>
                <w:lang w:eastAsia="cs-CZ"/>
              </w:rPr>
              <w:t xml:space="preserve">. EU                </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722</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 xml:space="preserve">             v tom: ze SR</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single" w:sz="4" w:space="0" w:color="7F7F7F" w:themeColor="text1" w:themeTint="80"/>
            </w:tcBorders>
            <w:shd w:val="clear" w:color="auto" w:fill="auto"/>
          </w:tcPr>
          <w:p w:rsidR="00886FD2" w:rsidRPr="00285CD5" w:rsidRDefault="00E65B37" w:rsidP="008A1F72">
            <w:pPr>
              <w:rPr>
                <w:rFonts w:eastAsia="Times New Roman" w:cs="Times New Roman"/>
                <w:i/>
                <w:lang w:eastAsia="cs-CZ"/>
              </w:rPr>
            </w:pPr>
            <w:r>
              <w:rPr>
                <w:rFonts w:eastAsia="Times New Roman" w:cs="Times New Roman"/>
                <w:i/>
                <w:lang w:eastAsia="cs-CZ"/>
              </w:rPr>
              <w:t xml:space="preserve">                        </w:t>
            </w:r>
            <w:r w:rsidR="00886FD2" w:rsidRPr="00285CD5">
              <w:rPr>
                <w:rFonts w:eastAsia="Times New Roman" w:cs="Times New Roman"/>
                <w:i/>
                <w:lang w:eastAsia="cs-CZ"/>
              </w:rPr>
              <w:t>z rozpočtu EU</w:t>
            </w:r>
          </w:p>
        </w:tc>
        <w:tc>
          <w:tcPr>
            <w:tcW w:w="1340" w:type="dxa"/>
            <w:tcBorders>
              <w:top w:val="nil"/>
              <w:bottom w:val="single" w:sz="4"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722</w:t>
            </w:r>
          </w:p>
        </w:tc>
        <w:tc>
          <w:tcPr>
            <w:tcW w:w="1276" w:type="dxa"/>
            <w:tcBorders>
              <w:top w:val="nil"/>
              <w:bottom w:val="single" w:sz="4"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single" w:sz="4"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single" w:sz="4"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single" w:sz="4" w:space="0" w:color="7F7F7F" w:themeColor="text1" w:themeTint="80"/>
              <w:bottom w:val="nil"/>
            </w:tcBorders>
            <w:shd w:val="clear" w:color="auto" w:fill="auto"/>
          </w:tcPr>
          <w:p w:rsidR="00886FD2" w:rsidRPr="00285CD5" w:rsidRDefault="00886FD2" w:rsidP="008A1F72">
            <w:pPr>
              <w:rPr>
                <w:rFonts w:eastAsia="Times New Roman" w:cs="Times New Roman"/>
                <w:lang w:eastAsia="cs-CZ"/>
              </w:rPr>
            </w:pPr>
            <w:r w:rsidRPr="00285CD5">
              <w:rPr>
                <w:rFonts w:eastAsia="Times New Roman" w:cs="Times New Roman"/>
                <w:lang w:eastAsia="cs-CZ"/>
              </w:rPr>
              <w:t>povinné pojistné placené zaměstnavatelem</w:t>
            </w:r>
          </w:p>
        </w:tc>
        <w:tc>
          <w:tcPr>
            <w:tcW w:w="1340" w:type="dxa"/>
            <w:tcBorders>
              <w:top w:val="single" w:sz="4" w:space="0" w:color="7F7F7F" w:themeColor="text1" w:themeTint="80"/>
              <w:bottom w:val="nil"/>
            </w:tcBorders>
            <w:shd w:val="clear" w:color="auto" w:fill="auto"/>
          </w:tcPr>
          <w:p w:rsidR="00886FD2" w:rsidRPr="00285CD5" w:rsidRDefault="00886FD2" w:rsidP="008A1F72">
            <w:pPr>
              <w:jc w:val="right"/>
              <w:rPr>
                <w:rFonts w:eastAsia="Times New Roman" w:cs="Times New Roman"/>
                <w:lang w:eastAsia="cs-CZ"/>
              </w:rPr>
            </w:pPr>
            <w:r w:rsidRPr="00285CD5">
              <w:rPr>
                <w:rFonts w:eastAsia="Times New Roman" w:cs="Times New Roman"/>
                <w:lang w:eastAsia="cs-CZ"/>
              </w:rPr>
              <w:t>2 115</w:t>
            </w:r>
          </w:p>
        </w:tc>
        <w:tc>
          <w:tcPr>
            <w:tcW w:w="1276" w:type="dxa"/>
            <w:tcBorders>
              <w:top w:val="single" w:sz="4" w:space="0" w:color="7F7F7F" w:themeColor="text1" w:themeTint="80"/>
              <w:bottom w:val="nil"/>
            </w:tcBorders>
            <w:shd w:val="clear" w:color="auto" w:fill="auto"/>
          </w:tcPr>
          <w:p w:rsidR="00886FD2" w:rsidRPr="00285CD5" w:rsidRDefault="00886FD2" w:rsidP="008A1F72">
            <w:pPr>
              <w:jc w:val="right"/>
              <w:rPr>
                <w:rFonts w:eastAsia="Times New Roman" w:cs="Times New Roman"/>
                <w:lang w:eastAsia="cs-CZ"/>
              </w:rPr>
            </w:pPr>
            <w:r w:rsidRPr="00285CD5">
              <w:rPr>
                <w:rFonts w:eastAsia="Times New Roman" w:cs="Times New Roman"/>
                <w:lang w:eastAsia="cs-CZ"/>
              </w:rPr>
              <w:t>2 095</w:t>
            </w:r>
          </w:p>
        </w:tc>
        <w:tc>
          <w:tcPr>
            <w:tcW w:w="1134" w:type="dxa"/>
            <w:tcBorders>
              <w:top w:val="single" w:sz="4" w:space="0" w:color="7F7F7F" w:themeColor="text1" w:themeTint="80"/>
              <w:bottom w:val="nil"/>
            </w:tcBorders>
            <w:shd w:val="clear" w:color="auto" w:fill="auto"/>
          </w:tcPr>
          <w:p w:rsidR="00886FD2" w:rsidRPr="003C1066" w:rsidRDefault="00886FD2" w:rsidP="008A1F72">
            <w:pPr>
              <w:jc w:val="right"/>
              <w:rPr>
                <w:rFonts w:eastAsia="Times New Roman" w:cs="Times New Roman"/>
                <w:lang w:eastAsia="cs-CZ"/>
              </w:rPr>
            </w:pPr>
            <w:r w:rsidRPr="003C1066">
              <w:rPr>
                <w:rFonts w:eastAsia="Times New Roman" w:cs="Times New Roman"/>
                <w:lang w:eastAsia="cs-CZ"/>
              </w:rPr>
              <w:t>2 259</w:t>
            </w:r>
          </w:p>
        </w:tc>
        <w:tc>
          <w:tcPr>
            <w:tcW w:w="992" w:type="dxa"/>
            <w:tcBorders>
              <w:top w:val="single" w:sz="4" w:space="0" w:color="7F7F7F" w:themeColor="text1" w:themeTint="80"/>
              <w:bottom w:val="nil"/>
            </w:tcBorders>
            <w:shd w:val="clear" w:color="auto" w:fill="auto"/>
          </w:tcPr>
          <w:p w:rsidR="00886FD2" w:rsidRPr="003C1066" w:rsidRDefault="00886FD2" w:rsidP="008A1F72">
            <w:pPr>
              <w:jc w:val="right"/>
              <w:rPr>
                <w:rFonts w:eastAsia="Times New Roman" w:cs="Times New Roman"/>
                <w:lang w:eastAsia="cs-CZ"/>
              </w:rPr>
            </w:pPr>
            <w:r w:rsidRPr="003C1066">
              <w:rPr>
                <w:rFonts w:eastAsia="Times New Roman" w:cs="Times New Roman"/>
                <w:lang w:eastAsia="cs-CZ"/>
              </w:rPr>
              <w:t>107,83</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z toho: výdaje na </w:t>
            </w:r>
            <w:proofErr w:type="spellStart"/>
            <w:r w:rsidRPr="00285CD5">
              <w:rPr>
                <w:rFonts w:eastAsia="Times New Roman" w:cs="Times New Roman"/>
                <w:i/>
                <w:lang w:eastAsia="cs-CZ"/>
              </w:rPr>
              <w:t>progr</w:t>
            </w:r>
            <w:proofErr w:type="spellEnd"/>
            <w:r w:rsidRPr="00285CD5">
              <w:rPr>
                <w:rFonts w:eastAsia="Times New Roman" w:cs="Times New Roman"/>
                <w:i/>
                <w:lang w:eastAsia="cs-CZ"/>
              </w:rPr>
              <w:t xml:space="preserve">. </w:t>
            </w:r>
            <w:proofErr w:type="spellStart"/>
            <w:r w:rsidRPr="00285CD5">
              <w:rPr>
                <w:rFonts w:eastAsia="Times New Roman" w:cs="Times New Roman"/>
                <w:i/>
                <w:lang w:eastAsia="cs-CZ"/>
              </w:rPr>
              <w:t>spolufin</w:t>
            </w:r>
            <w:proofErr w:type="spellEnd"/>
            <w:r w:rsidRPr="00285CD5">
              <w:rPr>
                <w:rFonts w:eastAsia="Times New Roman" w:cs="Times New Roman"/>
                <w:i/>
                <w:lang w:eastAsia="cs-CZ"/>
              </w:rPr>
              <w:t xml:space="preserve">. z. </w:t>
            </w:r>
            <w:proofErr w:type="spellStart"/>
            <w:r w:rsidRPr="00285CD5">
              <w:rPr>
                <w:rFonts w:eastAsia="Times New Roman" w:cs="Times New Roman"/>
                <w:i/>
                <w:lang w:eastAsia="cs-CZ"/>
              </w:rPr>
              <w:t>rozp</w:t>
            </w:r>
            <w:proofErr w:type="spellEnd"/>
            <w:r w:rsidRPr="00285CD5">
              <w:rPr>
                <w:rFonts w:eastAsia="Times New Roman" w:cs="Times New Roman"/>
                <w:i/>
                <w:lang w:eastAsia="cs-CZ"/>
              </w:rPr>
              <w:t xml:space="preserve">. EU                </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246</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 xml:space="preserve">             v tom: ze SR</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single" w:sz="4" w:space="0" w:color="7F7F7F" w:themeColor="text1" w:themeTint="80"/>
            </w:tcBorders>
            <w:shd w:val="clear" w:color="auto" w:fill="auto"/>
          </w:tcPr>
          <w:p w:rsidR="00886FD2" w:rsidRPr="00285CD5" w:rsidRDefault="00E65B37" w:rsidP="008A1F72">
            <w:pPr>
              <w:rPr>
                <w:rFonts w:eastAsia="Times New Roman" w:cs="Times New Roman"/>
                <w:i/>
                <w:lang w:eastAsia="cs-CZ"/>
              </w:rPr>
            </w:pPr>
            <w:r>
              <w:rPr>
                <w:rFonts w:eastAsia="Times New Roman" w:cs="Times New Roman"/>
                <w:i/>
                <w:lang w:eastAsia="cs-CZ"/>
              </w:rPr>
              <w:t xml:space="preserve">                        </w:t>
            </w:r>
            <w:r w:rsidR="00886FD2" w:rsidRPr="00285CD5">
              <w:rPr>
                <w:rFonts w:eastAsia="Times New Roman" w:cs="Times New Roman"/>
                <w:i/>
                <w:lang w:eastAsia="cs-CZ"/>
              </w:rPr>
              <w:t>z rozpočtu EU</w:t>
            </w:r>
          </w:p>
        </w:tc>
        <w:tc>
          <w:tcPr>
            <w:tcW w:w="1340" w:type="dxa"/>
            <w:tcBorders>
              <w:top w:val="nil"/>
              <w:bottom w:val="single" w:sz="4"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246</w:t>
            </w:r>
          </w:p>
        </w:tc>
        <w:tc>
          <w:tcPr>
            <w:tcW w:w="1276" w:type="dxa"/>
            <w:tcBorders>
              <w:top w:val="nil"/>
              <w:bottom w:val="single" w:sz="4"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single" w:sz="4"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single" w:sz="4"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single" w:sz="4" w:space="0" w:color="7F7F7F" w:themeColor="text1" w:themeTint="80"/>
              <w:bottom w:val="nil"/>
            </w:tcBorders>
            <w:shd w:val="clear" w:color="auto" w:fill="auto"/>
          </w:tcPr>
          <w:p w:rsidR="00886FD2" w:rsidRPr="00285CD5" w:rsidRDefault="00886FD2" w:rsidP="008A1F72">
            <w:pPr>
              <w:rPr>
                <w:rFonts w:eastAsia="Times New Roman" w:cs="Times New Roman"/>
                <w:lang w:eastAsia="cs-CZ"/>
              </w:rPr>
            </w:pPr>
            <w:r w:rsidRPr="00285CD5">
              <w:rPr>
                <w:rFonts w:eastAsia="Times New Roman" w:cs="Times New Roman"/>
                <w:lang w:eastAsia="cs-CZ"/>
              </w:rPr>
              <w:t>převod FKSP</w:t>
            </w:r>
          </w:p>
        </w:tc>
        <w:tc>
          <w:tcPr>
            <w:tcW w:w="1340" w:type="dxa"/>
            <w:tcBorders>
              <w:top w:val="single" w:sz="4" w:space="0" w:color="7F7F7F" w:themeColor="text1" w:themeTint="80"/>
              <w:bottom w:val="nil"/>
            </w:tcBorders>
            <w:shd w:val="clear" w:color="auto" w:fill="auto"/>
          </w:tcPr>
          <w:p w:rsidR="00886FD2" w:rsidRPr="00285CD5" w:rsidRDefault="00886FD2" w:rsidP="008A1F72">
            <w:pPr>
              <w:jc w:val="right"/>
              <w:rPr>
                <w:rFonts w:eastAsia="Times New Roman" w:cs="Times New Roman"/>
                <w:lang w:eastAsia="cs-CZ"/>
              </w:rPr>
            </w:pPr>
            <w:r w:rsidRPr="00285CD5">
              <w:rPr>
                <w:rFonts w:eastAsia="Times New Roman" w:cs="Times New Roman"/>
                <w:lang w:eastAsia="cs-CZ"/>
              </w:rPr>
              <w:t>124</w:t>
            </w:r>
          </w:p>
        </w:tc>
        <w:tc>
          <w:tcPr>
            <w:tcW w:w="1276" w:type="dxa"/>
            <w:tcBorders>
              <w:top w:val="single" w:sz="4" w:space="0" w:color="7F7F7F" w:themeColor="text1" w:themeTint="80"/>
              <w:bottom w:val="nil"/>
            </w:tcBorders>
            <w:shd w:val="clear" w:color="auto" w:fill="auto"/>
          </w:tcPr>
          <w:p w:rsidR="00886FD2" w:rsidRPr="00285CD5" w:rsidRDefault="00886FD2" w:rsidP="008A1F72">
            <w:pPr>
              <w:jc w:val="right"/>
              <w:rPr>
                <w:rFonts w:eastAsia="Times New Roman" w:cs="Times New Roman"/>
                <w:lang w:eastAsia="cs-CZ"/>
              </w:rPr>
            </w:pPr>
            <w:r w:rsidRPr="00285CD5">
              <w:rPr>
                <w:rFonts w:eastAsia="Times New Roman" w:cs="Times New Roman"/>
                <w:lang w:eastAsia="cs-CZ"/>
              </w:rPr>
              <w:t>122</w:t>
            </w:r>
          </w:p>
        </w:tc>
        <w:tc>
          <w:tcPr>
            <w:tcW w:w="1134" w:type="dxa"/>
            <w:tcBorders>
              <w:top w:val="single" w:sz="4" w:space="0" w:color="7F7F7F" w:themeColor="text1" w:themeTint="80"/>
              <w:bottom w:val="nil"/>
            </w:tcBorders>
            <w:shd w:val="clear" w:color="auto" w:fill="auto"/>
          </w:tcPr>
          <w:p w:rsidR="00886FD2" w:rsidRPr="003C1066" w:rsidRDefault="00886FD2" w:rsidP="008A1F72">
            <w:pPr>
              <w:jc w:val="right"/>
              <w:rPr>
                <w:rFonts w:eastAsia="Times New Roman" w:cs="Times New Roman"/>
                <w:lang w:eastAsia="cs-CZ"/>
              </w:rPr>
            </w:pPr>
            <w:r w:rsidRPr="003C1066">
              <w:rPr>
                <w:rFonts w:eastAsia="Times New Roman" w:cs="Times New Roman"/>
                <w:lang w:eastAsia="cs-CZ"/>
              </w:rPr>
              <w:t>132</w:t>
            </w:r>
          </w:p>
        </w:tc>
        <w:tc>
          <w:tcPr>
            <w:tcW w:w="992" w:type="dxa"/>
            <w:tcBorders>
              <w:top w:val="single" w:sz="4" w:space="0" w:color="7F7F7F" w:themeColor="text1" w:themeTint="80"/>
              <w:bottom w:val="nil"/>
            </w:tcBorders>
            <w:shd w:val="clear" w:color="auto" w:fill="auto"/>
          </w:tcPr>
          <w:p w:rsidR="00886FD2" w:rsidRPr="003C1066" w:rsidRDefault="00886FD2" w:rsidP="008A1F72">
            <w:pPr>
              <w:jc w:val="right"/>
              <w:rPr>
                <w:rFonts w:eastAsia="Times New Roman" w:cs="Times New Roman"/>
                <w:lang w:eastAsia="cs-CZ"/>
              </w:rPr>
            </w:pPr>
            <w:r w:rsidRPr="003C1066">
              <w:rPr>
                <w:rFonts w:eastAsia="Times New Roman" w:cs="Times New Roman"/>
                <w:lang w:eastAsia="cs-CZ"/>
              </w:rPr>
              <w:t>108,20</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z toho: výdaje na </w:t>
            </w:r>
            <w:proofErr w:type="spellStart"/>
            <w:r w:rsidRPr="00285CD5">
              <w:rPr>
                <w:rFonts w:eastAsia="Times New Roman" w:cs="Times New Roman"/>
                <w:i/>
                <w:lang w:eastAsia="cs-CZ"/>
              </w:rPr>
              <w:t>progr</w:t>
            </w:r>
            <w:proofErr w:type="spellEnd"/>
            <w:r w:rsidRPr="00285CD5">
              <w:rPr>
                <w:rFonts w:eastAsia="Times New Roman" w:cs="Times New Roman"/>
                <w:i/>
                <w:lang w:eastAsia="cs-CZ"/>
              </w:rPr>
              <w:t xml:space="preserve">. </w:t>
            </w:r>
            <w:proofErr w:type="spellStart"/>
            <w:r w:rsidRPr="00285CD5">
              <w:rPr>
                <w:rFonts w:eastAsia="Times New Roman" w:cs="Times New Roman"/>
                <w:i/>
                <w:lang w:eastAsia="cs-CZ"/>
              </w:rPr>
              <w:t>spolufin</w:t>
            </w:r>
            <w:proofErr w:type="spellEnd"/>
            <w:r w:rsidRPr="00285CD5">
              <w:rPr>
                <w:rFonts w:eastAsia="Times New Roman" w:cs="Times New Roman"/>
                <w:i/>
                <w:lang w:eastAsia="cs-CZ"/>
              </w:rPr>
              <w:t xml:space="preserve">. z. </w:t>
            </w:r>
            <w:proofErr w:type="spellStart"/>
            <w:r w:rsidRPr="00285CD5">
              <w:rPr>
                <w:rFonts w:eastAsia="Times New Roman" w:cs="Times New Roman"/>
                <w:i/>
                <w:lang w:eastAsia="cs-CZ"/>
              </w:rPr>
              <w:t>rozp</w:t>
            </w:r>
            <w:proofErr w:type="spellEnd"/>
            <w:r w:rsidRPr="00285CD5">
              <w:rPr>
                <w:rFonts w:eastAsia="Times New Roman" w:cs="Times New Roman"/>
                <w:i/>
                <w:lang w:eastAsia="cs-CZ"/>
              </w:rPr>
              <w:t xml:space="preserve">. EU                </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15</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 xml:space="preserve">             v tom: ze SR</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single" w:sz="4" w:space="0" w:color="7F7F7F" w:themeColor="text1" w:themeTint="80"/>
            </w:tcBorders>
            <w:shd w:val="clear" w:color="auto" w:fill="auto"/>
          </w:tcPr>
          <w:p w:rsidR="00886FD2" w:rsidRPr="00285CD5" w:rsidRDefault="00E65B37" w:rsidP="008A1F72">
            <w:pPr>
              <w:rPr>
                <w:rFonts w:eastAsia="Times New Roman" w:cs="Times New Roman"/>
                <w:i/>
                <w:lang w:eastAsia="cs-CZ"/>
              </w:rPr>
            </w:pPr>
            <w:r>
              <w:rPr>
                <w:rFonts w:eastAsia="Times New Roman" w:cs="Times New Roman"/>
                <w:i/>
                <w:lang w:eastAsia="cs-CZ"/>
              </w:rPr>
              <w:t xml:space="preserve">                        </w:t>
            </w:r>
            <w:r w:rsidR="00886FD2" w:rsidRPr="00285CD5">
              <w:rPr>
                <w:rFonts w:eastAsia="Times New Roman" w:cs="Times New Roman"/>
                <w:i/>
                <w:lang w:eastAsia="cs-CZ"/>
              </w:rPr>
              <w:t>z rozpočtu EU</w:t>
            </w:r>
          </w:p>
        </w:tc>
        <w:tc>
          <w:tcPr>
            <w:tcW w:w="1340" w:type="dxa"/>
            <w:tcBorders>
              <w:top w:val="nil"/>
              <w:bottom w:val="single" w:sz="4"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15</w:t>
            </w:r>
          </w:p>
        </w:tc>
        <w:tc>
          <w:tcPr>
            <w:tcW w:w="1276" w:type="dxa"/>
            <w:tcBorders>
              <w:top w:val="nil"/>
              <w:bottom w:val="single" w:sz="4"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single" w:sz="4"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single" w:sz="4"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single" w:sz="4" w:space="0" w:color="7F7F7F" w:themeColor="text1" w:themeTint="80"/>
              <w:bottom w:val="nil"/>
            </w:tcBorders>
            <w:shd w:val="clear" w:color="auto" w:fill="auto"/>
          </w:tcPr>
          <w:p w:rsidR="00886FD2" w:rsidRPr="00285CD5" w:rsidRDefault="00886FD2" w:rsidP="008A1F72">
            <w:pPr>
              <w:rPr>
                <w:rFonts w:eastAsia="Times New Roman" w:cs="Times New Roman"/>
                <w:lang w:eastAsia="cs-CZ"/>
              </w:rPr>
            </w:pPr>
            <w:r w:rsidRPr="00285CD5">
              <w:rPr>
                <w:rFonts w:eastAsia="Times New Roman" w:cs="Times New Roman"/>
                <w:lang w:eastAsia="cs-CZ"/>
              </w:rPr>
              <w:t xml:space="preserve">ostatní </w:t>
            </w:r>
            <w:proofErr w:type="spellStart"/>
            <w:r w:rsidRPr="00285CD5">
              <w:rPr>
                <w:rFonts w:eastAsia="Times New Roman" w:cs="Times New Roman"/>
                <w:lang w:eastAsia="cs-CZ"/>
              </w:rPr>
              <w:t>neinvest</w:t>
            </w:r>
            <w:proofErr w:type="spellEnd"/>
            <w:r w:rsidRPr="00285CD5">
              <w:rPr>
                <w:rFonts w:eastAsia="Times New Roman" w:cs="Times New Roman"/>
                <w:lang w:eastAsia="cs-CZ"/>
              </w:rPr>
              <w:t>. nákupy a související výdaje</w:t>
            </w:r>
          </w:p>
        </w:tc>
        <w:tc>
          <w:tcPr>
            <w:tcW w:w="1340" w:type="dxa"/>
            <w:tcBorders>
              <w:top w:val="single" w:sz="4" w:space="0" w:color="7F7F7F" w:themeColor="text1" w:themeTint="80"/>
              <w:bottom w:val="nil"/>
            </w:tcBorders>
            <w:shd w:val="clear" w:color="auto" w:fill="auto"/>
          </w:tcPr>
          <w:p w:rsidR="00886FD2" w:rsidRPr="00285CD5" w:rsidRDefault="00886FD2" w:rsidP="008A1F72">
            <w:pPr>
              <w:jc w:val="right"/>
              <w:rPr>
                <w:rFonts w:eastAsia="Times New Roman" w:cs="Times New Roman"/>
                <w:lang w:eastAsia="cs-CZ"/>
              </w:rPr>
            </w:pPr>
            <w:r w:rsidRPr="00285CD5">
              <w:rPr>
                <w:rFonts w:eastAsia="Times New Roman" w:cs="Times New Roman"/>
                <w:lang w:eastAsia="cs-CZ"/>
              </w:rPr>
              <w:t>31 546</w:t>
            </w:r>
          </w:p>
        </w:tc>
        <w:tc>
          <w:tcPr>
            <w:tcW w:w="1276" w:type="dxa"/>
            <w:tcBorders>
              <w:top w:val="single" w:sz="4" w:space="0" w:color="7F7F7F" w:themeColor="text1" w:themeTint="80"/>
              <w:bottom w:val="nil"/>
            </w:tcBorders>
            <w:shd w:val="clear" w:color="auto" w:fill="auto"/>
          </w:tcPr>
          <w:p w:rsidR="00886FD2" w:rsidRPr="00285CD5" w:rsidRDefault="00886FD2" w:rsidP="008A1F72">
            <w:pPr>
              <w:jc w:val="right"/>
              <w:rPr>
                <w:rFonts w:eastAsia="Times New Roman" w:cs="Times New Roman"/>
                <w:lang w:eastAsia="cs-CZ"/>
              </w:rPr>
            </w:pPr>
            <w:r w:rsidRPr="00285CD5">
              <w:rPr>
                <w:rFonts w:eastAsia="Times New Roman" w:cs="Times New Roman"/>
                <w:lang w:eastAsia="cs-CZ"/>
              </w:rPr>
              <w:t>13 843</w:t>
            </w:r>
          </w:p>
        </w:tc>
        <w:tc>
          <w:tcPr>
            <w:tcW w:w="1134" w:type="dxa"/>
            <w:tcBorders>
              <w:top w:val="single" w:sz="4" w:space="0" w:color="7F7F7F" w:themeColor="text1" w:themeTint="80"/>
              <w:bottom w:val="nil"/>
            </w:tcBorders>
            <w:shd w:val="clear" w:color="auto" w:fill="auto"/>
          </w:tcPr>
          <w:p w:rsidR="00886FD2" w:rsidRPr="003C1066" w:rsidRDefault="00886FD2" w:rsidP="008A1F72">
            <w:pPr>
              <w:jc w:val="right"/>
              <w:rPr>
                <w:rFonts w:eastAsia="Times New Roman" w:cs="Times New Roman"/>
                <w:lang w:eastAsia="cs-CZ"/>
              </w:rPr>
            </w:pPr>
            <w:r w:rsidRPr="003C1066">
              <w:rPr>
                <w:rFonts w:eastAsia="Times New Roman" w:cs="Times New Roman"/>
                <w:lang w:eastAsia="cs-CZ"/>
              </w:rPr>
              <w:t>13 843</w:t>
            </w:r>
          </w:p>
        </w:tc>
        <w:tc>
          <w:tcPr>
            <w:tcW w:w="992" w:type="dxa"/>
            <w:tcBorders>
              <w:top w:val="single" w:sz="4" w:space="0" w:color="7F7F7F" w:themeColor="text1" w:themeTint="80"/>
              <w:bottom w:val="nil"/>
            </w:tcBorders>
            <w:shd w:val="clear" w:color="auto" w:fill="auto"/>
          </w:tcPr>
          <w:p w:rsidR="00886FD2" w:rsidRPr="003C1066" w:rsidRDefault="00886FD2" w:rsidP="008A1F72">
            <w:pPr>
              <w:jc w:val="right"/>
              <w:rPr>
                <w:rFonts w:eastAsia="Times New Roman" w:cs="Times New Roman"/>
                <w:lang w:eastAsia="cs-CZ"/>
              </w:rPr>
            </w:pPr>
            <w:r w:rsidRPr="003C1066">
              <w:rPr>
                <w:rFonts w:eastAsia="Times New Roman" w:cs="Times New Roman"/>
                <w:lang w:eastAsia="cs-CZ"/>
              </w:rPr>
              <w:t>100,00</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z toho: programové financování (EDS/SMVS)</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lang w:eastAsia="cs-CZ"/>
              </w:rPr>
            </w:pPr>
            <w:r w:rsidRPr="003C1066">
              <w:rPr>
                <w:rFonts w:eastAsia="Times New Roman" w:cs="Times New Roman"/>
                <w:lang w:eastAsia="cs-CZ"/>
              </w:rPr>
              <w:t>x</w:t>
            </w:r>
          </w:p>
        </w:tc>
      </w:tr>
      <w:tr w:rsidR="00886FD2" w:rsidRPr="0001421C" w:rsidTr="00E65B37">
        <w:tc>
          <w:tcPr>
            <w:tcW w:w="4320" w:type="dxa"/>
            <w:tcBorders>
              <w:top w:val="nil"/>
              <w:bottom w:val="nil"/>
            </w:tcBorders>
            <w:shd w:val="clear" w:color="auto" w:fill="auto"/>
          </w:tcPr>
          <w:p w:rsidR="00886FD2" w:rsidRPr="00285CD5" w:rsidRDefault="00886FD2" w:rsidP="008A1F72">
            <w:pPr>
              <w:ind w:left="22"/>
              <w:rPr>
                <w:rFonts w:eastAsia="Times New Roman" w:cs="Times New Roman"/>
                <w:i/>
                <w:lang w:eastAsia="cs-CZ"/>
              </w:rPr>
            </w:pPr>
            <w:r w:rsidRPr="00285CD5">
              <w:rPr>
                <w:rFonts w:eastAsia="Times New Roman" w:cs="Times New Roman"/>
                <w:i/>
                <w:lang w:eastAsia="cs-CZ"/>
              </w:rPr>
              <w:t xml:space="preserve">           výdaje na </w:t>
            </w:r>
            <w:proofErr w:type="spellStart"/>
            <w:r w:rsidRPr="00285CD5">
              <w:rPr>
                <w:rFonts w:eastAsia="Times New Roman" w:cs="Times New Roman"/>
                <w:i/>
                <w:lang w:eastAsia="cs-CZ"/>
              </w:rPr>
              <w:t>progr</w:t>
            </w:r>
            <w:proofErr w:type="spellEnd"/>
            <w:r w:rsidRPr="00285CD5">
              <w:rPr>
                <w:rFonts w:eastAsia="Times New Roman" w:cs="Times New Roman"/>
                <w:i/>
                <w:lang w:eastAsia="cs-CZ"/>
              </w:rPr>
              <w:t xml:space="preserve">. </w:t>
            </w:r>
            <w:proofErr w:type="spellStart"/>
            <w:r w:rsidRPr="00285CD5">
              <w:rPr>
                <w:rFonts w:eastAsia="Times New Roman" w:cs="Times New Roman"/>
                <w:i/>
                <w:lang w:eastAsia="cs-CZ"/>
              </w:rPr>
              <w:t>spolufin</w:t>
            </w:r>
            <w:proofErr w:type="spellEnd"/>
            <w:r w:rsidRPr="00285CD5">
              <w:rPr>
                <w:rFonts w:eastAsia="Times New Roman" w:cs="Times New Roman"/>
                <w:i/>
                <w:lang w:eastAsia="cs-CZ"/>
              </w:rPr>
              <w:t xml:space="preserve">. z. </w:t>
            </w:r>
            <w:proofErr w:type="spellStart"/>
            <w:r w:rsidRPr="00285CD5">
              <w:rPr>
                <w:rFonts w:eastAsia="Times New Roman" w:cs="Times New Roman"/>
                <w:i/>
                <w:lang w:eastAsia="cs-CZ"/>
              </w:rPr>
              <w:t>rozp</w:t>
            </w:r>
            <w:proofErr w:type="spellEnd"/>
            <w:r w:rsidRPr="00285CD5">
              <w:rPr>
                <w:rFonts w:eastAsia="Times New Roman" w:cs="Times New Roman"/>
                <w:i/>
                <w:lang w:eastAsia="cs-CZ"/>
              </w:rPr>
              <w:t xml:space="preserve">. EU                </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nil"/>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 xml:space="preserve">            v  tom: ze SR</w:t>
            </w:r>
          </w:p>
        </w:tc>
        <w:tc>
          <w:tcPr>
            <w:tcW w:w="1340"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276" w:type="dxa"/>
            <w:tcBorders>
              <w:top w:val="nil"/>
              <w:bottom w:val="nil"/>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nil"/>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r w:rsidR="00886FD2" w:rsidRPr="0001421C" w:rsidTr="00E65B37">
        <w:tc>
          <w:tcPr>
            <w:tcW w:w="4320" w:type="dxa"/>
            <w:tcBorders>
              <w:top w:val="nil"/>
              <w:bottom w:val="single" w:sz="8" w:space="0" w:color="7F7F7F" w:themeColor="text1" w:themeTint="80"/>
            </w:tcBorders>
            <w:shd w:val="clear" w:color="auto" w:fill="auto"/>
          </w:tcPr>
          <w:p w:rsidR="00886FD2" w:rsidRPr="00285CD5" w:rsidRDefault="00886FD2" w:rsidP="008A1F72">
            <w:pPr>
              <w:rPr>
                <w:rFonts w:eastAsia="Times New Roman" w:cs="Times New Roman"/>
                <w:i/>
                <w:lang w:eastAsia="cs-CZ"/>
              </w:rPr>
            </w:pPr>
            <w:r w:rsidRPr="00285CD5">
              <w:rPr>
                <w:rFonts w:eastAsia="Times New Roman" w:cs="Times New Roman"/>
                <w:i/>
                <w:lang w:eastAsia="cs-CZ"/>
              </w:rPr>
              <w:t xml:space="preserve">                        z rozpočtu EU</w:t>
            </w:r>
          </w:p>
        </w:tc>
        <w:tc>
          <w:tcPr>
            <w:tcW w:w="1340" w:type="dxa"/>
            <w:tcBorders>
              <w:top w:val="nil"/>
              <w:bottom w:val="single" w:sz="8"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276" w:type="dxa"/>
            <w:tcBorders>
              <w:top w:val="nil"/>
              <w:bottom w:val="single" w:sz="8" w:space="0" w:color="7F7F7F" w:themeColor="text1" w:themeTint="80"/>
            </w:tcBorders>
            <w:shd w:val="clear" w:color="auto" w:fill="auto"/>
          </w:tcPr>
          <w:p w:rsidR="00886FD2" w:rsidRPr="00285CD5" w:rsidRDefault="00886FD2" w:rsidP="008A1F72">
            <w:pPr>
              <w:jc w:val="right"/>
              <w:rPr>
                <w:rFonts w:eastAsia="Times New Roman" w:cs="Times New Roman"/>
                <w:i/>
                <w:lang w:eastAsia="cs-CZ"/>
              </w:rPr>
            </w:pPr>
            <w:r w:rsidRPr="00285CD5">
              <w:rPr>
                <w:rFonts w:eastAsia="Times New Roman" w:cs="Times New Roman"/>
                <w:i/>
                <w:lang w:eastAsia="cs-CZ"/>
              </w:rPr>
              <w:t>0</w:t>
            </w:r>
          </w:p>
        </w:tc>
        <w:tc>
          <w:tcPr>
            <w:tcW w:w="1134" w:type="dxa"/>
            <w:tcBorders>
              <w:top w:val="nil"/>
              <w:bottom w:val="single" w:sz="8"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0</w:t>
            </w:r>
          </w:p>
        </w:tc>
        <w:tc>
          <w:tcPr>
            <w:tcW w:w="992" w:type="dxa"/>
            <w:tcBorders>
              <w:top w:val="nil"/>
              <w:bottom w:val="single" w:sz="8" w:space="0" w:color="7F7F7F" w:themeColor="text1" w:themeTint="80"/>
            </w:tcBorders>
            <w:shd w:val="clear" w:color="auto" w:fill="auto"/>
          </w:tcPr>
          <w:p w:rsidR="00886FD2" w:rsidRPr="003C1066" w:rsidRDefault="00886FD2" w:rsidP="008A1F72">
            <w:pPr>
              <w:jc w:val="right"/>
              <w:rPr>
                <w:rFonts w:eastAsia="Times New Roman" w:cs="Times New Roman"/>
                <w:i/>
                <w:lang w:eastAsia="cs-CZ"/>
              </w:rPr>
            </w:pPr>
            <w:r w:rsidRPr="003C1066">
              <w:rPr>
                <w:rFonts w:eastAsia="Times New Roman" w:cs="Times New Roman"/>
                <w:i/>
                <w:lang w:eastAsia="cs-CZ"/>
              </w:rPr>
              <w:t>x</w:t>
            </w:r>
          </w:p>
        </w:tc>
      </w:tr>
    </w:tbl>
    <w:p w:rsidR="00886FD2" w:rsidRPr="003C1066" w:rsidRDefault="00886FD2" w:rsidP="001D1C48">
      <w:pPr>
        <w:pStyle w:val="Styl1"/>
      </w:pPr>
      <w:r w:rsidRPr="003C1066">
        <w:t xml:space="preserve">Navrhovaný objem běžných výdajů pro rok 2019 je oproti roku 2018 o 656 tis. Kč vyšší. </w:t>
      </w:r>
    </w:p>
    <w:p w:rsidR="00886FD2" w:rsidRDefault="00886FD2" w:rsidP="001D1C48">
      <w:pPr>
        <w:pStyle w:val="Styl1"/>
      </w:pPr>
      <w:r w:rsidRPr="001D1B78">
        <w:t xml:space="preserve">Výdaje na platy včetně příslušenství se </w:t>
      </w:r>
      <w:r>
        <w:t>zvýšili</w:t>
      </w:r>
      <w:r w:rsidRPr="001D1B78">
        <w:t xml:space="preserve"> oproti roku 2018 o </w:t>
      </w:r>
      <w:r>
        <w:t xml:space="preserve">656 </w:t>
      </w:r>
      <w:r w:rsidRPr="001D1B78">
        <w:t>tis. Kč</w:t>
      </w:r>
      <w:r>
        <w:t>.</w:t>
      </w:r>
      <w:r w:rsidRPr="001D1B78">
        <w:t xml:space="preserve"> </w:t>
      </w:r>
      <w:r>
        <w:t>V</w:t>
      </w:r>
      <w:r w:rsidRPr="001D1B78">
        <w:t xml:space="preserve"> tom je obsaženo navýšení prostředků na platy vč. příslušenství o </w:t>
      </w:r>
      <w:r>
        <w:t xml:space="preserve">501 tis. Kč, tj. navýšení o </w:t>
      </w:r>
      <w:r w:rsidRPr="001D1B78">
        <w:t>6 %</w:t>
      </w:r>
      <w:r>
        <w:t xml:space="preserve"> </w:t>
      </w:r>
      <w:r w:rsidR="00EB42A1">
        <w:br/>
      </w:r>
      <w:r w:rsidRPr="001D1B78">
        <w:t>na základě</w:t>
      </w:r>
      <w:r>
        <w:t xml:space="preserve"> UV</w:t>
      </w:r>
      <w:r w:rsidRPr="001D1B78">
        <w:t xml:space="preserve"> č. 379/</w:t>
      </w:r>
      <w:r w:rsidRPr="004F4759">
        <w:t xml:space="preserve">2018 </w:t>
      </w:r>
      <w:r w:rsidRPr="00C70CFB">
        <w:t xml:space="preserve">Kč a navýšení prostředků na platy vč. </w:t>
      </w:r>
      <w:r w:rsidR="00EB42A1" w:rsidRPr="00C70CFB">
        <w:t>příslušenství</w:t>
      </w:r>
      <w:r w:rsidR="00EB42A1">
        <w:t xml:space="preserve"> o 155</w:t>
      </w:r>
      <w:r w:rsidRPr="00C70CFB">
        <w:t xml:space="preserve"> tis. Kč na základě UV č. 588/2018  (podrobněji viz oddíl 3.2.2 Mzdové výdaje a</w:t>
      </w:r>
      <w:r>
        <w:t xml:space="preserve"> počty pracovníků OSS a PO).</w:t>
      </w:r>
    </w:p>
    <w:p w:rsidR="00886FD2" w:rsidRPr="001D1C48" w:rsidRDefault="00886FD2" w:rsidP="001D1C48">
      <w:pPr>
        <w:pStyle w:val="Styl1"/>
      </w:pPr>
      <w:r w:rsidRPr="001D1C48">
        <w:lastRenderedPageBreak/>
        <w:t xml:space="preserve">Počet zaměstnanců pro rok 2019 je navržen ve stejné výši jako ve schváleném rozpočtu na rok 2018, tj. 19 zaměstnanců, v tom 19 zaměstnanců v pracovním poměru. </w:t>
      </w:r>
    </w:p>
    <w:p w:rsidR="00886FD2" w:rsidRPr="001D1C48" w:rsidRDefault="00886FD2" w:rsidP="001D1C48">
      <w:pPr>
        <w:pStyle w:val="Styl1"/>
      </w:pPr>
      <w:r w:rsidRPr="001D1C48">
        <w:t xml:space="preserve">Objem ostatních neinvestičních nákupů je navrhován ve stejné výši jako v roce 2018, </w:t>
      </w:r>
      <w:r w:rsidRPr="001D1C48">
        <w:br/>
        <w:t xml:space="preserve">tj. 13 843 tis. Kč. V rámci ostatních běžných výdajů největší podíl činí výdaje na nájemné (pronajaté pozemky v přístavu Hamburk v SRN), na nákup ostatních služeb, zejména služeb pro zajištění provozu říčních přístavů. Další významné výdaje jsou výdaje na právní </w:t>
      </w:r>
      <w:r w:rsidR="00EB42A1">
        <w:br/>
      </w:r>
      <w:r w:rsidRPr="001D1C48">
        <w:t xml:space="preserve">a poradenské služby, které souvisejí s řešením právních sporů vznikajících při přípravě </w:t>
      </w:r>
      <w:r w:rsidR="00E65B37">
        <w:br/>
      </w:r>
      <w:r w:rsidRPr="001D1C48">
        <w:t xml:space="preserve">a realizaci staveb nutných pro provoz na vodních cestách, výdaje na cestovné a na pohonné hmoty související s realizací staveb na vodních cestách. </w:t>
      </w:r>
    </w:p>
    <w:p w:rsidR="0057450B" w:rsidRPr="00BB5816" w:rsidRDefault="0057450B" w:rsidP="0057450B">
      <w:pPr>
        <w:spacing w:before="240" w:after="80" w:line="240" w:lineRule="auto"/>
        <w:ind w:left="539"/>
        <w:rPr>
          <w:rFonts w:eastAsia="Times New Roman" w:cs="Times New Roman"/>
          <w:b/>
          <w:szCs w:val="24"/>
          <w:u w:val="single"/>
          <w:lang w:eastAsia="cs-CZ"/>
        </w:rPr>
      </w:pPr>
      <w:r w:rsidRPr="00BB5816">
        <w:rPr>
          <w:rFonts w:eastAsia="Times New Roman" w:cs="Times New Roman"/>
          <w:b/>
          <w:szCs w:val="24"/>
          <w:u w:val="single"/>
          <w:lang w:eastAsia="cs-CZ"/>
        </w:rPr>
        <w:t>Ústav pro odborné zjišťování příčin leteckých nehod</w:t>
      </w:r>
    </w:p>
    <w:p w:rsidR="00BB5816" w:rsidRPr="002C21E2" w:rsidRDefault="00BB5816" w:rsidP="001D1C48">
      <w:pPr>
        <w:pStyle w:val="Styl1"/>
      </w:pPr>
      <w:r w:rsidRPr="002C21E2">
        <w:t>Organizační složka státu vznikla k 1. 1. 2003 na základě novely zákona č. 49/1997 Sb., o civilním letectví. Hlavní činností je shromažďování a analýza informací o leteckých nehodách včetně určování příčin leteckých nehod a vypracování závěrů a bezpečnostních doporučení k jejich předcházení.</w:t>
      </w:r>
    </w:p>
    <w:p w:rsidR="0057450B" w:rsidRPr="00BB5816" w:rsidRDefault="0057450B" w:rsidP="0057450B">
      <w:pPr>
        <w:pStyle w:val="Titulek"/>
        <w:keepNext/>
      </w:pPr>
      <w:r w:rsidRPr="00BB5816">
        <w:t xml:space="preserve">Tabulka č. </w:t>
      </w:r>
      <w:r w:rsidR="0001421C" w:rsidRPr="00BB5816">
        <w:rPr>
          <w:noProof/>
        </w:rPr>
        <w:fldChar w:fldCharType="begin"/>
      </w:r>
      <w:r w:rsidR="0001421C" w:rsidRPr="00BB5816">
        <w:rPr>
          <w:noProof/>
        </w:rPr>
        <w:instrText xml:space="preserve"> SEQ Tabulka \* ARABIC </w:instrText>
      </w:r>
      <w:r w:rsidR="0001421C" w:rsidRPr="00BB5816">
        <w:rPr>
          <w:noProof/>
        </w:rPr>
        <w:fldChar w:fldCharType="separate"/>
      </w:r>
      <w:r w:rsidR="00AF5225">
        <w:rPr>
          <w:noProof/>
        </w:rPr>
        <w:t>13</w:t>
      </w:r>
      <w:r w:rsidR="0001421C" w:rsidRPr="00BB5816">
        <w:rPr>
          <w:noProof/>
        </w:rPr>
        <w:fldChar w:fldCharType="end"/>
      </w:r>
      <w:r w:rsidRPr="00BB5816">
        <w:rPr>
          <w:noProof/>
        </w:rPr>
        <w:t xml:space="preserve"> Ústav pro odborné zjišťování příčin leteckých nehod –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BB5816" w:rsidRPr="0001421C" w:rsidTr="00E65B37">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Skutečnost</w:t>
            </w:r>
          </w:p>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2017</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Schválený</w:t>
            </w:r>
          </w:p>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rozpočet</w:t>
            </w:r>
          </w:p>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2018</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Návrh</w:t>
            </w:r>
          </w:p>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rozpočtu</w:t>
            </w:r>
          </w:p>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2019</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Index</w:t>
            </w:r>
          </w:p>
          <w:p w:rsidR="00BB5816" w:rsidRPr="002C21E2" w:rsidRDefault="00BB5816" w:rsidP="00E65B37">
            <w:pPr>
              <w:jc w:val="center"/>
              <w:rPr>
                <w:rFonts w:eastAsia="Times New Roman" w:cs="Times New Roman"/>
                <w:b/>
                <w:szCs w:val="24"/>
                <w:lang w:eastAsia="cs-CZ"/>
              </w:rPr>
            </w:pPr>
            <w:r w:rsidRPr="002C21E2">
              <w:rPr>
                <w:rFonts w:eastAsia="Times New Roman" w:cs="Times New Roman"/>
                <w:b/>
                <w:szCs w:val="24"/>
                <w:lang w:eastAsia="cs-CZ"/>
              </w:rPr>
              <w:t>2019/</w:t>
            </w:r>
            <w:r w:rsidR="00E65B37">
              <w:rPr>
                <w:rFonts w:eastAsia="Times New Roman" w:cs="Times New Roman"/>
                <w:b/>
                <w:szCs w:val="24"/>
                <w:lang w:eastAsia="cs-CZ"/>
              </w:rPr>
              <w:br/>
            </w:r>
            <w:r w:rsidRPr="002C21E2">
              <w:rPr>
                <w:rFonts w:eastAsia="Times New Roman" w:cs="Times New Roman"/>
                <w:b/>
                <w:szCs w:val="24"/>
                <w:lang w:eastAsia="cs-CZ"/>
              </w:rPr>
              <w:t xml:space="preserve">2018 </w:t>
            </w:r>
            <w:r w:rsidR="00E65B37">
              <w:rPr>
                <w:rFonts w:eastAsia="Times New Roman" w:cs="Times New Roman"/>
                <w:b/>
                <w:szCs w:val="24"/>
                <w:lang w:eastAsia="cs-CZ"/>
              </w:rPr>
              <w:br/>
            </w:r>
            <w:r w:rsidRPr="002C21E2">
              <w:rPr>
                <w:rFonts w:eastAsia="Times New Roman" w:cs="Times New Roman"/>
                <w:b/>
                <w:szCs w:val="24"/>
                <w:lang w:eastAsia="cs-CZ"/>
              </w:rPr>
              <w:t>(v %)</w:t>
            </w:r>
          </w:p>
        </w:tc>
      </w:tr>
      <w:tr w:rsidR="00BB5816" w:rsidRPr="0001421C" w:rsidTr="00E65B37">
        <w:tc>
          <w:tcPr>
            <w:tcW w:w="4320" w:type="dxa"/>
            <w:tcBorders>
              <w:top w:val="single" w:sz="4" w:space="0" w:color="7F7F7F" w:themeColor="text1" w:themeTint="80"/>
              <w:bottom w:val="single" w:sz="8" w:space="0" w:color="7F7F7F" w:themeColor="text1" w:themeTint="80"/>
            </w:tcBorders>
            <w:shd w:val="clear" w:color="auto" w:fill="auto"/>
          </w:tcPr>
          <w:p w:rsidR="00BB5816" w:rsidRPr="002C21E2" w:rsidRDefault="00BB5816" w:rsidP="000A05A0">
            <w:pPr>
              <w:jc w:val="center"/>
              <w:rPr>
                <w:rFonts w:eastAsia="Times New Roman" w:cs="Times New Roman"/>
                <w:szCs w:val="24"/>
                <w:lang w:eastAsia="cs-CZ"/>
              </w:rPr>
            </w:pPr>
            <w:r w:rsidRPr="002C21E2">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BB5816" w:rsidRPr="002C21E2" w:rsidRDefault="00BB5816" w:rsidP="000A05A0">
            <w:pPr>
              <w:jc w:val="center"/>
              <w:rPr>
                <w:rFonts w:eastAsia="Times New Roman" w:cs="Times New Roman"/>
                <w:szCs w:val="24"/>
                <w:lang w:eastAsia="cs-CZ"/>
              </w:rPr>
            </w:pPr>
            <w:r w:rsidRPr="002C21E2">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rsidR="00BB5816" w:rsidRPr="002C21E2" w:rsidRDefault="00BB5816" w:rsidP="000A05A0">
            <w:pPr>
              <w:jc w:val="center"/>
              <w:rPr>
                <w:rFonts w:eastAsia="Times New Roman" w:cs="Times New Roman"/>
                <w:szCs w:val="24"/>
                <w:lang w:eastAsia="cs-CZ"/>
              </w:rPr>
            </w:pPr>
            <w:r w:rsidRPr="002C21E2">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BB5816" w:rsidRPr="002C21E2" w:rsidRDefault="00BB5816" w:rsidP="000A05A0">
            <w:pPr>
              <w:jc w:val="center"/>
              <w:rPr>
                <w:rFonts w:eastAsia="Times New Roman" w:cs="Times New Roman"/>
                <w:szCs w:val="24"/>
                <w:lang w:eastAsia="cs-CZ"/>
              </w:rPr>
            </w:pPr>
            <w:r w:rsidRPr="002C21E2">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rsidR="00BB5816" w:rsidRPr="002C21E2" w:rsidRDefault="00BB5816" w:rsidP="000A05A0">
            <w:pPr>
              <w:jc w:val="center"/>
              <w:rPr>
                <w:rFonts w:eastAsia="Times New Roman" w:cs="Times New Roman"/>
                <w:szCs w:val="24"/>
                <w:lang w:eastAsia="cs-CZ"/>
              </w:rPr>
            </w:pPr>
            <w:r w:rsidRPr="002C21E2">
              <w:rPr>
                <w:rFonts w:eastAsia="Times New Roman" w:cs="Times New Roman"/>
                <w:szCs w:val="24"/>
                <w:lang w:eastAsia="cs-CZ"/>
              </w:rPr>
              <w:t>4</w:t>
            </w:r>
          </w:p>
        </w:tc>
      </w:tr>
      <w:tr w:rsidR="00BB5816" w:rsidRPr="0001421C" w:rsidTr="00E65B37">
        <w:trPr>
          <w:trHeight w:val="475"/>
        </w:trPr>
        <w:tc>
          <w:tcPr>
            <w:tcW w:w="4320" w:type="dxa"/>
            <w:tcBorders>
              <w:top w:val="single" w:sz="8" w:space="0" w:color="7F7F7F" w:themeColor="text1" w:themeTint="80"/>
              <w:bottom w:val="single" w:sz="8" w:space="0" w:color="7F7F7F" w:themeColor="text1" w:themeTint="80"/>
            </w:tcBorders>
            <w:shd w:val="clear" w:color="auto" w:fill="auto"/>
          </w:tcPr>
          <w:p w:rsidR="00BB5816" w:rsidRPr="002C21E2" w:rsidRDefault="00BB5816" w:rsidP="000A05A0">
            <w:pPr>
              <w:spacing w:before="120"/>
              <w:rPr>
                <w:rFonts w:eastAsia="Times New Roman" w:cs="Times New Roman"/>
                <w:lang w:eastAsia="cs-CZ"/>
              </w:rPr>
            </w:pPr>
            <w:r w:rsidRPr="002C21E2">
              <w:rPr>
                <w:rFonts w:eastAsia="Times New Roman" w:cs="Times New Roman"/>
                <w:b/>
                <w:iCs/>
                <w:lang w:eastAsia="cs-CZ"/>
              </w:rPr>
              <w:t xml:space="preserve">Běžné výdaje </w:t>
            </w:r>
            <w:r w:rsidRPr="002C21E2">
              <w:rPr>
                <w:rFonts w:eastAsia="Times New Roman" w:cs="Times New Roman"/>
                <w:iCs/>
                <w:lang w:eastAsia="cs-CZ"/>
              </w:rPr>
              <w:t>v tom:</w:t>
            </w:r>
          </w:p>
        </w:tc>
        <w:tc>
          <w:tcPr>
            <w:tcW w:w="1340" w:type="dxa"/>
            <w:tcBorders>
              <w:top w:val="single" w:sz="8" w:space="0" w:color="7F7F7F" w:themeColor="text1" w:themeTint="80"/>
              <w:bottom w:val="single" w:sz="8" w:space="0" w:color="7F7F7F" w:themeColor="text1" w:themeTint="80"/>
            </w:tcBorders>
            <w:shd w:val="clear" w:color="auto" w:fill="auto"/>
            <w:vAlign w:val="center"/>
          </w:tcPr>
          <w:p w:rsidR="00BB5816" w:rsidRPr="00CF7CD1" w:rsidRDefault="00BB5816" w:rsidP="000A05A0">
            <w:pPr>
              <w:jc w:val="right"/>
              <w:rPr>
                <w:rFonts w:eastAsia="Times New Roman" w:cs="Times New Roman"/>
                <w:b/>
                <w:bCs/>
                <w:lang w:eastAsia="cs-CZ"/>
              </w:rPr>
            </w:pPr>
            <w:r w:rsidRPr="00CF7CD1">
              <w:rPr>
                <w:rFonts w:eastAsia="Times New Roman" w:cs="Times New Roman"/>
                <w:b/>
                <w:bCs/>
                <w:lang w:eastAsia="cs-CZ"/>
              </w:rPr>
              <w:t>16 422</w:t>
            </w:r>
          </w:p>
        </w:tc>
        <w:tc>
          <w:tcPr>
            <w:tcW w:w="1418" w:type="dxa"/>
            <w:tcBorders>
              <w:top w:val="single" w:sz="8" w:space="0" w:color="7F7F7F" w:themeColor="text1" w:themeTint="80"/>
              <w:bottom w:val="single" w:sz="8" w:space="0" w:color="7F7F7F" w:themeColor="text1" w:themeTint="80"/>
            </w:tcBorders>
            <w:shd w:val="clear" w:color="auto" w:fill="auto"/>
            <w:vAlign w:val="center"/>
          </w:tcPr>
          <w:p w:rsidR="00BB5816" w:rsidRPr="00CF7CD1" w:rsidRDefault="00BB5816" w:rsidP="000A05A0">
            <w:pPr>
              <w:jc w:val="right"/>
              <w:rPr>
                <w:rFonts w:eastAsia="Times New Roman" w:cs="Times New Roman"/>
                <w:b/>
                <w:bCs/>
                <w:lang w:eastAsia="cs-CZ"/>
              </w:rPr>
            </w:pPr>
            <w:r w:rsidRPr="00CF7CD1">
              <w:rPr>
                <w:rFonts w:eastAsia="Times New Roman" w:cs="Times New Roman"/>
                <w:b/>
                <w:bCs/>
                <w:lang w:eastAsia="cs-CZ"/>
              </w:rPr>
              <w:t>17 549</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BB5816" w:rsidRPr="002C21E2" w:rsidRDefault="00BB5816" w:rsidP="000A05A0">
            <w:pPr>
              <w:jc w:val="right"/>
              <w:rPr>
                <w:rFonts w:eastAsia="Times New Roman" w:cs="Times New Roman"/>
                <w:b/>
                <w:bCs/>
                <w:color w:val="FF0000"/>
                <w:lang w:eastAsia="cs-CZ"/>
              </w:rPr>
            </w:pPr>
            <w:r>
              <w:rPr>
                <w:rFonts w:eastAsia="Times New Roman" w:cs="Times New Roman"/>
                <w:b/>
                <w:bCs/>
                <w:lang w:eastAsia="cs-CZ"/>
              </w:rPr>
              <w:t>17 903</w:t>
            </w:r>
          </w:p>
        </w:tc>
        <w:tc>
          <w:tcPr>
            <w:tcW w:w="927" w:type="dxa"/>
            <w:tcBorders>
              <w:top w:val="single" w:sz="8" w:space="0" w:color="7F7F7F" w:themeColor="text1" w:themeTint="80"/>
              <w:bottom w:val="single" w:sz="8" w:space="0" w:color="7F7F7F" w:themeColor="text1" w:themeTint="80"/>
            </w:tcBorders>
            <w:shd w:val="clear" w:color="auto" w:fill="auto"/>
            <w:vAlign w:val="center"/>
          </w:tcPr>
          <w:p w:rsidR="00BB5816" w:rsidRPr="00DF3D94" w:rsidRDefault="00BB5816" w:rsidP="000A05A0">
            <w:pPr>
              <w:jc w:val="right"/>
              <w:rPr>
                <w:rFonts w:eastAsia="Times New Roman" w:cs="Times New Roman"/>
                <w:b/>
                <w:bCs/>
                <w:lang w:eastAsia="cs-CZ"/>
              </w:rPr>
            </w:pPr>
            <w:r w:rsidRPr="00DF3D94">
              <w:rPr>
                <w:rFonts w:eastAsia="Times New Roman" w:cs="Times New Roman"/>
                <w:b/>
                <w:bCs/>
                <w:lang w:eastAsia="cs-CZ"/>
              </w:rPr>
              <w:t>102,02</w:t>
            </w:r>
          </w:p>
        </w:tc>
      </w:tr>
      <w:tr w:rsidR="00BB5816" w:rsidRPr="0001421C" w:rsidTr="00E65B37">
        <w:tc>
          <w:tcPr>
            <w:tcW w:w="4320" w:type="dxa"/>
            <w:tcBorders>
              <w:top w:val="single" w:sz="8" w:space="0" w:color="7F7F7F" w:themeColor="text1" w:themeTint="80"/>
            </w:tcBorders>
            <w:shd w:val="clear" w:color="auto" w:fill="auto"/>
          </w:tcPr>
          <w:p w:rsidR="00BB5816" w:rsidRPr="002C21E2" w:rsidRDefault="00BB5816" w:rsidP="000A05A0">
            <w:pPr>
              <w:rPr>
                <w:rFonts w:eastAsia="Times New Roman" w:cs="Times New Roman"/>
                <w:lang w:eastAsia="cs-CZ"/>
              </w:rPr>
            </w:pPr>
            <w:r w:rsidRPr="002C21E2">
              <w:rPr>
                <w:rFonts w:eastAsia="Times New Roman" w:cs="Times New Roman"/>
                <w:lang w:eastAsia="cs-CZ"/>
              </w:rPr>
              <w:t>platy zaměstnanců a ostatní platby</w:t>
            </w:r>
          </w:p>
          <w:p w:rsidR="00BB5816" w:rsidRPr="002C21E2" w:rsidRDefault="00BB5816" w:rsidP="000A05A0">
            <w:pPr>
              <w:rPr>
                <w:rFonts w:eastAsia="Times New Roman" w:cs="Times New Roman"/>
                <w:lang w:eastAsia="cs-CZ"/>
              </w:rPr>
            </w:pPr>
            <w:r w:rsidRPr="002C21E2">
              <w:rPr>
                <w:rFonts w:eastAsia="Times New Roman" w:cs="Times New Roman"/>
                <w:lang w:eastAsia="cs-CZ"/>
              </w:rPr>
              <w:t>za provedenou práci</w:t>
            </w:r>
          </w:p>
        </w:tc>
        <w:tc>
          <w:tcPr>
            <w:tcW w:w="1340" w:type="dxa"/>
            <w:tcBorders>
              <w:top w:val="single" w:sz="8" w:space="0" w:color="7F7F7F" w:themeColor="text1" w:themeTint="80"/>
            </w:tcBorders>
            <w:shd w:val="clear" w:color="auto" w:fill="auto"/>
            <w:vAlign w:val="center"/>
          </w:tcPr>
          <w:p w:rsidR="00BB5816" w:rsidRPr="00CF7CD1" w:rsidRDefault="00BB5816" w:rsidP="000A05A0">
            <w:pPr>
              <w:jc w:val="right"/>
              <w:rPr>
                <w:rFonts w:eastAsia="Times New Roman" w:cs="Times New Roman"/>
                <w:lang w:eastAsia="cs-CZ"/>
              </w:rPr>
            </w:pPr>
            <w:r w:rsidRPr="00CF7CD1">
              <w:rPr>
                <w:rFonts w:eastAsia="Times New Roman" w:cs="Times New Roman"/>
                <w:lang w:eastAsia="cs-CZ"/>
              </w:rPr>
              <w:t>7 262</w:t>
            </w:r>
          </w:p>
        </w:tc>
        <w:tc>
          <w:tcPr>
            <w:tcW w:w="1418" w:type="dxa"/>
            <w:tcBorders>
              <w:top w:val="single" w:sz="8" w:space="0" w:color="7F7F7F" w:themeColor="text1" w:themeTint="80"/>
            </w:tcBorders>
            <w:shd w:val="clear" w:color="auto" w:fill="auto"/>
            <w:vAlign w:val="center"/>
          </w:tcPr>
          <w:p w:rsidR="00BB5816" w:rsidRPr="00CF7CD1" w:rsidRDefault="00BB5816" w:rsidP="000A05A0">
            <w:pPr>
              <w:jc w:val="right"/>
              <w:rPr>
                <w:rFonts w:eastAsia="Times New Roman" w:cs="Times New Roman"/>
                <w:lang w:eastAsia="cs-CZ"/>
              </w:rPr>
            </w:pPr>
            <w:r w:rsidRPr="00CF7CD1">
              <w:rPr>
                <w:rFonts w:eastAsia="Times New Roman" w:cs="Times New Roman"/>
                <w:lang w:eastAsia="cs-CZ"/>
              </w:rPr>
              <w:t>8 181</w:t>
            </w:r>
          </w:p>
        </w:tc>
        <w:tc>
          <w:tcPr>
            <w:tcW w:w="1134" w:type="dxa"/>
            <w:tcBorders>
              <w:top w:val="single" w:sz="8" w:space="0" w:color="7F7F7F" w:themeColor="text1" w:themeTint="80"/>
            </w:tcBorders>
            <w:shd w:val="clear" w:color="auto" w:fill="auto"/>
            <w:vAlign w:val="center"/>
          </w:tcPr>
          <w:p w:rsidR="00BB5816" w:rsidRPr="00591BBC" w:rsidRDefault="00BB5816" w:rsidP="000A05A0">
            <w:pPr>
              <w:jc w:val="right"/>
              <w:rPr>
                <w:rFonts w:eastAsia="Times New Roman" w:cs="Times New Roman"/>
                <w:lang w:eastAsia="cs-CZ"/>
              </w:rPr>
            </w:pPr>
            <w:r>
              <w:rPr>
                <w:rFonts w:eastAsia="Times New Roman" w:cs="Times New Roman"/>
                <w:lang w:eastAsia="cs-CZ"/>
              </w:rPr>
              <w:t>8 441</w:t>
            </w:r>
          </w:p>
        </w:tc>
        <w:tc>
          <w:tcPr>
            <w:tcW w:w="927" w:type="dxa"/>
            <w:tcBorders>
              <w:top w:val="single" w:sz="8" w:space="0" w:color="7F7F7F" w:themeColor="text1" w:themeTint="80"/>
            </w:tcBorders>
            <w:shd w:val="clear" w:color="auto" w:fill="auto"/>
            <w:vAlign w:val="center"/>
          </w:tcPr>
          <w:p w:rsidR="00BB5816" w:rsidRPr="00DF3D94" w:rsidRDefault="00BB5816" w:rsidP="000A05A0">
            <w:pPr>
              <w:jc w:val="right"/>
              <w:rPr>
                <w:rFonts w:eastAsia="Times New Roman" w:cs="Times New Roman"/>
                <w:lang w:eastAsia="cs-CZ"/>
              </w:rPr>
            </w:pPr>
            <w:r w:rsidRPr="00DF3D94">
              <w:rPr>
                <w:rFonts w:eastAsia="Times New Roman" w:cs="Times New Roman"/>
                <w:lang w:eastAsia="cs-CZ"/>
              </w:rPr>
              <w:t>103,18</w:t>
            </w:r>
          </w:p>
        </w:tc>
      </w:tr>
      <w:tr w:rsidR="00BB5816" w:rsidRPr="0001421C" w:rsidTr="00E65B37">
        <w:tc>
          <w:tcPr>
            <w:tcW w:w="4320" w:type="dxa"/>
            <w:shd w:val="clear" w:color="auto" w:fill="auto"/>
          </w:tcPr>
          <w:p w:rsidR="00BB5816" w:rsidRPr="002C21E2" w:rsidRDefault="00BB5816" w:rsidP="000A05A0">
            <w:pPr>
              <w:rPr>
                <w:rFonts w:eastAsia="Times New Roman" w:cs="Times New Roman"/>
                <w:lang w:eastAsia="cs-CZ"/>
              </w:rPr>
            </w:pPr>
            <w:r w:rsidRPr="002C21E2">
              <w:rPr>
                <w:rFonts w:eastAsia="Times New Roman" w:cs="Times New Roman"/>
                <w:lang w:eastAsia="cs-CZ"/>
              </w:rPr>
              <w:t>povinné pojistné placené zaměstnavatelem</w:t>
            </w:r>
          </w:p>
        </w:tc>
        <w:tc>
          <w:tcPr>
            <w:tcW w:w="1340" w:type="dxa"/>
            <w:shd w:val="clear" w:color="auto" w:fill="auto"/>
            <w:vAlign w:val="center"/>
          </w:tcPr>
          <w:p w:rsidR="00BB5816" w:rsidRPr="00CF7CD1" w:rsidRDefault="00BB5816" w:rsidP="000A05A0">
            <w:pPr>
              <w:jc w:val="right"/>
              <w:rPr>
                <w:rFonts w:cs="Times New Roman"/>
              </w:rPr>
            </w:pPr>
            <w:r w:rsidRPr="00CF7CD1">
              <w:rPr>
                <w:rFonts w:cs="Times New Roman"/>
              </w:rPr>
              <w:t>2 486</w:t>
            </w:r>
          </w:p>
        </w:tc>
        <w:tc>
          <w:tcPr>
            <w:tcW w:w="1418" w:type="dxa"/>
            <w:shd w:val="clear" w:color="auto" w:fill="auto"/>
            <w:vAlign w:val="center"/>
          </w:tcPr>
          <w:p w:rsidR="00BB5816" w:rsidRPr="00CF7CD1" w:rsidRDefault="00BB5816" w:rsidP="000A05A0">
            <w:pPr>
              <w:jc w:val="right"/>
              <w:rPr>
                <w:rFonts w:cs="Times New Roman"/>
              </w:rPr>
            </w:pPr>
            <w:r w:rsidRPr="00CF7CD1">
              <w:rPr>
                <w:rFonts w:cs="Times New Roman"/>
              </w:rPr>
              <w:t>2 781</w:t>
            </w:r>
          </w:p>
        </w:tc>
        <w:tc>
          <w:tcPr>
            <w:tcW w:w="1134" w:type="dxa"/>
            <w:shd w:val="clear" w:color="auto" w:fill="auto"/>
            <w:vAlign w:val="center"/>
          </w:tcPr>
          <w:p w:rsidR="00BB5816" w:rsidRPr="00591BBC" w:rsidRDefault="00BB5816" w:rsidP="000A05A0">
            <w:pPr>
              <w:jc w:val="right"/>
              <w:rPr>
                <w:rFonts w:eastAsia="Times New Roman" w:cs="Times New Roman"/>
                <w:lang w:eastAsia="cs-CZ"/>
              </w:rPr>
            </w:pPr>
            <w:r w:rsidRPr="00591BBC">
              <w:rPr>
                <w:rFonts w:eastAsia="Times New Roman" w:cs="Times New Roman"/>
                <w:lang w:eastAsia="cs-CZ"/>
              </w:rPr>
              <w:t>2 870</w:t>
            </w:r>
          </w:p>
        </w:tc>
        <w:tc>
          <w:tcPr>
            <w:tcW w:w="927" w:type="dxa"/>
            <w:shd w:val="clear" w:color="auto" w:fill="auto"/>
            <w:vAlign w:val="center"/>
          </w:tcPr>
          <w:p w:rsidR="00BB5816" w:rsidRPr="00DF3D94" w:rsidRDefault="00BB5816" w:rsidP="000A05A0">
            <w:pPr>
              <w:jc w:val="right"/>
              <w:rPr>
                <w:rFonts w:eastAsia="Times New Roman" w:cs="Times New Roman"/>
                <w:lang w:eastAsia="cs-CZ"/>
              </w:rPr>
            </w:pPr>
            <w:r w:rsidRPr="00DF3D94">
              <w:rPr>
                <w:rFonts w:eastAsia="Times New Roman" w:cs="Times New Roman"/>
                <w:lang w:eastAsia="cs-CZ"/>
              </w:rPr>
              <w:t>103,20</w:t>
            </w:r>
          </w:p>
        </w:tc>
      </w:tr>
      <w:tr w:rsidR="00BB5816" w:rsidRPr="0001421C" w:rsidTr="00E65B37">
        <w:tc>
          <w:tcPr>
            <w:tcW w:w="4320" w:type="dxa"/>
            <w:shd w:val="clear" w:color="auto" w:fill="auto"/>
          </w:tcPr>
          <w:p w:rsidR="00BB5816" w:rsidRPr="002C21E2" w:rsidRDefault="00BB5816" w:rsidP="000A05A0">
            <w:pPr>
              <w:rPr>
                <w:rFonts w:eastAsia="Times New Roman" w:cs="Times New Roman"/>
                <w:lang w:eastAsia="cs-CZ"/>
              </w:rPr>
            </w:pPr>
            <w:r w:rsidRPr="002C21E2">
              <w:rPr>
                <w:rFonts w:eastAsia="Times New Roman" w:cs="Times New Roman"/>
                <w:lang w:eastAsia="cs-CZ"/>
              </w:rPr>
              <w:t>převod FKSP</w:t>
            </w:r>
          </w:p>
        </w:tc>
        <w:tc>
          <w:tcPr>
            <w:tcW w:w="1340" w:type="dxa"/>
            <w:shd w:val="clear" w:color="auto" w:fill="auto"/>
            <w:vAlign w:val="center"/>
          </w:tcPr>
          <w:p w:rsidR="00BB5816" w:rsidRPr="00CF7CD1" w:rsidRDefault="00BB5816" w:rsidP="000A05A0">
            <w:pPr>
              <w:jc w:val="right"/>
              <w:rPr>
                <w:rFonts w:cs="Times New Roman"/>
              </w:rPr>
            </w:pPr>
            <w:r w:rsidRPr="00CF7CD1">
              <w:rPr>
                <w:rFonts w:cs="Times New Roman"/>
              </w:rPr>
              <w:t>145</w:t>
            </w:r>
          </w:p>
        </w:tc>
        <w:tc>
          <w:tcPr>
            <w:tcW w:w="1418" w:type="dxa"/>
            <w:shd w:val="clear" w:color="auto" w:fill="auto"/>
            <w:vAlign w:val="center"/>
          </w:tcPr>
          <w:p w:rsidR="00BB5816" w:rsidRPr="00CF7CD1" w:rsidRDefault="00BB5816" w:rsidP="000A05A0">
            <w:pPr>
              <w:jc w:val="right"/>
              <w:rPr>
                <w:rFonts w:cs="Times New Roman"/>
              </w:rPr>
            </w:pPr>
            <w:r w:rsidRPr="00CF7CD1">
              <w:rPr>
                <w:rFonts w:cs="Times New Roman"/>
              </w:rPr>
              <w:t>163</w:t>
            </w:r>
          </w:p>
        </w:tc>
        <w:tc>
          <w:tcPr>
            <w:tcW w:w="1134" w:type="dxa"/>
            <w:shd w:val="clear" w:color="auto" w:fill="auto"/>
            <w:vAlign w:val="center"/>
          </w:tcPr>
          <w:p w:rsidR="00BB5816" w:rsidRPr="00591BBC" w:rsidRDefault="00BB5816" w:rsidP="000A05A0">
            <w:pPr>
              <w:jc w:val="right"/>
              <w:rPr>
                <w:rFonts w:eastAsia="Times New Roman" w:cs="Times New Roman"/>
                <w:lang w:eastAsia="cs-CZ"/>
              </w:rPr>
            </w:pPr>
            <w:r w:rsidRPr="00591BBC">
              <w:rPr>
                <w:rFonts w:eastAsia="Times New Roman" w:cs="Times New Roman"/>
                <w:lang w:eastAsia="cs-CZ"/>
              </w:rPr>
              <w:t>168</w:t>
            </w:r>
          </w:p>
        </w:tc>
        <w:tc>
          <w:tcPr>
            <w:tcW w:w="927" w:type="dxa"/>
            <w:shd w:val="clear" w:color="auto" w:fill="auto"/>
            <w:vAlign w:val="center"/>
          </w:tcPr>
          <w:p w:rsidR="00BB5816" w:rsidRPr="00DF3D94" w:rsidRDefault="00BB5816" w:rsidP="000A05A0">
            <w:pPr>
              <w:jc w:val="right"/>
              <w:rPr>
                <w:rFonts w:eastAsia="Times New Roman" w:cs="Times New Roman"/>
                <w:lang w:eastAsia="cs-CZ"/>
              </w:rPr>
            </w:pPr>
            <w:r w:rsidRPr="00DF3D94">
              <w:rPr>
                <w:rFonts w:eastAsia="Times New Roman" w:cs="Times New Roman"/>
                <w:lang w:eastAsia="cs-CZ"/>
              </w:rPr>
              <w:t>103,07</w:t>
            </w:r>
          </w:p>
        </w:tc>
      </w:tr>
      <w:tr w:rsidR="00BB5816" w:rsidRPr="0001421C" w:rsidTr="00E65B37">
        <w:tc>
          <w:tcPr>
            <w:tcW w:w="4320" w:type="dxa"/>
            <w:tcBorders>
              <w:bottom w:val="nil"/>
            </w:tcBorders>
            <w:shd w:val="clear" w:color="auto" w:fill="auto"/>
          </w:tcPr>
          <w:p w:rsidR="00BB5816" w:rsidRPr="002C21E2" w:rsidRDefault="00BB5816" w:rsidP="000A05A0">
            <w:pPr>
              <w:rPr>
                <w:rFonts w:eastAsia="Times New Roman" w:cs="Times New Roman"/>
                <w:lang w:eastAsia="cs-CZ"/>
              </w:rPr>
            </w:pPr>
            <w:r w:rsidRPr="002C21E2">
              <w:rPr>
                <w:rFonts w:eastAsia="Times New Roman" w:cs="Times New Roman"/>
                <w:lang w:eastAsia="cs-CZ"/>
              </w:rPr>
              <w:t xml:space="preserve">ostatní </w:t>
            </w:r>
            <w:proofErr w:type="spellStart"/>
            <w:r w:rsidRPr="002C21E2">
              <w:rPr>
                <w:rFonts w:eastAsia="Times New Roman" w:cs="Times New Roman"/>
                <w:lang w:eastAsia="cs-CZ"/>
              </w:rPr>
              <w:t>neinvest</w:t>
            </w:r>
            <w:proofErr w:type="spellEnd"/>
            <w:r w:rsidRPr="002C21E2">
              <w:rPr>
                <w:rFonts w:eastAsia="Times New Roman" w:cs="Times New Roman"/>
                <w:lang w:eastAsia="cs-CZ"/>
              </w:rPr>
              <w:t>. nákupy a související výdaje</w:t>
            </w:r>
          </w:p>
        </w:tc>
        <w:tc>
          <w:tcPr>
            <w:tcW w:w="1340" w:type="dxa"/>
            <w:tcBorders>
              <w:bottom w:val="nil"/>
            </w:tcBorders>
            <w:shd w:val="clear" w:color="auto" w:fill="auto"/>
            <w:vAlign w:val="center"/>
          </w:tcPr>
          <w:p w:rsidR="00BB5816" w:rsidRPr="00CF7CD1" w:rsidRDefault="00BB5816" w:rsidP="000A05A0">
            <w:pPr>
              <w:jc w:val="right"/>
              <w:rPr>
                <w:rFonts w:cs="Times New Roman"/>
              </w:rPr>
            </w:pPr>
            <w:r w:rsidRPr="00CF7CD1">
              <w:rPr>
                <w:rFonts w:cs="Times New Roman"/>
              </w:rPr>
              <w:t>6 529</w:t>
            </w:r>
          </w:p>
        </w:tc>
        <w:tc>
          <w:tcPr>
            <w:tcW w:w="1418" w:type="dxa"/>
            <w:tcBorders>
              <w:bottom w:val="nil"/>
            </w:tcBorders>
            <w:shd w:val="clear" w:color="auto" w:fill="auto"/>
            <w:vAlign w:val="center"/>
          </w:tcPr>
          <w:p w:rsidR="00BB5816" w:rsidRPr="00CF7CD1" w:rsidRDefault="00BB5816" w:rsidP="000A05A0">
            <w:pPr>
              <w:jc w:val="right"/>
              <w:rPr>
                <w:rFonts w:cs="Times New Roman"/>
              </w:rPr>
            </w:pPr>
            <w:r w:rsidRPr="00CF7CD1">
              <w:rPr>
                <w:rFonts w:cs="Times New Roman"/>
              </w:rPr>
              <w:t>6 424</w:t>
            </w:r>
          </w:p>
        </w:tc>
        <w:tc>
          <w:tcPr>
            <w:tcW w:w="1134" w:type="dxa"/>
            <w:tcBorders>
              <w:bottom w:val="nil"/>
            </w:tcBorders>
            <w:shd w:val="clear" w:color="auto" w:fill="auto"/>
            <w:vAlign w:val="center"/>
          </w:tcPr>
          <w:p w:rsidR="00BB5816" w:rsidRPr="00B77E56" w:rsidRDefault="00BB5816" w:rsidP="000A05A0">
            <w:pPr>
              <w:jc w:val="right"/>
              <w:rPr>
                <w:rFonts w:eastAsia="Times New Roman" w:cs="Times New Roman"/>
                <w:color w:val="FF0000"/>
                <w:lang w:eastAsia="cs-CZ"/>
              </w:rPr>
            </w:pPr>
            <w:r w:rsidRPr="00DF35F7">
              <w:rPr>
                <w:rFonts w:eastAsia="Times New Roman" w:cs="Times New Roman"/>
                <w:lang w:eastAsia="cs-CZ"/>
              </w:rPr>
              <w:t>6 424</w:t>
            </w:r>
          </w:p>
        </w:tc>
        <w:tc>
          <w:tcPr>
            <w:tcW w:w="927" w:type="dxa"/>
            <w:tcBorders>
              <w:bottom w:val="nil"/>
            </w:tcBorders>
            <w:shd w:val="clear" w:color="auto" w:fill="auto"/>
            <w:vAlign w:val="center"/>
          </w:tcPr>
          <w:p w:rsidR="00BB5816" w:rsidRPr="00B77E56" w:rsidRDefault="00BB5816" w:rsidP="000A05A0">
            <w:pPr>
              <w:jc w:val="right"/>
              <w:rPr>
                <w:rFonts w:eastAsia="Times New Roman" w:cs="Times New Roman"/>
                <w:color w:val="FF0000"/>
                <w:lang w:eastAsia="cs-CZ"/>
              </w:rPr>
            </w:pPr>
            <w:r w:rsidRPr="00DF35F7">
              <w:rPr>
                <w:rFonts w:eastAsia="Times New Roman" w:cs="Times New Roman"/>
                <w:lang w:eastAsia="cs-CZ"/>
              </w:rPr>
              <w:t>100,00</w:t>
            </w:r>
          </w:p>
        </w:tc>
      </w:tr>
      <w:tr w:rsidR="00BB5816" w:rsidRPr="0001421C" w:rsidTr="00E65B37">
        <w:tc>
          <w:tcPr>
            <w:tcW w:w="4320" w:type="dxa"/>
            <w:tcBorders>
              <w:top w:val="nil"/>
              <w:bottom w:val="single" w:sz="8" w:space="0" w:color="7F7F7F" w:themeColor="text1" w:themeTint="80"/>
            </w:tcBorders>
            <w:shd w:val="clear" w:color="auto" w:fill="auto"/>
          </w:tcPr>
          <w:p w:rsidR="00BB5816" w:rsidRPr="002C21E2" w:rsidRDefault="00BB5816" w:rsidP="000A05A0">
            <w:pPr>
              <w:rPr>
                <w:rFonts w:eastAsia="Times New Roman" w:cs="Times New Roman"/>
                <w:i/>
                <w:lang w:eastAsia="cs-CZ"/>
              </w:rPr>
            </w:pPr>
            <w:r w:rsidRPr="002C21E2">
              <w:rPr>
                <w:rFonts w:eastAsia="Times New Roman" w:cs="Times New Roman"/>
                <w:i/>
                <w:lang w:eastAsia="cs-CZ"/>
              </w:rPr>
              <w:t>z toho: programové financování (EDS/SMVS)</w:t>
            </w:r>
          </w:p>
        </w:tc>
        <w:tc>
          <w:tcPr>
            <w:tcW w:w="1340" w:type="dxa"/>
            <w:tcBorders>
              <w:top w:val="nil"/>
              <w:bottom w:val="single" w:sz="8" w:space="0" w:color="7F7F7F" w:themeColor="text1" w:themeTint="80"/>
            </w:tcBorders>
            <w:shd w:val="clear" w:color="auto" w:fill="auto"/>
            <w:vAlign w:val="center"/>
          </w:tcPr>
          <w:p w:rsidR="00BB5816" w:rsidRPr="00CF7CD1" w:rsidRDefault="00BB5816" w:rsidP="000A05A0">
            <w:pPr>
              <w:jc w:val="right"/>
              <w:rPr>
                <w:rFonts w:cs="Times New Roman"/>
              </w:rPr>
            </w:pPr>
            <w:r w:rsidRPr="00CF7CD1">
              <w:rPr>
                <w:rFonts w:cs="Times New Roman"/>
              </w:rPr>
              <w:t>0</w:t>
            </w:r>
          </w:p>
        </w:tc>
        <w:tc>
          <w:tcPr>
            <w:tcW w:w="1418" w:type="dxa"/>
            <w:tcBorders>
              <w:top w:val="nil"/>
              <w:bottom w:val="single" w:sz="8" w:space="0" w:color="7F7F7F" w:themeColor="text1" w:themeTint="80"/>
            </w:tcBorders>
            <w:shd w:val="clear" w:color="auto" w:fill="auto"/>
            <w:vAlign w:val="center"/>
          </w:tcPr>
          <w:p w:rsidR="00BB5816" w:rsidRPr="00CF7CD1" w:rsidRDefault="00BB5816" w:rsidP="000A05A0">
            <w:pPr>
              <w:jc w:val="right"/>
              <w:rPr>
                <w:rFonts w:cs="Times New Roman"/>
              </w:rPr>
            </w:pPr>
            <w:r w:rsidRPr="00CF7CD1">
              <w:rPr>
                <w:rFonts w:cs="Times New Roman"/>
              </w:rPr>
              <w:t>0</w:t>
            </w:r>
          </w:p>
        </w:tc>
        <w:tc>
          <w:tcPr>
            <w:tcW w:w="1134" w:type="dxa"/>
            <w:tcBorders>
              <w:top w:val="nil"/>
              <w:bottom w:val="single" w:sz="8" w:space="0" w:color="7F7F7F" w:themeColor="text1" w:themeTint="80"/>
            </w:tcBorders>
            <w:shd w:val="clear" w:color="auto" w:fill="auto"/>
            <w:vAlign w:val="center"/>
          </w:tcPr>
          <w:p w:rsidR="00BB5816" w:rsidRPr="00DF35F7" w:rsidRDefault="00BB5816" w:rsidP="000A05A0">
            <w:pPr>
              <w:jc w:val="right"/>
              <w:rPr>
                <w:rFonts w:eastAsia="Times New Roman" w:cs="Times New Roman"/>
                <w:i/>
                <w:lang w:eastAsia="cs-CZ"/>
              </w:rPr>
            </w:pPr>
            <w:r w:rsidRPr="00DF35F7">
              <w:rPr>
                <w:rFonts w:eastAsia="Times New Roman" w:cs="Times New Roman"/>
                <w:i/>
                <w:lang w:eastAsia="cs-CZ"/>
              </w:rPr>
              <w:t>0</w:t>
            </w:r>
          </w:p>
        </w:tc>
        <w:tc>
          <w:tcPr>
            <w:tcW w:w="927" w:type="dxa"/>
            <w:tcBorders>
              <w:top w:val="nil"/>
              <w:bottom w:val="single" w:sz="8" w:space="0" w:color="7F7F7F" w:themeColor="text1" w:themeTint="80"/>
            </w:tcBorders>
            <w:shd w:val="clear" w:color="auto" w:fill="auto"/>
            <w:vAlign w:val="center"/>
          </w:tcPr>
          <w:p w:rsidR="00BB5816" w:rsidRPr="00DF35F7" w:rsidRDefault="00BB5816" w:rsidP="000A05A0">
            <w:pPr>
              <w:jc w:val="right"/>
              <w:rPr>
                <w:rFonts w:eastAsia="Times New Roman" w:cs="Times New Roman"/>
                <w:i/>
                <w:lang w:eastAsia="cs-CZ"/>
              </w:rPr>
            </w:pPr>
            <w:r w:rsidRPr="00DF35F7">
              <w:rPr>
                <w:rFonts w:eastAsia="Times New Roman" w:cs="Times New Roman"/>
                <w:i/>
                <w:lang w:eastAsia="cs-CZ"/>
              </w:rPr>
              <w:t>x</w:t>
            </w:r>
          </w:p>
        </w:tc>
      </w:tr>
    </w:tbl>
    <w:p w:rsidR="00B73030" w:rsidRPr="00DF3D94" w:rsidRDefault="00B73030" w:rsidP="001D1C48">
      <w:pPr>
        <w:pStyle w:val="Styl1"/>
      </w:pPr>
      <w:r w:rsidRPr="00DF3D94">
        <w:t xml:space="preserve">Navrhovaný objem běžných výdajů pro rok 2019 je oproti schválenému rozpočtu roku 2018 o 354 tis. Kč vyšší.  </w:t>
      </w:r>
    </w:p>
    <w:p w:rsidR="00B73030" w:rsidRDefault="00B73030" w:rsidP="001D1C48">
      <w:pPr>
        <w:pStyle w:val="Styl1"/>
        <w:rPr>
          <w:color w:val="FF0000"/>
        </w:rPr>
      </w:pPr>
      <w:r w:rsidRPr="001F62A1">
        <w:t>Nárůst celkových běžných výdajů představuje zvýšení výdajů na platy vč. příslušenství o</w:t>
      </w:r>
      <w:r>
        <w:t xml:space="preserve">proti roku 2018 </w:t>
      </w:r>
      <w:r w:rsidRPr="001F62A1">
        <w:t>na základě usnesení vlády č. 379/2018 a usnesení vlády č. 588/2018 (podrobněji viz oddíl 3.2.2 Mzdové výdaje a počty pracovníků OSS a PO).</w:t>
      </w:r>
      <w:r w:rsidRPr="00E1081A">
        <w:t xml:space="preserve"> </w:t>
      </w:r>
    </w:p>
    <w:p w:rsidR="00B73030" w:rsidRDefault="00B73030" w:rsidP="001D1C48">
      <w:pPr>
        <w:pStyle w:val="Styl1"/>
      </w:pPr>
      <w:r w:rsidRPr="002C21E2">
        <w:t>Počet zaměstnanců organi</w:t>
      </w:r>
      <w:r>
        <w:t xml:space="preserve">zace pro rok 2019 je navržen ve </w:t>
      </w:r>
      <w:r w:rsidRPr="002C21E2">
        <w:t xml:space="preserve">výši </w:t>
      </w:r>
      <w:r>
        <w:t xml:space="preserve">15, v tom </w:t>
      </w:r>
      <w:r>
        <w:br/>
        <w:t>15</w:t>
      </w:r>
      <w:r w:rsidRPr="002C21E2">
        <w:t xml:space="preserve"> zamě</w:t>
      </w:r>
      <w:r>
        <w:t xml:space="preserve">stnanců v pracovním poměru. Počet zaměstnanců je ve stejné výši jako v roce 2018.  </w:t>
      </w:r>
    </w:p>
    <w:p w:rsidR="00B73030" w:rsidRPr="001D1C48" w:rsidRDefault="00B73030" w:rsidP="001D1C48">
      <w:pPr>
        <w:pStyle w:val="Styl1"/>
      </w:pPr>
      <w:r w:rsidRPr="002C21E2">
        <w:t>Objem ostatních běžných výdajů pro rok 2019 je navrhován ve stejné výši jako v roce 2018.</w:t>
      </w:r>
      <w:r>
        <w:t xml:space="preserve"> </w:t>
      </w:r>
      <w:r w:rsidRPr="002C21E2">
        <w:t xml:space="preserve">V rámci ostatních běžných výdajů největší podíl tvoří výdaje na nájemné a na nákup ostatních služeb. Dalšími významnými položkami jsou výdaje na cestovné a pohonné hmoty </w:t>
      </w:r>
      <w:r w:rsidRPr="002C21E2">
        <w:br/>
        <w:t xml:space="preserve">a výdaje na poradenské služby, tj. výdaje přímo související s šetřením leteckých nehod, dále </w:t>
      </w:r>
      <w:r w:rsidRPr="001D1C48">
        <w:t xml:space="preserve">pak výdaje na zahraniční cestovné v rámci spolupráce s mezinárodními organizacemi v oblasti letecké dopravy.    </w:t>
      </w:r>
    </w:p>
    <w:p w:rsidR="002B4A5E" w:rsidRPr="00886FD2" w:rsidRDefault="002B4A5E" w:rsidP="007B2F4B">
      <w:pPr>
        <w:pStyle w:val="Nadpis3"/>
      </w:pPr>
      <w:bookmarkStart w:id="48" w:name="_Toc526424692"/>
      <w:r w:rsidRPr="00886FD2">
        <w:lastRenderedPageBreak/>
        <w:t>Příspěvkové organizace</w:t>
      </w:r>
      <w:bookmarkEnd w:id="47"/>
      <w:bookmarkEnd w:id="48"/>
    </w:p>
    <w:p w:rsidR="00BD28A7" w:rsidRPr="001D1C48" w:rsidRDefault="002B4A5E" w:rsidP="001D1C48">
      <w:pPr>
        <w:tabs>
          <w:tab w:val="left" w:pos="708"/>
        </w:tabs>
        <w:spacing w:before="240" w:after="60" w:line="240" w:lineRule="auto"/>
        <w:outlineLvl w:val="5"/>
        <w:rPr>
          <w:rFonts w:eastAsia="Times New Roman" w:cs="Times New Roman"/>
          <w:b/>
          <w:bCs/>
          <w:lang w:eastAsia="cs-CZ"/>
        </w:rPr>
      </w:pPr>
      <w:r w:rsidRPr="00886FD2">
        <w:rPr>
          <w:rFonts w:eastAsia="Times New Roman" w:cs="Times New Roman"/>
          <w:b/>
          <w:bCs/>
          <w:lang w:eastAsia="cs-CZ"/>
        </w:rPr>
        <w:t>Celkem: CSPSD,  ŘSD ČR</w:t>
      </w:r>
      <w:bookmarkStart w:id="49" w:name="_Toc304375441"/>
      <w:r w:rsidR="00BD28A7" w:rsidRPr="0001421C">
        <w:rPr>
          <w:rFonts w:eastAsia="Times New Roman" w:cs="Times New Roman"/>
          <w:color w:val="FF0000"/>
          <w:lang w:eastAsia="cs-CZ"/>
        </w:rPr>
        <w:t xml:space="preserve">                                                                                                                                                                                                                                                                               </w:t>
      </w:r>
    </w:p>
    <w:p w:rsidR="00886FD2" w:rsidRPr="00824FF1" w:rsidRDefault="00886FD2" w:rsidP="00886FD2">
      <w:pPr>
        <w:pStyle w:val="Titulek"/>
        <w:keepNext/>
      </w:pPr>
      <w:r w:rsidRPr="00824FF1">
        <w:t xml:space="preserve">Tabulka č. </w:t>
      </w:r>
      <w:r w:rsidRPr="00824FF1">
        <w:rPr>
          <w:noProof/>
        </w:rPr>
        <w:fldChar w:fldCharType="begin"/>
      </w:r>
      <w:r w:rsidRPr="00824FF1">
        <w:rPr>
          <w:noProof/>
        </w:rPr>
        <w:instrText xml:space="preserve"> SEQ Tabulka \* ARABIC </w:instrText>
      </w:r>
      <w:r w:rsidRPr="00824FF1">
        <w:rPr>
          <w:noProof/>
        </w:rPr>
        <w:fldChar w:fldCharType="separate"/>
      </w:r>
      <w:r w:rsidR="00AF5225">
        <w:rPr>
          <w:noProof/>
        </w:rPr>
        <w:t>14</w:t>
      </w:r>
      <w:r w:rsidRPr="00824FF1">
        <w:rPr>
          <w:noProof/>
        </w:rPr>
        <w:fldChar w:fldCharType="end"/>
      </w:r>
      <w:r w:rsidRPr="00824FF1">
        <w:rPr>
          <w:noProof/>
        </w:rPr>
        <w:t xml:space="preserve"> Příspěvkové organizace celkem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94"/>
        <w:gridCol w:w="1340"/>
        <w:gridCol w:w="1361"/>
        <w:gridCol w:w="1276"/>
        <w:gridCol w:w="981"/>
      </w:tblGrid>
      <w:tr w:rsidR="00886FD2" w:rsidRPr="00824FF1" w:rsidTr="00E65B37">
        <w:trPr>
          <w:trHeight w:val="831"/>
        </w:trPr>
        <w:tc>
          <w:tcPr>
            <w:tcW w:w="226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E65B37">
            <w:pPr>
              <w:jc w:val="center"/>
              <w:rPr>
                <w:rFonts w:eastAsia="Times New Roman" w:cs="Times New Roman"/>
                <w:b/>
                <w:lang w:eastAsia="cs-CZ"/>
              </w:rPr>
            </w:pPr>
            <w:r w:rsidRPr="00824FF1">
              <w:rPr>
                <w:rFonts w:eastAsia="Times New Roman" w:cs="Times New Roman"/>
                <w:b/>
                <w:lang w:eastAsia="cs-CZ"/>
              </w:rPr>
              <w:t>Ukazatel</w:t>
            </w:r>
          </w:p>
        </w:tc>
        <w:tc>
          <w:tcPr>
            <w:tcW w:w="74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E65B37">
            <w:pPr>
              <w:jc w:val="center"/>
              <w:rPr>
                <w:rFonts w:eastAsia="Times New Roman" w:cs="Times New Roman"/>
                <w:b/>
                <w:lang w:eastAsia="cs-CZ"/>
              </w:rPr>
            </w:pPr>
            <w:r w:rsidRPr="00824FF1">
              <w:rPr>
                <w:rFonts w:eastAsia="Times New Roman" w:cs="Times New Roman"/>
                <w:b/>
                <w:lang w:eastAsia="cs-CZ"/>
              </w:rPr>
              <w:t>Skutečnost</w:t>
            </w:r>
          </w:p>
          <w:p w:rsidR="00886FD2" w:rsidRPr="00824FF1" w:rsidRDefault="00E65B37" w:rsidP="00E65B37">
            <w:pPr>
              <w:ind w:right="-70"/>
              <w:jc w:val="center"/>
              <w:rPr>
                <w:rFonts w:eastAsia="Times New Roman" w:cs="Times New Roman"/>
                <w:b/>
                <w:lang w:eastAsia="cs-CZ"/>
              </w:rPr>
            </w:pPr>
            <w:r>
              <w:rPr>
                <w:rFonts w:eastAsia="Times New Roman" w:cs="Times New Roman"/>
                <w:b/>
                <w:lang w:eastAsia="cs-CZ"/>
              </w:rPr>
              <w:t>2017</w:t>
            </w:r>
          </w:p>
        </w:tc>
        <w:tc>
          <w:tcPr>
            <w:tcW w:w="7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E65B37">
            <w:pPr>
              <w:jc w:val="center"/>
              <w:rPr>
                <w:rFonts w:eastAsia="Times New Roman" w:cs="Times New Roman"/>
                <w:b/>
                <w:lang w:eastAsia="cs-CZ"/>
              </w:rPr>
            </w:pPr>
            <w:r w:rsidRPr="00824FF1">
              <w:rPr>
                <w:rFonts w:eastAsia="Times New Roman" w:cs="Times New Roman"/>
                <w:b/>
                <w:lang w:eastAsia="cs-CZ"/>
              </w:rPr>
              <w:t>Schválený</w:t>
            </w:r>
          </w:p>
          <w:p w:rsidR="00886FD2" w:rsidRPr="00824FF1" w:rsidRDefault="00886FD2" w:rsidP="00E65B37">
            <w:pPr>
              <w:jc w:val="center"/>
              <w:rPr>
                <w:rFonts w:eastAsia="Times New Roman" w:cs="Times New Roman"/>
                <w:b/>
                <w:lang w:eastAsia="cs-CZ"/>
              </w:rPr>
            </w:pPr>
            <w:r w:rsidRPr="00824FF1">
              <w:rPr>
                <w:rFonts w:eastAsia="Times New Roman" w:cs="Times New Roman"/>
                <w:b/>
                <w:lang w:eastAsia="cs-CZ"/>
              </w:rPr>
              <w:t>rozpočet</w:t>
            </w:r>
          </w:p>
          <w:p w:rsidR="00886FD2" w:rsidRPr="00824FF1" w:rsidRDefault="00886FD2" w:rsidP="00E65B37">
            <w:pPr>
              <w:jc w:val="center"/>
              <w:rPr>
                <w:rFonts w:eastAsia="Times New Roman" w:cs="Times New Roman"/>
                <w:b/>
                <w:lang w:eastAsia="cs-CZ"/>
              </w:rPr>
            </w:pPr>
            <w:r w:rsidRPr="00824FF1">
              <w:rPr>
                <w:rFonts w:eastAsia="Times New Roman" w:cs="Times New Roman"/>
                <w:b/>
                <w:lang w:eastAsia="cs-CZ"/>
              </w:rPr>
              <w:t>2018</w:t>
            </w:r>
          </w:p>
        </w:tc>
        <w:tc>
          <w:tcPr>
            <w:tcW w:w="70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B33A9C" w:rsidRDefault="00886FD2" w:rsidP="00E65B37">
            <w:pPr>
              <w:jc w:val="center"/>
              <w:rPr>
                <w:rFonts w:eastAsia="Times New Roman" w:cs="Times New Roman"/>
                <w:b/>
                <w:lang w:eastAsia="cs-CZ"/>
              </w:rPr>
            </w:pPr>
            <w:r w:rsidRPr="00B33A9C">
              <w:rPr>
                <w:rFonts w:eastAsia="Times New Roman" w:cs="Times New Roman"/>
                <w:b/>
                <w:lang w:eastAsia="cs-CZ"/>
              </w:rPr>
              <w:t>Návrh</w:t>
            </w:r>
          </w:p>
          <w:p w:rsidR="00886FD2" w:rsidRPr="00B33A9C" w:rsidRDefault="00886FD2" w:rsidP="00E65B37">
            <w:pPr>
              <w:jc w:val="center"/>
              <w:rPr>
                <w:rFonts w:eastAsia="Times New Roman" w:cs="Times New Roman"/>
                <w:b/>
                <w:lang w:eastAsia="cs-CZ"/>
              </w:rPr>
            </w:pPr>
            <w:r w:rsidRPr="00B33A9C">
              <w:rPr>
                <w:rFonts w:eastAsia="Times New Roman" w:cs="Times New Roman"/>
                <w:b/>
                <w:lang w:eastAsia="cs-CZ"/>
              </w:rPr>
              <w:t>rozpočtu</w:t>
            </w:r>
          </w:p>
          <w:p w:rsidR="00886FD2" w:rsidRPr="00B33A9C" w:rsidRDefault="00886FD2" w:rsidP="00E65B37">
            <w:pPr>
              <w:jc w:val="center"/>
              <w:rPr>
                <w:rFonts w:eastAsia="Times New Roman" w:cs="Times New Roman"/>
                <w:b/>
                <w:lang w:eastAsia="cs-CZ"/>
              </w:rPr>
            </w:pPr>
            <w:r w:rsidRPr="00B33A9C">
              <w:rPr>
                <w:rFonts w:eastAsia="Times New Roman" w:cs="Times New Roman"/>
                <w:b/>
                <w:lang w:eastAsia="cs-CZ"/>
              </w:rPr>
              <w:t>2019</w:t>
            </w:r>
          </w:p>
        </w:tc>
        <w:tc>
          <w:tcPr>
            <w:tcW w:w="54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922E62" w:rsidRDefault="00886FD2" w:rsidP="00E65B37">
            <w:pPr>
              <w:jc w:val="center"/>
              <w:rPr>
                <w:rFonts w:eastAsia="Times New Roman" w:cs="Times New Roman"/>
                <w:b/>
                <w:lang w:eastAsia="cs-CZ"/>
              </w:rPr>
            </w:pPr>
            <w:r w:rsidRPr="00922E62">
              <w:rPr>
                <w:rFonts w:eastAsia="Times New Roman" w:cs="Times New Roman"/>
                <w:b/>
                <w:lang w:eastAsia="cs-CZ"/>
              </w:rPr>
              <w:t>Index</w:t>
            </w:r>
          </w:p>
          <w:p w:rsidR="00886FD2" w:rsidRPr="00922E62" w:rsidRDefault="00886FD2" w:rsidP="00E65B37">
            <w:pPr>
              <w:jc w:val="center"/>
              <w:rPr>
                <w:rFonts w:eastAsia="Times New Roman" w:cs="Times New Roman"/>
                <w:b/>
                <w:lang w:eastAsia="cs-CZ"/>
              </w:rPr>
            </w:pPr>
            <w:r w:rsidRPr="00922E62">
              <w:rPr>
                <w:rFonts w:eastAsia="Times New Roman" w:cs="Times New Roman"/>
                <w:b/>
                <w:lang w:eastAsia="cs-CZ"/>
              </w:rPr>
              <w:t>2019/</w:t>
            </w:r>
            <w:r w:rsidR="00E65B37">
              <w:rPr>
                <w:rFonts w:eastAsia="Times New Roman" w:cs="Times New Roman"/>
                <w:b/>
                <w:lang w:eastAsia="cs-CZ"/>
              </w:rPr>
              <w:br/>
            </w:r>
            <w:r w:rsidRPr="00922E62">
              <w:rPr>
                <w:rFonts w:eastAsia="Times New Roman" w:cs="Times New Roman"/>
                <w:b/>
                <w:lang w:eastAsia="cs-CZ"/>
              </w:rPr>
              <w:t>2018</w:t>
            </w:r>
          </w:p>
          <w:p w:rsidR="00886FD2" w:rsidRPr="00922E62" w:rsidRDefault="00886FD2" w:rsidP="00E65B37">
            <w:pPr>
              <w:jc w:val="center"/>
              <w:rPr>
                <w:rFonts w:eastAsia="Times New Roman" w:cs="Times New Roman"/>
                <w:b/>
                <w:lang w:eastAsia="cs-CZ"/>
              </w:rPr>
            </w:pPr>
            <w:r w:rsidRPr="00922E62">
              <w:rPr>
                <w:rFonts w:eastAsia="Times New Roman" w:cs="Times New Roman"/>
                <w:b/>
                <w:lang w:eastAsia="cs-CZ"/>
              </w:rPr>
              <w:t>(v %)</w:t>
            </w:r>
          </w:p>
        </w:tc>
      </w:tr>
      <w:tr w:rsidR="00886FD2" w:rsidRPr="00824FF1" w:rsidTr="00E65B37">
        <w:trPr>
          <w:trHeight w:val="184"/>
        </w:trPr>
        <w:tc>
          <w:tcPr>
            <w:tcW w:w="2261"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jc w:val="center"/>
              <w:rPr>
                <w:rFonts w:eastAsia="Times New Roman" w:cs="Times New Roman"/>
                <w:lang w:eastAsia="cs-CZ"/>
              </w:rPr>
            </w:pPr>
            <w:r w:rsidRPr="00824FF1">
              <w:rPr>
                <w:rFonts w:eastAsia="Times New Roman" w:cs="Times New Roman"/>
                <w:lang w:eastAsia="cs-CZ"/>
              </w:rPr>
              <w:t>a</w:t>
            </w:r>
          </w:p>
        </w:tc>
        <w:tc>
          <w:tcPr>
            <w:tcW w:w="740"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jc w:val="center"/>
              <w:rPr>
                <w:rFonts w:eastAsia="Times New Roman" w:cs="Times New Roman"/>
                <w:lang w:eastAsia="cs-CZ"/>
              </w:rPr>
            </w:pPr>
            <w:r w:rsidRPr="00824FF1">
              <w:rPr>
                <w:rFonts w:eastAsia="Times New Roman" w:cs="Times New Roman"/>
                <w:lang w:eastAsia="cs-CZ"/>
              </w:rPr>
              <w:t>1</w:t>
            </w:r>
          </w:p>
        </w:tc>
        <w:tc>
          <w:tcPr>
            <w:tcW w:w="752"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jc w:val="center"/>
              <w:rPr>
                <w:rFonts w:eastAsia="Times New Roman" w:cs="Times New Roman"/>
                <w:lang w:eastAsia="cs-CZ"/>
              </w:rPr>
            </w:pPr>
            <w:r w:rsidRPr="00824FF1">
              <w:rPr>
                <w:rFonts w:eastAsia="Times New Roman" w:cs="Times New Roman"/>
                <w:lang w:eastAsia="cs-CZ"/>
              </w:rPr>
              <w:t>2</w:t>
            </w:r>
          </w:p>
        </w:tc>
        <w:tc>
          <w:tcPr>
            <w:tcW w:w="705" w:type="pct"/>
            <w:tcBorders>
              <w:top w:val="single" w:sz="4" w:space="0" w:color="7F7F7F" w:themeColor="text1" w:themeTint="80"/>
              <w:bottom w:val="single" w:sz="8" w:space="0" w:color="7F7F7F" w:themeColor="text1" w:themeTint="80"/>
            </w:tcBorders>
            <w:shd w:val="clear" w:color="auto" w:fill="auto"/>
          </w:tcPr>
          <w:p w:rsidR="00886FD2" w:rsidRPr="00B33A9C" w:rsidRDefault="00886FD2" w:rsidP="008A1F72">
            <w:pPr>
              <w:jc w:val="center"/>
              <w:rPr>
                <w:rFonts w:eastAsia="Times New Roman" w:cs="Times New Roman"/>
                <w:lang w:eastAsia="cs-CZ"/>
              </w:rPr>
            </w:pPr>
            <w:r w:rsidRPr="00B33A9C">
              <w:rPr>
                <w:rFonts w:eastAsia="Times New Roman" w:cs="Times New Roman"/>
                <w:lang w:eastAsia="cs-CZ"/>
              </w:rPr>
              <w:t>3</w:t>
            </w:r>
          </w:p>
        </w:tc>
        <w:tc>
          <w:tcPr>
            <w:tcW w:w="542" w:type="pct"/>
            <w:tcBorders>
              <w:top w:val="single" w:sz="4" w:space="0" w:color="7F7F7F" w:themeColor="text1" w:themeTint="80"/>
              <w:bottom w:val="single" w:sz="8" w:space="0" w:color="7F7F7F" w:themeColor="text1" w:themeTint="80"/>
            </w:tcBorders>
            <w:shd w:val="clear" w:color="auto" w:fill="auto"/>
          </w:tcPr>
          <w:p w:rsidR="00886FD2" w:rsidRPr="00922E62" w:rsidRDefault="00886FD2" w:rsidP="008A1F72">
            <w:pPr>
              <w:jc w:val="center"/>
              <w:rPr>
                <w:rFonts w:eastAsia="Times New Roman" w:cs="Times New Roman"/>
                <w:lang w:eastAsia="cs-CZ"/>
              </w:rPr>
            </w:pPr>
            <w:r w:rsidRPr="00922E62">
              <w:rPr>
                <w:rFonts w:eastAsia="Times New Roman" w:cs="Times New Roman"/>
                <w:lang w:eastAsia="cs-CZ"/>
              </w:rPr>
              <w:t>4</w:t>
            </w:r>
          </w:p>
        </w:tc>
      </w:tr>
      <w:tr w:rsidR="00886FD2" w:rsidRPr="00824FF1" w:rsidTr="00CB0F19">
        <w:trPr>
          <w:trHeight w:val="255"/>
        </w:trPr>
        <w:tc>
          <w:tcPr>
            <w:tcW w:w="2261" w:type="pct"/>
            <w:tcBorders>
              <w:top w:val="single" w:sz="8" w:space="0" w:color="7F7F7F" w:themeColor="text1" w:themeTint="80"/>
              <w:bottom w:val="single" w:sz="8" w:space="0" w:color="7F7F7F" w:themeColor="text1" w:themeTint="80"/>
            </w:tcBorders>
            <w:shd w:val="clear" w:color="auto" w:fill="auto"/>
          </w:tcPr>
          <w:p w:rsidR="00886FD2" w:rsidRPr="00824FF1" w:rsidRDefault="00886FD2" w:rsidP="008A1F72">
            <w:pPr>
              <w:rPr>
                <w:rFonts w:eastAsia="Times New Roman" w:cs="Times New Roman"/>
                <w:bCs/>
                <w:lang w:eastAsia="cs-CZ"/>
              </w:rPr>
            </w:pPr>
            <w:r w:rsidRPr="00824FF1">
              <w:rPr>
                <w:rFonts w:eastAsia="Times New Roman" w:cs="Times New Roman"/>
                <w:b/>
                <w:bCs/>
                <w:lang w:eastAsia="cs-CZ"/>
              </w:rPr>
              <w:t xml:space="preserve">Neinvestiční příspěvek a transfery zřízeným příspěvkovým organizacím </w:t>
            </w:r>
            <w:r w:rsidRPr="00824FF1">
              <w:rPr>
                <w:rFonts w:eastAsia="Times New Roman" w:cs="Times New Roman"/>
                <w:bCs/>
                <w:lang w:eastAsia="cs-CZ"/>
              </w:rPr>
              <w:t>z toho:</w:t>
            </w:r>
          </w:p>
        </w:tc>
        <w:tc>
          <w:tcPr>
            <w:tcW w:w="740" w:type="pct"/>
            <w:tcBorders>
              <w:top w:val="single" w:sz="8" w:space="0" w:color="7F7F7F" w:themeColor="text1" w:themeTint="80"/>
              <w:bottom w:val="single" w:sz="8" w:space="0" w:color="7F7F7F" w:themeColor="text1" w:themeTint="80"/>
            </w:tcBorders>
            <w:shd w:val="clear" w:color="auto" w:fill="auto"/>
            <w:vAlign w:val="center"/>
          </w:tcPr>
          <w:p w:rsidR="00886FD2" w:rsidRPr="00824FF1" w:rsidRDefault="00886FD2" w:rsidP="00CB0F19">
            <w:pPr>
              <w:spacing w:before="120"/>
              <w:jc w:val="right"/>
              <w:rPr>
                <w:rFonts w:eastAsia="Times New Roman" w:cs="Times New Roman"/>
                <w:b/>
                <w:lang w:eastAsia="cs-CZ"/>
              </w:rPr>
            </w:pPr>
            <w:r w:rsidRPr="00824FF1">
              <w:rPr>
                <w:rFonts w:eastAsia="Times New Roman" w:cs="Times New Roman"/>
                <w:b/>
                <w:lang w:eastAsia="cs-CZ"/>
              </w:rPr>
              <w:t>3 751 135</w:t>
            </w:r>
          </w:p>
        </w:tc>
        <w:tc>
          <w:tcPr>
            <w:tcW w:w="752" w:type="pct"/>
            <w:tcBorders>
              <w:top w:val="single" w:sz="8" w:space="0" w:color="7F7F7F" w:themeColor="text1" w:themeTint="80"/>
              <w:bottom w:val="single" w:sz="8" w:space="0" w:color="7F7F7F" w:themeColor="text1" w:themeTint="80"/>
            </w:tcBorders>
            <w:shd w:val="clear" w:color="auto" w:fill="auto"/>
            <w:vAlign w:val="center"/>
          </w:tcPr>
          <w:p w:rsidR="00886FD2" w:rsidRPr="00824FF1" w:rsidRDefault="00886FD2" w:rsidP="00CB0F19">
            <w:pPr>
              <w:spacing w:before="120"/>
              <w:jc w:val="right"/>
              <w:rPr>
                <w:rFonts w:eastAsia="Times New Roman" w:cs="Times New Roman"/>
                <w:b/>
                <w:lang w:eastAsia="cs-CZ"/>
              </w:rPr>
            </w:pPr>
            <w:r w:rsidRPr="00824FF1">
              <w:rPr>
                <w:rFonts w:eastAsia="Times New Roman" w:cs="Times New Roman"/>
                <w:b/>
                <w:lang w:eastAsia="cs-CZ"/>
              </w:rPr>
              <w:t>98 895</w:t>
            </w:r>
          </w:p>
        </w:tc>
        <w:tc>
          <w:tcPr>
            <w:tcW w:w="705" w:type="pct"/>
            <w:tcBorders>
              <w:top w:val="single" w:sz="8" w:space="0" w:color="7F7F7F" w:themeColor="text1" w:themeTint="80"/>
              <w:bottom w:val="single" w:sz="8" w:space="0" w:color="7F7F7F" w:themeColor="text1" w:themeTint="80"/>
            </w:tcBorders>
            <w:shd w:val="clear" w:color="auto" w:fill="auto"/>
            <w:vAlign w:val="center"/>
          </w:tcPr>
          <w:p w:rsidR="00886FD2" w:rsidRPr="00B33A9C" w:rsidRDefault="00886FD2" w:rsidP="00CB0F19">
            <w:pPr>
              <w:spacing w:before="120"/>
              <w:jc w:val="right"/>
              <w:rPr>
                <w:rFonts w:eastAsia="Times New Roman" w:cs="Times New Roman"/>
                <w:b/>
                <w:lang w:eastAsia="cs-CZ"/>
              </w:rPr>
            </w:pPr>
            <w:r w:rsidRPr="00B33A9C">
              <w:rPr>
                <w:rFonts w:eastAsia="Times New Roman" w:cs="Times New Roman"/>
                <w:b/>
                <w:lang w:eastAsia="cs-CZ"/>
              </w:rPr>
              <w:t>644 637</w:t>
            </w:r>
          </w:p>
        </w:tc>
        <w:tc>
          <w:tcPr>
            <w:tcW w:w="542" w:type="pct"/>
            <w:tcBorders>
              <w:top w:val="single" w:sz="8" w:space="0" w:color="7F7F7F" w:themeColor="text1" w:themeTint="80"/>
              <w:bottom w:val="single" w:sz="8" w:space="0" w:color="7F7F7F" w:themeColor="text1" w:themeTint="80"/>
            </w:tcBorders>
            <w:shd w:val="clear" w:color="auto" w:fill="auto"/>
            <w:vAlign w:val="center"/>
          </w:tcPr>
          <w:p w:rsidR="00886FD2" w:rsidRPr="00922E62" w:rsidRDefault="00886FD2" w:rsidP="00CB0F19">
            <w:pPr>
              <w:spacing w:before="120"/>
              <w:jc w:val="right"/>
              <w:rPr>
                <w:rFonts w:eastAsia="Times New Roman" w:cs="Times New Roman"/>
                <w:b/>
                <w:lang w:eastAsia="cs-CZ"/>
              </w:rPr>
            </w:pPr>
            <w:r w:rsidRPr="00922E62">
              <w:rPr>
                <w:rFonts w:eastAsia="Times New Roman" w:cs="Times New Roman"/>
                <w:b/>
                <w:lang w:eastAsia="cs-CZ"/>
              </w:rPr>
              <w:t>651,84</w:t>
            </w:r>
          </w:p>
        </w:tc>
      </w:tr>
      <w:tr w:rsidR="00886FD2" w:rsidRPr="00824FF1" w:rsidTr="00CB0F19">
        <w:trPr>
          <w:trHeight w:val="373"/>
        </w:trPr>
        <w:tc>
          <w:tcPr>
            <w:tcW w:w="2261" w:type="pct"/>
            <w:tcBorders>
              <w:top w:val="single" w:sz="8" w:space="0" w:color="7F7F7F" w:themeColor="text1" w:themeTint="80"/>
            </w:tcBorders>
            <w:shd w:val="clear" w:color="auto" w:fill="auto"/>
          </w:tcPr>
          <w:p w:rsidR="00886FD2" w:rsidRPr="00824FF1" w:rsidRDefault="00886FD2" w:rsidP="008A1F72">
            <w:pPr>
              <w:rPr>
                <w:rFonts w:eastAsia="Times New Roman" w:cs="Times New Roman"/>
                <w:lang w:eastAsia="cs-CZ"/>
              </w:rPr>
            </w:pPr>
            <w:r w:rsidRPr="00824FF1">
              <w:rPr>
                <w:rFonts w:eastAsia="Times New Roman" w:cs="Times New Roman"/>
                <w:lang w:eastAsia="cs-CZ"/>
              </w:rPr>
              <w:t>platy zaměstnanců a ostatní platby</w:t>
            </w:r>
          </w:p>
          <w:p w:rsidR="00886FD2" w:rsidRPr="00824FF1" w:rsidRDefault="00886FD2" w:rsidP="008A1F72">
            <w:pPr>
              <w:rPr>
                <w:rFonts w:eastAsia="Times New Roman" w:cs="Times New Roman"/>
                <w:lang w:eastAsia="cs-CZ"/>
              </w:rPr>
            </w:pPr>
            <w:r w:rsidRPr="00824FF1">
              <w:rPr>
                <w:rFonts w:eastAsia="Times New Roman" w:cs="Times New Roman"/>
                <w:lang w:eastAsia="cs-CZ"/>
              </w:rPr>
              <w:t>za provedenou práci</w:t>
            </w:r>
          </w:p>
        </w:tc>
        <w:tc>
          <w:tcPr>
            <w:tcW w:w="740" w:type="pct"/>
            <w:tcBorders>
              <w:top w:val="single" w:sz="8" w:space="0" w:color="7F7F7F" w:themeColor="text1" w:themeTint="80"/>
            </w:tcBorders>
            <w:shd w:val="clear" w:color="auto" w:fill="auto"/>
            <w:vAlign w:val="center"/>
          </w:tcPr>
          <w:p w:rsidR="00886FD2" w:rsidRPr="00824FF1" w:rsidRDefault="00886FD2" w:rsidP="00CB0F19">
            <w:pPr>
              <w:spacing w:before="120"/>
              <w:jc w:val="right"/>
              <w:rPr>
                <w:rFonts w:eastAsia="Times New Roman" w:cs="Times New Roman"/>
                <w:lang w:eastAsia="cs-CZ"/>
              </w:rPr>
            </w:pPr>
            <w:r w:rsidRPr="00824FF1">
              <w:rPr>
                <w:rFonts w:eastAsia="Times New Roman" w:cs="Times New Roman"/>
                <w:lang w:eastAsia="cs-CZ"/>
              </w:rPr>
              <w:t>27 433</w:t>
            </w:r>
          </w:p>
        </w:tc>
        <w:tc>
          <w:tcPr>
            <w:tcW w:w="752" w:type="pct"/>
            <w:tcBorders>
              <w:top w:val="single" w:sz="8" w:space="0" w:color="7F7F7F" w:themeColor="text1" w:themeTint="80"/>
            </w:tcBorders>
            <w:shd w:val="clear" w:color="auto" w:fill="auto"/>
            <w:vAlign w:val="center"/>
          </w:tcPr>
          <w:p w:rsidR="00886FD2" w:rsidRPr="00824FF1" w:rsidRDefault="00886FD2" w:rsidP="00CB0F19">
            <w:pPr>
              <w:spacing w:before="120"/>
              <w:jc w:val="right"/>
              <w:rPr>
                <w:rFonts w:eastAsia="Times New Roman" w:cs="Times New Roman"/>
                <w:lang w:eastAsia="cs-CZ"/>
              </w:rPr>
            </w:pPr>
            <w:r w:rsidRPr="00824FF1">
              <w:rPr>
                <w:rFonts w:eastAsia="Times New Roman" w:cs="Times New Roman"/>
                <w:lang w:eastAsia="cs-CZ"/>
              </w:rPr>
              <w:t>30 464</w:t>
            </w:r>
          </w:p>
        </w:tc>
        <w:tc>
          <w:tcPr>
            <w:tcW w:w="705" w:type="pct"/>
            <w:tcBorders>
              <w:top w:val="single" w:sz="8" w:space="0" w:color="7F7F7F" w:themeColor="text1" w:themeTint="80"/>
            </w:tcBorders>
            <w:shd w:val="clear" w:color="auto" w:fill="auto"/>
            <w:vAlign w:val="center"/>
          </w:tcPr>
          <w:p w:rsidR="00886FD2" w:rsidRPr="00B33A9C" w:rsidRDefault="00886FD2" w:rsidP="00CB0F19">
            <w:pPr>
              <w:spacing w:before="120"/>
              <w:jc w:val="right"/>
              <w:rPr>
                <w:rFonts w:eastAsia="Times New Roman" w:cs="Times New Roman"/>
                <w:lang w:eastAsia="cs-CZ"/>
              </w:rPr>
            </w:pPr>
            <w:r w:rsidRPr="00B33A9C">
              <w:rPr>
                <w:rFonts w:eastAsia="Times New Roman" w:cs="Times New Roman"/>
                <w:lang w:eastAsia="cs-CZ"/>
              </w:rPr>
              <w:t>31 524</w:t>
            </w:r>
          </w:p>
        </w:tc>
        <w:tc>
          <w:tcPr>
            <w:tcW w:w="542" w:type="pct"/>
            <w:tcBorders>
              <w:top w:val="single" w:sz="8" w:space="0" w:color="7F7F7F" w:themeColor="text1" w:themeTint="80"/>
            </w:tcBorders>
            <w:shd w:val="clear" w:color="auto" w:fill="auto"/>
            <w:vAlign w:val="center"/>
          </w:tcPr>
          <w:p w:rsidR="00886FD2" w:rsidRPr="00922E62" w:rsidRDefault="00886FD2" w:rsidP="00CB0F19">
            <w:pPr>
              <w:spacing w:before="120"/>
              <w:jc w:val="right"/>
              <w:rPr>
                <w:rFonts w:eastAsia="Times New Roman" w:cs="Times New Roman"/>
                <w:lang w:eastAsia="cs-CZ"/>
              </w:rPr>
            </w:pPr>
            <w:r w:rsidRPr="00922E62">
              <w:rPr>
                <w:rFonts w:eastAsia="Times New Roman" w:cs="Times New Roman"/>
                <w:lang w:eastAsia="cs-CZ"/>
              </w:rPr>
              <w:t>103,48</w:t>
            </w:r>
          </w:p>
        </w:tc>
      </w:tr>
      <w:tr w:rsidR="00886FD2" w:rsidRPr="00824FF1" w:rsidTr="00CB0F19">
        <w:trPr>
          <w:trHeight w:val="158"/>
        </w:trPr>
        <w:tc>
          <w:tcPr>
            <w:tcW w:w="2261" w:type="pct"/>
            <w:tcBorders>
              <w:top w:val="single" w:sz="4" w:space="0" w:color="7F7F7F" w:themeColor="text1" w:themeTint="80"/>
            </w:tcBorders>
            <w:shd w:val="clear" w:color="auto" w:fill="auto"/>
          </w:tcPr>
          <w:p w:rsidR="00886FD2" w:rsidRPr="00824FF1" w:rsidRDefault="00886FD2" w:rsidP="008A1F72">
            <w:pPr>
              <w:rPr>
                <w:rFonts w:eastAsia="Times New Roman" w:cs="Times New Roman"/>
                <w:lang w:eastAsia="cs-CZ"/>
              </w:rPr>
            </w:pPr>
            <w:r w:rsidRPr="00824FF1">
              <w:rPr>
                <w:rFonts w:eastAsia="Times New Roman" w:cs="Times New Roman"/>
                <w:lang w:eastAsia="cs-CZ"/>
              </w:rPr>
              <w:t>povinné pojistné placené zaměstnavatelem</w:t>
            </w:r>
          </w:p>
        </w:tc>
        <w:tc>
          <w:tcPr>
            <w:tcW w:w="740" w:type="pct"/>
            <w:tcBorders>
              <w:top w:val="single" w:sz="4" w:space="0" w:color="7F7F7F" w:themeColor="text1" w:themeTint="80"/>
            </w:tcBorders>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9 327</w:t>
            </w:r>
          </w:p>
        </w:tc>
        <w:tc>
          <w:tcPr>
            <w:tcW w:w="752" w:type="pct"/>
            <w:tcBorders>
              <w:top w:val="single" w:sz="4" w:space="0" w:color="7F7F7F" w:themeColor="text1" w:themeTint="80"/>
            </w:tcBorders>
            <w:shd w:val="clear" w:color="auto" w:fill="auto"/>
            <w:vAlign w:val="center"/>
          </w:tcPr>
          <w:p w:rsidR="00886FD2" w:rsidRPr="00824FF1" w:rsidRDefault="00886FD2" w:rsidP="00CB0F19">
            <w:pPr>
              <w:jc w:val="right"/>
              <w:rPr>
                <w:rFonts w:eastAsia="Times New Roman" w:cs="Times New Roman"/>
                <w:lang w:eastAsia="cs-CZ"/>
              </w:rPr>
            </w:pPr>
            <w:r w:rsidRPr="00824FF1">
              <w:rPr>
                <w:rFonts w:eastAsia="Times New Roman" w:cs="Times New Roman"/>
                <w:lang w:eastAsia="cs-CZ"/>
              </w:rPr>
              <w:t>10 358</w:t>
            </w:r>
          </w:p>
        </w:tc>
        <w:tc>
          <w:tcPr>
            <w:tcW w:w="705" w:type="pct"/>
            <w:tcBorders>
              <w:top w:val="single" w:sz="4" w:space="0" w:color="7F7F7F" w:themeColor="text1" w:themeTint="80"/>
            </w:tcBorders>
            <w:shd w:val="clear" w:color="auto" w:fill="auto"/>
            <w:vAlign w:val="center"/>
          </w:tcPr>
          <w:p w:rsidR="00886FD2" w:rsidRPr="00B33A9C" w:rsidRDefault="00886FD2" w:rsidP="00CB0F19">
            <w:pPr>
              <w:jc w:val="right"/>
              <w:rPr>
                <w:rFonts w:eastAsia="Times New Roman" w:cs="Times New Roman"/>
                <w:lang w:eastAsia="cs-CZ"/>
              </w:rPr>
            </w:pPr>
            <w:r w:rsidRPr="00B33A9C">
              <w:rPr>
                <w:rFonts w:eastAsia="Times New Roman" w:cs="Times New Roman"/>
                <w:lang w:eastAsia="cs-CZ"/>
              </w:rPr>
              <w:t>10 718</w:t>
            </w:r>
          </w:p>
        </w:tc>
        <w:tc>
          <w:tcPr>
            <w:tcW w:w="542" w:type="pct"/>
            <w:tcBorders>
              <w:top w:val="single" w:sz="4" w:space="0" w:color="7F7F7F" w:themeColor="text1" w:themeTint="80"/>
            </w:tcBorders>
            <w:shd w:val="clear" w:color="auto" w:fill="auto"/>
            <w:vAlign w:val="center"/>
          </w:tcPr>
          <w:p w:rsidR="00886FD2" w:rsidRPr="00922E62" w:rsidRDefault="00886FD2" w:rsidP="00CB0F19">
            <w:pPr>
              <w:jc w:val="right"/>
              <w:rPr>
                <w:rFonts w:eastAsia="Times New Roman" w:cs="Times New Roman"/>
                <w:lang w:eastAsia="cs-CZ"/>
              </w:rPr>
            </w:pPr>
            <w:r w:rsidRPr="00922E62">
              <w:rPr>
                <w:rFonts w:eastAsia="Times New Roman" w:cs="Times New Roman"/>
                <w:lang w:eastAsia="cs-CZ"/>
              </w:rPr>
              <w:t>103,48</w:t>
            </w:r>
          </w:p>
        </w:tc>
      </w:tr>
      <w:tr w:rsidR="00886FD2" w:rsidRPr="00824FF1" w:rsidTr="00CB0F19">
        <w:trPr>
          <w:trHeight w:val="255"/>
        </w:trPr>
        <w:tc>
          <w:tcPr>
            <w:tcW w:w="2261" w:type="pct"/>
            <w:shd w:val="clear" w:color="auto" w:fill="auto"/>
          </w:tcPr>
          <w:p w:rsidR="00886FD2" w:rsidRPr="00824FF1" w:rsidRDefault="00886FD2" w:rsidP="008A1F72">
            <w:pPr>
              <w:rPr>
                <w:rFonts w:eastAsia="Times New Roman" w:cs="Times New Roman"/>
                <w:lang w:eastAsia="cs-CZ"/>
              </w:rPr>
            </w:pPr>
            <w:r w:rsidRPr="00824FF1">
              <w:rPr>
                <w:rFonts w:eastAsia="Times New Roman" w:cs="Times New Roman"/>
                <w:lang w:eastAsia="cs-CZ"/>
              </w:rPr>
              <w:t>převod FKSP</w:t>
            </w:r>
          </w:p>
        </w:tc>
        <w:tc>
          <w:tcPr>
            <w:tcW w:w="740" w:type="pct"/>
            <w:shd w:val="clear" w:color="auto" w:fill="auto"/>
            <w:vAlign w:val="center"/>
          </w:tcPr>
          <w:p w:rsidR="00886FD2" w:rsidRPr="00824FF1" w:rsidRDefault="00886FD2" w:rsidP="00CB0F19">
            <w:pPr>
              <w:tabs>
                <w:tab w:val="left" w:pos="720"/>
              </w:tabs>
              <w:jc w:val="right"/>
              <w:rPr>
                <w:rFonts w:eastAsia="Times New Roman" w:cs="Times New Roman"/>
                <w:lang w:eastAsia="cs-CZ"/>
              </w:rPr>
            </w:pPr>
            <w:r w:rsidRPr="00824FF1">
              <w:rPr>
                <w:rFonts w:eastAsia="Times New Roman" w:cs="Times New Roman"/>
                <w:lang w:eastAsia="cs-CZ"/>
              </w:rPr>
              <w:t>520</w:t>
            </w:r>
          </w:p>
        </w:tc>
        <w:tc>
          <w:tcPr>
            <w:tcW w:w="752" w:type="pct"/>
            <w:shd w:val="clear" w:color="auto" w:fill="auto"/>
            <w:vAlign w:val="center"/>
          </w:tcPr>
          <w:p w:rsidR="00886FD2" w:rsidRPr="00824FF1" w:rsidRDefault="00886FD2" w:rsidP="00CB0F19">
            <w:pPr>
              <w:jc w:val="right"/>
              <w:rPr>
                <w:rFonts w:eastAsia="Times New Roman" w:cs="Times New Roman"/>
                <w:lang w:eastAsia="cs-CZ"/>
              </w:rPr>
            </w:pPr>
            <w:r w:rsidRPr="00824FF1">
              <w:rPr>
                <w:rFonts w:eastAsia="Times New Roman" w:cs="Times New Roman"/>
                <w:lang w:eastAsia="cs-CZ"/>
              </w:rPr>
              <w:t>581</w:t>
            </w:r>
          </w:p>
        </w:tc>
        <w:tc>
          <w:tcPr>
            <w:tcW w:w="705" w:type="pct"/>
            <w:shd w:val="clear" w:color="auto" w:fill="auto"/>
            <w:vAlign w:val="center"/>
          </w:tcPr>
          <w:p w:rsidR="00886FD2" w:rsidRPr="00B33A9C" w:rsidRDefault="00886FD2" w:rsidP="00CB0F19">
            <w:pPr>
              <w:jc w:val="right"/>
              <w:rPr>
                <w:rFonts w:eastAsia="Times New Roman" w:cs="Times New Roman"/>
                <w:lang w:eastAsia="cs-CZ"/>
              </w:rPr>
            </w:pPr>
            <w:r w:rsidRPr="00B33A9C">
              <w:rPr>
                <w:rFonts w:eastAsia="Times New Roman" w:cs="Times New Roman"/>
                <w:lang w:eastAsia="cs-CZ"/>
              </w:rPr>
              <w:t>602</w:t>
            </w:r>
          </w:p>
        </w:tc>
        <w:tc>
          <w:tcPr>
            <w:tcW w:w="542" w:type="pct"/>
            <w:shd w:val="clear" w:color="auto" w:fill="auto"/>
            <w:vAlign w:val="center"/>
          </w:tcPr>
          <w:p w:rsidR="00886FD2" w:rsidRPr="00922E62" w:rsidRDefault="00886FD2" w:rsidP="00CB0F19">
            <w:pPr>
              <w:jc w:val="right"/>
              <w:rPr>
                <w:rFonts w:eastAsia="Times New Roman" w:cs="Times New Roman"/>
                <w:lang w:eastAsia="cs-CZ"/>
              </w:rPr>
            </w:pPr>
            <w:r w:rsidRPr="00922E62">
              <w:rPr>
                <w:rFonts w:eastAsia="Times New Roman" w:cs="Times New Roman"/>
                <w:lang w:eastAsia="cs-CZ"/>
              </w:rPr>
              <w:t>103,61</w:t>
            </w:r>
          </w:p>
        </w:tc>
      </w:tr>
      <w:tr w:rsidR="00886FD2" w:rsidRPr="00824FF1" w:rsidTr="00CB0F19">
        <w:trPr>
          <w:trHeight w:val="455"/>
        </w:trPr>
        <w:tc>
          <w:tcPr>
            <w:tcW w:w="2261" w:type="pct"/>
            <w:shd w:val="clear" w:color="auto" w:fill="auto"/>
          </w:tcPr>
          <w:p w:rsidR="00886FD2" w:rsidRPr="00824FF1" w:rsidRDefault="00886FD2" w:rsidP="008A1F72">
            <w:pPr>
              <w:rPr>
                <w:rFonts w:eastAsia="Times New Roman" w:cs="Times New Roman"/>
                <w:lang w:eastAsia="cs-CZ"/>
              </w:rPr>
            </w:pPr>
            <w:r w:rsidRPr="00824FF1">
              <w:rPr>
                <w:rFonts w:eastAsia="Times New Roman" w:cs="Times New Roman"/>
                <w:lang w:eastAsia="cs-CZ"/>
              </w:rPr>
              <w:t>dotace na neinvestiční náklady související</w:t>
            </w:r>
          </w:p>
          <w:p w:rsidR="00886FD2" w:rsidRPr="00824FF1" w:rsidRDefault="00886FD2" w:rsidP="008A1F72">
            <w:pPr>
              <w:rPr>
                <w:rFonts w:eastAsia="Times New Roman" w:cs="Times New Roman"/>
                <w:lang w:eastAsia="cs-CZ"/>
              </w:rPr>
            </w:pPr>
            <w:proofErr w:type="gramStart"/>
            <w:r w:rsidRPr="00824FF1">
              <w:rPr>
                <w:rFonts w:eastAsia="Times New Roman" w:cs="Times New Roman"/>
                <w:lang w:eastAsia="cs-CZ"/>
              </w:rPr>
              <w:t>s financ</w:t>
            </w:r>
            <w:proofErr w:type="gramEnd"/>
            <w:r w:rsidRPr="00824FF1">
              <w:rPr>
                <w:rFonts w:eastAsia="Times New Roman" w:cs="Times New Roman"/>
                <w:lang w:eastAsia="cs-CZ"/>
              </w:rPr>
              <w:t>. programů evidovaných v EDS/SMVS</w:t>
            </w:r>
          </w:p>
        </w:tc>
        <w:tc>
          <w:tcPr>
            <w:tcW w:w="740" w:type="pct"/>
            <w:shd w:val="clear" w:color="auto" w:fill="auto"/>
            <w:vAlign w:val="center"/>
          </w:tcPr>
          <w:p w:rsidR="00886FD2" w:rsidRPr="00824FF1" w:rsidRDefault="00886FD2" w:rsidP="00CB0F19">
            <w:pPr>
              <w:spacing w:before="120"/>
              <w:jc w:val="right"/>
              <w:rPr>
                <w:rFonts w:eastAsia="Times New Roman" w:cs="Times New Roman"/>
                <w:lang w:eastAsia="cs-CZ"/>
              </w:rPr>
            </w:pPr>
            <w:r w:rsidRPr="00824FF1">
              <w:rPr>
                <w:rFonts w:eastAsia="Times New Roman" w:cs="Times New Roman"/>
                <w:lang w:eastAsia="cs-CZ"/>
              </w:rPr>
              <w:t>0</w:t>
            </w:r>
          </w:p>
        </w:tc>
        <w:tc>
          <w:tcPr>
            <w:tcW w:w="752" w:type="pct"/>
            <w:shd w:val="clear" w:color="auto" w:fill="auto"/>
            <w:vAlign w:val="center"/>
          </w:tcPr>
          <w:p w:rsidR="00886FD2" w:rsidRPr="00824FF1" w:rsidRDefault="00886FD2" w:rsidP="00CB0F19">
            <w:pPr>
              <w:spacing w:before="120"/>
              <w:jc w:val="right"/>
              <w:rPr>
                <w:rFonts w:eastAsia="Times New Roman" w:cs="Times New Roman"/>
                <w:lang w:eastAsia="cs-CZ"/>
              </w:rPr>
            </w:pPr>
            <w:r w:rsidRPr="00824FF1">
              <w:rPr>
                <w:rFonts w:eastAsia="Times New Roman" w:cs="Times New Roman"/>
                <w:lang w:eastAsia="cs-CZ"/>
              </w:rPr>
              <w:t>0</w:t>
            </w:r>
          </w:p>
        </w:tc>
        <w:tc>
          <w:tcPr>
            <w:tcW w:w="705" w:type="pct"/>
            <w:shd w:val="clear" w:color="auto" w:fill="auto"/>
            <w:vAlign w:val="center"/>
          </w:tcPr>
          <w:p w:rsidR="00886FD2" w:rsidRPr="00B33A9C" w:rsidRDefault="00886FD2" w:rsidP="00CB0F19">
            <w:pPr>
              <w:spacing w:before="120"/>
              <w:jc w:val="right"/>
              <w:rPr>
                <w:rFonts w:eastAsia="Times New Roman" w:cs="Times New Roman"/>
                <w:lang w:eastAsia="cs-CZ"/>
              </w:rPr>
            </w:pPr>
            <w:r w:rsidRPr="00B33A9C">
              <w:rPr>
                <w:rFonts w:eastAsia="Times New Roman" w:cs="Times New Roman"/>
                <w:lang w:eastAsia="cs-CZ"/>
              </w:rPr>
              <w:t>0</w:t>
            </w:r>
          </w:p>
        </w:tc>
        <w:tc>
          <w:tcPr>
            <w:tcW w:w="542" w:type="pct"/>
            <w:shd w:val="clear" w:color="auto" w:fill="auto"/>
            <w:vAlign w:val="center"/>
          </w:tcPr>
          <w:p w:rsidR="00886FD2" w:rsidRPr="00922E62" w:rsidRDefault="00886FD2" w:rsidP="00CB0F19">
            <w:pPr>
              <w:spacing w:before="120"/>
              <w:jc w:val="right"/>
              <w:rPr>
                <w:rFonts w:eastAsia="Times New Roman" w:cs="Times New Roman"/>
                <w:lang w:eastAsia="cs-CZ"/>
              </w:rPr>
            </w:pPr>
            <w:r w:rsidRPr="00922E62">
              <w:rPr>
                <w:rFonts w:eastAsia="Times New Roman" w:cs="Times New Roman"/>
                <w:lang w:eastAsia="cs-CZ"/>
              </w:rPr>
              <w:t>X</w:t>
            </w:r>
          </w:p>
        </w:tc>
      </w:tr>
      <w:tr w:rsidR="00886FD2" w:rsidRPr="00824FF1" w:rsidTr="00CB0F19">
        <w:trPr>
          <w:trHeight w:val="180"/>
        </w:trPr>
        <w:tc>
          <w:tcPr>
            <w:tcW w:w="2261" w:type="pct"/>
            <w:tcBorders>
              <w:bottom w:val="nil"/>
            </w:tcBorders>
            <w:shd w:val="clear" w:color="auto" w:fill="auto"/>
          </w:tcPr>
          <w:p w:rsidR="00886FD2" w:rsidRPr="00824FF1" w:rsidRDefault="00886FD2" w:rsidP="008A1F72">
            <w:pPr>
              <w:rPr>
                <w:rFonts w:eastAsia="Times New Roman" w:cs="Times New Roman"/>
                <w:lang w:eastAsia="cs-CZ"/>
              </w:rPr>
            </w:pPr>
            <w:r w:rsidRPr="00824FF1">
              <w:rPr>
                <w:rFonts w:eastAsia="Times New Roman" w:cs="Times New Roman"/>
                <w:lang w:eastAsia="cs-CZ"/>
              </w:rPr>
              <w:t>výdaje na programy spolufinancované z rozpočtu EU</w:t>
            </w:r>
          </w:p>
        </w:tc>
        <w:tc>
          <w:tcPr>
            <w:tcW w:w="740" w:type="pct"/>
            <w:tcBorders>
              <w:bottom w:val="nil"/>
            </w:tcBorders>
            <w:shd w:val="clear" w:color="auto" w:fill="auto"/>
            <w:vAlign w:val="center"/>
          </w:tcPr>
          <w:p w:rsidR="00886FD2" w:rsidRPr="00824FF1" w:rsidRDefault="00886FD2" w:rsidP="00CB0F19">
            <w:pPr>
              <w:jc w:val="right"/>
              <w:rPr>
                <w:rFonts w:eastAsia="Times New Roman" w:cs="Times New Roman"/>
                <w:lang w:eastAsia="cs-CZ"/>
              </w:rPr>
            </w:pPr>
            <w:r w:rsidRPr="00824FF1">
              <w:rPr>
                <w:rFonts w:eastAsia="Times New Roman" w:cs="Times New Roman"/>
                <w:lang w:eastAsia="cs-CZ"/>
              </w:rPr>
              <w:t>0</w:t>
            </w:r>
          </w:p>
        </w:tc>
        <w:tc>
          <w:tcPr>
            <w:tcW w:w="752" w:type="pct"/>
            <w:tcBorders>
              <w:bottom w:val="nil"/>
            </w:tcBorders>
            <w:shd w:val="clear" w:color="auto" w:fill="auto"/>
            <w:vAlign w:val="center"/>
          </w:tcPr>
          <w:p w:rsidR="00886FD2" w:rsidRPr="00824FF1" w:rsidRDefault="00886FD2" w:rsidP="00CB0F19">
            <w:pPr>
              <w:jc w:val="right"/>
              <w:rPr>
                <w:rFonts w:eastAsia="Times New Roman" w:cs="Times New Roman"/>
                <w:lang w:eastAsia="cs-CZ"/>
              </w:rPr>
            </w:pPr>
            <w:r w:rsidRPr="00824FF1">
              <w:rPr>
                <w:rFonts w:eastAsia="Times New Roman" w:cs="Times New Roman"/>
                <w:lang w:eastAsia="cs-CZ"/>
              </w:rPr>
              <w:t>0</w:t>
            </w:r>
          </w:p>
        </w:tc>
        <w:tc>
          <w:tcPr>
            <w:tcW w:w="705" w:type="pct"/>
            <w:tcBorders>
              <w:bottom w:val="nil"/>
            </w:tcBorders>
            <w:shd w:val="clear" w:color="auto" w:fill="auto"/>
            <w:vAlign w:val="center"/>
          </w:tcPr>
          <w:p w:rsidR="00886FD2" w:rsidRPr="00B33A9C" w:rsidRDefault="00886FD2" w:rsidP="00CB0F19">
            <w:pPr>
              <w:jc w:val="right"/>
              <w:rPr>
                <w:rFonts w:eastAsia="Times New Roman" w:cs="Times New Roman"/>
                <w:lang w:eastAsia="cs-CZ"/>
              </w:rPr>
            </w:pPr>
            <w:r w:rsidRPr="00B33A9C">
              <w:rPr>
                <w:rFonts w:eastAsia="Times New Roman" w:cs="Times New Roman"/>
                <w:lang w:eastAsia="cs-CZ"/>
              </w:rPr>
              <w:t>0</w:t>
            </w:r>
          </w:p>
        </w:tc>
        <w:tc>
          <w:tcPr>
            <w:tcW w:w="542" w:type="pct"/>
            <w:tcBorders>
              <w:bottom w:val="nil"/>
            </w:tcBorders>
            <w:shd w:val="clear" w:color="auto" w:fill="auto"/>
            <w:vAlign w:val="center"/>
          </w:tcPr>
          <w:p w:rsidR="00886FD2" w:rsidRPr="00922E62" w:rsidRDefault="00886FD2" w:rsidP="00CB0F19">
            <w:pPr>
              <w:jc w:val="right"/>
              <w:rPr>
                <w:rFonts w:eastAsia="Times New Roman" w:cs="Times New Roman"/>
                <w:lang w:eastAsia="cs-CZ"/>
              </w:rPr>
            </w:pPr>
            <w:r w:rsidRPr="00922E62">
              <w:rPr>
                <w:rFonts w:eastAsia="Times New Roman" w:cs="Times New Roman"/>
                <w:lang w:eastAsia="cs-CZ"/>
              </w:rPr>
              <w:t>X</w:t>
            </w:r>
          </w:p>
        </w:tc>
      </w:tr>
      <w:tr w:rsidR="00886FD2" w:rsidRPr="00824FF1" w:rsidTr="00CB0F19">
        <w:trPr>
          <w:trHeight w:val="255"/>
        </w:trPr>
        <w:tc>
          <w:tcPr>
            <w:tcW w:w="2261" w:type="pct"/>
            <w:tcBorders>
              <w:top w:val="nil"/>
              <w:bottom w:val="nil"/>
            </w:tcBorders>
            <w:shd w:val="clear" w:color="auto" w:fill="auto"/>
          </w:tcPr>
          <w:p w:rsidR="00886FD2" w:rsidRPr="00824FF1" w:rsidRDefault="00886FD2" w:rsidP="008A1F72">
            <w:pPr>
              <w:rPr>
                <w:rFonts w:eastAsia="Times New Roman" w:cs="Times New Roman"/>
                <w:i/>
                <w:lang w:eastAsia="cs-CZ"/>
              </w:rPr>
            </w:pPr>
            <w:r w:rsidRPr="00824FF1">
              <w:rPr>
                <w:rFonts w:eastAsia="Times New Roman" w:cs="Times New Roman"/>
                <w:i/>
                <w:lang w:eastAsia="cs-CZ"/>
              </w:rPr>
              <w:t xml:space="preserve"> v tom: ze SR</w:t>
            </w:r>
          </w:p>
        </w:tc>
        <w:tc>
          <w:tcPr>
            <w:tcW w:w="740" w:type="pct"/>
            <w:tcBorders>
              <w:top w:val="nil"/>
              <w:bottom w:val="nil"/>
            </w:tcBorders>
            <w:shd w:val="clear" w:color="auto" w:fill="auto"/>
            <w:vAlign w:val="center"/>
          </w:tcPr>
          <w:p w:rsidR="00886FD2" w:rsidRPr="00824FF1" w:rsidRDefault="00886FD2" w:rsidP="00CB0F19">
            <w:pPr>
              <w:jc w:val="right"/>
              <w:rPr>
                <w:rFonts w:eastAsia="Times New Roman" w:cs="Times New Roman"/>
                <w:i/>
                <w:lang w:eastAsia="cs-CZ"/>
              </w:rPr>
            </w:pPr>
            <w:r w:rsidRPr="00824FF1">
              <w:rPr>
                <w:rFonts w:eastAsia="Times New Roman" w:cs="Times New Roman"/>
                <w:i/>
                <w:lang w:eastAsia="cs-CZ"/>
              </w:rPr>
              <w:t>0</w:t>
            </w:r>
          </w:p>
        </w:tc>
        <w:tc>
          <w:tcPr>
            <w:tcW w:w="752" w:type="pct"/>
            <w:tcBorders>
              <w:top w:val="nil"/>
              <w:bottom w:val="nil"/>
            </w:tcBorders>
            <w:shd w:val="clear" w:color="auto" w:fill="auto"/>
            <w:vAlign w:val="center"/>
          </w:tcPr>
          <w:p w:rsidR="00886FD2" w:rsidRPr="00824FF1" w:rsidRDefault="00886FD2" w:rsidP="00CB0F19">
            <w:pPr>
              <w:jc w:val="right"/>
              <w:rPr>
                <w:rFonts w:eastAsia="Times New Roman" w:cs="Times New Roman"/>
                <w:i/>
                <w:lang w:eastAsia="cs-CZ"/>
              </w:rPr>
            </w:pPr>
            <w:r w:rsidRPr="00824FF1">
              <w:rPr>
                <w:rFonts w:eastAsia="Times New Roman" w:cs="Times New Roman"/>
                <w:i/>
                <w:lang w:eastAsia="cs-CZ"/>
              </w:rPr>
              <w:t>0</w:t>
            </w:r>
          </w:p>
        </w:tc>
        <w:tc>
          <w:tcPr>
            <w:tcW w:w="705" w:type="pct"/>
            <w:tcBorders>
              <w:top w:val="nil"/>
              <w:bottom w:val="nil"/>
            </w:tcBorders>
            <w:shd w:val="clear" w:color="auto" w:fill="auto"/>
            <w:vAlign w:val="center"/>
          </w:tcPr>
          <w:p w:rsidR="00886FD2" w:rsidRPr="00B33A9C" w:rsidRDefault="00886FD2" w:rsidP="00CB0F19">
            <w:pPr>
              <w:jc w:val="right"/>
              <w:rPr>
                <w:rFonts w:eastAsia="Times New Roman" w:cs="Times New Roman"/>
                <w:i/>
                <w:lang w:eastAsia="cs-CZ"/>
              </w:rPr>
            </w:pPr>
            <w:r w:rsidRPr="00B33A9C">
              <w:rPr>
                <w:rFonts w:eastAsia="Times New Roman" w:cs="Times New Roman"/>
                <w:i/>
                <w:lang w:eastAsia="cs-CZ"/>
              </w:rPr>
              <w:t>0</w:t>
            </w:r>
          </w:p>
        </w:tc>
        <w:tc>
          <w:tcPr>
            <w:tcW w:w="542" w:type="pct"/>
            <w:tcBorders>
              <w:top w:val="nil"/>
              <w:bottom w:val="nil"/>
            </w:tcBorders>
            <w:shd w:val="clear" w:color="auto" w:fill="auto"/>
            <w:vAlign w:val="center"/>
          </w:tcPr>
          <w:p w:rsidR="00886FD2" w:rsidRPr="00922E62" w:rsidRDefault="00886FD2" w:rsidP="00CB0F19">
            <w:pPr>
              <w:jc w:val="right"/>
              <w:rPr>
                <w:rFonts w:eastAsia="Times New Roman" w:cs="Times New Roman"/>
                <w:i/>
                <w:lang w:eastAsia="cs-CZ"/>
              </w:rPr>
            </w:pPr>
            <w:r w:rsidRPr="00922E62">
              <w:rPr>
                <w:rFonts w:eastAsia="Times New Roman" w:cs="Times New Roman"/>
                <w:i/>
                <w:lang w:eastAsia="cs-CZ"/>
              </w:rPr>
              <w:t>X</w:t>
            </w:r>
          </w:p>
        </w:tc>
      </w:tr>
      <w:tr w:rsidR="00886FD2" w:rsidRPr="00824FF1" w:rsidTr="00CB0F19">
        <w:trPr>
          <w:trHeight w:val="255"/>
        </w:trPr>
        <w:tc>
          <w:tcPr>
            <w:tcW w:w="2261" w:type="pct"/>
            <w:tcBorders>
              <w:top w:val="nil"/>
              <w:bottom w:val="single" w:sz="4" w:space="0" w:color="7F7F7F" w:themeColor="text1" w:themeTint="80"/>
            </w:tcBorders>
            <w:shd w:val="clear" w:color="auto" w:fill="auto"/>
          </w:tcPr>
          <w:p w:rsidR="00886FD2" w:rsidRPr="00824FF1" w:rsidRDefault="00886FD2" w:rsidP="008A1F72">
            <w:pPr>
              <w:rPr>
                <w:rFonts w:eastAsia="Times New Roman" w:cs="Times New Roman"/>
                <w:i/>
                <w:lang w:eastAsia="cs-CZ"/>
              </w:rPr>
            </w:pPr>
            <w:r w:rsidRPr="00824FF1">
              <w:rPr>
                <w:rFonts w:eastAsia="Times New Roman" w:cs="Times New Roman"/>
                <w:i/>
                <w:lang w:eastAsia="cs-CZ"/>
              </w:rPr>
              <w:t xml:space="preserve">            z rozpočtu EU</w:t>
            </w:r>
          </w:p>
        </w:tc>
        <w:tc>
          <w:tcPr>
            <w:tcW w:w="740" w:type="pct"/>
            <w:tcBorders>
              <w:top w:val="nil"/>
              <w:bottom w:val="single" w:sz="4" w:space="0" w:color="7F7F7F" w:themeColor="text1" w:themeTint="80"/>
            </w:tcBorders>
            <w:shd w:val="clear" w:color="auto" w:fill="auto"/>
            <w:vAlign w:val="center"/>
          </w:tcPr>
          <w:p w:rsidR="00886FD2" w:rsidRPr="00824FF1" w:rsidRDefault="00886FD2" w:rsidP="00CB0F19">
            <w:pPr>
              <w:jc w:val="right"/>
              <w:rPr>
                <w:rFonts w:eastAsia="Times New Roman" w:cs="Times New Roman"/>
                <w:i/>
                <w:lang w:eastAsia="cs-CZ"/>
              </w:rPr>
            </w:pPr>
            <w:r w:rsidRPr="00824FF1">
              <w:rPr>
                <w:rFonts w:eastAsia="Times New Roman" w:cs="Times New Roman"/>
                <w:i/>
                <w:lang w:eastAsia="cs-CZ"/>
              </w:rPr>
              <w:t>0</w:t>
            </w:r>
          </w:p>
        </w:tc>
        <w:tc>
          <w:tcPr>
            <w:tcW w:w="752" w:type="pct"/>
            <w:tcBorders>
              <w:top w:val="nil"/>
              <w:bottom w:val="single" w:sz="4" w:space="0" w:color="7F7F7F" w:themeColor="text1" w:themeTint="80"/>
            </w:tcBorders>
            <w:shd w:val="clear" w:color="auto" w:fill="auto"/>
            <w:vAlign w:val="center"/>
          </w:tcPr>
          <w:p w:rsidR="00886FD2" w:rsidRPr="00824FF1" w:rsidRDefault="00886FD2" w:rsidP="00CB0F19">
            <w:pPr>
              <w:jc w:val="right"/>
              <w:rPr>
                <w:rFonts w:eastAsia="Times New Roman" w:cs="Times New Roman"/>
                <w:i/>
                <w:lang w:eastAsia="cs-CZ"/>
              </w:rPr>
            </w:pPr>
            <w:r w:rsidRPr="00824FF1">
              <w:rPr>
                <w:rFonts w:eastAsia="Times New Roman" w:cs="Times New Roman"/>
                <w:i/>
                <w:lang w:eastAsia="cs-CZ"/>
              </w:rPr>
              <w:t xml:space="preserve">0 </w:t>
            </w:r>
          </w:p>
        </w:tc>
        <w:tc>
          <w:tcPr>
            <w:tcW w:w="705" w:type="pct"/>
            <w:tcBorders>
              <w:top w:val="nil"/>
              <w:bottom w:val="single" w:sz="4" w:space="0" w:color="7F7F7F" w:themeColor="text1" w:themeTint="80"/>
            </w:tcBorders>
            <w:shd w:val="clear" w:color="auto" w:fill="auto"/>
            <w:vAlign w:val="center"/>
          </w:tcPr>
          <w:p w:rsidR="00886FD2" w:rsidRPr="00B33A9C" w:rsidRDefault="00886FD2" w:rsidP="00CB0F19">
            <w:pPr>
              <w:jc w:val="right"/>
              <w:rPr>
                <w:rFonts w:eastAsia="Times New Roman" w:cs="Times New Roman"/>
                <w:i/>
                <w:lang w:eastAsia="cs-CZ"/>
              </w:rPr>
            </w:pPr>
            <w:r w:rsidRPr="00B33A9C">
              <w:rPr>
                <w:rFonts w:eastAsia="Times New Roman" w:cs="Times New Roman"/>
                <w:i/>
                <w:lang w:eastAsia="cs-CZ"/>
              </w:rPr>
              <w:t xml:space="preserve">0 </w:t>
            </w:r>
          </w:p>
        </w:tc>
        <w:tc>
          <w:tcPr>
            <w:tcW w:w="542" w:type="pct"/>
            <w:tcBorders>
              <w:top w:val="nil"/>
              <w:bottom w:val="single" w:sz="4" w:space="0" w:color="7F7F7F" w:themeColor="text1" w:themeTint="80"/>
            </w:tcBorders>
            <w:shd w:val="clear" w:color="auto" w:fill="auto"/>
            <w:vAlign w:val="center"/>
          </w:tcPr>
          <w:p w:rsidR="00886FD2" w:rsidRPr="00922E62" w:rsidRDefault="00886FD2" w:rsidP="00CB0F19">
            <w:pPr>
              <w:jc w:val="right"/>
              <w:rPr>
                <w:rFonts w:eastAsia="Times New Roman" w:cs="Times New Roman"/>
                <w:i/>
                <w:lang w:eastAsia="cs-CZ"/>
              </w:rPr>
            </w:pPr>
            <w:r w:rsidRPr="00922E62">
              <w:rPr>
                <w:rFonts w:eastAsia="Times New Roman" w:cs="Times New Roman"/>
                <w:i/>
                <w:lang w:eastAsia="cs-CZ"/>
              </w:rPr>
              <w:t>X</w:t>
            </w:r>
          </w:p>
        </w:tc>
      </w:tr>
    </w:tbl>
    <w:p w:rsidR="00886FD2" w:rsidRDefault="00886FD2" w:rsidP="00BD28A7">
      <w:pPr>
        <w:spacing w:line="240" w:lineRule="auto"/>
        <w:jc w:val="right"/>
        <w:rPr>
          <w:rFonts w:eastAsia="Times New Roman" w:cs="Times New Roman"/>
          <w:b/>
          <w:bCs/>
          <w:i/>
          <w:color w:val="FF0000"/>
          <w:szCs w:val="24"/>
          <w:u w:val="single"/>
          <w:lang w:eastAsia="cs-CZ"/>
        </w:rPr>
      </w:pPr>
    </w:p>
    <w:p w:rsidR="00BD28A7" w:rsidRPr="00B73030" w:rsidRDefault="00BD28A7" w:rsidP="00BD28A7">
      <w:pPr>
        <w:spacing w:line="240" w:lineRule="auto"/>
        <w:ind w:firstLine="540"/>
        <w:rPr>
          <w:rFonts w:eastAsia="Times New Roman" w:cs="Times New Roman"/>
          <w:b/>
          <w:bCs/>
          <w:szCs w:val="24"/>
          <w:u w:val="single"/>
          <w:lang w:eastAsia="cs-CZ"/>
        </w:rPr>
      </w:pPr>
      <w:r w:rsidRPr="00B73030">
        <w:rPr>
          <w:rFonts w:eastAsia="Times New Roman" w:cs="Times New Roman"/>
          <w:b/>
          <w:bCs/>
          <w:szCs w:val="24"/>
          <w:u w:val="single"/>
          <w:lang w:eastAsia="cs-CZ"/>
        </w:rPr>
        <w:t>Centrum služeb pro silniční dopravu</w:t>
      </w:r>
    </w:p>
    <w:p w:rsidR="008F2721" w:rsidRDefault="00B73030" w:rsidP="00B73030">
      <w:pPr>
        <w:spacing w:before="120" w:line="240" w:lineRule="auto"/>
        <w:ind w:firstLine="708"/>
        <w:rPr>
          <w:rFonts w:eastAsia="Times New Roman" w:cs="Times New Roman"/>
          <w:szCs w:val="20"/>
          <w:lang w:eastAsia="cs-CZ"/>
        </w:rPr>
      </w:pPr>
      <w:r w:rsidRPr="004B7651">
        <w:rPr>
          <w:rFonts w:eastAsia="Times New Roman" w:cs="Times New Roman"/>
          <w:szCs w:val="20"/>
          <w:lang w:eastAsia="cs-CZ"/>
        </w:rPr>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w:t>
      </w:r>
      <w:r w:rsidRPr="004B7651">
        <w:rPr>
          <w:rFonts w:eastAsia="Times New Roman" w:cs="Times New Roman"/>
          <w:szCs w:val="20"/>
          <w:lang w:eastAsia="cs-CZ"/>
        </w:rPr>
        <w:br/>
        <w:t>a mezinárodních smluv, kterými je vázána Česká republika v oblasti práce osádek silniční dopravy (AETR) a přepravy nebezpečných věcí (ADR), a delegované činnosti na úseku BESIP.</w:t>
      </w:r>
    </w:p>
    <w:p w:rsidR="002D41EF" w:rsidRPr="00B73030" w:rsidRDefault="002D41EF" w:rsidP="002D41EF">
      <w:pPr>
        <w:pStyle w:val="Titulek"/>
        <w:keepNext/>
      </w:pPr>
      <w:r w:rsidRPr="00B73030">
        <w:t xml:space="preserve">Tabulka č. </w:t>
      </w:r>
      <w:r w:rsidR="00F22264">
        <w:rPr>
          <w:noProof/>
        </w:rPr>
        <w:fldChar w:fldCharType="begin"/>
      </w:r>
      <w:r w:rsidR="00F22264">
        <w:rPr>
          <w:noProof/>
        </w:rPr>
        <w:instrText xml:space="preserve"> SEQ Tabulka \* ARABIC </w:instrText>
      </w:r>
      <w:r w:rsidR="00F22264">
        <w:rPr>
          <w:noProof/>
        </w:rPr>
        <w:fldChar w:fldCharType="separate"/>
      </w:r>
      <w:r w:rsidR="00AF5225">
        <w:rPr>
          <w:noProof/>
        </w:rPr>
        <w:t>15</w:t>
      </w:r>
      <w:r w:rsidR="00F22264">
        <w:rPr>
          <w:noProof/>
        </w:rPr>
        <w:fldChar w:fldCharType="end"/>
      </w:r>
      <w:r w:rsidRPr="00B73030">
        <w:rPr>
          <w:noProof/>
        </w:rPr>
        <w:t xml:space="preserve"> Centrum služeb pro silniční dopravu (v tis. Kč)</w:t>
      </w:r>
    </w:p>
    <w:tbl>
      <w:tblPr>
        <w:tblStyle w:val="Svtltabulkasmkou1zvraznn5"/>
        <w:tblW w:w="9036" w:type="dxa"/>
        <w:tblInd w:w="-10" w:type="dxa"/>
        <w:tblLayout w:type="fixed"/>
        <w:tblLook w:val="0000" w:firstRow="0" w:lastRow="0" w:firstColumn="0" w:lastColumn="0" w:noHBand="0" w:noVBand="0"/>
      </w:tblPr>
      <w:tblGrid>
        <w:gridCol w:w="4365"/>
        <w:gridCol w:w="1361"/>
        <w:gridCol w:w="1276"/>
        <w:gridCol w:w="1134"/>
        <w:gridCol w:w="900"/>
      </w:tblGrid>
      <w:tr w:rsidR="00B73030" w:rsidRPr="0001421C" w:rsidTr="00E65B37">
        <w:trPr>
          <w:trHeight w:val="270"/>
        </w:trPr>
        <w:tc>
          <w:tcPr>
            <w:tcW w:w="4365"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73030" w:rsidRPr="007A6059" w:rsidRDefault="00B73030" w:rsidP="00E65B37">
            <w:pPr>
              <w:autoSpaceDE w:val="0"/>
              <w:autoSpaceDN w:val="0"/>
              <w:adjustRightInd w:val="0"/>
              <w:jc w:val="center"/>
              <w:rPr>
                <w:rFonts w:eastAsia="Times New Roman" w:cs="Times New Roman"/>
                <w:b/>
                <w:lang w:eastAsia="cs-CZ"/>
              </w:rPr>
            </w:pPr>
            <w:r w:rsidRPr="007A6059">
              <w:rPr>
                <w:rFonts w:eastAsia="Times New Roman" w:cs="Times New Roman"/>
                <w:b/>
                <w:lang w:eastAsia="cs-CZ"/>
              </w:rPr>
              <w:t>Ukazatel</w:t>
            </w:r>
          </w:p>
        </w:tc>
        <w:tc>
          <w:tcPr>
            <w:tcW w:w="1361"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Skutečnost</w:t>
            </w:r>
          </w:p>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2017</w:t>
            </w:r>
          </w:p>
        </w:tc>
        <w:tc>
          <w:tcPr>
            <w:tcW w:w="1276"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Schválený</w:t>
            </w:r>
          </w:p>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rozpočet</w:t>
            </w:r>
          </w:p>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2018</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Návrh</w:t>
            </w:r>
          </w:p>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rozpočtu</w:t>
            </w:r>
          </w:p>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2019</w:t>
            </w:r>
          </w:p>
        </w:tc>
        <w:tc>
          <w:tcPr>
            <w:tcW w:w="900"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Index</w:t>
            </w:r>
          </w:p>
          <w:p w:rsidR="00B73030" w:rsidRPr="007A6059" w:rsidRDefault="00B73030" w:rsidP="00E65B37">
            <w:pPr>
              <w:jc w:val="center"/>
              <w:rPr>
                <w:rFonts w:eastAsia="Times New Roman" w:cs="Times New Roman"/>
                <w:b/>
                <w:szCs w:val="24"/>
                <w:lang w:eastAsia="cs-CZ"/>
              </w:rPr>
            </w:pPr>
            <w:r w:rsidRPr="007A6059">
              <w:rPr>
                <w:rFonts w:eastAsia="Times New Roman" w:cs="Times New Roman"/>
                <w:b/>
                <w:szCs w:val="24"/>
                <w:lang w:eastAsia="cs-CZ"/>
              </w:rPr>
              <w:t>2019/</w:t>
            </w:r>
            <w:r w:rsidR="00E65B37">
              <w:rPr>
                <w:rFonts w:eastAsia="Times New Roman" w:cs="Times New Roman"/>
                <w:b/>
                <w:szCs w:val="24"/>
                <w:lang w:eastAsia="cs-CZ"/>
              </w:rPr>
              <w:br/>
            </w:r>
            <w:r w:rsidRPr="007A6059">
              <w:rPr>
                <w:rFonts w:eastAsia="Times New Roman" w:cs="Times New Roman"/>
                <w:b/>
                <w:szCs w:val="24"/>
                <w:lang w:eastAsia="cs-CZ"/>
              </w:rPr>
              <w:t xml:space="preserve">2018 </w:t>
            </w:r>
            <w:r w:rsidR="00E65B37">
              <w:rPr>
                <w:rFonts w:eastAsia="Times New Roman" w:cs="Times New Roman"/>
                <w:b/>
                <w:szCs w:val="24"/>
                <w:lang w:eastAsia="cs-CZ"/>
              </w:rPr>
              <w:br/>
            </w:r>
            <w:r w:rsidRPr="007A6059">
              <w:rPr>
                <w:rFonts w:eastAsia="Times New Roman" w:cs="Times New Roman"/>
                <w:b/>
                <w:szCs w:val="24"/>
                <w:lang w:eastAsia="cs-CZ"/>
              </w:rPr>
              <w:t>(v %)</w:t>
            </w:r>
          </w:p>
        </w:tc>
      </w:tr>
      <w:tr w:rsidR="00B73030" w:rsidRPr="0001421C" w:rsidTr="00CB0F19">
        <w:trPr>
          <w:trHeight w:val="270"/>
        </w:trPr>
        <w:tc>
          <w:tcPr>
            <w:tcW w:w="4365" w:type="dxa"/>
            <w:tcBorders>
              <w:top w:val="single" w:sz="4"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73030" w:rsidRPr="007A6059" w:rsidRDefault="00B73030" w:rsidP="000A05A0">
            <w:pPr>
              <w:autoSpaceDE w:val="0"/>
              <w:autoSpaceDN w:val="0"/>
              <w:adjustRightInd w:val="0"/>
              <w:jc w:val="center"/>
              <w:rPr>
                <w:rFonts w:eastAsia="Times New Roman" w:cs="Times New Roman"/>
                <w:lang w:eastAsia="cs-CZ"/>
              </w:rPr>
            </w:pPr>
            <w:r w:rsidRPr="007A6059">
              <w:rPr>
                <w:rFonts w:eastAsia="Times New Roman" w:cs="Times New Roman"/>
                <w:lang w:eastAsia="cs-CZ"/>
              </w:rPr>
              <w:t>a</w:t>
            </w:r>
          </w:p>
        </w:tc>
        <w:tc>
          <w:tcPr>
            <w:tcW w:w="1361"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7A6059" w:rsidRDefault="00CB0F19" w:rsidP="00CB0F19">
            <w:pPr>
              <w:jc w:val="center"/>
              <w:rPr>
                <w:rFonts w:eastAsia="Times New Roman" w:cs="Times New Roman"/>
                <w:lang w:eastAsia="cs-CZ"/>
              </w:rPr>
            </w:pPr>
            <w:r>
              <w:rPr>
                <w:rFonts w:eastAsia="Times New Roman" w:cs="Times New Roman"/>
                <w:lang w:eastAsia="cs-CZ"/>
              </w:rPr>
              <w:t>1</w:t>
            </w:r>
          </w:p>
        </w:tc>
        <w:tc>
          <w:tcPr>
            <w:tcW w:w="1276"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7A6059" w:rsidRDefault="00CB0F19" w:rsidP="00CB0F19">
            <w:pPr>
              <w:jc w:val="center"/>
              <w:rPr>
                <w:rFonts w:eastAsia="Times New Roman" w:cs="Times New Roman"/>
                <w:lang w:eastAsia="cs-CZ"/>
              </w:rPr>
            </w:pPr>
            <w:r>
              <w:rPr>
                <w:rFonts w:eastAsia="Times New Roman" w:cs="Times New Roman"/>
                <w:lang w:eastAsia="cs-CZ"/>
              </w:rPr>
              <w:t>2</w:t>
            </w:r>
          </w:p>
        </w:tc>
        <w:tc>
          <w:tcPr>
            <w:tcW w:w="113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7A6059" w:rsidRDefault="00CB0F19" w:rsidP="00CB0F19">
            <w:pPr>
              <w:jc w:val="center"/>
              <w:rPr>
                <w:rFonts w:eastAsia="Times New Roman" w:cs="Times New Roman"/>
                <w:lang w:eastAsia="cs-CZ"/>
              </w:rPr>
            </w:pPr>
            <w:r>
              <w:rPr>
                <w:rFonts w:eastAsia="Times New Roman" w:cs="Times New Roman"/>
                <w:lang w:eastAsia="cs-CZ"/>
              </w:rPr>
              <w:t>3</w:t>
            </w:r>
          </w:p>
        </w:tc>
        <w:tc>
          <w:tcPr>
            <w:tcW w:w="900" w:type="dxa"/>
            <w:tcBorders>
              <w:top w:val="single" w:sz="4"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B73030" w:rsidRPr="007A6059" w:rsidRDefault="00CB0F19" w:rsidP="00CB0F19">
            <w:pPr>
              <w:jc w:val="center"/>
              <w:rPr>
                <w:rFonts w:eastAsia="Times New Roman" w:cs="Times New Roman"/>
                <w:lang w:eastAsia="cs-CZ"/>
              </w:rPr>
            </w:pPr>
            <w:r>
              <w:rPr>
                <w:rFonts w:eastAsia="Times New Roman" w:cs="Times New Roman"/>
                <w:lang w:eastAsia="cs-CZ"/>
              </w:rPr>
              <w:t>4</w:t>
            </w:r>
          </w:p>
        </w:tc>
      </w:tr>
      <w:tr w:rsidR="00B73030" w:rsidRPr="0001421C" w:rsidTr="00E65B37">
        <w:trPr>
          <w:trHeight w:val="270"/>
        </w:trPr>
        <w:tc>
          <w:tcPr>
            <w:tcW w:w="4365"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105D3B" w:rsidRDefault="00B73030" w:rsidP="000A05A0">
            <w:pPr>
              <w:autoSpaceDE w:val="0"/>
              <w:autoSpaceDN w:val="0"/>
              <w:adjustRightInd w:val="0"/>
              <w:rPr>
                <w:rFonts w:eastAsia="Times New Roman" w:cs="Times New Roman"/>
                <w:b/>
                <w:bCs/>
                <w:lang w:eastAsia="cs-CZ"/>
              </w:rPr>
            </w:pPr>
            <w:r w:rsidRPr="007A6059">
              <w:rPr>
                <w:rFonts w:eastAsia="Times New Roman" w:cs="Times New Roman"/>
                <w:b/>
                <w:bCs/>
                <w:lang w:eastAsia="cs-CZ"/>
              </w:rPr>
              <w:t>Neinvestiční příspěvek zřízeným PO</w:t>
            </w:r>
          </w:p>
          <w:p w:rsidR="00B73030" w:rsidRPr="007A6059" w:rsidRDefault="00B73030" w:rsidP="000A05A0">
            <w:pPr>
              <w:autoSpaceDE w:val="0"/>
              <w:autoSpaceDN w:val="0"/>
              <w:adjustRightInd w:val="0"/>
              <w:rPr>
                <w:rFonts w:eastAsia="Times New Roman" w:cs="Times New Roman"/>
                <w:bCs/>
                <w:lang w:eastAsia="cs-CZ"/>
              </w:rPr>
            </w:pPr>
            <w:r w:rsidRPr="007A6059">
              <w:rPr>
                <w:rFonts w:eastAsia="Times New Roman" w:cs="Times New Roman"/>
                <w:b/>
                <w:bCs/>
                <w:lang w:eastAsia="cs-CZ"/>
              </w:rPr>
              <w:t xml:space="preserve"> </w:t>
            </w:r>
            <w:r w:rsidRPr="007A6059">
              <w:rPr>
                <w:rFonts w:eastAsia="Times New Roman" w:cs="Times New Roman"/>
                <w:bCs/>
                <w:lang w:eastAsia="cs-CZ"/>
              </w:rPr>
              <w:t>z toho:</w:t>
            </w:r>
          </w:p>
        </w:tc>
        <w:tc>
          <w:tcPr>
            <w:tcW w:w="1361"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B77E56" w:rsidRDefault="00B73030" w:rsidP="000A05A0">
            <w:pPr>
              <w:autoSpaceDE w:val="0"/>
              <w:autoSpaceDN w:val="0"/>
              <w:adjustRightInd w:val="0"/>
              <w:jc w:val="right"/>
              <w:rPr>
                <w:rFonts w:eastAsia="Times New Roman" w:cs="Times New Roman"/>
                <w:b/>
                <w:bCs/>
                <w:color w:val="FF0000"/>
                <w:lang w:eastAsia="cs-CZ"/>
              </w:rPr>
            </w:pPr>
            <w:r w:rsidRPr="00AA1835">
              <w:rPr>
                <w:rFonts w:eastAsia="Times New Roman" w:cs="Times New Roman"/>
                <w:b/>
                <w:bCs/>
                <w:lang w:eastAsia="cs-CZ"/>
              </w:rPr>
              <w:t>79 173</w:t>
            </w:r>
          </w:p>
        </w:tc>
        <w:tc>
          <w:tcPr>
            <w:tcW w:w="1276"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B77E56" w:rsidRDefault="00B73030" w:rsidP="000A05A0">
            <w:pPr>
              <w:autoSpaceDE w:val="0"/>
              <w:autoSpaceDN w:val="0"/>
              <w:adjustRightInd w:val="0"/>
              <w:jc w:val="right"/>
              <w:rPr>
                <w:rFonts w:eastAsia="Times New Roman" w:cs="Times New Roman"/>
                <w:b/>
                <w:bCs/>
                <w:color w:val="FF0000"/>
                <w:lang w:eastAsia="cs-CZ"/>
              </w:rPr>
            </w:pPr>
            <w:r w:rsidRPr="00EF659A">
              <w:rPr>
                <w:rFonts w:eastAsia="Times New Roman" w:cs="Times New Roman"/>
                <w:b/>
                <w:bCs/>
                <w:lang w:eastAsia="cs-CZ"/>
              </w:rPr>
              <w:t>95 895</w:t>
            </w:r>
          </w:p>
        </w:tc>
        <w:tc>
          <w:tcPr>
            <w:tcW w:w="113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7A6059" w:rsidRDefault="00B73030" w:rsidP="000A05A0">
            <w:pPr>
              <w:autoSpaceDE w:val="0"/>
              <w:autoSpaceDN w:val="0"/>
              <w:adjustRightInd w:val="0"/>
              <w:jc w:val="right"/>
              <w:rPr>
                <w:rFonts w:eastAsia="Times New Roman" w:cs="Times New Roman"/>
                <w:b/>
                <w:bCs/>
                <w:color w:val="FF0000"/>
                <w:lang w:eastAsia="cs-CZ"/>
              </w:rPr>
            </w:pPr>
            <w:r w:rsidRPr="007236FA">
              <w:rPr>
                <w:rFonts w:eastAsia="Times New Roman" w:cs="Times New Roman"/>
                <w:b/>
                <w:bCs/>
                <w:lang w:eastAsia="cs-CZ"/>
              </w:rPr>
              <w:t>101 137</w:t>
            </w:r>
          </w:p>
        </w:tc>
        <w:tc>
          <w:tcPr>
            <w:tcW w:w="900"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B73030" w:rsidRPr="00E43F08" w:rsidRDefault="00B73030" w:rsidP="000A05A0">
            <w:pPr>
              <w:autoSpaceDE w:val="0"/>
              <w:autoSpaceDN w:val="0"/>
              <w:adjustRightInd w:val="0"/>
              <w:jc w:val="right"/>
              <w:rPr>
                <w:rFonts w:eastAsia="Times New Roman" w:cs="Times New Roman"/>
                <w:b/>
                <w:bCs/>
                <w:lang w:eastAsia="cs-CZ"/>
              </w:rPr>
            </w:pPr>
            <w:r w:rsidRPr="00E43F08">
              <w:rPr>
                <w:rFonts w:eastAsia="Times New Roman" w:cs="Times New Roman"/>
                <w:b/>
                <w:bCs/>
                <w:lang w:eastAsia="cs-CZ"/>
              </w:rPr>
              <w:t>105,47</w:t>
            </w:r>
          </w:p>
        </w:tc>
      </w:tr>
      <w:tr w:rsidR="00B73030" w:rsidRPr="0001421C" w:rsidTr="00E65B37">
        <w:trPr>
          <w:trHeight w:val="270"/>
        </w:trPr>
        <w:tc>
          <w:tcPr>
            <w:tcW w:w="4365"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73030" w:rsidRPr="007A6059" w:rsidRDefault="00B73030" w:rsidP="000A05A0">
            <w:pPr>
              <w:autoSpaceDE w:val="0"/>
              <w:autoSpaceDN w:val="0"/>
              <w:adjustRightInd w:val="0"/>
              <w:rPr>
                <w:rFonts w:eastAsia="Times New Roman" w:cs="Times New Roman"/>
                <w:lang w:eastAsia="cs-CZ"/>
              </w:rPr>
            </w:pPr>
            <w:r w:rsidRPr="007A6059">
              <w:rPr>
                <w:rFonts w:eastAsia="Times New Roman" w:cs="Times New Roman"/>
                <w:lang w:eastAsia="cs-CZ"/>
              </w:rPr>
              <w:t xml:space="preserve">platy zaměstnanců a ostatní platby </w:t>
            </w:r>
            <w:r w:rsidR="00E65B37">
              <w:rPr>
                <w:rFonts w:eastAsia="Times New Roman" w:cs="Times New Roman"/>
                <w:lang w:eastAsia="cs-CZ"/>
              </w:rPr>
              <w:br/>
            </w:r>
            <w:r w:rsidRPr="007A6059">
              <w:rPr>
                <w:rFonts w:eastAsia="Times New Roman" w:cs="Times New Roman"/>
                <w:lang w:eastAsia="cs-CZ"/>
              </w:rPr>
              <w:t>za provedenou práci</w:t>
            </w:r>
          </w:p>
        </w:tc>
        <w:tc>
          <w:tcPr>
            <w:tcW w:w="1361"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lang w:eastAsia="cs-CZ"/>
              </w:rPr>
            </w:pPr>
            <w:r w:rsidRPr="00EF659A">
              <w:rPr>
                <w:rFonts w:eastAsia="Times New Roman" w:cs="Times New Roman"/>
                <w:lang w:eastAsia="cs-CZ"/>
              </w:rPr>
              <w:t>27 433</w:t>
            </w:r>
          </w:p>
        </w:tc>
        <w:tc>
          <w:tcPr>
            <w:tcW w:w="1276"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lang w:eastAsia="cs-CZ"/>
              </w:rPr>
            </w:pPr>
            <w:r w:rsidRPr="00EF659A">
              <w:rPr>
                <w:rFonts w:eastAsia="Times New Roman" w:cs="Times New Roman"/>
                <w:lang w:eastAsia="cs-CZ"/>
              </w:rPr>
              <w:t>30 464</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7236FA" w:rsidRDefault="00B73030" w:rsidP="000A05A0">
            <w:pPr>
              <w:autoSpaceDE w:val="0"/>
              <w:autoSpaceDN w:val="0"/>
              <w:adjustRightInd w:val="0"/>
              <w:jc w:val="right"/>
              <w:rPr>
                <w:rFonts w:eastAsia="Times New Roman" w:cs="Times New Roman"/>
                <w:lang w:eastAsia="cs-CZ"/>
              </w:rPr>
            </w:pPr>
            <w:r w:rsidRPr="007236FA">
              <w:rPr>
                <w:rFonts w:eastAsia="Times New Roman" w:cs="Times New Roman"/>
                <w:lang w:eastAsia="cs-CZ"/>
              </w:rPr>
              <w:t xml:space="preserve">31 524 </w:t>
            </w:r>
          </w:p>
        </w:tc>
        <w:tc>
          <w:tcPr>
            <w:tcW w:w="900"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73030" w:rsidRPr="00E43F08" w:rsidRDefault="00B73030" w:rsidP="000A05A0">
            <w:pPr>
              <w:autoSpaceDE w:val="0"/>
              <w:autoSpaceDN w:val="0"/>
              <w:adjustRightInd w:val="0"/>
              <w:jc w:val="right"/>
              <w:rPr>
                <w:rFonts w:eastAsia="Times New Roman" w:cs="Times New Roman"/>
                <w:lang w:eastAsia="cs-CZ"/>
              </w:rPr>
            </w:pPr>
            <w:r w:rsidRPr="00E43F08">
              <w:rPr>
                <w:rFonts w:eastAsia="Times New Roman" w:cs="Times New Roman"/>
                <w:lang w:eastAsia="cs-CZ"/>
              </w:rPr>
              <w:t>103,48</w:t>
            </w:r>
          </w:p>
        </w:tc>
      </w:tr>
      <w:tr w:rsidR="00B73030" w:rsidRPr="0001421C" w:rsidTr="00E65B37">
        <w:trPr>
          <w:trHeight w:val="270"/>
        </w:trPr>
        <w:tc>
          <w:tcPr>
            <w:tcW w:w="4365"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73030" w:rsidRPr="007A6059" w:rsidRDefault="00B73030" w:rsidP="000A05A0">
            <w:pPr>
              <w:autoSpaceDE w:val="0"/>
              <w:autoSpaceDN w:val="0"/>
              <w:adjustRightInd w:val="0"/>
              <w:rPr>
                <w:rFonts w:eastAsia="Times New Roman" w:cs="Times New Roman"/>
                <w:lang w:eastAsia="cs-CZ"/>
              </w:rPr>
            </w:pPr>
            <w:r w:rsidRPr="007A6059">
              <w:rPr>
                <w:rFonts w:eastAsia="Times New Roman" w:cs="Times New Roman"/>
                <w:lang w:eastAsia="cs-CZ"/>
              </w:rPr>
              <w:t>povinné pojistné placené zaměstnavatelem</w:t>
            </w:r>
          </w:p>
        </w:tc>
        <w:tc>
          <w:tcPr>
            <w:tcW w:w="13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lang w:eastAsia="cs-CZ"/>
              </w:rPr>
            </w:pPr>
            <w:r w:rsidRPr="00EF659A">
              <w:rPr>
                <w:rFonts w:eastAsia="Times New Roman" w:cs="Times New Roman"/>
                <w:lang w:eastAsia="cs-CZ"/>
              </w:rPr>
              <w:t>9 327</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lang w:eastAsia="cs-CZ"/>
              </w:rPr>
            </w:pPr>
            <w:r w:rsidRPr="00EF659A">
              <w:rPr>
                <w:rFonts w:eastAsia="Times New Roman" w:cs="Times New Roman"/>
                <w:lang w:eastAsia="cs-CZ"/>
              </w:rPr>
              <w:t>10 358</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7236FA" w:rsidRDefault="00B73030" w:rsidP="000A05A0">
            <w:pPr>
              <w:autoSpaceDE w:val="0"/>
              <w:autoSpaceDN w:val="0"/>
              <w:adjustRightInd w:val="0"/>
              <w:jc w:val="right"/>
              <w:rPr>
                <w:rFonts w:eastAsia="Times New Roman" w:cs="Times New Roman"/>
                <w:lang w:eastAsia="cs-CZ"/>
              </w:rPr>
            </w:pPr>
            <w:r w:rsidRPr="007236FA">
              <w:rPr>
                <w:rFonts w:eastAsia="Times New Roman" w:cs="Times New Roman"/>
                <w:lang w:eastAsia="cs-CZ"/>
              </w:rPr>
              <w:t>10 718</w:t>
            </w:r>
          </w:p>
        </w:tc>
        <w:tc>
          <w:tcPr>
            <w:tcW w:w="900"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73030" w:rsidRPr="00E43F08" w:rsidRDefault="00B73030" w:rsidP="000A05A0">
            <w:pPr>
              <w:autoSpaceDE w:val="0"/>
              <w:autoSpaceDN w:val="0"/>
              <w:adjustRightInd w:val="0"/>
              <w:jc w:val="right"/>
              <w:rPr>
                <w:rFonts w:eastAsia="Times New Roman" w:cs="Times New Roman"/>
                <w:lang w:eastAsia="cs-CZ"/>
              </w:rPr>
            </w:pPr>
            <w:r w:rsidRPr="00E43F08">
              <w:rPr>
                <w:rFonts w:eastAsia="Times New Roman" w:cs="Times New Roman"/>
                <w:lang w:eastAsia="cs-CZ"/>
              </w:rPr>
              <w:t>103,48</w:t>
            </w:r>
          </w:p>
        </w:tc>
      </w:tr>
      <w:tr w:rsidR="00B73030" w:rsidRPr="0001421C" w:rsidTr="00E65B37">
        <w:trPr>
          <w:trHeight w:val="270"/>
        </w:trPr>
        <w:tc>
          <w:tcPr>
            <w:tcW w:w="4365"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73030" w:rsidRPr="007A6059" w:rsidRDefault="00B73030" w:rsidP="000A05A0">
            <w:pPr>
              <w:autoSpaceDE w:val="0"/>
              <w:autoSpaceDN w:val="0"/>
              <w:adjustRightInd w:val="0"/>
              <w:rPr>
                <w:rFonts w:eastAsia="Times New Roman" w:cs="Times New Roman"/>
                <w:lang w:eastAsia="cs-CZ"/>
              </w:rPr>
            </w:pPr>
            <w:r w:rsidRPr="007A6059">
              <w:rPr>
                <w:rFonts w:eastAsia="Times New Roman" w:cs="Times New Roman"/>
                <w:lang w:eastAsia="cs-CZ"/>
              </w:rPr>
              <w:t>převod FKSP</w:t>
            </w:r>
          </w:p>
        </w:tc>
        <w:tc>
          <w:tcPr>
            <w:tcW w:w="13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lang w:eastAsia="cs-CZ"/>
              </w:rPr>
            </w:pPr>
            <w:r w:rsidRPr="00EF659A">
              <w:rPr>
                <w:rFonts w:eastAsia="Times New Roman" w:cs="Times New Roman"/>
                <w:lang w:eastAsia="cs-CZ"/>
              </w:rPr>
              <w:t>520</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lang w:eastAsia="cs-CZ"/>
              </w:rPr>
            </w:pPr>
            <w:r w:rsidRPr="00EF659A">
              <w:rPr>
                <w:rFonts w:eastAsia="Times New Roman" w:cs="Times New Roman"/>
                <w:lang w:eastAsia="cs-CZ"/>
              </w:rPr>
              <w:t>581</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7236FA" w:rsidRDefault="00B73030" w:rsidP="000A05A0">
            <w:pPr>
              <w:autoSpaceDE w:val="0"/>
              <w:autoSpaceDN w:val="0"/>
              <w:adjustRightInd w:val="0"/>
              <w:jc w:val="right"/>
              <w:rPr>
                <w:rFonts w:eastAsia="Times New Roman" w:cs="Times New Roman"/>
                <w:lang w:eastAsia="cs-CZ"/>
              </w:rPr>
            </w:pPr>
            <w:r w:rsidRPr="007236FA">
              <w:rPr>
                <w:rFonts w:eastAsia="Times New Roman" w:cs="Times New Roman"/>
                <w:lang w:eastAsia="cs-CZ"/>
              </w:rPr>
              <w:t>602</w:t>
            </w:r>
          </w:p>
        </w:tc>
        <w:tc>
          <w:tcPr>
            <w:tcW w:w="900"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73030" w:rsidRPr="00E43F08" w:rsidRDefault="00B73030" w:rsidP="000A05A0">
            <w:pPr>
              <w:autoSpaceDE w:val="0"/>
              <w:autoSpaceDN w:val="0"/>
              <w:adjustRightInd w:val="0"/>
              <w:jc w:val="right"/>
              <w:rPr>
                <w:rFonts w:eastAsia="Times New Roman" w:cs="Times New Roman"/>
                <w:lang w:eastAsia="cs-CZ"/>
              </w:rPr>
            </w:pPr>
            <w:r w:rsidRPr="00E43F08">
              <w:rPr>
                <w:rFonts w:eastAsia="Times New Roman" w:cs="Times New Roman"/>
                <w:lang w:eastAsia="cs-CZ"/>
              </w:rPr>
              <w:t>103,61</w:t>
            </w:r>
          </w:p>
        </w:tc>
      </w:tr>
      <w:tr w:rsidR="00B73030" w:rsidRPr="0001421C" w:rsidTr="00E65B37">
        <w:trPr>
          <w:trHeight w:val="270"/>
        </w:trPr>
        <w:tc>
          <w:tcPr>
            <w:tcW w:w="4365"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73030" w:rsidRPr="007A6059" w:rsidRDefault="00B73030" w:rsidP="000A05A0">
            <w:pPr>
              <w:autoSpaceDE w:val="0"/>
              <w:autoSpaceDN w:val="0"/>
              <w:adjustRightInd w:val="0"/>
              <w:rPr>
                <w:rFonts w:eastAsia="Times New Roman" w:cs="Times New Roman"/>
                <w:lang w:eastAsia="cs-CZ"/>
              </w:rPr>
            </w:pPr>
            <w:r w:rsidRPr="007A6059">
              <w:rPr>
                <w:rFonts w:eastAsia="Times New Roman" w:cs="Times New Roman"/>
                <w:lang w:eastAsia="cs-CZ"/>
              </w:rPr>
              <w:lastRenderedPageBreak/>
              <w:t xml:space="preserve">dotace na neinvestiční náklady </w:t>
            </w:r>
            <w:proofErr w:type="gramStart"/>
            <w:r w:rsidRPr="007A6059">
              <w:rPr>
                <w:rFonts w:eastAsia="Times New Roman" w:cs="Times New Roman"/>
                <w:lang w:eastAsia="cs-CZ"/>
              </w:rPr>
              <w:t>související s financ</w:t>
            </w:r>
            <w:proofErr w:type="gramEnd"/>
            <w:r w:rsidRPr="007A6059">
              <w:rPr>
                <w:rFonts w:eastAsia="Times New Roman" w:cs="Times New Roman"/>
                <w:lang w:eastAsia="cs-CZ"/>
              </w:rPr>
              <w:t>. z programů evidovaných v EDS/SMVS</w:t>
            </w:r>
          </w:p>
        </w:tc>
        <w:tc>
          <w:tcPr>
            <w:tcW w:w="136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B77E56" w:rsidRDefault="00B73030" w:rsidP="000A05A0">
            <w:pPr>
              <w:tabs>
                <w:tab w:val="left" w:pos="720"/>
              </w:tabs>
              <w:jc w:val="right"/>
              <w:rPr>
                <w:rFonts w:eastAsia="Times New Roman" w:cs="Times New Roman"/>
                <w:color w:val="FF0000"/>
                <w:lang w:eastAsia="cs-CZ"/>
              </w:rPr>
            </w:pPr>
            <w:r w:rsidRPr="00AA1835">
              <w:rPr>
                <w:rFonts w:eastAsia="Times New Roman" w:cs="Times New Roman"/>
                <w:lang w:eastAsia="cs-CZ"/>
              </w:rPr>
              <w:t>0</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lang w:eastAsia="cs-CZ"/>
              </w:rPr>
            </w:pPr>
            <w:r w:rsidRPr="00EF659A">
              <w:rPr>
                <w:rFonts w:eastAsia="Times New Roman" w:cs="Times New Roman"/>
                <w:lang w:eastAsia="cs-CZ"/>
              </w:rPr>
              <w:t>0</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73030" w:rsidRPr="007236FA" w:rsidRDefault="00B73030" w:rsidP="000A05A0">
            <w:pPr>
              <w:autoSpaceDE w:val="0"/>
              <w:autoSpaceDN w:val="0"/>
              <w:adjustRightInd w:val="0"/>
              <w:jc w:val="right"/>
              <w:rPr>
                <w:rFonts w:eastAsia="Times New Roman" w:cs="Times New Roman"/>
                <w:lang w:eastAsia="cs-CZ"/>
              </w:rPr>
            </w:pPr>
            <w:r w:rsidRPr="007236FA">
              <w:rPr>
                <w:rFonts w:eastAsia="Times New Roman" w:cs="Times New Roman"/>
                <w:lang w:eastAsia="cs-CZ"/>
              </w:rPr>
              <w:t>0</w:t>
            </w:r>
          </w:p>
        </w:tc>
        <w:tc>
          <w:tcPr>
            <w:tcW w:w="900"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73030" w:rsidRPr="00E43F08" w:rsidRDefault="00B73030" w:rsidP="000A05A0">
            <w:pPr>
              <w:autoSpaceDE w:val="0"/>
              <w:autoSpaceDN w:val="0"/>
              <w:adjustRightInd w:val="0"/>
              <w:jc w:val="right"/>
              <w:rPr>
                <w:rFonts w:eastAsia="Times New Roman" w:cs="Times New Roman"/>
                <w:lang w:eastAsia="cs-CZ"/>
              </w:rPr>
            </w:pPr>
            <w:r w:rsidRPr="00E43F08">
              <w:rPr>
                <w:rFonts w:eastAsia="Times New Roman" w:cs="Times New Roman"/>
                <w:lang w:eastAsia="cs-CZ"/>
              </w:rPr>
              <w:t>x</w:t>
            </w:r>
          </w:p>
        </w:tc>
      </w:tr>
      <w:tr w:rsidR="00B73030" w:rsidRPr="0001421C" w:rsidTr="00E65B37">
        <w:trPr>
          <w:trHeight w:val="270"/>
        </w:trPr>
        <w:tc>
          <w:tcPr>
            <w:tcW w:w="4365" w:type="dxa"/>
            <w:tcBorders>
              <w:top w:val="single" w:sz="4" w:space="0" w:color="7F7F7F" w:themeColor="text1" w:themeTint="80"/>
              <w:left w:val="single" w:sz="8" w:space="0" w:color="7F7F7F" w:themeColor="text1" w:themeTint="80"/>
              <w:bottom w:val="nil"/>
              <w:right w:val="single" w:sz="4" w:space="0" w:color="7F7F7F" w:themeColor="text1" w:themeTint="80"/>
            </w:tcBorders>
            <w:shd w:val="clear" w:color="auto" w:fill="auto"/>
          </w:tcPr>
          <w:p w:rsidR="00B73030" w:rsidRPr="007A6059" w:rsidRDefault="00B73030" w:rsidP="000A05A0">
            <w:pPr>
              <w:autoSpaceDE w:val="0"/>
              <w:autoSpaceDN w:val="0"/>
              <w:adjustRightInd w:val="0"/>
              <w:rPr>
                <w:rFonts w:eastAsia="Times New Roman" w:cs="Times New Roman"/>
                <w:lang w:eastAsia="cs-CZ"/>
              </w:rPr>
            </w:pPr>
            <w:r w:rsidRPr="007A6059">
              <w:rPr>
                <w:rFonts w:eastAsia="Times New Roman" w:cs="Times New Roman"/>
                <w:lang w:eastAsia="cs-CZ"/>
              </w:rPr>
              <w:t>Z celkového objemu:</w:t>
            </w:r>
          </w:p>
        </w:tc>
        <w:tc>
          <w:tcPr>
            <w:tcW w:w="1361"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B73030" w:rsidRPr="00B77E56" w:rsidRDefault="00B73030" w:rsidP="000A05A0">
            <w:pPr>
              <w:autoSpaceDE w:val="0"/>
              <w:autoSpaceDN w:val="0"/>
              <w:adjustRightInd w:val="0"/>
              <w:jc w:val="right"/>
              <w:rPr>
                <w:rFonts w:eastAsia="Times New Roman" w:cs="Times New Roman"/>
                <w:color w:val="FF0000"/>
                <w:highlight w:val="yellow"/>
                <w:lang w:eastAsia="cs-CZ"/>
              </w:rPr>
            </w:pPr>
          </w:p>
        </w:tc>
        <w:tc>
          <w:tcPr>
            <w:tcW w:w="1276"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B73030" w:rsidRPr="00B77E56" w:rsidRDefault="00B73030" w:rsidP="000A05A0">
            <w:pPr>
              <w:autoSpaceDE w:val="0"/>
              <w:autoSpaceDN w:val="0"/>
              <w:adjustRightInd w:val="0"/>
              <w:jc w:val="right"/>
              <w:rPr>
                <w:rFonts w:eastAsia="Times New Roman" w:cs="Times New Roman"/>
                <w:color w:val="FF0000"/>
                <w:highlight w:val="yellow"/>
                <w:lang w:eastAsia="cs-CZ"/>
              </w:rPr>
            </w:pPr>
          </w:p>
        </w:tc>
        <w:tc>
          <w:tcPr>
            <w:tcW w:w="113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B73030" w:rsidRPr="007236FA" w:rsidRDefault="00B73030" w:rsidP="000A05A0">
            <w:pPr>
              <w:autoSpaceDE w:val="0"/>
              <w:autoSpaceDN w:val="0"/>
              <w:adjustRightInd w:val="0"/>
              <w:jc w:val="right"/>
              <w:rPr>
                <w:rFonts w:eastAsia="Times New Roman" w:cs="Times New Roman"/>
                <w:b/>
                <w:bCs/>
                <w:highlight w:val="yellow"/>
                <w:lang w:eastAsia="cs-CZ"/>
              </w:rPr>
            </w:pPr>
          </w:p>
        </w:tc>
        <w:tc>
          <w:tcPr>
            <w:tcW w:w="900" w:type="dxa"/>
            <w:tcBorders>
              <w:top w:val="single" w:sz="4"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rsidR="00B73030" w:rsidRPr="00E43F08" w:rsidRDefault="00B73030" w:rsidP="000A05A0">
            <w:pPr>
              <w:autoSpaceDE w:val="0"/>
              <w:autoSpaceDN w:val="0"/>
              <w:adjustRightInd w:val="0"/>
              <w:jc w:val="right"/>
              <w:rPr>
                <w:rFonts w:eastAsia="Times New Roman" w:cs="Times New Roman"/>
                <w:highlight w:val="yellow"/>
                <w:lang w:eastAsia="cs-CZ"/>
              </w:rPr>
            </w:pPr>
          </w:p>
        </w:tc>
      </w:tr>
      <w:tr w:rsidR="00B73030" w:rsidRPr="0001421C" w:rsidTr="00E65B37">
        <w:trPr>
          <w:trHeight w:val="270"/>
        </w:trPr>
        <w:tc>
          <w:tcPr>
            <w:tcW w:w="4365"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73030" w:rsidRPr="007A6059" w:rsidRDefault="00B73030" w:rsidP="00E65B37">
            <w:pPr>
              <w:autoSpaceDE w:val="0"/>
              <w:autoSpaceDN w:val="0"/>
              <w:adjustRightInd w:val="0"/>
              <w:ind w:left="33" w:hanging="142"/>
              <w:rPr>
                <w:rFonts w:eastAsia="Times New Roman" w:cs="Times New Roman"/>
                <w:i/>
                <w:lang w:eastAsia="cs-CZ"/>
              </w:rPr>
            </w:pPr>
            <w:r w:rsidRPr="007A6059">
              <w:rPr>
                <w:rFonts w:eastAsia="Times New Roman" w:cs="Times New Roman"/>
                <w:i/>
                <w:lang w:eastAsia="cs-CZ"/>
              </w:rPr>
              <w:t xml:space="preserve">           - výdaje na dopravně správní agendy</w:t>
            </w:r>
          </w:p>
          <w:p w:rsidR="00B73030" w:rsidRPr="007A6059" w:rsidRDefault="00B73030" w:rsidP="00E65B37">
            <w:pPr>
              <w:autoSpaceDE w:val="0"/>
              <w:autoSpaceDN w:val="0"/>
              <w:adjustRightInd w:val="0"/>
              <w:ind w:hanging="109"/>
              <w:rPr>
                <w:rFonts w:eastAsia="Times New Roman" w:cs="Times New Roman"/>
                <w:i/>
                <w:lang w:eastAsia="cs-CZ"/>
              </w:rPr>
            </w:pPr>
            <w:r w:rsidRPr="007A6059">
              <w:rPr>
                <w:rFonts w:eastAsia="Times New Roman" w:cs="Times New Roman"/>
                <w:i/>
                <w:lang w:eastAsia="cs-CZ"/>
              </w:rPr>
              <w:t xml:space="preserve">           - BESIP</w:t>
            </w:r>
          </w:p>
        </w:tc>
        <w:tc>
          <w:tcPr>
            <w:tcW w:w="1361"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AA1835" w:rsidRDefault="00B73030" w:rsidP="000A05A0">
            <w:pPr>
              <w:autoSpaceDE w:val="0"/>
              <w:autoSpaceDN w:val="0"/>
              <w:adjustRightInd w:val="0"/>
              <w:jc w:val="right"/>
              <w:rPr>
                <w:rFonts w:eastAsia="Times New Roman" w:cs="Times New Roman"/>
                <w:i/>
                <w:lang w:eastAsia="cs-CZ"/>
              </w:rPr>
            </w:pPr>
            <w:r w:rsidRPr="00AA1835">
              <w:rPr>
                <w:rFonts w:eastAsia="Times New Roman" w:cs="Times New Roman"/>
                <w:i/>
                <w:lang w:eastAsia="cs-CZ"/>
              </w:rPr>
              <w:t>36 472</w:t>
            </w:r>
          </w:p>
          <w:p w:rsidR="00B73030" w:rsidRPr="00B77E56" w:rsidRDefault="00B73030" w:rsidP="000A05A0">
            <w:pPr>
              <w:autoSpaceDE w:val="0"/>
              <w:autoSpaceDN w:val="0"/>
              <w:adjustRightInd w:val="0"/>
              <w:jc w:val="right"/>
              <w:rPr>
                <w:rFonts w:eastAsia="Times New Roman" w:cs="Times New Roman"/>
                <w:i/>
                <w:color w:val="FF0000"/>
                <w:highlight w:val="yellow"/>
                <w:lang w:eastAsia="cs-CZ"/>
              </w:rPr>
            </w:pPr>
            <w:r w:rsidRPr="00AA1835">
              <w:rPr>
                <w:rFonts w:eastAsia="Times New Roman" w:cs="Times New Roman"/>
                <w:i/>
                <w:lang w:eastAsia="cs-CZ"/>
              </w:rPr>
              <w:t>35 521</w:t>
            </w:r>
          </w:p>
        </w:tc>
        <w:tc>
          <w:tcPr>
            <w:tcW w:w="1276"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EF659A" w:rsidRDefault="00B73030" w:rsidP="000A05A0">
            <w:pPr>
              <w:autoSpaceDE w:val="0"/>
              <w:autoSpaceDN w:val="0"/>
              <w:adjustRightInd w:val="0"/>
              <w:jc w:val="right"/>
              <w:rPr>
                <w:rFonts w:eastAsia="Times New Roman" w:cs="Times New Roman"/>
                <w:i/>
                <w:lang w:eastAsia="cs-CZ"/>
              </w:rPr>
            </w:pPr>
            <w:r w:rsidRPr="00EF659A">
              <w:rPr>
                <w:rFonts w:eastAsia="Times New Roman" w:cs="Times New Roman"/>
                <w:i/>
                <w:lang w:eastAsia="cs-CZ"/>
              </w:rPr>
              <w:t>49 072</w:t>
            </w:r>
          </w:p>
          <w:p w:rsidR="00B73030" w:rsidRPr="00B77E56" w:rsidRDefault="00B73030" w:rsidP="000A05A0">
            <w:pPr>
              <w:autoSpaceDE w:val="0"/>
              <w:autoSpaceDN w:val="0"/>
              <w:adjustRightInd w:val="0"/>
              <w:jc w:val="right"/>
              <w:rPr>
                <w:rFonts w:eastAsia="Times New Roman" w:cs="Times New Roman"/>
                <w:i/>
                <w:color w:val="FF0000"/>
                <w:highlight w:val="yellow"/>
                <w:lang w:eastAsia="cs-CZ"/>
              </w:rPr>
            </w:pPr>
            <w:r w:rsidRPr="00EF659A">
              <w:rPr>
                <w:rFonts w:eastAsia="Times New Roman" w:cs="Times New Roman"/>
                <w:i/>
                <w:lang w:eastAsia="cs-CZ"/>
              </w:rPr>
              <w:t>35 521</w:t>
            </w:r>
          </w:p>
        </w:tc>
        <w:tc>
          <w:tcPr>
            <w:tcW w:w="113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73030" w:rsidRPr="007236FA" w:rsidRDefault="00B73030" w:rsidP="000A05A0">
            <w:pPr>
              <w:autoSpaceDE w:val="0"/>
              <w:autoSpaceDN w:val="0"/>
              <w:adjustRightInd w:val="0"/>
              <w:jc w:val="right"/>
              <w:rPr>
                <w:rFonts w:eastAsia="Times New Roman" w:cs="Times New Roman"/>
                <w:i/>
                <w:lang w:eastAsia="cs-CZ"/>
              </w:rPr>
            </w:pPr>
            <w:r w:rsidRPr="007236FA">
              <w:rPr>
                <w:rFonts w:eastAsia="Times New Roman" w:cs="Times New Roman"/>
                <w:i/>
                <w:lang w:eastAsia="cs-CZ"/>
              </w:rPr>
              <w:t>50 221</w:t>
            </w:r>
          </w:p>
          <w:p w:rsidR="00B73030" w:rsidRPr="007236FA" w:rsidRDefault="00B73030" w:rsidP="000A05A0">
            <w:pPr>
              <w:autoSpaceDE w:val="0"/>
              <w:autoSpaceDN w:val="0"/>
              <w:adjustRightInd w:val="0"/>
              <w:jc w:val="right"/>
              <w:rPr>
                <w:rFonts w:eastAsia="Times New Roman" w:cs="Times New Roman"/>
                <w:i/>
                <w:lang w:eastAsia="cs-CZ"/>
              </w:rPr>
            </w:pPr>
            <w:r w:rsidRPr="007236FA">
              <w:rPr>
                <w:rFonts w:eastAsia="Times New Roman" w:cs="Times New Roman"/>
                <w:i/>
                <w:lang w:eastAsia="cs-CZ"/>
              </w:rPr>
              <w:t>37 721</w:t>
            </w:r>
          </w:p>
        </w:tc>
        <w:tc>
          <w:tcPr>
            <w:tcW w:w="900"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B73030" w:rsidRPr="00E43F08" w:rsidRDefault="00B73030" w:rsidP="000A05A0">
            <w:pPr>
              <w:autoSpaceDE w:val="0"/>
              <w:autoSpaceDN w:val="0"/>
              <w:adjustRightInd w:val="0"/>
              <w:jc w:val="right"/>
              <w:rPr>
                <w:rFonts w:eastAsia="Times New Roman" w:cs="Times New Roman"/>
                <w:i/>
                <w:lang w:eastAsia="cs-CZ"/>
              </w:rPr>
            </w:pPr>
            <w:r w:rsidRPr="00E43F08">
              <w:rPr>
                <w:rFonts w:eastAsia="Times New Roman" w:cs="Times New Roman"/>
                <w:i/>
                <w:lang w:eastAsia="cs-CZ"/>
              </w:rPr>
              <w:t>102,34</w:t>
            </w:r>
          </w:p>
          <w:p w:rsidR="00B73030" w:rsidRPr="00E43F08" w:rsidRDefault="00B73030" w:rsidP="000A05A0">
            <w:pPr>
              <w:autoSpaceDE w:val="0"/>
              <w:autoSpaceDN w:val="0"/>
              <w:adjustRightInd w:val="0"/>
              <w:jc w:val="right"/>
              <w:rPr>
                <w:rFonts w:eastAsia="Times New Roman" w:cs="Times New Roman"/>
                <w:i/>
                <w:lang w:eastAsia="cs-CZ"/>
              </w:rPr>
            </w:pPr>
            <w:r w:rsidRPr="00E43F08">
              <w:rPr>
                <w:rFonts w:eastAsia="Times New Roman" w:cs="Times New Roman"/>
                <w:i/>
                <w:lang w:eastAsia="cs-CZ"/>
              </w:rPr>
              <w:t>106,19</w:t>
            </w:r>
          </w:p>
        </w:tc>
      </w:tr>
    </w:tbl>
    <w:p w:rsidR="00F95B31" w:rsidRDefault="00B73030" w:rsidP="001D1C48">
      <w:pPr>
        <w:pStyle w:val="Styl1"/>
      </w:pPr>
      <w:r w:rsidRPr="007A6059">
        <w:t>Navrhovaná částka neinvestičního příspěvku na činnost je oproti roku 2018</w:t>
      </w:r>
      <w:r w:rsidRPr="007A6059">
        <w:rPr>
          <w:color w:val="FF0000"/>
        </w:rPr>
        <w:t xml:space="preserve"> </w:t>
      </w:r>
      <w:r w:rsidRPr="006D44B0">
        <w:t>vyšší</w:t>
      </w:r>
      <w:r w:rsidRPr="007A6059">
        <w:rPr>
          <w:color w:val="FF0000"/>
        </w:rPr>
        <w:t xml:space="preserve"> </w:t>
      </w:r>
      <w:r w:rsidRPr="007A6059">
        <w:rPr>
          <w:color w:val="FF0000"/>
        </w:rPr>
        <w:br/>
      </w:r>
      <w:r w:rsidRPr="00112F93">
        <w:t xml:space="preserve">o 5 242 tis. Kč. </w:t>
      </w:r>
      <w:r w:rsidRPr="00AA0002">
        <w:t xml:space="preserve">Celkové navýšení zahrnuje nárůst limitu prostředků na platy vč. příslušenství </w:t>
      </w:r>
      <w:r w:rsidRPr="00AA0002">
        <w:br/>
        <w:t xml:space="preserve">o 1 442 tis. Kč, </w:t>
      </w:r>
      <w:r w:rsidR="00CB07DA" w:rsidRPr="00CB07DA">
        <w:t xml:space="preserve">v tom je obsaženo navýšení limitu prostředků na platy vč. příslušenství na základě usnesení vlády č. 379/2018 ve výši 2 369 tis. Kč a navýšení prostředků na platy </w:t>
      </w:r>
      <w:r w:rsidR="00CB07DA" w:rsidRPr="00CB07DA">
        <w:br/>
        <w:t xml:space="preserve">vč. příslušenství na základě usnesení vlády č. 588/2018 ve výši 718 tis. Kč,  tj. navýšení celkem </w:t>
      </w:r>
      <w:r w:rsidR="00CB07DA" w:rsidRPr="00CB07DA">
        <w:br/>
        <w:t>o 3 087 tis. Kč,</w:t>
      </w:r>
      <w:r w:rsidRPr="00AA0002">
        <w:t xml:space="preserve"> a dále snížení výdajů na platy vč. příslušenství o 1 645 tis. Kč v souvislosti s krácením neobsazených míst. (podrobněji viz oddíl 3.2.2 Mzdové výdaje a počty pracovníků OSS a PO). </w:t>
      </w:r>
    </w:p>
    <w:p w:rsidR="00B73030" w:rsidRPr="007A6059" w:rsidRDefault="00B73030" w:rsidP="001D1C48">
      <w:pPr>
        <w:pStyle w:val="Styl1"/>
        <w:rPr>
          <w:color w:val="FF0000"/>
        </w:rPr>
      </w:pPr>
      <w:r w:rsidRPr="007A6059">
        <w:t xml:space="preserve">Dále celkové navýšení přestavuje zvýšení výdajů </w:t>
      </w:r>
      <w:r>
        <w:t>o 1 600 tis. Kč na zajištění distribuce</w:t>
      </w:r>
      <w:r w:rsidRPr="007A6059">
        <w:t xml:space="preserve"> čipových kar</w:t>
      </w:r>
      <w:r>
        <w:t>et do digitálního tachografu a na uzavření</w:t>
      </w:r>
      <w:r w:rsidRPr="007A6059">
        <w:t xml:space="preserve"> nájemní smlouvy</w:t>
      </w:r>
      <w:r w:rsidR="004C49D4">
        <w:t xml:space="preserve"> se Státní tiskárnou cenin, </w:t>
      </w:r>
      <w:proofErr w:type="spellStart"/>
      <w:proofErr w:type="gramStart"/>
      <w:r w:rsidR="004C49D4">
        <w:t>s.p</w:t>
      </w:r>
      <w:proofErr w:type="spellEnd"/>
      <w:r w:rsidR="004C49D4">
        <w:t>.</w:t>
      </w:r>
      <w:proofErr w:type="gramEnd"/>
      <w:r w:rsidR="004C49D4">
        <w:t xml:space="preserve"> na skladovací prostor (slouží CSPSD ke skladování zásilek, jejich kompletaci, kontrolu a zabezpečení pro další expedici)</w:t>
      </w:r>
      <w:r w:rsidRPr="007A6059">
        <w:t>. Rovněž dochází také</w:t>
      </w:r>
      <w:r w:rsidR="004C49D4">
        <w:t xml:space="preserve"> k navýšení výdajů na zajištění </w:t>
      </w:r>
      <w:r w:rsidRPr="007A6059">
        <w:t>delegovaných činností na úseku BESIP o 2 200 tis. Kč. Jedná se o výdaje související s rozšířením dopravní výchovy na dětských dopravních hřištích a s nákupem věcných cen v rámci Dopravní soutěže mladých cyklistů, kde dochází k rozšíření počtu oceňovaných umístění v jednotlivých kategoriích.</w:t>
      </w:r>
      <w:r w:rsidRPr="007A6059">
        <w:rPr>
          <w:color w:val="FF0000"/>
        </w:rPr>
        <w:t xml:space="preserve"> </w:t>
      </w:r>
    </w:p>
    <w:p w:rsidR="00B73030" w:rsidRPr="007A6059" w:rsidRDefault="00B73030" w:rsidP="001D1C48">
      <w:pPr>
        <w:pStyle w:val="Styl1"/>
        <w:rPr>
          <w:color w:val="FF0000"/>
        </w:rPr>
      </w:pPr>
      <w:r w:rsidRPr="007A6059">
        <w:t xml:space="preserve">Návrh rozpočtu zahrnuje hlavně krytí výdajů na činnosti vyplývající ze zákonů </w:t>
      </w:r>
      <w:r w:rsidRPr="007A6059">
        <w:br/>
        <w:t xml:space="preserve">č. 247/2000 Sb., č. 361/2000 Sb., č. 56/2001 Sb., č. 13/1997 Sb. a č. 111/1994 Sb., ve smyslu jejich pozdějších úprav. Dále krytí výdajů vyplývá z nařízení Evropského parlamentu a Rady EU 561/2006/ES, o harmonizaci některých předpisů v sociální oblasti týkajících se silniční dopravy. Jedná se zejména o zabezpečení některých činností a úkolů v oblasti státního odborného dozoru v dopravně správních agendách. Dále jsou v tomto objemu zahrnuty požadavky na zajišťování a distribuci všech druhů tiskopisů, zajištění logistiky na úseku centralizované výroby řidičského průkazu vzoru EU, distribuci registračních značek od výrobce na dopravní úřady pověřených měst a obcí a na výkon některých delegovaných činností </w:t>
      </w:r>
      <w:r w:rsidRPr="007A6059">
        <w:br/>
        <w:t>v oblasti BESIP.</w:t>
      </w:r>
    </w:p>
    <w:p w:rsidR="00B73030" w:rsidRPr="007A6059" w:rsidRDefault="00B73030" w:rsidP="001D1C48">
      <w:pPr>
        <w:pStyle w:val="Styl1"/>
      </w:pPr>
      <w:r w:rsidRPr="007A6059">
        <w:t xml:space="preserve">Počet zaměstnanců organizace je pro rok 2019 navržen ve výši 90. Dochází ke snížení </w:t>
      </w:r>
      <w:r w:rsidRPr="007A6059">
        <w:br/>
        <w:t xml:space="preserve">o 1 zaměstnance oproti roku 2018 v souvislosti s krácením neobsazených míst.  </w:t>
      </w:r>
    </w:p>
    <w:p w:rsidR="008F2721" w:rsidRDefault="008F2721" w:rsidP="00BD28A7">
      <w:pPr>
        <w:spacing w:before="240" w:after="80" w:line="240" w:lineRule="auto"/>
        <w:ind w:left="539"/>
        <w:rPr>
          <w:rFonts w:eastAsia="Times New Roman" w:cs="Times New Roman"/>
          <w:b/>
          <w:iCs/>
          <w:szCs w:val="24"/>
          <w:u w:val="single"/>
          <w:lang w:eastAsia="cs-CZ"/>
        </w:rPr>
      </w:pPr>
    </w:p>
    <w:p w:rsidR="008F2721" w:rsidRDefault="008F2721" w:rsidP="00BD28A7">
      <w:pPr>
        <w:spacing w:before="240" w:after="80" w:line="240" w:lineRule="auto"/>
        <w:ind w:left="539"/>
        <w:rPr>
          <w:rFonts w:eastAsia="Times New Roman" w:cs="Times New Roman"/>
          <w:b/>
          <w:iCs/>
          <w:szCs w:val="24"/>
          <w:u w:val="single"/>
          <w:lang w:eastAsia="cs-CZ"/>
        </w:rPr>
      </w:pPr>
    </w:p>
    <w:p w:rsidR="008F2721" w:rsidRDefault="008F2721" w:rsidP="00BD28A7">
      <w:pPr>
        <w:spacing w:before="240" w:after="80" w:line="240" w:lineRule="auto"/>
        <w:ind w:left="539"/>
        <w:rPr>
          <w:rFonts w:eastAsia="Times New Roman" w:cs="Times New Roman"/>
          <w:b/>
          <w:iCs/>
          <w:szCs w:val="24"/>
          <w:u w:val="single"/>
          <w:lang w:eastAsia="cs-CZ"/>
        </w:rPr>
      </w:pPr>
    </w:p>
    <w:p w:rsidR="008F2721" w:rsidRDefault="008F2721" w:rsidP="00BD28A7">
      <w:pPr>
        <w:spacing w:before="240" w:after="80" w:line="240" w:lineRule="auto"/>
        <w:ind w:left="539"/>
        <w:rPr>
          <w:rFonts w:eastAsia="Times New Roman" w:cs="Times New Roman"/>
          <w:b/>
          <w:iCs/>
          <w:szCs w:val="24"/>
          <w:u w:val="single"/>
          <w:lang w:eastAsia="cs-CZ"/>
        </w:rPr>
      </w:pPr>
    </w:p>
    <w:p w:rsidR="008F2721" w:rsidRDefault="008F2721" w:rsidP="00BD28A7">
      <w:pPr>
        <w:spacing w:before="240" w:after="80" w:line="240" w:lineRule="auto"/>
        <w:ind w:left="539"/>
        <w:rPr>
          <w:rFonts w:eastAsia="Times New Roman" w:cs="Times New Roman"/>
          <w:b/>
          <w:iCs/>
          <w:szCs w:val="24"/>
          <w:u w:val="single"/>
          <w:lang w:eastAsia="cs-CZ"/>
        </w:rPr>
      </w:pPr>
    </w:p>
    <w:p w:rsidR="008F2721" w:rsidRDefault="008F2721" w:rsidP="00BD28A7">
      <w:pPr>
        <w:spacing w:before="240" w:after="80" w:line="240" w:lineRule="auto"/>
        <w:ind w:left="539"/>
        <w:rPr>
          <w:rFonts w:eastAsia="Times New Roman" w:cs="Times New Roman"/>
          <w:b/>
          <w:iCs/>
          <w:szCs w:val="24"/>
          <w:u w:val="single"/>
          <w:lang w:eastAsia="cs-CZ"/>
        </w:rPr>
      </w:pPr>
    </w:p>
    <w:p w:rsidR="008F2721" w:rsidRDefault="008F2721" w:rsidP="00BD28A7">
      <w:pPr>
        <w:spacing w:before="240" w:after="80" w:line="240" w:lineRule="auto"/>
        <w:ind w:left="539"/>
        <w:rPr>
          <w:rFonts w:eastAsia="Times New Roman" w:cs="Times New Roman"/>
          <w:b/>
          <w:iCs/>
          <w:szCs w:val="24"/>
          <w:u w:val="single"/>
          <w:lang w:eastAsia="cs-CZ"/>
        </w:rPr>
      </w:pPr>
    </w:p>
    <w:p w:rsidR="00BD28A7" w:rsidRPr="00886FD2" w:rsidRDefault="00BD28A7" w:rsidP="00BD28A7">
      <w:pPr>
        <w:spacing w:before="240" w:after="80" w:line="240" w:lineRule="auto"/>
        <w:ind w:left="539"/>
        <w:rPr>
          <w:rFonts w:eastAsia="Times New Roman" w:cs="Times New Roman"/>
          <w:b/>
          <w:iCs/>
          <w:szCs w:val="24"/>
          <w:u w:val="single"/>
          <w:lang w:eastAsia="cs-CZ"/>
        </w:rPr>
      </w:pPr>
      <w:r w:rsidRPr="00886FD2">
        <w:rPr>
          <w:rFonts w:eastAsia="Times New Roman" w:cs="Times New Roman"/>
          <w:b/>
          <w:iCs/>
          <w:szCs w:val="24"/>
          <w:u w:val="single"/>
          <w:lang w:eastAsia="cs-CZ"/>
        </w:rPr>
        <w:lastRenderedPageBreak/>
        <w:t>Ředitelství silnic a dálnic ČR</w:t>
      </w:r>
    </w:p>
    <w:p w:rsidR="00886FD2" w:rsidRPr="00824FF1" w:rsidRDefault="00886FD2" w:rsidP="001D1C48">
      <w:pPr>
        <w:pStyle w:val="Styl1"/>
      </w:pPr>
      <w:bookmarkStart w:id="50" w:name="_Toc242513289"/>
      <w:bookmarkStart w:id="51" w:name="_Toc462314394"/>
      <w:r w:rsidRPr="00824FF1">
        <w:t xml:space="preserve">Ministerstvo dopravy je zřizovatelem státní příspěvkové organizace Ředitelství silnic a dálnic ČR. Běžné výdaje organizace jsou kryty zejména z rozpočtu Státního fondu dopravní infrastruktury. </w:t>
      </w:r>
    </w:p>
    <w:p w:rsidR="00886FD2" w:rsidRPr="00824FF1" w:rsidRDefault="00886FD2" w:rsidP="00886FD2">
      <w:pPr>
        <w:pStyle w:val="Titulek"/>
        <w:keepNext/>
      </w:pPr>
      <w:r w:rsidRPr="00824FF1">
        <w:t xml:space="preserve">Tabulka č. </w:t>
      </w:r>
      <w:r w:rsidRPr="00824FF1">
        <w:rPr>
          <w:noProof/>
        </w:rPr>
        <w:fldChar w:fldCharType="begin"/>
      </w:r>
      <w:r w:rsidRPr="00824FF1">
        <w:rPr>
          <w:noProof/>
        </w:rPr>
        <w:instrText xml:space="preserve"> SEQ Tabulka \* ARABIC </w:instrText>
      </w:r>
      <w:r w:rsidRPr="00824FF1">
        <w:rPr>
          <w:noProof/>
        </w:rPr>
        <w:fldChar w:fldCharType="separate"/>
      </w:r>
      <w:r w:rsidR="00AF5225">
        <w:rPr>
          <w:noProof/>
        </w:rPr>
        <w:t>16</w:t>
      </w:r>
      <w:r w:rsidRPr="00824FF1">
        <w:rPr>
          <w:noProof/>
        </w:rPr>
        <w:fldChar w:fldCharType="end"/>
      </w:r>
      <w:r w:rsidRPr="00824FF1">
        <w:rPr>
          <w:noProof/>
        </w:rPr>
        <w:t xml:space="preserve"> Ředitelství silnic a dálnic ČR (v tis. Kč)</w:t>
      </w:r>
    </w:p>
    <w:tbl>
      <w:tblPr>
        <w:tblStyle w:val="Svtltabulkasmkou1zvraznn5"/>
        <w:tblW w:w="5088"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51"/>
        <w:gridCol w:w="1259"/>
        <w:gridCol w:w="1135"/>
        <w:gridCol w:w="1186"/>
      </w:tblGrid>
      <w:tr w:rsidR="00CB0F19" w:rsidRPr="0001421C" w:rsidTr="00CB0F19">
        <w:trPr>
          <w:trHeight w:val="775"/>
        </w:trPr>
        <w:tc>
          <w:tcPr>
            <w:tcW w:w="232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Ukazatel</w:t>
            </w:r>
          </w:p>
        </w:tc>
        <w:tc>
          <w:tcPr>
            <w:tcW w:w="73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Skutečnost</w:t>
            </w:r>
          </w:p>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2017</w:t>
            </w:r>
          </w:p>
        </w:tc>
        <w:tc>
          <w:tcPr>
            <w:tcW w:w="6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Schválený</w:t>
            </w:r>
          </w:p>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rozpočet</w:t>
            </w:r>
          </w:p>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2018</w:t>
            </w:r>
          </w:p>
        </w:tc>
        <w:tc>
          <w:tcPr>
            <w:tcW w:w="61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Návrh</w:t>
            </w:r>
          </w:p>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rozpočtu</w:t>
            </w:r>
          </w:p>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2019</w:t>
            </w:r>
          </w:p>
        </w:tc>
        <w:tc>
          <w:tcPr>
            <w:tcW w:w="64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Index</w:t>
            </w:r>
          </w:p>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2019/</w:t>
            </w:r>
            <w:r w:rsidR="00CB0F19">
              <w:rPr>
                <w:rFonts w:eastAsia="Times New Roman" w:cs="Times New Roman"/>
                <w:b/>
                <w:lang w:eastAsia="cs-CZ"/>
              </w:rPr>
              <w:br/>
            </w:r>
            <w:r w:rsidRPr="00824FF1">
              <w:rPr>
                <w:rFonts w:eastAsia="Times New Roman" w:cs="Times New Roman"/>
                <w:b/>
                <w:lang w:eastAsia="cs-CZ"/>
              </w:rPr>
              <w:t>2018</w:t>
            </w:r>
          </w:p>
          <w:p w:rsidR="00886FD2" w:rsidRPr="00824FF1" w:rsidRDefault="00886FD2" w:rsidP="00CB0F19">
            <w:pPr>
              <w:autoSpaceDE w:val="0"/>
              <w:autoSpaceDN w:val="0"/>
              <w:adjustRightInd w:val="0"/>
              <w:jc w:val="center"/>
              <w:rPr>
                <w:rFonts w:eastAsia="Times New Roman" w:cs="Times New Roman"/>
                <w:b/>
                <w:lang w:eastAsia="cs-CZ"/>
              </w:rPr>
            </w:pPr>
            <w:r w:rsidRPr="00824FF1">
              <w:rPr>
                <w:rFonts w:eastAsia="Times New Roman" w:cs="Times New Roman"/>
                <w:b/>
                <w:lang w:eastAsia="cs-CZ"/>
              </w:rPr>
              <w:t>(v %)</w:t>
            </w:r>
          </w:p>
        </w:tc>
      </w:tr>
      <w:tr w:rsidR="00CB0F19" w:rsidRPr="0001421C" w:rsidTr="00CB0F19">
        <w:trPr>
          <w:trHeight w:val="255"/>
        </w:trPr>
        <w:tc>
          <w:tcPr>
            <w:tcW w:w="2323"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autoSpaceDE w:val="0"/>
              <w:autoSpaceDN w:val="0"/>
              <w:adjustRightInd w:val="0"/>
              <w:jc w:val="center"/>
              <w:rPr>
                <w:rFonts w:eastAsia="Times New Roman" w:cs="Times New Roman"/>
                <w:lang w:eastAsia="cs-CZ"/>
              </w:rPr>
            </w:pPr>
            <w:r w:rsidRPr="00824FF1">
              <w:rPr>
                <w:rFonts w:eastAsia="Times New Roman" w:cs="Times New Roman"/>
                <w:lang w:eastAsia="cs-CZ"/>
              </w:rPr>
              <w:t>a</w:t>
            </w:r>
          </w:p>
        </w:tc>
        <w:tc>
          <w:tcPr>
            <w:tcW w:w="733"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autoSpaceDE w:val="0"/>
              <w:autoSpaceDN w:val="0"/>
              <w:adjustRightInd w:val="0"/>
              <w:jc w:val="center"/>
              <w:rPr>
                <w:rFonts w:eastAsia="Times New Roman" w:cs="Times New Roman"/>
                <w:lang w:eastAsia="cs-CZ"/>
              </w:rPr>
            </w:pPr>
            <w:r w:rsidRPr="00824FF1">
              <w:rPr>
                <w:rFonts w:eastAsia="Times New Roman" w:cs="Times New Roman"/>
                <w:lang w:eastAsia="cs-CZ"/>
              </w:rPr>
              <w:t>1</w:t>
            </w:r>
          </w:p>
        </w:tc>
        <w:tc>
          <w:tcPr>
            <w:tcW w:w="683"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autoSpaceDE w:val="0"/>
              <w:autoSpaceDN w:val="0"/>
              <w:adjustRightInd w:val="0"/>
              <w:jc w:val="center"/>
              <w:rPr>
                <w:rFonts w:eastAsia="Times New Roman" w:cs="Times New Roman"/>
                <w:lang w:eastAsia="cs-CZ"/>
              </w:rPr>
            </w:pPr>
            <w:r w:rsidRPr="00824FF1">
              <w:rPr>
                <w:rFonts w:eastAsia="Times New Roman" w:cs="Times New Roman"/>
                <w:lang w:eastAsia="cs-CZ"/>
              </w:rPr>
              <w:t>2</w:t>
            </w:r>
          </w:p>
        </w:tc>
        <w:tc>
          <w:tcPr>
            <w:tcW w:w="616"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autoSpaceDE w:val="0"/>
              <w:autoSpaceDN w:val="0"/>
              <w:adjustRightInd w:val="0"/>
              <w:jc w:val="center"/>
              <w:rPr>
                <w:rFonts w:eastAsia="Times New Roman" w:cs="Times New Roman"/>
                <w:lang w:eastAsia="cs-CZ"/>
              </w:rPr>
            </w:pPr>
            <w:r w:rsidRPr="00824FF1">
              <w:rPr>
                <w:rFonts w:eastAsia="Times New Roman" w:cs="Times New Roman"/>
                <w:lang w:eastAsia="cs-CZ"/>
              </w:rPr>
              <w:t>3</w:t>
            </w:r>
          </w:p>
        </w:tc>
        <w:tc>
          <w:tcPr>
            <w:tcW w:w="644" w:type="pct"/>
            <w:tcBorders>
              <w:top w:val="single" w:sz="4" w:space="0" w:color="7F7F7F" w:themeColor="text1" w:themeTint="80"/>
              <w:bottom w:val="single" w:sz="8" w:space="0" w:color="7F7F7F" w:themeColor="text1" w:themeTint="80"/>
            </w:tcBorders>
            <w:shd w:val="clear" w:color="auto" w:fill="auto"/>
          </w:tcPr>
          <w:p w:rsidR="00886FD2" w:rsidRPr="00824FF1" w:rsidRDefault="00886FD2" w:rsidP="008A1F72">
            <w:pPr>
              <w:autoSpaceDE w:val="0"/>
              <w:autoSpaceDN w:val="0"/>
              <w:adjustRightInd w:val="0"/>
              <w:jc w:val="center"/>
              <w:rPr>
                <w:rFonts w:eastAsia="Times New Roman" w:cs="Times New Roman"/>
                <w:lang w:eastAsia="cs-CZ"/>
              </w:rPr>
            </w:pPr>
            <w:r w:rsidRPr="00824FF1">
              <w:rPr>
                <w:rFonts w:eastAsia="Times New Roman" w:cs="Times New Roman"/>
                <w:lang w:eastAsia="cs-CZ"/>
              </w:rPr>
              <w:t>4</w:t>
            </w:r>
          </w:p>
        </w:tc>
      </w:tr>
      <w:tr w:rsidR="00CB0F19" w:rsidRPr="0001421C" w:rsidTr="00CB0F19">
        <w:trPr>
          <w:trHeight w:val="255"/>
        </w:trPr>
        <w:tc>
          <w:tcPr>
            <w:tcW w:w="2323" w:type="pct"/>
            <w:tcBorders>
              <w:top w:val="single" w:sz="8" w:space="0" w:color="7F7F7F" w:themeColor="text1" w:themeTint="80"/>
              <w:bottom w:val="single" w:sz="8" w:space="0" w:color="7F7F7F" w:themeColor="text1" w:themeTint="80"/>
            </w:tcBorders>
            <w:shd w:val="clear" w:color="auto" w:fill="auto"/>
          </w:tcPr>
          <w:p w:rsidR="00886FD2" w:rsidRPr="00824FF1" w:rsidRDefault="00886FD2" w:rsidP="008A1F72">
            <w:pPr>
              <w:autoSpaceDE w:val="0"/>
              <w:autoSpaceDN w:val="0"/>
              <w:adjustRightInd w:val="0"/>
              <w:rPr>
                <w:rFonts w:eastAsia="Times New Roman" w:cs="Times New Roman"/>
                <w:bCs/>
                <w:lang w:eastAsia="cs-CZ"/>
              </w:rPr>
            </w:pPr>
            <w:r w:rsidRPr="00824FF1">
              <w:rPr>
                <w:rFonts w:eastAsia="Times New Roman" w:cs="Times New Roman"/>
                <w:b/>
                <w:bCs/>
                <w:lang w:eastAsia="cs-CZ"/>
              </w:rPr>
              <w:t xml:space="preserve">Neinvestiční příspěvek a transfery zřízeným PO </w:t>
            </w:r>
            <w:r w:rsidRPr="00824FF1">
              <w:rPr>
                <w:rFonts w:eastAsia="Times New Roman" w:cs="Times New Roman"/>
                <w:bCs/>
                <w:lang w:eastAsia="cs-CZ"/>
              </w:rPr>
              <w:t>z toho:</w:t>
            </w:r>
          </w:p>
        </w:tc>
        <w:tc>
          <w:tcPr>
            <w:tcW w:w="733" w:type="pct"/>
            <w:tcBorders>
              <w:top w:val="single" w:sz="8" w:space="0" w:color="7F7F7F" w:themeColor="text1" w:themeTint="80"/>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b/>
                <w:bCs/>
                <w:lang w:eastAsia="cs-CZ"/>
              </w:rPr>
            </w:pPr>
            <w:r>
              <w:rPr>
                <w:rFonts w:eastAsia="Times New Roman" w:cs="Times New Roman"/>
                <w:b/>
                <w:bCs/>
                <w:lang w:eastAsia="cs-CZ"/>
              </w:rPr>
              <w:t>3 671 962</w:t>
            </w:r>
          </w:p>
        </w:tc>
        <w:tc>
          <w:tcPr>
            <w:tcW w:w="683" w:type="pct"/>
            <w:tcBorders>
              <w:top w:val="single" w:sz="8" w:space="0" w:color="7F7F7F" w:themeColor="text1" w:themeTint="80"/>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b/>
                <w:bCs/>
                <w:lang w:eastAsia="cs-CZ"/>
              </w:rPr>
            </w:pPr>
            <w:r w:rsidRPr="00824FF1">
              <w:rPr>
                <w:rFonts w:eastAsia="Times New Roman" w:cs="Times New Roman"/>
                <w:b/>
                <w:bCs/>
                <w:lang w:eastAsia="cs-CZ"/>
              </w:rPr>
              <w:t xml:space="preserve">3 </w:t>
            </w:r>
            <w:r>
              <w:rPr>
                <w:rFonts w:eastAsia="Times New Roman" w:cs="Times New Roman"/>
                <w:b/>
                <w:bCs/>
                <w:lang w:eastAsia="cs-CZ"/>
              </w:rPr>
              <w:t>000</w:t>
            </w:r>
          </w:p>
        </w:tc>
        <w:tc>
          <w:tcPr>
            <w:tcW w:w="616" w:type="pct"/>
            <w:tcBorders>
              <w:top w:val="single" w:sz="8" w:space="0" w:color="7F7F7F" w:themeColor="text1" w:themeTint="80"/>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b/>
                <w:bCs/>
                <w:lang w:eastAsia="cs-CZ"/>
              </w:rPr>
            </w:pPr>
            <w:r>
              <w:rPr>
                <w:rFonts w:eastAsia="Times New Roman" w:cs="Times New Roman"/>
                <w:b/>
                <w:bCs/>
                <w:lang w:eastAsia="cs-CZ"/>
              </w:rPr>
              <w:t>54</w:t>
            </w:r>
            <w:r w:rsidRPr="00824FF1">
              <w:rPr>
                <w:rFonts w:eastAsia="Times New Roman" w:cs="Times New Roman"/>
                <w:b/>
                <w:bCs/>
                <w:lang w:eastAsia="cs-CZ"/>
              </w:rPr>
              <w:t xml:space="preserve">3 </w:t>
            </w:r>
            <w:r>
              <w:rPr>
                <w:rFonts w:eastAsia="Times New Roman" w:cs="Times New Roman"/>
                <w:b/>
                <w:bCs/>
                <w:lang w:eastAsia="cs-CZ"/>
              </w:rPr>
              <w:t>5</w:t>
            </w:r>
            <w:r w:rsidRPr="00824FF1">
              <w:rPr>
                <w:rFonts w:eastAsia="Times New Roman" w:cs="Times New Roman"/>
                <w:b/>
                <w:bCs/>
                <w:lang w:eastAsia="cs-CZ"/>
              </w:rPr>
              <w:t>00</w:t>
            </w:r>
          </w:p>
        </w:tc>
        <w:tc>
          <w:tcPr>
            <w:tcW w:w="644" w:type="pct"/>
            <w:tcBorders>
              <w:top w:val="single" w:sz="8" w:space="0" w:color="7F7F7F" w:themeColor="text1" w:themeTint="80"/>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b/>
                <w:bCs/>
                <w:lang w:eastAsia="cs-CZ"/>
              </w:rPr>
            </w:pPr>
            <w:r>
              <w:rPr>
                <w:rFonts w:eastAsia="Times New Roman" w:cs="Times New Roman"/>
                <w:b/>
                <w:bCs/>
                <w:lang w:eastAsia="cs-CZ"/>
              </w:rPr>
              <w:t>18 116,67</w:t>
            </w:r>
          </w:p>
        </w:tc>
      </w:tr>
      <w:tr w:rsidR="00CB0F19" w:rsidRPr="0001421C" w:rsidTr="00CB0F19">
        <w:trPr>
          <w:trHeight w:val="255"/>
        </w:trPr>
        <w:tc>
          <w:tcPr>
            <w:tcW w:w="2323" w:type="pct"/>
            <w:tcBorders>
              <w:top w:val="single" w:sz="8" w:space="0" w:color="7F7F7F" w:themeColor="text1" w:themeTint="80"/>
            </w:tcBorders>
            <w:shd w:val="clear" w:color="auto" w:fill="auto"/>
          </w:tcPr>
          <w:p w:rsidR="00886FD2" w:rsidRPr="00824FF1" w:rsidRDefault="00886FD2" w:rsidP="008A1F72">
            <w:pPr>
              <w:autoSpaceDE w:val="0"/>
              <w:autoSpaceDN w:val="0"/>
              <w:adjustRightInd w:val="0"/>
              <w:rPr>
                <w:rFonts w:eastAsia="Times New Roman" w:cs="Times New Roman"/>
                <w:lang w:eastAsia="cs-CZ"/>
              </w:rPr>
            </w:pPr>
            <w:r w:rsidRPr="00824FF1">
              <w:rPr>
                <w:rFonts w:eastAsia="Times New Roman" w:cs="Times New Roman"/>
                <w:lang w:eastAsia="cs-CZ"/>
              </w:rPr>
              <w:t xml:space="preserve">platy zaměstnanců a ostatní platby </w:t>
            </w:r>
            <w:r w:rsidR="00CB0F19">
              <w:rPr>
                <w:rFonts w:eastAsia="Times New Roman" w:cs="Times New Roman"/>
                <w:lang w:eastAsia="cs-CZ"/>
              </w:rPr>
              <w:br/>
            </w:r>
            <w:r w:rsidRPr="00824FF1">
              <w:rPr>
                <w:rFonts w:eastAsia="Times New Roman" w:cs="Times New Roman"/>
                <w:lang w:eastAsia="cs-CZ"/>
              </w:rPr>
              <w:t>za provedenou práci</w:t>
            </w:r>
          </w:p>
        </w:tc>
        <w:tc>
          <w:tcPr>
            <w:tcW w:w="733" w:type="pct"/>
            <w:tcBorders>
              <w:top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0</w:t>
            </w:r>
          </w:p>
        </w:tc>
        <w:tc>
          <w:tcPr>
            <w:tcW w:w="683" w:type="pct"/>
            <w:tcBorders>
              <w:top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0</w:t>
            </w:r>
          </w:p>
        </w:tc>
        <w:tc>
          <w:tcPr>
            <w:tcW w:w="616" w:type="pct"/>
            <w:tcBorders>
              <w:top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0</w:t>
            </w:r>
          </w:p>
        </w:tc>
        <w:tc>
          <w:tcPr>
            <w:tcW w:w="644" w:type="pct"/>
            <w:tcBorders>
              <w:top w:val="single" w:sz="8" w:space="0" w:color="7F7F7F" w:themeColor="text1" w:themeTint="80"/>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x</w:t>
            </w:r>
          </w:p>
        </w:tc>
      </w:tr>
      <w:tr w:rsidR="00CB0F19" w:rsidRPr="0001421C" w:rsidTr="00CB0F19">
        <w:trPr>
          <w:trHeight w:val="255"/>
        </w:trPr>
        <w:tc>
          <w:tcPr>
            <w:tcW w:w="2323" w:type="pct"/>
            <w:shd w:val="clear" w:color="auto" w:fill="auto"/>
          </w:tcPr>
          <w:p w:rsidR="00886FD2" w:rsidRPr="00824FF1" w:rsidRDefault="00886FD2" w:rsidP="008A1F72">
            <w:pPr>
              <w:autoSpaceDE w:val="0"/>
              <w:autoSpaceDN w:val="0"/>
              <w:adjustRightInd w:val="0"/>
              <w:rPr>
                <w:rFonts w:eastAsia="Times New Roman" w:cs="Times New Roman"/>
                <w:lang w:eastAsia="cs-CZ"/>
              </w:rPr>
            </w:pPr>
            <w:r w:rsidRPr="00824FF1">
              <w:rPr>
                <w:rFonts w:eastAsia="Times New Roman" w:cs="Times New Roman"/>
                <w:lang w:eastAsia="cs-CZ"/>
              </w:rPr>
              <w:t>povinné pojistné placené zaměstnavatelem</w:t>
            </w:r>
          </w:p>
        </w:tc>
        <w:tc>
          <w:tcPr>
            <w:tcW w:w="733"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0</w:t>
            </w:r>
          </w:p>
        </w:tc>
        <w:tc>
          <w:tcPr>
            <w:tcW w:w="683"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0</w:t>
            </w:r>
          </w:p>
        </w:tc>
        <w:tc>
          <w:tcPr>
            <w:tcW w:w="616"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0</w:t>
            </w:r>
          </w:p>
        </w:tc>
        <w:tc>
          <w:tcPr>
            <w:tcW w:w="644"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x</w:t>
            </w:r>
          </w:p>
        </w:tc>
      </w:tr>
      <w:tr w:rsidR="00CB0F19" w:rsidRPr="0001421C" w:rsidTr="00CB0F19">
        <w:trPr>
          <w:trHeight w:val="255"/>
        </w:trPr>
        <w:tc>
          <w:tcPr>
            <w:tcW w:w="2323" w:type="pct"/>
            <w:shd w:val="clear" w:color="auto" w:fill="auto"/>
          </w:tcPr>
          <w:p w:rsidR="00886FD2" w:rsidRPr="00824FF1" w:rsidRDefault="00886FD2" w:rsidP="008A1F72">
            <w:pPr>
              <w:autoSpaceDE w:val="0"/>
              <w:autoSpaceDN w:val="0"/>
              <w:adjustRightInd w:val="0"/>
              <w:rPr>
                <w:rFonts w:eastAsia="Times New Roman" w:cs="Times New Roman"/>
                <w:lang w:eastAsia="cs-CZ"/>
              </w:rPr>
            </w:pPr>
            <w:r w:rsidRPr="00824FF1">
              <w:rPr>
                <w:rFonts w:eastAsia="Times New Roman" w:cs="Times New Roman"/>
                <w:lang w:eastAsia="cs-CZ"/>
              </w:rPr>
              <w:t>převod FKSP</w:t>
            </w:r>
          </w:p>
        </w:tc>
        <w:tc>
          <w:tcPr>
            <w:tcW w:w="733"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0</w:t>
            </w:r>
          </w:p>
        </w:tc>
        <w:tc>
          <w:tcPr>
            <w:tcW w:w="683"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0</w:t>
            </w:r>
          </w:p>
        </w:tc>
        <w:tc>
          <w:tcPr>
            <w:tcW w:w="616"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0</w:t>
            </w:r>
          </w:p>
        </w:tc>
        <w:tc>
          <w:tcPr>
            <w:tcW w:w="644" w:type="pct"/>
            <w:shd w:val="clear" w:color="auto" w:fill="auto"/>
            <w:vAlign w:val="center"/>
          </w:tcPr>
          <w:p w:rsidR="00886FD2" w:rsidRPr="00824FF1" w:rsidRDefault="00886FD2" w:rsidP="00CB0F19">
            <w:pPr>
              <w:autoSpaceDE w:val="0"/>
              <w:autoSpaceDN w:val="0"/>
              <w:adjustRightInd w:val="0"/>
              <w:jc w:val="right"/>
              <w:rPr>
                <w:rFonts w:eastAsia="Times New Roman" w:cs="Times New Roman"/>
                <w:lang w:eastAsia="cs-CZ"/>
              </w:rPr>
            </w:pPr>
            <w:r w:rsidRPr="00824FF1">
              <w:rPr>
                <w:rFonts w:eastAsia="Times New Roman" w:cs="Times New Roman"/>
                <w:lang w:eastAsia="cs-CZ"/>
              </w:rPr>
              <w:t>x</w:t>
            </w:r>
          </w:p>
        </w:tc>
      </w:tr>
      <w:tr w:rsidR="00CB0F19" w:rsidRPr="0001421C" w:rsidTr="00CB0F19">
        <w:trPr>
          <w:trHeight w:val="255"/>
        </w:trPr>
        <w:tc>
          <w:tcPr>
            <w:tcW w:w="2323" w:type="pct"/>
            <w:shd w:val="clear" w:color="auto" w:fill="auto"/>
          </w:tcPr>
          <w:p w:rsidR="00886FD2" w:rsidRPr="00824FF1" w:rsidRDefault="00886FD2" w:rsidP="008A1F72">
            <w:pPr>
              <w:autoSpaceDE w:val="0"/>
              <w:autoSpaceDN w:val="0"/>
              <w:adjustRightInd w:val="0"/>
              <w:rPr>
                <w:rFonts w:eastAsia="Times New Roman" w:cs="Times New Roman"/>
                <w:lang w:eastAsia="cs-CZ"/>
              </w:rPr>
            </w:pPr>
            <w:r w:rsidRPr="00824FF1">
              <w:rPr>
                <w:rFonts w:eastAsia="Times New Roman" w:cs="Times New Roman"/>
                <w:lang w:eastAsia="cs-CZ"/>
              </w:rPr>
              <w:t xml:space="preserve">dotace na neinvestiční náklady </w:t>
            </w:r>
            <w:proofErr w:type="gramStart"/>
            <w:r w:rsidRPr="00824FF1">
              <w:rPr>
                <w:rFonts w:eastAsia="Times New Roman" w:cs="Times New Roman"/>
                <w:lang w:eastAsia="cs-CZ"/>
              </w:rPr>
              <w:t>související s financ</w:t>
            </w:r>
            <w:proofErr w:type="gramEnd"/>
            <w:r w:rsidRPr="00824FF1">
              <w:rPr>
                <w:rFonts w:eastAsia="Times New Roman" w:cs="Times New Roman"/>
                <w:lang w:eastAsia="cs-CZ"/>
              </w:rPr>
              <w:t>. programů evidovaných v EDS/SMVS</w:t>
            </w:r>
          </w:p>
        </w:tc>
        <w:tc>
          <w:tcPr>
            <w:tcW w:w="733" w:type="pct"/>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0</w:t>
            </w:r>
          </w:p>
        </w:tc>
        <w:tc>
          <w:tcPr>
            <w:tcW w:w="683" w:type="pct"/>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0</w:t>
            </w:r>
          </w:p>
        </w:tc>
        <w:tc>
          <w:tcPr>
            <w:tcW w:w="616" w:type="pct"/>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0</w:t>
            </w:r>
          </w:p>
        </w:tc>
        <w:tc>
          <w:tcPr>
            <w:tcW w:w="644" w:type="pct"/>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Pr>
                <w:rFonts w:eastAsia="Times New Roman" w:cs="Times New Roman"/>
                <w:lang w:eastAsia="cs-CZ"/>
              </w:rPr>
              <w:t>x</w:t>
            </w:r>
          </w:p>
        </w:tc>
      </w:tr>
      <w:tr w:rsidR="00CB0F19" w:rsidRPr="0001421C" w:rsidTr="00CB0F19">
        <w:trPr>
          <w:trHeight w:val="255"/>
        </w:trPr>
        <w:tc>
          <w:tcPr>
            <w:tcW w:w="2323" w:type="pct"/>
            <w:tcBorders>
              <w:bottom w:val="nil"/>
            </w:tcBorders>
            <w:shd w:val="clear" w:color="auto" w:fill="auto"/>
          </w:tcPr>
          <w:p w:rsidR="00886FD2" w:rsidRPr="00824FF1" w:rsidRDefault="00886FD2" w:rsidP="008A1F72">
            <w:pPr>
              <w:autoSpaceDE w:val="0"/>
              <w:autoSpaceDN w:val="0"/>
              <w:adjustRightInd w:val="0"/>
              <w:rPr>
                <w:rFonts w:eastAsia="Times New Roman" w:cs="Times New Roman"/>
                <w:lang w:eastAsia="cs-CZ"/>
              </w:rPr>
            </w:pPr>
            <w:r w:rsidRPr="00824FF1">
              <w:rPr>
                <w:rFonts w:eastAsia="Times New Roman" w:cs="Times New Roman"/>
                <w:lang w:eastAsia="cs-CZ"/>
              </w:rPr>
              <w:t>výdaje na programy spolufinancované z rozpočtu EU</w:t>
            </w:r>
          </w:p>
        </w:tc>
        <w:tc>
          <w:tcPr>
            <w:tcW w:w="733" w:type="pct"/>
            <w:tcBorders>
              <w:bottom w:val="nil"/>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Pr>
                <w:rFonts w:eastAsia="Times New Roman" w:cs="Times New Roman"/>
                <w:lang w:eastAsia="cs-CZ"/>
              </w:rPr>
              <w:t>0</w:t>
            </w:r>
          </w:p>
        </w:tc>
        <w:tc>
          <w:tcPr>
            <w:tcW w:w="683" w:type="pct"/>
            <w:tcBorders>
              <w:bottom w:val="nil"/>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Pr>
                <w:rFonts w:eastAsia="Times New Roman" w:cs="Times New Roman"/>
                <w:lang w:eastAsia="cs-CZ"/>
              </w:rPr>
              <w:t>0</w:t>
            </w:r>
          </w:p>
        </w:tc>
        <w:tc>
          <w:tcPr>
            <w:tcW w:w="616" w:type="pct"/>
            <w:tcBorders>
              <w:bottom w:val="nil"/>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sidRPr="00824FF1">
              <w:rPr>
                <w:rFonts w:eastAsia="Times New Roman" w:cs="Times New Roman"/>
                <w:lang w:eastAsia="cs-CZ"/>
              </w:rPr>
              <w:t>0</w:t>
            </w:r>
          </w:p>
        </w:tc>
        <w:tc>
          <w:tcPr>
            <w:tcW w:w="644" w:type="pct"/>
            <w:tcBorders>
              <w:bottom w:val="nil"/>
            </w:tcBorders>
            <w:shd w:val="clear" w:color="auto" w:fill="auto"/>
            <w:vAlign w:val="center"/>
          </w:tcPr>
          <w:p w:rsidR="00886FD2" w:rsidRPr="00824FF1" w:rsidRDefault="00886FD2" w:rsidP="00CB0F19">
            <w:pPr>
              <w:autoSpaceDE w:val="0"/>
              <w:autoSpaceDN w:val="0"/>
              <w:adjustRightInd w:val="0"/>
              <w:spacing w:before="120"/>
              <w:jc w:val="right"/>
              <w:rPr>
                <w:rFonts w:eastAsia="Times New Roman" w:cs="Times New Roman"/>
                <w:lang w:eastAsia="cs-CZ"/>
              </w:rPr>
            </w:pPr>
            <w:r>
              <w:rPr>
                <w:rFonts w:eastAsia="Times New Roman" w:cs="Times New Roman"/>
                <w:lang w:eastAsia="cs-CZ"/>
              </w:rPr>
              <w:t>x</w:t>
            </w:r>
          </w:p>
        </w:tc>
      </w:tr>
      <w:tr w:rsidR="00CB0F19" w:rsidRPr="0001421C" w:rsidTr="00CB0F19">
        <w:trPr>
          <w:trHeight w:val="489"/>
        </w:trPr>
        <w:tc>
          <w:tcPr>
            <w:tcW w:w="2323" w:type="pct"/>
            <w:tcBorders>
              <w:top w:val="nil"/>
              <w:bottom w:val="single" w:sz="8" w:space="0" w:color="7F7F7F" w:themeColor="text1" w:themeTint="80"/>
            </w:tcBorders>
            <w:shd w:val="clear" w:color="auto" w:fill="auto"/>
          </w:tcPr>
          <w:p w:rsidR="00886FD2" w:rsidRPr="00824FF1" w:rsidRDefault="00886FD2" w:rsidP="008A1F72">
            <w:pPr>
              <w:autoSpaceDE w:val="0"/>
              <w:autoSpaceDN w:val="0"/>
              <w:adjustRightInd w:val="0"/>
              <w:rPr>
                <w:rFonts w:eastAsia="Times New Roman" w:cs="Times New Roman"/>
                <w:i/>
                <w:lang w:eastAsia="cs-CZ"/>
              </w:rPr>
            </w:pPr>
            <w:r w:rsidRPr="00824FF1">
              <w:rPr>
                <w:rFonts w:eastAsia="Times New Roman" w:cs="Times New Roman"/>
                <w:i/>
                <w:lang w:eastAsia="cs-CZ"/>
              </w:rPr>
              <w:t>v tom: ze SR</w:t>
            </w:r>
          </w:p>
          <w:p w:rsidR="00886FD2" w:rsidRPr="00824FF1" w:rsidRDefault="00886FD2" w:rsidP="008A1F72">
            <w:pPr>
              <w:autoSpaceDE w:val="0"/>
              <w:autoSpaceDN w:val="0"/>
              <w:adjustRightInd w:val="0"/>
              <w:rPr>
                <w:rFonts w:eastAsia="Times New Roman" w:cs="Times New Roman"/>
                <w:i/>
                <w:lang w:eastAsia="cs-CZ"/>
              </w:rPr>
            </w:pPr>
            <w:r w:rsidRPr="00824FF1">
              <w:rPr>
                <w:rFonts w:eastAsia="Times New Roman" w:cs="Times New Roman"/>
                <w:i/>
                <w:lang w:eastAsia="cs-CZ"/>
              </w:rPr>
              <w:t xml:space="preserve">           z rozpočtu EU</w:t>
            </w:r>
          </w:p>
        </w:tc>
        <w:tc>
          <w:tcPr>
            <w:tcW w:w="733" w:type="pct"/>
            <w:tcBorders>
              <w:top w:val="nil"/>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jc w:val="right"/>
              <w:rPr>
                <w:rFonts w:eastAsia="Times New Roman" w:cs="Times New Roman"/>
                <w:i/>
                <w:lang w:eastAsia="cs-CZ"/>
              </w:rPr>
            </w:pPr>
            <w:r w:rsidRPr="00824FF1">
              <w:rPr>
                <w:rFonts w:eastAsia="Times New Roman" w:cs="Times New Roman"/>
                <w:i/>
                <w:lang w:eastAsia="cs-CZ"/>
              </w:rPr>
              <w:t>0</w:t>
            </w:r>
          </w:p>
          <w:p w:rsidR="00886FD2" w:rsidRPr="00824FF1" w:rsidRDefault="00886FD2" w:rsidP="00CB0F19">
            <w:pPr>
              <w:autoSpaceDE w:val="0"/>
              <w:autoSpaceDN w:val="0"/>
              <w:adjustRightInd w:val="0"/>
              <w:jc w:val="right"/>
              <w:rPr>
                <w:rFonts w:eastAsia="Times New Roman" w:cs="Times New Roman"/>
                <w:i/>
                <w:lang w:eastAsia="cs-CZ"/>
              </w:rPr>
            </w:pPr>
            <w:r>
              <w:rPr>
                <w:rFonts w:eastAsia="Times New Roman" w:cs="Times New Roman"/>
                <w:i/>
                <w:lang w:eastAsia="cs-CZ"/>
              </w:rPr>
              <w:t>0</w:t>
            </w:r>
          </w:p>
        </w:tc>
        <w:tc>
          <w:tcPr>
            <w:tcW w:w="683" w:type="pct"/>
            <w:tcBorders>
              <w:top w:val="nil"/>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jc w:val="right"/>
              <w:rPr>
                <w:rFonts w:eastAsia="Times New Roman" w:cs="Times New Roman"/>
                <w:i/>
                <w:lang w:eastAsia="cs-CZ"/>
              </w:rPr>
            </w:pPr>
            <w:r w:rsidRPr="00824FF1">
              <w:rPr>
                <w:rFonts w:eastAsia="Times New Roman" w:cs="Times New Roman"/>
                <w:i/>
                <w:lang w:eastAsia="cs-CZ"/>
              </w:rPr>
              <w:t>0</w:t>
            </w:r>
          </w:p>
          <w:p w:rsidR="00886FD2" w:rsidRPr="00824FF1" w:rsidRDefault="00886FD2" w:rsidP="00CB0F19">
            <w:pPr>
              <w:autoSpaceDE w:val="0"/>
              <w:autoSpaceDN w:val="0"/>
              <w:adjustRightInd w:val="0"/>
              <w:jc w:val="right"/>
              <w:rPr>
                <w:rFonts w:eastAsia="Times New Roman" w:cs="Times New Roman"/>
                <w:b/>
                <w:bCs/>
                <w:i/>
                <w:lang w:eastAsia="cs-CZ"/>
              </w:rPr>
            </w:pPr>
            <w:r>
              <w:rPr>
                <w:rFonts w:eastAsia="Times New Roman" w:cs="Times New Roman"/>
                <w:i/>
                <w:lang w:eastAsia="cs-CZ"/>
              </w:rPr>
              <w:t>0</w:t>
            </w:r>
            <w:r w:rsidRPr="00824FF1">
              <w:rPr>
                <w:rFonts w:eastAsia="Times New Roman" w:cs="Times New Roman"/>
                <w:b/>
                <w:bCs/>
                <w:i/>
                <w:lang w:eastAsia="cs-CZ"/>
              </w:rPr>
              <w:t xml:space="preserve">     </w:t>
            </w:r>
          </w:p>
        </w:tc>
        <w:tc>
          <w:tcPr>
            <w:tcW w:w="616" w:type="pct"/>
            <w:tcBorders>
              <w:top w:val="nil"/>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jc w:val="right"/>
              <w:rPr>
                <w:rFonts w:eastAsia="Times New Roman" w:cs="Times New Roman"/>
                <w:i/>
                <w:lang w:eastAsia="cs-CZ"/>
              </w:rPr>
            </w:pPr>
            <w:r w:rsidRPr="00824FF1">
              <w:rPr>
                <w:rFonts w:eastAsia="Times New Roman" w:cs="Times New Roman"/>
                <w:i/>
                <w:lang w:eastAsia="cs-CZ"/>
              </w:rPr>
              <w:t>0</w:t>
            </w:r>
          </w:p>
          <w:p w:rsidR="00886FD2" w:rsidRPr="00824FF1" w:rsidRDefault="00886FD2" w:rsidP="00CB0F19">
            <w:pPr>
              <w:autoSpaceDE w:val="0"/>
              <w:autoSpaceDN w:val="0"/>
              <w:adjustRightInd w:val="0"/>
              <w:jc w:val="right"/>
              <w:rPr>
                <w:rFonts w:eastAsia="Times New Roman" w:cs="Times New Roman"/>
                <w:b/>
                <w:bCs/>
                <w:i/>
                <w:lang w:eastAsia="cs-CZ"/>
              </w:rPr>
            </w:pPr>
            <w:r w:rsidRPr="00824FF1">
              <w:rPr>
                <w:rFonts w:eastAsia="Times New Roman" w:cs="Times New Roman"/>
                <w:i/>
                <w:lang w:eastAsia="cs-CZ"/>
              </w:rPr>
              <w:t>0</w:t>
            </w:r>
            <w:r w:rsidRPr="00824FF1">
              <w:rPr>
                <w:rFonts w:eastAsia="Times New Roman" w:cs="Times New Roman"/>
                <w:b/>
                <w:bCs/>
                <w:i/>
                <w:lang w:eastAsia="cs-CZ"/>
              </w:rPr>
              <w:t xml:space="preserve">  </w:t>
            </w:r>
          </w:p>
        </w:tc>
        <w:tc>
          <w:tcPr>
            <w:tcW w:w="644" w:type="pct"/>
            <w:tcBorders>
              <w:top w:val="nil"/>
              <w:bottom w:val="single" w:sz="8" w:space="0" w:color="7F7F7F" w:themeColor="text1" w:themeTint="80"/>
            </w:tcBorders>
            <w:shd w:val="clear" w:color="auto" w:fill="auto"/>
            <w:vAlign w:val="center"/>
          </w:tcPr>
          <w:p w:rsidR="00886FD2" w:rsidRPr="00824FF1" w:rsidRDefault="00886FD2" w:rsidP="00CB0F19">
            <w:pPr>
              <w:autoSpaceDE w:val="0"/>
              <w:autoSpaceDN w:val="0"/>
              <w:adjustRightInd w:val="0"/>
              <w:jc w:val="right"/>
              <w:rPr>
                <w:rFonts w:eastAsia="Times New Roman" w:cs="Times New Roman"/>
                <w:i/>
                <w:lang w:eastAsia="cs-CZ"/>
              </w:rPr>
            </w:pPr>
            <w:r>
              <w:rPr>
                <w:rFonts w:eastAsia="Times New Roman" w:cs="Times New Roman"/>
                <w:i/>
                <w:lang w:eastAsia="cs-CZ"/>
              </w:rPr>
              <w:t>x</w:t>
            </w:r>
          </w:p>
          <w:p w:rsidR="00886FD2" w:rsidRPr="00824FF1" w:rsidRDefault="00886FD2" w:rsidP="00CB0F19">
            <w:pPr>
              <w:autoSpaceDE w:val="0"/>
              <w:autoSpaceDN w:val="0"/>
              <w:adjustRightInd w:val="0"/>
              <w:jc w:val="right"/>
              <w:rPr>
                <w:rFonts w:eastAsia="Times New Roman" w:cs="Times New Roman"/>
                <w:i/>
                <w:lang w:eastAsia="cs-CZ"/>
              </w:rPr>
            </w:pPr>
            <w:r>
              <w:rPr>
                <w:rFonts w:eastAsia="Times New Roman" w:cs="Times New Roman"/>
                <w:i/>
                <w:lang w:eastAsia="cs-CZ"/>
              </w:rPr>
              <w:t>x</w:t>
            </w:r>
          </w:p>
        </w:tc>
      </w:tr>
    </w:tbl>
    <w:p w:rsidR="00ED1974" w:rsidRPr="008F7D8A" w:rsidRDefault="00886FD2" w:rsidP="00886FD2">
      <w:pPr>
        <w:pStyle w:val="Styl1"/>
      </w:pPr>
      <w:r w:rsidRPr="008F7D8A">
        <w:t>Prostředky ve výši 543 500 tis. Kč jsou určeny</w:t>
      </w:r>
      <w:r w:rsidR="00ED1974" w:rsidRPr="008F7D8A">
        <w:t xml:space="preserve"> zejména na úhradu odvodů za porušení rozpočtové kázně a</w:t>
      </w:r>
      <w:r w:rsidRPr="008F7D8A">
        <w:t xml:space="preserve"> </w:t>
      </w:r>
      <w:r w:rsidR="00ED1974" w:rsidRPr="008F7D8A">
        <w:t>na Výcvikové středisko v Kojetíně.</w:t>
      </w:r>
    </w:p>
    <w:p w:rsidR="00886FD2" w:rsidRPr="00451CEE" w:rsidRDefault="00886FD2" w:rsidP="008F7D8A">
      <w:pPr>
        <w:pStyle w:val="Styl1"/>
      </w:pPr>
      <w:r w:rsidRPr="00451CEE">
        <w:t>Prostředky ve výši 3 </w:t>
      </w:r>
      <w:r>
        <w:t>5</w:t>
      </w:r>
      <w:r w:rsidRPr="00451CEE">
        <w:t>00 tis. Kč jsou určeny na</w:t>
      </w:r>
      <w:r>
        <w:t xml:space="preserve"> </w:t>
      </w:r>
      <w:r w:rsidRPr="00451CEE">
        <w:t>správ</w:t>
      </w:r>
      <w:r>
        <w:t>u</w:t>
      </w:r>
      <w:r w:rsidRPr="00451CEE">
        <w:t xml:space="preserve"> a provoz</w:t>
      </w:r>
      <w:r>
        <w:t xml:space="preserve"> </w:t>
      </w:r>
      <w:r w:rsidRPr="00451CEE">
        <w:t xml:space="preserve">zmiňovaného </w:t>
      </w:r>
      <w:r>
        <w:t>V</w:t>
      </w:r>
      <w:r w:rsidRPr="00451CEE">
        <w:t>ýcvikové střediska Kojetín</w:t>
      </w:r>
      <w:r>
        <w:t>,</w:t>
      </w:r>
      <w:r w:rsidRPr="00451CEE">
        <w:t xml:space="preserve"> jehož správu a provoz od roku 2013</w:t>
      </w:r>
      <w:r>
        <w:t xml:space="preserve"> zajišťuje</w:t>
      </w:r>
      <w:r w:rsidRPr="00451CEE">
        <w:t xml:space="preserve"> ŘSD ČR na základě zřizovací listiny.</w:t>
      </w:r>
    </w:p>
    <w:p w:rsidR="002B4A5E" w:rsidRPr="00B73030" w:rsidRDefault="002B4A5E" w:rsidP="007B2F4B">
      <w:pPr>
        <w:pStyle w:val="Nadpis3"/>
      </w:pPr>
      <w:bookmarkStart w:id="52" w:name="_Toc526424693"/>
      <w:r w:rsidRPr="00B73030">
        <w:t>Neinvestiční transfery veřejným výzkumným institucím</w:t>
      </w:r>
      <w:bookmarkEnd w:id="50"/>
      <w:bookmarkEnd w:id="51"/>
      <w:bookmarkEnd w:id="52"/>
    </w:p>
    <w:p w:rsidR="00B73030" w:rsidRPr="002A5209" w:rsidRDefault="00B73030" w:rsidP="001D1C48">
      <w:pPr>
        <w:pStyle w:val="Styl1"/>
      </w:pPr>
      <w:bookmarkStart w:id="53" w:name="_Toc462314395"/>
      <w:bookmarkEnd w:id="49"/>
      <w:r w:rsidRPr="002A5209">
        <w:t xml:space="preserve">V návrhu rozpočtu kapitoly 327 Ministerstvo dopravy pro rok 2019 jsou rovněž zařazeny neinvestiční transfery veřejným výzkumným institucím. Tyto transfery jsou určeny </w:t>
      </w:r>
      <w:r w:rsidR="00CB0F19">
        <w:br/>
      </w:r>
      <w:r w:rsidRPr="002A5209">
        <w:t xml:space="preserve">pro Centrum dopravního výzkumu, </w:t>
      </w:r>
      <w:proofErr w:type="spellStart"/>
      <w:proofErr w:type="gramStart"/>
      <w:r w:rsidRPr="002A5209">
        <w:t>v.v.</w:t>
      </w:r>
      <w:proofErr w:type="gramEnd"/>
      <w:r w:rsidRPr="002A5209">
        <w:t>i</w:t>
      </w:r>
      <w:proofErr w:type="spellEnd"/>
      <w:r w:rsidRPr="002A5209">
        <w:t xml:space="preserve">.  </w:t>
      </w:r>
    </w:p>
    <w:p w:rsidR="00ED7004" w:rsidRDefault="00B73030" w:rsidP="001D1C48">
      <w:pPr>
        <w:pStyle w:val="Styl1"/>
      </w:pPr>
      <w:r w:rsidRPr="002A5209">
        <w:t xml:space="preserve">Veřejná výzkumná </w:t>
      </w:r>
      <w:proofErr w:type="gramStart"/>
      <w:r w:rsidRPr="002A5209">
        <w:t>instituce</w:t>
      </w:r>
      <w:proofErr w:type="gramEnd"/>
      <w:r w:rsidRPr="002A5209">
        <w:t xml:space="preserve"> Centrum dopravního výzkumu provádí </w:t>
      </w:r>
      <w:proofErr w:type="gramStart"/>
      <w:r w:rsidRPr="002A5209">
        <w:t>výzkum</w:t>
      </w:r>
      <w:proofErr w:type="gramEnd"/>
      <w:r w:rsidRPr="002A5209">
        <w:t>, zabezpečuje expertní a servisní činnosti v oblasti výzkumu pro Ministerstvo dopravy a další organizační složky státu nebo územní samosprávné celky. Její činnost je zaměřena na základní, aplikovaný a průmyslový výzkum</w:t>
      </w:r>
      <w:r w:rsidRPr="00B73030">
        <w:t>.</w:t>
      </w:r>
    </w:p>
    <w:p w:rsidR="00ED7004" w:rsidRDefault="00ED7004">
      <w:pPr>
        <w:spacing w:after="160"/>
        <w:jc w:val="left"/>
        <w:rPr>
          <w:rFonts w:eastAsia="Times New Roman" w:cs="Times New Roman"/>
          <w:szCs w:val="24"/>
          <w:lang w:eastAsia="cs-CZ"/>
        </w:rPr>
      </w:pPr>
      <w:r>
        <w:rPr>
          <w:rFonts w:eastAsia="Times New Roman" w:cs="Times New Roman"/>
          <w:szCs w:val="24"/>
          <w:lang w:eastAsia="cs-CZ"/>
        </w:rPr>
        <w:br w:type="page"/>
      </w:r>
    </w:p>
    <w:p w:rsidR="002D41EF" w:rsidRPr="00B73030" w:rsidRDefault="002D41EF" w:rsidP="002D41EF">
      <w:pPr>
        <w:pStyle w:val="Titulek"/>
        <w:keepNext/>
      </w:pPr>
      <w:r w:rsidRPr="00B73030">
        <w:lastRenderedPageBreak/>
        <w:t xml:space="preserve">Tabulka č. </w:t>
      </w:r>
      <w:r w:rsidR="0001421C" w:rsidRPr="00B73030">
        <w:rPr>
          <w:noProof/>
        </w:rPr>
        <w:fldChar w:fldCharType="begin"/>
      </w:r>
      <w:r w:rsidR="0001421C" w:rsidRPr="00B73030">
        <w:rPr>
          <w:noProof/>
        </w:rPr>
        <w:instrText xml:space="preserve"> SEQ Tabulka \* ARABIC </w:instrText>
      </w:r>
      <w:r w:rsidR="0001421C" w:rsidRPr="00B73030">
        <w:rPr>
          <w:noProof/>
        </w:rPr>
        <w:fldChar w:fldCharType="separate"/>
      </w:r>
      <w:r w:rsidR="00AF5225">
        <w:rPr>
          <w:noProof/>
        </w:rPr>
        <w:t>17</w:t>
      </w:r>
      <w:r w:rsidR="0001421C" w:rsidRPr="00B73030">
        <w:rPr>
          <w:noProof/>
        </w:rPr>
        <w:fldChar w:fldCharType="end"/>
      </w:r>
      <w:r w:rsidRPr="00B73030">
        <w:rPr>
          <w:noProof/>
        </w:rPr>
        <w:t xml:space="preserve"> Neivestiční transfery veřejným výzkumným institucím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304"/>
        <w:gridCol w:w="997"/>
      </w:tblGrid>
      <w:tr w:rsidR="00B73030" w:rsidRPr="0001421C" w:rsidTr="00CB0F19">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Skutečnost</w:t>
            </w:r>
          </w:p>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2017</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Schválený</w:t>
            </w:r>
          </w:p>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rozpočet</w:t>
            </w:r>
          </w:p>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2018</w:t>
            </w:r>
          </w:p>
        </w:tc>
        <w:tc>
          <w:tcPr>
            <w:tcW w:w="130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Návrh</w:t>
            </w:r>
          </w:p>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rozpočtu</w:t>
            </w:r>
          </w:p>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2019</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Index</w:t>
            </w:r>
          </w:p>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2019/</w:t>
            </w:r>
            <w:r w:rsidR="00CB0F19">
              <w:rPr>
                <w:rFonts w:eastAsia="Times New Roman" w:cs="Times New Roman"/>
                <w:b/>
                <w:szCs w:val="24"/>
                <w:lang w:eastAsia="cs-CZ"/>
              </w:rPr>
              <w:br/>
            </w:r>
            <w:r w:rsidRPr="002A5209">
              <w:rPr>
                <w:rFonts w:eastAsia="Times New Roman" w:cs="Times New Roman"/>
                <w:b/>
                <w:szCs w:val="24"/>
                <w:lang w:eastAsia="cs-CZ"/>
              </w:rPr>
              <w:t>2018</w:t>
            </w:r>
          </w:p>
          <w:p w:rsidR="00B73030" w:rsidRPr="002A5209" w:rsidRDefault="00B73030" w:rsidP="00CB0F19">
            <w:pPr>
              <w:jc w:val="center"/>
              <w:rPr>
                <w:rFonts w:eastAsia="Times New Roman" w:cs="Times New Roman"/>
                <w:b/>
                <w:szCs w:val="24"/>
                <w:lang w:eastAsia="cs-CZ"/>
              </w:rPr>
            </w:pPr>
            <w:r w:rsidRPr="002A5209">
              <w:rPr>
                <w:rFonts w:eastAsia="Times New Roman" w:cs="Times New Roman"/>
                <w:b/>
                <w:szCs w:val="24"/>
                <w:lang w:eastAsia="cs-CZ"/>
              </w:rPr>
              <w:t>(v %)</w:t>
            </w:r>
          </w:p>
        </w:tc>
      </w:tr>
      <w:tr w:rsidR="00B73030" w:rsidRPr="0001421C" w:rsidTr="00CB0F19">
        <w:tc>
          <w:tcPr>
            <w:tcW w:w="4140" w:type="dxa"/>
            <w:tcBorders>
              <w:top w:val="single" w:sz="4" w:space="0" w:color="7F7F7F" w:themeColor="text1" w:themeTint="80"/>
            </w:tcBorders>
            <w:shd w:val="clear" w:color="auto" w:fill="auto"/>
          </w:tcPr>
          <w:p w:rsidR="00B73030" w:rsidRPr="00B23B67" w:rsidRDefault="00B73030" w:rsidP="000A05A0">
            <w:pPr>
              <w:jc w:val="center"/>
              <w:rPr>
                <w:rFonts w:eastAsia="Times New Roman" w:cs="Times New Roman"/>
                <w:szCs w:val="24"/>
                <w:lang w:eastAsia="cs-CZ"/>
              </w:rPr>
            </w:pPr>
            <w:r w:rsidRPr="00B23B67">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rsidR="00B73030" w:rsidRPr="00B23B67" w:rsidRDefault="00B73030" w:rsidP="000A05A0">
            <w:pPr>
              <w:jc w:val="center"/>
              <w:rPr>
                <w:rFonts w:eastAsia="Times New Roman" w:cs="Times New Roman"/>
                <w:szCs w:val="24"/>
                <w:lang w:eastAsia="cs-CZ"/>
              </w:rPr>
            </w:pPr>
            <w:r w:rsidRPr="00B23B67">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rsidR="00B73030" w:rsidRPr="00B23B67" w:rsidRDefault="00B73030" w:rsidP="000A05A0">
            <w:pPr>
              <w:jc w:val="center"/>
              <w:rPr>
                <w:rFonts w:eastAsia="Times New Roman" w:cs="Times New Roman"/>
                <w:szCs w:val="24"/>
                <w:lang w:eastAsia="cs-CZ"/>
              </w:rPr>
            </w:pPr>
            <w:r w:rsidRPr="00B23B67">
              <w:rPr>
                <w:rFonts w:eastAsia="Times New Roman" w:cs="Times New Roman"/>
                <w:szCs w:val="24"/>
                <w:lang w:eastAsia="cs-CZ"/>
              </w:rPr>
              <w:t>2</w:t>
            </w:r>
          </w:p>
        </w:tc>
        <w:tc>
          <w:tcPr>
            <w:tcW w:w="1304" w:type="dxa"/>
            <w:tcBorders>
              <w:top w:val="single" w:sz="4" w:space="0" w:color="7F7F7F" w:themeColor="text1" w:themeTint="80"/>
            </w:tcBorders>
            <w:shd w:val="clear" w:color="auto" w:fill="auto"/>
          </w:tcPr>
          <w:p w:rsidR="00B73030" w:rsidRPr="00B23B67" w:rsidRDefault="00B73030" w:rsidP="000A05A0">
            <w:pPr>
              <w:jc w:val="center"/>
              <w:rPr>
                <w:rFonts w:eastAsia="Times New Roman" w:cs="Times New Roman"/>
                <w:szCs w:val="24"/>
                <w:lang w:eastAsia="cs-CZ"/>
              </w:rPr>
            </w:pPr>
            <w:r w:rsidRPr="00B23B67">
              <w:rPr>
                <w:rFonts w:eastAsia="Times New Roman" w:cs="Times New Roman"/>
                <w:szCs w:val="24"/>
                <w:lang w:eastAsia="cs-CZ"/>
              </w:rPr>
              <w:t>3</w:t>
            </w:r>
          </w:p>
        </w:tc>
        <w:tc>
          <w:tcPr>
            <w:tcW w:w="997" w:type="dxa"/>
            <w:tcBorders>
              <w:top w:val="single" w:sz="4" w:space="0" w:color="7F7F7F" w:themeColor="text1" w:themeTint="80"/>
            </w:tcBorders>
            <w:shd w:val="clear" w:color="auto" w:fill="auto"/>
          </w:tcPr>
          <w:p w:rsidR="00B73030" w:rsidRPr="00B23B67" w:rsidRDefault="00B73030" w:rsidP="000A05A0">
            <w:pPr>
              <w:jc w:val="center"/>
              <w:rPr>
                <w:rFonts w:eastAsia="Times New Roman" w:cs="Times New Roman"/>
                <w:szCs w:val="24"/>
                <w:lang w:eastAsia="cs-CZ"/>
              </w:rPr>
            </w:pPr>
            <w:r w:rsidRPr="00B23B67">
              <w:rPr>
                <w:rFonts w:eastAsia="Times New Roman" w:cs="Times New Roman"/>
                <w:szCs w:val="24"/>
                <w:lang w:eastAsia="cs-CZ"/>
              </w:rPr>
              <w:t>4</w:t>
            </w:r>
          </w:p>
        </w:tc>
      </w:tr>
      <w:tr w:rsidR="00B73030" w:rsidRPr="0001421C" w:rsidTr="00CB0F19">
        <w:trPr>
          <w:trHeight w:val="334"/>
        </w:trPr>
        <w:tc>
          <w:tcPr>
            <w:tcW w:w="4140" w:type="dxa"/>
            <w:shd w:val="clear" w:color="auto" w:fill="auto"/>
          </w:tcPr>
          <w:p w:rsidR="00B73030" w:rsidRPr="00B23B67" w:rsidRDefault="00B73030" w:rsidP="000A05A0">
            <w:pPr>
              <w:spacing w:before="60"/>
              <w:rPr>
                <w:rFonts w:eastAsia="Times New Roman" w:cs="Times New Roman"/>
                <w:b/>
                <w:lang w:eastAsia="cs-CZ"/>
              </w:rPr>
            </w:pPr>
            <w:r w:rsidRPr="00B23B67">
              <w:rPr>
                <w:rFonts w:eastAsia="Times New Roman" w:cs="Times New Roman"/>
                <w:b/>
                <w:lang w:eastAsia="cs-CZ"/>
              </w:rPr>
              <w:t xml:space="preserve">Neinvestiční transfery veřejným výzkumným institucím </w:t>
            </w:r>
            <w:r w:rsidRPr="00105D3B">
              <w:rPr>
                <w:rFonts w:eastAsia="Times New Roman" w:cs="Times New Roman"/>
                <w:lang w:eastAsia="cs-CZ"/>
              </w:rPr>
              <w:t>v tom:</w:t>
            </w:r>
          </w:p>
        </w:tc>
        <w:tc>
          <w:tcPr>
            <w:tcW w:w="1361" w:type="dxa"/>
            <w:shd w:val="clear" w:color="auto" w:fill="auto"/>
            <w:vAlign w:val="center"/>
          </w:tcPr>
          <w:p w:rsidR="00B73030" w:rsidRPr="00A727F1" w:rsidRDefault="00B73030" w:rsidP="000A05A0">
            <w:pPr>
              <w:jc w:val="right"/>
              <w:rPr>
                <w:rFonts w:eastAsia="Times New Roman" w:cs="Times New Roman"/>
                <w:b/>
                <w:lang w:eastAsia="cs-CZ"/>
              </w:rPr>
            </w:pPr>
            <w:r w:rsidRPr="00A727F1">
              <w:rPr>
                <w:rFonts w:eastAsia="Times New Roman" w:cs="Times New Roman"/>
                <w:b/>
                <w:lang w:eastAsia="cs-CZ"/>
              </w:rPr>
              <w:t>46 763</w:t>
            </w:r>
          </w:p>
        </w:tc>
        <w:tc>
          <w:tcPr>
            <w:tcW w:w="1260" w:type="dxa"/>
            <w:shd w:val="clear" w:color="auto" w:fill="auto"/>
            <w:vAlign w:val="center"/>
          </w:tcPr>
          <w:p w:rsidR="00B73030" w:rsidRPr="00A727F1" w:rsidRDefault="00B73030" w:rsidP="000A05A0">
            <w:pPr>
              <w:jc w:val="right"/>
              <w:rPr>
                <w:rFonts w:eastAsia="Times New Roman" w:cs="Times New Roman"/>
                <w:b/>
                <w:lang w:eastAsia="cs-CZ"/>
              </w:rPr>
            </w:pPr>
            <w:r w:rsidRPr="00A727F1">
              <w:rPr>
                <w:rFonts w:eastAsia="Times New Roman" w:cs="Times New Roman"/>
                <w:b/>
                <w:lang w:eastAsia="cs-CZ"/>
              </w:rPr>
              <w:t>43 000</w:t>
            </w:r>
          </w:p>
        </w:tc>
        <w:tc>
          <w:tcPr>
            <w:tcW w:w="1304" w:type="dxa"/>
            <w:shd w:val="clear" w:color="auto" w:fill="auto"/>
            <w:vAlign w:val="center"/>
          </w:tcPr>
          <w:p w:rsidR="00B73030" w:rsidRPr="00077C69" w:rsidRDefault="00B73030" w:rsidP="000A05A0">
            <w:pPr>
              <w:jc w:val="right"/>
              <w:rPr>
                <w:rFonts w:eastAsia="Times New Roman" w:cs="Times New Roman"/>
                <w:b/>
                <w:lang w:eastAsia="cs-CZ"/>
              </w:rPr>
            </w:pPr>
            <w:r w:rsidRPr="00077C69">
              <w:rPr>
                <w:rFonts w:eastAsia="Times New Roman" w:cs="Times New Roman"/>
                <w:b/>
                <w:lang w:eastAsia="cs-CZ"/>
              </w:rPr>
              <w:t>92 750</w:t>
            </w:r>
          </w:p>
        </w:tc>
        <w:tc>
          <w:tcPr>
            <w:tcW w:w="997" w:type="dxa"/>
            <w:shd w:val="clear" w:color="auto" w:fill="auto"/>
            <w:vAlign w:val="center"/>
          </w:tcPr>
          <w:p w:rsidR="00B73030" w:rsidRPr="00B77E56" w:rsidRDefault="00B73030" w:rsidP="000A05A0">
            <w:pPr>
              <w:jc w:val="right"/>
              <w:rPr>
                <w:rFonts w:eastAsia="Times New Roman" w:cs="Times New Roman"/>
                <w:b/>
                <w:color w:val="FF0000"/>
                <w:lang w:eastAsia="cs-CZ"/>
              </w:rPr>
            </w:pPr>
            <w:r w:rsidRPr="00077C69">
              <w:rPr>
                <w:rFonts w:eastAsia="Times New Roman" w:cs="Times New Roman"/>
                <w:b/>
                <w:lang w:eastAsia="cs-CZ"/>
              </w:rPr>
              <w:t>198,34</w:t>
            </w:r>
          </w:p>
        </w:tc>
      </w:tr>
      <w:tr w:rsidR="00B73030" w:rsidRPr="0001421C" w:rsidTr="00CB0F19">
        <w:tc>
          <w:tcPr>
            <w:tcW w:w="4140" w:type="dxa"/>
            <w:shd w:val="clear" w:color="auto" w:fill="auto"/>
          </w:tcPr>
          <w:p w:rsidR="00B73030" w:rsidRPr="00B23B67" w:rsidRDefault="00B73030" w:rsidP="000A05A0">
            <w:pPr>
              <w:spacing w:before="60"/>
              <w:rPr>
                <w:rFonts w:eastAsia="Times New Roman" w:cs="Times New Roman"/>
                <w:b/>
                <w:lang w:eastAsia="cs-CZ"/>
              </w:rPr>
            </w:pPr>
            <w:r w:rsidRPr="00B23B67">
              <w:rPr>
                <w:rFonts w:eastAsia="Times New Roman" w:cs="Times New Roman"/>
                <w:b/>
                <w:lang w:eastAsia="cs-CZ"/>
              </w:rPr>
              <w:t xml:space="preserve">Výdaje na výzkum, vývoj a inovace </w:t>
            </w:r>
          </w:p>
          <w:p w:rsidR="00B73030" w:rsidRPr="00B23B67" w:rsidRDefault="00B73030" w:rsidP="000A05A0">
            <w:pPr>
              <w:rPr>
                <w:rFonts w:eastAsia="Times New Roman" w:cs="Times New Roman"/>
                <w:lang w:eastAsia="cs-CZ"/>
              </w:rPr>
            </w:pPr>
            <w:r w:rsidRPr="00B23B67">
              <w:rPr>
                <w:rFonts w:eastAsia="Times New Roman" w:cs="Times New Roman"/>
                <w:lang w:eastAsia="cs-CZ"/>
              </w:rPr>
              <w:t>v tom:</w:t>
            </w:r>
          </w:p>
        </w:tc>
        <w:tc>
          <w:tcPr>
            <w:tcW w:w="1361" w:type="dxa"/>
            <w:shd w:val="clear" w:color="auto" w:fill="auto"/>
            <w:vAlign w:val="center"/>
          </w:tcPr>
          <w:p w:rsidR="00B73030" w:rsidRPr="00A727F1" w:rsidRDefault="00B73030" w:rsidP="000A05A0">
            <w:pPr>
              <w:jc w:val="right"/>
              <w:rPr>
                <w:rFonts w:eastAsia="Times New Roman" w:cs="Times New Roman"/>
                <w:b/>
                <w:lang w:eastAsia="cs-CZ"/>
              </w:rPr>
            </w:pPr>
            <w:r w:rsidRPr="00A727F1">
              <w:rPr>
                <w:rFonts w:eastAsia="Times New Roman" w:cs="Times New Roman"/>
                <w:b/>
                <w:lang w:eastAsia="cs-CZ"/>
              </w:rPr>
              <w:t>7 919</w:t>
            </w:r>
          </w:p>
        </w:tc>
        <w:tc>
          <w:tcPr>
            <w:tcW w:w="1260" w:type="dxa"/>
            <w:shd w:val="clear" w:color="auto" w:fill="auto"/>
            <w:vAlign w:val="center"/>
          </w:tcPr>
          <w:p w:rsidR="00B73030" w:rsidRPr="00A727F1" w:rsidRDefault="00B73030" w:rsidP="000A05A0">
            <w:pPr>
              <w:jc w:val="right"/>
              <w:rPr>
                <w:rFonts w:eastAsia="Times New Roman" w:cs="Times New Roman"/>
                <w:b/>
                <w:lang w:eastAsia="cs-CZ"/>
              </w:rPr>
            </w:pPr>
            <w:r w:rsidRPr="00A727F1">
              <w:rPr>
                <w:rFonts w:eastAsia="Times New Roman" w:cs="Times New Roman"/>
                <w:b/>
                <w:lang w:eastAsia="cs-CZ"/>
              </w:rPr>
              <w:t>43 000</w:t>
            </w:r>
          </w:p>
        </w:tc>
        <w:tc>
          <w:tcPr>
            <w:tcW w:w="1304" w:type="dxa"/>
            <w:shd w:val="clear" w:color="auto" w:fill="auto"/>
            <w:vAlign w:val="center"/>
          </w:tcPr>
          <w:p w:rsidR="00B73030" w:rsidRPr="00077C69" w:rsidRDefault="00B73030" w:rsidP="000A05A0">
            <w:pPr>
              <w:jc w:val="right"/>
              <w:rPr>
                <w:rFonts w:eastAsia="Times New Roman" w:cs="Times New Roman"/>
                <w:b/>
                <w:lang w:eastAsia="cs-CZ"/>
              </w:rPr>
            </w:pPr>
            <w:r w:rsidRPr="00077C69">
              <w:rPr>
                <w:rFonts w:eastAsia="Times New Roman" w:cs="Times New Roman"/>
                <w:b/>
                <w:lang w:eastAsia="cs-CZ"/>
              </w:rPr>
              <w:t>42 750</w:t>
            </w:r>
          </w:p>
        </w:tc>
        <w:tc>
          <w:tcPr>
            <w:tcW w:w="997" w:type="dxa"/>
            <w:shd w:val="clear" w:color="auto" w:fill="auto"/>
            <w:vAlign w:val="center"/>
          </w:tcPr>
          <w:p w:rsidR="00B73030" w:rsidRPr="00077C69" w:rsidRDefault="00B73030" w:rsidP="000A05A0">
            <w:pPr>
              <w:jc w:val="right"/>
              <w:rPr>
                <w:rFonts w:eastAsia="Times New Roman" w:cs="Times New Roman"/>
                <w:b/>
                <w:lang w:eastAsia="cs-CZ"/>
              </w:rPr>
            </w:pPr>
            <w:r w:rsidRPr="00077C69">
              <w:rPr>
                <w:rFonts w:eastAsia="Times New Roman" w:cs="Times New Roman"/>
                <w:b/>
                <w:lang w:eastAsia="cs-CZ"/>
              </w:rPr>
              <w:t>99,42</w:t>
            </w:r>
          </w:p>
        </w:tc>
      </w:tr>
      <w:tr w:rsidR="00B73030" w:rsidRPr="0001421C" w:rsidTr="00CB0F19">
        <w:tc>
          <w:tcPr>
            <w:tcW w:w="4140" w:type="dxa"/>
            <w:shd w:val="clear" w:color="auto" w:fill="auto"/>
          </w:tcPr>
          <w:p w:rsidR="00B73030" w:rsidRPr="00B23B67" w:rsidRDefault="00B73030" w:rsidP="000A05A0">
            <w:pPr>
              <w:rPr>
                <w:rFonts w:eastAsia="Times New Roman" w:cs="Times New Roman"/>
                <w:lang w:eastAsia="cs-CZ"/>
              </w:rPr>
            </w:pPr>
            <w:r w:rsidRPr="00B23B67">
              <w:rPr>
                <w:rFonts w:eastAsia="Times New Roman" w:cs="Times New Roman"/>
                <w:lang w:eastAsia="cs-CZ"/>
              </w:rPr>
              <w:t>institucionální podpora</w:t>
            </w:r>
          </w:p>
        </w:tc>
        <w:tc>
          <w:tcPr>
            <w:tcW w:w="1361" w:type="dxa"/>
            <w:shd w:val="clear" w:color="auto" w:fill="auto"/>
            <w:vAlign w:val="center"/>
          </w:tcPr>
          <w:p w:rsidR="00B73030" w:rsidRPr="00A727F1" w:rsidRDefault="00B73030" w:rsidP="000A05A0">
            <w:pPr>
              <w:jc w:val="right"/>
              <w:rPr>
                <w:rFonts w:eastAsia="Times New Roman" w:cs="Times New Roman"/>
                <w:lang w:eastAsia="cs-CZ"/>
              </w:rPr>
            </w:pPr>
            <w:r w:rsidRPr="00A727F1">
              <w:rPr>
                <w:rFonts w:eastAsia="Times New Roman" w:cs="Times New Roman"/>
                <w:lang w:eastAsia="cs-CZ"/>
              </w:rPr>
              <w:t>7 919</w:t>
            </w:r>
          </w:p>
        </w:tc>
        <w:tc>
          <w:tcPr>
            <w:tcW w:w="1260" w:type="dxa"/>
            <w:shd w:val="clear" w:color="auto" w:fill="auto"/>
            <w:vAlign w:val="center"/>
          </w:tcPr>
          <w:p w:rsidR="00B73030" w:rsidRPr="00A727F1" w:rsidRDefault="00B73030" w:rsidP="000A05A0">
            <w:pPr>
              <w:jc w:val="right"/>
              <w:rPr>
                <w:rFonts w:eastAsia="Times New Roman" w:cs="Times New Roman"/>
                <w:lang w:eastAsia="cs-CZ"/>
              </w:rPr>
            </w:pPr>
            <w:r w:rsidRPr="00A727F1">
              <w:rPr>
                <w:rFonts w:eastAsia="Times New Roman" w:cs="Times New Roman"/>
                <w:lang w:eastAsia="cs-CZ"/>
              </w:rPr>
              <w:t>43 000</w:t>
            </w:r>
          </w:p>
        </w:tc>
        <w:tc>
          <w:tcPr>
            <w:tcW w:w="1304" w:type="dxa"/>
            <w:shd w:val="clear" w:color="auto" w:fill="auto"/>
            <w:vAlign w:val="center"/>
          </w:tcPr>
          <w:p w:rsidR="00B73030" w:rsidRPr="00077C69" w:rsidRDefault="00B73030" w:rsidP="000A05A0">
            <w:pPr>
              <w:jc w:val="right"/>
              <w:rPr>
                <w:rFonts w:eastAsia="Times New Roman" w:cs="Times New Roman"/>
                <w:lang w:eastAsia="cs-CZ"/>
              </w:rPr>
            </w:pPr>
            <w:r w:rsidRPr="00077C69">
              <w:rPr>
                <w:rFonts w:eastAsia="Times New Roman" w:cs="Times New Roman"/>
                <w:lang w:eastAsia="cs-CZ"/>
              </w:rPr>
              <w:t>42 750</w:t>
            </w:r>
          </w:p>
        </w:tc>
        <w:tc>
          <w:tcPr>
            <w:tcW w:w="997" w:type="dxa"/>
            <w:shd w:val="clear" w:color="auto" w:fill="auto"/>
            <w:vAlign w:val="center"/>
          </w:tcPr>
          <w:p w:rsidR="00B73030" w:rsidRPr="00077C69" w:rsidRDefault="00B73030" w:rsidP="000A05A0">
            <w:pPr>
              <w:jc w:val="right"/>
              <w:rPr>
                <w:rFonts w:eastAsia="Times New Roman" w:cs="Times New Roman"/>
                <w:lang w:eastAsia="cs-CZ"/>
              </w:rPr>
            </w:pPr>
            <w:r w:rsidRPr="00077C69">
              <w:rPr>
                <w:rFonts w:eastAsia="Times New Roman" w:cs="Times New Roman"/>
                <w:lang w:eastAsia="cs-CZ"/>
              </w:rPr>
              <w:t>99,42</w:t>
            </w:r>
          </w:p>
        </w:tc>
      </w:tr>
      <w:tr w:rsidR="00B73030" w:rsidRPr="0001421C" w:rsidTr="00CB0F19">
        <w:tc>
          <w:tcPr>
            <w:tcW w:w="4140" w:type="dxa"/>
            <w:shd w:val="clear" w:color="auto" w:fill="auto"/>
          </w:tcPr>
          <w:p w:rsidR="00B73030" w:rsidRPr="00B23B67" w:rsidRDefault="00B73030" w:rsidP="000A05A0">
            <w:pPr>
              <w:rPr>
                <w:rFonts w:eastAsia="Times New Roman" w:cs="Times New Roman"/>
                <w:lang w:eastAsia="cs-CZ"/>
              </w:rPr>
            </w:pPr>
            <w:r>
              <w:rPr>
                <w:rFonts w:eastAsia="Times New Roman" w:cs="Times New Roman"/>
                <w:lang w:eastAsia="cs-CZ"/>
              </w:rPr>
              <w:t>účelová podpora</w:t>
            </w:r>
          </w:p>
        </w:tc>
        <w:tc>
          <w:tcPr>
            <w:tcW w:w="1361" w:type="dxa"/>
            <w:shd w:val="clear" w:color="auto" w:fill="auto"/>
            <w:vAlign w:val="center"/>
          </w:tcPr>
          <w:p w:rsidR="00B73030" w:rsidRPr="00A727F1" w:rsidRDefault="00B73030" w:rsidP="000A05A0">
            <w:pPr>
              <w:jc w:val="right"/>
              <w:rPr>
                <w:rFonts w:eastAsia="Times New Roman" w:cs="Times New Roman"/>
                <w:lang w:eastAsia="cs-CZ"/>
              </w:rPr>
            </w:pPr>
            <w:r w:rsidRPr="00A727F1">
              <w:rPr>
                <w:rFonts w:eastAsia="Times New Roman" w:cs="Times New Roman"/>
                <w:lang w:eastAsia="cs-CZ"/>
              </w:rPr>
              <w:t>0</w:t>
            </w:r>
          </w:p>
        </w:tc>
        <w:tc>
          <w:tcPr>
            <w:tcW w:w="1260" w:type="dxa"/>
            <w:shd w:val="clear" w:color="auto" w:fill="auto"/>
            <w:vAlign w:val="center"/>
          </w:tcPr>
          <w:p w:rsidR="00B73030" w:rsidRPr="00A727F1" w:rsidRDefault="00B73030" w:rsidP="000A05A0">
            <w:pPr>
              <w:jc w:val="right"/>
              <w:rPr>
                <w:rFonts w:eastAsia="Times New Roman" w:cs="Times New Roman"/>
                <w:lang w:eastAsia="cs-CZ"/>
              </w:rPr>
            </w:pPr>
            <w:r w:rsidRPr="00A727F1">
              <w:rPr>
                <w:rFonts w:eastAsia="Times New Roman" w:cs="Times New Roman"/>
                <w:lang w:eastAsia="cs-CZ"/>
              </w:rPr>
              <w:t>0</w:t>
            </w:r>
          </w:p>
        </w:tc>
        <w:tc>
          <w:tcPr>
            <w:tcW w:w="1304" w:type="dxa"/>
            <w:shd w:val="clear" w:color="auto" w:fill="auto"/>
            <w:vAlign w:val="center"/>
          </w:tcPr>
          <w:p w:rsidR="00B73030" w:rsidRPr="00077C69" w:rsidRDefault="00B73030" w:rsidP="000A05A0">
            <w:pPr>
              <w:jc w:val="right"/>
              <w:rPr>
                <w:rFonts w:eastAsia="Times New Roman" w:cs="Times New Roman"/>
                <w:lang w:eastAsia="cs-CZ"/>
              </w:rPr>
            </w:pPr>
            <w:r w:rsidRPr="00077C69">
              <w:rPr>
                <w:rFonts w:eastAsia="Times New Roman" w:cs="Times New Roman"/>
                <w:lang w:eastAsia="cs-CZ"/>
              </w:rPr>
              <w:t>0</w:t>
            </w:r>
          </w:p>
        </w:tc>
        <w:tc>
          <w:tcPr>
            <w:tcW w:w="997" w:type="dxa"/>
            <w:shd w:val="clear" w:color="auto" w:fill="auto"/>
            <w:vAlign w:val="center"/>
          </w:tcPr>
          <w:p w:rsidR="00B73030" w:rsidRPr="00A727F1" w:rsidRDefault="00B73030" w:rsidP="000A05A0">
            <w:pPr>
              <w:jc w:val="right"/>
              <w:rPr>
                <w:rFonts w:eastAsia="Times New Roman" w:cs="Times New Roman"/>
                <w:lang w:eastAsia="cs-CZ"/>
              </w:rPr>
            </w:pPr>
            <w:r w:rsidRPr="00A727F1">
              <w:rPr>
                <w:rFonts w:eastAsia="Times New Roman" w:cs="Times New Roman"/>
                <w:lang w:eastAsia="cs-CZ"/>
              </w:rPr>
              <w:t>x</w:t>
            </w:r>
          </w:p>
        </w:tc>
      </w:tr>
      <w:tr w:rsidR="00B73030" w:rsidRPr="0001421C" w:rsidTr="00CB0F19">
        <w:tc>
          <w:tcPr>
            <w:tcW w:w="4140" w:type="dxa"/>
            <w:shd w:val="clear" w:color="auto" w:fill="auto"/>
          </w:tcPr>
          <w:p w:rsidR="00B73030" w:rsidRPr="00B23B67" w:rsidRDefault="00B73030" w:rsidP="000A05A0">
            <w:pPr>
              <w:rPr>
                <w:rFonts w:eastAsia="Times New Roman" w:cs="Times New Roman"/>
                <w:b/>
                <w:lang w:eastAsia="cs-CZ"/>
              </w:rPr>
            </w:pPr>
            <w:r w:rsidRPr="00B23B67">
              <w:rPr>
                <w:rFonts w:eastAsia="Times New Roman" w:cs="Times New Roman"/>
                <w:b/>
                <w:lang w:eastAsia="cs-CZ"/>
              </w:rPr>
              <w:t>Účelová neinvestiční dotace na další činnost</w:t>
            </w:r>
          </w:p>
        </w:tc>
        <w:tc>
          <w:tcPr>
            <w:tcW w:w="1361" w:type="dxa"/>
            <w:shd w:val="clear" w:color="auto" w:fill="auto"/>
            <w:vAlign w:val="center"/>
          </w:tcPr>
          <w:p w:rsidR="00B73030" w:rsidRPr="00A727F1" w:rsidRDefault="00B73030" w:rsidP="000A05A0">
            <w:pPr>
              <w:jc w:val="right"/>
              <w:rPr>
                <w:rFonts w:eastAsia="Times New Roman" w:cs="Times New Roman"/>
                <w:b/>
                <w:lang w:eastAsia="cs-CZ"/>
              </w:rPr>
            </w:pPr>
            <w:r w:rsidRPr="00A727F1">
              <w:rPr>
                <w:rFonts w:eastAsia="Times New Roman" w:cs="Times New Roman"/>
                <w:b/>
                <w:lang w:eastAsia="cs-CZ"/>
              </w:rPr>
              <w:t>38 844</w:t>
            </w:r>
          </w:p>
        </w:tc>
        <w:tc>
          <w:tcPr>
            <w:tcW w:w="1260" w:type="dxa"/>
            <w:shd w:val="clear" w:color="auto" w:fill="auto"/>
            <w:vAlign w:val="center"/>
          </w:tcPr>
          <w:p w:rsidR="00B73030" w:rsidRPr="00A727F1" w:rsidRDefault="00B73030" w:rsidP="000A05A0">
            <w:pPr>
              <w:jc w:val="right"/>
              <w:rPr>
                <w:rFonts w:eastAsia="Times New Roman" w:cs="Times New Roman"/>
                <w:b/>
                <w:lang w:eastAsia="cs-CZ"/>
              </w:rPr>
            </w:pPr>
            <w:r w:rsidRPr="00A727F1">
              <w:rPr>
                <w:rFonts w:eastAsia="Times New Roman" w:cs="Times New Roman"/>
                <w:b/>
                <w:lang w:eastAsia="cs-CZ"/>
              </w:rPr>
              <w:t>0</w:t>
            </w:r>
          </w:p>
        </w:tc>
        <w:tc>
          <w:tcPr>
            <w:tcW w:w="1304" w:type="dxa"/>
            <w:shd w:val="clear" w:color="auto" w:fill="auto"/>
            <w:vAlign w:val="center"/>
          </w:tcPr>
          <w:p w:rsidR="00B73030" w:rsidRPr="00077C69" w:rsidRDefault="00B73030" w:rsidP="000A05A0">
            <w:pPr>
              <w:jc w:val="right"/>
              <w:rPr>
                <w:rFonts w:eastAsia="Times New Roman" w:cs="Times New Roman"/>
                <w:b/>
                <w:lang w:eastAsia="cs-CZ"/>
              </w:rPr>
            </w:pPr>
            <w:r w:rsidRPr="00077C69">
              <w:rPr>
                <w:rFonts w:eastAsia="Times New Roman" w:cs="Times New Roman"/>
                <w:b/>
                <w:lang w:eastAsia="cs-CZ"/>
              </w:rPr>
              <w:t>50 000</w:t>
            </w:r>
          </w:p>
        </w:tc>
        <w:tc>
          <w:tcPr>
            <w:tcW w:w="997" w:type="dxa"/>
            <w:shd w:val="clear" w:color="auto" w:fill="auto"/>
            <w:vAlign w:val="center"/>
          </w:tcPr>
          <w:p w:rsidR="00B73030" w:rsidRPr="00077C69" w:rsidRDefault="00B73030" w:rsidP="000A05A0">
            <w:pPr>
              <w:jc w:val="right"/>
              <w:rPr>
                <w:rFonts w:eastAsia="Times New Roman" w:cs="Times New Roman"/>
                <w:b/>
                <w:lang w:eastAsia="cs-CZ"/>
              </w:rPr>
            </w:pPr>
            <w:r>
              <w:rPr>
                <w:rFonts w:eastAsia="Times New Roman" w:cs="Times New Roman"/>
                <w:b/>
                <w:lang w:eastAsia="cs-CZ"/>
              </w:rPr>
              <w:t xml:space="preserve">  </w:t>
            </w:r>
            <w:r w:rsidRPr="00077C69">
              <w:rPr>
                <w:rFonts w:eastAsia="Times New Roman" w:cs="Times New Roman"/>
                <w:b/>
                <w:lang w:eastAsia="cs-CZ"/>
              </w:rPr>
              <w:t>x</w:t>
            </w:r>
          </w:p>
        </w:tc>
      </w:tr>
    </w:tbl>
    <w:p w:rsidR="00B73030" w:rsidRPr="002A5209" w:rsidRDefault="00B73030" w:rsidP="001D1C48">
      <w:pPr>
        <w:pStyle w:val="Styl1"/>
      </w:pPr>
      <w:r w:rsidRPr="002A5209">
        <w:t xml:space="preserve">Na rok 2019 je pro veřejnou výzkumnou instituci Centrum dopravního výzkumu navržen neinvestiční transfer ve výši 42 750 tis. Kč na realizaci projektů v oblasti výzkumu a vývoje </w:t>
      </w:r>
      <w:r w:rsidRPr="002A5209">
        <w:br/>
        <w:t xml:space="preserve">– institucionální podpora, v souladu s usnesení vlády č. 309/2018. V porovnání s rokem 2018 došlo ke snížení neinvestičních prostředků pro Centrum dopravního výzkumu v rámci výzkumu a vývoje o 250 tis. Kč. Tyto finanční prostředky jsou navrženy v rámci investičního transferu veřejným výzkumným institucím.  </w:t>
      </w:r>
    </w:p>
    <w:p w:rsidR="00B73030" w:rsidRPr="002A5209" w:rsidRDefault="00B73030" w:rsidP="001D1C48">
      <w:pPr>
        <w:pStyle w:val="Styl1"/>
      </w:pPr>
      <w:r w:rsidRPr="002A5209">
        <w:t xml:space="preserve">Pro rok 2019 jsou v rámci neinvestičních transferů veřejným výzkumným institucím navrženy pro Centrum dopravního výzkumu také výdaje na další činnost podle § 22 odst. </w:t>
      </w:r>
      <w:r w:rsidRPr="002A5209">
        <w:br/>
        <w:t xml:space="preserve">2 písm. e) zákona 341/2005 Sb., o veřejných výzkumných institucích, ve znění pozdějších předpisů. Prostředky budou formou neinvestiční dotace použity na podporu rozvoje činnosti CDV, a to ve výši 50 000 tis. Kč. Prostředky nespadají do oblasti průřezových ukazatelů </w:t>
      </w:r>
      <w:r w:rsidR="00CB0F19">
        <w:br/>
      </w:r>
      <w:r w:rsidRPr="002A5209">
        <w:t>na výzkum, vývoj a inovace (</w:t>
      </w:r>
      <w:proofErr w:type="spellStart"/>
      <w:r w:rsidRPr="002A5209">
        <w:t>VaVaI</w:t>
      </w:r>
      <w:proofErr w:type="spellEnd"/>
      <w:r w:rsidRPr="002A5209">
        <w:t>). V porovnání s rokem 2018 dochází k navýšení těchto výdajů o 50 000 tis. Kč.</w:t>
      </w:r>
    </w:p>
    <w:p w:rsidR="00886FD2" w:rsidRPr="00592FEB" w:rsidRDefault="00886FD2" w:rsidP="00886FD2">
      <w:pPr>
        <w:pStyle w:val="Nadpis3"/>
        <w:spacing w:before="360" w:after="240"/>
      </w:pPr>
      <w:bookmarkStart w:id="54" w:name="_Toc526424694"/>
      <w:bookmarkStart w:id="55" w:name="_Toc242513757"/>
      <w:bookmarkStart w:id="56" w:name="_Toc462314399"/>
      <w:bookmarkEnd w:id="53"/>
      <w:r w:rsidRPr="00592FEB">
        <w:t>Neinvestiční transfery podnikatelským subjektům</w:t>
      </w:r>
      <w:bookmarkEnd w:id="54"/>
      <w:r w:rsidRPr="00592FEB">
        <w:t xml:space="preserve"> </w:t>
      </w:r>
    </w:p>
    <w:p w:rsidR="00886FD2" w:rsidRPr="00592FEB" w:rsidRDefault="00886FD2" w:rsidP="00886FD2">
      <w:pPr>
        <w:pStyle w:val="Titulek"/>
        <w:keepNext/>
      </w:pPr>
      <w:r w:rsidRPr="00592FEB">
        <w:t xml:space="preserve">Tabulka č. </w:t>
      </w:r>
      <w:r w:rsidRPr="00592FEB">
        <w:rPr>
          <w:noProof/>
        </w:rPr>
        <w:fldChar w:fldCharType="begin"/>
      </w:r>
      <w:r w:rsidRPr="00592FEB">
        <w:rPr>
          <w:noProof/>
        </w:rPr>
        <w:instrText xml:space="preserve"> SEQ Tabulka \* ARABIC </w:instrText>
      </w:r>
      <w:r w:rsidRPr="00592FEB">
        <w:rPr>
          <w:noProof/>
        </w:rPr>
        <w:fldChar w:fldCharType="separate"/>
      </w:r>
      <w:r w:rsidR="00AF5225">
        <w:rPr>
          <w:noProof/>
        </w:rPr>
        <w:t>18</w:t>
      </w:r>
      <w:r w:rsidRPr="00592FEB">
        <w:rPr>
          <w:noProof/>
        </w:rPr>
        <w:fldChar w:fldCharType="end"/>
      </w:r>
      <w:r w:rsidRPr="00592FEB">
        <w:rPr>
          <w:noProof/>
        </w:rPr>
        <w:t xml:space="preserve"> Neinvestiční transfery podnikatelským subjektům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58"/>
        <w:gridCol w:w="1303"/>
        <w:gridCol w:w="1185"/>
        <w:gridCol w:w="1135"/>
      </w:tblGrid>
      <w:tr w:rsidR="00CB0F19" w:rsidRPr="00592FEB" w:rsidTr="00B74E3F">
        <w:tc>
          <w:tcPr>
            <w:tcW w:w="22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bookmarkEnd w:id="55"/>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Skutečnost</w:t>
            </w:r>
          </w:p>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2017</w:t>
            </w:r>
          </w:p>
        </w:tc>
        <w:tc>
          <w:tcPr>
            <w:tcW w:w="7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Schválený</w:t>
            </w:r>
          </w:p>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rozpočet</w:t>
            </w:r>
          </w:p>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2018</w:t>
            </w:r>
          </w:p>
        </w:tc>
        <w:tc>
          <w:tcPr>
            <w:tcW w:w="6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Návrh</w:t>
            </w:r>
          </w:p>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rozpočtu</w:t>
            </w:r>
          </w:p>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2019</w:t>
            </w:r>
          </w:p>
        </w:tc>
        <w:tc>
          <w:tcPr>
            <w:tcW w:w="62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Index</w:t>
            </w:r>
          </w:p>
          <w:p w:rsidR="00886FD2" w:rsidRPr="00592FEB" w:rsidRDefault="00886FD2" w:rsidP="00A73168">
            <w:pPr>
              <w:jc w:val="center"/>
              <w:rPr>
                <w:rFonts w:eastAsia="Times New Roman" w:cs="Times New Roman"/>
                <w:b/>
                <w:szCs w:val="24"/>
                <w:lang w:eastAsia="cs-CZ"/>
              </w:rPr>
            </w:pPr>
            <w:r w:rsidRPr="00592FEB">
              <w:rPr>
                <w:rFonts w:eastAsia="Times New Roman" w:cs="Times New Roman"/>
                <w:b/>
                <w:szCs w:val="24"/>
                <w:lang w:eastAsia="cs-CZ"/>
              </w:rPr>
              <w:t>2019/</w:t>
            </w:r>
            <w:r w:rsidR="00CB0F19">
              <w:rPr>
                <w:rFonts w:eastAsia="Times New Roman" w:cs="Times New Roman"/>
                <w:b/>
                <w:szCs w:val="24"/>
                <w:lang w:eastAsia="cs-CZ"/>
              </w:rPr>
              <w:br/>
            </w:r>
            <w:r w:rsidRPr="00592FEB">
              <w:rPr>
                <w:rFonts w:eastAsia="Times New Roman" w:cs="Times New Roman"/>
                <w:b/>
                <w:szCs w:val="24"/>
                <w:lang w:eastAsia="cs-CZ"/>
              </w:rPr>
              <w:t xml:space="preserve">2018 </w:t>
            </w:r>
            <w:r w:rsidR="00CB0F19">
              <w:rPr>
                <w:rFonts w:eastAsia="Times New Roman" w:cs="Times New Roman"/>
                <w:b/>
                <w:szCs w:val="24"/>
                <w:lang w:eastAsia="cs-CZ"/>
              </w:rPr>
              <w:br/>
            </w:r>
            <w:r w:rsidRPr="00592FEB">
              <w:rPr>
                <w:rFonts w:eastAsia="Times New Roman" w:cs="Times New Roman"/>
                <w:b/>
                <w:szCs w:val="24"/>
                <w:lang w:eastAsia="cs-CZ"/>
              </w:rPr>
              <w:t>(v %)</w:t>
            </w:r>
          </w:p>
        </w:tc>
      </w:tr>
      <w:tr w:rsidR="00CB0F19" w:rsidRPr="00592FEB" w:rsidTr="00B74E3F">
        <w:tc>
          <w:tcPr>
            <w:tcW w:w="2252" w:type="pct"/>
            <w:tcBorders>
              <w:top w:val="single" w:sz="4" w:space="0" w:color="7F7F7F" w:themeColor="text1" w:themeTint="80"/>
              <w:bottom w:val="single" w:sz="8" w:space="0" w:color="7F7F7F" w:themeColor="text1" w:themeTint="80"/>
            </w:tcBorders>
            <w:shd w:val="clear" w:color="auto" w:fill="auto"/>
          </w:tcPr>
          <w:p w:rsidR="00886FD2" w:rsidRPr="00592FEB" w:rsidRDefault="00886FD2" w:rsidP="008A1F72">
            <w:pPr>
              <w:jc w:val="center"/>
              <w:rPr>
                <w:rFonts w:eastAsia="Times New Roman" w:cs="Times New Roman"/>
                <w:szCs w:val="24"/>
                <w:lang w:eastAsia="cs-CZ"/>
              </w:rPr>
            </w:pPr>
            <w:r w:rsidRPr="00592FEB">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rsidR="00886FD2" w:rsidRPr="00592FEB" w:rsidRDefault="00886FD2" w:rsidP="008A1F72">
            <w:pPr>
              <w:jc w:val="center"/>
              <w:rPr>
                <w:rFonts w:eastAsia="Times New Roman" w:cs="Times New Roman"/>
                <w:szCs w:val="24"/>
                <w:lang w:eastAsia="cs-CZ"/>
              </w:rPr>
            </w:pPr>
            <w:r w:rsidRPr="00592FEB">
              <w:rPr>
                <w:rFonts w:eastAsia="Times New Roman" w:cs="Times New Roman"/>
                <w:szCs w:val="24"/>
                <w:lang w:eastAsia="cs-CZ"/>
              </w:rPr>
              <w:t>1</w:t>
            </w:r>
          </w:p>
        </w:tc>
        <w:tc>
          <w:tcPr>
            <w:tcW w:w="719" w:type="pct"/>
            <w:tcBorders>
              <w:top w:val="single" w:sz="4" w:space="0" w:color="7F7F7F" w:themeColor="text1" w:themeTint="80"/>
              <w:bottom w:val="single" w:sz="8" w:space="0" w:color="7F7F7F" w:themeColor="text1" w:themeTint="80"/>
            </w:tcBorders>
            <w:shd w:val="clear" w:color="auto" w:fill="auto"/>
          </w:tcPr>
          <w:p w:rsidR="00886FD2" w:rsidRPr="00592FEB" w:rsidRDefault="00886FD2" w:rsidP="008A1F72">
            <w:pPr>
              <w:jc w:val="center"/>
              <w:rPr>
                <w:rFonts w:eastAsia="Times New Roman" w:cs="Times New Roman"/>
                <w:szCs w:val="24"/>
                <w:lang w:eastAsia="cs-CZ"/>
              </w:rPr>
            </w:pPr>
            <w:r w:rsidRPr="00592FEB">
              <w:rPr>
                <w:rFonts w:eastAsia="Times New Roman" w:cs="Times New Roman"/>
                <w:szCs w:val="24"/>
                <w:lang w:eastAsia="cs-CZ"/>
              </w:rPr>
              <w:t>2</w:t>
            </w:r>
          </w:p>
        </w:tc>
        <w:tc>
          <w:tcPr>
            <w:tcW w:w="654" w:type="pct"/>
            <w:tcBorders>
              <w:top w:val="single" w:sz="4" w:space="0" w:color="7F7F7F" w:themeColor="text1" w:themeTint="80"/>
              <w:bottom w:val="single" w:sz="8" w:space="0" w:color="7F7F7F" w:themeColor="text1" w:themeTint="80"/>
            </w:tcBorders>
            <w:shd w:val="clear" w:color="auto" w:fill="auto"/>
          </w:tcPr>
          <w:p w:rsidR="00886FD2" w:rsidRPr="00592FEB" w:rsidRDefault="00886FD2" w:rsidP="008A1F72">
            <w:pPr>
              <w:jc w:val="center"/>
              <w:rPr>
                <w:rFonts w:eastAsia="Times New Roman" w:cs="Times New Roman"/>
                <w:szCs w:val="24"/>
                <w:lang w:eastAsia="cs-CZ"/>
              </w:rPr>
            </w:pPr>
            <w:r w:rsidRPr="00592FEB">
              <w:rPr>
                <w:rFonts w:eastAsia="Times New Roman" w:cs="Times New Roman"/>
                <w:szCs w:val="24"/>
                <w:lang w:eastAsia="cs-CZ"/>
              </w:rPr>
              <w:t>3</w:t>
            </w:r>
          </w:p>
        </w:tc>
        <w:tc>
          <w:tcPr>
            <w:tcW w:w="626" w:type="pct"/>
            <w:tcBorders>
              <w:top w:val="single" w:sz="4" w:space="0" w:color="7F7F7F" w:themeColor="text1" w:themeTint="80"/>
              <w:bottom w:val="single" w:sz="8" w:space="0" w:color="7F7F7F" w:themeColor="text1" w:themeTint="80"/>
            </w:tcBorders>
            <w:shd w:val="clear" w:color="auto" w:fill="auto"/>
          </w:tcPr>
          <w:p w:rsidR="00886FD2" w:rsidRPr="00592FEB" w:rsidRDefault="00886FD2" w:rsidP="008A1F72">
            <w:pPr>
              <w:jc w:val="center"/>
              <w:rPr>
                <w:rFonts w:eastAsia="Times New Roman" w:cs="Times New Roman"/>
                <w:szCs w:val="24"/>
                <w:lang w:eastAsia="cs-CZ"/>
              </w:rPr>
            </w:pPr>
            <w:r w:rsidRPr="00592FEB">
              <w:rPr>
                <w:rFonts w:eastAsia="Times New Roman" w:cs="Times New Roman"/>
                <w:szCs w:val="24"/>
                <w:lang w:eastAsia="cs-CZ"/>
              </w:rPr>
              <w:t>4</w:t>
            </w:r>
          </w:p>
        </w:tc>
      </w:tr>
      <w:tr w:rsidR="00CB0F19" w:rsidRPr="00592FEB" w:rsidTr="00B74E3F">
        <w:trPr>
          <w:trHeight w:val="447"/>
        </w:trPr>
        <w:tc>
          <w:tcPr>
            <w:tcW w:w="2252" w:type="pct"/>
            <w:tcBorders>
              <w:top w:val="single" w:sz="8" w:space="0" w:color="7F7F7F" w:themeColor="text1" w:themeTint="80"/>
              <w:bottom w:val="single" w:sz="8" w:space="0" w:color="7F7F7F" w:themeColor="text1" w:themeTint="80"/>
            </w:tcBorders>
            <w:shd w:val="clear" w:color="auto" w:fill="auto"/>
            <w:vAlign w:val="center"/>
          </w:tcPr>
          <w:p w:rsidR="00886FD2" w:rsidRPr="00592FEB" w:rsidRDefault="00CB0F19" w:rsidP="00CB0F19">
            <w:pPr>
              <w:jc w:val="left"/>
              <w:rPr>
                <w:rFonts w:eastAsia="Times New Roman" w:cs="Times New Roman"/>
                <w:b/>
                <w:bCs/>
                <w:iCs/>
                <w:lang w:eastAsia="cs-CZ"/>
              </w:rPr>
            </w:pPr>
            <w:r>
              <w:rPr>
                <w:rFonts w:eastAsia="Times New Roman" w:cs="Times New Roman"/>
                <w:b/>
                <w:bCs/>
                <w:iCs/>
                <w:lang w:eastAsia="cs-CZ"/>
              </w:rPr>
              <w:t xml:space="preserve">Neinvestiční transfery </w:t>
            </w:r>
            <w:r w:rsidR="00886FD2" w:rsidRPr="00592FEB">
              <w:rPr>
                <w:rFonts w:eastAsia="Times New Roman" w:cs="Times New Roman"/>
                <w:b/>
                <w:bCs/>
                <w:iCs/>
                <w:lang w:eastAsia="cs-CZ"/>
              </w:rPr>
              <w:t xml:space="preserve">podnikatelským </w:t>
            </w:r>
            <w:proofErr w:type="spellStart"/>
            <w:r w:rsidR="00886FD2" w:rsidRPr="00592FEB">
              <w:rPr>
                <w:rFonts w:eastAsia="Times New Roman" w:cs="Times New Roman"/>
                <w:b/>
                <w:bCs/>
                <w:iCs/>
                <w:lang w:eastAsia="cs-CZ"/>
              </w:rPr>
              <w:t>subj</w:t>
            </w:r>
            <w:proofErr w:type="spellEnd"/>
            <w:r w:rsidR="00886FD2" w:rsidRPr="00592FEB">
              <w:rPr>
                <w:rFonts w:eastAsia="Times New Roman" w:cs="Times New Roman"/>
                <w:b/>
                <w:bCs/>
                <w:iCs/>
                <w:lang w:eastAsia="cs-CZ"/>
              </w:rPr>
              <w:t xml:space="preserve">. </w:t>
            </w:r>
            <w:proofErr w:type="gramStart"/>
            <w:r w:rsidR="00886FD2" w:rsidRPr="00592FEB">
              <w:rPr>
                <w:rFonts w:eastAsia="Times New Roman" w:cs="Times New Roman"/>
                <w:b/>
                <w:bCs/>
                <w:iCs/>
                <w:lang w:eastAsia="cs-CZ"/>
              </w:rPr>
              <w:t>celkem</w:t>
            </w:r>
            <w:proofErr w:type="gramEnd"/>
            <w:r w:rsidR="00886FD2" w:rsidRPr="00592FEB">
              <w:rPr>
                <w:rFonts w:eastAsia="Times New Roman" w:cs="Times New Roman"/>
                <w:b/>
                <w:bCs/>
                <w:iCs/>
                <w:lang w:eastAsia="cs-CZ"/>
              </w:rPr>
              <w:t xml:space="preserve"> </w:t>
            </w:r>
            <w:r w:rsidR="00886FD2" w:rsidRPr="00592FEB">
              <w:rPr>
                <w:rFonts w:eastAsia="Times New Roman" w:cs="Times New Roman"/>
                <w:bCs/>
                <w:iCs/>
                <w:lang w:eastAsia="cs-CZ"/>
              </w:rPr>
              <w:t>v tom:</w:t>
            </w:r>
          </w:p>
        </w:tc>
        <w:tc>
          <w:tcPr>
            <w:tcW w:w="749" w:type="pct"/>
            <w:tcBorders>
              <w:top w:val="single" w:sz="5" w:space="0" w:color="7F7F7F" w:themeColor="text1" w:themeTint="80"/>
              <w:bottom w:val="single" w:sz="5" w:space="0" w:color="7F7F7F" w:themeColor="text1" w:themeTint="80"/>
            </w:tcBorders>
            <w:shd w:val="clear" w:color="auto" w:fill="auto"/>
            <w:vAlign w:val="center"/>
          </w:tcPr>
          <w:p w:rsidR="00886FD2" w:rsidRPr="00592FEB" w:rsidRDefault="00886FD2" w:rsidP="008A1F72">
            <w:pPr>
              <w:spacing w:after="120"/>
              <w:jc w:val="right"/>
              <w:rPr>
                <w:rFonts w:eastAsia="Times New Roman" w:cs="Times New Roman"/>
                <w:b/>
                <w:bCs/>
                <w:iCs/>
                <w:lang w:eastAsia="cs-CZ"/>
              </w:rPr>
            </w:pPr>
            <w:r w:rsidRPr="00592FEB">
              <w:rPr>
                <w:rFonts w:eastAsia="Times New Roman" w:cs="Times New Roman"/>
                <w:b/>
                <w:bCs/>
                <w:iCs/>
                <w:lang w:eastAsia="cs-CZ"/>
              </w:rPr>
              <w:t>4 723 826</w:t>
            </w:r>
          </w:p>
        </w:tc>
        <w:tc>
          <w:tcPr>
            <w:tcW w:w="719" w:type="pct"/>
            <w:tcBorders>
              <w:top w:val="single" w:sz="5" w:space="0" w:color="7F7F7F" w:themeColor="text1" w:themeTint="80"/>
              <w:bottom w:val="single" w:sz="5" w:space="0" w:color="7F7F7F" w:themeColor="text1" w:themeTint="80"/>
            </w:tcBorders>
            <w:shd w:val="clear" w:color="auto" w:fill="auto"/>
            <w:vAlign w:val="center"/>
          </w:tcPr>
          <w:p w:rsidR="00886FD2" w:rsidRPr="00592FEB" w:rsidRDefault="00886FD2" w:rsidP="008A1F72">
            <w:pPr>
              <w:spacing w:after="120"/>
              <w:jc w:val="right"/>
              <w:rPr>
                <w:rFonts w:eastAsia="Times New Roman" w:cs="Times New Roman"/>
                <w:b/>
                <w:bCs/>
                <w:iCs/>
                <w:lang w:eastAsia="cs-CZ"/>
              </w:rPr>
            </w:pPr>
            <w:r w:rsidRPr="00592FEB">
              <w:rPr>
                <w:rFonts w:eastAsia="Times New Roman" w:cs="Times New Roman"/>
                <w:b/>
                <w:bCs/>
                <w:iCs/>
                <w:lang w:eastAsia="cs-CZ"/>
              </w:rPr>
              <w:t>5 607 299</w:t>
            </w:r>
          </w:p>
        </w:tc>
        <w:tc>
          <w:tcPr>
            <w:tcW w:w="654" w:type="pct"/>
            <w:tcBorders>
              <w:top w:val="single" w:sz="5" w:space="0" w:color="7F7F7F" w:themeColor="text1" w:themeTint="80"/>
              <w:bottom w:val="single" w:sz="5" w:space="0" w:color="7F7F7F" w:themeColor="text1" w:themeTint="80"/>
            </w:tcBorders>
            <w:shd w:val="clear" w:color="auto" w:fill="auto"/>
            <w:vAlign w:val="center"/>
          </w:tcPr>
          <w:p w:rsidR="00886FD2" w:rsidRPr="00592FEB" w:rsidRDefault="00886FD2" w:rsidP="008A1F72">
            <w:pPr>
              <w:spacing w:after="120"/>
              <w:jc w:val="right"/>
              <w:rPr>
                <w:rFonts w:eastAsia="Times New Roman" w:cs="Times New Roman"/>
                <w:b/>
                <w:bCs/>
                <w:iCs/>
                <w:lang w:eastAsia="cs-CZ"/>
              </w:rPr>
            </w:pPr>
            <w:r w:rsidRPr="00592FEB">
              <w:rPr>
                <w:rFonts w:eastAsia="Times New Roman" w:cs="Times New Roman"/>
                <w:b/>
                <w:bCs/>
                <w:iCs/>
                <w:lang w:eastAsia="cs-CZ"/>
              </w:rPr>
              <w:t xml:space="preserve">5 468 </w:t>
            </w:r>
            <w:r>
              <w:rPr>
                <w:rFonts w:eastAsia="Times New Roman" w:cs="Times New Roman"/>
                <w:b/>
                <w:bCs/>
                <w:iCs/>
                <w:lang w:eastAsia="cs-CZ"/>
              </w:rPr>
              <w:t>442</w:t>
            </w:r>
          </w:p>
        </w:tc>
        <w:tc>
          <w:tcPr>
            <w:tcW w:w="626" w:type="pct"/>
            <w:tcBorders>
              <w:top w:val="single" w:sz="5" w:space="0" w:color="7F7F7F" w:themeColor="text1" w:themeTint="80"/>
              <w:bottom w:val="single" w:sz="5" w:space="0" w:color="7F7F7F" w:themeColor="text1" w:themeTint="80"/>
            </w:tcBorders>
            <w:shd w:val="clear" w:color="auto" w:fill="auto"/>
            <w:vAlign w:val="center"/>
          </w:tcPr>
          <w:p w:rsidR="00886FD2" w:rsidRPr="00592FEB" w:rsidRDefault="00886FD2" w:rsidP="008A1F72">
            <w:pPr>
              <w:spacing w:after="120"/>
              <w:jc w:val="right"/>
              <w:rPr>
                <w:rFonts w:eastAsia="Times New Roman" w:cs="Times New Roman"/>
                <w:b/>
                <w:bCs/>
                <w:iCs/>
                <w:lang w:eastAsia="cs-CZ"/>
              </w:rPr>
            </w:pPr>
            <w:r w:rsidRPr="00592FEB">
              <w:rPr>
                <w:rFonts w:eastAsia="Times New Roman" w:cs="Times New Roman"/>
                <w:b/>
                <w:bCs/>
                <w:iCs/>
                <w:lang w:eastAsia="cs-CZ"/>
              </w:rPr>
              <w:t>97,52</w:t>
            </w:r>
          </w:p>
        </w:tc>
      </w:tr>
      <w:tr w:rsidR="00CB0F19" w:rsidRPr="00592FEB" w:rsidTr="00B74E3F">
        <w:tc>
          <w:tcPr>
            <w:tcW w:w="2252" w:type="pct"/>
            <w:tcBorders>
              <w:top w:val="single" w:sz="8" w:space="0" w:color="7F7F7F" w:themeColor="text1" w:themeTint="80"/>
            </w:tcBorders>
            <w:shd w:val="clear" w:color="auto" w:fill="auto"/>
          </w:tcPr>
          <w:p w:rsidR="00886FD2" w:rsidRPr="00592FEB" w:rsidRDefault="00886FD2" w:rsidP="008A1F72">
            <w:pPr>
              <w:ind w:left="32" w:hanging="180"/>
              <w:rPr>
                <w:rFonts w:eastAsia="Times New Roman" w:cs="Times New Roman"/>
                <w:bCs/>
                <w:iCs/>
                <w:lang w:eastAsia="cs-CZ"/>
              </w:rPr>
            </w:pPr>
            <w:r w:rsidRPr="00592FEB">
              <w:rPr>
                <w:rFonts w:eastAsia="Times New Roman" w:cs="Times New Roman"/>
                <w:bCs/>
                <w:iCs/>
                <w:lang w:eastAsia="cs-CZ"/>
              </w:rPr>
              <w:t xml:space="preserve">   úhrada ztráty ze závazku veřejné služby ve veřejné drážní osobní dopravě</w:t>
            </w:r>
          </w:p>
        </w:tc>
        <w:tc>
          <w:tcPr>
            <w:tcW w:w="749" w:type="pct"/>
            <w:tcBorders>
              <w:top w:val="single" w:sz="5" w:space="0" w:color="7F7F7F" w:themeColor="text1" w:themeTint="80"/>
            </w:tcBorders>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4 644 917</w:t>
            </w:r>
          </w:p>
        </w:tc>
        <w:tc>
          <w:tcPr>
            <w:tcW w:w="719" w:type="pct"/>
            <w:tcBorders>
              <w:top w:val="single" w:sz="5" w:space="0" w:color="7F7F7F" w:themeColor="text1" w:themeTint="80"/>
            </w:tcBorders>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 xml:space="preserve">4 622 563 </w:t>
            </w:r>
          </w:p>
        </w:tc>
        <w:tc>
          <w:tcPr>
            <w:tcW w:w="654" w:type="pct"/>
            <w:tcBorders>
              <w:top w:val="single" w:sz="5" w:space="0" w:color="7F7F7F" w:themeColor="text1" w:themeTint="80"/>
            </w:tcBorders>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 xml:space="preserve">4 979 727 </w:t>
            </w:r>
          </w:p>
        </w:tc>
        <w:tc>
          <w:tcPr>
            <w:tcW w:w="626" w:type="pct"/>
            <w:tcBorders>
              <w:top w:val="single" w:sz="5" w:space="0" w:color="7F7F7F" w:themeColor="text1" w:themeTint="80"/>
            </w:tcBorders>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107,73</w:t>
            </w:r>
          </w:p>
        </w:tc>
      </w:tr>
      <w:tr w:rsidR="00CB0F19" w:rsidRPr="00592FEB" w:rsidTr="00B74E3F">
        <w:tc>
          <w:tcPr>
            <w:tcW w:w="2252" w:type="pct"/>
            <w:shd w:val="clear" w:color="auto" w:fill="auto"/>
          </w:tcPr>
          <w:p w:rsidR="00886FD2" w:rsidRPr="00592FEB" w:rsidRDefault="00886FD2" w:rsidP="008A1F72">
            <w:pPr>
              <w:ind w:left="32" w:hanging="180"/>
              <w:rPr>
                <w:rFonts w:eastAsia="Times New Roman" w:cs="Times New Roman"/>
                <w:bCs/>
                <w:iCs/>
                <w:lang w:eastAsia="cs-CZ"/>
              </w:rPr>
            </w:pPr>
            <w:r w:rsidRPr="00592FEB">
              <w:rPr>
                <w:rFonts w:eastAsia="Times New Roman" w:cs="Times New Roman"/>
                <w:bCs/>
                <w:iCs/>
                <w:lang w:eastAsia="cs-CZ"/>
              </w:rPr>
              <w:t xml:space="preserve">   příspěvek </w:t>
            </w:r>
            <w:r w:rsidR="00AC6E83">
              <w:rPr>
                <w:rFonts w:eastAsia="Times New Roman" w:cs="Times New Roman"/>
                <w:bCs/>
                <w:iCs/>
                <w:lang w:eastAsia="cs-CZ"/>
              </w:rPr>
              <w:t xml:space="preserve">SŽDC </w:t>
            </w:r>
            <w:r w:rsidRPr="00592FEB">
              <w:rPr>
                <w:rFonts w:eastAsia="Times New Roman" w:cs="Times New Roman"/>
                <w:bCs/>
                <w:iCs/>
                <w:lang w:eastAsia="cs-CZ"/>
              </w:rPr>
              <w:t>na dopravní cestu nehrazený ze SFDI</w:t>
            </w:r>
          </w:p>
        </w:tc>
        <w:tc>
          <w:tcPr>
            <w:tcW w:w="74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0</w:t>
            </w:r>
          </w:p>
        </w:tc>
        <w:tc>
          <w:tcPr>
            <w:tcW w:w="71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850 000</w:t>
            </w:r>
          </w:p>
        </w:tc>
        <w:tc>
          <w:tcPr>
            <w:tcW w:w="654"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400 000</w:t>
            </w:r>
          </w:p>
        </w:tc>
        <w:tc>
          <w:tcPr>
            <w:tcW w:w="626"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47,06</w:t>
            </w:r>
          </w:p>
        </w:tc>
      </w:tr>
      <w:tr w:rsidR="00CB0F19" w:rsidRPr="00592FEB" w:rsidTr="00B74E3F">
        <w:tc>
          <w:tcPr>
            <w:tcW w:w="2252" w:type="pct"/>
            <w:shd w:val="clear" w:color="auto" w:fill="auto"/>
          </w:tcPr>
          <w:p w:rsidR="00886FD2" w:rsidRPr="00592FEB" w:rsidRDefault="00886FD2" w:rsidP="008A1F72">
            <w:pPr>
              <w:ind w:left="32" w:hanging="180"/>
              <w:rPr>
                <w:rFonts w:eastAsia="Times New Roman" w:cs="Times New Roman"/>
                <w:bCs/>
                <w:iCs/>
                <w:lang w:eastAsia="cs-CZ"/>
              </w:rPr>
            </w:pPr>
            <w:r w:rsidRPr="00592FEB">
              <w:rPr>
                <w:rFonts w:eastAsia="Times New Roman" w:cs="Times New Roman"/>
                <w:bCs/>
                <w:iCs/>
                <w:lang w:eastAsia="cs-CZ"/>
              </w:rPr>
              <w:t xml:space="preserve">   úhrada poplatků vybíraných za LPS </w:t>
            </w:r>
            <w:proofErr w:type="spellStart"/>
            <w:r w:rsidRPr="00592FEB">
              <w:rPr>
                <w:rFonts w:eastAsia="Times New Roman" w:cs="Times New Roman"/>
                <w:bCs/>
                <w:iCs/>
                <w:lang w:eastAsia="cs-CZ"/>
              </w:rPr>
              <w:t>poskyt</w:t>
            </w:r>
            <w:proofErr w:type="spellEnd"/>
            <w:r w:rsidRPr="00592FEB">
              <w:rPr>
                <w:rFonts w:eastAsia="Times New Roman" w:cs="Times New Roman"/>
                <w:bCs/>
                <w:iCs/>
                <w:lang w:eastAsia="cs-CZ"/>
              </w:rPr>
              <w:t xml:space="preserve">. </w:t>
            </w:r>
            <w:proofErr w:type="gramStart"/>
            <w:r w:rsidRPr="00592FEB">
              <w:rPr>
                <w:rFonts w:eastAsia="Times New Roman" w:cs="Times New Roman"/>
                <w:bCs/>
                <w:iCs/>
                <w:lang w:eastAsia="cs-CZ"/>
              </w:rPr>
              <w:t>ve</w:t>
            </w:r>
            <w:proofErr w:type="gramEnd"/>
            <w:r w:rsidRPr="00592FEB">
              <w:rPr>
                <w:rFonts w:eastAsia="Times New Roman" w:cs="Times New Roman"/>
                <w:bCs/>
                <w:iCs/>
                <w:lang w:eastAsia="cs-CZ"/>
              </w:rPr>
              <w:t xml:space="preserve"> vzdušném prostoru ČR</w:t>
            </w:r>
          </w:p>
        </w:tc>
        <w:tc>
          <w:tcPr>
            <w:tcW w:w="74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75 216</w:t>
            </w:r>
          </w:p>
        </w:tc>
        <w:tc>
          <w:tcPr>
            <w:tcW w:w="71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77 468</w:t>
            </w:r>
          </w:p>
        </w:tc>
        <w:tc>
          <w:tcPr>
            <w:tcW w:w="654"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71 797</w:t>
            </w:r>
          </w:p>
        </w:tc>
        <w:tc>
          <w:tcPr>
            <w:tcW w:w="626"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92,68</w:t>
            </w:r>
          </w:p>
        </w:tc>
      </w:tr>
      <w:tr w:rsidR="00CB0F19" w:rsidRPr="00592FEB" w:rsidTr="00B74E3F">
        <w:tc>
          <w:tcPr>
            <w:tcW w:w="2252" w:type="pct"/>
            <w:shd w:val="clear" w:color="auto" w:fill="auto"/>
          </w:tcPr>
          <w:p w:rsidR="00886FD2" w:rsidRPr="00592FEB" w:rsidRDefault="00886FD2" w:rsidP="008A1F72">
            <w:pPr>
              <w:ind w:left="32" w:hanging="180"/>
              <w:rPr>
                <w:rFonts w:eastAsia="Times New Roman" w:cs="Times New Roman"/>
                <w:bCs/>
                <w:iCs/>
                <w:lang w:eastAsia="cs-CZ"/>
              </w:rPr>
            </w:pPr>
            <w:r w:rsidRPr="00592FEB">
              <w:rPr>
                <w:rFonts w:eastAsia="Times New Roman" w:cs="Times New Roman"/>
                <w:bCs/>
                <w:iCs/>
                <w:lang w:eastAsia="cs-CZ"/>
              </w:rPr>
              <w:t xml:space="preserve">   výdaje na programy </w:t>
            </w:r>
            <w:proofErr w:type="spellStart"/>
            <w:r w:rsidRPr="00592FEB">
              <w:rPr>
                <w:rFonts w:eastAsia="Times New Roman" w:cs="Times New Roman"/>
                <w:bCs/>
                <w:iCs/>
                <w:lang w:eastAsia="cs-CZ"/>
              </w:rPr>
              <w:t>spolufin</w:t>
            </w:r>
            <w:proofErr w:type="spellEnd"/>
            <w:r w:rsidRPr="00592FEB">
              <w:rPr>
                <w:rFonts w:eastAsia="Times New Roman" w:cs="Times New Roman"/>
                <w:bCs/>
                <w:iCs/>
                <w:lang w:eastAsia="cs-CZ"/>
              </w:rPr>
              <w:t xml:space="preserve"> z EU – CEF</w:t>
            </w:r>
            <w:r w:rsidR="00AC6E83">
              <w:rPr>
                <w:rFonts w:eastAsia="Times New Roman" w:cs="Times New Roman"/>
                <w:bCs/>
                <w:iCs/>
                <w:lang w:eastAsia="cs-CZ"/>
              </w:rPr>
              <w:t xml:space="preserve"> (C-ROADS)</w:t>
            </w:r>
          </w:p>
        </w:tc>
        <w:tc>
          <w:tcPr>
            <w:tcW w:w="74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0</w:t>
            </w:r>
          </w:p>
        </w:tc>
        <w:tc>
          <w:tcPr>
            <w:tcW w:w="71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53 268</w:t>
            </w:r>
          </w:p>
        </w:tc>
        <w:tc>
          <w:tcPr>
            <w:tcW w:w="654"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 xml:space="preserve">12 </w:t>
            </w:r>
            <w:r>
              <w:rPr>
                <w:rFonts w:eastAsia="Times New Roman" w:cs="Times New Roman"/>
                <w:bCs/>
                <w:iCs/>
                <w:lang w:eastAsia="cs-CZ"/>
              </w:rPr>
              <w:t>918</w:t>
            </w:r>
          </w:p>
        </w:tc>
        <w:tc>
          <w:tcPr>
            <w:tcW w:w="626" w:type="pct"/>
            <w:shd w:val="clear" w:color="auto" w:fill="auto"/>
            <w:vAlign w:val="center"/>
          </w:tcPr>
          <w:p w:rsidR="00886FD2" w:rsidRPr="00592FEB" w:rsidRDefault="00886FD2" w:rsidP="008A1F72">
            <w:pPr>
              <w:jc w:val="right"/>
              <w:rPr>
                <w:rFonts w:eastAsia="Times New Roman" w:cs="Times New Roman"/>
                <w:bCs/>
                <w:iCs/>
                <w:lang w:eastAsia="cs-CZ"/>
              </w:rPr>
            </w:pPr>
            <w:r>
              <w:rPr>
                <w:rFonts w:eastAsia="Times New Roman" w:cs="Times New Roman"/>
                <w:bCs/>
                <w:iCs/>
                <w:lang w:eastAsia="cs-CZ"/>
              </w:rPr>
              <w:t>24,25</w:t>
            </w:r>
          </w:p>
        </w:tc>
      </w:tr>
      <w:tr w:rsidR="00CB0F19" w:rsidRPr="00592FEB" w:rsidTr="00B74E3F">
        <w:tc>
          <w:tcPr>
            <w:tcW w:w="2252" w:type="pct"/>
            <w:shd w:val="clear" w:color="auto" w:fill="auto"/>
          </w:tcPr>
          <w:p w:rsidR="00886FD2" w:rsidRPr="00592FEB" w:rsidRDefault="00886FD2" w:rsidP="008A1F72">
            <w:pPr>
              <w:ind w:left="32" w:hanging="180"/>
              <w:rPr>
                <w:rFonts w:eastAsia="Times New Roman" w:cs="Times New Roman"/>
                <w:bCs/>
                <w:iCs/>
                <w:lang w:eastAsia="cs-CZ"/>
              </w:rPr>
            </w:pPr>
            <w:r w:rsidRPr="00592FEB">
              <w:rPr>
                <w:rFonts w:eastAsia="Times New Roman" w:cs="Times New Roman"/>
                <w:bCs/>
                <w:iCs/>
                <w:lang w:eastAsia="cs-CZ"/>
              </w:rPr>
              <w:t xml:space="preserve">   podpora obnovy </w:t>
            </w:r>
            <w:proofErr w:type="spellStart"/>
            <w:r w:rsidRPr="00592FEB">
              <w:rPr>
                <w:rFonts w:eastAsia="Times New Roman" w:cs="Times New Roman"/>
                <w:bCs/>
                <w:iCs/>
                <w:lang w:eastAsia="cs-CZ"/>
              </w:rPr>
              <w:t>histor</w:t>
            </w:r>
            <w:proofErr w:type="spellEnd"/>
            <w:r w:rsidRPr="00592FEB">
              <w:rPr>
                <w:rFonts w:eastAsia="Times New Roman" w:cs="Times New Roman"/>
                <w:bCs/>
                <w:iCs/>
                <w:lang w:eastAsia="cs-CZ"/>
              </w:rPr>
              <w:t>. železničních kolejových vozidel (program 127 66)</w:t>
            </w:r>
          </w:p>
        </w:tc>
        <w:tc>
          <w:tcPr>
            <w:tcW w:w="74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3 693</w:t>
            </w:r>
          </w:p>
        </w:tc>
        <w:tc>
          <w:tcPr>
            <w:tcW w:w="719"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4 000</w:t>
            </w:r>
          </w:p>
        </w:tc>
        <w:tc>
          <w:tcPr>
            <w:tcW w:w="654"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4 000</w:t>
            </w:r>
          </w:p>
        </w:tc>
        <w:tc>
          <w:tcPr>
            <w:tcW w:w="626" w:type="pct"/>
            <w:shd w:val="clear" w:color="auto" w:fill="auto"/>
            <w:vAlign w:val="center"/>
          </w:tcPr>
          <w:p w:rsidR="00886FD2" w:rsidRPr="00592FEB" w:rsidRDefault="00886FD2" w:rsidP="008A1F72">
            <w:pPr>
              <w:jc w:val="right"/>
              <w:rPr>
                <w:rFonts w:eastAsia="Times New Roman" w:cs="Times New Roman"/>
                <w:bCs/>
                <w:iCs/>
                <w:lang w:eastAsia="cs-CZ"/>
              </w:rPr>
            </w:pPr>
            <w:r w:rsidRPr="00592FEB">
              <w:rPr>
                <w:rFonts w:eastAsia="Times New Roman" w:cs="Times New Roman"/>
                <w:bCs/>
                <w:iCs/>
                <w:lang w:eastAsia="cs-CZ"/>
              </w:rPr>
              <w:t>100,00</w:t>
            </w:r>
          </w:p>
        </w:tc>
      </w:tr>
    </w:tbl>
    <w:p w:rsidR="00886FD2" w:rsidRPr="00592FEB" w:rsidRDefault="00886FD2" w:rsidP="00886FD2">
      <w:pPr>
        <w:spacing w:before="240" w:after="80" w:line="240" w:lineRule="auto"/>
        <w:ind w:firstLine="539"/>
        <w:rPr>
          <w:rFonts w:eastAsia="Times New Roman" w:cs="Times New Roman"/>
          <w:b/>
          <w:szCs w:val="24"/>
          <w:u w:val="single"/>
          <w:lang w:eastAsia="cs-CZ"/>
        </w:rPr>
      </w:pPr>
      <w:r w:rsidRPr="00592FEB">
        <w:rPr>
          <w:rFonts w:eastAsia="Times New Roman" w:cs="Times New Roman"/>
          <w:b/>
          <w:szCs w:val="24"/>
          <w:u w:val="single"/>
          <w:lang w:eastAsia="cs-CZ"/>
        </w:rPr>
        <w:lastRenderedPageBreak/>
        <w:t>Úhrada ztráty ze závazku veřejné služby ve veřejné drážní osobní dopravě</w:t>
      </w:r>
    </w:p>
    <w:p w:rsidR="00886FD2" w:rsidRPr="00592FEB" w:rsidRDefault="00886FD2" w:rsidP="001D1C48">
      <w:pPr>
        <w:pStyle w:val="Styl1"/>
      </w:pPr>
      <w:r w:rsidRPr="00592FEB">
        <w:t xml:space="preserve">Zákon č. 194/2010 Sb., o veřejných službách v přepravě cestujících a o změně dalších zákonů, definuje dopravní obslužnost, kterou zajišťuje stát prostřednictvím Ministerstva dopravy. Z definice dopravní obslužnosti státu vyplývají výkony, které je nutno uplatňovat </w:t>
      </w:r>
      <w:r w:rsidR="00CB0F19">
        <w:br/>
      </w:r>
      <w:r w:rsidRPr="00592FEB">
        <w:t xml:space="preserve">ze strany státu vůči dopravcům, kteří je budou zajišťovat. </w:t>
      </w:r>
    </w:p>
    <w:p w:rsidR="00886FD2" w:rsidRPr="00592FEB" w:rsidRDefault="00886FD2" w:rsidP="001D1C48">
      <w:pPr>
        <w:pStyle w:val="Styl1"/>
      </w:pPr>
      <w:r w:rsidRPr="00592FEB">
        <w:t xml:space="preserve">V souvislosti s účinností nařízení Evropského parlamentu a Rady č. 1370/2007 ze dne </w:t>
      </w:r>
      <w:r w:rsidRPr="00592FEB">
        <w:br/>
        <w:t xml:space="preserve">23. října 2007 o službách v přepravě cestujících po železnici a silnici a o zrušení nařízení Rady (EHS) č. 1191/69 a č. 1107/70 od roku 2010 jsou u dopravců zajišťujících závazek veřejné služby v rámci kompenzací za tyto služby hrazeny i ztráty vznikající v důsledku slev jízdného stanovených státem nebo objednatelem. </w:t>
      </w:r>
    </w:p>
    <w:p w:rsidR="00886FD2" w:rsidRPr="00592FEB" w:rsidRDefault="00886FD2" w:rsidP="001D1C48">
      <w:pPr>
        <w:pStyle w:val="Styl1"/>
      </w:pPr>
      <w:r w:rsidRPr="00592FEB">
        <w:t>Výdaje na úhradu ztráty ze závazku veřejné služby ve veřejné drážní osobní dopravě jsou na rok 2019 rozpočtovány v částce 4 979 727 tis. Kč, tj. o 357 164 tis. Kč více oproti schválenému rozpočtu roku 2018. Toto navýšení pokrývá předpokládanou částku inflačního navýšení v roce 2019 a spuštění nového provozního konceptu vlaků dálkové dopravy Praha - Plzeň – Mnichov, které nebylo ve schváleném rozpočtu 2018 zohledněno.</w:t>
      </w:r>
    </w:p>
    <w:p w:rsidR="00886FD2" w:rsidRPr="00592FEB" w:rsidRDefault="00886FD2" w:rsidP="00886FD2">
      <w:pPr>
        <w:pStyle w:val="MDSR"/>
        <w:spacing w:before="240" w:after="80" w:line="259" w:lineRule="auto"/>
        <w:ind w:firstLine="539"/>
        <w:jc w:val="left"/>
        <w:rPr>
          <w:b/>
          <w:bCs/>
          <w:szCs w:val="24"/>
          <w:u w:val="single"/>
        </w:rPr>
      </w:pPr>
      <w:r w:rsidRPr="00592FEB">
        <w:rPr>
          <w:b/>
          <w:bCs/>
          <w:szCs w:val="24"/>
          <w:u w:val="single"/>
        </w:rPr>
        <w:t xml:space="preserve">Příspěvek </w:t>
      </w:r>
      <w:r w:rsidR="00AC6E83">
        <w:rPr>
          <w:b/>
          <w:bCs/>
          <w:szCs w:val="24"/>
          <w:u w:val="single"/>
        </w:rPr>
        <w:t xml:space="preserve">SŽDC </w:t>
      </w:r>
      <w:r w:rsidRPr="00592FEB">
        <w:rPr>
          <w:b/>
          <w:bCs/>
          <w:szCs w:val="24"/>
          <w:u w:val="single"/>
        </w:rPr>
        <w:t>na dopravní cestu nehrazený ze SFDI </w:t>
      </w:r>
    </w:p>
    <w:p w:rsidR="00886FD2" w:rsidRPr="00886FD2" w:rsidRDefault="00886FD2" w:rsidP="001D1C48">
      <w:pPr>
        <w:pStyle w:val="Styl1"/>
      </w:pPr>
      <w:r w:rsidRPr="00886FD2">
        <w:t xml:space="preserve">Příspěvek je určen na úhradu části neinvestičních nákladů souvisejících s provozováním dráhy. Příjemcem dotace je Správa železniční dopravní cesty, </w:t>
      </w:r>
      <w:proofErr w:type="spellStart"/>
      <w:proofErr w:type="gramStart"/>
      <w:r w:rsidRPr="00886FD2">
        <w:t>s.o</w:t>
      </w:r>
      <w:proofErr w:type="spellEnd"/>
      <w:r w:rsidRPr="00886FD2">
        <w:t>.</w:t>
      </w:r>
      <w:proofErr w:type="gramEnd"/>
      <w:r w:rsidRPr="00886FD2">
        <w:t xml:space="preserve"> Výdaje jsou pro rok 2019 rozpočtovány v částce 400 000 tis. Kč, tj. o 450 000 tis. Kč méně než ve schváleném rozpočtu pro rok 2018</w:t>
      </w:r>
      <w:r w:rsidR="00BE5DDF">
        <w:t>.</w:t>
      </w:r>
    </w:p>
    <w:p w:rsidR="008A1F72" w:rsidRPr="00592FEB" w:rsidRDefault="008A1F72" w:rsidP="008A1F72">
      <w:pPr>
        <w:spacing w:before="240" w:after="80" w:line="240" w:lineRule="auto"/>
        <w:ind w:firstLine="539"/>
        <w:rPr>
          <w:rFonts w:eastAsia="Times New Roman" w:cs="Times New Roman"/>
          <w:b/>
          <w:szCs w:val="24"/>
          <w:u w:val="single"/>
          <w:lang w:eastAsia="cs-CZ"/>
        </w:rPr>
      </w:pPr>
      <w:r w:rsidRPr="00592FEB">
        <w:rPr>
          <w:rFonts w:eastAsia="Times New Roman" w:cs="Times New Roman"/>
          <w:b/>
          <w:szCs w:val="24"/>
          <w:u w:val="single"/>
          <w:lang w:eastAsia="cs-CZ"/>
        </w:rPr>
        <w:t xml:space="preserve">Úhrada poplatků vybíraných za LNS poskytované ve vzdušném prostoru ČR </w:t>
      </w:r>
    </w:p>
    <w:p w:rsidR="008A1F72" w:rsidRPr="00592FEB" w:rsidRDefault="008A1F72" w:rsidP="001D1C48">
      <w:pPr>
        <w:pStyle w:val="Styl1"/>
      </w:pPr>
      <w:r w:rsidRPr="00592FEB">
        <w:t xml:space="preserve">V souladu s usnesením vlády ze dne </w:t>
      </w:r>
      <w:proofErr w:type="gramStart"/>
      <w:smartTag w:uri="urn:schemas-microsoft-com:office:smarttags" w:element="date">
        <w:smartTagPr>
          <w:attr w:name="ls" w:val="trans"/>
          <w:attr w:name="Month" w:val="11"/>
          <w:attr w:name="Day" w:val="2"/>
          <w:attr w:name="Year" w:val="2005"/>
        </w:smartTagPr>
        <w:r w:rsidRPr="00592FEB">
          <w:t>2.11.2005</w:t>
        </w:r>
      </w:smartTag>
      <w:proofErr w:type="gramEnd"/>
      <w:r w:rsidRPr="00592FEB">
        <w:t xml:space="preserve"> č. 1404, k úhradě poplatků vybíraných </w:t>
      </w:r>
      <w:r w:rsidR="00CB0F19">
        <w:br/>
      </w:r>
      <w:r w:rsidRPr="00592FEB">
        <w:t xml:space="preserve">za letové provozní služby poskytované ve vzdušném prostoru České republiky a nařízením Komise č. 1794/2006 ze dne </w:t>
      </w:r>
      <w:smartTag w:uri="urn:schemas-microsoft-com:office:smarttags" w:element="date">
        <w:smartTagPr>
          <w:attr w:name="ls" w:val="trans"/>
          <w:attr w:name="Month" w:val="12"/>
          <w:attr w:name="Day" w:val="6"/>
          <w:attr w:name="Year" w:val="2006"/>
        </w:smartTagPr>
        <w:r w:rsidRPr="00592FEB">
          <w:t>6.12.2006</w:t>
        </w:r>
      </w:smartTag>
      <w:r w:rsidRPr="00592FEB">
        <w:t xml:space="preserve">, kterým se stanoví společný systém poplatků za letové navigační služby, stát od roku 2008 hradí státnímu podniku Řízení letového provozu ČR náklady související s poskytováním letových navigačních služeb letům ve vzdušném prostoru České republiky osvobozeným od zpoplatnění. </w:t>
      </w:r>
    </w:p>
    <w:p w:rsidR="008A1F72" w:rsidRPr="0001421C" w:rsidRDefault="008A1F72" w:rsidP="001D1C48">
      <w:pPr>
        <w:pStyle w:val="Styl1"/>
        <w:rPr>
          <w:color w:val="FF0000"/>
        </w:rPr>
      </w:pPr>
      <w:r w:rsidRPr="00592FEB">
        <w:t xml:space="preserve">Oproti schválenému rozpočtu na rok 2018 je úhrada poplatků za LNS rozpočtována pro rok 2019 v částce o 5 671  tis. Kč nižší, tj. 71 797 tis. Kč. Tato částka bude plně kompenzovat očekávané náklady vynaložené ŘLP ČR, </w:t>
      </w:r>
      <w:proofErr w:type="spellStart"/>
      <w:proofErr w:type="gramStart"/>
      <w:r w:rsidRPr="00592FEB">
        <w:t>s.p</w:t>
      </w:r>
      <w:proofErr w:type="spellEnd"/>
      <w:r w:rsidRPr="00592FEB">
        <w:t>.</w:t>
      </w:r>
      <w:proofErr w:type="gramEnd"/>
      <w:r w:rsidRPr="00592FEB">
        <w:t xml:space="preserve"> na poskytování  letových navigačních služeb letům osvobozeným od poplatků v roce 2019, a to v souladu s nařízením EK č. 391/201</w:t>
      </w:r>
      <w:r w:rsidRPr="00CB0F19">
        <w:t>3.</w:t>
      </w:r>
    </w:p>
    <w:p w:rsidR="008A1F72" w:rsidRPr="00592FEB" w:rsidRDefault="008A1F72" w:rsidP="008A1F72">
      <w:pPr>
        <w:pStyle w:val="obyctext"/>
        <w:spacing w:before="240"/>
        <w:rPr>
          <w:b/>
          <w:u w:val="single"/>
        </w:rPr>
      </w:pPr>
      <w:r w:rsidRPr="00592FEB">
        <w:rPr>
          <w:b/>
          <w:u w:val="single"/>
        </w:rPr>
        <w:t>Výdaje na programy spolufinancované z EU (CEF 2014+) – C-ROADS CZ</w:t>
      </w:r>
    </w:p>
    <w:p w:rsidR="008A1F72" w:rsidRPr="00592FEB" w:rsidRDefault="008A1F72" w:rsidP="001D1C48">
      <w:pPr>
        <w:pStyle w:val="Styl1"/>
      </w:pPr>
      <w:r w:rsidRPr="00592FEB">
        <w:t xml:space="preserve">Projekt C-ROADS Czech Republic je projekt úzce spojený s mezinárodní iniciativou </w:t>
      </w:r>
      <w:r w:rsidRPr="00592FEB">
        <w:br/>
        <w:t xml:space="preserve">C-ROADS, jež byla výsledkem společné aktivity států ČR, Rakouska a Německa, zvláště spolkové země Dolní Sasko. Projekt si klade si za cíl harmonizaci a spolupráci při zavádění systémů C-ITS ve státech střední Evropy. Projekt je spolufinancován z Nástroje pro propojení Evropy (CEF Transport) z víceletého pracovního programu Evropské unie. Koordinátorem projektu je Ministerstvo dopravy ČR. Partnery projektu za podnikatelské subjekty jsou AŽD Praha s.r.o., ČVUT v Praze Fakulta dopravní, Brněnské komunikace a.s., O2 Czech Republic a.s., T-Mobile Czech Republic a.s. a INTENS </w:t>
      </w:r>
      <w:proofErr w:type="spellStart"/>
      <w:r w:rsidRPr="00592FEB">
        <w:t>Corporation</w:t>
      </w:r>
      <w:proofErr w:type="spellEnd"/>
      <w:r w:rsidRPr="00592FEB">
        <w:t xml:space="preserve"> s.r.o. Dále se na projektu bude účastnit Vodafone Czech Republic a.s., a to v rámci konzultací technického řešení. </w:t>
      </w:r>
    </w:p>
    <w:p w:rsidR="008A1F72" w:rsidRPr="001D1C48" w:rsidRDefault="008A1F72" w:rsidP="001D1C48">
      <w:pPr>
        <w:pStyle w:val="Styl1"/>
      </w:pPr>
      <w:r w:rsidRPr="001D1C48">
        <w:lastRenderedPageBreak/>
        <w:t>Na rok 2019 jsou rozpočtovány neinvestiční finanční prostředky (podíl EU) pro výše uvedené příjemce ve výši 12 918 tis. Kč na mzdy, cestovné, drobný materiál, konzultační služby, odborné semináře, účastnické poplatky na mezinárodní konference a ostatní služby.</w:t>
      </w:r>
    </w:p>
    <w:p w:rsidR="0057450B" w:rsidRPr="003870F8" w:rsidRDefault="0057450B" w:rsidP="0057450B">
      <w:pPr>
        <w:autoSpaceDE w:val="0"/>
        <w:autoSpaceDN w:val="0"/>
        <w:adjustRightInd w:val="0"/>
        <w:spacing w:before="240" w:after="80" w:line="240" w:lineRule="auto"/>
        <w:ind w:firstLine="539"/>
        <w:rPr>
          <w:rFonts w:eastAsia="Times New Roman" w:cs="Times New Roman"/>
          <w:b/>
          <w:szCs w:val="24"/>
          <w:u w:val="single"/>
          <w:lang w:eastAsia="cs-CZ"/>
        </w:rPr>
      </w:pPr>
      <w:r w:rsidRPr="003870F8">
        <w:rPr>
          <w:rFonts w:eastAsia="Times New Roman" w:cs="Times New Roman"/>
          <w:b/>
          <w:szCs w:val="24"/>
          <w:u w:val="single"/>
          <w:lang w:eastAsia="cs-CZ"/>
        </w:rPr>
        <w:t>Programové financování EDS/SMVS</w:t>
      </w:r>
    </w:p>
    <w:p w:rsidR="0057450B" w:rsidRPr="003870F8" w:rsidRDefault="0057450B" w:rsidP="001D1C48">
      <w:pPr>
        <w:pStyle w:val="Styl1"/>
      </w:pPr>
      <w:r w:rsidRPr="003870F8">
        <w:t>V rámci neinvestičních dotací je realizován program 127 66 „Podpora obnovy historických železničních kolejových vozidel v o</w:t>
      </w:r>
      <w:r w:rsidR="003870F8" w:rsidRPr="003870F8">
        <w:t>bdobí 2017 - 2020“. Pro rok 2019</w:t>
      </w:r>
      <w:r w:rsidRPr="003870F8">
        <w:t xml:space="preserve"> jsou pro tento titul navrženy prostředky ve výši 4 000 tis. Kč, tj.</w:t>
      </w:r>
      <w:r w:rsidR="003870F8" w:rsidRPr="003870F8">
        <w:t xml:space="preserve"> ve stejné výši jako v roce 2018</w:t>
      </w:r>
      <w:r w:rsidRPr="003870F8">
        <w:t xml:space="preserve">. </w:t>
      </w:r>
    </w:p>
    <w:p w:rsidR="008A1F72" w:rsidRPr="000973C6" w:rsidRDefault="008A1F72" w:rsidP="008A1F72">
      <w:pPr>
        <w:keepNext/>
        <w:spacing w:line="240" w:lineRule="auto"/>
        <w:rPr>
          <w:rFonts w:eastAsia="Times New Roman" w:cs="Times New Roman"/>
          <w:b/>
          <w:bCs/>
          <w:sz w:val="20"/>
          <w:szCs w:val="20"/>
          <w:lang w:eastAsia="cs-CZ"/>
        </w:rPr>
      </w:pPr>
      <w:bookmarkStart w:id="57" w:name="_Toc368665063"/>
      <w:bookmarkStart w:id="58" w:name="_Toc463338097"/>
      <w:bookmarkStart w:id="59" w:name="_Toc488937062"/>
      <w:bookmarkStart w:id="60" w:name="_Toc526424763"/>
      <w:r w:rsidRPr="000973C6">
        <w:rPr>
          <w:rFonts w:eastAsia="Times New Roman" w:cs="Times New Roman"/>
          <w:b/>
          <w:bCs/>
          <w:sz w:val="20"/>
          <w:szCs w:val="20"/>
          <w:lang w:eastAsia="cs-CZ"/>
        </w:rPr>
        <w:t xml:space="preserve">Graf č. </w:t>
      </w:r>
      <w:r w:rsidRPr="000973C6">
        <w:rPr>
          <w:rFonts w:eastAsia="Times New Roman" w:cs="Times New Roman"/>
          <w:b/>
          <w:bCs/>
          <w:sz w:val="20"/>
          <w:szCs w:val="20"/>
          <w:lang w:eastAsia="cs-CZ"/>
        </w:rPr>
        <w:fldChar w:fldCharType="begin"/>
      </w:r>
      <w:r w:rsidRPr="000973C6">
        <w:rPr>
          <w:rFonts w:eastAsia="Times New Roman" w:cs="Times New Roman"/>
          <w:b/>
          <w:bCs/>
          <w:sz w:val="20"/>
          <w:szCs w:val="20"/>
          <w:lang w:eastAsia="cs-CZ"/>
        </w:rPr>
        <w:instrText xml:space="preserve"> SEQ Graf_č. \* ARABIC </w:instrText>
      </w:r>
      <w:r w:rsidRPr="000973C6">
        <w:rPr>
          <w:rFonts w:eastAsia="Times New Roman" w:cs="Times New Roman"/>
          <w:b/>
          <w:bCs/>
          <w:sz w:val="20"/>
          <w:szCs w:val="20"/>
          <w:lang w:eastAsia="cs-CZ"/>
        </w:rPr>
        <w:fldChar w:fldCharType="separate"/>
      </w:r>
      <w:r w:rsidR="00AF5225">
        <w:rPr>
          <w:rFonts w:eastAsia="Times New Roman" w:cs="Times New Roman"/>
          <w:b/>
          <w:bCs/>
          <w:noProof/>
          <w:sz w:val="20"/>
          <w:szCs w:val="20"/>
          <w:lang w:eastAsia="cs-CZ"/>
        </w:rPr>
        <w:t>6</w:t>
      </w:r>
      <w:r w:rsidRPr="000973C6">
        <w:rPr>
          <w:rFonts w:eastAsia="Times New Roman" w:cs="Times New Roman"/>
          <w:b/>
          <w:bCs/>
          <w:sz w:val="20"/>
          <w:szCs w:val="20"/>
          <w:lang w:eastAsia="cs-CZ"/>
        </w:rPr>
        <w:fldChar w:fldCharType="end"/>
      </w:r>
      <w:r w:rsidRPr="000973C6">
        <w:rPr>
          <w:rFonts w:eastAsia="Times New Roman" w:cs="Times New Roman"/>
          <w:b/>
          <w:bCs/>
          <w:sz w:val="20"/>
          <w:szCs w:val="20"/>
          <w:lang w:eastAsia="cs-CZ"/>
        </w:rPr>
        <w:t xml:space="preserve">: </w:t>
      </w:r>
      <w:bookmarkEnd w:id="57"/>
      <w:bookmarkEnd w:id="58"/>
      <w:r w:rsidRPr="000973C6">
        <w:rPr>
          <w:rFonts w:eastAsia="Times New Roman" w:cs="Times New Roman"/>
          <w:b/>
          <w:bCs/>
          <w:sz w:val="20"/>
          <w:szCs w:val="20"/>
          <w:lang w:eastAsia="cs-CZ"/>
        </w:rPr>
        <w:t>Neinvestiční transfery podnikatelským subjektům</w:t>
      </w:r>
      <w:bookmarkEnd w:id="59"/>
      <w:bookmarkEnd w:id="60"/>
    </w:p>
    <w:p w:rsidR="0057450B" w:rsidRPr="0001421C" w:rsidRDefault="008A1F72" w:rsidP="0057450B">
      <w:pPr>
        <w:spacing w:before="120" w:after="80" w:line="240" w:lineRule="auto"/>
        <w:rPr>
          <w:rFonts w:eastAsia="Times New Roman" w:cs="Times New Roman"/>
          <w:color w:val="FF0000"/>
          <w:szCs w:val="24"/>
          <w:lang w:eastAsia="cs-CZ"/>
        </w:rPr>
      </w:pPr>
      <w:r w:rsidRPr="0001421C">
        <w:rPr>
          <w:rFonts w:eastAsia="Times New Roman" w:cs="Times New Roman"/>
          <w:noProof/>
          <w:color w:val="FF0000"/>
          <w:szCs w:val="24"/>
          <w:lang w:eastAsia="cs-CZ"/>
        </w:rPr>
        <w:drawing>
          <wp:inline distT="0" distB="0" distL="0" distR="0" wp14:anchorId="67290075" wp14:editId="2B036435">
            <wp:extent cx="5760720" cy="2923067"/>
            <wp:effectExtent l="0" t="0" r="11430" b="10795"/>
            <wp:docPr id="12" name="Graf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A1F72" w:rsidRPr="00081BE1" w:rsidRDefault="008A1F72" w:rsidP="007B2F4B">
      <w:pPr>
        <w:pStyle w:val="Nadpis3"/>
      </w:pPr>
      <w:bookmarkStart w:id="61" w:name="_Toc489274102"/>
      <w:bookmarkStart w:id="62" w:name="_Toc526424695"/>
      <w:bookmarkStart w:id="63" w:name="_Toc368665064"/>
      <w:r w:rsidRPr="00081BE1">
        <w:t>Neinvestiční transfery veřejným rozpočtům územní úrovně</w:t>
      </w:r>
      <w:bookmarkEnd w:id="61"/>
      <w:bookmarkEnd w:id="62"/>
    </w:p>
    <w:p w:rsidR="008A1F72" w:rsidRPr="00081BE1" w:rsidRDefault="004E21CE" w:rsidP="008A1F72">
      <w:pPr>
        <w:pStyle w:val="Titulek"/>
        <w:keepNext/>
      </w:pPr>
      <w:r w:rsidRPr="00BF5C21">
        <w:t xml:space="preserve">Tabulka č. </w:t>
      </w:r>
      <w:r>
        <w:rPr>
          <w:noProof/>
        </w:rPr>
        <w:fldChar w:fldCharType="begin"/>
      </w:r>
      <w:r>
        <w:rPr>
          <w:noProof/>
        </w:rPr>
        <w:instrText xml:space="preserve"> SEQ Tabulka \* ARABIC </w:instrText>
      </w:r>
      <w:r>
        <w:rPr>
          <w:noProof/>
        </w:rPr>
        <w:fldChar w:fldCharType="separate"/>
      </w:r>
      <w:r w:rsidR="00AF5225">
        <w:rPr>
          <w:noProof/>
        </w:rPr>
        <w:t>19</w:t>
      </w:r>
      <w:r>
        <w:rPr>
          <w:noProof/>
        </w:rPr>
        <w:fldChar w:fldCharType="end"/>
      </w:r>
      <w:r w:rsidRPr="00BF5C21">
        <w:rPr>
          <w:noProof/>
        </w:rPr>
        <w:t xml:space="preserve"> </w:t>
      </w:r>
      <w:r w:rsidR="008A1F72" w:rsidRPr="008A1F72">
        <w:rPr>
          <w:noProof/>
        </w:rPr>
        <w:t xml:space="preserve">Neinvestiční transfery veřejným rozpočtům územní úrovně  (v tis. Kč) </w:t>
      </w:r>
    </w:p>
    <w:tbl>
      <w:tblPr>
        <w:tblStyle w:val="Svtltabulkasmkou1zvraznn5"/>
        <w:tblW w:w="498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246"/>
        <w:gridCol w:w="1020"/>
      </w:tblGrid>
      <w:tr w:rsidR="008A1F72" w:rsidRPr="00081BE1" w:rsidTr="00A73168">
        <w:tc>
          <w:tcPr>
            <w:tcW w:w="22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Ukazatel</w:t>
            </w:r>
          </w:p>
        </w:tc>
        <w:tc>
          <w:tcPr>
            <w:tcW w:w="7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Skutečnost</w:t>
            </w:r>
          </w:p>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201</w:t>
            </w:r>
            <w:r>
              <w:rPr>
                <w:rFonts w:eastAsia="Times New Roman" w:cs="Times New Roman"/>
                <w:b/>
                <w:szCs w:val="24"/>
                <w:lang w:eastAsia="cs-CZ"/>
              </w:rPr>
              <w:t>7</w:t>
            </w:r>
          </w:p>
        </w:tc>
        <w:tc>
          <w:tcPr>
            <w:tcW w:w="6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Schválený</w:t>
            </w:r>
          </w:p>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rozpočet</w:t>
            </w:r>
          </w:p>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201</w:t>
            </w:r>
            <w:r>
              <w:rPr>
                <w:rFonts w:eastAsia="Times New Roman" w:cs="Times New Roman"/>
                <w:b/>
                <w:szCs w:val="24"/>
                <w:lang w:eastAsia="cs-CZ"/>
              </w:rPr>
              <w:t>8</w:t>
            </w:r>
          </w:p>
        </w:tc>
        <w:tc>
          <w:tcPr>
            <w:tcW w:w="69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Návrh</w:t>
            </w:r>
          </w:p>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rozpočtu</w:t>
            </w:r>
          </w:p>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201</w:t>
            </w:r>
            <w:r>
              <w:rPr>
                <w:rFonts w:eastAsia="Times New Roman" w:cs="Times New Roman"/>
                <w:b/>
                <w:szCs w:val="24"/>
                <w:lang w:eastAsia="cs-CZ"/>
              </w:rPr>
              <w:t>9</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Index</w:t>
            </w:r>
          </w:p>
          <w:p w:rsidR="008A1F72" w:rsidRPr="00081BE1" w:rsidRDefault="008A1F72" w:rsidP="00A73168">
            <w:pPr>
              <w:jc w:val="center"/>
              <w:rPr>
                <w:rFonts w:eastAsia="Times New Roman" w:cs="Times New Roman"/>
                <w:b/>
                <w:szCs w:val="24"/>
                <w:lang w:eastAsia="cs-CZ"/>
              </w:rPr>
            </w:pPr>
            <w:r w:rsidRPr="00081BE1">
              <w:rPr>
                <w:rFonts w:eastAsia="Times New Roman" w:cs="Times New Roman"/>
                <w:b/>
                <w:szCs w:val="24"/>
                <w:lang w:eastAsia="cs-CZ"/>
              </w:rPr>
              <w:t>201</w:t>
            </w:r>
            <w:r>
              <w:rPr>
                <w:rFonts w:eastAsia="Times New Roman" w:cs="Times New Roman"/>
                <w:b/>
                <w:szCs w:val="24"/>
                <w:lang w:eastAsia="cs-CZ"/>
              </w:rPr>
              <w:t>9</w:t>
            </w:r>
            <w:r w:rsidRPr="00081BE1">
              <w:rPr>
                <w:rFonts w:eastAsia="Times New Roman" w:cs="Times New Roman"/>
                <w:b/>
                <w:szCs w:val="24"/>
                <w:lang w:eastAsia="cs-CZ"/>
              </w:rPr>
              <w:t>/</w:t>
            </w:r>
            <w:r w:rsidR="00A73168">
              <w:rPr>
                <w:rFonts w:eastAsia="Times New Roman" w:cs="Times New Roman"/>
                <w:b/>
                <w:szCs w:val="24"/>
                <w:lang w:eastAsia="cs-CZ"/>
              </w:rPr>
              <w:br/>
            </w:r>
            <w:r w:rsidRPr="00081BE1">
              <w:rPr>
                <w:rFonts w:eastAsia="Times New Roman" w:cs="Times New Roman"/>
                <w:b/>
                <w:szCs w:val="24"/>
                <w:lang w:eastAsia="cs-CZ"/>
              </w:rPr>
              <w:t>201</w:t>
            </w:r>
            <w:r>
              <w:rPr>
                <w:rFonts w:eastAsia="Times New Roman" w:cs="Times New Roman"/>
                <w:b/>
                <w:szCs w:val="24"/>
                <w:lang w:eastAsia="cs-CZ"/>
              </w:rPr>
              <w:t>8</w:t>
            </w:r>
            <w:r w:rsidRPr="00081BE1">
              <w:rPr>
                <w:rFonts w:eastAsia="Times New Roman" w:cs="Times New Roman"/>
                <w:b/>
                <w:szCs w:val="24"/>
                <w:lang w:eastAsia="cs-CZ"/>
              </w:rPr>
              <w:t xml:space="preserve"> </w:t>
            </w:r>
            <w:r w:rsidR="00A73168">
              <w:rPr>
                <w:rFonts w:eastAsia="Times New Roman" w:cs="Times New Roman"/>
                <w:b/>
                <w:szCs w:val="24"/>
                <w:lang w:eastAsia="cs-CZ"/>
              </w:rPr>
              <w:br/>
            </w:r>
            <w:r w:rsidRPr="00081BE1">
              <w:rPr>
                <w:rFonts w:eastAsia="Times New Roman" w:cs="Times New Roman"/>
                <w:b/>
                <w:szCs w:val="24"/>
                <w:lang w:eastAsia="cs-CZ"/>
              </w:rPr>
              <w:t>(v %)</w:t>
            </w:r>
          </w:p>
        </w:tc>
      </w:tr>
      <w:tr w:rsidR="008A1F72" w:rsidRPr="00081BE1" w:rsidTr="00A73168">
        <w:tc>
          <w:tcPr>
            <w:tcW w:w="2293" w:type="pct"/>
            <w:tcBorders>
              <w:top w:val="single" w:sz="4" w:space="0" w:color="7F7F7F" w:themeColor="text1" w:themeTint="80"/>
              <w:bottom w:val="single" w:sz="8" w:space="0" w:color="7F7F7F" w:themeColor="text1" w:themeTint="80"/>
            </w:tcBorders>
            <w:shd w:val="clear" w:color="auto" w:fill="auto"/>
          </w:tcPr>
          <w:p w:rsidR="008A1F72" w:rsidRPr="00081BE1" w:rsidRDefault="008A1F72" w:rsidP="008A1F72">
            <w:pPr>
              <w:jc w:val="center"/>
              <w:rPr>
                <w:rFonts w:eastAsia="Times New Roman" w:cs="Times New Roman"/>
                <w:szCs w:val="24"/>
                <w:lang w:eastAsia="cs-CZ"/>
              </w:rPr>
            </w:pPr>
            <w:r w:rsidRPr="00081BE1">
              <w:rPr>
                <w:rFonts w:eastAsia="Times New Roman" w:cs="Times New Roman"/>
                <w:szCs w:val="24"/>
                <w:lang w:eastAsia="cs-CZ"/>
              </w:rPr>
              <w:t>a</w:t>
            </w:r>
          </w:p>
        </w:tc>
        <w:tc>
          <w:tcPr>
            <w:tcW w:w="754" w:type="pct"/>
            <w:tcBorders>
              <w:top w:val="single" w:sz="4" w:space="0" w:color="7F7F7F" w:themeColor="text1" w:themeTint="80"/>
              <w:bottom w:val="single" w:sz="8" w:space="0" w:color="7F7F7F" w:themeColor="text1" w:themeTint="80"/>
            </w:tcBorders>
            <w:shd w:val="clear" w:color="auto" w:fill="auto"/>
          </w:tcPr>
          <w:p w:rsidR="008A1F72" w:rsidRPr="00081BE1" w:rsidRDefault="008A1F72" w:rsidP="008A1F72">
            <w:pPr>
              <w:jc w:val="center"/>
              <w:rPr>
                <w:rFonts w:eastAsia="Times New Roman" w:cs="Times New Roman"/>
                <w:szCs w:val="24"/>
                <w:lang w:eastAsia="cs-CZ"/>
              </w:rPr>
            </w:pPr>
            <w:r w:rsidRPr="00081BE1">
              <w:rPr>
                <w:rFonts w:eastAsia="Times New Roman" w:cs="Times New Roman"/>
                <w:szCs w:val="24"/>
                <w:lang w:eastAsia="cs-CZ"/>
              </w:rPr>
              <w:t>1</w:t>
            </w:r>
          </w:p>
        </w:tc>
        <w:tc>
          <w:tcPr>
            <w:tcW w:w="698" w:type="pct"/>
            <w:tcBorders>
              <w:top w:val="single" w:sz="4" w:space="0" w:color="7F7F7F" w:themeColor="text1" w:themeTint="80"/>
              <w:bottom w:val="single" w:sz="8" w:space="0" w:color="7F7F7F" w:themeColor="text1" w:themeTint="80"/>
            </w:tcBorders>
            <w:shd w:val="clear" w:color="auto" w:fill="auto"/>
          </w:tcPr>
          <w:p w:rsidR="008A1F72" w:rsidRPr="00081BE1" w:rsidRDefault="008A1F72" w:rsidP="008A1F72">
            <w:pPr>
              <w:jc w:val="center"/>
              <w:rPr>
                <w:rFonts w:eastAsia="Times New Roman" w:cs="Times New Roman"/>
                <w:szCs w:val="24"/>
                <w:lang w:eastAsia="cs-CZ"/>
              </w:rPr>
            </w:pPr>
            <w:r w:rsidRPr="00081BE1">
              <w:rPr>
                <w:rFonts w:eastAsia="Times New Roman" w:cs="Times New Roman"/>
                <w:szCs w:val="24"/>
                <w:lang w:eastAsia="cs-CZ"/>
              </w:rPr>
              <w:t>2</w:t>
            </w:r>
          </w:p>
        </w:tc>
        <w:tc>
          <w:tcPr>
            <w:tcW w:w="690" w:type="pct"/>
            <w:tcBorders>
              <w:top w:val="single" w:sz="4" w:space="0" w:color="7F7F7F" w:themeColor="text1" w:themeTint="80"/>
              <w:bottom w:val="single" w:sz="8" w:space="0" w:color="7F7F7F" w:themeColor="text1" w:themeTint="80"/>
            </w:tcBorders>
            <w:shd w:val="clear" w:color="auto" w:fill="auto"/>
          </w:tcPr>
          <w:p w:rsidR="008A1F72" w:rsidRPr="00081BE1" w:rsidRDefault="008A1F72" w:rsidP="008A1F72">
            <w:pPr>
              <w:jc w:val="center"/>
              <w:rPr>
                <w:rFonts w:eastAsia="Times New Roman" w:cs="Times New Roman"/>
                <w:szCs w:val="24"/>
                <w:lang w:eastAsia="cs-CZ"/>
              </w:rPr>
            </w:pPr>
            <w:r w:rsidRPr="00081BE1">
              <w:rPr>
                <w:rFonts w:eastAsia="Times New Roman" w:cs="Times New Roman"/>
                <w:szCs w:val="24"/>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rsidR="008A1F72" w:rsidRPr="00081BE1" w:rsidRDefault="008A1F72" w:rsidP="008A1F72">
            <w:pPr>
              <w:jc w:val="center"/>
              <w:rPr>
                <w:rFonts w:eastAsia="Times New Roman" w:cs="Times New Roman"/>
                <w:szCs w:val="24"/>
                <w:lang w:eastAsia="cs-CZ"/>
              </w:rPr>
            </w:pPr>
            <w:r w:rsidRPr="00081BE1">
              <w:rPr>
                <w:rFonts w:eastAsia="Times New Roman" w:cs="Times New Roman"/>
                <w:szCs w:val="24"/>
                <w:lang w:eastAsia="cs-CZ"/>
              </w:rPr>
              <w:t>4</w:t>
            </w:r>
          </w:p>
        </w:tc>
      </w:tr>
      <w:tr w:rsidR="008A1F72" w:rsidRPr="00081BE1" w:rsidTr="00A73168">
        <w:tc>
          <w:tcPr>
            <w:tcW w:w="2293" w:type="pct"/>
            <w:tcBorders>
              <w:top w:val="single" w:sz="8" w:space="0" w:color="7F7F7F" w:themeColor="text1" w:themeTint="80"/>
              <w:bottom w:val="single" w:sz="8" w:space="0" w:color="7F7F7F" w:themeColor="text1" w:themeTint="80"/>
            </w:tcBorders>
            <w:shd w:val="clear" w:color="auto" w:fill="auto"/>
          </w:tcPr>
          <w:p w:rsidR="00EB42A1" w:rsidRDefault="008A1F72" w:rsidP="008A1F72">
            <w:pPr>
              <w:rPr>
                <w:rFonts w:eastAsia="Times New Roman" w:cs="Times New Roman"/>
                <w:b/>
                <w:lang w:eastAsia="cs-CZ"/>
              </w:rPr>
            </w:pPr>
            <w:r w:rsidRPr="00081BE1">
              <w:rPr>
                <w:rFonts w:eastAsia="Times New Roman" w:cs="Times New Roman"/>
                <w:b/>
                <w:lang w:eastAsia="cs-CZ"/>
              </w:rPr>
              <w:t xml:space="preserve">Veřejné rozpočty územní úrovně </w:t>
            </w:r>
          </w:p>
          <w:p w:rsidR="008A1F72" w:rsidRPr="00081BE1" w:rsidRDefault="008A1F72" w:rsidP="008A1F72">
            <w:pPr>
              <w:rPr>
                <w:rFonts w:eastAsia="Times New Roman" w:cs="Times New Roman"/>
                <w:b/>
                <w:lang w:eastAsia="cs-CZ"/>
              </w:rPr>
            </w:pPr>
            <w:r w:rsidRPr="00081BE1">
              <w:rPr>
                <w:rFonts w:eastAsia="Times New Roman" w:cs="Times New Roman"/>
                <w:lang w:eastAsia="cs-CZ"/>
              </w:rPr>
              <w:t>v tom:</w:t>
            </w:r>
          </w:p>
        </w:tc>
        <w:tc>
          <w:tcPr>
            <w:tcW w:w="754" w:type="pct"/>
            <w:tcBorders>
              <w:top w:val="single" w:sz="8" w:space="0" w:color="7F7F7F" w:themeColor="text1" w:themeTint="80"/>
              <w:bottom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b/>
                <w:lang w:eastAsia="cs-CZ"/>
              </w:rPr>
            </w:pPr>
            <w:r>
              <w:rPr>
                <w:rFonts w:eastAsia="Times New Roman" w:cs="Times New Roman"/>
                <w:b/>
                <w:lang w:eastAsia="cs-CZ"/>
              </w:rPr>
              <w:t>2 779 424</w:t>
            </w:r>
          </w:p>
        </w:tc>
        <w:tc>
          <w:tcPr>
            <w:tcW w:w="698" w:type="pct"/>
            <w:tcBorders>
              <w:top w:val="single" w:sz="8" w:space="0" w:color="7F7F7F" w:themeColor="text1" w:themeTint="80"/>
              <w:bottom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b/>
                <w:lang w:eastAsia="cs-CZ"/>
              </w:rPr>
            </w:pPr>
            <w:r w:rsidRPr="00081BE1">
              <w:rPr>
                <w:rFonts w:eastAsia="Times New Roman" w:cs="Times New Roman"/>
                <w:b/>
                <w:lang w:eastAsia="cs-CZ"/>
              </w:rPr>
              <w:t>2 814 002</w:t>
            </w:r>
          </w:p>
        </w:tc>
        <w:tc>
          <w:tcPr>
            <w:tcW w:w="690" w:type="pct"/>
            <w:tcBorders>
              <w:top w:val="single" w:sz="8" w:space="0" w:color="7F7F7F" w:themeColor="text1" w:themeTint="80"/>
              <w:bottom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b/>
                <w:lang w:eastAsia="cs-CZ"/>
              </w:rPr>
            </w:pPr>
            <w:r w:rsidRPr="00081BE1">
              <w:rPr>
                <w:rFonts w:eastAsia="Times New Roman" w:cs="Times New Roman"/>
                <w:b/>
                <w:lang w:eastAsia="cs-CZ"/>
              </w:rPr>
              <w:t>2 8</w:t>
            </w:r>
            <w:r>
              <w:rPr>
                <w:rFonts w:eastAsia="Times New Roman" w:cs="Times New Roman"/>
                <w:b/>
                <w:lang w:eastAsia="cs-CZ"/>
              </w:rPr>
              <w:t>9</w:t>
            </w:r>
            <w:r w:rsidRPr="00081BE1">
              <w:rPr>
                <w:rFonts w:eastAsia="Times New Roman" w:cs="Times New Roman"/>
                <w:b/>
                <w:lang w:eastAsia="cs-CZ"/>
              </w:rPr>
              <w:t xml:space="preserve">4 </w:t>
            </w:r>
            <w:r>
              <w:rPr>
                <w:rFonts w:eastAsia="Times New Roman" w:cs="Times New Roman"/>
                <w:b/>
                <w:lang w:eastAsia="cs-CZ"/>
              </w:rPr>
              <w:t>35</w:t>
            </w:r>
            <w:r w:rsidRPr="00081BE1">
              <w:rPr>
                <w:rFonts w:eastAsia="Times New Roman" w:cs="Times New Roman"/>
                <w:b/>
                <w:lang w:eastAsia="cs-CZ"/>
              </w:rPr>
              <w:t>2</w:t>
            </w:r>
          </w:p>
        </w:tc>
        <w:tc>
          <w:tcPr>
            <w:tcW w:w="565" w:type="pct"/>
            <w:tcBorders>
              <w:top w:val="single" w:sz="8" w:space="0" w:color="7F7F7F" w:themeColor="text1" w:themeTint="80"/>
              <w:bottom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b/>
                <w:lang w:eastAsia="cs-CZ"/>
              </w:rPr>
            </w:pPr>
            <w:r>
              <w:rPr>
                <w:rFonts w:eastAsia="Times New Roman" w:cs="Times New Roman"/>
                <w:b/>
                <w:lang w:eastAsia="cs-CZ"/>
              </w:rPr>
              <w:t>102,86</w:t>
            </w:r>
          </w:p>
        </w:tc>
      </w:tr>
      <w:tr w:rsidR="008A1F72" w:rsidRPr="00081BE1" w:rsidTr="00A73168">
        <w:tc>
          <w:tcPr>
            <w:tcW w:w="2293" w:type="pct"/>
            <w:tcBorders>
              <w:top w:val="single" w:sz="8" w:space="0" w:color="7F7F7F" w:themeColor="text1" w:themeTint="80"/>
            </w:tcBorders>
            <w:shd w:val="clear" w:color="auto" w:fill="auto"/>
          </w:tcPr>
          <w:p w:rsidR="008A1F72" w:rsidRPr="00081BE1" w:rsidRDefault="008A1F72" w:rsidP="008A1F72">
            <w:pPr>
              <w:rPr>
                <w:rFonts w:eastAsia="Times New Roman" w:cs="Times New Roman"/>
                <w:lang w:eastAsia="cs-CZ"/>
              </w:rPr>
            </w:pPr>
            <w:r w:rsidRPr="00081BE1">
              <w:rPr>
                <w:rFonts w:eastAsia="Times New Roman" w:cs="Times New Roman"/>
                <w:lang w:eastAsia="cs-CZ"/>
              </w:rPr>
              <w:t xml:space="preserve">Obce  </w:t>
            </w:r>
          </w:p>
        </w:tc>
        <w:tc>
          <w:tcPr>
            <w:tcW w:w="754" w:type="pct"/>
            <w:tcBorders>
              <w:top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lang w:eastAsia="cs-CZ"/>
              </w:rPr>
            </w:pPr>
            <w:r>
              <w:rPr>
                <w:rFonts w:eastAsia="Times New Roman" w:cs="Times New Roman"/>
                <w:lang w:eastAsia="cs-CZ"/>
              </w:rPr>
              <w:t>216 834</w:t>
            </w:r>
          </w:p>
        </w:tc>
        <w:tc>
          <w:tcPr>
            <w:tcW w:w="698" w:type="pct"/>
            <w:tcBorders>
              <w:top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lang w:eastAsia="cs-CZ"/>
              </w:rPr>
            </w:pPr>
            <w:r w:rsidRPr="00081BE1">
              <w:rPr>
                <w:rFonts w:eastAsia="Times New Roman" w:cs="Times New Roman"/>
                <w:lang w:eastAsia="cs-CZ"/>
              </w:rPr>
              <w:t>218 352</w:t>
            </w:r>
          </w:p>
        </w:tc>
        <w:tc>
          <w:tcPr>
            <w:tcW w:w="690" w:type="pct"/>
            <w:tcBorders>
              <w:top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lang w:eastAsia="cs-CZ"/>
              </w:rPr>
            </w:pPr>
            <w:r>
              <w:rPr>
                <w:rFonts w:eastAsia="Times New Roman" w:cs="Times New Roman"/>
                <w:lang w:eastAsia="cs-CZ"/>
              </w:rPr>
              <w:t>223 811</w:t>
            </w:r>
          </w:p>
        </w:tc>
        <w:tc>
          <w:tcPr>
            <w:tcW w:w="565" w:type="pct"/>
            <w:tcBorders>
              <w:top w:val="single" w:sz="8" w:space="0" w:color="7F7F7F" w:themeColor="text1" w:themeTint="80"/>
            </w:tcBorders>
            <w:shd w:val="clear" w:color="auto" w:fill="auto"/>
            <w:vAlign w:val="center"/>
          </w:tcPr>
          <w:p w:rsidR="008A1F72" w:rsidRPr="00081BE1" w:rsidRDefault="008A1F72" w:rsidP="00A73168">
            <w:pPr>
              <w:jc w:val="right"/>
              <w:rPr>
                <w:rFonts w:eastAsia="Times New Roman" w:cs="Times New Roman"/>
                <w:lang w:eastAsia="cs-CZ"/>
              </w:rPr>
            </w:pPr>
            <w:r>
              <w:rPr>
                <w:rFonts w:eastAsia="Times New Roman" w:cs="Times New Roman"/>
                <w:lang w:eastAsia="cs-CZ"/>
              </w:rPr>
              <w:t>102,50</w:t>
            </w:r>
          </w:p>
        </w:tc>
      </w:tr>
      <w:tr w:rsidR="008A1F72" w:rsidRPr="00081BE1" w:rsidTr="00A73168">
        <w:tc>
          <w:tcPr>
            <w:tcW w:w="2293" w:type="pct"/>
            <w:shd w:val="clear" w:color="auto" w:fill="auto"/>
          </w:tcPr>
          <w:p w:rsidR="008A1F72" w:rsidRPr="00081BE1" w:rsidRDefault="008A1F72" w:rsidP="008A1F72">
            <w:pPr>
              <w:rPr>
                <w:rFonts w:eastAsia="Times New Roman" w:cs="Times New Roman"/>
                <w:lang w:eastAsia="cs-CZ"/>
              </w:rPr>
            </w:pPr>
            <w:r w:rsidRPr="00081BE1">
              <w:rPr>
                <w:rFonts w:eastAsia="Times New Roman" w:cs="Times New Roman"/>
                <w:lang w:eastAsia="cs-CZ"/>
              </w:rPr>
              <w:t xml:space="preserve">Kraje </w:t>
            </w:r>
          </w:p>
        </w:tc>
        <w:tc>
          <w:tcPr>
            <w:tcW w:w="754" w:type="pct"/>
            <w:shd w:val="clear" w:color="auto" w:fill="auto"/>
            <w:vAlign w:val="center"/>
          </w:tcPr>
          <w:p w:rsidR="008A1F72" w:rsidRPr="00081BE1" w:rsidRDefault="008A1F72" w:rsidP="00A73168">
            <w:pPr>
              <w:jc w:val="right"/>
              <w:rPr>
                <w:rFonts w:eastAsia="Times New Roman" w:cs="Times New Roman"/>
                <w:lang w:eastAsia="cs-CZ"/>
              </w:rPr>
            </w:pPr>
            <w:r>
              <w:rPr>
                <w:rFonts w:eastAsia="Times New Roman" w:cs="Times New Roman"/>
                <w:lang w:eastAsia="cs-CZ"/>
              </w:rPr>
              <w:t>2 562 590</w:t>
            </w:r>
          </w:p>
        </w:tc>
        <w:tc>
          <w:tcPr>
            <w:tcW w:w="698" w:type="pct"/>
            <w:shd w:val="clear" w:color="auto" w:fill="auto"/>
            <w:vAlign w:val="center"/>
          </w:tcPr>
          <w:p w:rsidR="008A1F72" w:rsidRPr="00081BE1" w:rsidRDefault="008A1F72" w:rsidP="00A73168">
            <w:pPr>
              <w:jc w:val="right"/>
              <w:rPr>
                <w:rFonts w:eastAsia="Times New Roman" w:cs="Times New Roman"/>
                <w:lang w:eastAsia="cs-CZ"/>
              </w:rPr>
            </w:pPr>
            <w:r w:rsidRPr="00081BE1">
              <w:rPr>
                <w:rFonts w:eastAsia="Times New Roman" w:cs="Times New Roman"/>
                <w:lang w:eastAsia="cs-CZ"/>
              </w:rPr>
              <w:t>2 595 650</w:t>
            </w:r>
          </w:p>
        </w:tc>
        <w:tc>
          <w:tcPr>
            <w:tcW w:w="690" w:type="pct"/>
            <w:shd w:val="clear" w:color="auto" w:fill="auto"/>
            <w:vAlign w:val="center"/>
          </w:tcPr>
          <w:p w:rsidR="008A1F72" w:rsidRPr="00081BE1" w:rsidRDefault="008A1F72" w:rsidP="00A73168">
            <w:pPr>
              <w:jc w:val="right"/>
              <w:rPr>
                <w:rFonts w:eastAsia="Times New Roman" w:cs="Times New Roman"/>
                <w:lang w:eastAsia="cs-CZ"/>
              </w:rPr>
            </w:pPr>
            <w:r>
              <w:rPr>
                <w:rFonts w:eastAsia="Times New Roman" w:cs="Times New Roman"/>
                <w:lang w:eastAsia="cs-CZ"/>
              </w:rPr>
              <w:t>2 670 541</w:t>
            </w:r>
          </w:p>
        </w:tc>
        <w:tc>
          <w:tcPr>
            <w:tcW w:w="565" w:type="pct"/>
            <w:shd w:val="clear" w:color="auto" w:fill="auto"/>
            <w:vAlign w:val="center"/>
          </w:tcPr>
          <w:p w:rsidR="008A1F72" w:rsidRPr="00081BE1" w:rsidRDefault="008A1F72" w:rsidP="00A73168">
            <w:pPr>
              <w:jc w:val="right"/>
              <w:rPr>
                <w:rFonts w:eastAsia="Times New Roman" w:cs="Times New Roman"/>
                <w:lang w:eastAsia="cs-CZ"/>
              </w:rPr>
            </w:pPr>
            <w:r>
              <w:rPr>
                <w:rFonts w:eastAsia="Times New Roman" w:cs="Times New Roman"/>
                <w:lang w:eastAsia="cs-CZ"/>
              </w:rPr>
              <w:t>102,89</w:t>
            </w:r>
          </w:p>
        </w:tc>
      </w:tr>
    </w:tbl>
    <w:p w:rsidR="008A1F72" w:rsidRPr="00081BE1" w:rsidRDefault="008A1F72" w:rsidP="001D1C48">
      <w:pPr>
        <w:pStyle w:val="Styl1"/>
      </w:pPr>
      <w:bookmarkStart w:id="64" w:name="_Toc463338098"/>
      <w:bookmarkStart w:id="65" w:name="_Toc488937063"/>
      <w:r w:rsidRPr="00081BE1">
        <w:t>V návrhu rozpočtu kapitoly 327 Ministerstvo dopravy pro rok 201</w:t>
      </w:r>
      <w:r>
        <w:t>9</w:t>
      </w:r>
      <w:r w:rsidRPr="00081BE1">
        <w:t xml:space="preserve"> jsou zařazeny</w:t>
      </w:r>
      <w:r w:rsidRPr="00081BE1">
        <w:rPr>
          <w:b/>
        </w:rPr>
        <w:t xml:space="preserve"> </w:t>
      </w:r>
      <w:r w:rsidRPr="00081BE1">
        <w:t>neinvestiční</w:t>
      </w:r>
      <w:r w:rsidRPr="00081BE1">
        <w:rPr>
          <w:b/>
        </w:rPr>
        <w:t xml:space="preserve"> </w:t>
      </w:r>
      <w:r w:rsidRPr="00081BE1">
        <w:t>transfery krajům a obcím. Tyto neinvestiční transfery jsou určeny k doplnění chybějících finančních zdrojů krajů a hl. m. Prahy na úhradu ztráty ze závazku veřejné služby ve veřejné drážní osobní dopravě</w:t>
      </w:r>
      <w:r>
        <w:t xml:space="preserve"> ve výši 2 884 352 tis. Kč a na zvýšení ochrany měkkých cílů ve výši 10 000 tis. Kč.</w:t>
      </w:r>
      <w:r w:rsidRPr="00081BE1">
        <w:t xml:space="preserve">  </w:t>
      </w:r>
    </w:p>
    <w:p w:rsidR="008A1F72" w:rsidRPr="00081BE1" w:rsidRDefault="008A1F72" w:rsidP="001D1C48">
      <w:pPr>
        <w:pStyle w:val="Styl1"/>
      </w:pPr>
      <w:r w:rsidRPr="00081BE1">
        <w:t xml:space="preserve">Usnesením vlády ze dne 31. srpna 2009 č. 1132 byla schválena účast státu na financování veřejné dálkové a regionální železniční dopravy. V souvislosti s tím bylo uloženo ministru dopravy v letech 2010 až 2019 poskytovat dotace krajům na dofinancování dopravní obslužnosti veřejnou železniční dopravou. </w:t>
      </w:r>
    </w:p>
    <w:p w:rsidR="008A1F72" w:rsidRPr="001D1C48" w:rsidRDefault="008A1F72" w:rsidP="001D1C48">
      <w:pPr>
        <w:pStyle w:val="Styl1"/>
      </w:pPr>
      <w:r w:rsidRPr="001D1C48">
        <w:lastRenderedPageBreak/>
        <w:t xml:space="preserve">Neinvestiční transfery krajům a obcím jsou pro rok 2019 rozpočtovány v částce </w:t>
      </w:r>
      <w:r w:rsidRPr="001D1C48">
        <w:br/>
        <w:t xml:space="preserve">2 884 352 tis. Kč, tj. navýšení o 70 350 tis. Kč oproti schválenému rozpočtu na rok 2018. Navržená výše prostředků odpovídá výdajům stanoveným v Memorandu o zajištění stabilního financování dopravní obslužnosti veřejnou regionální železniční osobní dopravou, </w:t>
      </w:r>
      <w:r w:rsidRPr="001D1C48">
        <w:br/>
        <w:t xml:space="preserve">tj. i se zohledněním inflace. </w:t>
      </w:r>
    </w:p>
    <w:p w:rsidR="008A1F72" w:rsidRPr="001D1C48" w:rsidRDefault="008A1F72" w:rsidP="001D1C48">
      <w:pPr>
        <w:pStyle w:val="Styl1"/>
      </w:pPr>
      <w:r w:rsidRPr="001D1C48">
        <w:t>V souladu s usnesením vlády č. 527 ze dne 24. července 2017 k návrhu na zřízení dotačních programů za účelem zvýšení ochrany měkkých cílů jsou pro rok 2019 rozpočtovány prostředky ve výši 10 000 tis. Kč určené územním samosprávním celkům (krajům). V rámci daného dotačního programu budou poskytovány finanční prostředky na zajištění vzdělávání                 a výcviku v oblasti zvýšení ochrany měkkých cílů v dopravě.</w:t>
      </w:r>
    </w:p>
    <w:p w:rsidR="008A1F72" w:rsidRPr="00081BE1" w:rsidRDefault="008A1F72" w:rsidP="008A1F72">
      <w:pPr>
        <w:keepNext/>
        <w:spacing w:before="240" w:line="240" w:lineRule="auto"/>
        <w:rPr>
          <w:rFonts w:eastAsia="Times New Roman" w:cs="Times New Roman"/>
          <w:b/>
          <w:bCs/>
          <w:sz w:val="20"/>
          <w:szCs w:val="20"/>
          <w:lang w:eastAsia="cs-CZ"/>
        </w:rPr>
      </w:pPr>
      <w:bookmarkStart w:id="66" w:name="_Toc526424764"/>
      <w:bookmarkEnd w:id="63"/>
      <w:bookmarkEnd w:id="64"/>
      <w:bookmarkEnd w:id="65"/>
      <w:r w:rsidRPr="00081BE1">
        <w:rPr>
          <w:rFonts w:eastAsia="Times New Roman" w:cs="Times New Roman"/>
          <w:b/>
          <w:bCs/>
          <w:sz w:val="20"/>
          <w:szCs w:val="20"/>
          <w:lang w:eastAsia="cs-CZ"/>
        </w:rPr>
        <w:t xml:space="preserve">Graf č. </w:t>
      </w:r>
      <w:r w:rsidRPr="00081BE1">
        <w:rPr>
          <w:rFonts w:eastAsia="Times New Roman" w:cs="Times New Roman"/>
          <w:b/>
          <w:bCs/>
          <w:sz w:val="20"/>
          <w:szCs w:val="20"/>
          <w:lang w:eastAsia="cs-CZ"/>
        </w:rPr>
        <w:fldChar w:fldCharType="begin"/>
      </w:r>
      <w:r w:rsidRPr="00081BE1">
        <w:rPr>
          <w:rFonts w:eastAsia="Times New Roman" w:cs="Times New Roman"/>
          <w:b/>
          <w:bCs/>
          <w:sz w:val="20"/>
          <w:szCs w:val="20"/>
          <w:lang w:eastAsia="cs-CZ"/>
        </w:rPr>
        <w:instrText xml:space="preserve"> SEQ Graf_č. \* ARABIC </w:instrText>
      </w:r>
      <w:r w:rsidRPr="00081BE1">
        <w:rPr>
          <w:rFonts w:eastAsia="Times New Roman" w:cs="Times New Roman"/>
          <w:b/>
          <w:bCs/>
          <w:sz w:val="20"/>
          <w:szCs w:val="20"/>
          <w:lang w:eastAsia="cs-CZ"/>
        </w:rPr>
        <w:fldChar w:fldCharType="separate"/>
      </w:r>
      <w:r w:rsidR="00AF5225">
        <w:rPr>
          <w:rFonts w:eastAsia="Times New Roman" w:cs="Times New Roman"/>
          <w:b/>
          <w:bCs/>
          <w:noProof/>
          <w:sz w:val="20"/>
          <w:szCs w:val="20"/>
          <w:lang w:eastAsia="cs-CZ"/>
        </w:rPr>
        <w:t>7</w:t>
      </w:r>
      <w:r w:rsidRPr="00081BE1">
        <w:rPr>
          <w:rFonts w:eastAsia="Times New Roman" w:cs="Times New Roman"/>
          <w:b/>
          <w:bCs/>
          <w:sz w:val="20"/>
          <w:szCs w:val="20"/>
          <w:lang w:eastAsia="cs-CZ"/>
        </w:rPr>
        <w:fldChar w:fldCharType="end"/>
      </w:r>
      <w:r w:rsidRPr="00081BE1">
        <w:rPr>
          <w:rFonts w:eastAsia="Times New Roman" w:cs="Times New Roman"/>
          <w:b/>
          <w:bCs/>
          <w:sz w:val="20"/>
          <w:szCs w:val="20"/>
          <w:lang w:eastAsia="cs-CZ"/>
        </w:rPr>
        <w:t>: Neinvestiční transfery veřejným rozpočtům územní úrovně (v tis. Kč)</w:t>
      </w:r>
      <w:bookmarkEnd w:id="66"/>
    </w:p>
    <w:p w:rsidR="0057450B" w:rsidRPr="0001421C" w:rsidRDefault="008A1F72" w:rsidP="0057450B">
      <w:pPr>
        <w:spacing w:before="120" w:after="80" w:line="240" w:lineRule="auto"/>
        <w:rPr>
          <w:rFonts w:eastAsia="Times New Roman" w:cs="Times New Roman"/>
          <w:color w:val="FF0000"/>
          <w:szCs w:val="24"/>
          <w:lang w:eastAsia="cs-CZ"/>
        </w:rPr>
      </w:pPr>
      <w:r w:rsidRPr="0001421C">
        <w:rPr>
          <w:rFonts w:eastAsia="Times New Roman" w:cs="Times New Roman"/>
          <w:noProof/>
          <w:color w:val="FF0000"/>
          <w:szCs w:val="24"/>
          <w:lang w:eastAsia="cs-CZ"/>
        </w:rPr>
        <w:drawing>
          <wp:inline distT="0" distB="0" distL="0" distR="0" wp14:anchorId="24CF5A7C" wp14:editId="41CF0709">
            <wp:extent cx="5676900" cy="2454570"/>
            <wp:effectExtent l="0" t="0" r="0" b="3175"/>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7450B" w:rsidRPr="00F252D5" w:rsidRDefault="0057450B" w:rsidP="007B2F4B">
      <w:pPr>
        <w:pStyle w:val="Nadpis3"/>
      </w:pPr>
      <w:bookmarkStart w:id="67" w:name="_Toc462314397"/>
      <w:bookmarkStart w:id="68" w:name="_Toc489274103"/>
      <w:bookmarkStart w:id="69" w:name="_Toc526424696"/>
      <w:r w:rsidRPr="00F252D5">
        <w:t>Neinvestiční transfery neziskovým a podobným organizacím</w:t>
      </w:r>
      <w:bookmarkEnd w:id="67"/>
      <w:bookmarkEnd w:id="68"/>
      <w:bookmarkEnd w:id="69"/>
      <w:r w:rsidRPr="00F252D5">
        <w:t xml:space="preserve"> </w:t>
      </w:r>
    </w:p>
    <w:p w:rsidR="00F252D5" w:rsidRPr="00BF5C21" w:rsidRDefault="00F252D5" w:rsidP="00F252D5">
      <w:pPr>
        <w:pStyle w:val="Titulek"/>
        <w:keepNext/>
      </w:pPr>
      <w:r w:rsidRPr="00BF5C21">
        <w:t xml:space="preserve">Tabulka č. </w:t>
      </w:r>
      <w:r>
        <w:rPr>
          <w:noProof/>
        </w:rPr>
        <w:fldChar w:fldCharType="begin"/>
      </w:r>
      <w:r>
        <w:rPr>
          <w:noProof/>
        </w:rPr>
        <w:instrText xml:space="preserve"> SEQ Tabulka \* ARABIC </w:instrText>
      </w:r>
      <w:r>
        <w:rPr>
          <w:noProof/>
        </w:rPr>
        <w:fldChar w:fldCharType="separate"/>
      </w:r>
      <w:r w:rsidR="00AF5225">
        <w:rPr>
          <w:noProof/>
        </w:rPr>
        <w:t>20</w:t>
      </w:r>
      <w:r>
        <w:rPr>
          <w:noProof/>
        </w:rPr>
        <w:fldChar w:fldCharType="end"/>
      </w:r>
      <w:r w:rsidRPr="00BF5C21">
        <w:rPr>
          <w:noProof/>
        </w:rPr>
        <w:t xml:space="preserve"> Neinvestiční transfery neziskovým a podobným organizacím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459"/>
        <w:gridCol w:w="1337"/>
        <w:gridCol w:w="1257"/>
        <w:gridCol w:w="1123"/>
        <w:gridCol w:w="876"/>
      </w:tblGrid>
      <w:tr w:rsidR="00F252D5" w:rsidRPr="00E3757C" w:rsidTr="00F252D5">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Ukazatel</w:t>
            </w:r>
          </w:p>
        </w:tc>
        <w:tc>
          <w:tcPr>
            <w:tcW w:w="7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Skutečnost</w:t>
            </w:r>
          </w:p>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2017</w:t>
            </w:r>
          </w:p>
        </w:tc>
        <w:tc>
          <w:tcPr>
            <w:tcW w:w="6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Schválený</w:t>
            </w:r>
          </w:p>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rozpočet</w:t>
            </w:r>
          </w:p>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2018</w:t>
            </w:r>
          </w:p>
        </w:tc>
        <w:tc>
          <w:tcPr>
            <w:tcW w:w="62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Návrh</w:t>
            </w:r>
          </w:p>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rozpočtu</w:t>
            </w:r>
          </w:p>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2019</w:t>
            </w:r>
          </w:p>
        </w:tc>
        <w:tc>
          <w:tcPr>
            <w:tcW w:w="4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Index</w:t>
            </w:r>
          </w:p>
          <w:p w:rsidR="00F252D5" w:rsidRPr="00E3757C" w:rsidRDefault="00F252D5" w:rsidP="004E21CE">
            <w:pPr>
              <w:jc w:val="center"/>
              <w:rPr>
                <w:rFonts w:eastAsia="Times New Roman" w:cs="Times New Roman"/>
                <w:b/>
                <w:szCs w:val="24"/>
                <w:lang w:eastAsia="cs-CZ"/>
              </w:rPr>
            </w:pPr>
            <w:r w:rsidRPr="00E3757C">
              <w:rPr>
                <w:rFonts w:eastAsia="Times New Roman" w:cs="Times New Roman"/>
                <w:b/>
                <w:szCs w:val="24"/>
                <w:lang w:eastAsia="cs-CZ"/>
              </w:rPr>
              <w:t>2019/</w:t>
            </w:r>
            <w:r>
              <w:rPr>
                <w:rFonts w:eastAsia="Times New Roman" w:cs="Times New Roman"/>
                <w:b/>
                <w:szCs w:val="24"/>
                <w:lang w:eastAsia="cs-CZ"/>
              </w:rPr>
              <w:br/>
            </w:r>
            <w:r w:rsidRPr="00E3757C">
              <w:rPr>
                <w:rFonts w:eastAsia="Times New Roman" w:cs="Times New Roman"/>
                <w:b/>
                <w:szCs w:val="24"/>
                <w:lang w:eastAsia="cs-CZ"/>
              </w:rPr>
              <w:t xml:space="preserve">2018 </w:t>
            </w:r>
            <w:r>
              <w:rPr>
                <w:rFonts w:eastAsia="Times New Roman" w:cs="Times New Roman"/>
                <w:b/>
                <w:szCs w:val="24"/>
                <w:lang w:eastAsia="cs-CZ"/>
              </w:rPr>
              <w:br/>
            </w:r>
            <w:r w:rsidRPr="00E3757C">
              <w:rPr>
                <w:rFonts w:eastAsia="Times New Roman" w:cs="Times New Roman"/>
                <w:b/>
                <w:szCs w:val="24"/>
                <w:lang w:eastAsia="cs-CZ"/>
              </w:rPr>
              <w:t>(v %)</w:t>
            </w:r>
          </w:p>
        </w:tc>
      </w:tr>
      <w:tr w:rsidR="00F252D5" w:rsidRPr="00E3757C" w:rsidTr="00F252D5">
        <w:tc>
          <w:tcPr>
            <w:tcW w:w="2501" w:type="pct"/>
            <w:tcBorders>
              <w:top w:val="single" w:sz="4" w:space="0" w:color="7F7F7F" w:themeColor="text1" w:themeTint="80"/>
              <w:bottom w:val="single" w:sz="8" w:space="0" w:color="7F7F7F" w:themeColor="text1" w:themeTint="80"/>
            </w:tcBorders>
            <w:shd w:val="clear" w:color="auto" w:fill="auto"/>
          </w:tcPr>
          <w:p w:rsidR="00F252D5" w:rsidRPr="00E3757C" w:rsidRDefault="00F252D5" w:rsidP="004E21CE">
            <w:pPr>
              <w:jc w:val="center"/>
              <w:rPr>
                <w:rFonts w:eastAsia="Times New Roman" w:cs="Times New Roman"/>
                <w:szCs w:val="24"/>
                <w:lang w:eastAsia="cs-CZ"/>
              </w:rPr>
            </w:pPr>
            <w:r w:rsidRPr="00E3757C">
              <w:rPr>
                <w:rFonts w:eastAsia="Times New Roman" w:cs="Times New Roman"/>
                <w:szCs w:val="24"/>
                <w:lang w:eastAsia="cs-CZ"/>
              </w:rPr>
              <w:t>a</w:t>
            </w:r>
          </w:p>
        </w:tc>
        <w:tc>
          <w:tcPr>
            <w:tcW w:w="700" w:type="pct"/>
            <w:tcBorders>
              <w:top w:val="single" w:sz="4" w:space="0" w:color="7F7F7F" w:themeColor="text1" w:themeTint="80"/>
              <w:bottom w:val="single" w:sz="8" w:space="0" w:color="7F7F7F" w:themeColor="text1" w:themeTint="80"/>
            </w:tcBorders>
            <w:shd w:val="clear" w:color="auto" w:fill="auto"/>
          </w:tcPr>
          <w:p w:rsidR="00F252D5" w:rsidRPr="00E3757C" w:rsidRDefault="00F252D5" w:rsidP="004E21CE">
            <w:pPr>
              <w:jc w:val="center"/>
              <w:rPr>
                <w:rFonts w:eastAsia="Times New Roman" w:cs="Times New Roman"/>
                <w:szCs w:val="24"/>
                <w:lang w:eastAsia="cs-CZ"/>
              </w:rPr>
            </w:pPr>
            <w:r w:rsidRPr="00E3757C">
              <w:rPr>
                <w:rFonts w:eastAsia="Times New Roman" w:cs="Times New Roman"/>
                <w:szCs w:val="24"/>
                <w:lang w:eastAsia="cs-CZ"/>
              </w:rPr>
              <w:t>1</w:t>
            </w:r>
          </w:p>
        </w:tc>
        <w:tc>
          <w:tcPr>
            <w:tcW w:w="694" w:type="pct"/>
            <w:tcBorders>
              <w:top w:val="single" w:sz="4" w:space="0" w:color="7F7F7F" w:themeColor="text1" w:themeTint="80"/>
              <w:bottom w:val="single" w:sz="8" w:space="0" w:color="7F7F7F" w:themeColor="text1" w:themeTint="80"/>
            </w:tcBorders>
            <w:shd w:val="clear" w:color="auto" w:fill="auto"/>
          </w:tcPr>
          <w:p w:rsidR="00F252D5" w:rsidRPr="00E3757C" w:rsidRDefault="00F252D5" w:rsidP="004E21CE">
            <w:pPr>
              <w:jc w:val="center"/>
              <w:rPr>
                <w:rFonts w:eastAsia="Times New Roman" w:cs="Times New Roman"/>
                <w:szCs w:val="24"/>
                <w:lang w:eastAsia="cs-CZ"/>
              </w:rPr>
            </w:pPr>
            <w:r w:rsidRPr="00E3757C">
              <w:rPr>
                <w:rFonts w:eastAsia="Times New Roman" w:cs="Times New Roman"/>
                <w:szCs w:val="24"/>
                <w:lang w:eastAsia="cs-CZ"/>
              </w:rPr>
              <w:t>2</w:t>
            </w:r>
          </w:p>
        </w:tc>
        <w:tc>
          <w:tcPr>
            <w:tcW w:w="622" w:type="pct"/>
            <w:tcBorders>
              <w:top w:val="single" w:sz="4" w:space="0" w:color="7F7F7F" w:themeColor="text1" w:themeTint="80"/>
              <w:bottom w:val="single" w:sz="8" w:space="0" w:color="7F7F7F" w:themeColor="text1" w:themeTint="80"/>
            </w:tcBorders>
            <w:shd w:val="clear" w:color="auto" w:fill="auto"/>
          </w:tcPr>
          <w:p w:rsidR="00F252D5" w:rsidRPr="00E3757C" w:rsidRDefault="00F252D5" w:rsidP="004E21CE">
            <w:pPr>
              <w:jc w:val="center"/>
              <w:rPr>
                <w:rFonts w:eastAsia="Times New Roman" w:cs="Times New Roman"/>
                <w:szCs w:val="24"/>
                <w:lang w:eastAsia="cs-CZ"/>
              </w:rPr>
            </w:pPr>
            <w:r w:rsidRPr="00E3757C">
              <w:rPr>
                <w:rFonts w:eastAsia="Times New Roman" w:cs="Times New Roman"/>
                <w:szCs w:val="24"/>
                <w:lang w:eastAsia="cs-CZ"/>
              </w:rPr>
              <w:t>3</w:t>
            </w:r>
          </w:p>
        </w:tc>
        <w:tc>
          <w:tcPr>
            <w:tcW w:w="484" w:type="pct"/>
            <w:tcBorders>
              <w:top w:val="single" w:sz="4" w:space="0" w:color="7F7F7F" w:themeColor="text1" w:themeTint="80"/>
              <w:bottom w:val="single" w:sz="8" w:space="0" w:color="7F7F7F" w:themeColor="text1" w:themeTint="80"/>
            </w:tcBorders>
            <w:shd w:val="clear" w:color="auto" w:fill="auto"/>
          </w:tcPr>
          <w:p w:rsidR="00F252D5" w:rsidRPr="00E3757C" w:rsidRDefault="00F252D5" w:rsidP="004E21CE">
            <w:pPr>
              <w:jc w:val="center"/>
              <w:rPr>
                <w:rFonts w:eastAsia="Times New Roman" w:cs="Times New Roman"/>
                <w:szCs w:val="24"/>
                <w:lang w:eastAsia="cs-CZ"/>
              </w:rPr>
            </w:pPr>
            <w:r w:rsidRPr="00E3757C">
              <w:rPr>
                <w:rFonts w:eastAsia="Times New Roman" w:cs="Times New Roman"/>
                <w:szCs w:val="24"/>
                <w:lang w:eastAsia="cs-CZ"/>
              </w:rPr>
              <w:t>4</w:t>
            </w:r>
          </w:p>
        </w:tc>
      </w:tr>
      <w:tr w:rsidR="00F252D5" w:rsidRPr="00E3757C" w:rsidTr="00A73168">
        <w:tc>
          <w:tcPr>
            <w:tcW w:w="2501" w:type="pct"/>
            <w:tcBorders>
              <w:top w:val="single" w:sz="8" w:space="0" w:color="7F7F7F" w:themeColor="text1" w:themeTint="80"/>
              <w:bottom w:val="single" w:sz="8" w:space="0" w:color="7F7F7F" w:themeColor="text1" w:themeTint="80"/>
            </w:tcBorders>
            <w:shd w:val="clear" w:color="auto" w:fill="auto"/>
          </w:tcPr>
          <w:p w:rsidR="00F252D5" w:rsidRPr="00E3757C" w:rsidRDefault="00F252D5" w:rsidP="004E21CE">
            <w:pPr>
              <w:rPr>
                <w:rFonts w:eastAsia="Times New Roman" w:cs="Times New Roman"/>
                <w:b/>
                <w:lang w:eastAsia="cs-CZ"/>
              </w:rPr>
            </w:pPr>
            <w:r w:rsidRPr="00E3757C">
              <w:rPr>
                <w:rFonts w:eastAsia="Times New Roman" w:cs="Times New Roman"/>
                <w:b/>
                <w:lang w:eastAsia="cs-CZ"/>
              </w:rPr>
              <w:t xml:space="preserve">Neziskové a podobné organizace </w:t>
            </w:r>
            <w:r w:rsidRPr="00E3757C">
              <w:rPr>
                <w:rFonts w:eastAsia="Times New Roman" w:cs="Times New Roman"/>
                <w:lang w:eastAsia="cs-CZ"/>
              </w:rPr>
              <w:t>v tom:</w:t>
            </w:r>
          </w:p>
        </w:tc>
        <w:tc>
          <w:tcPr>
            <w:tcW w:w="700" w:type="pct"/>
            <w:tcBorders>
              <w:top w:val="single" w:sz="8" w:space="0" w:color="7F7F7F" w:themeColor="text1" w:themeTint="80"/>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b/>
                <w:lang w:eastAsia="cs-CZ"/>
              </w:rPr>
            </w:pPr>
            <w:r w:rsidRPr="00E3757C">
              <w:rPr>
                <w:rFonts w:eastAsia="Times New Roman" w:cs="Times New Roman"/>
                <w:b/>
                <w:lang w:eastAsia="cs-CZ"/>
              </w:rPr>
              <w:t>9 057</w:t>
            </w:r>
          </w:p>
        </w:tc>
        <w:tc>
          <w:tcPr>
            <w:tcW w:w="694" w:type="pct"/>
            <w:tcBorders>
              <w:top w:val="single" w:sz="8" w:space="0" w:color="7F7F7F" w:themeColor="text1" w:themeTint="80"/>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b/>
                <w:lang w:eastAsia="cs-CZ"/>
              </w:rPr>
            </w:pPr>
            <w:r w:rsidRPr="00E3757C">
              <w:rPr>
                <w:rFonts w:eastAsia="Times New Roman" w:cs="Times New Roman"/>
                <w:b/>
                <w:lang w:eastAsia="cs-CZ"/>
              </w:rPr>
              <w:t>7 500</w:t>
            </w:r>
          </w:p>
        </w:tc>
        <w:tc>
          <w:tcPr>
            <w:tcW w:w="622" w:type="pct"/>
            <w:tcBorders>
              <w:top w:val="single" w:sz="8" w:space="0" w:color="7F7F7F" w:themeColor="text1" w:themeTint="80"/>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b/>
                <w:lang w:eastAsia="cs-CZ"/>
              </w:rPr>
            </w:pPr>
            <w:r>
              <w:rPr>
                <w:rFonts w:eastAsia="Times New Roman" w:cs="Times New Roman"/>
                <w:b/>
                <w:lang w:eastAsia="cs-CZ"/>
              </w:rPr>
              <w:t>9</w:t>
            </w:r>
            <w:r w:rsidRPr="00E3757C">
              <w:rPr>
                <w:rFonts w:eastAsia="Times New Roman" w:cs="Times New Roman"/>
                <w:b/>
                <w:lang w:eastAsia="cs-CZ"/>
              </w:rPr>
              <w:t xml:space="preserve"> </w:t>
            </w:r>
            <w:r>
              <w:rPr>
                <w:rFonts w:eastAsia="Times New Roman" w:cs="Times New Roman"/>
                <w:b/>
                <w:lang w:eastAsia="cs-CZ"/>
              </w:rPr>
              <w:t>600</w:t>
            </w:r>
          </w:p>
        </w:tc>
        <w:tc>
          <w:tcPr>
            <w:tcW w:w="484" w:type="pct"/>
            <w:tcBorders>
              <w:top w:val="single" w:sz="8" w:space="0" w:color="7F7F7F" w:themeColor="text1" w:themeTint="80"/>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b/>
                <w:lang w:eastAsia="cs-CZ"/>
              </w:rPr>
            </w:pPr>
            <w:r w:rsidRPr="00E3757C">
              <w:rPr>
                <w:rFonts w:eastAsia="Times New Roman" w:cs="Times New Roman"/>
                <w:b/>
                <w:lang w:eastAsia="cs-CZ"/>
              </w:rPr>
              <w:t>1</w:t>
            </w:r>
            <w:r>
              <w:rPr>
                <w:rFonts w:eastAsia="Times New Roman" w:cs="Times New Roman"/>
                <w:b/>
                <w:lang w:eastAsia="cs-CZ"/>
              </w:rPr>
              <w:t>28</w:t>
            </w:r>
            <w:r w:rsidRPr="00E3757C">
              <w:rPr>
                <w:rFonts w:eastAsia="Times New Roman" w:cs="Times New Roman"/>
                <w:b/>
                <w:lang w:eastAsia="cs-CZ"/>
              </w:rPr>
              <w:t>,</w:t>
            </w:r>
            <w:r>
              <w:rPr>
                <w:rFonts w:eastAsia="Times New Roman" w:cs="Times New Roman"/>
                <w:b/>
                <w:lang w:eastAsia="cs-CZ"/>
              </w:rPr>
              <w:t>00</w:t>
            </w:r>
          </w:p>
        </w:tc>
      </w:tr>
      <w:tr w:rsidR="00F252D5" w:rsidRPr="00E3757C" w:rsidTr="00A73168">
        <w:tc>
          <w:tcPr>
            <w:tcW w:w="2501" w:type="pct"/>
            <w:tcBorders>
              <w:top w:val="single" w:sz="8" w:space="0" w:color="7F7F7F" w:themeColor="text1" w:themeTint="80"/>
              <w:bottom w:val="nil"/>
            </w:tcBorders>
            <w:shd w:val="clear" w:color="auto" w:fill="auto"/>
          </w:tcPr>
          <w:p w:rsidR="00F252D5" w:rsidRPr="00E3757C" w:rsidRDefault="00F252D5" w:rsidP="004E21CE">
            <w:pPr>
              <w:rPr>
                <w:rFonts w:eastAsia="Times New Roman" w:cs="Times New Roman"/>
                <w:lang w:eastAsia="cs-CZ"/>
              </w:rPr>
            </w:pPr>
            <w:r w:rsidRPr="00E3757C">
              <w:rPr>
                <w:rFonts w:eastAsia="Times New Roman" w:cs="Times New Roman"/>
                <w:lang w:eastAsia="cs-CZ"/>
              </w:rPr>
              <w:t>Spolky</w:t>
            </w:r>
          </w:p>
        </w:tc>
        <w:tc>
          <w:tcPr>
            <w:tcW w:w="700" w:type="pct"/>
            <w:tcBorders>
              <w:top w:val="single" w:sz="8"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sidRPr="00E3757C">
              <w:rPr>
                <w:rFonts w:eastAsia="Times New Roman" w:cs="Times New Roman"/>
                <w:lang w:eastAsia="cs-CZ"/>
              </w:rPr>
              <w:t>8 781</w:t>
            </w:r>
          </w:p>
        </w:tc>
        <w:tc>
          <w:tcPr>
            <w:tcW w:w="694" w:type="pct"/>
            <w:tcBorders>
              <w:top w:val="single" w:sz="8"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sidRPr="00E3757C">
              <w:rPr>
                <w:rFonts w:eastAsia="Times New Roman" w:cs="Times New Roman"/>
                <w:lang w:eastAsia="cs-CZ"/>
              </w:rPr>
              <w:t>7 500</w:t>
            </w:r>
          </w:p>
        </w:tc>
        <w:tc>
          <w:tcPr>
            <w:tcW w:w="622" w:type="pct"/>
            <w:tcBorders>
              <w:top w:val="single" w:sz="8"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Pr>
                <w:rFonts w:eastAsia="Times New Roman" w:cs="Times New Roman"/>
                <w:lang w:eastAsia="cs-CZ"/>
              </w:rPr>
              <w:t>9 600</w:t>
            </w:r>
          </w:p>
        </w:tc>
        <w:tc>
          <w:tcPr>
            <w:tcW w:w="484" w:type="pct"/>
            <w:tcBorders>
              <w:top w:val="single" w:sz="8"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sidRPr="00E3757C">
              <w:rPr>
                <w:rFonts w:eastAsia="Times New Roman" w:cs="Times New Roman"/>
                <w:lang w:eastAsia="cs-CZ"/>
              </w:rPr>
              <w:t>1</w:t>
            </w:r>
            <w:r>
              <w:rPr>
                <w:rFonts w:eastAsia="Times New Roman" w:cs="Times New Roman"/>
                <w:lang w:eastAsia="cs-CZ"/>
              </w:rPr>
              <w:t>28</w:t>
            </w:r>
            <w:r w:rsidRPr="00E3757C">
              <w:rPr>
                <w:rFonts w:eastAsia="Times New Roman" w:cs="Times New Roman"/>
                <w:lang w:eastAsia="cs-CZ"/>
              </w:rPr>
              <w:t>,</w:t>
            </w:r>
            <w:r>
              <w:rPr>
                <w:rFonts w:eastAsia="Times New Roman" w:cs="Times New Roman"/>
                <w:lang w:eastAsia="cs-CZ"/>
              </w:rPr>
              <w:t>00</w:t>
            </w:r>
          </w:p>
        </w:tc>
      </w:tr>
      <w:tr w:rsidR="00F252D5" w:rsidRPr="00E3757C" w:rsidTr="00A73168">
        <w:tc>
          <w:tcPr>
            <w:tcW w:w="2501" w:type="pct"/>
            <w:tcBorders>
              <w:top w:val="nil"/>
              <w:bottom w:val="single" w:sz="4" w:space="0" w:color="7F7F7F" w:themeColor="text1" w:themeTint="80"/>
            </w:tcBorders>
            <w:shd w:val="clear" w:color="auto" w:fill="auto"/>
          </w:tcPr>
          <w:p w:rsidR="00F252D5" w:rsidRPr="00E3757C" w:rsidRDefault="00F252D5" w:rsidP="004E21CE">
            <w:pPr>
              <w:rPr>
                <w:rFonts w:eastAsia="Times New Roman" w:cs="Times New Roman"/>
                <w:i/>
                <w:lang w:eastAsia="cs-CZ"/>
              </w:rPr>
            </w:pPr>
            <w:r w:rsidRPr="00E3757C">
              <w:rPr>
                <w:rFonts w:eastAsia="Times New Roman" w:cs="Times New Roman"/>
                <w:lang w:eastAsia="cs-CZ"/>
              </w:rPr>
              <w:t xml:space="preserve"> </w:t>
            </w:r>
            <w:r w:rsidR="00A73168">
              <w:rPr>
                <w:rFonts w:eastAsia="Times New Roman" w:cs="Times New Roman"/>
                <w:i/>
                <w:lang w:eastAsia="cs-CZ"/>
              </w:rPr>
              <w:t xml:space="preserve">z toho: programové financování </w:t>
            </w:r>
            <w:r w:rsidRPr="00E3757C">
              <w:rPr>
                <w:rFonts w:eastAsia="Times New Roman" w:cs="Times New Roman"/>
                <w:i/>
                <w:lang w:eastAsia="cs-CZ"/>
              </w:rPr>
              <w:t>(EDS/SMVS)</w:t>
            </w:r>
          </w:p>
        </w:tc>
        <w:tc>
          <w:tcPr>
            <w:tcW w:w="700" w:type="pct"/>
            <w:tcBorders>
              <w:top w:val="nil"/>
              <w:bottom w:val="single" w:sz="4"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Pr>
                <w:rFonts w:eastAsia="Times New Roman" w:cs="Times New Roman"/>
                <w:i/>
                <w:lang w:eastAsia="cs-CZ"/>
              </w:rPr>
              <w:t>31</w:t>
            </w:r>
          </w:p>
        </w:tc>
        <w:tc>
          <w:tcPr>
            <w:tcW w:w="694" w:type="pct"/>
            <w:tcBorders>
              <w:top w:val="nil"/>
              <w:bottom w:val="single" w:sz="4"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sidRPr="00E3757C">
              <w:rPr>
                <w:rFonts w:eastAsia="Times New Roman" w:cs="Times New Roman"/>
                <w:i/>
                <w:lang w:eastAsia="cs-CZ"/>
              </w:rPr>
              <w:t>0</w:t>
            </w:r>
          </w:p>
        </w:tc>
        <w:tc>
          <w:tcPr>
            <w:tcW w:w="622" w:type="pct"/>
            <w:tcBorders>
              <w:top w:val="nil"/>
              <w:bottom w:val="single" w:sz="4"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sidRPr="00E3757C">
              <w:rPr>
                <w:rFonts w:eastAsia="Times New Roman" w:cs="Times New Roman"/>
                <w:i/>
                <w:lang w:eastAsia="cs-CZ"/>
              </w:rPr>
              <w:t>0</w:t>
            </w:r>
          </w:p>
        </w:tc>
        <w:tc>
          <w:tcPr>
            <w:tcW w:w="484" w:type="pct"/>
            <w:tcBorders>
              <w:top w:val="nil"/>
              <w:bottom w:val="single" w:sz="4"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sidRPr="00E3757C">
              <w:rPr>
                <w:rFonts w:eastAsia="Times New Roman" w:cs="Times New Roman"/>
                <w:i/>
                <w:lang w:eastAsia="cs-CZ"/>
              </w:rPr>
              <w:t>x</w:t>
            </w:r>
          </w:p>
        </w:tc>
      </w:tr>
      <w:tr w:rsidR="00F252D5" w:rsidRPr="00E3757C" w:rsidTr="00A73168">
        <w:tc>
          <w:tcPr>
            <w:tcW w:w="2501" w:type="pct"/>
            <w:tcBorders>
              <w:top w:val="single" w:sz="4" w:space="0" w:color="7F7F7F" w:themeColor="text1" w:themeTint="80"/>
              <w:bottom w:val="nil"/>
            </w:tcBorders>
            <w:shd w:val="clear" w:color="auto" w:fill="auto"/>
          </w:tcPr>
          <w:p w:rsidR="00F252D5" w:rsidRPr="00E3757C" w:rsidRDefault="00F252D5" w:rsidP="004E21CE">
            <w:pPr>
              <w:rPr>
                <w:rFonts w:eastAsia="Times New Roman" w:cs="Times New Roman"/>
                <w:lang w:eastAsia="cs-CZ"/>
              </w:rPr>
            </w:pPr>
            <w:r w:rsidRPr="00E3757C">
              <w:rPr>
                <w:rFonts w:eastAsia="Times New Roman" w:cs="Times New Roman"/>
                <w:lang w:eastAsia="cs-CZ"/>
              </w:rPr>
              <w:t>Obecně prospěšné společnosti</w:t>
            </w:r>
          </w:p>
        </w:tc>
        <w:tc>
          <w:tcPr>
            <w:tcW w:w="700" w:type="pct"/>
            <w:tcBorders>
              <w:top w:val="single" w:sz="4"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sidRPr="00E3757C">
              <w:rPr>
                <w:rFonts w:eastAsia="Times New Roman" w:cs="Times New Roman"/>
                <w:lang w:eastAsia="cs-CZ"/>
              </w:rPr>
              <w:t>276</w:t>
            </w:r>
          </w:p>
        </w:tc>
        <w:tc>
          <w:tcPr>
            <w:tcW w:w="694" w:type="pct"/>
            <w:tcBorders>
              <w:top w:val="single" w:sz="4"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sidRPr="00E3757C">
              <w:rPr>
                <w:rFonts w:eastAsia="Times New Roman" w:cs="Times New Roman"/>
                <w:lang w:eastAsia="cs-CZ"/>
              </w:rPr>
              <w:t>0</w:t>
            </w:r>
          </w:p>
        </w:tc>
        <w:tc>
          <w:tcPr>
            <w:tcW w:w="622" w:type="pct"/>
            <w:tcBorders>
              <w:top w:val="single" w:sz="4"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sidRPr="00E3757C">
              <w:rPr>
                <w:rFonts w:eastAsia="Times New Roman" w:cs="Times New Roman"/>
                <w:lang w:eastAsia="cs-CZ"/>
              </w:rPr>
              <w:t>0</w:t>
            </w:r>
          </w:p>
        </w:tc>
        <w:tc>
          <w:tcPr>
            <w:tcW w:w="484" w:type="pct"/>
            <w:tcBorders>
              <w:top w:val="single" w:sz="4" w:space="0" w:color="7F7F7F" w:themeColor="text1" w:themeTint="80"/>
              <w:bottom w:val="nil"/>
            </w:tcBorders>
            <w:shd w:val="clear" w:color="auto" w:fill="auto"/>
            <w:vAlign w:val="center"/>
          </w:tcPr>
          <w:p w:rsidR="00F252D5" w:rsidRPr="00E3757C" w:rsidRDefault="00F252D5" w:rsidP="00A73168">
            <w:pPr>
              <w:jc w:val="right"/>
              <w:rPr>
                <w:rFonts w:eastAsia="Times New Roman" w:cs="Times New Roman"/>
                <w:lang w:eastAsia="cs-CZ"/>
              </w:rPr>
            </w:pPr>
            <w:r w:rsidRPr="00E3757C">
              <w:rPr>
                <w:rFonts w:eastAsia="Times New Roman" w:cs="Times New Roman"/>
                <w:lang w:eastAsia="cs-CZ"/>
              </w:rPr>
              <w:t>x</w:t>
            </w:r>
          </w:p>
        </w:tc>
      </w:tr>
      <w:tr w:rsidR="00F252D5" w:rsidRPr="00E3757C" w:rsidTr="00A73168">
        <w:tc>
          <w:tcPr>
            <w:tcW w:w="2501" w:type="pct"/>
            <w:tcBorders>
              <w:top w:val="nil"/>
              <w:bottom w:val="single" w:sz="8" w:space="0" w:color="7F7F7F" w:themeColor="text1" w:themeTint="80"/>
            </w:tcBorders>
            <w:shd w:val="clear" w:color="auto" w:fill="auto"/>
          </w:tcPr>
          <w:p w:rsidR="00F252D5" w:rsidRPr="00E3757C" w:rsidRDefault="00F252D5" w:rsidP="004E21CE">
            <w:pPr>
              <w:rPr>
                <w:rFonts w:eastAsia="Times New Roman" w:cs="Times New Roman"/>
                <w:i/>
                <w:lang w:eastAsia="cs-CZ"/>
              </w:rPr>
            </w:pPr>
            <w:r w:rsidRPr="00E3757C">
              <w:rPr>
                <w:rFonts w:eastAsia="Times New Roman" w:cs="Times New Roman"/>
                <w:lang w:eastAsia="cs-CZ"/>
              </w:rPr>
              <w:t xml:space="preserve"> </w:t>
            </w:r>
            <w:r w:rsidRPr="00E3757C">
              <w:rPr>
                <w:rFonts w:eastAsia="Times New Roman" w:cs="Times New Roman"/>
                <w:i/>
                <w:lang w:eastAsia="cs-CZ"/>
              </w:rPr>
              <w:t>z toho: programové financování (EDS/SMVS)</w:t>
            </w:r>
          </w:p>
        </w:tc>
        <w:tc>
          <w:tcPr>
            <w:tcW w:w="700" w:type="pct"/>
            <w:tcBorders>
              <w:top w:val="nil"/>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Pr>
                <w:rFonts w:eastAsia="Times New Roman" w:cs="Times New Roman"/>
                <w:i/>
                <w:lang w:eastAsia="cs-CZ"/>
              </w:rPr>
              <w:t>276</w:t>
            </w:r>
          </w:p>
        </w:tc>
        <w:tc>
          <w:tcPr>
            <w:tcW w:w="694" w:type="pct"/>
            <w:tcBorders>
              <w:top w:val="nil"/>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sidRPr="00E3757C">
              <w:rPr>
                <w:rFonts w:eastAsia="Times New Roman" w:cs="Times New Roman"/>
                <w:i/>
                <w:lang w:eastAsia="cs-CZ"/>
              </w:rPr>
              <w:t>0</w:t>
            </w:r>
          </w:p>
        </w:tc>
        <w:tc>
          <w:tcPr>
            <w:tcW w:w="622" w:type="pct"/>
            <w:tcBorders>
              <w:top w:val="nil"/>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sidRPr="00E3757C">
              <w:rPr>
                <w:rFonts w:eastAsia="Times New Roman" w:cs="Times New Roman"/>
                <w:i/>
                <w:lang w:eastAsia="cs-CZ"/>
              </w:rPr>
              <w:t>0</w:t>
            </w:r>
          </w:p>
        </w:tc>
        <w:tc>
          <w:tcPr>
            <w:tcW w:w="484" w:type="pct"/>
            <w:tcBorders>
              <w:top w:val="nil"/>
              <w:bottom w:val="single" w:sz="8" w:space="0" w:color="7F7F7F" w:themeColor="text1" w:themeTint="80"/>
            </w:tcBorders>
            <w:shd w:val="clear" w:color="auto" w:fill="auto"/>
            <w:vAlign w:val="center"/>
          </w:tcPr>
          <w:p w:rsidR="00F252D5" w:rsidRPr="00E3757C" w:rsidRDefault="00F252D5" w:rsidP="00A73168">
            <w:pPr>
              <w:jc w:val="right"/>
              <w:rPr>
                <w:rFonts w:eastAsia="Times New Roman" w:cs="Times New Roman"/>
                <w:i/>
                <w:lang w:eastAsia="cs-CZ"/>
              </w:rPr>
            </w:pPr>
            <w:r w:rsidRPr="00E3757C">
              <w:rPr>
                <w:rFonts w:eastAsia="Times New Roman" w:cs="Times New Roman"/>
                <w:i/>
                <w:lang w:eastAsia="cs-CZ"/>
              </w:rPr>
              <w:t>x</w:t>
            </w:r>
          </w:p>
        </w:tc>
      </w:tr>
    </w:tbl>
    <w:p w:rsidR="00F252D5" w:rsidRPr="001D1C48" w:rsidRDefault="00F252D5" w:rsidP="001D1C48">
      <w:pPr>
        <w:pStyle w:val="Styl1"/>
      </w:pPr>
      <w:r w:rsidRPr="001D1C48">
        <w:t xml:space="preserve">V rámci návrhu rozpočtu na rok 2019 je zapracována dotace spolkům ve výši </w:t>
      </w:r>
      <w:r w:rsidRPr="001D1C48">
        <w:br/>
        <w:t xml:space="preserve">9 600 tis. Kč, tj. vyšší o 2 100 tis. Kč než v roce 2018.  </w:t>
      </w:r>
    </w:p>
    <w:p w:rsidR="00F252D5" w:rsidRPr="001D1C48" w:rsidRDefault="00F252D5" w:rsidP="001D1C48">
      <w:pPr>
        <w:pStyle w:val="Styl1"/>
      </w:pPr>
      <w:r w:rsidRPr="001D1C48">
        <w:t>Dotace ve výši 8 300 tis. Kč je určena pro spolek Letecká amatérská asociace ČR, který zajišťuje přenesený výkon státní správy ve specifických oblastech civilního letectví (sportovní létající zařízení) a šetří některé incidenty a letecké nehody sportovních létajících zařízení dle zákona č. 49/1997 Sb., o civilním letectví, ve znění pozdějších předpisů.</w:t>
      </w:r>
    </w:p>
    <w:p w:rsidR="00F252D5" w:rsidRPr="008235DA" w:rsidRDefault="00F252D5" w:rsidP="001D1C48">
      <w:pPr>
        <w:pStyle w:val="Styl1"/>
      </w:pPr>
      <w:r w:rsidRPr="001D1C48">
        <w:lastRenderedPageBreak/>
        <w:t xml:space="preserve">Prostředky ve výši 1 300 tis. Kč jsou určeny v souladu s usnesením vlády č. 935/2014 </w:t>
      </w:r>
      <w:r w:rsidR="00A73168">
        <w:br/>
      </w:r>
      <w:r w:rsidRPr="001D1C48">
        <w:t xml:space="preserve">na projekt </w:t>
      </w:r>
      <w:proofErr w:type="spellStart"/>
      <w:r w:rsidRPr="001D1C48">
        <w:t>Legiovlak</w:t>
      </w:r>
      <w:proofErr w:type="spellEnd"/>
      <w:r w:rsidRPr="001D1C48">
        <w:t xml:space="preserve">. Jedná se o ambiciózní projekt Československé obce legionářské, který </w:t>
      </w:r>
      <w:r w:rsidRPr="001D1C48">
        <w:br/>
        <w:t xml:space="preserve">si předsevzal vytvořit věrnou repliku legionářského vlaku z období let 1918–1920, kdy </w:t>
      </w:r>
      <w:r w:rsidR="00A73168">
        <w:br/>
      </w:r>
      <w:r w:rsidRPr="001D1C48">
        <w:t>na</w:t>
      </w:r>
      <w:r w:rsidRPr="008235DA">
        <w:t xml:space="preserve"> Transsibiřské magistrále v Rusku probíhaly válečné operace čs. legií. Vlak křižuje od května 2015 celou Českou republiku a jeho cesta skončí až v roce 2020.</w:t>
      </w:r>
    </w:p>
    <w:p w:rsidR="0057450B" w:rsidRPr="00F252D5" w:rsidRDefault="0057450B" w:rsidP="007B2F4B">
      <w:pPr>
        <w:pStyle w:val="Nadpis3"/>
      </w:pPr>
      <w:bookmarkStart w:id="70" w:name="_Toc462314398"/>
      <w:bookmarkStart w:id="71" w:name="_Toc489274104"/>
      <w:bookmarkStart w:id="72" w:name="_Toc526424697"/>
      <w:r w:rsidRPr="007B2F4B">
        <w:t>Neinvestiční</w:t>
      </w:r>
      <w:r w:rsidRPr="00F252D5">
        <w:t xml:space="preserve"> transfery do zahraničí</w:t>
      </w:r>
      <w:bookmarkEnd w:id="70"/>
      <w:bookmarkEnd w:id="71"/>
      <w:bookmarkEnd w:id="72"/>
    </w:p>
    <w:p w:rsidR="0057450B" w:rsidRPr="00F252D5" w:rsidRDefault="0057450B" w:rsidP="0057450B">
      <w:pPr>
        <w:pStyle w:val="Titulek"/>
        <w:keepNext/>
      </w:pPr>
      <w:r w:rsidRPr="00F252D5">
        <w:t xml:space="preserve">Tabulka č. </w:t>
      </w:r>
      <w:r w:rsidR="0001421C" w:rsidRPr="00F252D5">
        <w:rPr>
          <w:noProof/>
        </w:rPr>
        <w:fldChar w:fldCharType="begin"/>
      </w:r>
      <w:r w:rsidR="0001421C" w:rsidRPr="00F252D5">
        <w:rPr>
          <w:noProof/>
        </w:rPr>
        <w:instrText xml:space="preserve"> SEQ Tabulka \* ARABIC </w:instrText>
      </w:r>
      <w:r w:rsidR="0001421C" w:rsidRPr="00F252D5">
        <w:rPr>
          <w:noProof/>
        </w:rPr>
        <w:fldChar w:fldCharType="separate"/>
      </w:r>
      <w:r w:rsidR="00AF5225">
        <w:rPr>
          <w:noProof/>
        </w:rPr>
        <w:t>21</w:t>
      </w:r>
      <w:r w:rsidR="0001421C" w:rsidRPr="00F252D5">
        <w:rPr>
          <w:noProof/>
        </w:rPr>
        <w:fldChar w:fldCharType="end"/>
      </w:r>
      <w:r w:rsidRPr="00F252D5">
        <w:rPr>
          <w:noProof/>
        </w:rPr>
        <w:t xml:space="preserve"> Neivestiční transfery do zahraničí (v tis. Kč)</w:t>
      </w:r>
    </w:p>
    <w:tbl>
      <w:tblPr>
        <w:tblStyle w:val="Svtltabulkasmkou1zvraznn5"/>
        <w:tblW w:w="911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462"/>
        <w:gridCol w:w="1361"/>
        <w:gridCol w:w="1276"/>
        <w:gridCol w:w="1134"/>
        <w:gridCol w:w="879"/>
      </w:tblGrid>
      <w:tr w:rsidR="00F252D5" w:rsidRPr="005E6207" w:rsidTr="007B2F4B">
        <w:tc>
          <w:tcPr>
            <w:tcW w:w="446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Skutečnost</w:t>
            </w:r>
          </w:p>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2017</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Schválený</w:t>
            </w:r>
          </w:p>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rozpočet</w:t>
            </w:r>
          </w:p>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2018</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Návrh</w:t>
            </w:r>
          </w:p>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rozpočtu</w:t>
            </w:r>
          </w:p>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2019</w:t>
            </w:r>
          </w:p>
        </w:tc>
        <w:tc>
          <w:tcPr>
            <w:tcW w:w="87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Index</w:t>
            </w:r>
          </w:p>
          <w:p w:rsidR="00F252D5" w:rsidRPr="005E6207" w:rsidRDefault="00F252D5" w:rsidP="004E21CE">
            <w:pPr>
              <w:jc w:val="center"/>
              <w:rPr>
                <w:rFonts w:eastAsia="Times New Roman" w:cs="Times New Roman"/>
                <w:b/>
                <w:szCs w:val="24"/>
                <w:lang w:eastAsia="cs-CZ"/>
              </w:rPr>
            </w:pPr>
            <w:r w:rsidRPr="005E6207">
              <w:rPr>
                <w:rFonts w:eastAsia="Times New Roman" w:cs="Times New Roman"/>
                <w:b/>
                <w:szCs w:val="24"/>
                <w:lang w:eastAsia="cs-CZ"/>
              </w:rPr>
              <w:t>2019/</w:t>
            </w:r>
            <w:r>
              <w:rPr>
                <w:rFonts w:eastAsia="Times New Roman" w:cs="Times New Roman"/>
                <w:b/>
                <w:szCs w:val="24"/>
                <w:lang w:eastAsia="cs-CZ"/>
              </w:rPr>
              <w:br/>
            </w:r>
            <w:r w:rsidRPr="005E6207">
              <w:rPr>
                <w:rFonts w:eastAsia="Times New Roman" w:cs="Times New Roman"/>
                <w:b/>
                <w:szCs w:val="24"/>
                <w:lang w:eastAsia="cs-CZ"/>
              </w:rPr>
              <w:t xml:space="preserve">2018 </w:t>
            </w:r>
            <w:r>
              <w:rPr>
                <w:rFonts w:eastAsia="Times New Roman" w:cs="Times New Roman"/>
                <w:b/>
                <w:szCs w:val="24"/>
                <w:lang w:eastAsia="cs-CZ"/>
              </w:rPr>
              <w:br/>
            </w:r>
            <w:r w:rsidRPr="005E6207">
              <w:rPr>
                <w:rFonts w:eastAsia="Times New Roman" w:cs="Times New Roman"/>
                <w:b/>
                <w:szCs w:val="24"/>
                <w:lang w:eastAsia="cs-CZ"/>
              </w:rPr>
              <w:t>(v %)</w:t>
            </w:r>
          </w:p>
        </w:tc>
      </w:tr>
      <w:tr w:rsidR="00F252D5" w:rsidRPr="005E6207" w:rsidTr="007B2F4B">
        <w:tc>
          <w:tcPr>
            <w:tcW w:w="4462" w:type="dxa"/>
            <w:tcBorders>
              <w:top w:val="single" w:sz="4" w:space="0" w:color="7F7F7F" w:themeColor="text1" w:themeTint="80"/>
              <w:bottom w:val="single" w:sz="8" w:space="0" w:color="7F7F7F" w:themeColor="text1" w:themeTint="80"/>
            </w:tcBorders>
            <w:shd w:val="clear" w:color="auto" w:fill="auto"/>
          </w:tcPr>
          <w:p w:rsidR="00F252D5" w:rsidRPr="005E6207" w:rsidRDefault="00F252D5" w:rsidP="004E21CE">
            <w:pPr>
              <w:jc w:val="center"/>
              <w:rPr>
                <w:rFonts w:eastAsia="Times New Roman" w:cs="Times New Roman"/>
                <w:szCs w:val="24"/>
                <w:lang w:eastAsia="cs-CZ"/>
              </w:rPr>
            </w:pPr>
            <w:r w:rsidRPr="005E6207">
              <w:rPr>
                <w:rFonts w:eastAsia="Times New Roman" w:cs="Times New Roman"/>
                <w:szCs w:val="24"/>
                <w:lang w:eastAsia="cs-CZ"/>
              </w:rPr>
              <w:t>a</w:t>
            </w:r>
          </w:p>
        </w:tc>
        <w:tc>
          <w:tcPr>
            <w:tcW w:w="1361" w:type="dxa"/>
            <w:tcBorders>
              <w:top w:val="single" w:sz="4" w:space="0" w:color="7F7F7F" w:themeColor="text1" w:themeTint="80"/>
              <w:bottom w:val="single" w:sz="8" w:space="0" w:color="7F7F7F" w:themeColor="text1" w:themeTint="80"/>
            </w:tcBorders>
            <w:shd w:val="clear" w:color="auto" w:fill="auto"/>
          </w:tcPr>
          <w:p w:rsidR="00F252D5" w:rsidRPr="005E6207" w:rsidRDefault="00F252D5" w:rsidP="004E21CE">
            <w:pPr>
              <w:jc w:val="center"/>
              <w:rPr>
                <w:rFonts w:eastAsia="Times New Roman" w:cs="Times New Roman"/>
                <w:szCs w:val="24"/>
                <w:lang w:eastAsia="cs-CZ"/>
              </w:rPr>
            </w:pPr>
            <w:r w:rsidRPr="005E6207">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F252D5" w:rsidRPr="005E6207" w:rsidRDefault="00F252D5" w:rsidP="004E21CE">
            <w:pPr>
              <w:jc w:val="center"/>
              <w:rPr>
                <w:rFonts w:eastAsia="Times New Roman" w:cs="Times New Roman"/>
                <w:szCs w:val="24"/>
                <w:lang w:eastAsia="cs-CZ"/>
              </w:rPr>
            </w:pPr>
            <w:r w:rsidRPr="005E6207">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F252D5" w:rsidRPr="005E6207" w:rsidRDefault="00F252D5" w:rsidP="004E21CE">
            <w:pPr>
              <w:jc w:val="center"/>
              <w:rPr>
                <w:rFonts w:eastAsia="Times New Roman" w:cs="Times New Roman"/>
                <w:szCs w:val="24"/>
                <w:lang w:eastAsia="cs-CZ"/>
              </w:rPr>
            </w:pPr>
            <w:r w:rsidRPr="005E6207">
              <w:rPr>
                <w:rFonts w:eastAsia="Times New Roman" w:cs="Times New Roman"/>
                <w:szCs w:val="24"/>
                <w:lang w:eastAsia="cs-CZ"/>
              </w:rPr>
              <w:t>3</w:t>
            </w:r>
          </w:p>
        </w:tc>
        <w:tc>
          <w:tcPr>
            <w:tcW w:w="879" w:type="dxa"/>
            <w:tcBorders>
              <w:top w:val="single" w:sz="4" w:space="0" w:color="7F7F7F" w:themeColor="text1" w:themeTint="80"/>
              <w:bottom w:val="single" w:sz="8" w:space="0" w:color="7F7F7F" w:themeColor="text1" w:themeTint="80"/>
            </w:tcBorders>
            <w:shd w:val="clear" w:color="auto" w:fill="auto"/>
          </w:tcPr>
          <w:p w:rsidR="00F252D5" w:rsidRPr="005E6207" w:rsidRDefault="00F252D5" w:rsidP="004E21CE">
            <w:pPr>
              <w:jc w:val="center"/>
              <w:rPr>
                <w:rFonts w:eastAsia="Times New Roman" w:cs="Times New Roman"/>
                <w:szCs w:val="24"/>
                <w:lang w:eastAsia="cs-CZ"/>
              </w:rPr>
            </w:pPr>
            <w:r w:rsidRPr="005E6207">
              <w:rPr>
                <w:rFonts w:eastAsia="Times New Roman" w:cs="Times New Roman"/>
                <w:szCs w:val="24"/>
                <w:lang w:eastAsia="cs-CZ"/>
              </w:rPr>
              <w:t>4</w:t>
            </w:r>
          </w:p>
        </w:tc>
      </w:tr>
      <w:tr w:rsidR="00F252D5" w:rsidRPr="005E6207" w:rsidTr="007B2F4B">
        <w:trPr>
          <w:trHeight w:val="334"/>
        </w:trPr>
        <w:tc>
          <w:tcPr>
            <w:tcW w:w="4462" w:type="dxa"/>
            <w:tcBorders>
              <w:top w:val="single" w:sz="8" w:space="0" w:color="7F7F7F" w:themeColor="text1" w:themeTint="80"/>
              <w:bottom w:val="single" w:sz="8" w:space="0" w:color="7F7F7F" w:themeColor="text1" w:themeTint="80"/>
            </w:tcBorders>
            <w:shd w:val="clear" w:color="auto" w:fill="auto"/>
          </w:tcPr>
          <w:p w:rsidR="00F252D5" w:rsidRPr="005E6207" w:rsidRDefault="00F252D5" w:rsidP="004E21CE">
            <w:pPr>
              <w:spacing w:before="60"/>
              <w:rPr>
                <w:rFonts w:eastAsia="Times New Roman" w:cs="Times New Roman"/>
                <w:lang w:eastAsia="cs-CZ"/>
              </w:rPr>
            </w:pPr>
            <w:r w:rsidRPr="005E6207">
              <w:rPr>
                <w:rFonts w:eastAsia="Times New Roman" w:cs="Times New Roman"/>
                <w:b/>
                <w:lang w:eastAsia="cs-CZ"/>
              </w:rPr>
              <w:t xml:space="preserve">Neinvestiční transfery do zahraničí </w:t>
            </w:r>
            <w:r w:rsidRPr="005E6207">
              <w:rPr>
                <w:rFonts w:eastAsia="Times New Roman" w:cs="Times New Roman"/>
                <w:lang w:eastAsia="cs-CZ"/>
              </w:rPr>
              <w:t>v tom:</w:t>
            </w:r>
          </w:p>
        </w:tc>
        <w:tc>
          <w:tcPr>
            <w:tcW w:w="1361" w:type="dxa"/>
            <w:tcBorders>
              <w:top w:val="single" w:sz="8" w:space="0" w:color="7F7F7F" w:themeColor="text1" w:themeTint="80"/>
              <w:bottom w:val="single" w:sz="8" w:space="0" w:color="7F7F7F" w:themeColor="text1" w:themeTint="80"/>
            </w:tcBorders>
            <w:shd w:val="clear" w:color="auto" w:fill="auto"/>
            <w:vAlign w:val="center"/>
          </w:tcPr>
          <w:p w:rsidR="00F252D5" w:rsidRPr="005E6207" w:rsidRDefault="00F252D5" w:rsidP="004E21CE">
            <w:pPr>
              <w:spacing w:before="60"/>
              <w:jc w:val="right"/>
              <w:rPr>
                <w:rFonts w:eastAsia="Times New Roman" w:cs="Times New Roman"/>
                <w:b/>
                <w:lang w:eastAsia="cs-CZ"/>
              </w:rPr>
            </w:pPr>
            <w:r w:rsidRPr="005E6207">
              <w:rPr>
                <w:rFonts w:eastAsia="Times New Roman" w:cs="Times New Roman"/>
                <w:b/>
                <w:lang w:eastAsia="cs-CZ"/>
              </w:rPr>
              <w:t>939 233</w:t>
            </w:r>
          </w:p>
        </w:tc>
        <w:tc>
          <w:tcPr>
            <w:tcW w:w="1276" w:type="dxa"/>
            <w:tcBorders>
              <w:top w:val="single" w:sz="8" w:space="0" w:color="7F7F7F" w:themeColor="text1" w:themeTint="80"/>
              <w:bottom w:val="single" w:sz="8" w:space="0" w:color="7F7F7F" w:themeColor="text1" w:themeTint="80"/>
            </w:tcBorders>
            <w:shd w:val="clear" w:color="auto" w:fill="auto"/>
            <w:vAlign w:val="center"/>
          </w:tcPr>
          <w:p w:rsidR="00F252D5" w:rsidRPr="005E6207" w:rsidRDefault="00F252D5" w:rsidP="004E21CE">
            <w:pPr>
              <w:spacing w:before="60"/>
              <w:jc w:val="right"/>
              <w:rPr>
                <w:rFonts w:eastAsia="Times New Roman" w:cs="Times New Roman"/>
                <w:b/>
                <w:lang w:eastAsia="cs-CZ"/>
              </w:rPr>
            </w:pPr>
            <w:r w:rsidRPr="005E6207">
              <w:rPr>
                <w:rFonts w:eastAsia="Times New Roman" w:cs="Times New Roman"/>
                <w:b/>
                <w:lang w:eastAsia="cs-CZ"/>
              </w:rPr>
              <w:t>951 822</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F252D5" w:rsidRPr="005E6207" w:rsidRDefault="00F252D5" w:rsidP="004E21CE">
            <w:pPr>
              <w:spacing w:before="60"/>
              <w:jc w:val="right"/>
              <w:rPr>
                <w:rFonts w:eastAsia="Times New Roman" w:cs="Times New Roman"/>
                <w:b/>
                <w:lang w:eastAsia="cs-CZ"/>
              </w:rPr>
            </w:pPr>
            <w:r w:rsidRPr="005E6207">
              <w:rPr>
                <w:rFonts w:eastAsia="Times New Roman" w:cs="Times New Roman"/>
                <w:b/>
                <w:lang w:eastAsia="cs-CZ"/>
              </w:rPr>
              <w:t>95</w:t>
            </w:r>
            <w:r>
              <w:rPr>
                <w:rFonts w:eastAsia="Times New Roman" w:cs="Times New Roman"/>
                <w:b/>
                <w:lang w:eastAsia="cs-CZ"/>
              </w:rPr>
              <w:t>4</w:t>
            </w:r>
            <w:r w:rsidRPr="005E6207">
              <w:rPr>
                <w:rFonts w:eastAsia="Times New Roman" w:cs="Times New Roman"/>
                <w:b/>
                <w:lang w:eastAsia="cs-CZ"/>
              </w:rPr>
              <w:t xml:space="preserve"> </w:t>
            </w:r>
            <w:r>
              <w:rPr>
                <w:rFonts w:eastAsia="Times New Roman" w:cs="Times New Roman"/>
                <w:b/>
                <w:lang w:eastAsia="cs-CZ"/>
              </w:rPr>
              <w:t>275</w:t>
            </w:r>
          </w:p>
        </w:tc>
        <w:tc>
          <w:tcPr>
            <w:tcW w:w="879" w:type="dxa"/>
            <w:tcBorders>
              <w:top w:val="single" w:sz="8" w:space="0" w:color="7F7F7F" w:themeColor="text1" w:themeTint="80"/>
              <w:bottom w:val="single" w:sz="8" w:space="0" w:color="7F7F7F" w:themeColor="text1" w:themeTint="80"/>
            </w:tcBorders>
            <w:shd w:val="clear" w:color="auto" w:fill="auto"/>
            <w:vAlign w:val="center"/>
          </w:tcPr>
          <w:p w:rsidR="00F252D5" w:rsidRPr="005E6207" w:rsidRDefault="00F252D5" w:rsidP="004E21CE">
            <w:pPr>
              <w:spacing w:before="60"/>
              <w:jc w:val="right"/>
              <w:rPr>
                <w:rFonts w:eastAsia="Times New Roman" w:cs="Times New Roman"/>
                <w:b/>
                <w:lang w:eastAsia="cs-CZ"/>
              </w:rPr>
            </w:pPr>
            <w:r w:rsidRPr="005E6207">
              <w:rPr>
                <w:rFonts w:eastAsia="Times New Roman" w:cs="Times New Roman"/>
                <w:b/>
                <w:lang w:eastAsia="cs-CZ"/>
              </w:rPr>
              <w:t>100,</w:t>
            </w:r>
            <w:r>
              <w:rPr>
                <w:rFonts w:eastAsia="Times New Roman" w:cs="Times New Roman"/>
                <w:b/>
                <w:lang w:eastAsia="cs-CZ"/>
              </w:rPr>
              <w:t>26</w:t>
            </w:r>
          </w:p>
        </w:tc>
      </w:tr>
      <w:tr w:rsidR="00F252D5" w:rsidRPr="005E6207" w:rsidTr="007B2F4B">
        <w:tc>
          <w:tcPr>
            <w:tcW w:w="4462" w:type="dxa"/>
            <w:tcBorders>
              <w:top w:val="single" w:sz="8" w:space="0" w:color="7F7F7F" w:themeColor="text1" w:themeTint="80"/>
              <w:bottom w:val="nil"/>
            </w:tcBorders>
            <w:shd w:val="clear" w:color="auto" w:fill="auto"/>
          </w:tcPr>
          <w:p w:rsidR="00F252D5" w:rsidRPr="005E6207" w:rsidRDefault="00F252D5" w:rsidP="004E21CE">
            <w:pPr>
              <w:rPr>
                <w:rFonts w:eastAsia="Times New Roman" w:cs="Times New Roman"/>
                <w:lang w:eastAsia="cs-CZ"/>
              </w:rPr>
            </w:pPr>
            <w:r w:rsidRPr="005E6207">
              <w:rPr>
                <w:rFonts w:eastAsia="Times New Roman" w:cs="Times New Roman"/>
                <w:lang w:eastAsia="cs-CZ"/>
              </w:rPr>
              <w:t xml:space="preserve">Neinvestiční transfery </w:t>
            </w:r>
            <w:proofErr w:type="spellStart"/>
            <w:r w:rsidRPr="005E6207">
              <w:rPr>
                <w:rFonts w:eastAsia="Times New Roman" w:cs="Times New Roman"/>
                <w:lang w:eastAsia="cs-CZ"/>
              </w:rPr>
              <w:t>mezinár</w:t>
            </w:r>
            <w:proofErr w:type="spellEnd"/>
            <w:r w:rsidRPr="005E6207">
              <w:rPr>
                <w:rFonts w:eastAsia="Times New Roman" w:cs="Times New Roman"/>
                <w:lang w:eastAsia="cs-CZ"/>
              </w:rPr>
              <w:t xml:space="preserve">. </w:t>
            </w:r>
            <w:proofErr w:type="gramStart"/>
            <w:r w:rsidRPr="005E6207">
              <w:rPr>
                <w:rFonts w:eastAsia="Times New Roman" w:cs="Times New Roman"/>
                <w:lang w:eastAsia="cs-CZ"/>
              </w:rPr>
              <w:t>vlád</w:t>
            </w:r>
            <w:proofErr w:type="gramEnd"/>
            <w:r w:rsidRPr="005E6207">
              <w:rPr>
                <w:rFonts w:eastAsia="Times New Roman" w:cs="Times New Roman"/>
                <w:lang w:eastAsia="cs-CZ"/>
              </w:rPr>
              <w:t xml:space="preserve">. </w:t>
            </w:r>
            <w:proofErr w:type="spellStart"/>
            <w:r w:rsidRPr="005E6207">
              <w:rPr>
                <w:rFonts w:eastAsia="Times New Roman" w:cs="Times New Roman"/>
                <w:lang w:eastAsia="cs-CZ"/>
              </w:rPr>
              <w:t>org</w:t>
            </w:r>
            <w:proofErr w:type="spellEnd"/>
            <w:r w:rsidRPr="005E6207">
              <w:rPr>
                <w:rFonts w:eastAsia="Times New Roman" w:cs="Times New Roman"/>
                <w:lang w:eastAsia="cs-CZ"/>
              </w:rPr>
              <w:t>.</w:t>
            </w:r>
          </w:p>
        </w:tc>
        <w:tc>
          <w:tcPr>
            <w:tcW w:w="1361" w:type="dxa"/>
            <w:tcBorders>
              <w:top w:val="single" w:sz="8" w:space="0" w:color="7F7F7F" w:themeColor="text1" w:themeTint="80"/>
              <w:bottom w:val="nil"/>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939 047</w:t>
            </w:r>
          </w:p>
        </w:tc>
        <w:tc>
          <w:tcPr>
            <w:tcW w:w="1276" w:type="dxa"/>
            <w:tcBorders>
              <w:top w:val="single" w:sz="8" w:space="0" w:color="7F7F7F" w:themeColor="text1" w:themeTint="80"/>
              <w:bottom w:val="nil"/>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951 613</w:t>
            </w:r>
          </w:p>
        </w:tc>
        <w:tc>
          <w:tcPr>
            <w:tcW w:w="1134" w:type="dxa"/>
            <w:tcBorders>
              <w:top w:val="single" w:sz="8" w:space="0" w:color="7F7F7F" w:themeColor="text1" w:themeTint="80"/>
              <w:bottom w:val="nil"/>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95</w:t>
            </w:r>
            <w:r>
              <w:rPr>
                <w:rFonts w:eastAsia="Times New Roman" w:cs="Times New Roman"/>
                <w:lang w:eastAsia="cs-CZ"/>
              </w:rPr>
              <w:t>4</w:t>
            </w:r>
            <w:r w:rsidRPr="005E6207">
              <w:rPr>
                <w:rFonts w:eastAsia="Times New Roman" w:cs="Times New Roman"/>
                <w:lang w:eastAsia="cs-CZ"/>
              </w:rPr>
              <w:t xml:space="preserve"> </w:t>
            </w:r>
            <w:r>
              <w:rPr>
                <w:rFonts w:eastAsia="Times New Roman" w:cs="Times New Roman"/>
                <w:lang w:eastAsia="cs-CZ"/>
              </w:rPr>
              <w:t>066</w:t>
            </w:r>
          </w:p>
        </w:tc>
        <w:tc>
          <w:tcPr>
            <w:tcW w:w="879" w:type="dxa"/>
            <w:tcBorders>
              <w:top w:val="single" w:sz="8" w:space="0" w:color="7F7F7F" w:themeColor="text1" w:themeTint="80"/>
              <w:bottom w:val="nil"/>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100,</w:t>
            </w:r>
            <w:r>
              <w:rPr>
                <w:rFonts w:eastAsia="Times New Roman" w:cs="Times New Roman"/>
                <w:lang w:eastAsia="cs-CZ"/>
              </w:rPr>
              <w:t>26</w:t>
            </w:r>
          </w:p>
        </w:tc>
      </w:tr>
      <w:tr w:rsidR="00F252D5" w:rsidRPr="005E6207" w:rsidTr="007B2F4B">
        <w:tc>
          <w:tcPr>
            <w:tcW w:w="4462" w:type="dxa"/>
            <w:tcBorders>
              <w:top w:val="nil"/>
              <w:bottom w:val="single" w:sz="4" w:space="0" w:color="auto"/>
            </w:tcBorders>
            <w:shd w:val="clear" w:color="auto" w:fill="auto"/>
          </w:tcPr>
          <w:p w:rsidR="00F252D5" w:rsidRPr="005E6207" w:rsidRDefault="00F252D5" w:rsidP="004E21CE">
            <w:pPr>
              <w:rPr>
                <w:rFonts w:eastAsia="Times New Roman" w:cs="Times New Roman"/>
                <w:i/>
                <w:lang w:eastAsia="cs-CZ"/>
              </w:rPr>
            </w:pPr>
            <w:r w:rsidRPr="005E6207">
              <w:rPr>
                <w:rFonts w:eastAsia="Times New Roman" w:cs="Times New Roman"/>
                <w:i/>
                <w:lang w:eastAsia="cs-CZ"/>
              </w:rPr>
              <w:t xml:space="preserve"> z toho: volitelné programy ESA</w:t>
            </w:r>
          </w:p>
        </w:tc>
        <w:tc>
          <w:tcPr>
            <w:tcW w:w="1361"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i/>
                <w:lang w:eastAsia="cs-CZ"/>
              </w:rPr>
            </w:pPr>
            <w:r w:rsidRPr="005E6207">
              <w:rPr>
                <w:rFonts w:eastAsia="Times New Roman" w:cs="Times New Roman"/>
                <w:i/>
                <w:lang w:eastAsia="cs-CZ"/>
              </w:rPr>
              <w:t>923 096</w:t>
            </w:r>
          </w:p>
        </w:tc>
        <w:tc>
          <w:tcPr>
            <w:tcW w:w="1276"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i/>
                <w:lang w:eastAsia="cs-CZ"/>
              </w:rPr>
            </w:pPr>
            <w:r w:rsidRPr="005E6207">
              <w:rPr>
                <w:rFonts w:eastAsia="Times New Roman" w:cs="Times New Roman"/>
                <w:i/>
                <w:lang w:eastAsia="cs-CZ"/>
              </w:rPr>
              <w:t>930 000</w:t>
            </w:r>
          </w:p>
        </w:tc>
        <w:tc>
          <w:tcPr>
            <w:tcW w:w="1134"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i/>
                <w:lang w:eastAsia="cs-CZ"/>
              </w:rPr>
            </w:pPr>
            <w:r w:rsidRPr="005E6207">
              <w:rPr>
                <w:rFonts w:eastAsia="Times New Roman" w:cs="Times New Roman"/>
                <w:i/>
                <w:lang w:eastAsia="cs-CZ"/>
              </w:rPr>
              <w:t>930 000</w:t>
            </w:r>
          </w:p>
        </w:tc>
        <w:tc>
          <w:tcPr>
            <w:tcW w:w="879"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i/>
                <w:lang w:eastAsia="cs-CZ"/>
              </w:rPr>
            </w:pPr>
            <w:r w:rsidRPr="005E6207">
              <w:rPr>
                <w:rFonts w:eastAsia="Times New Roman" w:cs="Times New Roman"/>
                <w:i/>
                <w:lang w:eastAsia="cs-CZ"/>
              </w:rPr>
              <w:t>100,00</w:t>
            </w:r>
          </w:p>
        </w:tc>
      </w:tr>
      <w:tr w:rsidR="00F252D5" w:rsidRPr="005E6207" w:rsidTr="007B2F4B">
        <w:tc>
          <w:tcPr>
            <w:tcW w:w="4462" w:type="dxa"/>
            <w:tcBorders>
              <w:top w:val="nil"/>
              <w:bottom w:val="single" w:sz="4" w:space="0" w:color="auto"/>
            </w:tcBorders>
            <w:shd w:val="clear" w:color="auto" w:fill="auto"/>
          </w:tcPr>
          <w:p w:rsidR="00F252D5" w:rsidRPr="005E6207" w:rsidRDefault="00F252D5" w:rsidP="004E21CE">
            <w:pPr>
              <w:rPr>
                <w:rFonts w:eastAsia="Times New Roman" w:cs="Times New Roman"/>
                <w:lang w:eastAsia="cs-CZ"/>
              </w:rPr>
            </w:pPr>
            <w:r w:rsidRPr="005E6207">
              <w:rPr>
                <w:rFonts w:eastAsia="Times New Roman" w:cs="Times New Roman"/>
                <w:lang w:eastAsia="cs-CZ"/>
              </w:rPr>
              <w:t>Ostatní neinvestiční transfery do zahraničí</w:t>
            </w:r>
          </w:p>
        </w:tc>
        <w:tc>
          <w:tcPr>
            <w:tcW w:w="1361"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133</w:t>
            </w:r>
          </w:p>
        </w:tc>
        <w:tc>
          <w:tcPr>
            <w:tcW w:w="1276"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149</w:t>
            </w:r>
          </w:p>
        </w:tc>
        <w:tc>
          <w:tcPr>
            <w:tcW w:w="1134"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149</w:t>
            </w:r>
          </w:p>
        </w:tc>
        <w:tc>
          <w:tcPr>
            <w:tcW w:w="879"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100,00</w:t>
            </w:r>
          </w:p>
        </w:tc>
      </w:tr>
      <w:tr w:rsidR="00F252D5" w:rsidRPr="005E6207" w:rsidTr="007B2F4B">
        <w:tc>
          <w:tcPr>
            <w:tcW w:w="4462" w:type="dxa"/>
            <w:tcBorders>
              <w:top w:val="nil"/>
              <w:bottom w:val="single" w:sz="4" w:space="0" w:color="auto"/>
            </w:tcBorders>
            <w:shd w:val="clear" w:color="auto" w:fill="auto"/>
          </w:tcPr>
          <w:p w:rsidR="00F252D5" w:rsidRPr="005E6207" w:rsidRDefault="00F252D5" w:rsidP="004E21CE">
            <w:pPr>
              <w:rPr>
                <w:rFonts w:eastAsia="Times New Roman" w:cs="Times New Roman"/>
                <w:lang w:eastAsia="cs-CZ"/>
              </w:rPr>
            </w:pPr>
            <w:r w:rsidRPr="005E6207">
              <w:rPr>
                <w:rFonts w:eastAsia="Times New Roman" w:cs="Times New Roman"/>
                <w:lang w:eastAsia="cs-CZ"/>
              </w:rPr>
              <w:t xml:space="preserve">Členské příspěvky </w:t>
            </w:r>
            <w:proofErr w:type="spellStart"/>
            <w:r w:rsidRPr="005E6207">
              <w:rPr>
                <w:rFonts w:eastAsia="Times New Roman" w:cs="Times New Roman"/>
                <w:lang w:eastAsia="cs-CZ"/>
              </w:rPr>
              <w:t>mezinár</w:t>
            </w:r>
            <w:proofErr w:type="spellEnd"/>
            <w:r w:rsidRPr="005E6207">
              <w:rPr>
                <w:rFonts w:eastAsia="Times New Roman" w:cs="Times New Roman"/>
                <w:lang w:eastAsia="cs-CZ"/>
              </w:rPr>
              <w:t xml:space="preserve">. </w:t>
            </w:r>
            <w:proofErr w:type="gramStart"/>
            <w:r w:rsidRPr="005E6207">
              <w:rPr>
                <w:rFonts w:eastAsia="Times New Roman" w:cs="Times New Roman"/>
                <w:lang w:eastAsia="cs-CZ"/>
              </w:rPr>
              <w:t>vládním</w:t>
            </w:r>
            <w:proofErr w:type="gramEnd"/>
            <w:r w:rsidRPr="005E6207">
              <w:rPr>
                <w:rFonts w:eastAsia="Times New Roman" w:cs="Times New Roman"/>
                <w:lang w:eastAsia="cs-CZ"/>
              </w:rPr>
              <w:t xml:space="preserve"> </w:t>
            </w:r>
            <w:proofErr w:type="spellStart"/>
            <w:r w:rsidRPr="005E6207">
              <w:rPr>
                <w:rFonts w:eastAsia="Times New Roman" w:cs="Times New Roman"/>
                <w:lang w:eastAsia="cs-CZ"/>
              </w:rPr>
              <w:t>org</w:t>
            </w:r>
            <w:proofErr w:type="spellEnd"/>
            <w:r w:rsidRPr="005E6207">
              <w:rPr>
                <w:rFonts w:eastAsia="Times New Roman" w:cs="Times New Roman"/>
                <w:lang w:eastAsia="cs-CZ"/>
              </w:rPr>
              <w:t xml:space="preserve">. </w:t>
            </w:r>
          </w:p>
        </w:tc>
        <w:tc>
          <w:tcPr>
            <w:tcW w:w="1361"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53</w:t>
            </w:r>
          </w:p>
        </w:tc>
        <w:tc>
          <w:tcPr>
            <w:tcW w:w="1276"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60</w:t>
            </w:r>
          </w:p>
        </w:tc>
        <w:tc>
          <w:tcPr>
            <w:tcW w:w="1134"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60</w:t>
            </w:r>
          </w:p>
        </w:tc>
        <w:tc>
          <w:tcPr>
            <w:tcW w:w="879" w:type="dxa"/>
            <w:tcBorders>
              <w:top w:val="nil"/>
              <w:bottom w:val="single" w:sz="4" w:space="0" w:color="auto"/>
            </w:tcBorders>
            <w:shd w:val="clear" w:color="auto" w:fill="auto"/>
            <w:vAlign w:val="center"/>
          </w:tcPr>
          <w:p w:rsidR="00F252D5" w:rsidRPr="005E6207" w:rsidRDefault="00F252D5" w:rsidP="004E21CE">
            <w:pPr>
              <w:jc w:val="right"/>
              <w:rPr>
                <w:rFonts w:eastAsia="Times New Roman" w:cs="Times New Roman"/>
                <w:lang w:eastAsia="cs-CZ"/>
              </w:rPr>
            </w:pPr>
            <w:r w:rsidRPr="005E6207">
              <w:rPr>
                <w:rFonts w:eastAsia="Times New Roman" w:cs="Times New Roman"/>
                <w:lang w:eastAsia="cs-CZ"/>
              </w:rPr>
              <w:t>100,00</w:t>
            </w:r>
          </w:p>
        </w:tc>
      </w:tr>
    </w:tbl>
    <w:p w:rsidR="00F252D5" w:rsidRDefault="00F252D5" w:rsidP="00F252D5">
      <w:pPr>
        <w:pStyle w:val="Styl1"/>
      </w:pPr>
      <w:r w:rsidRPr="005E6207">
        <w:t xml:space="preserve">V návrhu rozpočtu kapitoly 327 Ministerstvo dopravy na rok 2019 jsou zahrnuty </w:t>
      </w:r>
      <w:r w:rsidRPr="005E6207">
        <w:br/>
        <w:t>i neinvestiční transfery do zahraničí ve výši 95</w:t>
      </w:r>
      <w:r>
        <w:t>4</w:t>
      </w:r>
      <w:r w:rsidRPr="005E6207">
        <w:t> </w:t>
      </w:r>
      <w:r>
        <w:t>275</w:t>
      </w:r>
      <w:r w:rsidRPr="005E6207">
        <w:t xml:space="preserve"> tis. Kč, tj. </w:t>
      </w:r>
      <w:r>
        <w:t xml:space="preserve">o 2 453 tis. Kč více než </w:t>
      </w:r>
      <w:r>
        <w:br/>
        <w:t>v roce</w:t>
      </w:r>
      <w:r w:rsidRPr="005E6207">
        <w:t xml:space="preserve"> 2018. </w:t>
      </w:r>
    </w:p>
    <w:p w:rsidR="00F252D5" w:rsidRPr="005E6207" w:rsidRDefault="00F252D5" w:rsidP="00EB42A1">
      <w:pPr>
        <w:spacing w:before="240"/>
        <w:ind w:firstLine="567"/>
        <w:rPr>
          <w:rFonts w:eastAsia="Times New Roman" w:cs="Times New Roman"/>
          <w:b/>
          <w:szCs w:val="24"/>
          <w:u w:val="single"/>
          <w:lang w:eastAsia="cs-CZ"/>
        </w:rPr>
      </w:pPr>
      <w:r w:rsidRPr="005E6207">
        <w:rPr>
          <w:rFonts w:eastAsia="Times New Roman" w:cs="Times New Roman"/>
          <w:b/>
          <w:szCs w:val="24"/>
          <w:u w:val="single"/>
          <w:lang w:eastAsia="cs-CZ"/>
        </w:rPr>
        <w:t xml:space="preserve">Neinvestiční transfery mezinárodním vládním organizacím </w:t>
      </w:r>
    </w:p>
    <w:p w:rsidR="00F252D5" w:rsidRPr="001D1C48" w:rsidRDefault="00F252D5" w:rsidP="001D1C48">
      <w:pPr>
        <w:pStyle w:val="Styl1"/>
      </w:pPr>
      <w:r w:rsidRPr="001D1C48">
        <w:t xml:space="preserve">Transfery mezinárodním vládním organizacím jsou pro rok 2019 navrhovány </w:t>
      </w:r>
      <w:r w:rsidRPr="001D1C48">
        <w:br/>
        <w:t>ve výši 954 066 tis. Kč a jde především o účast ČR ve volitelných programech Evropské kosmické agentury (ESA). Oproti schválenému rozpočtu roku 2018 jsou tyto transfery navýšeny o 2 453 tis. Kč.</w:t>
      </w:r>
    </w:p>
    <w:p w:rsidR="00F252D5" w:rsidRPr="001D1C48" w:rsidRDefault="00F252D5" w:rsidP="001D1C48">
      <w:pPr>
        <w:pStyle w:val="Styl1"/>
      </w:pPr>
      <w:r w:rsidRPr="001D1C48">
        <w:t>Výdaje určené na účast ČR ve volitelných programech Evropské kosmické agentury (ESA) jsou navrhovány ve výši 930 000 tis. Kč, tj. stejně jako v roce 2018.</w:t>
      </w:r>
    </w:p>
    <w:p w:rsidR="00F252D5" w:rsidRPr="005E6207" w:rsidRDefault="00F252D5" w:rsidP="00F252D5">
      <w:pPr>
        <w:spacing w:before="240" w:after="80"/>
        <w:ind w:firstLine="539"/>
        <w:rPr>
          <w:rFonts w:eastAsia="Times New Roman" w:cs="Times New Roman"/>
          <w:b/>
          <w:szCs w:val="24"/>
          <w:u w:val="single"/>
          <w:lang w:eastAsia="cs-CZ"/>
        </w:rPr>
      </w:pPr>
      <w:r w:rsidRPr="005E6207">
        <w:rPr>
          <w:rFonts w:eastAsia="Times New Roman" w:cs="Times New Roman"/>
          <w:b/>
          <w:szCs w:val="24"/>
          <w:u w:val="single"/>
          <w:lang w:eastAsia="cs-CZ"/>
        </w:rPr>
        <w:t>Ostatní neinvestiční transfery do zahraničí</w:t>
      </w:r>
    </w:p>
    <w:p w:rsidR="00F252D5" w:rsidRPr="005E6207" w:rsidRDefault="00F252D5" w:rsidP="00F252D5">
      <w:pPr>
        <w:pStyle w:val="Styl1"/>
      </w:pPr>
      <w:r w:rsidRPr="005E6207">
        <w:t xml:space="preserve">Ostatní neinvestiční transfery do zahraničí jsou pro rok 2019 navrhovány ve výši </w:t>
      </w:r>
      <w:r w:rsidRPr="005E6207">
        <w:br/>
        <w:t>149 tis. Kč.</w:t>
      </w:r>
    </w:p>
    <w:p w:rsidR="00F252D5" w:rsidRPr="005E6207" w:rsidRDefault="00F252D5" w:rsidP="00F252D5">
      <w:pPr>
        <w:spacing w:before="240" w:after="80"/>
        <w:ind w:firstLine="539"/>
        <w:rPr>
          <w:rFonts w:eastAsia="Times New Roman" w:cs="Times New Roman"/>
          <w:b/>
          <w:szCs w:val="24"/>
          <w:u w:val="single"/>
          <w:lang w:eastAsia="cs-CZ"/>
        </w:rPr>
      </w:pPr>
      <w:r w:rsidRPr="005E6207">
        <w:rPr>
          <w:rFonts w:eastAsia="Times New Roman" w:cs="Times New Roman"/>
          <w:b/>
          <w:szCs w:val="24"/>
          <w:u w:val="single"/>
          <w:lang w:eastAsia="cs-CZ"/>
        </w:rPr>
        <w:t xml:space="preserve">Členské příspěvky mezinárodním vládním organizacím </w:t>
      </w:r>
    </w:p>
    <w:p w:rsidR="00F252D5" w:rsidRDefault="00F252D5" w:rsidP="00F252D5">
      <w:pPr>
        <w:pStyle w:val="Styl1"/>
      </w:pPr>
      <w:r w:rsidRPr="005E6207">
        <w:t xml:space="preserve">Členské příspěvky mezinárodním vládním organizacím jsou pro rok 2019 </w:t>
      </w:r>
      <w:r>
        <w:t xml:space="preserve">navrhovány </w:t>
      </w:r>
      <w:r>
        <w:br/>
        <w:t>ve výši 60 tis. Kč.</w:t>
      </w:r>
    </w:p>
    <w:p w:rsidR="007B2F4B" w:rsidRDefault="007B2F4B" w:rsidP="00F252D5">
      <w:pPr>
        <w:pStyle w:val="Styl1"/>
      </w:pPr>
    </w:p>
    <w:p w:rsidR="007B2F4B" w:rsidRDefault="007B2F4B" w:rsidP="00F252D5">
      <w:pPr>
        <w:pStyle w:val="Styl1"/>
      </w:pPr>
    </w:p>
    <w:p w:rsidR="007B2F4B" w:rsidRDefault="007B2F4B" w:rsidP="00F252D5">
      <w:pPr>
        <w:pStyle w:val="Styl1"/>
      </w:pPr>
    </w:p>
    <w:p w:rsidR="007B2F4B" w:rsidRDefault="007B2F4B" w:rsidP="00F252D5">
      <w:pPr>
        <w:pStyle w:val="Styl1"/>
      </w:pPr>
    </w:p>
    <w:p w:rsidR="007B2F4B" w:rsidRDefault="007B2F4B" w:rsidP="00F252D5">
      <w:pPr>
        <w:pStyle w:val="Styl1"/>
      </w:pPr>
    </w:p>
    <w:p w:rsidR="00144267" w:rsidRPr="008B655F" w:rsidRDefault="00144267" w:rsidP="007B2F4B">
      <w:pPr>
        <w:pStyle w:val="Nadpis3"/>
      </w:pPr>
      <w:bookmarkStart w:id="73" w:name="_Toc526424698"/>
      <w:r w:rsidRPr="008B655F">
        <w:lastRenderedPageBreak/>
        <w:t xml:space="preserve">Neinvestiční </w:t>
      </w:r>
      <w:r w:rsidRPr="007B2F4B">
        <w:t>transfery</w:t>
      </w:r>
      <w:r w:rsidRPr="008B655F">
        <w:t xml:space="preserve"> státním fondům</w:t>
      </w:r>
      <w:bookmarkEnd w:id="56"/>
      <w:bookmarkEnd w:id="73"/>
    </w:p>
    <w:p w:rsidR="00ED7004" w:rsidRDefault="008B655F" w:rsidP="007B2F4B">
      <w:pPr>
        <w:pStyle w:val="obyctext"/>
        <w:spacing w:after="0"/>
      </w:pPr>
      <w:r w:rsidRPr="00593D79">
        <w:t xml:space="preserve">Neinvestiční transfer státním fondům pro rok 2019 je navrhován Státnímu fondu dopravní infrastruktury (SFDI), a to v celkové </w:t>
      </w:r>
      <w:r w:rsidRPr="00F83007">
        <w:t xml:space="preserve">výši </w:t>
      </w:r>
      <w:r>
        <w:rPr>
          <w:b/>
        </w:rPr>
        <w:t>6 056 287</w:t>
      </w:r>
      <w:r w:rsidRPr="00F83007">
        <w:rPr>
          <w:b/>
        </w:rPr>
        <w:t xml:space="preserve"> tis. Kč</w:t>
      </w:r>
      <w:r w:rsidRPr="00F83007">
        <w:t>.</w:t>
      </w:r>
      <w:r w:rsidR="00244BD2" w:rsidRPr="0001421C">
        <w:rPr>
          <w:color w:val="FF0000"/>
        </w:rPr>
        <w:t xml:space="preserve">                                                                                                                         </w:t>
      </w:r>
    </w:p>
    <w:p w:rsidR="00244BD2" w:rsidRDefault="00244BD2" w:rsidP="00244BD2">
      <w:pPr>
        <w:pStyle w:val="Titulek"/>
        <w:keepNext/>
        <w:rPr>
          <w:noProof/>
        </w:rPr>
      </w:pPr>
      <w:r w:rsidRPr="008B655F">
        <w:t xml:space="preserve">Tabulka č. </w:t>
      </w:r>
      <w:r w:rsidR="0001421C" w:rsidRPr="008B655F">
        <w:rPr>
          <w:noProof/>
        </w:rPr>
        <w:fldChar w:fldCharType="begin"/>
      </w:r>
      <w:r w:rsidR="0001421C" w:rsidRPr="008B655F">
        <w:rPr>
          <w:noProof/>
        </w:rPr>
        <w:instrText xml:space="preserve"> SEQ Tabulka \* ARABIC </w:instrText>
      </w:r>
      <w:r w:rsidR="0001421C" w:rsidRPr="008B655F">
        <w:rPr>
          <w:noProof/>
        </w:rPr>
        <w:fldChar w:fldCharType="separate"/>
      </w:r>
      <w:r w:rsidR="00AF5225">
        <w:rPr>
          <w:noProof/>
        </w:rPr>
        <w:t>22</w:t>
      </w:r>
      <w:r w:rsidR="0001421C" w:rsidRPr="008B655F">
        <w:rPr>
          <w:noProof/>
        </w:rPr>
        <w:fldChar w:fldCharType="end"/>
      </w:r>
      <w:r w:rsidRPr="008B655F">
        <w:rPr>
          <w:noProof/>
        </w:rPr>
        <w:t xml:space="preserve"> Neinvestiční transfery státním fondům (v tis. Kč)</w:t>
      </w:r>
    </w:p>
    <w:tbl>
      <w:tblPr>
        <w:tblStyle w:val="Svtltabulkasmkou1zvraznn5"/>
        <w:tblW w:w="9093"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8"/>
        <w:gridCol w:w="1361"/>
        <w:gridCol w:w="1260"/>
        <w:gridCol w:w="1260"/>
        <w:gridCol w:w="964"/>
      </w:tblGrid>
      <w:tr w:rsidR="008B655F" w:rsidRPr="0001421C" w:rsidTr="007B2F4B">
        <w:tc>
          <w:tcPr>
            <w:tcW w:w="424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Ukazatel</w:t>
            </w:r>
          </w:p>
        </w:tc>
        <w:tc>
          <w:tcPr>
            <w:tcW w:w="1361"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Skutečnost</w:t>
            </w:r>
          </w:p>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2017</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Schválený</w:t>
            </w:r>
          </w:p>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rozpočet</w:t>
            </w:r>
          </w:p>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2018</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Návrh</w:t>
            </w:r>
          </w:p>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rozpočtu</w:t>
            </w:r>
          </w:p>
          <w:p w:rsidR="008B655F" w:rsidRPr="00F83007" w:rsidRDefault="008B655F" w:rsidP="007B2F4B">
            <w:pPr>
              <w:jc w:val="center"/>
              <w:rPr>
                <w:rFonts w:eastAsia="Times New Roman" w:cs="Times New Roman"/>
                <w:b/>
                <w:szCs w:val="24"/>
                <w:lang w:eastAsia="cs-CZ"/>
              </w:rPr>
            </w:pPr>
            <w:r>
              <w:rPr>
                <w:rFonts w:eastAsia="Times New Roman" w:cs="Times New Roman"/>
                <w:b/>
                <w:szCs w:val="24"/>
                <w:lang w:eastAsia="cs-CZ"/>
              </w:rPr>
              <w:t>2019</w:t>
            </w:r>
          </w:p>
        </w:tc>
        <w:tc>
          <w:tcPr>
            <w:tcW w:w="964"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Index</w:t>
            </w:r>
          </w:p>
          <w:p w:rsidR="008B655F" w:rsidRPr="00F83007" w:rsidRDefault="008B655F" w:rsidP="007B2F4B">
            <w:pPr>
              <w:jc w:val="center"/>
              <w:rPr>
                <w:rFonts w:eastAsia="Times New Roman" w:cs="Times New Roman"/>
                <w:b/>
                <w:szCs w:val="24"/>
                <w:lang w:eastAsia="cs-CZ"/>
              </w:rPr>
            </w:pPr>
            <w:r w:rsidRPr="00F83007">
              <w:rPr>
                <w:rFonts w:eastAsia="Times New Roman" w:cs="Times New Roman"/>
                <w:b/>
                <w:szCs w:val="24"/>
                <w:lang w:eastAsia="cs-CZ"/>
              </w:rPr>
              <w:t>2019/</w:t>
            </w:r>
            <w:r w:rsidR="007B2F4B">
              <w:rPr>
                <w:rFonts w:eastAsia="Times New Roman" w:cs="Times New Roman"/>
                <w:b/>
                <w:szCs w:val="24"/>
                <w:lang w:eastAsia="cs-CZ"/>
              </w:rPr>
              <w:br/>
            </w:r>
            <w:r w:rsidRPr="00F83007">
              <w:rPr>
                <w:rFonts w:eastAsia="Times New Roman" w:cs="Times New Roman"/>
                <w:b/>
                <w:szCs w:val="24"/>
                <w:lang w:eastAsia="cs-CZ"/>
              </w:rPr>
              <w:t xml:space="preserve">2018  </w:t>
            </w:r>
            <w:r w:rsidR="007B2F4B">
              <w:rPr>
                <w:rFonts w:eastAsia="Times New Roman" w:cs="Times New Roman"/>
                <w:b/>
                <w:szCs w:val="24"/>
                <w:lang w:eastAsia="cs-CZ"/>
              </w:rPr>
              <w:br/>
            </w:r>
            <w:r w:rsidRPr="00F83007">
              <w:rPr>
                <w:rFonts w:eastAsia="Times New Roman" w:cs="Times New Roman"/>
                <w:b/>
                <w:szCs w:val="24"/>
                <w:lang w:eastAsia="cs-CZ"/>
              </w:rPr>
              <w:t>(v %)</w:t>
            </w:r>
          </w:p>
        </w:tc>
      </w:tr>
      <w:tr w:rsidR="008B655F" w:rsidRPr="0001421C" w:rsidTr="007B2F4B">
        <w:tc>
          <w:tcPr>
            <w:tcW w:w="4248" w:type="dxa"/>
            <w:tcBorders>
              <w:top w:val="single" w:sz="4" w:space="0" w:color="7F7F7F" w:themeColor="text1" w:themeTint="80"/>
              <w:bottom w:val="single" w:sz="8" w:space="0" w:color="7F7F7F" w:themeColor="text1" w:themeTint="80"/>
            </w:tcBorders>
            <w:shd w:val="clear" w:color="auto" w:fill="auto"/>
          </w:tcPr>
          <w:p w:rsidR="008B655F" w:rsidRPr="00F83007" w:rsidRDefault="008B655F" w:rsidP="00363483">
            <w:pPr>
              <w:jc w:val="center"/>
              <w:rPr>
                <w:rFonts w:eastAsia="Times New Roman" w:cs="Times New Roman"/>
                <w:szCs w:val="24"/>
                <w:lang w:eastAsia="cs-CZ"/>
              </w:rPr>
            </w:pPr>
            <w:r w:rsidRPr="00F83007">
              <w:rPr>
                <w:rFonts w:eastAsia="Times New Roman" w:cs="Times New Roman"/>
                <w:szCs w:val="24"/>
                <w:lang w:eastAsia="cs-CZ"/>
              </w:rPr>
              <w:t>a</w:t>
            </w:r>
          </w:p>
        </w:tc>
        <w:tc>
          <w:tcPr>
            <w:tcW w:w="1361" w:type="dxa"/>
            <w:tcBorders>
              <w:top w:val="single" w:sz="4" w:space="0" w:color="7F7F7F" w:themeColor="text1" w:themeTint="80"/>
              <w:bottom w:val="single" w:sz="8" w:space="0" w:color="7F7F7F" w:themeColor="text1" w:themeTint="80"/>
            </w:tcBorders>
            <w:shd w:val="clear" w:color="auto" w:fill="auto"/>
          </w:tcPr>
          <w:p w:rsidR="008B655F" w:rsidRPr="00F83007" w:rsidRDefault="008B655F" w:rsidP="00363483">
            <w:pPr>
              <w:jc w:val="center"/>
              <w:rPr>
                <w:rFonts w:eastAsia="Times New Roman" w:cs="Times New Roman"/>
                <w:szCs w:val="24"/>
                <w:lang w:eastAsia="cs-CZ"/>
              </w:rPr>
            </w:pPr>
            <w:r w:rsidRPr="00F83007">
              <w:rPr>
                <w:rFonts w:eastAsia="Times New Roman" w:cs="Times New Roman"/>
                <w:szCs w:val="24"/>
                <w:lang w:eastAsia="cs-CZ"/>
              </w:rPr>
              <w:t>1</w:t>
            </w:r>
          </w:p>
        </w:tc>
        <w:tc>
          <w:tcPr>
            <w:tcW w:w="1260" w:type="dxa"/>
            <w:tcBorders>
              <w:top w:val="single" w:sz="4" w:space="0" w:color="7F7F7F" w:themeColor="text1" w:themeTint="80"/>
              <w:bottom w:val="single" w:sz="8" w:space="0" w:color="7F7F7F" w:themeColor="text1" w:themeTint="80"/>
            </w:tcBorders>
            <w:shd w:val="clear" w:color="auto" w:fill="auto"/>
          </w:tcPr>
          <w:p w:rsidR="008B655F" w:rsidRPr="00F83007" w:rsidRDefault="008B655F" w:rsidP="00363483">
            <w:pPr>
              <w:jc w:val="center"/>
              <w:rPr>
                <w:rFonts w:eastAsia="Times New Roman" w:cs="Times New Roman"/>
                <w:szCs w:val="24"/>
                <w:lang w:eastAsia="cs-CZ"/>
              </w:rPr>
            </w:pPr>
            <w:r w:rsidRPr="00F83007">
              <w:rPr>
                <w:rFonts w:eastAsia="Times New Roman" w:cs="Times New Roman"/>
                <w:szCs w:val="24"/>
                <w:lang w:eastAsia="cs-CZ"/>
              </w:rPr>
              <w:t>2</w:t>
            </w:r>
          </w:p>
        </w:tc>
        <w:tc>
          <w:tcPr>
            <w:tcW w:w="1260" w:type="dxa"/>
            <w:tcBorders>
              <w:top w:val="single" w:sz="4" w:space="0" w:color="7F7F7F" w:themeColor="text1" w:themeTint="80"/>
              <w:bottom w:val="single" w:sz="8" w:space="0" w:color="7F7F7F" w:themeColor="text1" w:themeTint="80"/>
            </w:tcBorders>
            <w:shd w:val="clear" w:color="auto" w:fill="auto"/>
          </w:tcPr>
          <w:p w:rsidR="008B655F" w:rsidRPr="00F83007" w:rsidRDefault="008B655F" w:rsidP="00363483">
            <w:pPr>
              <w:jc w:val="center"/>
              <w:rPr>
                <w:rFonts w:eastAsia="Times New Roman" w:cs="Times New Roman"/>
                <w:szCs w:val="24"/>
                <w:lang w:eastAsia="cs-CZ"/>
              </w:rPr>
            </w:pPr>
            <w:r w:rsidRPr="00F83007">
              <w:rPr>
                <w:rFonts w:eastAsia="Times New Roman" w:cs="Times New Roman"/>
                <w:szCs w:val="24"/>
                <w:lang w:eastAsia="cs-CZ"/>
              </w:rPr>
              <w:t>3</w:t>
            </w:r>
          </w:p>
        </w:tc>
        <w:tc>
          <w:tcPr>
            <w:tcW w:w="964" w:type="dxa"/>
            <w:tcBorders>
              <w:top w:val="single" w:sz="4" w:space="0" w:color="7F7F7F" w:themeColor="text1" w:themeTint="80"/>
              <w:bottom w:val="single" w:sz="8" w:space="0" w:color="7F7F7F" w:themeColor="text1" w:themeTint="80"/>
            </w:tcBorders>
            <w:shd w:val="clear" w:color="auto" w:fill="auto"/>
          </w:tcPr>
          <w:p w:rsidR="008B655F" w:rsidRPr="00F83007" w:rsidRDefault="008B655F" w:rsidP="00363483">
            <w:pPr>
              <w:jc w:val="center"/>
              <w:rPr>
                <w:rFonts w:eastAsia="Times New Roman" w:cs="Times New Roman"/>
                <w:szCs w:val="24"/>
                <w:lang w:eastAsia="cs-CZ"/>
              </w:rPr>
            </w:pPr>
            <w:r w:rsidRPr="00F83007">
              <w:rPr>
                <w:rFonts w:eastAsia="Times New Roman" w:cs="Times New Roman"/>
                <w:szCs w:val="24"/>
                <w:lang w:eastAsia="cs-CZ"/>
              </w:rPr>
              <w:t>4</w:t>
            </w:r>
          </w:p>
        </w:tc>
      </w:tr>
      <w:tr w:rsidR="008B655F" w:rsidRPr="0001421C" w:rsidTr="007B2F4B">
        <w:trPr>
          <w:trHeight w:val="421"/>
        </w:trPr>
        <w:tc>
          <w:tcPr>
            <w:tcW w:w="4248" w:type="dxa"/>
            <w:tcBorders>
              <w:top w:val="single" w:sz="8" w:space="0" w:color="7F7F7F" w:themeColor="text1" w:themeTint="80"/>
              <w:bottom w:val="single" w:sz="8" w:space="0" w:color="7F7F7F" w:themeColor="text1" w:themeTint="80"/>
            </w:tcBorders>
            <w:shd w:val="clear" w:color="auto" w:fill="auto"/>
          </w:tcPr>
          <w:p w:rsidR="008B655F" w:rsidRPr="00F83007" w:rsidRDefault="008B655F" w:rsidP="00363483">
            <w:pPr>
              <w:spacing w:before="60" w:after="60"/>
              <w:ind w:right="-250"/>
              <w:rPr>
                <w:rFonts w:eastAsia="Times New Roman" w:cs="Times New Roman"/>
                <w:lang w:eastAsia="cs-CZ"/>
              </w:rPr>
            </w:pPr>
            <w:proofErr w:type="spellStart"/>
            <w:r w:rsidRPr="00F83007">
              <w:rPr>
                <w:rFonts w:eastAsia="Times New Roman" w:cs="Times New Roman"/>
                <w:b/>
                <w:bCs/>
                <w:lang w:eastAsia="cs-CZ"/>
              </w:rPr>
              <w:t>Neinvest</w:t>
            </w:r>
            <w:proofErr w:type="spellEnd"/>
            <w:r w:rsidRPr="00F83007">
              <w:rPr>
                <w:rFonts w:eastAsia="Times New Roman" w:cs="Times New Roman"/>
                <w:b/>
                <w:bCs/>
                <w:lang w:eastAsia="cs-CZ"/>
              </w:rPr>
              <w:t xml:space="preserve">. transfery státním fondům </w:t>
            </w:r>
            <w:r w:rsidRPr="00F83007">
              <w:rPr>
                <w:rFonts w:eastAsia="Times New Roman" w:cs="Times New Roman"/>
                <w:bCs/>
                <w:lang w:eastAsia="cs-CZ"/>
              </w:rPr>
              <w:t>v tom:</w:t>
            </w:r>
          </w:p>
        </w:tc>
        <w:tc>
          <w:tcPr>
            <w:tcW w:w="1361" w:type="dxa"/>
            <w:tcBorders>
              <w:top w:val="single" w:sz="4" w:space="0" w:color="auto"/>
              <w:left w:val="single" w:sz="4" w:space="0" w:color="auto"/>
              <w:bottom w:val="single" w:sz="4" w:space="0" w:color="auto"/>
              <w:right w:val="single" w:sz="4" w:space="0" w:color="auto"/>
            </w:tcBorders>
          </w:tcPr>
          <w:p w:rsidR="008B655F" w:rsidRPr="00E007D5" w:rsidRDefault="008B655F" w:rsidP="00363483">
            <w:pPr>
              <w:spacing w:before="60" w:after="60"/>
              <w:jc w:val="right"/>
              <w:rPr>
                <w:rFonts w:cs="Times New Roman"/>
                <w:b/>
                <w:sz w:val="20"/>
              </w:rPr>
            </w:pPr>
            <w:r w:rsidRPr="00E007D5">
              <w:rPr>
                <w:rFonts w:cs="Times New Roman"/>
                <w:b/>
                <w:sz w:val="20"/>
              </w:rPr>
              <w:t>9 880 920</w:t>
            </w:r>
          </w:p>
        </w:tc>
        <w:tc>
          <w:tcPr>
            <w:tcW w:w="1260" w:type="dxa"/>
            <w:tcBorders>
              <w:top w:val="single" w:sz="4" w:space="0" w:color="auto"/>
              <w:left w:val="single" w:sz="4" w:space="0" w:color="auto"/>
              <w:bottom w:val="single" w:sz="4" w:space="0" w:color="auto"/>
              <w:right w:val="single" w:sz="4" w:space="0" w:color="auto"/>
            </w:tcBorders>
          </w:tcPr>
          <w:p w:rsidR="008B655F" w:rsidRPr="00E007D5" w:rsidRDefault="008B655F" w:rsidP="00363483">
            <w:pPr>
              <w:spacing w:before="60" w:after="60"/>
              <w:jc w:val="right"/>
              <w:rPr>
                <w:rFonts w:cs="Times New Roman"/>
                <w:b/>
                <w:sz w:val="20"/>
              </w:rPr>
            </w:pPr>
            <w:r w:rsidRPr="00E007D5">
              <w:rPr>
                <w:rFonts w:cs="Times New Roman"/>
                <w:b/>
                <w:sz w:val="20"/>
              </w:rPr>
              <w:t>4 958 142</w:t>
            </w:r>
          </w:p>
        </w:tc>
        <w:tc>
          <w:tcPr>
            <w:tcW w:w="1260" w:type="dxa"/>
            <w:tcBorders>
              <w:top w:val="single" w:sz="4" w:space="0" w:color="auto"/>
              <w:left w:val="single" w:sz="4" w:space="0" w:color="auto"/>
              <w:bottom w:val="single" w:sz="4" w:space="0" w:color="auto"/>
              <w:right w:val="single" w:sz="4" w:space="0" w:color="auto"/>
            </w:tcBorders>
          </w:tcPr>
          <w:p w:rsidR="008B655F" w:rsidRPr="007433DE" w:rsidRDefault="008B655F" w:rsidP="00363483">
            <w:pPr>
              <w:spacing w:before="60" w:after="60"/>
              <w:jc w:val="right"/>
              <w:rPr>
                <w:rFonts w:cs="Times New Roman"/>
                <w:b/>
                <w:sz w:val="20"/>
              </w:rPr>
            </w:pPr>
            <w:r w:rsidRPr="007433DE">
              <w:rPr>
                <w:rFonts w:cs="Times New Roman"/>
                <w:b/>
                <w:sz w:val="20"/>
              </w:rPr>
              <w:t>6 056 287</w:t>
            </w:r>
          </w:p>
        </w:tc>
        <w:tc>
          <w:tcPr>
            <w:tcW w:w="964" w:type="dxa"/>
            <w:tcBorders>
              <w:top w:val="single" w:sz="4" w:space="0" w:color="auto"/>
              <w:left w:val="single" w:sz="4" w:space="0" w:color="auto"/>
              <w:bottom w:val="single" w:sz="4" w:space="0" w:color="auto"/>
              <w:right w:val="single" w:sz="4" w:space="0" w:color="auto"/>
            </w:tcBorders>
          </w:tcPr>
          <w:p w:rsidR="008B655F" w:rsidRPr="00E007D5" w:rsidRDefault="008B655F" w:rsidP="00363483">
            <w:pPr>
              <w:spacing w:before="60" w:after="60"/>
              <w:jc w:val="right"/>
              <w:rPr>
                <w:rFonts w:cs="Times New Roman"/>
                <w:b/>
                <w:sz w:val="20"/>
              </w:rPr>
            </w:pPr>
            <w:r w:rsidRPr="00E007D5">
              <w:rPr>
                <w:rFonts w:cs="Times New Roman"/>
                <w:b/>
                <w:sz w:val="20"/>
              </w:rPr>
              <w:t>122,15</w:t>
            </w:r>
          </w:p>
        </w:tc>
      </w:tr>
      <w:tr w:rsidR="008B655F" w:rsidRPr="0001421C" w:rsidTr="007B2F4B">
        <w:tc>
          <w:tcPr>
            <w:tcW w:w="4248" w:type="dxa"/>
            <w:tcBorders>
              <w:top w:val="single" w:sz="8" w:space="0" w:color="7F7F7F" w:themeColor="text1" w:themeTint="80"/>
            </w:tcBorders>
            <w:shd w:val="clear" w:color="auto" w:fill="auto"/>
          </w:tcPr>
          <w:p w:rsidR="008B655F" w:rsidRPr="00F83007" w:rsidRDefault="008B655F" w:rsidP="00363483">
            <w:pPr>
              <w:spacing w:before="60"/>
              <w:rPr>
                <w:rFonts w:eastAsia="Times New Roman" w:cs="Times New Roman"/>
                <w:lang w:eastAsia="cs-CZ"/>
              </w:rPr>
            </w:pPr>
            <w:r w:rsidRPr="00F83007">
              <w:rPr>
                <w:rFonts w:eastAsia="Times New Roman" w:cs="Times New Roman"/>
                <w:lang w:eastAsia="cs-CZ"/>
              </w:rPr>
              <w:t>Státní fond dopravní infrastruktury</w:t>
            </w:r>
          </w:p>
        </w:tc>
        <w:tc>
          <w:tcPr>
            <w:tcW w:w="1361" w:type="dxa"/>
            <w:tcBorders>
              <w:top w:val="single" w:sz="4" w:space="0" w:color="auto"/>
              <w:left w:val="single" w:sz="4" w:space="0" w:color="auto"/>
              <w:bottom w:val="single" w:sz="4" w:space="0" w:color="auto"/>
              <w:right w:val="single" w:sz="4" w:space="0" w:color="auto"/>
            </w:tcBorders>
          </w:tcPr>
          <w:p w:rsidR="008B655F" w:rsidRPr="00E007D5" w:rsidRDefault="008B655F" w:rsidP="00363483">
            <w:pPr>
              <w:spacing w:before="60"/>
              <w:jc w:val="right"/>
              <w:rPr>
                <w:rFonts w:cs="Times New Roman"/>
                <w:sz w:val="20"/>
              </w:rPr>
            </w:pPr>
            <w:r w:rsidRPr="00E007D5">
              <w:rPr>
                <w:rFonts w:cs="Times New Roman"/>
                <w:sz w:val="20"/>
              </w:rPr>
              <w:t>9 880 920</w:t>
            </w:r>
          </w:p>
        </w:tc>
        <w:tc>
          <w:tcPr>
            <w:tcW w:w="1260" w:type="dxa"/>
            <w:tcBorders>
              <w:top w:val="single" w:sz="4" w:space="0" w:color="auto"/>
              <w:left w:val="single" w:sz="4" w:space="0" w:color="auto"/>
              <w:bottom w:val="single" w:sz="4" w:space="0" w:color="auto"/>
              <w:right w:val="single" w:sz="4" w:space="0" w:color="auto"/>
            </w:tcBorders>
          </w:tcPr>
          <w:p w:rsidR="008B655F" w:rsidRPr="00E007D5" w:rsidRDefault="008B655F" w:rsidP="00363483">
            <w:pPr>
              <w:spacing w:before="60"/>
              <w:jc w:val="right"/>
              <w:rPr>
                <w:rFonts w:cs="Times New Roman"/>
                <w:sz w:val="20"/>
              </w:rPr>
            </w:pPr>
            <w:r w:rsidRPr="00E007D5">
              <w:rPr>
                <w:rFonts w:cs="Times New Roman"/>
                <w:sz w:val="20"/>
              </w:rPr>
              <w:t>4 958 142</w:t>
            </w:r>
          </w:p>
        </w:tc>
        <w:tc>
          <w:tcPr>
            <w:tcW w:w="1260" w:type="dxa"/>
            <w:tcBorders>
              <w:top w:val="single" w:sz="4" w:space="0" w:color="auto"/>
              <w:left w:val="single" w:sz="4" w:space="0" w:color="auto"/>
              <w:bottom w:val="single" w:sz="4" w:space="0" w:color="auto"/>
              <w:right w:val="single" w:sz="4" w:space="0" w:color="auto"/>
            </w:tcBorders>
          </w:tcPr>
          <w:p w:rsidR="008B655F" w:rsidRPr="007433DE" w:rsidRDefault="008B655F" w:rsidP="00363483">
            <w:pPr>
              <w:spacing w:before="60"/>
              <w:jc w:val="right"/>
              <w:rPr>
                <w:rFonts w:cs="Times New Roman"/>
                <w:sz w:val="20"/>
              </w:rPr>
            </w:pPr>
            <w:r w:rsidRPr="007433DE">
              <w:rPr>
                <w:rFonts w:cs="Times New Roman"/>
                <w:sz w:val="20"/>
              </w:rPr>
              <w:t>6 056 287</w:t>
            </w:r>
          </w:p>
        </w:tc>
        <w:tc>
          <w:tcPr>
            <w:tcW w:w="964" w:type="dxa"/>
            <w:tcBorders>
              <w:top w:val="single" w:sz="4" w:space="0" w:color="auto"/>
              <w:left w:val="single" w:sz="4" w:space="0" w:color="auto"/>
              <w:bottom w:val="single" w:sz="4" w:space="0" w:color="auto"/>
              <w:right w:val="single" w:sz="4" w:space="0" w:color="auto"/>
            </w:tcBorders>
          </w:tcPr>
          <w:p w:rsidR="008B655F" w:rsidRPr="00E007D5" w:rsidRDefault="008B655F" w:rsidP="00363483">
            <w:pPr>
              <w:spacing w:before="60"/>
              <w:jc w:val="right"/>
              <w:rPr>
                <w:rFonts w:cs="Times New Roman"/>
                <w:sz w:val="20"/>
              </w:rPr>
            </w:pPr>
            <w:r w:rsidRPr="00E007D5">
              <w:rPr>
                <w:rFonts w:cs="Times New Roman"/>
                <w:sz w:val="20"/>
              </w:rPr>
              <w:t>122,15</w:t>
            </w:r>
          </w:p>
        </w:tc>
      </w:tr>
    </w:tbl>
    <w:p w:rsidR="008B655F" w:rsidRPr="004C6418" w:rsidRDefault="008B655F" w:rsidP="008B655F">
      <w:pPr>
        <w:spacing w:before="240" w:line="240" w:lineRule="auto"/>
        <w:ind w:firstLine="539"/>
        <w:rPr>
          <w:rFonts w:eastAsia="Times New Roman" w:cs="Times New Roman"/>
          <w:szCs w:val="24"/>
          <w:lang w:eastAsia="cs-CZ"/>
        </w:rPr>
      </w:pPr>
      <w:r w:rsidRPr="004C6418">
        <w:rPr>
          <w:rFonts w:eastAsia="Times New Roman" w:cs="Times New Roman"/>
          <w:szCs w:val="24"/>
          <w:lang w:eastAsia="cs-CZ"/>
        </w:rPr>
        <w:t>Finanční prostředky jsou určeny:</w:t>
      </w:r>
    </w:p>
    <w:p w:rsidR="008B655F" w:rsidRPr="004C6418" w:rsidRDefault="008B655F" w:rsidP="00F07B29">
      <w:pPr>
        <w:numPr>
          <w:ilvl w:val="0"/>
          <w:numId w:val="8"/>
        </w:numPr>
        <w:spacing w:before="120" w:line="240" w:lineRule="auto"/>
        <w:rPr>
          <w:rFonts w:eastAsia="Times New Roman" w:cs="Times New Roman"/>
          <w:szCs w:val="24"/>
          <w:lang w:eastAsia="cs-CZ"/>
        </w:rPr>
      </w:pPr>
      <w:r w:rsidRPr="004C6418">
        <w:rPr>
          <w:rFonts w:eastAsia="Times New Roman" w:cs="Times New Roman"/>
          <w:szCs w:val="24"/>
          <w:lang w:eastAsia="cs-CZ"/>
        </w:rPr>
        <w:t>5 996 331 tis. Kč na vyrovnání deficitu rozpočtu SFDI,</w:t>
      </w:r>
    </w:p>
    <w:p w:rsidR="007B2F4B" w:rsidRDefault="008B655F" w:rsidP="00F07B29">
      <w:pPr>
        <w:numPr>
          <w:ilvl w:val="0"/>
          <w:numId w:val="8"/>
        </w:numPr>
        <w:spacing w:before="120" w:line="240" w:lineRule="auto"/>
        <w:rPr>
          <w:rFonts w:eastAsia="Times New Roman" w:cs="Times New Roman"/>
          <w:szCs w:val="24"/>
          <w:lang w:eastAsia="cs-CZ"/>
        </w:rPr>
      </w:pPr>
      <w:r w:rsidRPr="004C6418">
        <w:rPr>
          <w:rFonts w:eastAsia="Times New Roman" w:cs="Times New Roman"/>
          <w:szCs w:val="24"/>
          <w:lang w:eastAsia="cs-CZ"/>
        </w:rPr>
        <w:t xml:space="preserve">59 956 tis. Kč na podíl </w:t>
      </w:r>
      <w:r w:rsidR="002F71C7">
        <w:rPr>
          <w:rFonts w:eastAsia="Times New Roman" w:cs="Times New Roman"/>
          <w:szCs w:val="24"/>
          <w:lang w:eastAsia="cs-CZ"/>
        </w:rPr>
        <w:t>EU na společné projekty EU a ČR( OPD, Komunitární programy).</w:t>
      </w:r>
    </w:p>
    <w:p w:rsidR="007B2F4B" w:rsidRDefault="007B2F4B">
      <w:pPr>
        <w:spacing w:after="160"/>
        <w:jc w:val="left"/>
        <w:rPr>
          <w:rFonts w:eastAsia="Times New Roman" w:cs="Times New Roman"/>
          <w:szCs w:val="24"/>
          <w:lang w:eastAsia="cs-CZ"/>
        </w:rPr>
      </w:pPr>
      <w:r>
        <w:rPr>
          <w:rFonts w:eastAsia="Times New Roman" w:cs="Times New Roman"/>
          <w:szCs w:val="24"/>
          <w:lang w:eastAsia="cs-CZ"/>
        </w:rPr>
        <w:br w:type="page"/>
      </w:r>
    </w:p>
    <w:p w:rsidR="00B75E55" w:rsidRPr="008A1F72" w:rsidRDefault="00B75E55" w:rsidP="007B2F4B">
      <w:pPr>
        <w:pStyle w:val="Nadpis2"/>
      </w:pPr>
      <w:bookmarkStart w:id="74" w:name="_Toc526424699"/>
      <w:r w:rsidRPr="007B2F4B">
        <w:lastRenderedPageBreak/>
        <w:t>Kapitálové</w:t>
      </w:r>
      <w:r w:rsidRPr="008A1F72">
        <w:t xml:space="preserve"> výdaje</w:t>
      </w:r>
      <w:bookmarkEnd w:id="74"/>
    </w:p>
    <w:p w:rsidR="00072BEE" w:rsidRPr="008A1F72" w:rsidRDefault="00072BEE" w:rsidP="00B75E55">
      <w:pPr>
        <w:pStyle w:val="Titulek"/>
        <w:keepNext/>
      </w:pPr>
      <w:r w:rsidRPr="008A1F72">
        <w:t>Tabulka</w:t>
      </w:r>
      <w:r w:rsidR="00B75E55" w:rsidRPr="008A1F72">
        <w:t xml:space="preserve"> č.</w:t>
      </w:r>
      <w:r w:rsidRPr="008A1F72">
        <w:t xml:space="preserve"> </w:t>
      </w:r>
      <w:r w:rsidR="0001421C" w:rsidRPr="008A1F72">
        <w:rPr>
          <w:noProof/>
        </w:rPr>
        <w:fldChar w:fldCharType="begin"/>
      </w:r>
      <w:r w:rsidR="0001421C" w:rsidRPr="008A1F72">
        <w:rPr>
          <w:noProof/>
        </w:rPr>
        <w:instrText xml:space="preserve"> SEQ Tabulka \* ARABIC </w:instrText>
      </w:r>
      <w:r w:rsidR="0001421C" w:rsidRPr="008A1F72">
        <w:rPr>
          <w:noProof/>
        </w:rPr>
        <w:fldChar w:fldCharType="separate"/>
      </w:r>
      <w:r w:rsidR="00AF5225">
        <w:rPr>
          <w:noProof/>
        </w:rPr>
        <w:t>23</w:t>
      </w:r>
      <w:r w:rsidR="0001421C" w:rsidRPr="008A1F72">
        <w:rPr>
          <w:noProof/>
        </w:rPr>
        <w:fldChar w:fldCharType="end"/>
      </w:r>
      <w:r w:rsidR="00B75E55" w:rsidRPr="008A1F72">
        <w:rPr>
          <w:noProof/>
        </w:rPr>
        <w:t xml:space="preserve"> Kapitálové výdaje celkem (v tis. Kč)</w:t>
      </w:r>
    </w:p>
    <w:tbl>
      <w:tblPr>
        <w:tblW w:w="5240" w:type="pct"/>
        <w:tblInd w:w="-10" w:type="dxa"/>
        <w:tblCellMar>
          <w:left w:w="70" w:type="dxa"/>
          <w:right w:w="70" w:type="dxa"/>
        </w:tblCellMar>
        <w:tblLook w:val="0000" w:firstRow="0" w:lastRow="0" w:firstColumn="0" w:lastColumn="0" w:noHBand="0" w:noVBand="0"/>
      </w:tblPr>
      <w:tblGrid>
        <w:gridCol w:w="4540"/>
        <w:gridCol w:w="1382"/>
        <w:gridCol w:w="1382"/>
        <w:gridCol w:w="1382"/>
        <w:gridCol w:w="800"/>
      </w:tblGrid>
      <w:tr w:rsidR="008A1F72" w:rsidRPr="000973C6" w:rsidTr="007B2F4B">
        <w:trPr>
          <w:trHeight w:val="894"/>
        </w:trPr>
        <w:tc>
          <w:tcPr>
            <w:tcW w:w="2393" w:type="pct"/>
            <w:tcBorders>
              <w:top w:val="single" w:sz="8" w:space="0" w:color="7F7F7F" w:themeColor="text1" w:themeTint="80"/>
              <w:left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8A1F72" w:rsidRPr="000973C6" w:rsidRDefault="008A1F72" w:rsidP="008A1F72">
            <w:pPr>
              <w:spacing w:line="240" w:lineRule="auto"/>
              <w:jc w:val="center"/>
              <w:rPr>
                <w:rFonts w:eastAsia="Times New Roman" w:cs="Times New Roman"/>
                <w:b/>
                <w:lang w:eastAsia="cs-CZ"/>
              </w:rPr>
            </w:pPr>
            <w:bookmarkStart w:id="75" w:name="_Toc305406307"/>
            <w:bookmarkStart w:id="76" w:name="_Toc305406313"/>
            <w:bookmarkStart w:id="77" w:name="_Toc462314406"/>
            <w:r w:rsidRPr="000973C6">
              <w:rPr>
                <w:rFonts w:eastAsia="Times New Roman" w:cs="Times New Roman"/>
                <w:b/>
                <w:lang w:eastAsia="cs-CZ"/>
              </w:rPr>
              <w:t>Ukazatel</w:t>
            </w:r>
          </w:p>
        </w:tc>
        <w:tc>
          <w:tcPr>
            <w:tcW w:w="670"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8A1F72" w:rsidRPr="000973C6" w:rsidRDefault="008A1F72" w:rsidP="008A1F72">
            <w:pPr>
              <w:jc w:val="center"/>
              <w:rPr>
                <w:rFonts w:eastAsia="Times New Roman" w:cs="Times New Roman"/>
                <w:b/>
                <w:szCs w:val="24"/>
                <w:lang w:eastAsia="cs-CZ"/>
              </w:rPr>
            </w:pPr>
            <w:r w:rsidRPr="000973C6">
              <w:rPr>
                <w:rFonts w:eastAsia="Times New Roman" w:cs="Times New Roman"/>
                <w:b/>
                <w:szCs w:val="24"/>
                <w:lang w:eastAsia="cs-CZ"/>
              </w:rPr>
              <w:t>Skutečnost</w:t>
            </w:r>
          </w:p>
          <w:p w:rsidR="008A1F72" w:rsidRPr="000973C6" w:rsidRDefault="008A1F72" w:rsidP="008A1F72">
            <w:pPr>
              <w:spacing w:line="240" w:lineRule="auto"/>
              <w:jc w:val="center"/>
              <w:rPr>
                <w:rFonts w:eastAsia="Times New Roman" w:cs="Times New Roman"/>
                <w:b/>
                <w:lang w:eastAsia="cs-CZ"/>
              </w:rPr>
            </w:pPr>
            <w:r w:rsidRPr="000973C6">
              <w:rPr>
                <w:rFonts w:eastAsia="Times New Roman" w:cs="Times New Roman"/>
                <w:b/>
                <w:szCs w:val="24"/>
                <w:lang w:eastAsia="cs-CZ"/>
              </w:rPr>
              <w:t>2017</w:t>
            </w:r>
          </w:p>
        </w:tc>
        <w:tc>
          <w:tcPr>
            <w:tcW w:w="786"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8A1F72" w:rsidRPr="000973C6" w:rsidRDefault="008A1F72" w:rsidP="008A1F72">
            <w:pPr>
              <w:spacing w:line="240" w:lineRule="auto"/>
              <w:jc w:val="center"/>
              <w:rPr>
                <w:rFonts w:eastAsia="Times New Roman" w:cs="Times New Roman"/>
                <w:b/>
                <w:lang w:eastAsia="cs-CZ"/>
              </w:rPr>
            </w:pPr>
            <w:r w:rsidRPr="000973C6">
              <w:rPr>
                <w:rFonts w:eastAsia="Times New Roman" w:cs="Times New Roman"/>
                <w:b/>
                <w:lang w:eastAsia="cs-CZ"/>
              </w:rPr>
              <w:t>Schválený rozpočet 2018</w:t>
            </w:r>
          </w:p>
        </w:tc>
        <w:tc>
          <w:tcPr>
            <w:tcW w:w="728"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8A1F72" w:rsidRPr="000973C6" w:rsidRDefault="008A1F72" w:rsidP="008A1F72">
            <w:pPr>
              <w:spacing w:line="240" w:lineRule="auto"/>
              <w:jc w:val="center"/>
              <w:rPr>
                <w:rFonts w:eastAsia="Times New Roman" w:cs="Times New Roman"/>
                <w:b/>
                <w:lang w:eastAsia="cs-CZ"/>
              </w:rPr>
            </w:pPr>
            <w:r w:rsidRPr="000973C6">
              <w:rPr>
                <w:rFonts w:eastAsia="Times New Roman" w:cs="Times New Roman"/>
                <w:b/>
                <w:lang w:eastAsia="cs-CZ"/>
              </w:rPr>
              <w:t>Návrh rozpočtu 2019</w:t>
            </w:r>
          </w:p>
        </w:tc>
        <w:tc>
          <w:tcPr>
            <w:tcW w:w="422" w:type="pct"/>
            <w:tcBorders>
              <w:top w:val="single" w:sz="8" w:space="0" w:color="7F7F7F" w:themeColor="text1" w:themeTint="80"/>
              <w:left w:val="single" w:sz="4" w:space="0" w:color="auto"/>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rsidR="008A1F72" w:rsidRPr="000973C6" w:rsidRDefault="008A1F72" w:rsidP="008A1F72">
            <w:pPr>
              <w:spacing w:line="240" w:lineRule="auto"/>
              <w:jc w:val="center"/>
              <w:rPr>
                <w:rFonts w:eastAsia="Times New Roman" w:cs="Times New Roman"/>
                <w:b/>
                <w:lang w:eastAsia="cs-CZ"/>
              </w:rPr>
            </w:pPr>
            <w:r w:rsidRPr="000973C6">
              <w:rPr>
                <w:rFonts w:eastAsia="Times New Roman" w:cs="Times New Roman"/>
                <w:b/>
                <w:lang w:eastAsia="cs-CZ"/>
              </w:rPr>
              <w:t>Index          2019/</w:t>
            </w:r>
            <w:r w:rsidR="007B2F4B">
              <w:rPr>
                <w:rFonts w:eastAsia="Times New Roman" w:cs="Times New Roman"/>
                <w:b/>
                <w:lang w:eastAsia="cs-CZ"/>
              </w:rPr>
              <w:br/>
            </w:r>
            <w:r w:rsidRPr="000973C6">
              <w:rPr>
                <w:rFonts w:eastAsia="Times New Roman" w:cs="Times New Roman"/>
                <w:b/>
                <w:lang w:eastAsia="cs-CZ"/>
              </w:rPr>
              <w:t>2018 (v %)</w:t>
            </w:r>
          </w:p>
        </w:tc>
      </w:tr>
      <w:tr w:rsidR="008A1F72" w:rsidRPr="000973C6" w:rsidTr="007B2F4B">
        <w:trPr>
          <w:trHeight w:val="255"/>
        </w:trPr>
        <w:tc>
          <w:tcPr>
            <w:tcW w:w="2393" w:type="pct"/>
            <w:tcBorders>
              <w:top w:val="single" w:sz="4" w:space="0" w:color="7F7F7F" w:themeColor="text1" w:themeTint="80"/>
              <w:left w:val="single" w:sz="8" w:space="0" w:color="7F7F7F" w:themeColor="text1" w:themeTint="80"/>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center"/>
              <w:rPr>
                <w:rFonts w:eastAsia="Times New Roman" w:cs="Times New Roman"/>
                <w:lang w:eastAsia="cs-CZ"/>
              </w:rPr>
            </w:pPr>
            <w:r w:rsidRPr="000973C6">
              <w:rPr>
                <w:rFonts w:eastAsia="Times New Roman" w:cs="Times New Roman"/>
                <w:lang w:eastAsia="cs-CZ"/>
              </w:rPr>
              <w:t>a</w:t>
            </w:r>
          </w:p>
        </w:tc>
        <w:tc>
          <w:tcPr>
            <w:tcW w:w="670"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center"/>
              <w:rPr>
                <w:rFonts w:eastAsia="Times New Roman" w:cs="Times New Roman"/>
                <w:lang w:eastAsia="cs-CZ"/>
              </w:rPr>
            </w:pPr>
            <w:r w:rsidRPr="000973C6">
              <w:rPr>
                <w:rFonts w:eastAsia="Times New Roman" w:cs="Times New Roman"/>
                <w:lang w:eastAsia="cs-CZ"/>
              </w:rPr>
              <w:t>1</w:t>
            </w:r>
          </w:p>
        </w:tc>
        <w:tc>
          <w:tcPr>
            <w:tcW w:w="786"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center"/>
              <w:rPr>
                <w:rFonts w:eastAsia="Times New Roman" w:cs="Times New Roman"/>
                <w:lang w:eastAsia="cs-CZ"/>
              </w:rPr>
            </w:pPr>
            <w:r w:rsidRPr="000973C6">
              <w:rPr>
                <w:rFonts w:eastAsia="Times New Roman" w:cs="Times New Roman"/>
                <w:lang w:eastAsia="cs-CZ"/>
              </w:rPr>
              <w:t>2</w:t>
            </w:r>
          </w:p>
        </w:tc>
        <w:tc>
          <w:tcPr>
            <w:tcW w:w="728"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center"/>
              <w:rPr>
                <w:rFonts w:eastAsia="Times New Roman" w:cs="Times New Roman"/>
                <w:lang w:eastAsia="cs-CZ"/>
              </w:rPr>
            </w:pPr>
            <w:r w:rsidRPr="000973C6">
              <w:rPr>
                <w:rFonts w:eastAsia="Times New Roman" w:cs="Times New Roman"/>
                <w:lang w:eastAsia="cs-CZ"/>
              </w:rPr>
              <w:t>3</w:t>
            </w:r>
          </w:p>
        </w:tc>
        <w:tc>
          <w:tcPr>
            <w:tcW w:w="422" w:type="pct"/>
            <w:tcBorders>
              <w:top w:val="single" w:sz="4" w:space="0" w:color="7F7F7F" w:themeColor="text1" w:themeTint="80"/>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8A1F72" w:rsidRPr="000973C6" w:rsidRDefault="008A1F72" w:rsidP="008A1F72">
            <w:pPr>
              <w:spacing w:line="240" w:lineRule="auto"/>
              <w:jc w:val="center"/>
              <w:rPr>
                <w:rFonts w:eastAsia="Times New Roman" w:cs="Times New Roman"/>
                <w:lang w:eastAsia="cs-CZ"/>
              </w:rPr>
            </w:pPr>
            <w:r w:rsidRPr="000973C6">
              <w:rPr>
                <w:rFonts w:eastAsia="Times New Roman" w:cs="Times New Roman"/>
                <w:lang w:eastAsia="cs-CZ"/>
              </w:rPr>
              <w:t>4</w:t>
            </w:r>
          </w:p>
        </w:tc>
      </w:tr>
      <w:tr w:rsidR="008A1F72" w:rsidRPr="000973C6" w:rsidTr="007B2F4B">
        <w:trPr>
          <w:trHeight w:val="326"/>
        </w:trPr>
        <w:tc>
          <w:tcPr>
            <w:tcW w:w="2393"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b/>
                <w:bCs/>
                <w:lang w:eastAsia="cs-CZ"/>
              </w:rPr>
            </w:pPr>
            <w:r w:rsidRPr="000973C6">
              <w:rPr>
                <w:rFonts w:eastAsia="Times New Roman" w:cs="Times New Roman"/>
                <w:b/>
                <w:bCs/>
                <w:lang w:eastAsia="cs-CZ"/>
              </w:rPr>
              <w:t xml:space="preserve">Investiční nákupy a související výdaje organizačních složek státu </w:t>
            </w:r>
            <w:r w:rsidRPr="000973C6">
              <w:rPr>
                <w:rFonts w:eastAsia="Times New Roman" w:cs="Times New Roman"/>
                <w:bCs/>
                <w:lang w:eastAsia="cs-CZ"/>
              </w:rPr>
              <w:t>v tom:</w:t>
            </w:r>
          </w:p>
        </w:tc>
        <w:tc>
          <w:tcPr>
            <w:tcW w:w="670"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51 267</w:t>
            </w:r>
          </w:p>
        </w:tc>
        <w:tc>
          <w:tcPr>
            <w:tcW w:w="786"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122 670</w:t>
            </w:r>
          </w:p>
        </w:tc>
        <w:tc>
          <w:tcPr>
            <w:tcW w:w="728"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Pr>
                <w:rFonts w:eastAsia="Times New Roman" w:cs="Times New Roman"/>
                <w:b/>
                <w:bCs/>
                <w:lang w:eastAsia="cs-CZ"/>
              </w:rPr>
              <w:t>93 772</w:t>
            </w:r>
          </w:p>
        </w:tc>
        <w:tc>
          <w:tcPr>
            <w:tcW w:w="422"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Pr>
                <w:rFonts w:eastAsia="Times New Roman" w:cs="Times New Roman"/>
                <w:b/>
                <w:bCs/>
                <w:lang w:eastAsia="cs-CZ"/>
              </w:rPr>
              <w:t>76,44</w:t>
            </w:r>
          </w:p>
        </w:tc>
      </w:tr>
      <w:tr w:rsidR="008A1F72" w:rsidRPr="000973C6" w:rsidTr="007B2F4B">
        <w:trPr>
          <w:trHeight w:val="315"/>
        </w:trPr>
        <w:tc>
          <w:tcPr>
            <w:tcW w:w="2393" w:type="pct"/>
            <w:tcBorders>
              <w:left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 xml:space="preserve">prostředky SR  </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51 267</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122 670</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93 772</w:t>
            </w:r>
          </w:p>
        </w:tc>
        <w:tc>
          <w:tcPr>
            <w:tcW w:w="422" w:type="pct"/>
            <w:tcBorders>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76,44</w:t>
            </w:r>
          </w:p>
        </w:tc>
      </w:tr>
      <w:tr w:rsidR="008A1F72" w:rsidRPr="000973C6" w:rsidTr="007B2F4B">
        <w:trPr>
          <w:trHeight w:val="330"/>
        </w:trPr>
        <w:tc>
          <w:tcPr>
            <w:tcW w:w="2393"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 xml:space="preserve">prostředky z fondů EU </w:t>
            </w:r>
          </w:p>
        </w:tc>
        <w:tc>
          <w:tcPr>
            <w:tcW w:w="670"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86"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28"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422"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x</w:t>
            </w:r>
          </w:p>
        </w:tc>
      </w:tr>
      <w:tr w:rsidR="008A1F72" w:rsidRPr="000973C6" w:rsidTr="007B2F4B">
        <w:trPr>
          <w:trHeight w:val="527"/>
        </w:trPr>
        <w:tc>
          <w:tcPr>
            <w:tcW w:w="2393"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bCs/>
                <w:lang w:eastAsia="cs-CZ"/>
              </w:rPr>
            </w:pPr>
            <w:r w:rsidRPr="000973C6">
              <w:rPr>
                <w:rFonts w:eastAsia="Times New Roman" w:cs="Times New Roman"/>
                <w:b/>
                <w:bCs/>
                <w:lang w:eastAsia="cs-CZ"/>
              </w:rPr>
              <w:t xml:space="preserve">Investiční transfery příspěvkovým </w:t>
            </w:r>
            <w:r w:rsidRPr="000973C6">
              <w:rPr>
                <w:rFonts w:eastAsia="Times New Roman" w:cs="Times New Roman"/>
                <w:b/>
                <w:bCs/>
                <w:lang w:eastAsia="cs-CZ"/>
              </w:rPr>
              <w:br/>
              <w:t xml:space="preserve">a podobným organizacím </w:t>
            </w:r>
            <w:r w:rsidRPr="000973C6">
              <w:rPr>
                <w:rFonts w:eastAsia="Times New Roman" w:cs="Times New Roman"/>
                <w:bCs/>
                <w:lang w:eastAsia="cs-CZ"/>
              </w:rPr>
              <w:t>v tom:</w:t>
            </w:r>
          </w:p>
        </w:tc>
        <w:tc>
          <w:tcPr>
            <w:tcW w:w="670"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96 574</w:t>
            </w:r>
          </w:p>
        </w:tc>
        <w:tc>
          <w:tcPr>
            <w:tcW w:w="786"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14 668</w:t>
            </w:r>
          </w:p>
        </w:tc>
        <w:tc>
          <w:tcPr>
            <w:tcW w:w="728"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Pr>
                <w:rFonts w:eastAsia="Times New Roman" w:cs="Times New Roman"/>
                <w:b/>
                <w:bCs/>
                <w:lang w:eastAsia="cs-CZ"/>
              </w:rPr>
              <w:t>7 250</w:t>
            </w:r>
          </w:p>
        </w:tc>
        <w:tc>
          <w:tcPr>
            <w:tcW w:w="422"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Pr>
                <w:rFonts w:eastAsia="Times New Roman" w:cs="Times New Roman"/>
                <w:b/>
                <w:bCs/>
                <w:lang w:eastAsia="cs-CZ"/>
              </w:rPr>
              <w:t>49,43</w:t>
            </w:r>
          </w:p>
        </w:tc>
      </w:tr>
      <w:tr w:rsidR="008A1F72" w:rsidRPr="000973C6" w:rsidTr="007B2F4B">
        <w:trPr>
          <w:trHeight w:val="315"/>
        </w:trPr>
        <w:tc>
          <w:tcPr>
            <w:tcW w:w="2393" w:type="pct"/>
            <w:tcBorders>
              <w:left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SR</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89 160</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7 668</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0</w:t>
            </w:r>
          </w:p>
        </w:tc>
        <w:tc>
          <w:tcPr>
            <w:tcW w:w="422" w:type="pct"/>
            <w:tcBorders>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0,00</w:t>
            </w:r>
          </w:p>
        </w:tc>
      </w:tr>
      <w:tr w:rsidR="008A1F72" w:rsidRPr="000973C6" w:rsidTr="007B2F4B">
        <w:trPr>
          <w:trHeight w:val="255"/>
        </w:trPr>
        <w:tc>
          <w:tcPr>
            <w:tcW w:w="2393" w:type="pct"/>
            <w:tcBorders>
              <w:left w:val="single" w:sz="8"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z fondů EU</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422" w:type="pct"/>
            <w:tcBorders>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x</w:t>
            </w:r>
          </w:p>
        </w:tc>
      </w:tr>
      <w:tr w:rsidR="008A1F72" w:rsidRPr="000973C6" w:rsidTr="007B2F4B">
        <w:trPr>
          <w:trHeight w:val="255"/>
        </w:trPr>
        <w:tc>
          <w:tcPr>
            <w:tcW w:w="2393"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lang w:eastAsia="cs-CZ"/>
              </w:rPr>
            </w:pPr>
            <w:r>
              <w:rPr>
                <w:rFonts w:eastAsia="Times New Roman" w:cs="Times New Roman"/>
                <w:lang w:eastAsia="cs-CZ"/>
              </w:rPr>
              <w:t>v</w:t>
            </w:r>
            <w:r w:rsidRPr="000973C6">
              <w:rPr>
                <w:rFonts w:eastAsia="Times New Roman" w:cs="Times New Roman"/>
                <w:lang w:eastAsia="cs-CZ"/>
              </w:rPr>
              <w:t xml:space="preserve">ýzkum </w:t>
            </w:r>
            <w:r w:rsidR="008B3A9C">
              <w:rPr>
                <w:rFonts w:eastAsia="Times New Roman" w:cs="Times New Roman"/>
                <w:lang w:eastAsia="cs-CZ"/>
              </w:rPr>
              <w:t>a vývoj</w:t>
            </w:r>
          </w:p>
        </w:tc>
        <w:tc>
          <w:tcPr>
            <w:tcW w:w="670"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7 414</w:t>
            </w:r>
          </w:p>
        </w:tc>
        <w:tc>
          <w:tcPr>
            <w:tcW w:w="786"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7 000</w:t>
            </w:r>
          </w:p>
        </w:tc>
        <w:tc>
          <w:tcPr>
            <w:tcW w:w="728"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 xml:space="preserve">7 </w:t>
            </w:r>
            <w:r>
              <w:rPr>
                <w:rFonts w:eastAsia="Times New Roman" w:cs="Times New Roman"/>
                <w:lang w:eastAsia="cs-CZ"/>
              </w:rPr>
              <w:t>25</w:t>
            </w:r>
            <w:r w:rsidRPr="000973C6">
              <w:rPr>
                <w:rFonts w:eastAsia="Times New Roman" w:cs="Times New Roman"/>
                <w:lang w:eastAsia="cs-CZ"/>
              </w:rPr>
              <w:t>0</w:t>
            </w:r>
          </w:p>
        </w:tc>
        <w:tc>
          <w:tcPr>
            <w:tcW w:w="422"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103,57</w:t>
            </w:r>
          </w:p>
        </w:tc>
      </w:tr>
      <w:tr w:rsidR="008A1F72" w:rsidRPr="000973C6" w:rsidTr="007B2F4B">
        <w:trPr>
          <w:trHeight w:val="530"/>
        </w:trPr>
        <w:tc>
          <w:tcPr>
            <w:tcW w:w="2393"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bCs/>
                <w:lang w:eastAsia="cs-CZ"/>
              </w:rPr>
            </w:pPr>
            <w:r w:rsidRPr="000973C6">
              <w:rPr>
                <w:rFonts w:eastAsia="Times New Roman" w:cs="Times New Roman"/>
                <w:b/>
                <w:bCs/>
                <w:lang w:eastAsia="cs-CZ"/>
              </w:rPr>
              <w:t xml:space="preserve">Investiční transfery podnikatelským subjektům </w:t>
            </w:r>
            <w:r w:rsidRPr="000973C6">
              <w:rPr>
                <w:rFonts w:eastAsia="Times New Roman" w:cs="Times New Roman"/>
                <w:bCs/>
                <w:lang w:eastAsia="cs-CZ"/>
              </w:rPr>
              <w:t>v tom:</w:t>
            </w:r>
          </w:p>
        </w:tc>
        <w:tc>
          <w:tcPr>
            <w:tcW w:w="670"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0</w:t>
            </w:r>
          </w:p>
        </w:tc>
        <w:tc>
          <w:tcPr>
            <w:tcW w:w="786"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 xml:space="preserve">712 538 </w:t>
            </w:r>
          </w:p>
        </w:tc>
        <w:tc>
          <w:tcPr>
            <w:tcW w:w="728"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Pr>
                <w:rFonts w:eastAsia="Times New Roman" w:cs="Times New Roman"/>
                <w:b/>
                <w:bCs/>
                <w:lang w:eastAsia="cs-CZ"/>
              </w:rPr>
              <w:t>37 485</w:t>
            </w:r>
            <w:r w:rsidRPr="000973C6">
              <w:rPr>
                <w:rFonts w:eastAsia="Times New Roman" w:cs="Times New Roman"/>
                <w:b/>
                <w:bCs/>
                <w:lang w:eastAsia="cs-CZ"/>
              </w:rPr>
              <w:t xml:space="preserve"> </w:t>
            </w:r>
          </w:p>
        </w:tc>
        <w:tc>
          <w:tcPr>
            <w:tcW w:w="422"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Pr>
                <w:rFonts w:eastAsia="Times New Roman" w:cs="Times New Roman"/>
                <w:b/>
                <w:bCs/>
                <w:lang w:eastAsia="cs-CZ"/>
              </w:rPr>
              <w:t>5,26</w:t>
            </w:r>
          </w:p>
        </w:tc>
      </w:tr>
      <w:tr w:rsidR="008A1F72" w:rsidRPr="000973C6" w:rsidTr="007B2F4B">
        <w:trPr>
          <w:trHeight w:val="315"/>
        </w:trPr>
        <w:tc>
          <w:tcPr>
            <w:tcW w:w="2393" w:type="pct"/>
            <w:tcBorders>
              <w:left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SR</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422" w:type="pct"/>
            <w:tcBorders>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x</w:t>
            </w:r>
          </w:p>
        </w:tc>
      </w:tr>
      <w:tr w:rsidR="008A1F72" w:rsidRPr="000973C6" w:rsidTr="007B2F4B">
        <w:trPr>
          <w:trHeight w:val="330"/>
        </w:trPr>
        <w:tc>
          <w:tcPr>
            <w:tcW w:w="2393"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z fondů EU</w:t>
            </w:r>
          </w:p>
        </w:tc>
        <w:tc>
          <w:tcPr>
            <w:tcW w:w="670"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86"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712 538</w:t>
            </w:r>
          </w:p>
        </w:tc>
        <w:tc>
          <w:tcPr>
            <w:tcW w:w="728"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37 485</w:t>
            </w:r>
          </w:p>
        </w:tc>
        <w:tc>
          <w:tcPr>
            <w:tcW w:w="422"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5,26</w:t>
            </w:r>
          </w:p>
        </w:tc>
      </w:tr>
      <w:tr w:rsidR="008A1F72" w:rsidRPr="000973C6" w:rsidTr="007B2F4B">
        <w:trPr>
          <w:trHeight w:val="577"/>
        </w:trPr>
        <w:tc>
          <w:tcPr>
            <w:tcW w:w="2393"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bCs/>
                <w:lang w:eastAsia="cs-CZ"/>
              </w:rPr>
            </w:pPr>
            <w:r w:rsidRPr="000973C6">
              <w:rPr>
                <w:rFonts w:eastAsia="Times New Roman" w:cs="Times New Roman"/>
                <w:b/>
                <w:bCs/>
                <w:lang w:eastAsia="cs-CZ"/>
              </w:rPr>
              <w:t xml:space="preserve">Investiční transfery veřejným rozpočtům územní úrovně </w:t>
            </w:r>
            <w:r w:rsidRPr="000973C6">
              <w:rPr>
                <w:rFonts w:eastAsia="Times New Roman" w:cs="Times New Roman"/>
                <w:bCs/>
                <w:lang w:eastAsia="cs-CZ"/>
              </w:rPr>
              <w:t>v tom:</w:t>
            </w:r>
          </w:p>
        </w:tc>
        <w:tc>
          <w:tcPr>
            <w:tcW w:w="670"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5 194</w:t>
            </w:r>
          </w:p>
        </w:tc>
        <w:tc>
          <w:tcPr>
            <w:tcW w:w="786"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0</w:t>
            </w:r>
          </w:p>
        </w:tc>
        <w:tc>
          <w:tcPr>
            <w:tcW w:w="728"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0</w:t>
            </w:r>
          </w:p>
        </w:tc>
        <w:tc>
          <w:tcPr>
            <w:tcW w:w="422"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x</w:t>
            </w:r>
          </w:p>
        </w:tc>
      </w:tr>
      <w:tr w:rsidR="008A1F72" w:rsidRPr="000973C6" w:rsidTr="007B2F4B">
        <w:trPr>
          <w:trHeight w:val="315"/>
        </w:trPr>
        <w:tc>
          <w:tcPr>
            <w:tcW w:w="2393" w:type="pct"/>
            <w:tcBorders>
              <w:left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SR</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5 194</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422" w:type="pct"/>
            <w:tcBorders>
              <w:left w:val="single" w:sz="4" w:space="0" w:color="auto"/>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x</w:t>
            </w:r>
          </w:p>
        </w:tc>
      </w:tr>
      <w:tr w:rsidR="008A1F72" w:rsidRPr="000973C6" w:rsidTr="007B2F4B">
        <w:trPr>
          <w:trHeight w:val="330"/>
        </w:trPr>
        <w:tc>
          <w:tcPr>
            <w:tcW w:w="2393"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z fondů EU</w:t>
            </w:r>
          </w:p>
        </w:tc>
        <w:tc>
          <w:tcPr>
            <w:tcW w:w="670"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bCs/>
                <w:lang w:eastAsia="cs-CZ"/>
              </w:rPr>
              <w:t xml:space="preserve">0 </w:t>
            </w:r>
          </w:p>
        </w:tc>
        <w:tc>
          <w:tcPr>
            <w:tcW w:w="786"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728" w:type="pct"/>
            <w:tcBorders>
              <w:left w:val="single" w:sz="4" w:space="0" w:color="auto"/>
              <w:bottom w:val="single" w:sz="4"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0</w:t>
            </w:r>
          </w:p>
        </w:tc>
        <w:tc>
          <w:tcPr>
            <w:tcW w:w="422"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x</w:t>
            </w:r>
          </w:p>
        </w:tc>
      </w:tr>
      <w:tr w:rsidR="008A1F72" w:rsidRPr="000973C6" w:rsidTr="007B2F4B">
        <w:trPr>
          <w:trHeight w:val="330"/>
        </w:trPr>
        <w:tc>
          <w:tcPr>
            <w:tcW w:w="2393" w:type="pct"/>
            <w:tcBorders>
              <w:top w:val="single" w:sz="4" w:space="0" w:color="7F7F7F" w:themeColor="text1" w:themeTint="80"/>
              <w:left w:val="single" w:sz="8" w:space="0" w:color="7F7F7F" w:themeColor="text1" w:themeTint="80"/>
              <w:right w:val="single" w:sz="4" w:space="0" w:color="auto"/>
            </w:tcBorders>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b/>
                <w:lang w:eastAsia="cs-CZ"/>
              </w:rPr>
              <w:t xml:space="preserve">Investiční transfery státním fondům </w:t>
            </w:r>
            <w:r w:rsidRPr="000973C6">
              <w:rPr>
                <w:rFonts w:eastAsia="Times New Roman" w:cs="Times New Roman"/>
                <w:lang w:eastAsia="cs-CZ"/>
              </w:rPr>
              <w:t>v tom:</w:t>
            </w:r>
          </w:p>
        </w:tc>
        <w:tc>
          <w:tcPr>
            <w:tcW w:w="670"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lang w:eastAsia="cs-CZ"/>
              </w:rPr>
            </w:pPr>
            <w:r w:rsidRPr="000973C6">
              <w:rPr>
                <w:rFonts w:eastAsia="Times New Roman" w:cs="Times New Roman"/>
                <w:b/>
                <w:lang w:eastAsia="cs-CZ"/>
              </w:rPr>
              <w:t>31 652 642</w:t>
            </w:r>
          </w:p>
        </w:tc>
        <w:tc>
          <w:tcPr>
            <w:tcW w:w="786"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lang w:eastAsia="cs-CZ"/>
              </w:rPr>
            </w:pPr>
            <w:r w:rsidRPr="000973C6">
              <w:rPr>
                <w:rFonts w:eastAsia="Times New Roman" w:cs="Times New Roman"/>
                <w:b/>
                <w:lang w:eastAsia="cs-CZ"/>
              </w:rPr>
              <w:t>35 923 832</w:t>
            </w:r>
          </w:p>
        </w:tc>
        <w:tc>
          <w:tcPr>
            <w:tcW w:w="728" w:type="pct"/>
            <w:tcBorders>
              <w:top w:val="single" w:sz="4"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lang w:eastAsia="cs-CZ"/>
              </w:rPr>
            </w:pPr>
            <w:r>
              <w:rPr>
                <w:rFonts w:eastAsia="Times New Roman" w:cs="Times New Roman"/>
                <w:b/>
                <w:lang w:eastAsia="cs-CZ"/>
              </w:rPr>
              <w:t>48 689 758</w:t>
            </w:r>
          </w:p>
        </w:tc>
        <w:tc>
          <w:tcPr>
            <w:tcW w:w="422"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b/>
                <w:lang w:eastAsia="cs-CZ"/>
              </w:rPr>
            </w:pPr>
            <w:r w:rsidRPr="00BF194D">
              <w:rPr>
                <w:rFonts w:eastAsia="Times New Roman" w:cs="Times New Roman"/>
                <w:b/>
                <w:lang w:eastAsia="cs-CZ"/>
              </w:rPr>
              <w:t>135,54</w:t>
            </w:r>
          </w:p>
        </w:tc>
      </w:tr>
      <w:tr w:rsidR="008A1F72" w:rsidRPr="000973C6" w:rsidTr="007B2F4B">
        <w:trPr>
          <w:trHeight w:val="330"/>
        </w:trPr>
        <w:tc>
          <w:tcPr>
            <w:tcW w:w="2393" w:type="pct"/>
            <w:tcBorders>
              <w:left w:val="single" w:sz="8" w:space="0" w:color="7F7F7F" w:themeColor="text1" w:themeTint="80"/>
              <w:right w:val="single" w:sz="4" w:space="0" w:color="auto"/>
            </w:tcBorders>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SR</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14 824 635</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20 432 556</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30 000 000</w:t>
            </w:r>
          </w:p>
        </w:tc>
        <w:tc>
          <w:tcPr>
            <w:tcW w:w="422" w:type="pct"/>
            <w:tcBorders>
              <w:left w:val="single" w:sz="4" w:space="0" w:color="auto"/>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lang w:eastAsia="cs-CZ"/>
              </w:rPr>
            </w:pPr>
            <w:r w:rsidRPr="00BF194D">
              <w:rPr>
                <w:rFonts w:eastAsia="Times New Roman" w:cs="Times New Roman"/>
                <w:lang w:eastAsia="cs-CZ"/>
              </w:rPr>
              <w:t>146,82</w:t>
            </w:r>
          </w:p>
        </w:tc>
      </w:tr>
      <w:tr w:rsidR="008A1F72" w:rsidRPr="000973C6" w:rsidTr="007B2F4B">
        <w:trPr>
          <w:trHeight w:val="330"/>
        </w:trPr>
        <w:tc>
          <w:tcPr>
            <w:tcW w:w="2393" w:type="pct"/>
            <w:tcBorders>
              <w:left w:val="single" w:sz="8" w:space="0" w:color="7F7F7F" w:themeColor="text1" w:themeTint="80"/>
              <w:bottom w:val="single" w:sz="8" w:space="0" w:color="7F7F7F" w:themeColor="text1" w:themeTint="80"/>
              <w:right w:val="single" w:sz="4" w:space="0" w:color="auto"/>
            </w:tcBorders>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z fondů EU</w:t>
            </w:r>
          </w:p>
        </w:tc>
        <w:tc>
          <w:tcPr>
            <w:tcW w:w="670" w:type="pct"/>
            <w:tcBorders>
              <w:left w:val="single" w:sz="4" w:space="0" w:color="auto"/>
              <w:bottom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16 828 007</w:t>
            </w:r>
          </w:p>
        </w:tc>
        <w:tc>
          <w:tcPr>
            <w:tcW w:w="786" w:type="pct"/>
            <w:tcBorders>
              <w:left w:val="single" w:sz="4" w:space="0" w:color="auto"/>
              <w:bottom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15 491 276</w:t>
            </w:r>
          </w:p>
        </w:tc>
        <w:tc>
          <w:tcPr>
            <w:tcW w:w="728" w:type="pct"/>
            <w:tcBorders>
              <w:left w:val="single" w:sz="4" w:space="0" w:color="auto"/>
              <w:bottom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18 689 758</w:t>
            </w:r>
          </w:p>
        </w:tc>
        <w:tc>
          <w:tcPr>
            <w:tcW w:w="422" w:type="pct"/>
            <w:tcBorders>
              <w:left w:val="single" w:sz="4" w:space="0" w:color="auto"/>
              <w:bottom w:val="single" w:sz="8" w:space="0" w:color="7F7F7F" w:themeColor="text1" w:themeTint="80"/>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lang w:eastAsia="cs-CZ"/>
              </w:rPr>
            </w:pPr>
            <w:r w:rsidRPr="00BF194D">
              <w:rPr>
                <w:rFonts w:eastAsia="Times New Roman" w:cs="Times New Roman"/>
                <w:lang w:eastAsia="cs-CZ"/>
              </w:rPr>
              <w:t>120,65</w:t>
            </w:r>
          </w:p>
        </w:tc>
      </w:tr>
      <w:tr w:rsidR="008A1F72" w:rsidRPr="000973C6" w:rsidTr="007B2F4B">
        <w:trPr>
          <w:trHeight w:val="367"/>
        </w:trPr>
        <w:tc>
          <w:tcPr>
            <w:tcW w:w="2393" w:type="pct"/>
            <w:tcBorders>
              <w:top w:val="single" w:sz="8" w:space="0" w:color="7F7F7F" w:themeColor="text1" w:themeTint="80"/>
              <w:left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bCs/>
                <w:lang w:eastAsia="cs-CZ"/>
              </w:rPr>
            </w:pPr>
            <w:r w:rsidRPr="000973C6">
              <w:rPr>
                <w:rFonts w:eastAsia="Times New Roman" w:cs="Times New Roman"/>
                <w:b/>
                <w:bCs/>
                <w:lang w:eastAsia="cs-CZ"/>
              </w:rPr>
              <w:t xml:space="preserve">Kapitálové výdaje celkem </w:t>
            </w:r>
            <w:r w:rsidRPr="000973C6">
              <w:rPr>
                <w:rFonts w:eastAsia="Times New Roman" w:cs="Times New Roman"/>
                <w:bCs/>
                <w:lang w:eastAsia="cs-CZ"/>
              </w:rPr>
              <w:t>v tom:</w:t>
            </w:r>
          </w:p>
        </w:tc>
        <w:tc>
          <w:tcPr>
            <w:tcW w:w="670" w:type="pct"/>
            <w:tcBorders>
              <w:top w:val="single" w:sz="8"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31 805 677</w:t>
            </w:r>
          </w:p>
        </w:tc>
        <w:tc>
          <w:tcPr>
            <w:tcW w:w="786" w:type="pct"/>
            <w:tcBorders>
              <w:top w:val="single" w:sz="8"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sidRPr="000973C6">
              <w:rPr>
                <w:rFonts w:eastAsia="Times New Roman" w:cs="Times New Roman"/>
                <w:b/>
                <w:bCs/>
                <w:lang w:eastAsia="cs-CZ"/>
              </w:rPr>
              <w:t>36 773 708</w:t>
            </w:r>
          </w:p>
        </w:tc>
        <w:tc>
          <w:tcPr>
            <w:tcW w:w="728" w:type="pct"/>
            <w:tcBorders>
              <w:top w:val="single" w:sz="8" w:space="0" w:color="7F7F7F" w:themeColor="text1" w:themeTint="80"/>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b/>
                <w:bCs/>
                <w:lang w:eastAsia="cs-CZ"/>
              </w:rPr>
            </w:pPr>
            <w:r>
              <w:rPr>
                <w:rFonts w:eastAsia="Times New Roman" w:cs="Times New Roman"/>
                <w:b/>
                <w:bCs/>
                <w:lang w:eastAsia="cs-CZ"/>
              </w:rPr>
              <w:t>48 828 265</w:t>
            </w:r>
          </w:p>
        </w:tc>
        <w:tc>
          <w:tcPr>
            <w:tcW w:w="422" w:type="pct"/>
            <w:tcBorders>
              <w:top w:val="single" w:sz="8" w:space="0" w:color="7F7F7F" w:themeColor="text1" w:themeTint="80"/>
              <w:left w:val="single" w:sz="4" w:space="0" w:color="auto"/>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b/>
                <w:bCs/>
                <w:lang w:eastAsia="cs-CZ"/>
              </w:rPr>
            </w:pPr>
            <w:r w:rsidRPr="00BF194D">
              <w:rPr>
                <w:rFonts w:eastAsia="Times New Roman" w:cs="Times New Roman"/>
                <w:b/>
                <w:bCs/>
                <w:lang w:eastAsia="cs-CZ"/>
              </w:rPr>
              <w:t>132,78</w:t>
            </w:r>
          </w:p>
        </w:tc>
      </w:tr>
      <w:tr w:rsidR="008A1F72" w:rsidRPr="000973C6" w:rsidTr="007B2F4B">
        <w:trPr>
          <w:trHeight w:val="315"/>
        </w:trPr>
        <w:tc>
          <w:tcPr>
            <w:tcW w:w="2393" w:type="pct"/>
            <w:tcBorders>
              <w:left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SR</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14 970 256</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20 562 894</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30 093 772</w:t>
            </w:r>
          </w:p>
        </w:tc>
        <w:tc>
          <w:tcPr>
            <w:tcW w:w="422" w:type="pct"/>
            <w:tcBorders>
              <w:left w:val="single" w:sz="4" w:space="0" w:color="auto"/>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lang w:eastAsia="cs-CZ"/>
              </w:rPr>
            </w:pPr>
            <w:r w:rsidRPr="00BF194D">
              <w:rPr>
                <w:rFonts w:eastAsia="Times New Roman" w:cs="Times New Roman"/>
                <w:lang w:eastAsia="cs-CZ"/>
              </w:rPr>
              <w:t>146,35</w:t>
            </w:r>
          </w:p>
        </w:tc>
      </w:tr>
      <w:tr w:rsidR="008A1F72" w:rsidRPr="000973C6" w:rsidTr="007B2F4B">
        <w:trPr>
          <w:trHeight w:val="304"/>
        </w:trPr>
        <w:tc>
          <w:tcPr>
            <w:tcW w:w="2393" w:type="pct"/>
            <w:tcBorders>
              <w:left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lang w:eastAsia="cs-CZ"/>
              </w:rPr>
            </w:pPr>
            <w:r w:rsidRPr="000973C6">
              <w:rPr>
                <w:rFonts w:eastAsia="Times New Roman" w:cs="Times New Roman"/>
                <w:lang w:eastAsia="cs-CZ"/>
              </w:rPr>
              <w:t>prostředky z fondů EU</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16 828 007</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16 203 814</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Pr>
                <w:rFonts w:eastAsia="Times New Roman" w:cs="Times New Roman"/>
                <w:lang w:eastAsia="cs-CZ"/>
              </w:rPr>
              <w:t>18 727 243</w:t>
            </w:r>
          </w:p>
        </w:tc>
        <w:tc>
          <w:tcPr>
            <w:tcW w:w="422" w:type="pct"/>
            <w:tcBorders>
              <w:left w:val="single" w:sz="4" w:space="0" w:color="auto"/>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lang w:eastAsia="cs-CZ"/>
              </w:rPr>
            </w:pPr>
            <w:r w:rsidRPr="00BF194D">
              <w:rPr>
                <w:rFonts w:eastAsia="Times New Roman" w:cs="Times New Roman"/>
                <w:lang w:eastAsia="cs-CZ"/>
              </w:rPr>
              <w:t>115,57</w:t>
            </w:r>
          </w:p>
        </w:tc>
      </w:tr>
      <w:tr w:rsidR="008A1F72" w:rsidRPr="000973C6" w:rsidTr="007B2F4B">
        <w:trPr>
          <w:trHeight w:val="330"/>
        </w:trPr>
        <w:tc>
          <w:tcPr>
            <w:tcW w:w="2393" w:type="pct"/>
            <w:tcBorders>
              <w:left w:val="single" w:sz="8" w:space="0" w:color="7F7F7F" w:themeColor="text1" w:themeTint="80"/>
              <w:right w:val="single" w:sz="4" w:space="0" w:color="auto"/>
            </w:tcBorders>
            <w:shd w:val="clear" w:color="auto" w:fill="auto"/>
            <w:noWrap/>
            <w:vAlign w:val="bottom"/>
          </w:tcPr>
          <w:p w:rsidR="008A1F72" w:rsidRPr="000973C6" w:rsidRDefault="008B3A9C" w:rsidP="008A1F72">
            <w:pPr>
              <w:spacing w:line="240" w:lineRule="auto"/>
              <w:rPr>
                <w:rFonts w:eastAsia="Times New Roman" w:cs="Times New Roman"/>
                <w:lang w:eastAsia="cs-CZ"/>
              </w:rPr>
            </w:pPr>
            <w:r>
              <w:rPr>
                <w:rFonts w:eastAsia="Times New Roman" w:cs="Times New Roman"/>
                <w:lang w:eastAsia="cs-CZ"/>
              </w:rPr>
              <w:t>výzkum a vývoj</w:t>
            </w:r>
          </w:p>
        </w:tc>
        <w:tc>
          <w:tcPr>
            <w:tcW w:w="670"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7 414</w:t>
            </w:r>
          </w:p>
        </w:tc>
        <w:tc>
          <w:tcPr>
            <w:tcW w:w="786"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7 000</w:t>
            </w:r>
          </w:p>
        </w:tc>
        <w:tc>
          <w:tcPr>
            <w:tcW w:w="728" w:type="pct"/>
            <w:tcBorders>
              <w:left w:val="single" w:sz="4" w:space="0" w:color="auto"/>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lang w:eastAsia="cs-CZ"/>
              </w:rPr>
            </w:pPr>
            <w:r w:rsidRPr="000973C6">
              <w:rPr>
                <w:rFonts w:eastAsia="Times New Roman" w:cs="Times New Roman"/>
                <w:lang w:eastAsia="cs-CZ"/>
              </w:rPr>
              <w:t xml:space="preserve">7 </w:t>
            </w:r>
            <w:r>
              <w:rPr>
                <w:rFonts w:eastAsia="Times New Roman" w:cs="Times New Roman"/>
                <w:lang w:eastAsia="cs-CZ"/>
              </w:rPr>
              <w:t>250</w:t>
            </w:r>
          </w:p>
        </w:tc>
        <w:tc>
          <w:tcPr>
            <w:tcW w:w="422" w:type="pct"/>
            <w:tcBorders>
              <w:left w:val="single" w:sz="4" w:space="0" w:color="auto"/>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lang w:eastAsia="cs-CZ"/>
              </w:rPr>
            </w:pPr>
            <w:r w:rsidRPr="00BF194D">
              <w:rPr>
                <w:rFonts w:eastAsia="Times New Roman" w:cs="Times New Roman"/>
                <w:lang w:eastAsia="cs-CZ"/>
              </w:rPr>
              <w:t>103,57</w:t>
            </w:r>
          </w:p>
        </w:tc>
      </w:tr>
      <w:tr w:rsidR="008A1F72" w:rsidRPr="000973C6" w:rsidTr="007B2F4B">
        <w:trPr>
          <w:trHeight w:val="330"/>
        </w:trPr>
        <w:tc>
          <w:tcPr>
            <w:tcW w:w="2393" w:type="pct"/>
            <w:tcBorders>
              <w:left w:val="single" w:sz="8" w:space="0" w:color="7F7F7F" w:themeColor="text1" w:themeTint="80"/>
              <w:bottom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rPr>
                <w:rFonts w:eastAsia="Times New Roman" w:cs="Times New Roman"/>
                <w:i/>
                <w:lang w:eastAsia="cs-CZ"/>
              </w:rPr>
            </w:pPr>
            <w:r w:rsidRPr="000973C6">
              <w:rPr>
                <w:rFonts w:eastAsia="Times New Roman" w:cs="Times New Roman"/>
                <w:i/>
                <w:lang w:eastAsia="cs-CZ"/>
              </w:rPr>
              <w:t>z toho: programové financování (EDS/SMVS)</w:t>
            </w:r>
          </w:p>
        </w:tc>
        <w:tc>
          <w:tcPr>
            <w:tcW w:w="670" w:type="pct"/>
            <w:tcBorders>
              <w:left w:val="single" w:sz="4" w:space="0" w:color="auto"/>
              <w:bottom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i/>
                <w:vertAlign w:val="superscript"/>
                <w:lang w:eastAsia="cs-CZ"/>
              </w:rPr>
            </w:pPr>
            <w:r w:rsidRPr="000973C6">
              <w:rPr>
                <w:rFonts w:eastAsia="Times New Roman" w:cs="Times New Roman"/>
                <w:i/>
                <w:lang w:eastAsia="cs-CZ"/>
              </w:rPr>
              <w:t>31 787 916</w:t>
            </w:r>
            <w:r w:rsidRPr="000973C6">
              <w:rPr>
                <w:rFonts w:eastAsia="Times New Roman" w:cs="Times New Roman"/>
                <w:i/>
                <w:vertAlign w:val="superscript"/>
                <w:lang w:eastAsia="cs-CZ"/>
              </w:rPr>
              <w:t>+)</w:t>
            </w:r>
          </w:p>
        </w:tc>
        <w:tc>
          <w:tcPr>
            <w:tcW w:w="786" w:type="pct"/>
            <w:tcBorders>
              <w:left w:val="single" w:sz="4" w:space="0" w:color="auto"/>
              <w:bottom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i/>
                <w:vertAlign w:val="superscript"/>
                <w:lang w:eastAsia="cs-CZ"/>
              </w:rPr>
            </w:pPr>
            <w:r w:rsidRPr="000973C6">
              <w:rPr>
                <w:rFonts w:eastAsia="Times New Roman" w:cs="Times New Roman"/>
                <w:i/>
                <w:lang w:eastAsia="cs-CZ"/>
              </w:rPr>
              <w:t>36 766 708</w:t>
            </w:r>
            <w:r w:rsidRPr="000973C6">
              <w:rPr>
                <w:rFonts w:eastAsia="Times New Roman" w:cs="Times New Roman"/>
                <w:i/>
                <w:vertAlign w:val="superscript"/>
                <w:lang w:eastAsia="cs-CZ"/>
              </w:rPr>
              <w:t>+)</w:t>
            </w:r>
          </w:p>
        </w:tc>
        <w:tc>
          <w:tcPr>
            <w:tcW w:w="728" w:type="pct"/>
            <w:tcBorders>
              <w:left w:val="single" w:sz="4" w:space="0" w:color="auto"/>
              <w:bottom w:val="single" w:sz="8" w:space="0" w:color="7F7F7F" w:themeColor="text1" w:themeTint="80"/>
              <w:right w:val="single" w:sz="4" w:space="0" w:color="auto"/>
            </w:tcBorders>
            <w:shd w:val="clear" w:color="auto" w:fill="auto"/>
            <w:noWrap/>
            <w:vAlign w:val="bottom"/>
          </w:tcPr>
          <w:p w:rsidR="008A1F72" w:rsidRPr="000973C6" w:rsidRDefault="008A1F72" w:rsidP="008A1F72">
            <w:pPr>
              <w:spacing w:line="240" w:lineRule="auto"/>
              <w:jc w:val="right"/>
              <w:rPr>
                <w:rFonts w:eastAsia="Times New Roman" w:cs="Times New Roman"/>
                <w:i/>
                <w:vertAlign w:val="superscript"/>
                <w:lang w:eastAsia="cs-CZ"/>
              </w:rPr>
            </w:pPr>
            <w:r>
              <w:rPr>
                <w:rFonts w:eastAsia="Times New Roman" w:cs="Times New Roman"/>
                <w:i/>
                <w:lang w:eastAsia="cs-CZ"/>
              </w:rPr>
              <w:t>48</w:t>
            </w:r>
            <w:r w:rsidRPr="000973C6">
              <w:rPr>
                <w:rFonts w:eastAsia="Times New Roman" w:cs="Times New Roman"/>
                <w:i/>
                <w:lang w:eastAsia="cs-CZ"/>
              </w:rPr>
              <w:t> </w:t>
            </w:r>
            <w:r>
              <w:rPr>
                <w:rFonts w:eastAsia="Times New Roman" w:cs="Times New Roman"/>
                <w:i/>
                <w:lang w:eastAsia="cs-CZ"/>
              </w:rPr>
              <w:t>821</w:t>
            </w:r>
            <w:r w:rsidRPr="000973C6">
              <w:rPr>
                <w:rFonts w:eastAsia="Times New Roman" w:cs="Times New Roman"/>
                <w:i/>
                <w:lang w:eastAsia="cs-CZ"/>
              </w:rPr>
              <w:t xml:space="preserve"> </w:t>
            </w:r>
            <w:r>
              <w:rPr>
                <w:rFonts w:eastAsia="Times New Roman" w:cs="Times New Roman"/>
                <w:i/>
                <w:lang w:eastAsia="cs-CZ"/>
              </w:rPr>
              <w:t>015</w:t>
            </w:r>
            <w:r w:rsidRPr="000973C6">
              <w:rPr>
                <w:rFonts w:eastAsia="Times New Roman" w:cs="Times New Roman"/>
                <w:i/>
                <w:vertAlign w:val="superscript"/>
                <w:lang w:eastAsia="cs-CZ"/>
              </w:rPr>
              <w:t>+)</w:t>
            </w:r>
          </w:p>
        </w:tc>
        <w:tc>
          <w:tcPr>
            <w:tcW w:w="422" w:type="pct"/>
            <w:tcBorders>
              <w:left w:val="single" w:sz="4" w:space="0" w:color="auto"/>
              <w:bottom w:val="single" w:sz="8" w:space="0" w:color="7F7F7F" w:themeColor="text1" w:themeTint="80"/>
              <w:right w:val="single" w:sz="8" w:space="0" w:color="7F7F7F" w:themeColor="text1" w:themeTint="80"/>
            </w:tcBorders>
            <w:shd w:val="clear" w:color="auto" w:fill="auto"/>
            <w:noWrap/>
            <w:vAlign w:val="bottom"/>
          </w:tcPr>
          <w:p w:rsidR="008A1F72" w:rsidRPr="00BF194D" w:rsidRDefault="008A1F72" w:rsidP="008A1F72">
            <w:pPr>
              <w:spacing w:line="240" w:lineRule="auto"/>
              <w:jc w:val="right"/>
              <w:rPr>
                <w:rFonts w:eastAsia="Times New Roman" w:cs="Times New Roman"/>
                <w:i/>
                <w:lang w:eastAsia="cs-CZ"/>
              </w:rPr>
            </w:pPr>
            <w:r w:rsidRPr="00BF194D">
              <w:rPr>
                <w:rFonts w:eastAsia="Times New Roman" w:cs="Times New Roman"/>
                <w:i/>
                <w:lang w:eastAsia="cs-CZ"/>
              </w:rPr>
              <w:t>132,79</w:t>
            </w:r>
          </w:p>
        </w:tc>
      </w:tr>
    </w:tbl>
    <w:p w:rsidR="00BB459E" w:rsidRPr="008A1F72" w:rsidRDefault="00E41381" w:rsidP="00BB459E">
      <w:pPr>
        <w:spacing w:before="120" w:after="80" w:line="240" w:lineRule="auto"/>
        <w:ind w:firstLine="539"/>
        <w:rPr>
          <w:rFonts w:eastAsia="Times New Roman" w:cs="Times New Roman"/>
          <w:i/>
          <w:sz w:val="20"/>
          <w:szCs w:val="20"/>
          <w:lang w:eastAsia="cs-CZ"/>
        </w:rPr>
      </w:pPr>
      <w:r w:rsidRPr="008A1F72">
        <w:rPr>
          <w:rFonts w:eastAsia="Times New Roman" w:cs="Times New Roman"/>
          <w:i/>
          <w:sz w:val="20"/>
          <w:szCs w:val="20"/>
          <w:vertAlign w:val="superscript"/>
          <w:lang w:eastAsia="cs-CZ"/>
        </w:rPr>
        <w:t>+</w:t>
      </w:r>
      <w:r w:rsidRPr="008A1F72">
        <w:rPr>
          <w:rFonts w:eastAsia="Times New Roman" w:cs="Times New Roman"/>
          <w:i/>
          <w:sz w:val="20"/>
          <w:szCs w:val="20"/>
          <w:lang w:eastAsia="cs-CZ"/>
        </w:rPr>
        <w:t>) včetně</w:t>
      </w:r>
      <w:r w:rsidR="00BB459E" w:rsidRPr="008A1F72">
        <w:rPr>
          <w:rFonts w:eastAsia="Times New Roman" w:cs="Times New Roman"/>
          <w:i/>
          <w:sz w:val="20"/>
          <w:szCs w:val="20"/>
          <w:lang w:eastAsia="cs-CZ"/>
        </w:rPr>
        <w:t xml:space="preserve"> dotace z EU </w:t>
      </w:r>
    </w:p>
    <w:p w:rsidR="008A1F72" w:rsidRPr="00696DCA" w:rsidRDefault="008A1F72" w:rsidP="004C4BA5">
      <w:pPr>
        <w:pStyle w:val="Styl1"/>
      </w:pPr>
      <w:r w:rsidRPr="00696DCA">
        <w:t xml:space="preserve">Kapitálové výdaje jsou navrhovány v celkové výši 48 828 265 tis. Kč. Částka představuje výdaje na financování všech evidovaných a registrovaných akcí zabezpečujících dosažení cílů programů reprodukce majetku vedených v databázi EDS/SMVS a prostředky určené </w:t>
      </w:r>
      <w:r w:rsidR="007B2F4B">
        <w:br/>
      </w:r>
      <w:r w:rsidR="00CA24A2">
        <w:t xml:space="preserve">na  </w:t>
      </w:r>
      <w:r w:rsidRPr="00696DCA">
        <w:t>v</w:t>
      </w:r>
      <w:r w:rsidR="008B3A9C">
        <w:t>ýzkum a vývoj.</w:t>
      </w:r>
    </w:p>
    <w:p w:rsidR="008A1F72" w:rsidRPr="00696DCA" w:rsidRDefault="008A1F72" w:rsidP="004C4BA5">
      <w:pPr>
        <w:pStyle w:val="Styl1"/>
      </w:pPr>
      <w:r w:rsidRPr="0001421C">
        <w:rPr>
          <w:color w:val="FF0000"/>
        </w:rPr>
        <w:t xml:space="preserve"> </w:t>
      </w:r>
      <w:r w:rsidRPr="00696DCA">
        <w:t xml:space="preserve">Podrobnější charakteristika kapitálových výdajů je obsažena v kapitole 3.3.1 Investiční transfery veřejným výzkumným institucím, v kapitole 3.4. Výdaje vedené v informačním systému programového financování EDS/SMVS a v kapitole 3.5. Prostředky fondů EU.  </w:t>
      </w:r>
    </w:p>
    <w:p w:rsidR="00BB459E" w:rsidRPr="008A1F72" w:rsidRDefault="00BB459E" w:rsidP="00BB459E">
      <w:pPr>
        <w:pStyle w:val="Titulek"/>
        <w:keepNext/>
      </w:pPr>
      <w:bookmarkStart w:id="78" w:name="_Toc488937064"/>
      <w:bookmarkStart w:id="79" w:name="_Toc526424765"/>
      <w:r w:rsidRPr="008A1F72">
        <w:lastRenderedPageBreak/>
        <w:t xml:space="preserve">Graf č. </w:t>
      </w:r>
      <w:r w:rsidR="0001421C" w:rsidRPr="008A1F72">
        <w:rPr>
          <w:noProof/>
        </w:rPr>
        <w:fldChar w:fldCharType="begin"/>
      </w:r>
      <w:r w:rsidR="0001421C" w:rsidRPr="008A1F72">
        <w:rPr>
          <w:noProof/>
        </w:rPr>
        <w:instrText xml:space="preserve"> SEQ Graf_č. \* ARABIC </w:instrText>
      </w:r>
      <w:r w:rsidR="0001421C" w:rsidRPr="008A1F72">
        <w:rPr>
          <w:noProof/>
        </w:rPr>
        <w:fldChar w:fldCharType="separate"/>
      </w:r>
      <w:r w:rsidR="00AF5225">
        <w:rPr>
          <w:noProof/>
        </w:rPr>
        <w:t>8</w:t>
      </w:r>
      <w:r w:rsidR="0001421C" w:rsidRPr="008A1F72">
        <w:rPr>
          <w:noProof/>
        </w:rPr>
        <w:fldChar w:fldCharType="end"/>
      </w:r>
      <w:r w:rsidRPr="008A1F72">
        <w:t xml:space="preserve"> Členění kapitálových výdajů</w:t>
      </w:r>
      <w:bookmarkEnd w:id="78"/>
      <w:bookmarkEnd w:id="79"/>
    </w:p>
    <w:p w:rsidR="00BB459E" w:rsidRPr="0001421C" w:rsidRDefault="008A1F72" w:rsidP="00BB459E">
      <w:pPr>
        <w:spacing w:before="120" w:after="80" w:line="240" w:lineRule="auto"/>
        <w:rPr>
          <w:rFonts w:eastAsia="Times New Roman" w:cs="Times New Roman"/>
          <w:color w:val="FF0000"/>
          <w:szCs w:val="24"/>
          <w:lang w:eastAsia="cs-CZ"/>
        </w:rPr>
      </w:pPr>
      <w:r w:rsidRPr="0001421C">
        <w:rPr>
          <w:rFonts w:eastAsia="Times New Roman" w:cs="Times New Roman"/>
          <w:noProof/>
          <w:color w:val="FF0000"/>
          <w:szCs w:val="24"/>
          <w:lang w:eastAsia="cs-CZ"/>
        </w:rPr>
        <w:drawing>
          <wp:inline distT="0" distB="0" distL="0" distR="0" wp14:anchorId="60784905" wp14:editId="0196222E">
            <wp:extent cx="5760720" cy="2608662"/>
            <wp:effectExtent l="0" t="0" r="11430" b="1270"/>
            <wp:docPr id="14" name="Graf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A1F72" w:rsidRPr="00C4289D" w:rsidRDefault="008A1F72" w:rsidP="007B2F4B">
      <w:pPr>
        <w:pStyle w:val="Nadpis3"/>
        <w:numPr>
          <w:ilvl w:val="2"/>
          <w:numId w:val="14"/>
        </w:numPr>
      </w:pPr>
      <w:bookmarkStart w:id="80" w:name="_Toc489274107"/>
      <w:bookmarkStart w:id="81" w:name="_Toc526424700"/>
      <w:r w:rsidRPr="007B2F4B">
        <w:t>Investiční</w:t>
      </w:r>
      <w:r w:rsidRPr="00C4289D">
        <w:t xml:space="preserve"> transfery veřejným výzkumným institucím</w:t>
      </w:r>
      <w:bookmarkEnd w:id="80"/>
      <w:bookmarkEnd w:id="81"/>
    </w:p>
    <w:p w:rsidR="008A1F72" w:rsidRPr="00C4289D" w:rsidRDefault="008A1F72" w:rsidP="004C4BA5">
      <w:pPr>
        <w:pStyle w:val="Styl1"/>
      </w:pPr>
      <w:r w:rsidRPr="00C4289D">
        <w:t xml:space="preserve">Investiční transfer veřejným výzkumným institucím je pro rok 2019 navržen ve výši </w:t>
      </w:r>
      <w:r w:rsidRPr="00C4289D">
        <w:br/>
        <w:t xml:space="preserve">7 250 tis. Kč. Tento transfer je určen pro Centrum dopravního výzkumu, </w:t>
      </w:r>
      <w:proofErr w:type="spellStart"/>
      <w:r w:rsidRPr="00C4289D">
        <w:t>v.v.i</w:t>
      </w:r>
      <w:proofErr w:type="spellEnd"/>
      <w:r w:rsidRPr="00C4289D">
        <w:t xml:space="preserve">.  </w:t>
      </w:r>
    </w:p>
    <w:p w:rsidR="008A1F72" w:rsidRPr="00C4289D" w:rsidRDefault="008A1F72" w:rsidP="004C4BA5">
      <w:pPr>
        <w:pStyle w:val="Styl1"/>
      </w:pPr>
      <w:r w:rsidRPr="00C4289D">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r w:rsidRPr="00C4289D">
        <w:rPr>
          <w:bCs/>
        </w:rPr>
        <w:t xml:space="preserve"> </w:t>
      </w:r>
    </w:p>
    <w:p w:rsidR="008A1F72" w:rsidRPr="00C4289D" w:rsidRDefault="008A1F72" w:rsidP="008A1F72">
      <w:pPr>
        <w:pStyle w:val="Titulek"/>
        <w:keepNext/>
      </w:pPr>
      <w:r w:rsidRPr="00C4289D">
        <w:t xml:space="preserve">Tabulka č. </w:t>
      </w:r>
      <w:r>
        <w:rPr>
          <w:noProof/>
        </w:rPr>
        <w:fldChar w:fldCharType="begin"/>
      </w:r>
      <w:r>
        <w:rPr>
          <w:noProof/>
        </w:rPr>
        <w:instrText xml:space="preserve"> SEQ Tabulka \* ARABIC </w:instrText>
      </w:r>
      <w:r>
        <w:rPr>
          <w:noProof/>
        </w:rPr>
        <w:fldChar w:fldCharType="separate"/>
      </w:r>
      <w:r w:rsidR="00AF5225">
        <w:rPr>
          <w:noProof/>
        </w:rPr>
        <w:t>24</w:t>
      </w:r>
      <w:r>
        <w:rPr>
          <w:noProof/>
        </w:rPr>
        <w:fldChar w:fldCharType="end"/>
      </w:r>
      <w:r w:rsidRPr="00C4289D">
        <w:rPr>
          <w:noProof/>
        </w:rPr>
        <w:t xml:space="preserve"> Ivestiční transfery veřejným výzkumným institucím (v tis. Kč)</w:t>
      </w:r>
    </w:p>
    <w:tbl>
      <w:tblPr>
        <w:tblStyle w:val="Svtltabulkasmkou1zvraznn5"/>
        <w:tblW w:w="91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61"/>
        <w:gridCol w:w="1260"/>
        <w:gridCol w:w="1278"/>
        <w:gridCol w:w="1124"/>
      </w:tblGrid>
      <w:tr w:rsidR="008A1F72" w:rsidRPr="00C4289D" w:rsidTr="007B2F4B">
        <w:tc>
          <w:tcPr>
            <w:tcW w:w="408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Skutečnost</w:t>
            </w:r>
          </w:p>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2017</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Schválený</w:t>
            </w:r>
          </w:p>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rozpočet</w:t>
            </w:r>
          </w:p>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2018</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Návrh</w:t>
            </w:r>
          </w:p>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rozpočtu</w:t>
            </w:r>
          </w:p>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2019</w:t>
            </w:r>
          </w:p>
        </w:tc>
        <w:tc>
          <w:tcPr>
            <w:tcW w:w="112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Index</w:t>
            </w:r>
          </w:p>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2019/</w:t>
            </w:r>
            <w:r w:rsidR="007B2F4B">
              <w:rPr>
                <w:rFonts w:eastAsia="Times New Roman" w:cs="Times New Roman"/>
                <w:b/>
                <w:szCs w:val="24"/>
                <w:lang w:eastAsia="cs-CZ"/>
              </w:rPr>
              <w:br/>
            </w:r>
            <w:r w:rsidRPr="00C4289D">
              <w:rPr>
                <w:rFonts w:eastAsia="Times New Roman" w:cs="Times New Roman"/>
                <w:b/>
                <w:szCs w:val="24"/>
                <w:lang w:eastAsia="cs-CZ"/>
              </w:rPr>
              <w:t>2018</w:t>
            </w:r>
          </w:p>
          <w:p w:rsidR="008A1F72" w:rsidRPr="00C4289D" w:rsidRDefault="008A1F72" w:rsidP="007B2F4B">
            <w:pPr>
              <w:jc w:val="center"/>
              <w:rPr>
                <w:rFonts w:eastAsia="Times New Roman" w:cs="Times New Roman"/>
                <w:b/>
                <w:szCs w:val="24"/>
                <w:lang w:eastAsia="cs-CZ"/>
              </w:rPr>
            </w:pPr>
            <w:r w:rsidRPr="00C4289D">
              <w:rPr>
                <w:rFonts w:eastAsia="Times New Roman" w:cs="Times New Roman"/>
                <w:b/>
                <w:szCs w:val="24"/>
                <w:lang w:eastAsia="cs-CZ"/>
              </w:rPr>
              <w:t>(v %)</w:t>
            </w:r>
          </w:p>
        </w:tc>
      </w:tr>
      <w:tr w:rsidR="008A1F72" w:rsidRPr="00C4289D" w:rsidTr="007B2F4B">
        <w:tc>
          <w:tcPr>
            <w:tcW w:w="4082" w:type="dxa"/>
            <w:tcBorders>
              <w:top w:val="single" w:sz="4" w:space="0" w:color="7F7F7F" w:themeColor="text1" w:themeTint="80"/>
            </w:tcBorders>
            <w:shd w:val="clear" w:color="auto" w:fill="auto"/>
          </w:tcPr>
          <w:p w:rsidR="008A1F72" w:rsidRPr="00C4289D" w:rsidRDefault="008A1F72" w:rsidP="008A1F72">
            <w:pPr>
              <w:jc w:val="center"/>
              <w:rPr>
                <w:rFonts w:eastAsia="Times New Roman" w:cs="Times New Roman"/>
                <w:szCs w:val="24"/>
                <w:lang w:eastAsia="cs-CZ"/>
              </w:rPr>
            </w:pPr>
            <w:r w:rsidRPr="00C4289D">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rsidR="008A1F72" w:rsidRPr="00C4289D" w:rsidRDefault="008A1F72" w:rsidP="008A1F72">
            <w:pPr>
              <w:jc w:val="center"/>
              <w:rPr>
                <w:rFonts w:eastAsia="Times New Roman" w:cs="Times New Roman"/>
                <w:szCs w:val="24"/>
                <w:lang w:eastAsia="cs-CZ"/>
              </w:rPr>
            </w:pPr>
            <w:r w:rsidRPr="00C4289D">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rsidR="008A1F72" w:rsidRPr="00C4289D" w:rsidRDefault="008A1F72" w:rsidP="008A1F72">
            <w:pPr>
              <w:jc w:val="center"/>
              <w:rPr>
                <w:rFonts w:eastAsia="Times New Roman" w:cs="Times New Roman"/>
                <w:szCs w:val="24"/>
                <w:lang w:eastAsia="cs-CZ"/>
              </w:rPr>
            </w:pPr>
            <w:r w:rsidRPr="00C4289D">
              <w:rPr>
                <w:rFonts w:eastAsia="Times New Roman" w:cs="Times New Roman"/>
                <w:szCs w:val="24"/>
                <w:lang w:eastAsia="cs-CZ"/>
              </w:rPr>
              <w:t>2</w:t>
            </w:r>
          </w:p>
        </w:tc>
        <w:tc>
          <w:tcPr>
            <w:tcW w:w="1278" w:type="dxa"/>
            <w:tcBorders>
              <w:top w:val="single" w:sz="4" w:space="0" w:color="7F7F7F" w:themeColor="text1" w:themeTint="80"/>
            </w:tcBorders>
            <w:shd w:val="clear" w:color="auto" w:fill="auto"/>
          </w:tcPr>
          <w:p w:rsidR="008A1F72" w:rsidRPr="00C4289D" w:rsidRDefault="008A1F72" w:rsidP="008A1F72">
            <w:pPr>
              <w:jc w:val="center"/>
              <w:rPr>
                <w:rFonts w:eastAsia="Times New Roman" w:cs="Times New Roman"/>
                <w:szCs w:val="24"/>
                <w:lang w:eastAsia="cs-CZ"/>
              </w:rPr>
            </w:pPr>
            <w:r w:rsidRPr="00C4289D">
              <w:rPr>
                <w:rFonts w:eastAsia="Times New Roman" w:cs="Times New Roman"/>
                <w:szCs w:val="24"/>
                <w:lang w:eastAsia="cs-CZ"/>
              </w:rPr>
              <w:t>3</w:t>
            </w:r>
          </w:p>
        </w:tc>
        <w:tc>
          <w:tcPr>
            <w:tcW w:w="1124" w:type="dxa"/>
            <w:tcBorders>
              <w:top w:val="single" w:sz="4" w:space="0" w:color="7F7F7F" w:themeColor="text1" w:themeTint="80"/>
            </w:tcBorders>
            <w:shd w:val="clear" w:color="auto" w:fill="auto"/>
          </w:tcPr>
          <w:p w:rsidR="008A1F72" w:rsidRPr="00C4289D" w:rsidRDefault="008A1F72" w:rsidP="008A1F72">
            <w:pPr>
              <w:jc w:val="center"/>
              <w:rPr>
                <w:rFonts w:eastAsia="Times New Roman" w:cs="Times New Roman"/>
                <w:szCs w:val="24"/>
                <w:lang w:eastAsia="cs-CZ"/>
              </w:rPr>
            </w:pPr>
            <w:r w:rsidRPr="00C4289D">
              <w:rPr>
                <w:rFonts w:eastAsia="Times New Roman" w:cs="Times New Roman"/>
                <w:szCs w:val="24"/>
                <w:lang w:eastAsia="cs-CZ"/>
              </w:rPr>
              <w:t>4</w:t>
            </w:r>
          </w:p>
        </w:tc>
      </w:tr>
      <w:tr w:rsidR="008A1F72" w:rsidRPr="00C4289D" w:rsidTr="007B2F4B">
        <w:trPr>
          <w:trHeight w:val="334"/>
        </w:trPr>
        <w:tc>
          <w:tcPr>
            <w:tcW w:w="4082" w:type="dxa"/>
            <w:shd w:val="clear" w:color="auto" w:fill="auto"/>
          </w:tcPr>
          <w:p w:rsidR="008A1F72" w:rsidRPr="00C4289D" w:rsidRDefault="008A1F72" w:rsidP="008A1F72">
            <w:pPr>
              <w:spacing w:before="60"/>
              <w:rPr>
                <w:rFonts w:eastAsia="Times New Roman" w:cs="Times New Roman"/>
                <w:b/>
                <w:lang w:eastAsia="cs-CZ"/>
              </w:rPr>
            </w:pPr>
            <w:r w:rsidRPr="00C4289D">
              <w:rPr>
                <w:rFonts w:eastAsia="Times New Roman" w:cs="Times New Roman"/>
                <w:b/>
                <w:lang w:eastAsia="cs-CZ"/>
              </w:rPr>
              <w:t xml:space="preserve">Výdaje na výzkum, vývoj a inovace </w:t>
            </w:r>
          </w:p>
          <w:p w:rsidR="008A1F72" w:rsidRPr="00C4289D" w:rsidRDefault="008A1F72" w:rsidP="008A1F72">
            <w:pPr>
              <w:rPr>
                <w:rFonts w:eastAsia="Times New Roman" w:cs="Times New Roman"/>
                <w:lang w:eastAsia="cs-CZ"/>
              </w:rPr>
            </w:pPr>
            <w:r w:rsidRPr="00C4289D">
              <w:rPr>
                <w:rFonts w:eastAsia="Times New Roman" w:cs="Times New Roman"/>
                <w:lang w:eastAsia="cs-CZ"/>
              </w:rPr>
              <w:t>v tom:</w:t>
            </w:r>
          </w:p>
        </w:tc>
        <w:tc>
          <w:tcPr>
            <w:tcW w:w="1361" w:type="dxa"/>
            <w:shd w:val="clear" w:color="auto" w:fill="auto"/>
          </w:tcPr>
          <w:p w:rsidR="008A1F72" w:rsidRPr="00C4289D" w:rsidRDefault="008A1F72" w:rsidP="008A1F72">
            <w:pPr>
              <w:spacing w:before="120"/>
              <w:jc w:val="right"/>
              <w:rPr>
                <w:rFonts w:eastAsia="Times New Roman" w:cs="Times New Roman"/>
                <w:b/>
                <w:lang w:eastAsia="cs-CZ"/>
              </w:rPr>
            </w:pPr>
            <w:r w:rsidRPr="00C4289D">
              <w:rPr>
                <w:rFonts w:eastAsia="Times New Roman" w:cs="Times New Roman"/>
                <w:b/>
                <w:lang w:eastAsia="cs-CZ"/>
              </w:rPr>
              <w:t>7 414</w:t>
            </w:r>
          </w:p>
        </w:tc>
        <w:tc>
          <w:tcPr>
            <w:tcW w:w="1260" w:type="dxa"/>
            <w:shd w:val="clear" w:color="auto" w:fill="auto"/>
          </w:tcPr>
          <w:p w:rsidR="008A1F72" w:rsidRPr="00C4289D" w:rsidRDefault="008A1F72" w:rsidP="008A1F72">
            <w:pPr>
              <w:spacing w:before="120"/>
              <w:jc w:val="right"/>
              <w:rPr>
                <w:rFonts w:eastAsia="Times New Roman" w:cs="Times New Roman"/>
                <w:b/>
                <w:lang w:eastAsia="cs-CZ"/>
              </w:rPr>
            </w:pPr>
            <w:r w:rsidRPr="00C4289D">
              <w:rPr>
                <w:rFonts w:eastAsia="Times New Roman" w:cs="Times New Roman"/>
                <w:b/>
                <w:lang w:eastAsia="cs-CZ"/>
              </w:rPr>
              <w:t>7 000</w:t>
            </w:r>
          </w:p>
        </w:tc>
        <w:tc>
          <w:tcPr>
            <w:tcW w:w="1278" w:type="dxa"/>
            <w:shd w:val="clear" w:color="auto" w:fill="auto"/>
          </w:tcPr>
          <w:p w:rsidR="008A1F72" w:rsidRPr="00C4289D" w:rsidRDefault="008A1F72" w:rsidP="008A1F72">
            <w:pPr>
              <w:spacing w:before="120"/>
              <w:jc w:val="right"/>
              <w:rPr>
                <w:rFonts w:eastAsia="Times New Roman" w:cs="Times New Roman"/>
                <w:b/>
                <w:lang w:eastAsia="cs-CZ"/>
              </w:rPr>
            </w:pPr>
            <w:r w:rsidRPr="00C4289D">
              <w:rPr>
                <w:rFonts w:eastAsia="Times New Roman" w:cs="Times New Roman"/>
                <w:b/>
                <w:lang w:eastAsia="cs-CZ"/>
              </w:rPr>
              <w:t>7 250</w:t>
            </w:r>
          </w:p>
        </w:tc>
        <w:tc>
          <w:tcPr>
            <w:tcW w:w="1124" w:type="dxa"/>
            <w:shd w:val="clear" w:color="auto" w:fill="auto"/>
          </w:tcPr>
          <w:p w:rsidR="008A1F72" w:rsidRPr="00C4289D" w:rsidRDefault="008A1F72" w:rsidP="008A1F72">
            <w:pPr>
              <w:spacing w:before="120"/>
              <w:jc w:val="right"/>
              <w:rPr>
                <w:rFonts w:eastAsia="Times New Roman" w:cs="Times New Roman"/>
                <w:b/>
                <w:lang w:eastAsia="cs-CZ"/>
              </w:rPr>
            </w:pPr>
            <w:r w:rsidRPr="00C4289D">
              <w:rPr>
                <w:rFonts w:eastAsia="Times New Roman" w:cs="Times New Roman"/>
                <w:b/>
                <w:lang w:eastAsia="cs-CZ"/>
              </w:rPr>
              <w:t>103,57</w:t>
            </w:r>
          </w:p>
        </w:tc>
      </w:tr>
      <w:tr w:rsidR="008A1F72" w:rsidRPr="00C4289D" w:rsidTr="007B2F4B">
        <w:tc>
          <w:tcPr>
            <w:tcW w:w="4082" w:type="dxa"/>
            <w:shd w:val="clear" w:color="auto" w:fill="auto"/>
          </w:tcPr>
          <w:p w:rsidR="008A1F72" w:rsidRPr="00C4289D" w:rsidRDefault="008A1F72" w:rsidP="008A1F72">
            <w:pPr>
              <w:rPr>
                <w:rFonts w:eastAsia="Times New Roman" w:cs="Times New Roman"/>
                <w:lang w:eastAsia="cs-CZ"/>
              </w:rPr>
            </w:pPr>
            <w:r w:rsidRPr="00C4289D">
              <w:rPr>
                <w:rFonts w:eastAsia="Times New Roman" w:cs="Times New Roman"/>
                <w:lang w:eastAsia="cs-CZ"/>
              </w:rPr>
              <w:t>institucionální podpora</w:t>
            </w:r>
          </w:p>
        </w:tc>
        <w:tc>
          <w:tcPr>
            <w:tcW w:w="1361" w:type="dxa"/>
            <w:shd w:val="clear" w:color="auto" w:fill="auto"/>
          </w:tcPr>
          <w:p w:rsidR="008A1F72" w:rsidRPr="00C4289D" w:rsidRDefault="008A1F72" w:rsidP="008A1F72">
            <w:pPr>
              <w:jc w:val="right"/>
              <w:rPr>
                <w:rFonts w:eastAsia="Times New Roman" w:cs="Times New Roman"/>
                <w:lang w:eastAsia="cs-CZ"/>
              </w:rPr>
            </w:pPr>
            <w:r w:rsidRPr="00C4289D">
              <w:rPr>
                <w:rFonts w:eastAsia="Times New Roman" w:cs="Times New Roman"/>
                <w:lang w:eastAsia="cs-CZ"/>
              </w:rPr>
              <w:t>7 414</w:t>
            </w:r>
          </w:p>
        </w:tc>
        <w:tc>
          <w:tcPr>
            <w:tcW w:w="1260" w:type="dxa"/>
            <w:shd w:val="clear" w:color="auto" w:fill="auto"/>
          </w:tcPr>
          <w:p w:rsidR="008A1F72" w:rsidRPr="00C4289D" w:rsidRDefault="008A1F72" w:rsidP="008A1F72">
            <w:pPr>
              <w:jc w:val="right"/>
              <w:rPr>
                <w:rFonts w:eastAsia="Times New Roman" w:cs="Times New Roman"/>
                <w:lang w:eastAsia="cs-CZ"/>
              </w:rPr>
            </w:pPr>
            <w:r w:rsidRPr="00C4289D">
              <w:rPr>
                <w:rFonts w:eastAsia="Times New Roman" w:cs="Times New Roman"/>
                <w:lang w:eastAsia="cs-CZ"/>
              </w:rPr>
              <w:t>7 000</w:t>
            </w:r>
          </w:p>
        </w:tc>
        <w:tc>
          <w:tcPr>
            <w:tcW w:w="1278" w:type="dxa"/>
            <w:shd w:val="clear" w:color="auto" w:fill="auto"/>
          </w:tcPr>
          <w:p w:rsidR="008A1F72" w:rsidRPr="00C4289D" w:rsidRDefault="008A1F72" w:rsidP="008A1F72">
            <w:pPr>
              <w:jc w:val="right"/>
              <w:rPr>
                <w:rFonts w:eastAsia="Times New Roman" w:cs="Times New Roman"/>
                <w:lang w:eastAsia="cs-CZ"/>
              </w:rPr>
            </w:pPr>
            <w:r w:rsidRPr="00C4289D">
              <w:rPr>
                <w:rFonts w:eastAsia="Times New Roman" w:cs="Times New Roman"/>
                <w:lang w:eastAsia="cs-CZ"/>
              </w:rPr>
              <w:t>7 250</w:t>
            </w:r>
          </w:p>
        </w:tc>
        <w:tc>
          <w:tcPr>
            <w:tcW w:w="1124" w:type="dxa"/>
            <w:shd w:val="clear" w:color="auto" w:fill="auto"/>
          </w:tcPr>
          <w:p w:rsidR="008A1F72" w:rsidRPr="00C4289D" w:rsidRDefault="008A1F72" w:rsidP="008A1F72">
            <w:pPr>
              <w:jc w:val="right"/>
              <w:rPr>
                <w:rFonts w:eastAsia="Times New Roman" w:cs="Times New Roman"/>
                <w:lang w:eastAsia="cs-CZ"/>
              </w:rPr>
            </w:pPr>
            <w:r w:rsidRPr="00C4289D">
              <w:rPr>
                <w:rFonts w:eastAsia="Times New Roman" w:cs="Times New Roman"/>
                <w:lang w:eastAsia="cs-CZ"/>
              </w:rPr>
              <w:t>103,57</w:t>
            </w:r>
          </w:p>
        </w:tc>
      </w:tr>
    </w:tbl>
    <w:p w:rsidR="008A1F72" w:rsidRPr="00C4289D" w:rsidRDefault="008A1F72" w:rsidP="004C4BA5">
      <w:pPr>
        <w:pStyle w:val="Styl1"/>
        <w:rPr>
          <w:rStyle w:val="FontStyle27"/>
          <w:sz w:val="24"/>
          <w:szCs w:val="24"/>
        </w:rPr>
      </w:pPr>
      <w:r w:rsidRPr="00C4289D">
        <w:rPr>
          <w:rStyle w:val="FontStyle27"/>
          <w:b/>
          <w:sz w:val="24"/>
          <w:szCs w:val="24"/>
        </w:rPr>
        <w:t>Investiční institucionální prostředky ve výši 7 250 tis. Kč</w:t>
      </w:r>
      <w:r w:rsidRPr="00C4289D">
        <w:rPr>
          <w:rStyle w:val="FontStyle27"/>
          <w:sz w:val="24"/>
          <w:szCs w:val="24"/>
        </w:rPr>
        <w:t xml:space="preserve"> budou použity </w:t>
      </w:r>
      <w:r w:rsidRPr="00C4289D">
        <w:rPr>
          <w:rStyle w:val="FontStyle27"/>
          <w:sz w:val="24"/>
          <w:szCs w:val="24"/>
        </w:rPr>
        <w:br/>
        <w:t>na obnovy či rozšíření výzkumné infrastruktury (stroje a zařízení).</w:t>
      </w:r>
    </w:p>
    <w:p w:rsidR="008A1F72" w:rsidRPr="00C4289D" w:rsidRDefault="008A1F72" w:rsidP="004C4BA5">
      <w:pPr>
        <w:pStyle w:val="Styl1"/>
        <w:rPr>
          <w:rStyle w:val="FontStyle27"/>
          <w:sz w:val="24"/>
          <w:szCs w:val="24"/>
        </w:rPr>
      </w:pPr>
      <w:r w:rsidRPr="00C4289D">
        <w:rPr>
          <w:rStyle w:val="FontStyle27"/>
          <w:sz w:val="24"/>
          <w:szCs w:val="24"/>
        </w:rPr>
        <w:t xml:space="preserve">Dle zákona č. 130/2002 Sb., o podpoře výzkumu, experimentálního vývoje a inovace, v platném znění, se na výdaje dle daného zákona nevztahují ustanovení § 12 a § 13 zákona </w:t>
      </w:r>
      <w:r w:rsidRPr="00C4289D">
        <w:rPr>
          <w:rStyle w:val="FontStyle27"/>
          <w:sz w:val="24"/>
          <w:szCs w:val="24"/>
        </w:rPr>
        <w:br/>
        <w:t xml:space="preserve">č. 218/2000 Sb., rozpočtová pravidla. </w:t>
      </w:r>
      <w:r w:rsidRPr="00C4289D">
        <w:rPr>
          <w:rStyle w:val="FontStyle27"/>
          <w:sz w:val="24"/>
          <w:szCs w:val="24"/>
          <w:shd w:val="clear" w:color="auto" w:fill="FFFFFF" w:themeFill="background1"/>
        </w:rPr>
        <w:t>To znamená, že tyto investiční prostředky nejsou vedeny v informačním systému programového financování EDS/SMVS.</w:t>
      </w:r>
      <w:r w:rsidRPr="00C4289D">
        <w:rPr>
          <w:rStyle w:val="FontStyle27"/>
          <w:sz w:val="24"/>
          <w:szCs w:val="24"/>
        </w:rPr>
        <w:t xml:space="preserve">  </w:t>
      </w:r>
    </w:p>
    <w:p w:rsidR="00BB459E" w:rsidRPr="008A1F72" w:rsidRDefault="00BB459E" w:rsidP="007B2F4B">
      <w:pPr>
        <w:pStyle w:val="Nadpis2"/>
      </w:pPr>
      <w:bookmarkStart w:id="82" w:name="_Toc305406308"/>
      <w:bookmarkStart w:id="83" w:name="_Toc462314401"/>
      <w:bookmarkStart w:id="84" w:name="_Toc489274108"/>
      <w:bookmarkStart w:id="85" w:name="_Toc526424701"/>
      <w:bookmarkEnd w:id="75"/>
      <w:r w:rsidRPr="008A1F72">
        <w:t>Výdaje vedené v </w:t>
      </w:r>
      <w:r w:rsidRPr="007B2F4B">
        <w:t>informačním</w:t>
      </w:r>
      <w:r w:rsidRPr="008A1F72">
        <w:t xml:space="preserve"> systému programového financování EDS/SMVS</w:t>
      </w:r>
      <w:bookmarkEnd w:id="82"/>
      <w:bookmarkEnd w:id="83"/>
      <w:bookmarkEnd w:id="84"/>
      <w:bookmarkEnd w:id="85"/>
      <w:r w:rsidRPr="008A1F72">
        <w:t xml:space="preserve"> </w:t>
      </w:r>
    </w:p>
    <w:p w:rsidR="008A1F72" w:rsidRPr="00C4289D" w:rsidRDefault="008A1F72" w:rsidP="004C4BA5">
      <w:pPr>
        <w:pStyle w:val="Styl1"/>
      </w:pPr>
      <w:r w:rsidRPr="00C4289D">
        <w:t xml:space="preserve">Ze schváleného závazného objemu pro sestavení návrhu rozpočtu na rok 2019 </w:t>
      </w:r>
      <w:r w:rsidRPr="00C4289D">
        <w:br/>
        <w:t xml:space="preserve">je na </w:t>
      </w:r>
      <w:r w:rsidRPr="004C4BA5">
        <w:rPr>
          <w:b/>
        </w:rPr>
        <w:t xml:space="preserve">výdaje vedené v informačním systému programového financování EDS/SMVS (výdaje určené na financování programů) vyčleněna částka v celkové výši  </w:t>
      </w:r>
      <w:r w:rsidRPr="004C4BA5">
        <w:rPr>
          <w:b/>
        </w:rPr>
        <w:br/>
        <w:t>48 899 041 tis. Kč</w:t>
      </w:r>
      <w:r w:rsidRPr="004C4BA5">
        <w:t>,</w:t>
      </w:r>
      <w:r w:rsidRPr="00C4289D">
        <w:t xml:space="preserve"> v tom kapitálové výdaje 4</w:t>
      </w:r>
      <w:r>
        <w:t>8</w:t>
      </w:r>
      <w:r w:rsidRPr="00C4289D">
        <w:t> 8</w:t>
      </w:r>
      <w:r>
        <w:t>21</w:t>
      </w:r>
      <w:r w:rsidRPr="00C4289D">
        <w:t xml:space="preserve"> 0</w:t>
      </w:r>
      <w:r>
        <w:t>15</w:t>
      </w:r>
      <w:r w:rsidRPr="00C4289D">
        <w:t xml:space="preserve"> tis. Kč, běžné výdaje 78 026 tis. Kč. </w:t>
      </w:r>
      <w:r w:rsidRPr="00C4289D">
        <w:lastRenderedPageBreak/>
        <w:t xml:space="preserve">Z celkové částky 48 899 041 tis. Kč jsou prostředky státního rozpočtu 30 171 798 tis. Kč </w:t>
      </w:r>
      <w:r w:rsidRPr="00C4289D">
        <w:br/>
        <w:t>a prostředky fondů EU 18 727 243 tis. Kč.</w:t>
      </w:r>
    </w:p>
    <w:p w:rsidR="00BB459E" w:rsidRPr="00ED7004" w:rsidRDefault="008A1F72" w:rsidP="004C4BA5">
      <w:pPr>
        <w:pStyle w:val="Styl1"/>
      </w:pPr>
      <w:r w:rsidRPr="00C4289D">
        <w:t>Členění výdajů vedených</w:t>
      </w:r>
      <w:bookmarkStart w:id="86" w:name="_GoBack"/>
      <w:bookmarkEnd w:id="86"/>
      <w:r w:rsidRPr="00C4289D">
        <w:t xml:space="preserve"> v informačním systému programového financování EDS/SMVS podle </w:t>
      </w:r>
      <w:proofErr w:type="spellStart"/>
      <w:r w:rsidRPr="00C4289D">
        <w:t>hospodářsko</w:t>
      </w:r>
      <w:proofErr w:type="spellEnd"/>
      <w:r w:rsidRPr="00C4289D">
        <w:t xml:space="preserve"> právní formy konečných příjemců celkem </w:t>
      </w:r>
      <w:r w:rsidR="00ED7004">
        <w:t xml:space="preserve">zobrazuje následující tabulka. </w:t>
      </w:r>
      <w:r w:rsidR="00BB459E" w:rsidRPr="0001421C">
        <w:rPr>
          <w:color w:val="FF0000"/>
        </w:rPr>
        <w:t xml:space="preserve">                                                                                                                            </w:t>
      </w:r>
    </w:p>
    <w:p w:rsidR="008A1F72" w:rsidRPr="004A29BA" w:rsidRDefault="008A1F72" w:rsidP="008A1F72">
      <w:pPr>
        <w:pStyle w:val="Titulek"/>
        <w:keepNext/>
      </w:pPr>
      <w:r w:rsidRPr="004A29BA">
        <w:t xml:space="preserve">Tabulka č. </w:t>
      </w:r>
      <w:r w:rsidRPr="004A29BA">
        <w:rPr>
          <w:noProof/>
        </w:rPr>
        <w:fldChar w:fldCharType="begin"/>
      </w:r>
      <w:r w:rsidRPr="004A29BA">
        <w:rPr>
          <w:noProof/>
        </w:rPr>
        <w:instrText xml:space="preserve"> SEQ Tabulka \* ARABIC </w:instrText>
      </w:r>
      <w:r w:rsidRPr="004A29BA">
        <w:rPr>
          <w:noProof/>
        </w:rPr>
        <w:fldChar w:fldCharType="separate"/>
      </w:r>
      <w:r w:rsidR="00AF5225">
        <w:rPr>
          <w:noProof/>
        </w:rPr>
        <w:t>25</w:t>
      </w:r>
      <w:r w:rsidRPr="004A29BA">
        <w:rPr>
          <w:noProof/>
        </w:rPr>
        <w:fldChar w:fldCharType="end"/>
      </w:r>
      <w:r w:rsidRPr="004A29BA">
        <w:rPr>
          <w:noProof/>
        </w:rPr>
        <w:t xml:space="preserve"> Výdaje vedené v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969"/>
        <w:gridCol w:w="1337"/>
        <w:gridCol w:w="1335"/>
        <w:gridCol w:w="1361"/>
        <w:gridCol w:w="1077"/>
      </w:tblGrid>
      <w:tr w:rsidR="008A1F72" w:rsidRPr="004A29BA" w:rsidTr="007B2F4B">
        <w:tc>
          <w:tcPr>
            <w:tcW w:w="396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Ukazatel</w:t>
            </w:r>
          </w:p>
        </w:tc>
        <w:tc>
          <w:tcPr>
            <w:tcW w:w="133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Skutečnost</w:t>
            </w:r>
          </w:p>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2017</w:t>
            </w:r>
          </w:p>
        </w:tc>
        <w:tc>
          <w:tcPr>
            <w:tcW w:w="133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Schválený rozpočet</w:t>
            </w:r>
          </w:p>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2018</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Návrh</w:t>
            </w:r>
          </w:p>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rozpočtu</w:t>
            </w:r>
          </w:p>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2019</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Index</w:t>
            </w:r>
          </w:p>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2019/</w:t>
            </w:r>
            <w:r w:rsidR="007B2F4B">
              <w:rPr>
                <w:rFonts w:eastAsia="Times New Roman" w:cs="Times New Roman"/>
                <w:b/>
                <w:lang w:eastAsia="cs-CZ"/>
              </w:rPr>
              <w:br/>
            </w:r>
            <w:r w:rsidRPr="004A29BA">
              <w:rPr>
                <w:rFonts w:eastAsia="Times New Roman" w:cs="Times New Roman"/>
                <w:b/>
                <w:lang w:eastAsia="cs-CZ"/>
              </w:rPr>
              <w:t>2018</w:t>
            </w:r>
          </w:p>
          <w:p w:rsidR="008A1F72" w:rsidRPr="004A29BA" w:rsidRDefault="008A1F72" w:rsidP="007B2F4B">
            <w:pPr>
              <w:jc w:val="center"/>
              <w:rPr>
                <w:rFonts w:eastAsia="Times New Roman" w:cs="Times New Roman"/>
                <w:b/>
                <w:lang w:eastAsia="cs-CZ"/>
              </w:rPr>
            </w:pPr>
            <w:r w:rsidRPr="004A29BA">
              <w:rPr>
                <w:rFonts w:eastAsia="Times New Roman" w:cs="Times New Roman"/>
                <w:b/>
                <w:lang w:eastAsia="cs-CZ"/>
              </w:rPr>
              <w:t>(v %)</w:t>
            </w:r>
          </w:p>
        </w:tc>
      </w:tr>
      <w:tr w:rsidR="008A1F72" w:rsidRPr="004A29BA" w:rsidTr="007B2F4B">
        <w:tc>
          <w:tcPr>
            <w:tcW w:w="3969" w:type="dxa"/>
            <w:tcBorders>
              <w:top w:val="single" w:sz="4" w:space="0" w:color="7F7F7F" w:themeColor="text1" w:themeTint="80"/>
              <w:bottom w:val="single" w:sz="8" w:space="0" w:color="7F7F7F" w:themeColor="text1" w:themeTint="80"/>
            </w:tcBorders>
            <w:shd w:val="clear" w:color="auto" w:fill="auto"/>
          </w:tcPr>
          <w:p w:rsidR="008A1F72" w:rsidRPr="004A29BA" w:rsidRDefault="008A1F72" w:rsidP="008A1F72">
            <w:pPr>
              <w:jc w:val="center"/>
              <w:rPr>
                <w:rFonts w:eastAsia="Times New Roman" w:cs="Times New Roman"/>
                <w:lang w:eastAsia="cs-CZ"/>
              </w:rPr>
            </w:pPr>
            <w:r w:rsidRPr="004A29BA">
              <w:rPr>
                <w:rFonts w:eastAsia="Times New Roman" w:cs="Times New Roman"/>
                <w:lang w:eastAsia="cs-CZ"/>
              </w:rPr>
              <w:t>a</w:t>
            </w:r>
          </w:p>
        </w:tc>
        <w:tc>
          <w:tcPr>
            <w:tcW w:w="1337" w:type="dxa"/>
            <w:tcBorders>
              <w:top w:val="single" w:sz="4" w:space="0" w:color="7F7F7F" w:themeColor="text1" w:themeTint="80"/>
              <w:bottom w:val="single" w:sz="8" w:space="0" w:color="7F7F7F" w:themeColor="text1" w:themeTint="80"/>
            </w:tcBorders>
            <w:shd w:val="clear" w:color="auto" w:fill="auto"/>
          </w:tcPr>
          <w:p w:rsidR="008A1F72" w:rsidRPr="004A29BA" w:rsidRDefault="008A1F72" w:rsidP="008A1F72">
            <w:pPr>
              <w:jc w:val="center"/>
              <w:rPr>
                <w:rFonts w:eastAsia="Times New Roman" w:cs="Times New Roman"/>
                <w:lang w:eastAsia="cs-CZ"/>
              </w:rPr>
            </w:pPr>
            <w:r w:rsidRPr="004A29BA">
              <w:rPr>
                <w:rFonts w:eastAsia="Times New Roman" w:cs="Times New Roman"/>
                <w:lang w:eastAsia="cs-CZ"/>
              </w:rPr>
              <w:t>1</w:t>
            </w:r>
          </w:p>
        </w:tc>
        <w:tc>
          <w:tcPr>
            <w:tcW w:w="1335" w:type="dxa"/>
            <w:tcBorders>
              <w:top w:val="single" w:sz="4" w:space="0" w:color="7F7F7F" w:themeColor="text1" w:themeTint="80"/>
              <w:bottom w:val="single" w:sz="8" w:space="0" w:color="7F7F7F" w:themeColor="text1" w:themeTint="80"/>
            </w:tcBorders>
            <w:shd w:val="clear" w:color="auto" w:fill="auto"/>
          </w:tcPr>
          <w:p w:rsidR="008A1F72" w:rsidRPr="004A29BA" w:rsidRDefault="008A1F72" w:rsidP="008A1F72">
            <w:pPr>
              <w:jc w:val="center"/>
              <w:rPr>
                <w:rFonts w:eastAsia="Times New Roman" w:cs="Times New Roman"/>
                <w:lang w:eastAsia="cs-CZ"/>
              </w:rPr>
            </w:pPr>
            <w:r w:rsidRPr="004A29BA">
              <w:rPr>
                <w:rFonts w:eastAsia="Times New Roman" w:cs="Times New Roman"/>
                <w:lang w:eastAsia="cs-CZ"/>
              </w:rPr>
              <w:t>2</w:t>
            </w:r>
          </w:p>
        </w:tc>
        <w:tc>
          <w:tcPr>
            <w:tcW w:w="1361" w:type="dxa"/>
            <w:tcBorders>
              <w:top w:val="single" w:sz="4" w:space="0" w:color="7F7F7F" w:themeColor="text1" w:themeTint="80"/>
              <w:bottom w:val="single" w:sz="8" w:space="0" w:color="7F7F7F" w:themeColor="text1" w:themeTint="80"/>
            </w:tcBorders>
            <w:shd w:val="clear" w:color="auto" w:fill="auto"/>
          </w:tcPr>
          <w:p w:rsidR="008A1F72" w:rsidRPr="004A29BA" w:rsidRDefault="008A1F72" w:rsidP="008A1F72">
            <w:pPr>
              <w:jc w:val="center"/>
              <w:rPr>
                <w:rFonts w:eastAsia="Times New Roman" w:cs="Times New Roman"/>
                <w:lang w:eastAsia="cs-CZ"/>
              </w:rPr>
            </w:pPr>
            <w:r w:rsidRPr="004A29BA">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rsidR="008A1F72" w:rsidRPr="004A29BA" w:rsidRDefault="008A1F72" w:rsidP="008A1F72">
            <w:pPr>
              <w:jc w:val="center"/>
              <w:rPr>
                <w:rFonts w:eastAsia="Times New Roman" w:cs="Times New Roman"/>
                <w:lang w:eastAsia="cs-CZ"/>
              </w:rPr>
            </w:pPr>
            <w:r w:rsidRPr="004A29BA">
              <w:rPr>
                <w:rFonts w:eastAsia="Times New Roman" w:cs="Times New Roman"/>
                <w:lang w:eastAsia="cs-CZ"/>
              </w:rPr>
              <w:t>4</w:t>
            </w:r>
          </w:p>
        </w:tc>
      </w:tr>
      <w:tr w:rsidR="008A1F72" w:rsidRPr="004A29BA" w:rsidTr="007B2F4B">
        <w:tc>
          <w:tcPr>
            <w:tcW w:w="3969" w:type="dxa"/>
            <w:tcBorders>
              <w:top w:val="single" w:sz="8" w:space="0" w:color="7F7F7F" w:themeColor="text1" w:themeTint="80"/>
              <w:bottom w:val="single" w:sz="8" w:space="0" w:color="7F7F7F" w:themeColor="text1" w:themeTint="80"/>
            </w:tcBorders>
            <w:shd w:val="clear" w:color="auto" w:fill="auto"/>
          </w:tcPr>
          <w:p w:rsidR="008A1F72" w:rsidRPr="004A29BA" w:rsidRDefault="008A1F72" w:rsidP="008A1F72">
            <w:pPr>
              <w:rPr>
                <w:rFonts w:eastAsia="Times New Roman" w:cs="Times New Roman"/>
                <w:b/>
                <w:lang w:eastAsia="cs-CZ"/>
              </w:rPr>
            </w:pPr>
            <w:r w:rsidRPr="004A29BA">
              <w:rPr>
                <w:rFonts w:eastAsia="Times New Roman" w:cs="Times New Roman"/>
                <w:b/>
                <w:lang w:eastAsia="cs-CZ"/>
              </w:rPr>
              <w:t xml:space="preserve">Výdaje vedené v EDS/SMVS </w:t>
            </w:r>
            <w:r w:rsidRPr="004A29BA">
              <w:rPr>
                <w:rFonts w:eastAsia="Times New Roman" w:cs="Times New Roman"/>
                <w:lang w:eastAsia="cs-CZ"/>
              </w:rPr>
              <w:t>v tom:</w:t>
            </w:r>
          </w:p>
        </w:tc>
        <w:tc>
          <w:tcPr>
            <w:tcW w:w="1337" w:type="dxa"/>
            <w:tcBorders>
              <w:top w:val="single" w:sz="8" w:space="0" w:color="7F7F7F" w:themeColor="text1" w:themeTint="80"/>
              <w:bottom w:val="single" w:sz="8" w:space="0" w:color="7F7F7F" w:themeColor="text1" w:themeTint="80"/>
            </w:tcBorders>
            <w:shd w:val="clear" w:color="auto" w:fill="auto"/>
            <w:vAlign w:val="center"/>
          </w:tcPr>
          <w:p w:rsidR="008A1F72" w:rsidRPr="004A29BA" w:rsidRDefault="008A1F72" w:rsidP="007B2F4B">
            <w:pPr>
              <w:tabs>
                <w:tab w:val="right" w:pos="1059"/>
              </w:tabs>
              <w:jc w:val="right"/>
              <w:rPr>
                <w:rFonts w:eastAsia="Times New Roman" w:cs="Times New Roman"/>
                <w:b/>
                <w:lang w:eastAsia="cs-CZ"/>
              </w:rPr>
            </w:pPr>
            <w:r w:rsidRPr="004A29BA">
              <w:rPr>
                <w:rFonts w:eastAsia="Times New Roman" w:cs="Times New Roman"/>
                <w:b/>
                <w:lang w:eastAsia="cs-CZ"/>
              </w:rPr>
              <w:tab/>
            </w:r>
            <w:r>
              <w:rPr>
                <w:rFonts w:eastAsia="Times New Roman" w:cs="Times New Roman"/>
                <w:b/>
                <w:lang w:eastAsia="cs-CZ"/>
              </w:rPr>
              <w:t>31 867 330</w:t>
            </w:r>
          </w:p>
        </w:tc>
        <w:tc>
          <w:tcPr>
            <w:tcW w:w="1335" w:type="dxa"/>
            <w:tcBorders>
              <w:top w:val="single" w:sz="8" w:space="0" w:color="7F7F7F" w:themeColor="text1" w:themeTint="80"/>
              <w:bottom w:val="single" w:sz="8" w:space="0" w:color="7F7F7F" w:themeColor="text1" w:themeTint="80"/>
            </w:tcBorders>
            <w:shd w:val="clear" w:color="auto" w:fill="auto"/>
            <w:vAlign w:val="center"/>
          </w:tcPr>
          <w:p w:rsidR="008A1F72" w:rsidRPr="004A29BA" w:rsidRDefault="008A1F72" w:rsidP="007B2F4B">
            <w:pPr>
              <w:jc w:val="right"/>
              <w:rPr>
                <w:rFonts w:eastAsia="Times New Roman" w:cs="Times New Roman"/>
                <w:b/>
                <w:lang w:eastAsia="cs-CZ"/>
              </w:rPr>
            </w:pPr>
            <w:r w:rsidRPr="004A29BA">
              <w:rPr>
                <w:rFonts w:eastAsia="Times New Roman" w:cs="Times New Roman"/>
                <w:b/>
                <w:lang w:eastAsia="cs-CZ"/>
              </w:rPr>
              <w:t>36 879 071</w:t>
            </w:r>
          </w:p>
        </w:tc>
        <w:tc>
          <w:tcPr>
            <w:tcW w:w="1361" w:type="dxa"/>
            <w:tcBorders>
              <w:top w:val="single" w:sz="8" w:space="0" w:color="7F7F7F" w:themeColor="text1" w:themeTint="80"/>
              <w:bottom w:val="single" w:sz="8" w:space="0" w:color="7F7F7F" w:themeColor="text1" w:themeTint="80"/>
            </w:tcBorders>
            <w:shd w:val="clear" w:color="auto" w:fill="auto"/>
            <w:vAlign w:val="center"/>
          </w:tcPr>
          <w:p w:rsidR="008A1F72" w:rsidRPr="004A29BA" w:rsidRDefault="008A1F72" w:rsidP="007B2F4B">
            <w:pPr>
              <w:jc w:val="right"/>
              <w:rPr>
                <w:rFonts w:eastAsia="Times New Roman" w:cs="Times New Roman"/>
                <w:b/>
                <w:lang w:eastAsia="cs-CZ"/>
              </w:rPr>
            </w:pPr>
            <w:r>
              <w:rPr>
                <w:rFonts w:eastAsia="Times New Roman" w:cs="Times New Roman"/>
                <w:b/>
                <w:lang w:eastAsia="cs-CZ"/>
              </w:rPr>
              <w:t>48 899 041</w:t>
            </w:r>
          </w:p>
        </w:tc>
        <w:tc>
          <w:tcPr>
            <w:tcW w:w="1077" w:type="dxa"/>
            <w:tcBorders>
              <w:top w:val="single" w:sz="8" w:space="0" w:color="7F7F7F" w:themeColor="text1" w:themeTint="80"/>
              <w:bottom w:val="single" w:sz="8" w:space="0" w:color="7F7F7F" w:themeColor="text1" w:themeTint="80"/>
            </w:tcBorders>
            <w:shd w:val="clear" w:color="auto" w:fill="auto"/>
            <w:vAlign w:val="center"/>
          </w:tcPr>
          <w:p w:rsidR="008A1F72" w:rsidRPr="004A29BA" w:rsidRDefault="008A1F72" w:rsidP="007B2F4B">
            <w:pPr>
              <w:jc w:val="right"/>
              <w:rPr>
                <w:rFonts w:eastAsia="Times New Roman" w:cs="Times New Roman"/>
                <w:b/>
                <w:lang w:eastAsia="cs-CZ"/>
              </w:rPr>
            </w:pPr>
            <w:r>
              <w:rPr>
                <w:rFonts w:eastAsia="Times New Roman" w:cs="Times New Roman"/>
                <w:b/>
                <w:lang w:eastAsia="cs-CZ"/>
              </w:rPr>
              <w:t>132,59</w:t>
            </w:r>
          </w:p>
        </w:tc>
      </w:tr>
      <w:tr w:rsidR="008A1F72" w:rsidRPr="004A29BA" w:rsidTr="007B2F4B">
        <w:tc>
          <w:tcPr>
            <w:tcW w:w="3969" w:type="dxa"/>
            <w:tcBorders>
              <w:top w:val="single" w:sz="8" w:space="0" w:color="7F7F7F" w:themeColor="text1" w:themeTint="80"/>
            </w:tcBorders>
            <w:shd w:val="clear" w:color="auto" w:fill="auto"/>
          </w:tcPr>
          <w:p w:rsidR="008A1F72" w:rsidRPr="004A29BA" w:rsidRDefault="008A1F72" w:rsidP="008A1F72">
            <w:pPr>
              <w:rPr>
                <w:rFonts w:eastAsia="Times New Roman" w:cs="Times New Roman"/>
                <w:lang w:eastAsia="cs-CZ"/>
              </w:rPr>
            </w:pPr>
            <w:r w:rsidRPr="004A29BA">
              <w:rPr>
                <w:rFonts w:eastAsia="Times New Roman" w:cs="Times New Roman"/>
                <w:lang w:eastAsia="cs-CZ"/>
              </w:rPr>
              <w:t>organizační složky státu</w:t>
            </w:r>
          </w:p>
        </w:tc>
        <w:tc>
          <w:tcPr>
            <w:tcW w:w="1337" w:type="dxa"/>
            <w:tcBorders>
              <w:top w:val="single" w:sz="8" w:space="0" w:color="7F7F7F" w:themeColor="text1" w:themeTint="80"/>
            </w:tcBorders>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125 611</w:t>
            </w:r>
          </w:p>
        </w:tc>
        <w:tc>
          <w:tcPr>
            <w:tcW w:w="1335" w:type="dxa"/>
            <w:tcBorders>
              <w:top w:val="single" w:sz="8" w:space="0" w:color="7F7F7F" w:themeColor="text1" w:themeTint="80"/>
            </w:tcBorders>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231 033</w:t>
            </w:r>
          </w:p>
        </w:tc>
        <w:tc>
          <w:tcPr>
            <w:tcW w:w="1361" w:type="dxa"/>
            <w:tcBorders>
              <w:top w:val="single" w:sz="8" w:space="0" w:color="7F7F7F" w:themeColor="text1" w:themeTint="80"/>
            </w:tcBorders>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167 798</w:t>
            </w:r>
          </w:p>
        </w:tc>
        <w:tc>
          <w:tcPr>
            <w:tcW w:w="1077" w:type="dxa"/>
            <w:tcBorders>
              <w:top w:val="single" w:sz="8" w:space="0" w:color="7F7F7F" w:themeColor="text1" w:themeTint="80"/>
            </w:tcBorders>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72,63</w:t>
            </w:r>
          </w:p>
        </w:tc>
      </w:tr>
      <w:tr w:rsidR="008A1F72" w:rsidRPr="004A29BA" w:rsidTr="007B2F4B">
        <w:tc>
          <w:tcPr>
            <w:tcW w:w="3969" w:type="dxa"/>
            <w:shd w:val="clear" w:color="auto" w:fill="auto"/>
          </w:tcPr>
          <w:p w:rsidR="008A1F72" w:rsidRPr="004A29BA" w:rsidRDefault="008A1F72" w:rsidP="008A1F72">
            <w:pPr>
              <w:rPr>
                <w:rFonts w:eastAsia="Times New Roman" w:cs="Times New Roman"/>
                <w:lang w:eastAsia="cs-CZ"/>
              </w:rPr>
            </w:pPr>
            <w:r w:rsidRPr="004A29BA">
              <w:rPr>
                <w:rFonts w:eastAsia="Times New Roman" w:cs="Times New Roman"/>
                <w:lang w:eastAsia="cs-CZ"/>
              </w:rPr>
              <w:t>příspěvkové organizace</w:t>
            </w:r>
          </w:p>
        </w:tc>
        <w:tc>
          <w:tcPr>
            <w:tcW w:w="133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89 160</w:t>
            </w:r>
          </w:p>
        </w:tc>
        <w:tc>
          <w:tcPr>
            <w:tcW w:w="1335"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7 668</w:t>
            </w:r>
          </w:p>
        </w:tc>
        <w:tc>
          <w:tcPr>
            <w:tcW w:w="1361"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0</w:t>
            </w:r>
          </w:p>
        </w:tc>
        <w:tc>
          <w:tcPr>
            <w:tcW w:w="107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0,00</w:t>
            </w:r>
          </w:p>
        </w:tc>
      </w:tr>
      <w:tr w:rsidR="008A1F72" w:rsidRPr="004A29BA" w:rsidTr="007B2F4B">
        <w:tc>
          <w:tcPr>
            <w:tcW w:w="3969" w:type="dxa"/>
            <w:shd w:val="clear" w:color="auto" w:fill="auto"/>
          </w:tcPr>
          <w:p w:rsidR="008A1F72" w:rsidRPr="004A29BA" w:rsidRDefault="008A1F72" w:rsidP="008A1F72">
            <w:pPr>
              <w:rPr>
                <w:rFonts w:eastAsia="Times New Roman" w:cs="Times New Roman"/>
                <w:lang w:eastAsia="cs-CZ"/>
              </w:rPr>
            </w:pPr>
            <w:r w:rsidRPr="004A29BA">
              <w:rPr>
                <w:rFonts w:eastAsia="Times New Roman" w:cs="Times New Roman"/>
                <w:lang w:eastAsia="cs-CZ"/>
              </w:rPr>
              <w:t>podnikatelské subjekty</w:t>
            </w:r>
          </w:p>
        </w:tc>
        <w:tc>
          <w:tcPr>
            <w:tcW w:w="133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3 693</w:t>
            </w:r>
          </w:p>
        </w:tc>
        <w:tc>
          <w:tcPr>
            <w:tcW w:w="1335"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716 538</w:t>
            </w:r>
          </w:p>
        </w:tc>
        <w:tc>
          <w:tcPr>
            <w:tcW w:w="1361"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41 485</w:t>
            </w:r>
          </w:p>
        </w:tc>
        <w:tc>
          <w:tcPr>
            <w:tcW w:w="107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5,79</w:t>
            </w:r>
          </w:p>
        </w:tc>
      </w:tr>
      <w:tr w:rsidR="008A1F72" w:rsidRPr="004A29BA" w:rsidTr="007B2F4B">
        <w:tc>
          <w:tcPr>
            <w:tcW w:w="3969" w:type="dxa"/>
            <w:shd w:val="clear" w:color="auto" w:fill="auto"/>
          </w:tcPr>
          <w:p w:rsidR="008A1F72" w:rsidRPr="004A29BA" w:rsidRDefault="008A1F72" w:rsidP="008A1F72">
            <w:pPr>
              <w:rPr>
                <w:rFonts w:eastAsia="Times New Roman" w:cs="Times New Roman"/>
                <w:lang w:eastAsia="cs-CZ"/>
              </w:rPr>
            </w:pPr>
            <w:r w:rsidRPr="004A29BA">
              <w:rPr>
                <w:rFonts w:eastAsia="Times New Roman" w:cs="Times New Roman"/>
                <w:lang w:eastAsia="cs-CZ"/>
              </w:rPr>
              <w:t>veřejné rozpočty územní úrovně</w:t>
            </w:r>
          </w:p>
        </w:tc>
        <w:tc>
          <w:tcPr>
            <w:tcW w:w="133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5 194</w:t>
            </w:r>
          </w:p>
        </w:tc>
        <w:tc>
          <w:tcPr>
            <w:tcW w:w="1335"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0</w:t>
            </w:r>
          </w:p>
        </w:tc>
        <w:tc>
          <w:tcPr>
            <w:tcW w:w="1361"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0</w:t>
            </w:r>
          </w:p>
        </w:tc>
        <w:tc>
          <w:tcPr>
            <w:tcW w:w="1077"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x</w:t>
            </w:r>
          </w:p>
        </w:tc>
      </w:tr>
      <w:tr w:rsidR="008A1F72" w:rsidRPr="004A29BA" w:rsidTr="007B2F4B">
        <w:tc>
          <w:tcPr>
            <w:tcW w:w="3969" w:type="dxa"/>
            <w:shd w:val="clear" w:color="auto" w:fill="auto"/>
          </w:tcPr>
          <w:p w:rsidR="008A1F72" w:rsidRPr="004A29BA" w:rsidRDefault="008A1F72" w:rsidP="008A1F72">
            <w:pPr>
              <w:rPr>
                <w:rFonts w:eastAsia="Times New Roman" w:cs="Times New Roman"/>
                <w:lang w:eastAsia="cs-CZ"/>
              </w:rPr>
            </w:pPr>
            <w:r>
              <w:rPr>
                <w:rFonts w:eastAsia="Times New Roman" w:cs="Times New Roman"/>
                <w:lang w:eastAsia="cs-CZ"/>
              </w:rPr>
              <w:t>neziskové a podobné organizace</w:t>
            </w:r>
          </w:p>
        </w:tc>
        <w:tc>
          <w:tcPr>
            <w:tcW w:w="133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307</w:t>
            </w:r>
          </w:p>
        </w:tc>
        <w:tc>
          <w:tcPr>
            <w:tcW w:w="1335"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0</w:t>
            </w:r>
          </w:p>
        </w:tc>
        <w:tc>
          <w:tcPr>
            <w:tcW w:w="1361"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0</w:t>
            </w:r>
          </w:p>
        </w:tc>
        <w:tc>
          <w:tcPr>
            <w:tcW w:w="1077"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x</w:t>
            </w:r>
          </w:p>
        </w:tc>
      </w:tr>
      <w:tr w:rsidR="008A1F72" w:rsidRPr="004A29BA" w:rsidTr="007B2F4B">
        <w:tc>
          <w:tcPr>
            <w:tcW w:w="3969" w:type="dxa"/>
            <w:shd w:val="clear" w:color="auto" w:fill="auto"/>
          </w:tcPr>
          <w:p w:rsidR="008A1F72" w:rsidRPr="004A29BA" w:rsidRDefault="008A1F72" w:rsidP="008A1F72">
            <w:pPr>
              <w:rPr>
                <w:rFonts w:eastAsia="Times New Roman" w:cs="Times New Roman"/>
                <w:lang w:eastAsia="cs-CZ"/>
              </w:rPr>
            </w:pPr>
            <w:r w:rsidRPr="004A29BA">
              <w:rPr>
                <w:rFonts w:eastAsia="Times New Roman" w:cs="Times New Roman"/>
                <w:lang w:eastAsia="cs-CZ"/>
              </w:rPr>
              <w:t>státní fondy</w:t>
            </w:r>
          </w:p>
        </w:tc>
        <w:tc>
          <w:tcPr>
            <w:tcW w:w="133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31 643 365</w:t>
            </w:r>
          </w:p>
        </w:tc>
        <w:tc>
          <w:tcPr>
            <w:tcW w:w="1335" w:type="dxa"/>
            <w:shd w:val="clear" w:color="auto" w:fill="auto"/>
            <w:vAlign w:val="center"/>
          </w:tcPr>
          <w:p w:rsidR="008A1F72" w:rsidRPr="004A29BA" w:rsidRDefault="008A1F72" w:rsidP="007B2F4B">
            <w:pPr>
              <w:jc w:val="right"/>
              <w:rPr>
                <w:rFonts w:eastAsia="Times New Roman" w:cs="Times New Roman"/>
                <w:lang w:eastAsia="cs-CZ"/>
              </w:rPr>
            </w:pPr>
            <w:r w:rsidRPr="004A29BA">
              <w:rPr>
                <w:rFonts w:eastAsia="Times New Roman" w:cs="Times New Roman"/>
                <w:lang w:eastAsia="cs-CZ"/>
              </w:rPr>
              <w:t>35 923 832</w:t>
            </w:r>
          </w:p>
        </w:tc>
        <w:tc>
          <w:tcPr>
            <w:tcW w:w="1361"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48 689 758</w:t>
            </w:r>
          </w:p>
        </w:tc>
        <w:tc>
          <w:tcPr>
            <w:tcW w:w="1077" w:type="dxa"/>
            <w:shd w:val="clear" w:color="auto" w:fill="auto"/>
            <w:vAlign w:val="center"/>
          </w:tcPr>
          <w:p w:rsidR="008A1F72" w:rsidRPr="004A29BA" w:rsidRDefault="008A1F72" w:rsidP="007B2F4B">
            <w:pPr>
              <w:jc w:val="right"/>
              <w:rPr>
                <w:rFonts w:eastAsia="Times New Roman" w:cs="Times New Roman"/>
                <w:lang w:eastAsia="cs-CZ"/>
              </w:rPr>
            </w:pPr>
            <w:r>
              <w:rPr>
                <w:rFonts w:eastAsia="Times New Roman" w:cs="Times New Roman"/>
                <w:lang w:eastAsia="cs-CZ"/>
              </w:rPr>
              <w:t>135,54</w:t>
            </w:r>
          </w:p>
        </w:tc>
      </w:tr>
    </w:tbl>
    <w:p w:rsidR="008A1F72" w:rsidRDefault="008A1F72" w:rsidP="004C4BA5">
      <w:pPr>
        <w:pStyle w:val="Styl1"/>
        <w:rPr>
          <w:color w:val="FF0000"/>
        </w:rPr>
      </w:pPr>
      <w:r w:rsidRPr="005C72AB">
        <w:t>Výdaje vedené v informačním systému programového financování EDS/SMVS jsou oproti schválenému rozpočtu na rok 2018 vyšší o 12 019 970 tis. Kč, tj. o 32,59 %. Ke zvýšení dochází především u prostředků státních fondů.</w:t>
      </w:r>
    </w:p>
    <w:p w:rsidR="00BB459E" w:rsidRPr="00794C0C" w:rsidRDefault="00BB459E" w:rsidP="00BB459E">
      <w:pPr>
        <w:pStyle w:val="Nadpis3"/>
        <w:tabs>
          <w:tab w:val="clear" w:pos="720"/>
          <w:tab w:val="num" w:pos="709"/>
        </w:tabs>
        <w:spacing w:before="280"/>
        <w:ind w:left="1712" w:hanging="1712"/>
      </w:pPr>
      <w:bookmarkStart w:id="87" w:name="_Toc304375451"/>
      <w:bookmarkStart w:id="88" w:name="_Toc305406309"/>
      <w:bookmarkStart w:id="89" w:name="_Toc462314402"/>
      <w:bookmarkStart w:id="90" w:name="_Toc489274109"/>
      <w:bookmarkStart w:id="91" w:name="_Toc526424702"/>
      <w:r w:rsidRPr="00794C0C">
        <w:t>Organizační složky státu</w:t>
      </w:r>
      <w:bookmarkEnd w:id="87"/>
      <w:bookmarkEnd w:id="88"/>
      <w:bookmarkEnd w:id="89"/>
      <w:bookmarkEnd w:id="90"/>
      <w:bookmarkEnd w:id="91"/>
    </w:p>
    <w:p w:rsidR="00BB459E" w:rsidRPr="00D00A45" w:rsidRDefault="00794C0C" w:rsidP="00D00A45">
      <w:pPr>
        <w:pStyle w:val="Styl1"/>
      </w:pPr>
      <w:r w:rsidRPr="005C72AB">
        <w:t>Výdaje vedené v EDS/SMVS jsou pro rozpočtový rok 2019 u organizačních složek státu</w:t>
      </w:r>
      <w:r w:rsidRPr="005C72AB">
        <w:rPr>
          <w:b/>
          <w:bCs/>
        </w:rPr>
        <w:t xml:space="preserve"> </w:t>
      </w:r>
      <w:r w:rsidRPr="005C72AB">
        <w:t>navrženy v celkové výši 167 798 tis. Kč, v tom prostředky státního rozpočtu 167 798 tis. Kč, prostředky z fondů EU 0 tis. Kč. Druhové členění výdajů vykazuje následující tabulka.</w:t>
      </w:r>
      <w:r w:rsidR="00D00A45">
        <w:t xml:space="preserve"> </w:t>
      </w:r>
      <w:r w:rsidR="00BB459E" w:rsidRPr="0001421C">
        <w:rPr>
          <w:color w:val="FF0000"/>
        </w:rPr>
        <w:t xml:space="preserve">                                                                                                                                                   </w:t>
      </w:r>
    </w:p>
    <w:p w:rsidR="00794C0C" w:rsidRPr="005C72AB" w:rsidRDefault="00794C0C" w:rsidP="00794C0C">
      <w:pPr>
        <w:pStyle w:val="Titulek"/>
        <w:keepNext/>
      </w:pPr>
      <w:r w:rsidRPr="005C72AB">
        <w:t xml:space="preserve">Tabulka č. </w:t>
      </w:r>
      <w:r w:rsidRPr="005C72AB">
        <w:rPr>
          <w:noProof/>
        </w:rPr>
        <w:fldChar w:fldCharType="begin"/>
      </w:r>
      <w:r w:rsidRPr="005C72AB">
        <w:rPr>
          <w:noProof/>
        </w:rPr>
        <w:instrText xml:space="preserve"> SEQ Tabulka \* ARABIC </w:instrText>
      </w:r>
      <w:r w:rsidRPr="005C72AB">
        <w:rPr>
          <w:noProof/>
        </w:rPr>
        <w:fldChar w:fldCharType="separate"/>
      </w:r>
      <w:r w:rsidR="00AF5225">
        <w:rPr>
          <w:noProof/>
        </w:rPr>
        <w:t>26</w:t>
      </w:r>
      <w:r w:rsidRPr="005C72AB">
        <w:rPr>
          <w:noProof/>
        </w:rPr>
        <w:fldChar w:fldCharType="end"/>
      </w:r>
      <w:r w:rsidRPr="005C72AB">
        <w:rPr>
          <w:noProof/>
        </w:rPr>
        <w:t xml:space="preserve"> Výdaje organizačních složek státu vedené v EDS/SMVS (v tis. Kč)</w:t>
      </w:r>
    </w:p>
    <w:tbl>
      <w:tblPr>
        <w:tblStyle w:val="Svtltabulkasmkou1zvraznn5"/>
        <w:tblW w:w="500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3"/>
        <w:gridCol w:w="1377"/>
        <w:gridCol w:w="1375"/>
        <w:gridCol w:w="1375"/>
        <w:gridCol w:w="1076"/>
      </w:tblGrid>
      <w:tr w:rsidR="00794C0C" w:rsidRPr="0001421C" w:rsidTr="007B2F4B">
        <w:tc>
          <w:tcPr>
            <w:tcW w:w="212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Ukazatel</w:t>
            </w:r>
          </w:p>
        </w:tc>
        <w:tc>
          <w:tcPr>
            <w:tcW w:w="76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Skutečnost</w:t>
            </w:r>
          </w:p>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2017</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Schválený rozpočet</w:t>
            </w:r>
          </w:p>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2018</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Návrh</w:t>
            </w:r>
          </w:p>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rozpočtu</w:t>
            </w:r>
          </w:p>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2019</w:t>
            </w:r>
          </w:p>
        </w:tc>
        <w:tc>
          <w:tcPr>
            <w:tcW w:w="59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Index</w:t>
            </w:r>
          </w:p>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2019/</w:t>
            </w:r>
            <w:r w:rsidR="007B2F4B">
              <w:rPr>
                <w:rFonts w:eastAsia="Times New Roman" w:cs="Times New Roman"/>
                <w:b/>
                <w:lang w:eastAsia="cs-CZ"/>
              </w:rPr>
              <w:br/>
            </w:r>
            <w:r w:rsidRPr="005C72AB">
              <w:rPr>
                <w:rFonts w:eastAsia="Times New Roman" w:cs="Times New Roman"/>
                <w:b/>
                <w:lang w:eastAsia="cs-CZ"/>
              </w:rPr>
              <w:t>2018</w:t>
            </w:r>
          </w:p>
          <w:p w:rsidR="00794C0C" w:rsidRPr="005C72AB" w:rsidRDefault="00794C0C" w:rsidP="007B2F4B">
            <w:pPr>
              <w:jc w:val="center"/>
              <w:rPr>
                <w:rFonts w:eastAsia="Times New Roman" w:cs="Times New Roman"/>
                <w:b/>
                <w:lang w:eastAsia="cs-CZ"/>
              </w:rPr>
            </w:pPr>
            <w:r w:rsidRPr="005C72AB">
              <w:rPr>
                <w:rFonts w:eastAsia="Times New Roman" w:cs="Times New Roman"/>
                <w:b/>
                <w:lang w:eastAsia="cs-CZ"/>
              </w:rPr>
              <w:t>(v %)</w:t>
            </w:r>
          </w:p>
        </w:tc>
      </w:tr>
      <w:tr w:rsidR="00794C0C" w:rsidRPr="0001421C" w:rsidTr="007B2F4B">
        <w:tc>
          <w:tcPr>
            <w:tcW w:w="2128" w:type="pct"/>
            <w:tcBorders>
              <w:top w:val="single" w:sz="4" w:space="0" w:color="7F7F7F" w:themeColor="text1" w:themeTint="80"/>
              <w:bottom w:val="single" w:sz="8" w:space="0" w:color="7F7F7F" w:themeColor="text1" w:themeTint="80"/>
            </w:tcBorders>
            <w:shd w:val="clear" w:color="auto" w:fill="auto"/>
          </w:tcPr>
          <w:p w:rsidR="00794C0C" w:rsidRPr="005C72AB" w:rsidRDefault="00794C0C" w:rsidP="00CA2C79">
            <w:pPr>
              <w:jc w:val="center"/>
              <w:rPr>
                <w:rFonts w:eastAsia="Times New Roman" w:cs="Times New Roman"/>
                <w:lang w:eastAsia="cs-CZ"/>
              </w:rPr>
            </w:pPr>
            <w:r w:rsidRPr="005C72AB">
              <w:rPr>
                <w:rFonts w:eastAsia="Times New Roman" w:cs="Times New Roman"/>
                <w:lang w:eastAsia="cs-CZ"/>
              </w:rPr>
              <w:t>a</w:t>
            </w:r>
          </w:p>
        </w:tc>
        <w:tc>
          <w:tcPr>
            <w:tcW w:w="760" w:type="pct"/>
            <w:tcBorders>
              <w:top w:val="single" w:sz="4" w:space="0" w:color="7F7F7F" w:themeColor="text1" w:themeTint="80"/>
              <w:bottom w:val="single" w:sz="8" w:space="0" w:color="7F7F7F" w:themeColor="text1" w:themeTint="80"/>
            </w:tcBorders>
            <w:shd w:val="clear" w:color="auto" w:fill="auto"/>
          </w:tcPr>
          <w:p w:rsidR="00794C0C" w:rsidRPr="005C72AB" w:rsidRDefault="00794C0C" w:rsidP="00CA2C79">
            <w:pPr>
              <w:jc w:val="center"/>
              <w:rPr>
                <w:rFonts w:eastAsia="Times New Roman" w:cs="Times New Roman"/>
                <w:lang w:eastAsia="cs-CZ"/>
              </w:rPr>
            </w:pPr>
            <w:r w:rsidRPr="005C72AB">
              <w:rPr>
                <w:rFonts w:eastAsia="Times New Roman" w:cs="Times New Roman"/>
                <w:lang w:eastAsia="cs-CZ"/>
              </w:rPr>
              <w:t>1</w:t>
            </w:r>
          </w:p>
        </w:tc>
        <w:tc>
          <w:tcPr>
            <w:tcW w:w="759" w:type="pct"/>
            <w:tcBorders>
              <w:top w:val="single" w:sz="4" w:space="0" w:color="7F7F7F" w:themeColor="text1" w:themeTint="80"/>
              <w:bottom w:val="single" w:sz="8" w:space="0" w:color="7F7F7F" w:themeColor="text1" w:themeTint="80"/>
            </w:tcBorders>
            <w:shd w:val="clear" w:color="auto" w:fill="auto"/>
          </w:tcPr>
          <w:p w:rsidR="00794C0C" w:rsidRPr="005C72AB" w:rsidRDefault="00794C0C" w:rsidP="00CA2C79">
            <w:pPr>
              <w:jc w:val="center"/>
              <w:rPr>
                <w:rFonts w:eastAsia="Times New Roman" w:cs="Times New Roman"/>
                <w:lang w:eastAsia="cs-CZ"/>
              </w:rPr>
            </w:pPr>
            <w:r w:rsidRPr="005C72AB">
              <w:rPr>
                <w:rFonts w:eastAsia="Times New Roman" w:cs="Times New Roman"/>
                <w:lang w:eastAsia="cs-CZ"/>
              </w:rPr>
              <w:t>2</w:t>
            </w:r>
          </w:p>
        </w:tc>
        <w:tc>
          <w:tcPr>
            <w:tcW w:w="759" w:type="pct"/>
            <w:tcBorders>
              <w:top w:val="single" w:sz="4" w:space="0" w:color="7F7F7F" w:themeColor="text1" w:themeTint="80"/>
              <w:bottom w:val="single" w:sz="8" w:space="0" w:color="7F7F7F" w:themeColor="text1" w:themeTint="80"/>
            </w:tcBorders>
            <w:shd w:val="clear" w:color="auto" w:fill="auto"/>
          </w:tcPr>
          <w:p w:rsidR="00794C0C" w:rsidRPr="005C72AB" w:rsidRDefault="00794C0C" w:rsidP="00CA2C79">
            <w:pPr>
              <w:jc w:val="center"/>
              <w:rPr>
                <w:rFonts w:eastAsia="Times New Roman" w:cs="Times New Roman"/>
                <w:lang w:eastAsia="cs-CZ"/>
              </w:rPr>
            </w:pPr>
            <w:r w:rsidRPr="005C72AB">
              <w:rPr>
                <w:rFonts w:eastAsia="Times New Roman" w:cs="Times New Roman"/>
                <w:lang w:eastAsia="cs-CZ"/>
              </w:rPr>
              <w:t>3</w:t>
            </w:r>
          </w:p>
        </w:tc>
        <w:tc>
          <w:tcPr>
            <w:tcW w:w="595" w:type="pct"/>
            <w:tcBorders>
              <w:top w:val="single" w:sz="4" w:space="0" w:color="7F7F7F" w:themeColor="text1" w:themeTint="80"/>
              <w:bottom w:val="single" w:sz="8" w:space="0" w:color="7F7F7F" w:themeColor="text1" w:themeTint="80"/>
            </w:tcBorders>
            <w:shd w:val="clear" w:color="auto" w:fill="auto"/>
          </w:tcPr>
          <w:p w:rsidR="00794C0C" w:rsidRPr="005C72AB" w:rsidRDefault="00794C0C" w:rsidP="00CA2C79">
            <w:pPr>
              <w:jc w:val="center"/>
              <w:rPr>
                <w:rFonts w:eastAsia="Times New Roman" w:cs="Times New Roman"/>
                <w:lang w:eastAsia="cs-CZ"/>
              </w:rPr>
            </w:pPr>
            <w:r w:rsidRPr="005C72AB">
              <w:rPr>
                <w:rFonts w:eastAsia="Times New Roman" w:cs="Times New Roman"/>
                <w:lang w:eastAsia="cs-CZ"/>
              </w:rPr>
              <w:t>4</w:t>
            </w:r>
          </w:p>
        </w:tc>
      </w:tr>
      <w:tr w:rsidR="00794C0C" w:rsidRPr="0001421C" w:rsidTr="007B2F4B">
        <w:tc>
          <w:tcPr>
            <w:tcW w:w="2128" w:type="pct"/>
            <w:tcBorders>
              <w:top w:val="single" w:sz="8" w:space="0" w:color="7F7F7F" w:themeColor="text1" w:themeTint="80"/>
              <w:bottom w:val="single" w:sz="8" w:space="0" w:color="7F7F7F" w:themeColor="text1" w:themeTint="80"/>
            </w:tcBorders>
            <w:shd w:val="clear" w:color="auto" w:fill="auto"/>
          </w:tcPr>
          <w:p w:rsidR="00794C0C" w:rsidRPr="005C72AB" w:rsidRDefault="00794C0C" w:rsidP="00CA2C79">
            <w:pPr>
              <w:rPr>
                <w:rFonts w:eastAsia="Times New Roman" w:cs="Times New Roman"/>
                <w:b/>
                <w:lang w:eastAsia="cs-CZ"/>
              </w:rPr>
            </w:pPr>
            <w:r w:rsidRPr="005C72AB">
              <w:rPr>
                <w:rFonts w:eastAsia="Times New Roman" w:cs="Times New Roman"/>
                <w:b/>
                <w:lang w:eastAsia="cs-CZ"/>
              </w:rPr>
              <w:t xml:space="preserve">Organizační složky státu celkem </w:t>
            </w:r>
            <w:r w:rsidR="007B2F4B">
              <w:rPr>
                <w:rFonts w:eastAsia="Times New Roman" w:cs="Times New Roman"/>
                <w:b/>
                <w:lang w:eastAsia="cs-CZ"/>
              </w:rPr>
              <w:br/>
            </w:r>
            <w:r w:rsidRPr="005C72AB">
              <w:rPr>
                <w:rFonts w:eastAsia="Times New Roman" w:cs="Times New Roman"/>
                <w:lang w:eastAsia="cs-CZ"/>
              </w:rPr>
              <w:t>v tom:</w:t>
            </w:r>
            <w:r w:rsidRPr="005C72AB">
              <w:rPr>
                <w:rFonts w:eastAsia="Times New Roman" w:cs="Times New Roman"/>
                <w:b/>
                <w:lang w:eastAsia="cs-CZ"/>
              </w:rPr>
              <w:t xml:space="preserve"> </w:t>
            </w:r>
          </w:p>
        </w:tc>
        <w:tc>
          <w:tcPr>
            <w:tcW w:w="760" w:type="pct"/>
            <w:tcBorders>
              <w:top w:val="single" w:sz="5" w:space="0" w:color="7F7F7F" w:themeColor="text1" w:themeTint="80"/>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b/>
                <w:lang w:eastAsia="cs-CZ"/>
              </w:rPr>
            </w:pPr>
            <w:r w:rsidRPr="005C72AB">
              <w:rPr>
                <w:rFonts w:eastAsia="Times New Roman" w:cs="Times New Roman"/>
                <w:b/>
                <w:lang w:eastAsia="cs-CZ"/>
              </w:rPr>
              <w:t>125 611</w:t>
            </w:r>
          </w:p>
        </w:tc>
        <w:tc>
          <w:tcPr>
            <w:tcW w:w="759" w:type="pct"/>
            <w:tcBorders>
              <w:top w:val="single" w:sz="5" w:space="0" w:color="7F7F7F" w:themeColor="text1" w:themeTint="80"/>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b/>
                <w:lang w:eastAsia="cs-CZ"/>
              </w:rPr>
            </w:pPr>
            <w:r w:rsidRPr="005C72AB">
              <w:rPr>
                <w:rFonts w:eastAsia="Times New Roman" w:cs="Times New Roman"/>
                <w:b/>
                <w:lang w:eastAsia="cs-CZ"/>
              </w:rPr>
              <w:t>231 033</w:t>
            </w:r>
          </w:p>
        </w:tc>
        <w:tc>
          <w:tcPr>
            <w:tcW w:w="759" w:type="pct"/>
            <w:tcBorders>
              <w:top w:val="single" w:sz="5" w:space="0" w:color="7F7F7F" w:themeColor="text1" w:themeTint="80"/>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b/>
                <w:lang w:eastAsia="cs-CZ"/>
              </w:rPr>
            </w:pPr>
            <w:r w:rsidRPr="005C72AB">
              <w:rPr>
                <w:rFonts w:eastAsia="Times New Roman" w:cs="Times New Roman"/>
                <w:b/>
                <w:lang w:eastAsia="cs-CZ"/>
              </w:rPr>
              <w:t>167 798</w:t>
            </w:r>
          </w:p>
        </w:tc>
        <w:tc>
          <w:tcPr>
            <w:tcW w:w="595" w:type="pct"/>
            <w:tcBorders>
              <w:top w:val="single" w:sz="5" w:space="0" w:color="7F7F7F" w:themeColor="text1" w:themeTint="80"/>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b/>
                <w:lang w:eastAsia="cs-CZ"/>
              </w:rPr>
            </w:pPr>
            <w:r w:rsidRPr="005C72AB">
              <w:rPr>
                <w:rFonts w:eastAsia="Times New Roman" w:cs="Times New Roman"/>
                <w:b/>
                <w:lang w:eastAsia="cs-CZ"/>
              </w:rPr>
              <w:t>72,63</w:t>
            </w:r>
          </w:p>
        </w:tc>
      </w:tr>
      <w:tr w:rsidR="00794C0C" w:rsidRPr="0001421C" w:rsidTr="007B2F4B">
        <w:tc>
          <w:tcPr>
            <w:tcW w:w="2128" w:type="pct"/>
            <w:tcBorders>
              <w:top w:val="single" w:sz="8" w:space="0" w:color="7F7F7F" w:themeColor="text1" w:themeTint="80"/>
              <w:bottom w:val="nil"/>
            </w:tcBorders>
            <w:shd w:val="clear" w:color="auto" w:fill="auto"/>
          </w:tcPr>
          <w:p w:rsidR="00794C0C" w:rsidRPr="005C72AB" w:rsidRDefault="00794C0C" w:rsidP="00CA2C79">
            <w:pPr>
              <w:rPr>
                <w:rFonts w:eastAsia="Times New Roman" w:cs="Times New Roman"/>
                <w:lang w:eastAsia="cs-CZ"/>
              </w:rPr>
            </w:pPr>
            <w:r w:rsidRPr="005C72AB">
              <w:rPr>
                <w:rFonts w:eastAsia="Times New Roman" w:cs="Times New Roman"/>
                <w:lang w:eastAsia="cs-CZ"/>
              </w:rPr>
              <w:t>běžné výdaje v tom:</w:t>
            </w:r>
          </w:p>
        </w:tc>
        <w:tc>
          <w:tcPr>
            <w:tcW w:w="760" w:type="pct"/>
            <w:tcBorders>
              <w:top w:val="single" w:sz="5" w:space="0" w:color="7F7F7F" w:themeColor="text1" w:themeTint="80"/>
              <w:bottom w:val="nil"/>
            </w:tcBorders>
            <w:shd w:val="clear" w:color="auto" w:fill="auto"/>
            <w:vAlign w:val="center"/>
          </w:tcPr>
          <w:p w:rsidR="00794C0C" w:rsidRPr="005C72AB" w:rsidRDefault="00794C0C" w:rsidP="00CA2C79">
            <w:pPr>
              <w:jc w:val="right"/>
              <w:rPr>
                <w:rFonts w:eastAsia="Times New Roman" w:cs="Times New Roman"/>
                <w:lang w:eastAsia="cs-CZ"/>
              </w:rPr>
            </w:pPr>
            <w:r w:rsidRPr="005C72AB">
              <w:rPr>
                <w:rFonts w:eastAsia="Times New Roman" w:cs="Times New Roman"/>
                <w:lang w:eastAsia="cs-CZ"/>
              </w:rPr>
              <w:t>74 344</w:t>
            </w:r>
          </w:p>
        </w:tc>
        <w:tc>
          <w:tcPr>
            <w:tcW w:w="759" w:type="pct"/>
            <w:tcBorders>
              <w:top w:val="single" w:sz="5" w:space="0" w:color="7F7F7F" w:themeColor="text1" w:themeTint="80"/>
              <w:bottom w:val="nil"/>
            </w:tcBorders>
            <w:shd w:val="clear" w:color="auto" w:fill="auto"/>
            <w:vAlign w:val="center"/>
          </w:tcPr>
          <w:p w:rsidR="00794C0C" w:rsidRPr="005C72AB" w:rsidRDefault="00794C0C" w:rsidP="00CA2C79">
            <w:pPr>
              <w:jc w:val="right"/>
              <w:rPr>
                <w:rFonts w:eastAsia="Times New Roman" w:cs="Times New Roman"/>
                <w:lang w:eastAsia="cs-CZ"/>
              </w:rPr>
            </w:pPr>
            <w:r w:rsidRPr="005C72AB">
              <w:rPr>
                <w:rFonts w:eastAsia="Times New Roman" w:cs="Times New Roman"/>
                <w:lang w:eastAsia="cs-CZ"/>
              </w:rPr>
              <w:t>108 363</w:t>
            </w:r>
          </w:p>
        </w:tc>
        <w:tc>
          <w:tcPr>
            <w:tcW w:w="759" w:type="pct"/>
            <w:tcBorders>
              <w:top w:val="single" w:sz="5" w:space="0" w:color="7F7F7F" w:themeColor="text1" w:themeTint="80"/>
              <w:bottom w:val="nil"/>
            </w:tcBorders>
            <w:shd w:val="clear" w:color="auto" w:fill="auto"/>
            <w:vAlign w:val="center"/>
          </w:tcPr>
          <w:p w:rsidR="00794C0C" w:rsidRPr="005C72AB" w:rsidRDefault="00794C0C" w:rsidP="00CA2C79">
            <w:pPr>
              <w:jc w:val="right"/>
              <w:rPr>
                <w:rFonts w:eastAsia="Times New Roman" w:cs="Times New Roman"/>
                <w:lang w:eastAsia="cs-CZ"/>
              </w:rPr>
            </w:pPr>
            <w:r w:rsidRPr="005C72AB">
              <w:rPr>
                <w:rFonts w:eastAsia="Times New Roman" w:cs="Times New Roman"/>
                <w:lang w:eastAsia="cs-CZ"/>
              </w:rPr>
              <w:t>74 026</w:t>
            </w:r>
          </w:p>
        </w:tc>
        <w:tc>
          <w:tcPr>
            <w:tcW w:w="595" w:type="pct"/>
            <w:tcBorders>
              <w:top w:val="single" w:sz="5" w:space="0" w:color="7F7F7F" w:themeColor="text1" w:themeTint="80"/>
              <w:bottom w:val="nil"/>
            </w:tcBorders>
            <w:shd w:val="clear" w:color="auto" w:fill="auto"/>
            <w:vAlign w:val="center"/>
          </w:tcPr>
          <w:p w:rsidR="00794C0C" w:rsidRPr="005C72AB" w:rsidRDefault="00794C0C" w:rsidP="00CA2C79">
            <w:pPr>
              <w:jc w:val="right"/>
              <w:rPr>
                <w:rFonts w:eastAsia="Times New Roman" w:cs="Times New Roman"/>
                <w:lang w:eastAsia="cs-CZ"/>
              </w:rPr>
            </w:pPr>
            <w:r w:rsidRPr="005C72AB">
              <w:rPr>
                <w:rFonts w:eastAsia="Times New Roman" w:cs="Times New Roman"/>
                <w:lang w:eastAsia="cs-CZ"/>
              </w:rPr>
              <w:t>68,31</w:t>
            </w:r>
          </w:p>
        </w:tc>
      </w:tr>
      <w:tr w:rsidR="00794C0C" w:rsidRPr="0001421C" w:rsidTr="007B2F4B">
        <w:tc>
          <w:tcPr>
            <w:tcW w:w="2128" w:type="pct"/>
            <w:tcBorders>
              <w:top w:val="nil"/>
              <w:bottom w:val="nil"/>
              <w:right w:val="single" w:sz="4" w:space="0" w:color="7F7F7F" w:themeColor="text1" w:themeTint="80"/>
            </w:tcBorders>
            <w:shd w:val="clear" w:color="auto" w:fill="auto"/>
          </w:tcPr>
          <w:p w:rsidR="00794C0C" w:rsidRPr="005C72AB" w:rsidRDefault="00794C0C" w:rsidP="00CA2C79">
            <w:pPr>
              <w:rPr>
                <w:rFonts w:eastAsia="Times New Roman" w:cs="Times New Roman"/>
                <w:i/>
                <w:lang w:eastAsia="cs-CZ"/>
              </w:rPr>
            </w:pPr>
            <w:r w:rsidRPr="005C72AB">
              <w:rPr>
                <w:rFonts w:eastAsia="Times New Roman" w:cs="Times New Roman"/>
                <w:i/>
                <w:lang w:eastAsia="cs-CZ"/>
              </w:rPr>
              <w:t xml:space="preserve">      prostředky SR</w:t>
            </w:r>
          </w:p>
        </w:tc>
        <w:tc>
          <w:tcPr>
            <w:tcW w:w="760"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74 332</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108 363</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74 026</w:t>
            </w:r>
          </w:p>
        </w:tc>
        <w:tc>
          <w:tcPr>
            <w:tcW w:w="595" w:type="pct"/>
            <w:tcBorders>
              <w:top w:val="nil"/>
              <w:left w:val="single" w:sz="2" w:space="0" w:color="7F7F7F" w:themeColor="text1" w:themeTint="80"/>
              <w:bottom w:val="nil"/>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68,31</w:t>
            </w:r>
          </w:p>
        </w:tc>
      </w:tr>
      <w:tr w:rsidR="00794C0C" w:rsidRPr="0001421C" w:rsidTr="007B2F4B">
        <w:tc>
          <w:tcPr>
            <w:tcW w:w="2128" w:type="pct"/>
            <w:tcBorders>
              <w:top w:val="nil"/>
              <w:bottom w:val="single" w:sz="4" w:space="0" w:color="7F7F7F" w:themeColor="text1" w:themeTint="80"/>
              <w:right w:val="single" w:sz="4" w:space="0" w:color="7F7F7F" w:themeColor="text1" w:themeTint="80"/>
            </w:tcBorders>
            <w:shd w:val="clear" w:color="auto" w:fill="auto"/>
          </w:tcPr>
          <w:p w:rsidR="00794C0C" w:rsidRPr="005C72AB" w:rsidRDefault="00794C0C" w:rsidP="00CA2C79">
            <w:pPr>
              <w:rPr>
                <w:rFonts w:eastAsia="Times New Roman" w:cs="Times New Roman"/>
                <w:i/>
                <w:lang w:eastAsia="cs-CZ"/>
              </w:rPr>
            </w:pPr>
            <w:r w:rsidRPr="005C72AB">
              <w:rPr>
                <w:rFonts w:eastAsia="Times New Roman" w:cs="Times New Roman"/>
                <w:i/>
                <w:lang w:eastAsia="cs-CZ"/>
              </w:rPr>
              <w:t xml:space="preserve">      prostředky z fondů EU</w:t>
            </w:r>
          </w:p>
        </w:tc>
        <w:tc>
          <w:tcPr>
            <w:tcW w:w="760"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12</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0</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0</w:t>
            </w:r>
          </w:p>
        </w:tc>
        <w:tc>
          <w:tcPr>
            <w:tcW w:w="595" w:type="pct"/>
            <w:tcBorders>
              <w:top w:val="nil"/>
              <w:left w:val="single" w:sz="2" w:space="0" w:color="7F7F7F" w:themeColor="text1" w:themeTint="80"/>
              <w:bottom w:val="single" w:sz="2"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x</w:t>
            </w:r>
          </w:p>
        </w:tc>
      </w:tr>
      <w:tr w:rsidR="00794C0C" w:rsidRPr="0001421C" w:rsidTr="007B2F4B">
        <w:tc>
          <w:tcPr>
            <w:tcW w:w="2128" w:type="pct"/>
            <w:tcBorders>
              <w:top w:val="single" w:sz="4" w:space="0" w:color="7F7F7F" w:themeColor="text1" w:themeTint="80"/>
              <w:bottom w:val="nil"/>
            </w:tcBorders>
            <w:shd w:val="clear" w:color="auto" w:fill="auto"/>
          </w:tcPr>
          <w:p w:rsidR="00794C0C" w:rsidRPr="005C72AB" w:rsidRDefault="00794C0C" w:rsidP="00CA2C79">
            <w:pPr>
              <w:spacing w:before="60"/>
              <w:rPr>
                <w:rFonts w:eastAsia="Times New Roman" w:cs="Times New Roman"/>
                <w:lang w:eastAsia="cs-CZ"/>
              </w:rPr>
            </w:pPr>
            <w:r w:rsidRPr="005C72AB">
              <w:rPr>
                <w:rFonts w:eastAsia="Times New Roman" w:cs="Times New Roman"/>
                <w:lang w:eastAsia="cs-CZ"/>
              </w:rPr>
              <w:t>kapitálové výdaje v tom:</w:t>
            </w:r>
          </w:p>
        </w:tc>
        <w:tc>
          <w:tcPr>
            <w:tcW w:w="760" w:type="pct"/>
            <w:tcBorders>
              <w:top w:val="single" w:sz="2" w:space="0" w:color="7F7F7F" w:themeColor="text1" w:themeTint="80"/>
              <w:bottom w:val="nil"/>
            </w:tcBorders>
            <w:shd w:val="clear" w:color="auto" w:fill="auto"/>
            <w:vAlign w:val="center"/>
          </w:tcPr>
          <w:p w:rsidR="00794C0C" w:rsidRPr="005C72AB" w:rsidRDefault="00794C0C" w:rsidP="00CA2C79">
            <w:pPr>
              <w:spacing w:before="60"/>
              <w:jc w:val="right"/>
              <w:rPr>
                <w:rFonts w:eastAsia="Times New Roman" w:cs="Times New Roman"/>
                <w:lang w:eastAsia="cs-CZ"/>
              </w:rPr>
            </w:pPr>
            <w:r w:rsidRPr="005C72AB">
              <w:rPr>
                <w:rFonts w:eastAsia="Times New Roman" w:cs="Times New Roman"/>
                <w:lang w:eastAsia="cs-CZ"/>
              </w:rPr>
              <w:t>51 267</w:t>
            </w:r>
          </w:p>
        </w:tc>
        <w:tc>
          <w:tcPr>
            <w:tcW w:w="759" w:type="pct"/>
            <w:tcBorders>
              <w:top w:val="single" w:sz="2" w:space="0" w:color="7F7F7F" w:themeColor="text1" w:themeTint="80"/>
              <w:bottom w:val="nil"/>
            </w:tcBorders>
            <w:shd w:val="clear" w:color="auto" w:fill="auto"/>
            <w:vAlign w:val="center"/>
          </w:tcPr>
          <w:p w:rsidR="00794C0C" w:rsidRPr="005C72AB" w:rsidRDefault="00794C0C" w:rsidP="00CA2C79">
            <w:pPr>
              <w:spacing w:before="60"/>
              <w:jc w:val="right"/>
              <w:rPr>
                <w:rFonts w:eastAsia="Times New Roman" w:cs="Times New Roman"/>
                <w:lang w:eastAsia="cs-CZ"/>
              </w:rPr>
            </w:pPr>
            <w:r w:rsidRPr="005C72AB">
              <w:rPr>
                <w:rFonts w:eastAsia="Times New Roman" w:cs="Times New Roman"/>
                <w:lang w:eastAsia="cs-CZ"/>
              </w:rPr>
              <w:t>122 670</w:t>
            </w:r>
          </w:p>
        </w:tc>
        <w:tc>
          <w:tcPr>
            <w:tcW w:w="759" w:type="pct"/>
            <w:tcBorders>
              <w:top w:val="single" w:sz="2" w:space="0" w:color="7F7F7F" w:themeColor="text1" w:themeTint="80"/>
              <w:bottom w:val="nil"/>
            </w:tcBorders>
            <w:shd w:val="clear" w:color="auto" w:fill="auto"/>
            <w:vAlign w:val="center"/>
          </w:tcPr>
          <w:p w:rsidR="00794C0C" w:rsidRPr="005C72AB" w:rsidRDefault="00794C0C" w:rsidP="00CA2C79">
            <w:pPr>
              <w:spacing w:before="60"/>
              <w:jc w:val="right"/>
              <w:rPr>
                <w:rFonts w:eastAsia="Times New Roman" w:cs="Times New Roman"/>
                <w:lang w:eastAsia="cs-CZ"/>
              </w:rPr>
            </w:pPr>
            <w:r w:rsidRPr="005C72AB">
              <w:rPr>
                <w:rFonts w:eastAsia="Times New Roman" w:cs="Times New Roman"/>
                <w:lang w:eastAsia="cs-CZ"/>
              </w:rPr>
              <w:t>93 772</w:t>
            </w:r>
          </w:p>
        </w:tc>
        <w:tc>
          <w:tcPr>
            <w:tcW w:w="595" w:type="pct"/>
            <w:tcBorders>
              <w:top w:val="single" w:sz="2" w:space="0" w:color="7F7F7F" w:themeColor="text1" w:themeTint="80"/>
              <w:bottom w:val="nil"/>
            </w:tcBorders>
            <w:shd w:val="clear" w:color="auto" w:fill="auto"/>
            <w:vAlign w:val="center"/>
          </w:tcPr>
          <w:p w:rsidR="00794C0C" w:rsidRPr="005C72AB" w:rsidRDefault="00794C0C" w:rsidP="00CA2C79">
            <w:pPr>
              <w:spacing w:before="60"/>
              <w:jc w:val="right"/>
              <w:rPr>
                <w:rFonts w:eastAsia="Times New Roman" w:cs="Times New Roman"/>
                <w:lang w:eastAsia="cs-CZ"/>
              </w:rPr>
            </w:pPr>
            <w:r w:rsidRPr="005C72AB">
              <w:rPr>
                <w:rFonts w:eastAsia="Times New Roman" w:cs="Times New Roman"/>
                <w:lang w:eastAsia="cs-CZ"/>
              </w:rPr>
              <w:t>76,44</w:t>
            </w:r>
          </w:p>
        </w:tc>
      </w:tr>
      <w:tr w:rsidR="00794C0C" w:rsidRPr="0001421C" w:rsidTr="007B2F4B">
        <w:tc>
          <w:tcPr>
            <w:tcW w:w="2128" w:type="pct"/>
            <w:tcBorders>
              <w:top w:val="nil"/>
              <w:bottom w:val="nil"/>
            </w:tcBorders>
            <w:shd w:val="clear" w:color="auto" w:fill="auto"/>
          </w:tcPr>
          <w:p w:rsidR="00794C0C" w:rsidRPr="005C72AB" w:rsidRDefault="00794C0C" w:rsidP="00CA2C79">
            <w:pPr>
              <w:rPr>
                <w:rFonts w:eastAsia="Times New Roman" w:cs="Times New Roman"/>
                <w:i/>
                <w:lang w:eastAsia="cs-CZ"/>
              </w:rPr>
            </w:pPr>
            <w:r w:rsidRPr="005C72AB">
              <w:rPr>
                <w:rFonts w:eastAsia="Times New Roman" w:cs="Times New Roman"/>
                <w:i/>
                <w:lang w:eastAsia="cs-CZ"/>
              </w:rPr>
              <w:t xml:space="preserve">      prostředky SR</w:t>
            </w:r>
          </w:p>
        </w:tc>
        <w:tc>
          <w:tcPr>
            <w:tcW w:w="760" w:type="pct"/>
            <w:tcBorders>
              <w:top w:val="nil"/>
              <w:bottom w:val="nil"/>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51 267</w:t>
            </w:r>
          </w:p>
        </w:tc>
        <w:tc>
          <w:tcPr>
            <w:tcW w:w="759" w:type="pct"/>
            <w:tcBorders>
              <w:top w:val="nil"/>
              <w:bottom w:val="nil"/>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122 670</w:t>
            </w:r>
          </w:p>
        </w:tc>
        <w:tc>
          <w:tcPr>
            <w:tcW w:w="759" w:type="pct"/>
            <w:tcBorders>
              <w:top w:val="nil"/>
              <w:bottom w:val="nil"/>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93 772</w:t>
            </w:r>
          </w:p>
        </w:tc>
        <w:tc>
          <w:tcPr>
            <w:tcW w:w="595" w:type="pct"/>
            <w:tcBorders>
              <w:top w:val="nil"/>
              <w:bottom w:val="nil"/>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76,44</w:t>
            </w:r>
          </w:p>
        </w:tc>
      </w:tr>
      <w:tr w:rsidR="00794C0C" w:rsidRPr="0001421C" w:rsidTr="007B2F4B">
        <w:tc>
          <w:tcPr>
            <w:tcW w:w="2128" w:type="pct"/>
            <w:tcBorders>
              <w:top w:val="nil"/>
              <w:bottom w:val="single" w:sz="8" w:space="0" w:color="7F7F7F" w:themeColor="text1" w:themeTint="80"/>
            </w:tcBorders>
            <w:shd w:val="clear" w:color="auto" w:fill="auto"/>
          </w:tcPr>
          <w:p w:rsidR="00794C0C" w:rsidRPr="005C72AB" w:rsidRDefault="00794C0C" w:rsidP="00CA2C79">
            <w:pPr>
              <w:rPr>
                <w:rFonts w:eastAsia="Times New Roman" w:cs="Times New Roman"/>
                <w:i/>
                <w:lang w:eastAsia="cs-CZ"/>
              </w:rPr>
            </w:pPr>
            <w:r w:rsidRPr="005C72AB">
              <w:rPr>
                <w:rFonts w:eastAsia="Times New Roman" w:cs="Times New Roman"/>
                <w:i/>
                <w:lang w:eastAsia="cs-CZ"/>
              </w:rPr>
              <w:t xml:space="preserve">      prostředky z fondů EU</w:t>
            </w:r>
          </w:p>
        </w:tc>
        <w:tc>
          <w:tcPr>
            <w:tcW w:w="760" w:type="pct"/>
            <w:tcBorders>
              <w:top w:val="nil"/>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0</w:t>
            </w:r>
          </w:p>
        </w:tc>
        <w:tc>
          <w:tcPr>
            <w:tcW w:w="759" w:type="pct"/>
            <w:tcBorders>
              <w:top w:val="nil"/>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0</w:t>
            </w:r>
          </w:p>
        </w:tc>
        <w:tc>
          <w:tcPr>
            <w:tcW w:w="759" w:type="pct"/>
            <w:tcBorders>
              <w:top w:val="nil"/>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0</w:t>
            </w:r>
          </w:p>
        </w:tc>
        <w:tc>
          <w:tcPr>
            <w:tcW w:w="595" w:type="pct"/>
            <w:tcBorders>
              <w:top w:val="nil"/>
              <w:bottom w:val="single" w:sz="5" w:space="0" w:color="7F7F7F" w:themeColor="text1" w:themeTint="80"/>
            </w:tcBorders>
            <w:shd w:val="clear" w:color="auto" w:fill="auto"/>
            <w:vAlign w:val="center"/>
          </w:tcPr>
          <w:p w:rsidR="00794C0C" w:rsidRPr="005C72AB" w:rsidRDefault="00794C0C" w:rsidP="00CA2C79">
            <w:pPr>
              <w:jc w:val="right"/>
              <w:rPr>
                <w:rFonts w:eastAsia="Times New Roman" w:cs="Times New Roman"/>
                <w:i/>
                <w:lang w:eastAsia="cs-CZ"/>
              </w:rPr>
            </w:pPr>
            <w:r w:rsidRPr="005C72AB">
              <w:rPr>
                <w:rFonts w:eastAsia="Times New Roman" w:cs="Times New Roman"/>
                <w:i/>
                <w:lang w:eastAsia="cs-CZ"/>
              </w:rPr>
              <w:t>x</w:t>
            </w:r>
          </w:p>
        </w:tc>
      </w:tr>
    </w:tbl>
    <w:p w:rsidR="00794C0C" w:rsidRPr="005C72AB" w:rsidRDefault="00794C0C" w:rsidP="004C4BA5">
      <w:pPr>
        <w:pStyle w:val="Styl1"/>
      </w:pPr>
      <w:bookmarkStart w:id="92" w:name="_Toc304375452"/>
      <w:bookmarkStart w:id="93" w:name="_Toc305406310"/>
      <w:r w:rsidRPr="005C72AB">
        <w:t xml:space="preserve">Organizační složky státu v působnosti Ministerstva dopravy jsou orgány státní správy, </w:t>
      </w:r>
      <w:r w:rsidR="00BA4EEA">
        <w:br/>
      </w:r>
      <w:r w:rsidRPr="005C72AB">
        <w:t>tj. Ústřední orgán MD, Úřad pro civilní letectví, Státní plavební správa, Drážní úřad, Drážní inspekce, Ústav pro odborné zjišťování příčin leteckých nehod a ostatní organizační složky státu, tj. Ředitelství vodních cest ČR.</w:t>
      </w:r>
    </w:p>
    <w:p w:rsidR="00794C0C" w:rsidRDefault="00794C0C" w:rsidP="004C4BA5">
      <w:pPr>
        <w:pStyle w:val="Styl1"/>
      </w:pPr>
      <w:r w:rsidRPr="005C72AB">
        <w:lastRenderedPageBreak/>
        <w:t xml:space="preserve">V dalším textu je uváděn návrh rozpočtu výdajů vedených v EDS/SMVS v členění dle konečných příjemců, tj. jednotlivých organizačních složek státu a v členění na jednotlivé programy. </w:t>
      </w:r>
    </w:p>
    <w:p w:rsidR="00794C0C" w:rsidRPr="005C72AB" w:rsidRDefault="00794C0C" w:rsidP="004C4BA5">
      <w:pPr>
        <w:pStyle w:val="Styl1"/>
        <w:rPr>
          <w:color w:val="FF0000"/>
        </w:rPr>
      </w:pPr>
      <w:r w:rsidRPr="005C72AB">
        <w:t>Organizační složky státu jsou v roce 2019 účastníky programu 127 03 „Rozvoj a obnova materiálně technické základny systému řízení MD-OSS“, který postupně nahradí program                127 01 „Rozvoj a obnova materiálně-technické základny systému řízení MD-OSS“.</w:t>
      </w:r>
    </w:p>
    <w:p w:rsidR="00794C0C" w:rsidRDefault="00794C0C" w:rsidP="004C4BA5">
      <w:pPr>
        <w:pStyle w:val="Styl1"/>
      </w:pPr>
      <w:r w:rsidRPr="005C72AB">
        <w:t xml:space="preserve">Běžné výdaje jsou v roce 2019 navrženy pouze u Ústředního orgánu Ministerstva dopravy. </w:t>
      </w:r>
    </w:p>
    <w:p w:rsidR="00BB459E" w:rsidRPr="004C4BA5" w:rsidRDefault="00BB459E" w:rsidP="004C4BA5">
      <w:pPr>
        <w:spacing w:before="200" w:line="240" w:lineRule="auto"/>
        <w:ind w:firstLine="539"/>
        <w:rPr>
          <w:rFonts w:eastAsia="Times New Roman" w:cs="Times New Roman"/>
          <w:b/>
          <w:iCs/>
          <w:szCs w:val="24"/>
          <w:u w:val="single"/>
          <w:lang w:eastAsia="cs-CZ"/>
        </w:rPr>
      </w:pPr>
      <w:r w:rsidRPr="00794C0C">
        <w:rPr>
          <w:rFonts w:eastAsia="Times New Roman" w:cs="Times New Roman"/>
          <w:b/>
          <w:iCs/>
          <w:szCs w:val="24"/>
          <w:u w:val="single"/>
          <w:lang w:eastAsia="cs-CZ"/>
        </w:rPr>
        <w:t>Ústře</w:t>
      </w:r>
      <w:r w:rsidR="004C4BA5">
        <w:rPr>
          <w:rFonts w:eastAsia="Times New Roman" w:cs="Times New Roman"/>
          <w:b/>
          <w:iCs/>
          <w:szCs w:val="24"/>
          <w:u w:val="single"/>
          <w:lang w:eastAsia="cs-CZ"/>
        </w:rPr>
        <w:t xml:space="preserve">dní orgán Ministerstvo dopravy </w:t>
      </w:r>
      <w:r w:rsidRPr="0001421C">
        <w:rPr>
          <w:rFonts w:eastAsia="Times New Roman" w:cs="Times New Roman"/>
          <w:b/>
          <w:bCs/>
          <w:color w:val="FF0000"/>
          <w:szCs w:val="24"/>
          <w:lang w:eastAsia="cs-CZ"/>
        </w:rPr>
        <w:t xml:space="preserve">  </w:t>
      </w:r>
    </w:p>
    <w:p w:rsidR="00794C0C" w:rsidRPr="00FD4A05" w:rsidRDefault="00794C0C" w:rsidP="00794C0C">
      <w:pPr>
        <w:keepNext/>
        <w:spacing w:before="120" w:after="120" w:line="240" w:lineRule="auto"/>
        <w:rPr>
          <w:rFonts w:eastAsia="Times New Roman" w:cs="Times New Roman"/>
          <w:b/>
          <w:bCs/>
          <w:noProof/>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27</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Ústředního orgánu Ministerstva dopravy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543"/>
        <w:gridCol w:w="1133"/>
        <w:gridCol w:w="1135"/>
        <w:gridCol w:w="1133"/>
        <w:gridCol w:w="1137"/>
        <w:gridCol w:w="1133"/>
        <w:gridCol w:w="838"/>
      </w:tblGrid>
      <w:tr w:rsidR="00794C0C" w:rsidRPr="00FD4A05" w:rsidTr="00BA4EEA">
        <w:tc>
          <w:tcPr>
            <w:tcW w:w="1404"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FD4A05" w:rsidRDefault="00794C0C" w:rsidP="00BA4EEA">
            <w:pPr>
              <w:jc w:val="center"/>
              <w:rPr>
                <w:rFonts w:eastAsia="Times New Roman" w:cs="Times New Roman"/>
                <w:b/>
                <w:bCs/>
                <w:lang w:eastAsia="cs-CZ"/>
              </w:rPr>
            </w:pPr>
            <w:r w:rsidRPr="00FD4A05">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FD4A05" w:rsidRDefault="00794C0C" w:rsidP="00CA2C79">
            <w:pPr>
              <w:jc w:val="center"/>
              <w:rPr>
                <w:rFonts w:eastAsia="Times New Roman" w:cs="Times New Roman"/>
                <w:b/>
                <w:bCs/>
                <w:lang w:eastAsia="cs-CZ"/>
              </w:rPr>
            </w:pPr>
            <w:r w:rsidRPr="00FD4A05">
              <w:rPr>
                <w:rFonts w:eastAsia="Times New Roman" w:cs="Times New Roman"/>
                <w:b/>
                <w:bCs/>
                <w:lang w:eastAsia="cs-CZ"/>
              </w:rPr>
              <w:t>Skutečnost 2017</w:t>
            </w:r>
          </w:p>
        </w:tc>
        <w:tc>
          <w:tcPr>
            <w:tcW w:w="1254"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FD4A05" w:rsidRDefault="00794C0C" w:rsidP="00CA2C79">
            <w:pPr>
              <w:jc w:val="center"/>
              <w:rPr>
                <w:rFonts w:eastAsia="Times New Roman" w:cs="Times New Roman"/>
                <w:b/>
                <w:bCs/>
                <w:lang w:eastAsia="cs-CZ"/>
              </w:rPr>
            </w:pPr>
            <w:r w:rsidRPr="00FD4A05">
              <w:rPr>
                <w:rFonts w:eastAsia="Times New Roman" w:cs="Times New Roman"/>
                <w:b/>
                <w:bCs/>
                <w:lang w:eastAsia="cs-CZ"/>
              </w:rPr>
              <w:t>Schválený rozpočet 2018</w:t>
            </w:r>
          </w:p>
        </w:tc>
        <w:tc>
          <w:tcPr>
            <w:tcW w:w="108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94C0C" w:rsidRPr="00FD4A05" w:rsidRDefault="00794C0C" w:rsidP="00CA2C79">
            <w:pPr>
              <w:jc w:val="center"/>
              <w:rPr>
                <w:rFonts w:eastAsia="Times New Roman" w:cs="Times New Roman"/>
                <w:b/>
                <w:bCs/>
                <w:lang w:eastAsia="cs-CZ"/>
              </w:rPr>
            </w:pPr>
            <w:r w:rsidRPr="00FD4A05">
              <w:rPr>
                <w:rFonts w:eastAsia="Times New Roman" w:cs="Times New Roman"/>
                <w:b/>
                <w:bCs/>
                <w:lang w:eastAsia="cs-CZ"/>
              </w:rPr>
              <w:t>Návrh rozpočtu 2019</w:t>
            </w:r>
          </w:p>
        </w:tc>
      </w:tr>
      <w:tr w:rsidR="00794C0C" w:rsidRPr="00FD4A05" w:rsidTr="00CA2C79">
        <w:tc>
          <w:tcPr>
            <w:tcW w:w="1404"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794C0C" w:rsidRPr="00FD4A05" w:rsidRDefault="00794C0C" w:rsidP="00CA2C79">
            <w:pPr>
              <w:rPr>
                <w:rFonts w:eastAsia="Times New Roman" w:cs="Times New Roman"/>
                <w:lang w:eastAsia="cs-CZ"/>
              </w:rPr>
            </w:pP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794C0C" w:rsidRPr="00FD4A05" w:rsidRDefault="00794C0C" w:rsidP="00CA2C79">
            <w:pPr>
              <w:jc w:val="center"/>
              <w:rPr>
                <w:rFonts w:eastAsia="Times New Roman" w:cs="Times New Roman"/>
                <w:b/>
                <w:lang w:eastAsia="cs-CZ"/>
              </w:rPr>
            </w:pPr>
            <w:r w:rsidRPr="00FD4A05">
              <w:rPr>
                <w:rFonts w:eastAsia="Times New Roman" w:cs="Times New Roman"/>
                <w:b/>
                <w:lang w:eastAsia="cs-CZ"/>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794C0C" w:rsidRPr="00FD4A05" w:rsidRDefault="00794C0C" w:rsidP="00CA2C79">
            <w:pPr>
              <w:jc w:val="center"/>
              <w:rPr>
                <w:rFonts w:eastAsia="Times New Roman" w:cs="Times New Roman"/>
                <w:b/>
                <w:lang w:eastAsia="cs-CZ"/>
              </w:rPr>
            </w:pPr>
            <w:r w:rsidRPr="00FD4A05">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794C0C" w:rsidRPr="00FD4A05" w:rsidRDefault="00794C0C" w:rsidP="00CA2C79">
            <w:pPr>
              <w:jc w:val="center"/>
              <w:rPr>
                <w:rFonts w:eastAsia="Times New Roman" w:cs="Times New Roman"/>
                <w:b/>
                <w:lang w:eastAsia="cs-CZ"/>
              </w:rPr>
            </w:pPr>
            <w:r w:rsidRPr="00FD4A05">
              <w:rPr>
                <w:rFonts w:eastAsia="Times New Roman" w:cs="Times New Roman"/>
                <w:b/>
                <w:lang w:eastAsia="cs-CZ"/>
              </w:rPr>
              <w:t>SR</w:t>
            </w:r>
          </w:p>
        </w:tc>
        <w:tc>
          <w:tcPr>
            <w:tcW w:w="62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794C0C" w:rsidRPr="00FD4A05" w:rsidRDefault="00794C0C" w:rsidP="00CA2C79">
            <w:pPr>
              <w:jc w:val="center"/>
              <w:rPr>
                <w:rFonts w:eastAsia="Times New Roman" w:cs="Times New Roman"/>
                <w:b/>
                <w:lang w:eastAsia="cs-CZ"/>
              </w:rPr>
            </w:pPr>
            <w:r w:rsidRPr="00FD4A05">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794C0C" w:rsidRPr="00FD4A05" w:rsidRDefault="00794C0C" w:rsidP="00CA2C79">
            <w:pPr>
              <w:jc w:val="center"/>
              <w:rPr>
                <w:rFonts w:eastAsia="Times New Roman" w:cs="Times New Roman"/>
                <w:b/>
                <w:lang w:eastAsia="cs-CZ"/>
              </w:rPr>
            </w:pPr>
            <w:r w:rsidRPr="00FD4A05">
              <w:rPr>
                <w:rFonts w:eastAsia="Times New Roman" w:cs="Times New Roman"/>
                <w:b/>
                <w:lang w:eastAsia="cs-CZ"/>
              </w:rPr>
              <w:t>SR</w:t>
            </w:r>
          </w:p>
        </w:tc>
        <w:tc>
          <w:tcPr>
            <w:tcW w:w="46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794C0C" w:rsidRPr="00FD4A05" w:rsidRDefault="00794C0C" w:rsidP="00CA2C79">
            <w:pPr>
              <w:jc w:val="center"/>
              <w:rPr>
                <w:rFonts w:eastAsia="Times New Roman" w:cs="Times New Roman"/>
                <w:b/>
                <w:lang w:eastAsia="cs-CZ"/>
              </w:rPr>
            </w:pPr>
            <w:r w:rsidRPr="00FD4A05">
              <w:rPr>
                <w:rFonts w:eastAsia="Times New Roman" w:cs="Times New Roman"/>
                <w:b/>
                <w:lang w:eastAsia="cs-CZ"/>
              </w:rPr>
              <w:t>EU</w:t>
            </w:r>
          </w:p>
        </w:tc>
      </w:tr>
      <w:tr w:rsidR="00794C0C" w:rsidRPr="00FD4A05" w:rsidTr="00CA2C79">
        <w:tc>
          <w:tcPr>
            <w:tcW w:w="1404" w:type="pct"/>
            <w:tcBorders>
              <w:top w:val="single" w:sz="4" w:space="0" w:color="7F7F7F" w:themeColor="text1" w:themeTint="80"/>
              <w:bottom w:val="nil"/>
            </w:tcBorders>
            <w:shd w:val="clear" w:color="auto" w:fill="auto"/>
          </w:tcPr>
          <w:p w:rsidR="00794C0C" w:rsidRPr="00FD4A05" w:rsidRDefault="00794C0C" w:rsidP="00CA2C79">
            <w:pPr>
              <w:jc w:val="center"/>
              <w:rPr>
                <w:rFonts w:eastAsia="Times New Roman" w:cs="Times New Roman"/>
                <w:lang w:eastAsia="cs-CZ"/>
              </w:rPr>
            </w:pPr>
            <w:r w:rsidRPr="00FD4A05">
              <w:rPr>
                <w:rFonts w:eastAsia="Times New Roman" w:cs="Times New Roman"/>
                <w:lang w:eastAsia="cs-CZ"/>
              </w:rPr>
              <w:t>127 01</w:t>
            </w:r>
          </w:p>
        </w:tc>
        <w:tc>
          <w:tcPr>
            <w:tcW w:w="626"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color w:val="FF0000"/>
                <w:lang w:eastAsia="cs-CZ"/>
              </w:rPr>
            </w:pPr>
            <w:r w:rsidRPr="00FD4A05">
              <w:rPr>
                <w:rFonts w:eastAsia="Times New Roman" w:cs="Times New Roman"/>
                <w:lang w:eastAsia="cs-CZ"/>
              </w:rPr>
              <w:t>66 903</w:t>
            </w:r>
          </w:p>
        </w:tc>
        <w:tc>
          <w:tcPr>
            <w:tcW w:w="627"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25 674</w:t>
            </w:r>
          </w:p>
        </w:tc>
        <w:tc>
          <w:tcPr>
            <w:tcW w:w="628"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0</w:t>
            </w:r>
          </w:p>
        </w:tc>
        <w:tc>
          <w:tcPr>
            <w:tcW w:w="463"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0</w:t>
            </w:r>
          </w:p>
        </w:tc>
      </w:tr>
      <w:tr w:rsidR="00794C0C" w:rsidRPr="00FD4A05" w:rsidTr="00CA2C79">
        <w:tc>
          <w:tcPr>
            <w:tcW w:w="1404" w:type="pct"/>
            <w:tcBorders>
              <w:top w:val="nil"/>
              <w:bottom w:val="single" w:sz="4" w:space="0" w:color="7F7F7F" w:themeColor="text1" w:themeTint="80"/>
            </w:tcBorders>
            <w:shd w:val="clear" w:color="auto" w:fill="auto"/>
          </w:tcPr>
          <w:p w:rsidR="00794C0C" w:rsidRPr="00FD4A05" w:rsidRDefault="00794C0C" w:rsidP="00CA2C79">
            <w:pPr>
              <w:jc w:val="center"/>
              <w:rPr>
                <w:rFonts w:eastAsia="Times New Roman" w:cs="Times New Roman"/>
                <w:i/>
                <w:iCs/>
                <w:lang w:eastAsia="cs-CZ"/>
              </w:rPr>
            </w:pPr>
            <w:r w:rsidRPr="00FD4A05">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color w:val="FF0000"/>
                <w:lang w:eastAsia="cs-CZ"/>
              </w:rPr>
            </w:pPr>
            <w:r w:rsidRPr="00FD4A05">
              <w:rPr>
                <w:rFonts w:eastAsia="Times New Roman" w:cs="Times New Roman"/>
                <w:i/>
                <w:iCs/>
                <w:lang w:eastAsia="cs-CZ"/>
              </w:rPr>
              <w:t>54 249</w:t>
            </w:r>
          </w:p>
        </w:tc>
        <w:tc>
          <w:tcPr>
            <w:tcW w:w="627"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23 081</w:t>
            </w:r>
          </w:p>
        </w:tc>
        <w:tc>
          <w:tcPr>
            <w:tcW w:w="628"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0</w:t>
            </w:r>
          </w:p>
        </w:tc>
        <w:tc>
          <w:tcPr>
            <w:tcW w:w="463"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0</w:t>
            </w:r>
          </w:p>
        </w:tc>
      </w:tr>
      <w:tr w:rsidR="00794C0C" w:rsidRPr="00FD4A05" w:rsidTr="00CA2C79">
        <w:tc>
          <w:tcPr>
            <w:tcW w:w="1404" w:type="pct"/>
            <w:tcBorders>
              <w:top w:val="single" w:sz="4" w:space="0" w:color="7F7F7F" w:themeColor="text1" w:themeTint="80"/>
              <w:bottom w:val="nil"/>
            </w:tcBorders>
            <w:shd w:val="clear" w:color="auto" w:fill="auto"/>
          </w:tcPr>
          <w:p w:rsidR="00794C0C" w:rsidRPr="00FD4A05" w:rsidRDefault="00794C0C" w:rsidP="00CA2C79">
            <w:pPr>
              <w:jc w:val="center"/>
              <w:rPr>
                <w:rFonts w:eastAsia="Times New Roman" w:cs="Times New Roman"/>
                <w:lang w:eastAsia="cs-CZ"/>
              </w:rPr>
            </w:pPr>
            <w:r w:rsidRPr="00FD4A05">
              <w:rPr>
                <w:rFonts w:eastAsia="Times New Roman" w:cs="Times New Roman"/>
                <w:lang w:eastAsia="cs-CZ"/>
              </w:rPr>
              <w:t>127 03</w:t>
            </w:r>
          </w:p>
        </w:tc>
        <w:tc>
          <w:tcPr>
            <w:tcW w:w="626"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color w:val="FF0000"/>
                <w:lang w:eastAsia="cs-CZ"/>
              </w:rPr>
            </w:pPr>
            <w:r w:rsidRPr="00FD4A05">
              <w:rPr>
                <w:rFonts w:eastAsia="Times New Roman" w:cs="Times New Roman"/>
                <w:lang w:eastAsia="cs-CZ"/>
              </w:rPr>
              <w:t>40 869</w:t>
            </w:r>
          </w:p>
        </w:tc>
        <w:tc>
          <w:tcPr>
            <w:tcW w:w="627"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12</w:t>
            </w:r>
          </w:p>
        </w:tc>
        <w:tc>
          <w:tcPr>
            <w:tcW w:w="626"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186 252</w:t>
            </w:r>
          </w:p>
        </w:tc>
        <w:tc>
          <w:tcPr>
            <w:tcW w:w="628"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142 441</w:t>
            </w:r>
          </w:p>
        </w:tc>
        <w:tc>
          <w:tcPr>
            <w:tcW w:w="463" w:type="pct"/>
            <w:tcBorders>
              <w:top w:val="single" w:sz="4" w:space="0" w:color="7F7F7F" w:themeColor="text1" w:themeTint="80"/>
              <w:bottom w:val="nil"/>
            </w:tcBorders>
            <w:shd w:val="clear" w:color="auto" w:fill="auto"/>
            <w:vAlign w:val="center"/>
          </w:tcPr>
          <w:p w:rsidR="00794C0C" w:rsidRPr="00FD4A05" w:rsidRDefault="00794C0C" w:rsidP="00CA2C79">
            <w:pPr>
              <w:jc w:val="right"/>
              <w:rPr>
                <w:rFonts w:eastAsia="Times New Roman" w:cs="Times New Roman"/>
                <w:lang w:eastAsia="cs-CZ"/>
              </w:rPr>
            </w:pPr>
            <w:r w:rsidRPr="00FD4A05">
              <w:rPr>
                <w:rFonts w:eastAsia="Times New Roman" w:cs="Times New Roman"/>
                <w:lang w:eastAsia="cs-CZ"/>
              </w:rPr>
              <w:t>0</w:t>
            </w:r>
          </w:p>
        </w:tc>
      </w:tr>
      <w:tr w:rsidR="00794C0C" w:rsidRPr="00FD4A05" w:rsidTr="00CA2C79">
        <w:tc>
          <w:tcPr>
            <w:tcW w:w="1404" w:type="pct"/>
            <w:tcBorders>
              <w:top w:val="nil"/>
              <w:bottom w:val="single" w:sz="4" w:space="0" w:color="7F7F7F" w:themeColor="text1" w:themeTint="80"/>
            </w:tcBorders>
            <w:shd w:val="clear" w:color="auto" w:fill="auto"/>
          </w:tcPr>
          <w:p w:rsidR="00794C0C" w:rsidRPr="00FD4A05" w:rsidRDefault="00794C0C" w:rsidP="00CA2C79">
            <w:pPr>
              <w:jc w:val="center"/>
              <w:rPr>
                <w:rFonts w:eastAsia="Times New Roman" w:cs="Times New Roman"/>
                <w:i/>
                <w:iCs/>
                <w:lang w:eastAsia="cs-CZ"/>
              </w:rPr>
            </w:pPr>
            <w:r w:rsidRPr="00FD4A05">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color w:val="FF0000"/>
                <w:lang w:eastAsia="cs-CZ"/>
              </w:rPr>
            </w:pPr>
            <w:r w:rsidRPr="00FD4A05">
              <w:rPr>
                <w:rFonts w:eastAsia="Times New Roman" w:cs="Times New Roman"/>
                <w:i/>
                <w:iCs/>
                <w:lang w:eastAsia="cs-CZ"/>
              </w:rPr>
              <w:t>20 083</w:t>
            </w:r>
          </w:p>
        </w:tc>
        <w:tc>
          <w:tcPr>
            <w:tcW w:w="627"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12</w:t>
            </w:r>
          </w:p>
        </w:tc>
        <w:tc>
          <w:tcPr>
            <w:tcW w:w="626"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85 282</w:t>
            </w:r>
          </w:p>
        </w:tc>
        <w:tc>
          <w:tcPr>
            <w:tcW w:w="628"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74 026</w:t>
            </w:r>
          </w:p>
        </w:tc>
        <w:tc>
          <w:tcPr>
            <w:tcW w:w="463" w:type="pct"/>
            <w:tcBorders>
              <w:top w:val="nil"/>
              <w:bottom w:val="single" w:sz="4" w:space="0" w:color="7F7F7F" w:themeColor="text1" w:themeTint="80"/>
            </w:tcBorders>
            <w:shd w:val="clear" w:color="auto" w:fill="auto"/>
            <w:vAlign w:val="center"/>
          </w:tcPr>
          <w:p w:rsidR="00794C0C" w:rsidRPr="00FD4A05" w:rsidRDefault="00794C0C" w:rsidP="00CA2C79">
            <w:pPr>
              <w:jc w:val="right"/>
              <w:rPr>
                <w:rFonts w:eastAsia="Times New Roman" w:cs="Times New Roman"/>
                <w:i/>
                <w:iCs/>
                <w:lang w:eastAsia="cs-CZ"/>
              </w:rPr>
            </w:pPr>
            <w:r w:rsidRPr="00FD4A05">
              <w:rPr>
                <w:rFonts w:eastAsia="Times New Roman" w:cs="Times New Roman"/>
                <w:i/>
                <w:iCs/>
                <w:lang w:eastAsia="cs-CZ"/>
              </w:rPr>
              <w:t>0</w:t>
            </w:r>
          </w:p>
        </w:tc>
      </w:tr>
      <w:tr w:rsidR="00794C0C" w:rsidRPr="00FD4A05" w:rsidTr="00CA2C79">
        <w:tc>
          <w:tcPr>
            <w:tcW w:w="1404" w:type="pct"/>
            <w:tcBorders>
              <w:top w:val="single" w:sz="8" w:space="0" w:color="7F7F7F" w:themeColor="text1" w:themeTint="80"/>
              <w:bottom w:val="single" w:sz="8" w:space="0" w:color="7F7F7F" w:themeColor="text1" w:themeTint="80"/>
            </w:tcBorders>
            <w:shd w:val="clear" w:color="auto" w:fill="auto"/>
          </w:tcPr>
          <w:p w:rsidR="00794C0C" w:rsidRPr="00FD4A05" w:rsidRDefault="00794C0C" w:rsidP="00CA2C79">
            <w:pPr>
              <w:jc w:val="center"/>
              <w:rPr>
                <w:rFonts w:eastAsia="Times New Roman" w:cs="Times New Roman"/>
                <w:i/>
                <w:iCs/>
                <w:lang w:eastAsia="cs-CZ"/>
              </w:rPr>
            </w:pPr>
            <w:r w:rsidRPr="00FD4A05">
              <w:rPr>
                <w:rFonts w:eastAsia="Times New Roman" w:cs="Times New Roman"/>
                <w:b/>
                <w:bCs/>
                <w:lang w:eastAsia="cs-CZ"/>
              </w:rPr>
              <w:t>CELKEM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794C0C" w:rsidRPr="00FD4A05" w:rsidRDefault="00794C0C" w:rsidP="00CA2C79">
            <w:pPr>
              <w:jc w:val="right"/>
              <w:rPr>
                <w:rFonts w:eastAsia="Times New Roman" w:cs="Times New Roman"/>
                <w:b/>
                <w:iCs/>
                <w:color w:val="FF0000"/>
                <w:lang w:eastAsia="cs-CZ"/>
              </w:rPr>
            </w:pPr>
            <w:r w:rsidRPr="00FD4A05">
              <w:rPr>
                <w:rFonts w:eastAsia="Times New Roman" w:cs="Times New Roman"/>
                <w:b/>
                <w:iCs/>
                <w:lang w:eastAsia="cs-CZ"/>
              </w:rPr>
              <w:t>107 772</w:t>
            </w:r>
          </w:p>
        </w:tc>
        <w:tc>
          <w:tcPr>
            <w:tcW w:w="627" w:type="pct"/>
            <w:tcBorders>
              <w:top w:val="single" w:sz="8" w:space="0" w:color="7F7F7F" w:themeColor="text1" w:themeTint="80"/>
              <w:bottom w:val="single" w:sz="8" w:space="0" w:color="7F7F7F" w:themeColor="text1" w:themeTint="80"/>
            </w:tcBorders>
            <w:shd w:val="clear" w:color="auto" w:fill="auto"/>
            <w:vAlign w:val="center"/>
          </w:tcPr>
          <w:p w:rsidR="00794C0C" w:rsidRPr="00FD4A05" w:rsidRDefault="00794C0C" w:rsidP="00CA2C79">
            <w:pPr>
              <w:jc w:val="right"/>
              <w:rPr>
                <w:rFonts w:eastAsia="Times New Roman" w:cs="Times New Roman"/>
                <w:b/>
                <w:iCs/>
                <w:lang w:eastAsia="cs-CZ"/>
              </w:rPr>
            </w:pPr>
            <w:r w:rsidRPr="00FD4A05">
              <w:rPr>
                <w:rFonts w:eastAsia="Times New Roman" w:cs="Times New Roman"/>
                <w:b/>
                <w:iCs/>
                <w:lang w:eastAsia="cs-CZ"/>
              </w:rPr>
              <w:t>12</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794C0C" w:rsidRPr="00FD4A05" w:rsidRDefault="00794C0C" w:rsidP="00CA2C79">
            <w:pPr>
              <w:jc w:val="right"/>
              <w:rPr>
                <w:rFonts w:eastAsia="Times New Roman" w:cs="Times New Roman"/>
                <w:b/>
                <w:iCs/>
                <w:lang w:eastAsia="cs-CZ"/>
              </w:rPr>
            </w:pPr>
            <w:r w:rsidRPr="00FD4A05">
              <w:rPr>
                <w:rFonts w:eastAsia="Times New Roman" w:cs="Times New Roman"/>
                <w:b/>
                <w:iCs/>
                <w:lang w:eastAsia="cs-CZ"/>
              </w:rPr>
              <w:t>211 926</w:t>
            </w:r>
          </w:p>
        </w:tc>
        <w:tc>
          <w:tcPr>
            <w:tcW w:w="628" w:type="pct"/>
            <w:tcBorders>
              <w:top w:val="single" w:sz="8" w:space="0" w:color="7F7F7F" w:themeColor="text1" w:themeTint="80"/>
              <w:bottom w:val="single" w:sz="8" w:space="0" w:color="7F7F7F" w:themeColor="text1" w:themeTint="80"/>
            </w:tcBorders>
            <w:shd w:val="clear" w:color="auto" w:fill="auto"/>
            <w:vAlign w:val="center"/>
          </w:tcPr>
          <w:p w:rsidR="00794C0C" w:rsidRPr="00FD4A05" w:rsidRDefault="00794C0C" w:rsidP="00CA2C79">
            <w:pPr>
              <w:jc w:val="right"/>
              <w:rPr>
                <w:rFonts w:eastAsia="Times New Roman" w:cs="Times New Roman"/>
                <w:b/>
                <w:iCs/>
                <w:lang w:eastAsia="cs-CZ"/>
              </w:rPr>
            </w:pPr>
            <w:r w:rsidRPr="00FD4A05">
              <w:rPr>
                <w:rFonts w:eastAsia="Times New Roman" w:cs="Times New Roman"/>
                <w:b/>
                <w:i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794C0C" w:rsidRPr="00FD4A05" w:rsidRDefault="00794C0C" w:rsidP="00CA2C79">
            <w:pPr>
              <w:jc w:val="right"/>
              <w:rPr>
                <w:rFonts w:eastAsia="Times New Roman" w:cs="Times New Roman"/>
                <w:b/>
                <w:iCs/>
                <w:color w:val="FF0000"/>
                <w:lang w:eastAsia="cs-CZ"/>
              </w:rPr>
            </w:pPr>
            <w:r w:rsidRPr="00FD4A05">
              <w:rPr>
                <w:rFonts w:eastAsia="Times New Roman" w:cs="Times New Roman"/>
                <w:b/>
                <w:iCs/>
                <w:lang w:eastAsia="cs-CZ"/>
              </w:rPr>
              <w:t>142 441</w:t>
            </w:r>
          </w:p>
        </w:tc>
        <w:tc>
          <w:tcPr>
            <w:tcW w:w="463" w:type="pct"/>
            <w:tcBorders>
              <w:top w:val="single" w:sz="8" w:space="0" w:color="7F7F7F" w:themeColor="text1" w:themeTint="80"/>
              <w:bottom w:val="single" w:sz="8" w:space="0" w:color="7F7F7F" w:themeColor="text1" w:themeTint="80"/>
            </w:tcBorders>
            <w:shd w:val="clear" w:color="auto" w:fill="auto"/>
            <w:vAlign w:val="center"/>
          </w:tcPr>
          <w:p w:rsidR="00794C0C" w:rsidRPr="00FD4A05" w:rsidRDefault="00794C0C" w:rsidP="00CA2C79">
            <w:pPr>
              <w:jc w:val="right"/>
              <w:rPr>
                <w:rFonts w:eastAsia="Times New Roman" w:cs="Times New Roman"/>
                <w:b/>
                <w:iCs/>
                <w:lang w:eastAsia="cs-CZ"/>
              </w:rPr>
            </w:pPr>
            <w:r w:rsidRPr="00FD4A05">
              <w:rPr>
                <w:rFonts w:eastAsia="Times New Roman" w:cs="Times New Roman"/>
                <w:b/>
                <w:iCs/>
                <w:lang w:eastAsia="cs-CZ"/>
              </w:rPr>
              <w:t>0</w:t>
            </w:r>
          </w:p>
        </w:tc>
      </w:tr>
    </w:tbl>
    <w:p w:rsidR="008A2ACA" w:rsidRPr="00FD4A05" w:rsidRDefault="008A2ACA" w:rsidP="004C4BA5">
      <w:pPr>
        <w:pStyle w:val="Styl1"/>
      </w:pPr>
      <w:r w:rsidRPr="00FD4A05">
        <w:t>Pro Ú</w:t>
      </w:r>
      <w:r w:rsidRPr="00FD4A05">
        <w:rPr>
          <w:bCs/>
        </w:rPr>
        <w:t xml:space="preserve">střední orgán MD jsou </w:t>
      </w:r>
      <w:r w:rsidRPr="00FD4A05">
        <w:t xml:space="preserve">navrženy výdaje na programové financování v celkové výši </w:t>
      </w:r>
      <w:r w:rsidRPr="00FD4A05">
        <w:rPr>
          <w:b/>
        </w:rPr>
        <w:t>142 441</w:t>
      </w:r>
      <w:r w:rsidRPr="00FD4A05">
        <w:rPr>
          <w:b/>
          <w:bCs/>
        </w:rPr>
        <w:t xml:space="preserve"> tis. Kč</w:t>
      </w:r>
      <w:r w:rsidRPr="00FD4A05">
        <w:t>, z toho kapitálové výdaje 68 415 tis. Kč a běžné výdaje 74 026 tis. Kč.</w:t>
      </w:r>
    </w:p>
    <w:p w:rsidR="008A2ACA" w:rsidRPr="00FD4A05" w:rsidRDefault="008A2ACA" w:rsidP="008A2ACA">
      <w:pPr>
        <w:spacing w:before="80" w:line="240" w:lineRule="auto"/>
        <w:ind w:firstLine="539"/>
        <w:rPr>
          <w:rFonts w:eastAsia="Times New Roman" w:cs="Times New Roman"/>
          <w:szCs w:val="24"/>
          <w:lang w:eastAsia="cs-CZ"/>
        </w:rPr>
      </w:pPr>
      <w:r w:rsidRPr="00FD4A05">
        <w:rPr>
          <w:rFonts w:eastAsia="Times New Roman" w:cs="Times New Roman"/>
          <w:szCs w:val="24"/>
          <w:lang w:eastAsia="cs-CZ"/>
        </w:rPr>
        <w:t>Celková částka bude využita:</w:t>
      </w:r>
    </w:p>
    <w:p w:rsidR="008A2ACA" w:rsidRPr="00FD4A05" w:rsidRDefault="008A2ACA" w:rsidP="00F07B29">
      <w:pPr>
        <w:numPr>
          <w:ilvl w:val="0"/>
          <w:numId w:val="12"/>
        </w:numPr>
        <w:spacing w:after="80" w:line="240" w:lineRule="auto"/>
        <w:ind w:left="924" w:hanging="357"/>
        <w:rPr>
          <w:rFonts w:eastAsia="Times New Roman" w:cs="Times New Roman"/>
          <w:szCs w:val="24"/>
          <w:lang w:eastAsia="cs-CZ"/>
        </w:rPr>
      </w:pPr>
      <w:r w:rsidRPr="00FD4A05">
        <w:rPr>
          <w:rFonts w:eastAsia="Times New Roman" w:cs="Times New Roman"/>
          <w:szCs w:val="24"/>
          <w:lang w:eastAsia="cs-CZ"/>
        </w:rPr>
        <w:t xml:space="preserve">ve výši </w:t>
      </w:r>
      <w:r w:rsidRPr="00FD4A05">
        <w:rPr>
          <w:rFonts w:eastAsia="Times New Roman" w:cs="Times New Roman"/>
          <w:b/>
          <w:szCs w:val="24"/>
          <w:lang w:eastAsia="cs-CZ"/>
        </w:rPr>
        <w:t xml:space="preserve">142 441 </w:t>
      </w:r>
      <w:r w:rsidRPr="00FD4A05">
        <w:rPr>
          <w:rFonts w:eastAsia="Times New Roman" w:cs="Times New Roman"/>
          <w:b/>
          <w:bCs/>
          <w:szCs w:val="24"/>
          <w:lang w:eastAsia="cs-CZ"/>
        </w:rPr>
        <w:t>tis. Kč</w:t>
      </w:r>
      <w:r w:rsidRPr="00FD4A05">
        <w:rPr>
          <w:rFonts w:eastAsia="Times New Roman" w:cs="Times New Roman"/>
          <w:szCs w:val="24"/>
          <w:lang w:eastAsia="cs-CZ"/>
        </w:rPr>
        <w:t xml:space="preserve"> v programu</w:t>
      </w:r>
      <w:r w:rsidRPr="00FD4A05">
        <w:rPr>
          <w:rFonts w:eastAsia="Times New Roman" w:cs="Times New Roman"/>
          <w:b/>
          <w:szCs w:val="24"/>
          <w:lang w:eastAsia="cs-CZ"/>
        </w:rPr>
        <w:t xml:space="preserve"> 127 03</w:t>
      </w:r>
    </w:p>
    <w:p w:rsidR="008A2ACA" w:rsidRPr="00FD4A05" w:rsidRDefault="008A2ACA" w:rsidP="00E371D5">
      <w:pPr>
        <w:numPr>
          <w:ilvl w:val="0"/>
          <w:numId w:val="54"/>
        </w:numPr>
        <w:tabs>
          <w:tab w:val="clear" w:pos="720"/>
          <w:tab w:val="num" w:pos="2268"/>
        </w:tabs>
        <w:spacing w:after="40" w:line="240" w:lineRule="auto"/>
        <w:ind w:left="1276" w:hanging="283"/>
        <w:rPr>
          <w:rFonts w:eastAsia="Times New Roman" w:cs="Times New Roman"/>
          <w:szCs w:val="24"/>
          <w:lang w:eastAsia="cs-CZ"/>
        </w:rPr>
      </w:pPr>
      <w:r w:rsidRPr="00FD4A05">
        <w:rPr>
          <w:rFonts w:eastAsia="Times New Roman" w:cs="Times New Roman"/>
          <w:szCs w:val="24"/>
          <w:lang w:eastAsia="cs-CZ"/>
        </w:rPr>
        <w:t xml:space="preserve">ve výši 135 641 tis. Kč na financování </w:t>
      </w:r>
      <w:proofErr w:type="spellStart"/>
      <w:r w:rsidRPr="00FD4A05">
        <w:rPr>
          <w:rFonts w:eastAsia="Times New Roman" w:cs="Times New Roman"/>
          <w:szCs w:val="24"/>
          <w:lang w:eastAsia="cs-CZ"/>
        </w:rPr>
        <w:t>subtitulu</w:t>
      </w:r>
      <w:proofErr w:type="spellEnd"/>
      <w:r w:rsidRPr="00FD4A05">
        <w:rPr>
          <w:rFonts w:eastAsia="Times New Roman" w:cs="Times New Roman"/>
          <w:szCs w:val="24"/>
          <w:lang w:eastAsia="cs-CZ"/>
        </w:rPr>
        <w:t xml:space="preserve"> 127V0310 „Pořízení, obnova </w:t>
      </w:r>
      <w:r w:rsidRPr="00FD4A05">
        <w:rPr>
          <w:rFonts w:eastAsia="Times New Roman" w:cs="Times New Roman"/>
          <w:szCs w:val="24"/>
          <w:lang w:eastAsia="cs-CZ"/>
        </w:rPr>
        <w:br/>
        <w:t xml:space="preserve">a provozování ICT systému řízení MD“ (z toho kapitálové výdaje 61 615 tis. Kč </w:t>
      </w:r>
      <w:r w:rsidRPr="00FD4A05">
        <w:rPr>
          <w:rFonts w:eastAsia="Times New Roman" w:cs="Times New Roman"/>
          <w:szCs w:val="24"/>
          <w:lang w:eastAsia="cs-CZ"/>
        </w:rPr>
        <w:br/>
        <w:t>a běžné výdaje 74 026 tis. Kč)</w:t>
      </w:r>
    </w:p>
    <w:p w:rsidR="008A2ACA" w:rsidRPr="00FD4A05" w:rsidRDefault="008A2ACA" w:rsidP="00E371D5">
      <w:pPr>
        <w:numPr>
          <w:ilvl w:val="0"/>
          <w:numId w:val="54"/>
        </w:numPr>
        <w:tabs>
          <w:tab w:val="clear" w:pos="720"/>
          <w:tab w:val="num" w:pos="2268"/>
        </w:tabs>
        <w:spacing w:after="40" w:line="240" w:lineRule="auto"/>
        <w:ind w:left="1276" w:hanging="283"/>
        <w:rPr>
          <w:rFonts w:eastAsia="Times New Roman" w:cs="Times New Roman"/>
          <w:szCs w:val="24"/>
          <w:lang w:eastAsia="cs-CZ"/>
        </w:rPr>
      </w:pPr>
      <w:r w:rsidRPr="00FD4A05">
        <w:rPr>
          <w:rFonts w:eastAsia="Times New Roman" w:cs="Times New Roman"/>
          <w:szCs w:val="24"/>
          <w:lang w:eastAsia="cs-CZ"/>
        </w:rPr>
        <w:t xml:space="preserve">ve výši 6 800 tis. Kč na financování </w:t>
      </w:r>
      <w:proofErr w:type="spellStart"/>
      <w:r w:rsidRPr="00FD4A05">
        <w:rPr>
          <w:rFonts w:eastAsia="Times New Roman" w:cs="Times New Roman"/>
          <w:szCs w:val="24"/>
          <w:lang w:eastAsia="cs-CZ"/>
        </w:rPr>
        <w:t>subtitulu</w:t>
      </w:r>
      <w:proofErr w:type="spellEnd"/>
      <w:r w:rsidRPr="00FD4A05">
        <w:rPr>
          <w:rFonts w:eastAsia="Times New Roman" w:cs="Times New Roman"/>
          <w:szCs w:val="24"/>
          <w:lang w:eastAsia="cs-CZ"/>
        </w:rPr>
        <w:t xml:space="preserve"> 127V0320 „Rozvoj a obnova materiálně technické základny MD“ (z toho kapitálové výdaje 6 800 tis. Kč)</w:t>
      </w:r>
    </w:p>
    <w:p w:rsidR="008A2ACA" w:rsidRPr="00FD4A05" w:rsidRDefault="008A2ACA" w:rsidP="004C4BA5">
      <w:pPr>
        <w:pStyle w:val="Styl1"/>
      </w:pPr>
      <w:r w:rsidRPr="00FD4A05">
        <w:t xml:space="preserve">Celkový objem </w:t>
      </w:r>
      <w:r w:rsidRPr="00FD4A05">
        <w:rPr>
          <w:b/>
        </w:rPr>
        <w:t xml:space="preserve">kapitálových výdajů </w:t>
      </w:r>
      <w:r w:rsidRPr="00FD4A05">
        <w:t xml:space="preserve">zahrnuje prostředky ve výši </w:t>
      </w:r>
      <w:r w:rsidRPr="00FD4A05">
        <w:rPr>
          <w:b/>
        </w:rPr>
        <w:t>68 415 tis. Kč</w:t>
      </w:r>
      <w:r w:rsidRPr="00FD4A05">
        <w:t xml:space="preserve">, z toho bude část výdajů vyčleněna na zajištění rozvoje Centrálního registru vozidel </w:t>
      </w:r>
      <w:r w:rsidRPr="00FD4A05">
        <w:br/>
        <w:t xml:space="preserve">(12 856 tis. Kč), na zajištění rozvoje IS CIS STK (12 800 tis. Kč), na pořízení příslušného HW vyplývajícího z požadavků dle zákona o kybernetické bezpečnosti (4 756 tis. Kč), pořízení licencí Microsoft – </w:t>
      </w:r>
      <w:proofErr w:type="spellStart"/>
      <w:r w:rsidRPr="00FD4A05">
        <w:t>Enterprise</w:t>
      </w:r>
      <w:proofErr w:type="spellEnd"/>
      <w:r w:rsidRPr="00FD4A05">
        <w:t xml:space="preserve"> </w:t>
      </w:r>
      <w:proofErr w:type="spellStart"/>
      <w:r w:rsidRPr="00FD4A05">
        <w:t>Agreement</w:t>
      </w:r>
      <w:proofErr w:type="spellEnd"/>
      <w:r w:rsidRPr="00FD4A05">
        <w:t xml:space="preserve"> (1 156 tis. Kč), na pořízení firewallů (2 360 tis. Kč), nebo na rozvoj IS Digitálního tachografu (2 178 tis. Kč). Na technické zhodnocení budovy je vyčleněno 4 300 tis. Kč a na zabezpečení prostor budovy 2 500 tis. Kč. </w:t>
      </w:r>
    </w:p>
    <w:p w:rsidR="008A2ACA" w:rsidRDefault="008A2ACA" w:rsidP="004C4BA5">
      <w:pPr>
        <w:pStyle w:val="Styl1"/>
      </w:pPr>
      <w:r w:rsidRPr="00FD4A05">
        <w:t>V </w:t>
      </w:r>
      <w:r w:rsidRPr="00FD4A05">
        <w:rPr>
          <w:b/>
        </w:rPr>
        <w:t>běžných výdajích</w:t>
      </w:r>
      <w:r w:rsidRPr="00FD4A05">
        <w:t>,</w:t>
      </w:r>
      <w:r w:rsidRPr="00FD4A05">
        <w:rPr>
          <w:b/>
        </w:rPr>
        <w:t xml:space="preserve"> </w:t>
      </w:r>
      <w:r w:rsidRPr="00FD4A05">
        <w:t>jejichž celková hodnota je</w:t>
      </w:r>
      <w:r w:rsidRPr="00FD4A05">
        <w:rPr>
          <w:b/>
        </w:rPr>
        <w:t xml:space="preserve"> 74 026 tis. Kč</w:t>
      </w:r>
      <w:r w:rsidRPr="00FD4A05">
        <w:t>, jsou zahrnuty prostředky na výrobu a personalizaci karet Digitálního tachografu (26 076 tis. Kč).</w:t>
      </w:r>
      <w:r w:rsidRPr="00FD4A05">
        <w:rPr>
          <w:color w:val="FF0000"/>
        </w:rPr>
        <w:t xml:space="preserve"> </w:t>
      </w:r>
      <w:r w:rsidRPr="00FD4A05">
        <w:t>Část výdajů je vymezena na zajištění provozu Centrálního registru vozidel (18 513 tis. Kč), na pro</w:t>
      </w:r>
      <w:r w:rsidR="008B3A9C">
        <w:t>voz IS CIS STK (18 000 tis. Kč) nebo</w:t>
      </w:r>
      <w:r w:rsidRPr="00FD4A05">
        <w:t xml:space="preserve"> na podporu provozu licencí Microsoft je alokováno (4 090 tis. Kč). </w:t>
      </w:r>
    </w:p>
    <w:p w:rsidR="00BA4EEA" w:rsidRDefault="00BA4EEA" w:rsidP="004C4BA5">
      <w:pPr>
        <w:pStyle w:val="Styl1"/>
      </w:pPr>
    </w:p>
    <w:p w:rsidR="00BA4EEA" w:rsidRDefault="00BA4EEA" w:rsidP="004C4BA5">
      <w:pPr>
        <w:pStyle w:val="Styl1"/>
      </w:pPr>
    </w:p>
    <w:p w:rsidR="00BA4EEA" w:rsidRPr="00FD4A05" w:rsidRDefault="00BA4EEA" w:rsidP="004C4BA5">
      <w:pPr>
        <w:pStyle w:val="Styl1"/>
      </w:pPr>
    </w:p>
    <w:p w:rsidR="00BB459E" w:rsidRPr="008A2ACA" w:rsidRDefault="00BB459E" w:rsidP="00BB459E">
      <w:pPr>
        <w:keepNext/>
        <w:tabs>
          <w:tab w:val="left" w:pos="708"/>
        </w:tabs>
        <w:spacing w:before="80" w:line="240" w:lineRule="auto"/>
        <w:ind w:firstLine="539"/>
        <w:outlineLvl w:val="3"/>
        <w:rPr>
          <w:rFonts w:eastAsia="Times New Roman" w:cs="Times New Roman"/>
          <w:b/>
          <w:szCs w:val="24"/>
          <w:u w:val="single"/>
          <w:lang w:eastAsia="cs-CZ"/>
        </w:rPr>
      </w:pPr>
      <w:r w:rsidRPr="008A2ACA">
        <w:rPr>
          <w:rFonts w:eastAsia="Times New Roman" w:cs="Times New Roman"/>
          <w:b/>
          <w:szCs w:val="24"/>
          <w:u w:val="single"/>
          <w:lang w:eastAsia="cs-CZ"/>
        </w:rPr>
        <w:lastRenderedPageBreak/>
        <w:t>Úřad pro civilní letectví</w:t>
      </w:r>
    </w:p>
    <w:p w:rsidR="008A2ACA" w:rsidRPr="00FD4A05" w:rsidRDefault="008A2ACA" w:rsidP="008A2ACA">
      <w:pPr>
        <w:keepNext/>
        <w:spacing w:before="120" w:after="120" w:line="240" w:lineRule="auto"/>
        <w:rPr>
          <w:rFonts w:eastAsia="Times New Roman" w:cs="Times New Roman"/>
          <w:b/>
          <w:bCs/>
          <w:noProof/>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28</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Úřadu pro civilní letectví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8A2ACA" w:rsidRPr="00FD4A05" w:rsidTr="00CA2C79">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Skutečnost </w:t>
            </w:r>
            <w:r w:rsidRPr="00FD4A05">
              <w:rPr>
                <w:rFonts w:eastAsia="Times New Roman" w:cs="Times New Roman"/>
                <w:b/>
                <w:bCs/>
                <w:lang w:eastAsia="cs-CZ"/>
              </w:rPr>
              <w:br/>
              <w:t>2017</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Schválený rozpočet 2018</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Návrh rozpočtu </w:t>
            </w:r>
            <w:r w:rsidRPr="00FD4A05">
              <w:rPr>
                <w:rFonts w:eastAsia="Times New Roman" w:cs="Times New Roman"/>
                <w:b/>
                <w:bCs/>
                <w:lang w:eastAsia="cs-CZ"/>
              </w:rPr>
              <w:br/>
              <w:t>2019</w:t>
            </w:r>
          </w:p>
        </w:tc>
      </w:tr>
      <w:tr w:rsidR="008A2ACA" w:rsidRPr="00FD4A05" w:rsidTr="00CA2C79">
        <w:tc>
          <w:tcPr>
            <w:tcW w:w="2263" w:type="dxa"/>
            <w:tcBorders>
              <w:top w:val="single" w:sz="4" w:space="0" w:color="7F7F7F" w:themeColor="text1" w:themeTint="80"/>
            </w:tcBorders>
            <w:shd w:val="clear" w:color="auto" w:fill="auto"/>
          </w:tcPr>
          <w:p w:rsidR="008A2ACA" w:rsidRPr="00FD4A05" w:rsidRDefault="008A2ACA" w:rsidP="00CA2C79">
            <w:pPr>
              <w:jc w:val="center"/>
              <w:rPr>
                <w:rFonts w:eastAsia="Times New Roman" w:cs="Times New Roman"/>
                <w:lang w:eastAsia="cs-CZ"/>
              </w:rPr>
            </w:pPr>
            <w:r w:rsidRPr="00FD4A05">
              <w:rPr>
                <w:rFonts w:eastAsia="Times New Roman" w:cs="Times New Roman"/>
                <w:lang w:eastAsia="cs-CZ"/>
              </w:rPr>
              <w:t>127 01</w:t>
            </w:r>
          </w:p>
        </w:tc>
        <w:tc>
          <w:tcPr>
            <w:tcW w:w="2266"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64"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57"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 xml:space="preserve"> </w:t>
            </w:r>
          </w:p>
        </w:tc>
      </w:tr>
      <w:tr w:rsidR="008A2ACA" w:rsidRPr="00FD4A05" w:rsidTr="00CA2C79">
        <w:tc>
          <w:tcPr>
            <w:tcW w:w="2263" w:type="dxa"/>
            <w:tcBorders>
              <w:bottom w:val="single" w:sz="8" w:space="0" w:color="7F7F7F" w:themeColor="text1" w:themeTint="80"/>
            </w:tcBorders>
            <w:shd w:val="clear" w:color="auto" w:fill="auto"/>
          </w:tcPr>
          <w:p w:rsidR="008A2ACA" w:rsidRPr="00FD4A05" w:rsidRDefault="008A2ACA" w:rsidP="00CA2C79">
            <w:pPr>
              <w:jc w:val="center"/>
              <w:rPr>
                <w:rFonts w:eastAsia="Times New Roman" w:cs="Times New Roman"/>
                <w:lang w:eastAsia="cs-CZ"/>
              </w:rPr>
            </w:pPr>
            <w:r w:rsidRPr="00FD4A05">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 xml:space="preserve">3 647  </w:t>
            </w:r>
          </w:p>
        </w:tc>
        <w:tc>
          <w:tcPr>
            <w:tcW w:w="2264"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6 800</w:t>
            </w:r>
          </w:p>
        </w:tc>
        <w:tc>
          <w:tcPr>
            <w:tcW w:w="2257"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11 550</w:t>
            </w:r>
          </w:p>
        </w:tc>
      </w:tr>
      <w:tr w:rsidR="008A2ACA" w:rsidRPr="00FD4A05" w:rsidTr="00CA2C79">
        <w:tc>
          <w:tcPr>
            <w:tcW w:w="2263" w:type="dxa"/>
            <w:tcBorders>
              <w:top w:val="single" w:sz="8" w:space="0" w:color="7F7F7F" w:themeColor="text1" w:themeTint="80"/>
              <w:bottom w:val="single" w:sz="8" w:space="0" w:color="7F7F7F" w:themeColor="text1" w:themeTint="80"/>
            </w:tcBorders>
            <w:shd w:val="clear" w:color="auto" w:fill="auto"/>
          </w:tcPr>
          <w:p w:rsidR="008A2ACA" w:rsidRPr="00FD4A05" w:rsidRDefault="008A2ACA" w:rsidP="00CA2C79">
            <w:pPr>
              <w:jc w:val="center"/>
              <w:rPr>
                <w:rFonts w:eastAsia="Times New Roman" w:cs="Times New Roman"/>
                <w:iCs/>
                <w:lang w:eastAsia="cs-CZ"/>
              </w:rPr>
            </w:pPr>
            <w:r w:rsidRPr="00FD4A05">
              <w:rPr>
                <w:rFonts w:eastAsia="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3 647</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6 800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11 550</w:t>
            </w:r>
          </w:p>
        </w:tc>
      </w:tr>
    </w:tbl>
    <w:p w:rsidR="008A2ACA" w:rsidRPr="00FD4A05" w:rsidRDefault="008A2ACA" w:rsidP="004C4BA5">
      <w:pPr>
        <w:pStyle w:val="Styl1"/>
      </w:pPr>
      <w:r w:rsidRPr="00FD4A05">
        <w:rPr>
          <w:b/>
        </w:rPr>
        <w:t>Kapitálové výdaje</w:t>
      </w:r>
      <w:r w:rsidRPr="00FD4A05">
        <w:t xml:space="preserve"> ve výši </w:t>
      </w:r>
      <w:r w:rsidRPr="00FD4A05">
        <w:rPr>
          <w:b/>
        </w:rPr>
        <w:t>11 550</w:t>
      </w:r>
      <w:r w:rsidRPr="00FD4A05">
        <w:rPr>
          <w:b/>
          <w:bCs/>
        </w:rPr>
        <w:t xml:space="preserve"> tis. Kč </w:t>
      </w:r>
      <w:r w:rsidRPr="00FD4A05">
        <w:t xml:space="preserve">určené pro </w:t>
      </w:r>
      <w:r w:rsidRPr="00FD4A05">
        <w:rPr>
          <w:b/>
          <w:bCs/>
        </w:rPr>
        <w:t>Úřad pro civilní letectví</w:t>
      </w:r>
      <w:r w:rsidRPr="00FD4A05">
        <w:t xml:space="preserve"> v programu 127 03 budou použity v </w:t>
      </w:r>
      <w:proofErr w:type="spellStart"/>
      <w:r w:rsidRPr="00FD4A05">
        <w:t>subtitulu</w:t>
      </w:r>
      <w:proofErr w:type="spellEnd"/>
      <w:r w:rsidRPr="00FD4A05">
        <w:t xml:space="preserve"> ICT na obnovu výpočetní techniky                                        (4 000 tis. Kč). Na rok 2019 je v plánu vybudování osobního výtahu pro zajištění dostupnosti do vyšších pater pro osoby se sníženou mobilitou a pro usnadnění stěhování břemen                              (5 300 tis. Kč). Další investice budou směřovat do obnovy vozového parku pořízením                               3 osobních automobilů (1 800 tis. Kč) a kancelářské techniky (450 tis. Kč). </w:t>
      </w:r>
    </w:p>
    <w:p w:rsidR="00BB459E" w:rsidRPr="008A2ACA" w:rsidRDefault="00BB459E" w:rsidP="00BB459E">
      <w:pPr>
        <w:spacing w:before="160" w:line="240" w:lineRule="auto"/>
        <w:ind w:firstLine="539"/>
        <w:rPr>
          <w:rFonts w:eastAsia="Times New Roman" w:cs="Times New Roman"/>
          <w:b/>
          <w:bCs/>
          <w:szCs w:val="24"/>
          <w:u w:val="single"/>
          <w:lang w:eastAsia="cs-CZ"/>
        </w:rPr>
      </w:pPr>
      <w:r w:rsidRPr="008A2ACA">
        <w:rPr>
          <w:rFonts w:eastAsia="Times New Roman" w:cs="Times New Roman"/>
          <w:b/>
          <w:bCs/>
          <w:szCs w:val="24"/>
          <w:u w:val="single"/>
          <w:lang w:eastAsia="cs-CZ"/>
        </w:rPr>
        <w:t>Státní plavební správa</w:t>
      </w:r>
    </w:p>
    <w:p w:rsidR="008A2ACA" w:rsidRPr="00FD4A05" w:rsidRDefault="008A2ACA" w:rsidP="008A2ACA">
      <w:pPr>
        <w:keepNext/>
        <w:spacing w:before="120" w:after="120" w:line="240" w:lineRule="auto"/>
        <w:rPr>
          <w:rFonts w:eastAsia="Times New Roman" w:cs="Times New Roman"/>
          <w:b/>
          <w:bCs/>
          <w:noProof/>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29</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Státní plavební správy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8A2ACA" w:rsidRPr="00FD4A05" w:rsidTr="00CA2C79">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Skutečnost</w:t>
            </w:r>
            <w:r w:rsidRPr="00FD4A05">
              <w:rPr>
                <w:rFonts w:eastAsia="Times New Roman" w:cs="Times New Roman"/>
                <w:b/>
                <w:bCs/>
                <w:lang w:eastAsia="cs-CZ"/>
              </w:rPr>
              <w:br/>
              <w:t xml:space="preserve"> 2017</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Schválený rozpočet 2018</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Návrh rozpočtu </w:t>
            </w:r>
            <w:r w:rsidRPr="00FD4A05">
              <w:rPr>
                <w:rFonts w:eastAsia="Times New Roman" w:cs="Times New Roman"/>
                <w:b/>
                <w:bCs/>
                <w:lang w:eastAsia="cs-CZ"/>
              </w:rPr>
              <w:br/>
              <w:t>2019</w:t>
            </w:r>
          </w:p>
        </w:tc>
      </w:tr>
      <w:tr w:rsidR="008A2ACA" w:rsidRPr="00FD4A05" w:rsidTr="00CA2C79">
        <w:tc>
          <w:tcPr>
            <w:tcW w:w="2263" w:type="dxa"/>
            <w:tcBorders>
              <w:top w:val="single" w:sz="4" w:space="0" w:color="7F7F7F" w:themeColor="text1" w:themeTint="80"/>
            </w:tcBorders>
            <w:shd w:val="clear" w:color="auto" w:fill="auto"/>
          </w:tcPr>
          <w:p w:rsidR="008A2ACA" w:rsidRPr="00FD4A05" w:rsidRDefault="008A2ACA" w:rsidP="00CA2C79">
            <w:pPr>
              <w:jc w:val="center"/>
              <w:rPr>
                <w:rFonts w:eastAsia="Times New Roman" w:cs="Times New Roman"/>
                <w:lang w:eastAsia="cs-CZ"/>
              </w:rPr>
            </w:pPr>
            <w:r w:rsidRPr="00FD4A05">
              <w:rPr>
                <w:rFonts w:eastAsia="Times New Roman" w:cs="Times New Roman"/>
                <w:lang w:eastAsia="cs-CZ"/>
              </w:rPr>
              <w:t>127 01</w:t>
            </w:r>
          </w:p>
        </w:tc>
        <w:tc>
          <w:tcPr>
            <w:tcW w:w="2266"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292</w:t>
            </w:r>
          </w:p>
        </w:tc>
        <w:tc>
          <w:tcPr>
            <w:tcW w:w="2264"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57"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r>
      <w:tr w:rsidR="008A2ACA" w:rsidRPr="00FD4A05" w:rsidTr="00CA2C79">
        <w:tc>
          <w:tcPr>
            <w:tcW w:w="2263" w:type="dxa"/>
            <w:tcBorders>
              <w:bottom w:val="single" w:sz="8" w:space="0" w:color="7F7F7F" w:themeColor="text1" w:themeTint="80"/>
            </w:tcBorders>
            <w:shd w:val="clear" w:color="auto" w:fill="auto"/>
          </w:tcPr>
          <w:p w:rsidR="008A2ACA" w:rsidRPr="00FD4A05" w:rsidRDefault="008A2ACA" w:rsidP="00CA2C79">
            <w:pPr>
              <w:rPr>
                <w:rFonts w:eastAsia="Times New Roman" w:cs="Times New Roman"/>
                <w:lang w:eastAsia="cs-CZ"/>
              </w:rPr>
            </w:pPr>
            <w:r w:rsidRPr="00FD4A05">
              <w:rPr>
                <w:rFonts w:eastAsia="Times New Roman" w:cs="Times New Roman"/>
                <w:iCs/>
                <w:lang w:eastAsia="cs-CZ"/>
              </w:rPr>
              <w:t xml:space="preserve">           </w:t>
            </w:r>
            <w:r w:rsidR="00BA4EEA">
              <w:rPr>
                <w:rFonts w:eastAsia="Times New Roman" w:cs="Times New Roman"/>
                <w:iCs/>
                <w:lang w:eastAsia="cs-CZ"/>
              </w:rPr>
              <w:t xml:space="preserve"> </w:t>
            </w:r>
            <w:r w:rsidRPr="00FD4A05">
              <w:rPr>
                <w:rFonts w:eastAsia="Times New Roman" w:cs="Times New Roman"/>
                <w:iCs/>
                <w:lang w:eastAsia="cs-CZ"/>
              </w:rPr>
              <w:t xml:space="preserve">127 03 </w:t>
            </w:r>
          </w:p>
        </w:tc>
        <w:tc>
          <w:tcPr>
            <w:tcW w:w="2266"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6 727</w:t>
            </w:r>
          </w:p>
        </w:tc>
        <w:tc>
          <w:tcPr>
            <w:tcW w:w="2264"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6 097</w:t>
            </w:r>
          </w:p>
        </w:tc>
        <w:tc>
          <w:tcPr>
            <w:tcW w:w="2257"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6 897</w:t>
            </w:r>
          </w:p>
        </w:tc>
      </w:tr>
      <w:tr w:rsidR="008A2ACA" w:rsidRPr="00FD4A05" w:rsidTr="00CA2C79">
        <w:tc>
          <w:tcPr>
            <w:tcW w:w="2263" w:type="dxa"/>
            <w:tcBorders>
              <w:top w:val="single" w:sz="8" w:space="0" w:color="7F7F7F" w:themeColor="text1" w:themeTint="80"/>
              <w:bottom w:val="single" w:sz="8" w:space="0" w:color="7F7F7F" w:themeColor="text1" w:themeTint="80"/>
            </w:tcBorders>
            <w:shd w:val="clear" w:color="auto" w:fill="auto"/>
          </w:tcPr>
          <w:p w:rsidR="008A2ACA" w:rsidRPr="00FD4A05" w:rsidRDefault="008A2ACA" w:rsidP="00CA2C79">
            <w:pPr>
              <w:jc w:val="center"/>
              <w:rPr>
                <w:rFonts w:eastAsia="Times New Roman" w:cs="Times New Roman"/>
                <w:iCs/>
                <w:lang w:eastAsia="cs-CZ"/>
              </w:rPr>
            </w:pPr>
            <w:r w:rsidRPr="00FD4A05">
              <w:rPr>
                <w:rFonts w:eastAsia="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7 019</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6 097</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6 897</w:t>
            </w:r>
          </w:p>
        </w:tc>
      </w:tr>
    </w:tbl>
    <w:p w:rsidR="008A2ACA" w:rsidRPr="00FD4A05" w:rsidRDefault="008A2ACA" w:rsidP="004C4BA5">
      <w:pPr>
        <w:pStyle w:val="Styl1"/>
      </w:pPr>
      <w:r w:rsidRPr="00FD4A05">
        <w:rPr>
          <w:b/>
        </w:rPr>
        <w:t>Kapitálové výdaje</w:t>
      </w:r>
      <w:r w:rsidRPr="00FD4A05">
        <w:t xml:space="preserve"> v programu 127 03 určené pro </w:t>
      </w:r>
      <w:r w:rsidRPr="00FD4A05">
        <w:rPr>
          <w:b/>
        </w:rPr>
        <w:t>Státní plavební správu</w:t>
      </w:r>
      <w:r w:rsidRPr="00FD4A05">
        <w:t xml:space="preserve"> v celkové výši </w:t>
      </w:r>
      <w:r w:rsidRPr="00FD4A05">
        <w:rPr>
          <w:b/>
        </w:rPr>
        <w:t xml:space="preserve">6 897 tis. Kč </w:t>
      </w:r>
      <w:r w:rsidRPr="00FD4A05">
        <w:t>budou využity na obnovu programového vybavení a rozšíření informačního systému SPS (2 000 tis. Kč), na rozšíření softwaru pro Říční informační systém (1 000 tis. Kč), na zlepšení technické úrovně GIS a na zajištění licencí dle technického pokroku (1 300 tis. Kč) a na pořízení a obnovu zastaralé výpočetní techniky (1 300 tis. Kč). Další výdaje budou čerpány na obnovu kancelářské techniky (297 tis. Kč), obnovu vozového parku pořízením jednoho automobilu pro pobočku Přerov a člunu typu RIB pro výkon dozoru v územní působnosti pobočky Přerov (1 000 tis. Kč).</w:t>
      </w:r>
    </w:p>
    <w:p w:rsidR="00BB459E" w:rsidRPr="008A2ACA" w:rsidRDefault="00BB459E" w:rsidP="00BB459E">
      <w:pPr>
        <w:keepNext/>
        <w:tabs>
          <w:tab w:val="left" w:pos="708"/>
        </w:tabs>
        <w:spacing w:before="160" w:line="240" w:lineRule="auto"/>
        <w:ind w:firstLine="539"/>
        <w:outlineLvl w:val="3"/>
        <w:rPr>
          <w:rFonts w:eastAsia="Times New Roman" w:cs="Times New Roman"/>
          <w:b/>
          <w:szCs w:val="24"/>
          <w:u w:val="single"/>
          <w:lang w:eastAsia="cs-CZ"/>
        </w:rPr>
      </w:pPr>
      <w:r w:rsidRPr="008A2ACA">
        <w:rPr>
          <w:rFonts w:eastAsia="Times New Roman" w:cs="Times New Roman"/>
          <w:b/>
          <w:szCs w:val="24"/>
          <w:u w:val="single"/>
          <w:lang w:eastAsia="cs-CZ"/>
        </w:rPr>
        <w:t>Drážní úřad</w:t>
      </w:r>
    </w:p>
    <w:p w:rsidR="008A2ACA" w:rsidRPr="00FD4A05" w:rsidRDefault="008A2ACA" w:rsidP="008A2ACA">
      <w:pPr>
        <w:keepNext/>
        <w:spacing w:before="120" w:after="120" w:line="240" w:lineRule="auto"/>
        <w:rPr>
          <w:rFonts w:eastAsia="Times New Roman" w:cs="Times New Roman"/>
          <w:b/>
          <w:bCs/>
          <w:noProof/>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30</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Drážního úřadu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2266"/>
        <w:gridCol w:w="2264"/>
        <w:gridCol w:w="2258"/>
      </w:tblGrid>
      <w:tr w:rsidR="008A2ACA" w:rsidRPr="00FD4A05" w:rsidTr="00CA2C79">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Skutečnost </w:t>
            </w:r>
            <w:r w:rsidRPr="00FD4A05">
              <w:rPr>
                <w:rFonts w:eastAsia="Times New Roman" w:cs="Times New Roman"/>
                <w:b/>
                <w:bCs/>
                <w:lang w:eastAsia="cs-CZ"/>
              </w:rPr>
              <w:br/>
              <w:t>2017</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Schválený rozpočet 2018</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Návrh rozpočtu</w:t>
            </w:r>
            <w:r w:rsidRPr="00FD4A05">
              <w:rPr>
                <w:rFonts w:eastAsia="Times New Roman" w:cs="Times New Roman"/>
                <w:b/>
                <w:bCs/>
                <w:lang w:eastAsia="cs-CZ"/>
              </w:rPr>
              <w:br/>
              <w:t xml:space="preserve"> 2019</w:t>
            </w:r>
          </w:p>
        </w:tc>
      </w:tr>
      <w:tr w:rsidR="008A2ACA" w:rsidRPr="00FD4A05" w:rsidTr="00CA2C79">
        <w:tc>
          <w:tcPr>
            <w:tcW w:w="2264" w:type="dxa"/>
            <w:tcBorders>
              <w:top w:val="single" w:sz="4" w:space="0" w:color="7F7F7F" w:themeColor="text1" w:themeTint="80"/>
            </w:tcBorders>
            <w:shd w:val="clear" w:color="auto" w:fill="auto"/>
          </w:tcPr>
          <w:p w:rsidR="008A2ACA" w:rsidRPr="00FD4A05" w:rsidRDefault="00BE5DDF" w:rsidP="00CA2C79">
            <w:pPr>
              <w:jc w:val="center"/>
              <w:rPr>
                <w:rFonts w:eastAsia="Times New Roman" w:cs="Times New Roman"/>
                <w:lang w:eastAsia="cs-CZ"/>
              </w:rPr>
            </w:pPr>
            <w:r>
              <w:rPr>
                <w:rFonts w:eastAsia="Times New Roman" w:cs="Times New Roman"/>
                <w:lang w:eastAsia="cs-CZ"/>
              </w:rPr>
              <w:t xml:space="preserve">   </w:t>
            </w:r>
            <w:r w:rsidR="008A2ACA" w:rsidRPr="00FD4A05">
              <w:rPr>
                <w:rFonts w:eastAsia="Times New Roman" w:cs="Times New Roman"/>
                <w:lang w:eastAsia="cs-CZ"/>
              </w:rPr>
              <w:t>127 01</w:t>
            </w:r>
          </w:p>
        </w:tc>
        <w:tc>
          <w:tcPr>
            <w:tcW w:w="2266"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64"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58"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r>
      <w:tr w:rsidR="008A2ACA" w:rsidRPr="00FD4A05" w:rsidTr="00CA2C79">
        <w:tc>
          <w:tcPr>
            <w:tcW w:w="2264" w:type="dxa"/>
            <w:tcBorders>
              <w:bottom w:val="single" w:sz="8" w:space="0" w:color="7F7F7F" w:themeColor="text1" w:themeTint="80"/>
            </w:tcBorders>
            <w:shd w:val="clear" w:color="auto" w:fill="auto"/>
          </w:tcPr>
          <w:p w:rsidR="008A2ACA" w:rsidRPr="00FD4A05" w:rsidRDefault="008A2ACA" w:rsidP="00CA2C79">
            <w:pPr>
              <w:rPr>
                <w:rFonts w:eastAsia="Times New Roman" w:cs="Times New Roman"/>
                <w:lang w:eastAsia="cs-CZ"/>
              </w:rPr>
            </w:pPr>
            <w:r w:rsidRPr="00FD4A05">
              <w:rPr>
                <w:rFonts w:eastAsia="Times New Roman" w:cs="Times New Roman"/>
                <w:lang w:eastAsia="cs-CZ"/>
              </w:rPr>
              <w:t xml:space="preserve">             127 03</w:t>
            </w:r>
          </w:p>
        </w:tc>
        <w:tc>
          <w:tcPr>
            <w:tcW w:w="2266"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1 898</w:t>
            </w:r>
          </w:p>
        </w:tc>
        <w:tc>
          <w:tcPr>
            <w:tcW w:w="2264"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1 860</w:t>
            </w:r>
          </w:p>
        </w:tc>
        <w:tc>
          <w:tcPr>
            <w:tcW w:w="2258"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1 860</w:t>
            </w:r>
          </w:p>
        </w:tc>
      </w:tr>
      <w:tr w:rsidR="008A2ACA" w:rsidRPr="00FD4A05" w:rsidTr="00CA2C79">
        <w:tc>
          <w:tcPr>
            <w:tcW w:w="2264" w:type="dxa"/>
            <w:tcBorders>
              <w:top w:val="single" w:sz="8" w:space="0" w:color="7F7F7F" w:themeColor="text1" w:themeTint="80"/>
              <w:bottom w:val="single" w:sz="8" w:space="0" w:color="7F7F7F" w:themeColor="text1" w:themeTint="80"/>
            </w:tcBorders>
            <w:shd w:val="clear" w:color="auto" w:fill="auto"/>
          </w:tcPr>
          <w:p w:rsidR="008A2ACA" w:rsidRPr="00FD4A05" w:rsidRDefault="008A2ACA" w:rsidP="00CA2C79">
            <w:pPr>
              <w:jc w:val="center"/>
              <w:rPr>
                <w:rFonts w:eastAsia="Times New Roman" w:cs="Times New Roman"/>
                <w:b/>
                <w:lang w:eastAsia="cs-CZ"/>
              </w:rPr>
            </w:pPr>
            <w:r w:rsidRPr="00FD4A05">
              <w:rPr>
                <w:rFonts w:eastAsia="Times New Roman" w:cs="Times New Roman"/>
                <w:b/>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1 898</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1 860</w:t>
            </w:r>
          </w:p>
        </w:tc>
        <w:tc>
          <w:tcPr>
            <w:tcW w:w="2258"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1 860</w:t>
            </w:r>
          </w:p>
        </w:tc>
      </w:tr>
    </w:tbl>
    <w:p w:rsidR="008A2ACA" w:rsidRPr="00FD4A05" w:rsidRDefault="008A2ACA" w:rsidP="004C4BA5">
      <w:pPr>
        <w:pStyle w:val="Styl1"/>
        <w:rPr>
          <w:color w:val="FF0000"/>
        </w:rPr>
      </w:pPr>
      <w:r w:rsidRPr="00FD4A05">
        <w:t xml:space="preserve">V navrženém objemu výdajů pro </w:t>
      </w:r>
      <w:r w:rsidRPr="00FD4A05">
        <w:rPr>
          <w:b/>
          <w:bCs/>
        </w:rPr>
        <w:t>Drážní úřad</w:t>
      </w:r>
      <w:r w:rsidRPr="00FD4A05">
        <w:t xml:space="preserve"> jsou v programu 127 03 zahrnuty </w:t>
      </w:r>
      <w:r w:rsidRPr="00FD4A05">
        <w:rPr>
          <w:b/>
        </w:rPr>
        <w:t>kapitálové výdaje</w:t>
      </w:r>
      <w:r w:rsidRPr="00FD4A05">
        <w:t xml:space="preserve"> v celkové výši </w:t>
      </w:r>
      <w:r w:rsidRPr="00FD4A05">
        <w:rPr>
          <w:b/>
        </w:rPr>
        <w:t xml:space="preserve">1 860 tis. Kč. </w:t>
      </w:r>
      <w:r w:rsidRPr="00FD4A05">
        <w:t xml:space="preserve">Tyto výdaje jsou určeny na obnovu výpočetní techniky (1 260 tis. Kč), na softwarové investice pro účely státní správy v oblasti železniční dopravy s návazností na evropské softwary (500 tis. Kč) a pořízení kancelářské techniky </w:t>
      </w:r>
      <w:r w:rsidRPr="00FD4A05">
        <w:br/>
        <w:t xml:space="preserve">(100 tis. Kč). </w:t>
      </w:r>
      <w:r w:rsidRPr="00FD4A05">
        <w:rPr>
          <w:color w:val="FF0000"/>
        </w:rPr>
        <w:t xml:space="preserve"> </w:t>
      </w:r>
    </w:p>
    <w:p w:rsidR="008A2ACA" w:rsidRDefault="008A2ACA" w:rsidP="00BB459E">
      <w:pPr>
        <w:spacing w:before="160" w:line="240" w:lineRule="auto"/>
        <w:ind w:firstLine="539"/>
        <w:rPr>
          <w:rFonts w:eastAsia="Times New Roman" w:cs="Times New Roman"/>
          <w:b/>
          <w:bCs/>
          <w:color w:val="FF0000"/>
          <w:szCs w:val="24"/>
          <w:u w:val="single"/>
          <w:lang w:eastAsia="cs-CZ"/>
        </w:rPr>
      </w:pPr>
    </w:p>
    <w:p w:rsidR="008A2ACA" w:rsidRDefault="008A2ACA" w:rsidP="00BB459E">
      <w:pPr>
        <w:spacing w:before="160" w:line="240" w:lineRule="auto"/>
        <w:ind w:firstLine="539"/>
        <w:rPr>
          <w:rFonts w:eastAsia="Times New Roman" w:cs="Times New Roman"/>
          <w:b/>
          <w:bCs/>
          <w:color w:val="FF0000"/>
          <w:szCs w:val="24"/>
          <w:u w:val="single"/>
          <w:lang w:eastAsia="cs-CZ"/>
        </w:rPr>
      </w:pPr>
    </w:p>
    <w:p w:rsidR="008A2ACA" w:rsidRDefault="008A2ACA" w:rsidP="00BB459E">
      <w:pPr>
        <w:spacing w:before="160" w:line="240" w:lineRule="auto"/>
        <w:ind w:firstLine="539"/>
        <w:rPr>
          <w:rFonts w:eastAsia="Times New Roman" w:cs="Times New Roman"/>
          <w:b/>
          <w:bCs/>
          <w:color w:val="FF0000"/>
          <w:szCs w:val="24"/>
          <w:u w:val="single"/>
          <w:lang w:eastAsia="cs-CZ"/>
        </w:rPr>
      </w:pPr>
    </w:p>
    <w:p w:rsidR="00BB459E" w:rsidRPr="008A2ACA" w:rsidRDefault="00BB459E" w:rsidP="00BB459E">
      <w:pPr>
        <w:spacing w:before="160" w:line="240" w:lineRule="auto"/>
        <w:ind w:firstLine="539"/>
        <w:rPr>
          <w:rFonts w:eastAsia="Times New Roman" w:cs="Times New Roman"/>
          <w:b/>
          <w:bCs/>
          <w:szCs w:val="24"/>
          <w:u w:val="single"/>
          <w:lang w:eastAsia="cs-CZ"/>
        </w:rPr>
      </w:pPr>
      <w:r w:rsidRPr="008A2ACA">
        <w:rPr>
          <w:rFonts w:eastAsia="Times New Roman" w:cs="Times New Roman"/>
          <w:b/>
          <w:bCs/>
          <w:szCs w:val="24"/>
          <w:u w:val="single"/>
          <w:lang w:eastAsia="cs-CZ"/>
        </w:rPr>
        <w:lastRenderedPageBreak/>
        <w:t>Drážní inspekce</w:t>
      </w:r>
    </w:p>
    <w:p w:rsidR="008A2ACA" w:rsidRPr="00FD4A05" w:rsidRDefault="008A2ACA" w:rsidP="008A2ACA">
      <w:pPr>
        <w:keepNext/>
        <w:spacing w:before="120" w:after="120" w:line="240" w:lineRule="auto"/>
        <w:rPr>
          <w:rFonts w:eastAsia="Times New Roman" w:cs="Times New Roman"/>
          <w:b/>
          <w:bCs/>
          <w:noProof/>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31</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Drážní inspekce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8A2ACA" w:rsidRPr="00FD4A05" w:rsidTr="00CA2C79">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Skutečnost </w:t>
            </w:r>
            <w:r w:rsidRPr="00FD4A05">
              <w:rPr>
                <w:rFonts w:eastAsia="Times New Roman" w:cs="Times New Roman"/>
                <w:b/>
                <w:bCs/>
                <w:lang w:eastAsia="cs-CZ"/>
              </w:rPr>
              <w:br/>
              <w:t>2017</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Schválený rozpočet 2018</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Návrh rozpočtu</w:t>
            </w:r>
            <w:r w:rsidRPr="00FD4A05">
              <w:rPr>
                <w:rFonts w:eastAsia="Times New Roman" w:cs="Times New Roman"/>
                <w:b/>
                <w:bCs/>
                <w:lang w:eastAsia="cs-CZ"/>
              </w:rPr>
              <w:br/>
              <w:t xml:space="preserve"> 2019</w:t>
            </w:r>
          </w:p>
        </w:tc>
      </w:tr>
      <w:tr w:rsidR="008A2ACA" w:rsidRPr="00FD4A05" w:rsidTr="00CA2C79">
        <w:tc>
          <w:tcPr>
            <w:tcW w:w="2263" w:type="dxa"/>
            <w:tcBorders>
              <w:top w:val="single" w:sz="4" w:space="0" w:color="7F7F7F" w:themeColor="text1" w:themeTint="80"/>
            </w:tcBorders>
            <w:shd w:val="clear" w:color="auto" w:fill="auto"/>
          </w:tcPr>
          <w:p w:rsidR="008A2ACA" w:rsidRPr="00FD4A05" w:rsidRDefault="008A2ACA" w:rsidP="00CA2C79">
            <w:pPr>
              <w:jc w:val="center"/>
              <w:rPr>
                <w:rFonts w:eastAsia="Times New Roman" w:cs="Times New Roman"/>
                <w:lang w:eastAsia="cs-CZ"/>
              </w:rPr>
            </w:pPr>
            <w:r w:rsidRPr="00FD4A05">
              <w:rPr>
                <w:rFonts w:eastAsia="Times New Roman" w:cs="Times New Roman"/>
                <w:lang w:eastAsia="cs-CZ"/>
              </w:rPr>
              <w:t>127 01</w:t>
            </w:r>
          </w:p>
        </w:tc>
        <w:tc>
          <w:tcPr>
            <w:tcW w:w="2266"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2 597</w:t>
            </w:r>
          </w:p>
        </w:tc>
        <w:tc>
          <w:tcPr>
            <w:tcW w:w="2264"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57"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r>
      <w:tr w:rsidR="008A2ACA" w:rsidRPr="00FD4A05" w:rsidTr="00CA2C79">
        <w:tc>
          <w:tcPr>
            <w:tcW w:w="2263" w:type="dxa"/>
            <w:tcBorders>
              <w:bottom w:val="single" w:sz="8" w:space="0" w:color="7F7F7F" w:themeColor="text1" w:themeTint="80"/>
            </w:tcBorders>
            <w:shd w:val="clear" w:color="auto" w:fill="auto"/>
          </w:tcPr>
          <w:p w:rsidR="008A2ACA" w:rsidRPr="00FD4A05" w:rsidRDefault="008A2ACA" w:rsidP="00CA2C79">
            <w:pPr>
              <w:rPr>
                <w:rFonts w:eastAsia="Times New Roman" w:cs="Times New Roman"/>
                <w:lang w:eastAsia="cs-CZ"/>
              </w:rPr>
            </w:pPr>
            <w:r w:rsidRPr="00FD4A05">
              <w:rPr>
                <w:rFonts w:eastAsia="Times New Roman" w:cs="Times New Roman"/>
                <w:iCs/>
                <w:lang w:eastAsia="cs-CZ"/>
              </w:rPr>
              <w:t xml:space="preserve">             127 03 </w:t>
            </w:r>
          </w:p>
        </w:tc>
        <w:tc>
          <w:tcPr>
            <w:tcW w:w="2266"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344</w:t>
            </w:r>
          </w:p>
        </w:tc>
        <w:tc>
          <w:tcPr>
            <w:tcW w:w="2264"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2 150</w:t>
            </w:r>
          </w:p>
        </w:tc>
        <w:tc>
          <w:tcPr>
            <w:tcW w:w="2257"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3 650</w:t>
            </w:r>
          </w:p>
        </w:tc>
      </w:tr>
      <w:tr w:rsidR="008A2ACA" w:rsidRPr="00FD4A05" w:rsidTr="00CA2C79">
        <w:tc>
          <w:tcPr>
            <w:tcW w:w="2263" w:type="dxa"/>
            <w:tcBorders>
              <w:top w:val="single" w:sz="8" w:space="0" w:color="7F7F7F" w:themeColor="text1" w:themeTint="80"/>
              <w:bottom w:val="single" w:sz="8" w:space="0" w:color="7F7F7F" w:themeColor="text1" w:themeTint="80"/>
            </w:tcBorders>
            <w:shd w:val="clear" w:color="auto" w:fill="auto"/>
          </w:tcPr>
          <w:p w:rsidR="008A2ACA" w:rsidRPr="00FD4A05" w:rsidRDefault="008A2ACA" w:rsidP="00CA2C79">
            <w:pPr>
              <w:jc w:val="center"/>
              <w:rPr>
                <w:rFonts w:eastAsia="Times New Roman" w:cs="Times New Roman"/>
                <w:b/>
                <w:iCs/>
                <w:lang w:eastAsia="cs-CZ"/>
              </w:rPr>
            </w:pPr>
            <w:r w:rsidRPr="00FD4A05">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2 941</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2 150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3 650</w:t>
            </w:r>
          </w:p>
        </w:tc>
      </w:tr>
    </w:tbl>
    <w:p w:rsidR="008A2ACA" w:rsidRPr="00FD4A05" w:rsidRDefault="008A2ACA" w:rsidP="004C4BA5">
      <w:pPr>
        <w:pStyle w:val="Styl1"/>
      </w:pPr>
      <w:r w:rsidRPr="00FD4A05">
        <w:rPr>
          <w:b/>
        </w:rPr>
        <w:t>Kapitálové výdaje</w:t>
      </w:r>
      <w:r w:rsidRPr="00FD4A05">
        <w:t xml:space="preserve"> ve výši </w:t>
      </w:r>
      <w:r w:rsidRPr="00FD4A05">
        <w:rPr>
          <w:b/>
        </w:rPr>
        <w:t>3 650 tis. Kč</w:t>
      </w:r>
      <w:r w:rsidRPr="00FD4A05">
        <w:t xml:space="preserve"> budou vyžity na obnovu dvou užitkových terénních vozidel (2 000 tis. Kč). V </w:t>
      </w:r>
      <w:proofErr w:type="spellStart"/>
      <w:r w:rsidRPr="00FD4A05">
        <w:t>subtitulu</w:t>
      </w:r>
      <w:proofErr w:type="spellEnd"/>
      <w:r w:rsidRPr="00FD4A05">
        <w:t xml:space="preserve"> ICT je uvažována investice do vytvoření nové modernizované elektronické spisové služby (1 650 tis. Kč). </w:t>
      </w:r>
    </w:p>
    <w:p w:rsidR="008A2ACA" w:rsidRPr="00FD4A05" w:rsidRDefault="008A2ACA" w:rsidP="008A2ACA">
      <w:pPr>
        <w:keepNext/>
        <w:tabs>
          <w:tab w:val="left" w:pos="708"/>
        </w:tabs>
        <w:spacing w:before="240" w:line="240" w:lineRule="auto"/>
        <w:ind w:firstLine="539"/>
        <w:outlineLvl w:val="3"/>
        <w:rPr>
          <w:rFonts w:eastAsia="Times New Roman" w:cs="Times New Roman"/>
          <w:b/>
          <w:szCs w:val="24"/>
          <w:u w:val="single"/>
          <w:lang w:eastAsia="cs-CZ"/>
        </w:rPr>
      </w:pPr>
      <w:r w:rsidRPr="00FD4A05">
        <w:rPr>
          <w:rFonts w:eastAsia="Times New Roman" w:cs="Times New Roman"/>
          <w:b/>
          <w:szCs w:val="24"/>
          <w:u w:val="single"/>
          <w:lang w:eastAsia="cs-CZ"/>
        </w:rPr>
        <w:t>Ředitelství vodních cest ČR</w:t>
      </w:r>
    </w:p>
    <w:p w:rsidR="008A2ACA" w:rsidRPr="00FD4A05" w:rsidRDefault="008A2ACA" w:rsidP="008A2ACA">
      <w:pPr>
        <w:keepNext/>
        <w:spacing w:before="120" w:after="120" w:line="240" w:lineRule="auto"/>
        <w:rPr>
          <w:rFonts w:eastAsia="Times New Roman" w:cs="Times New Roman"/>
          <w:b/>
          <w:bCs/>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32</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Ředitelství vodních cest ČR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8A2ACA" w:rsidRPr="00FD4A05" w:rsidTr="00CA2C79">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Skutečnost </w:t>
            </w:r>
            <w:r w:rsidRPr="00FD4A05">
              <w:rPr>
                <w:rFonts w:eastAsia="Times New Roman" w:cs="Times New Roman"/>
                <w:b/>
                <w:bCs/>
                <w:lang w:eastAsia="cs-CZ"/>
              </w:rPr>
              <w:br/>
              <w:t>2017</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Schválený rozpočet 2018</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Návrh rozpočtu</w:t>
            </w:r>
            <w:r w:rsidRPr="00FD4A05">
              <w:rPr>
                <w:rFonts w:eastAsia="Times New Roman" w:cs="Times New Roman"/>
                <w:b/>
                <w:bCs/>
                <w:lang w:eastAsia="cs-CZ"/>
              </w:rPr>
              <w:br/>
              <w:t xml:space="preserve"> 2019</w:t>
            </w:r>
          </w:p>
        </w:tc>
      </w:tr>
      <w:tr w:rsidR="008A2ACA" w:rsidRPr="00FD4A05" w:rsidTr="00CA2C79">
        <w:tc>
          <w:tcPr>
            <w:tcW w:w="2263" w:type="dxa"/>
            <w:tcBorders>
              <w:top w:val="single" w:sz="4" w:space="0" w:color="7F7F7F" w:themeColor="text1" w:themeTint="80"/>
              <w:bottom w:val="nil"/>
            </w:tcBorders>
            <w:shd w:val="clear" w:color="auto" w:fill="auto"/>
          </w:tcPr>
          <w:p w:rsidR="008A2ACA" w:rsidRPr="00FD4A05" w:rsidRDefault="008A2ACA" w:rsidP="00CA2C79">
            <w:pPr>
              <w:jc w:val="center"/>
              <w:rPr>
                <w:rFonts w:eastAsia="Times New Roman" w:cs="Times New Roman"/>
                <w:lang w:eastAsia="cs-CZ"/>
              </w:rPr>
            </w:pPr>
            <w:r w:rsidRPr="00FD4A05">
              <w:rPr>
                <w:rFonts w:eastAsia="Times New Roman" w:cs="Times New Roman"/>
                <w:lang w:eastAsia="cs-CZ"/>
              </w:rPr>
              <w:t>127 01</w:t>
            </w:r>
          </w:p>
        </w:tc>
        <w:tc>
          <w:tcPr>
            <w:tcW w:w="2266" w:type="dxa"/>
            <w:tcBorders>
              <w:top w:val="single" w:sz="4" w:space="0" w:color="7F7F7F" w:themeColor="text1" w:themeTint="80"/>
              <w:bottom w:val="nil"/>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64" w:type="dxa"/>
            <w:tcBorders>
              <w:top w:val="single" w:sz="4" w:space="0" w:color="7F7F7F" w:themeColor="text1" w:themeTint="80"/>
              <w:bottom w:val="nil"/>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57" w:type="dxa"/>
            <w:tcBorders>
              <w:top w:val="single" w:sz="4" w:space="0" w:color="7F7F7F" w:themeColor="text1" w:themeTint="80"/>
              <w:bottom w:val="nil"/>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r>
      <w:tr w:rsidR="008A2ACA" w:rsidRPr="00FD4A05" w:rsidTr="00CA2C79">
        <w:tc>
          <w:tcPr>
            <w:tcW w:w="2263" w:type="dxa"/>
            <w:tcBorders>
              <w:top w:val="single" w:sz="4" w:space="0" w:color="7F7F7F" w:themeColor="text1" w:themeTint="80"/>
              <w:bottom w:val="single" w:sz="8" w:space="0" w:color="7F7F7F" w:themeColor="text1" w:themeTint="80"/>
            </w:tcBorders>
            <w:shd w:val="clear" w:color="auto" w:fill="auto"/>
          </w:tcPr>
          <w:p w:rsidR="008A2ACA" w:rsidRPr="00FD4A05" w:rsidRDefault="008A2ACA" w:rsidP="00CA2C79">
            <w:pPr>
              <w:rPr>
                <w:rFonts w:eastAsia="Times New Roman" w:cs="Times New Roman"/>
                <w:lang w:eastAsia="cs-CZ"/>
              </w:rPr>
            </w:pPr>
            <w:r w:rsidRPr="00FD4A05">
              <w:rPr>
                <w:rFonts w:eastAsia="Times New Roman" w:cs="Times New Roman"/>
                <w:iCs/>
                <w:lang w:eastAsia="cs-CZ"/>
              </w:rPr>
              <w:t xml:space="preserve">             127 03 </w:t>
            </w:r>
          </w:p>
        </w:tc>
        <w:tc>
          <w:tcPr>
            <w:tcW w:w="2266" w:type="dxa"/>
            <w:tcBorders>
              <w:top w:val="single" w:sz="4"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1 282</w:t>
            </w:r>
          </w:p>
        </w:tc>
        <w:tc>
          <w:tcPr>
            <w:tcW w:w="2264" w:type="dxa"/>
            <w:tcBorders>
              <w:top w:val="single" w:sz="4"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900</w:t>
            </w:r>
          </w:p>
        </w:tc>
        <w:tc>
          <w:tcPr>
            <w:tcW w:w="2257" w:type="dxa"/>
            <w:tcBorders>
              <w:top w:val="single" w:sz="4"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100</w:t>
            </w:r>
          </w:p>
        </w:tc>
      </w:tr>
      <w:tr w:rsidR="008A2ACA" w:rsidRPr="00FD4A05" w:rsidTr="00CA2C79">
        <w:tc>
          <w:tcPr>
            <w:tcW w:w="2263" w:type="dxa"/>
            <w:tcBorders>
              <w:top w:val="single" w:sz="8" w:space="0" w:color="7F7F7F" w:themeColor="text1" w:themeTint="80"/>
              <w:bottom w:val="single" w:sz="8" w:space="0" w:color="7F7F7F" w:themeColor="text1" w:themeTint="80"/>
            </w:tcBorders>
            <w:shd w:val="clear" w:color="auto" w:fill="auto"/>
          </w:tcPr>
          <w:p w:rsidR="008A2ACA" w:rsidRPr="00FD4A05" w:rsidRDefault="008A2ACA" w:rsidP="00CA2C79">
            <w:pPr>
              <w:jc w:val="center"/>
              <w:rPr>
                <w:rFonts w:eastAsia="Times New Roman" w:cs="Times New Roman"/>
                <w:b/>
                <w:iCs/>
                <w:lang w:eastAsia="cs-CZ"/>
              </w:rPr>
            </w:pPr>
            <w:r w:rsidRPr="00FD4A05">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1 282</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900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100</w:t>
            </w:r>
          </w:p>
        </w:tc>
      </w:tr>
    </w:tbl>
    <w:p w:rsidR="008A2ACA" w:rsidRPr="00FD4A05" w:rsidRDefault="008A2ACA" w:rsidP="004C4BA5">
      <w:pPr>
        <w:pStyle w:val="Styl1"/>
      </w:pPr>
      <w:r w:rsidRPr="00FD4A05">
        <w:rPr>
          <w:b/>
          <w:bCs/>
        </w:rPr>
        <w:t>Ředitelství vodních cest ČR</w:t>
      </w:r>
      <w:r w:rsidRPr="00FD4A05">
        <w:t xml:space="preserve"> využije částku </w:t>
      </w:r>
      <w:r w:rsidRPr="00FD4A05">
        <w:rPr>
          <w:b/>
        </w:rPr>
        <w:t>kapitálových výdajů</w:t>
      </w:r>
      <w:r w:rsidRPr="00FD4A05">
        <w:t xml:space="preserve"> ve výši </w:t>
      </w:r>
      <w:r w:rsidRPr="00FD4A05">
        <w:rPr>
          <w:b/>
        </w:rPr>
        <w:t xml:space="preserve">100 </w:t>
      </w:r>
      <w:r w:rsidRPr="00FD4A05">
        <w:rPr>
          <w:b/>
          <w:bCs/>
        </w:rPr>
        <w:t>tis. Kč</w:t>
      </w:r>
      <w:r w:rsidRPr="00FD4A05">
        <w:t xml:space="preserve"> v programu 127 03 v </w:t>
      </w:r>
      <w:proofErr w:type="spellStart"/>
      <w:r w:rsidRPr="00FD4A05">
        <w:t>subtitulu</w:t>
      </w:r>
      <w:proofErr w:type="spellEnd"/>
      <w:r w:rsidRPr="00FD4A05">
        <w:t xml:space="preserve"> ICT na obnovu výpočetní techniky (100 tis. Kč).</w:t>
      </w:r>
    </w:p>
    <w:p w:rsidR="008A2ACA" w:rsidRPr="00FD4A05" w:rsidRDefault="008A2ACA" w:rsidP="008A2ACA">
      <w:pPr>
        <w:keepNext/>
        <w:tabs>
          <w:tab w:val="left" w:pos="708"/>
        </w:tabs>
        <w:spacing w:before="240" w:line="240" w:lineRule="auto"/>
        <w:ind w:firstLine="539"/>
        <w:outlineLvl w:val="3"/>
        <w:rPr>
          <w:rFonts w:eastAsia="Times New Roman" w:cs="Times New Roman"/>
          <w:b/>
          <w:szCs w:val="24"/>
          <w:u w:val="single"/>
          <w:lang w:eastAsia="cs-CZ"/>
        </w:rPr>
      </w:pPr>
      <w:r w:rsidRPr="00FD4A05">
        <w:rPr>
          <w:rFonts w:eastAsia="Times New Roman" w:cs="Times New Roman"/>
          <w:b/>
          <w:szCs w:val="24"/>
          <w:u w:val="single"/>
          <w:lang w:eastAsia="cs-CZ"/>
        </w:rPr>
        <w:t>Ústav pro odborné zjišťování příčin leteckých nehod</w:t>
      </w:r>
    </w:p>
    <w:p w:rsidR="008A2ACA" w:rsidRPr="00FD4A05" w:rsidRDefault="008A2ACA" w:rsidP="008A2ACA">
      <w:pPr>
        <w:keepNext/>
        <w:spacing w:before="120" w:after="120" w:line="240" w:lineRule="auto"/>
        <w:rPr>
          <w:rFonts w:eastAsia="Times New Roman" w:cs="Times New Roman"/>
          <w:b/>
          <w:bCs/>
          <w:noProof/>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33</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Ústavu pro odborné zjišťování příčin let. nehod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2266"/>
        <w:gridCol w:w="2264"/>
        <w:gridCol w:w="2258"/>
      </w:tblGrid>
      <w:tr w:rsidR="008A2ACA" w:rsidRPr="00FD4A05" w:rsidTr="00CA2C79">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Skutečnost </w:t>
            </w:r>
            <w:r w:rsidRPr="00FD4A05">
              <w:rPr>
                <w:rFonts w:eastAsia="Times New Roman" w:cs="Times New Roman"/>
                <w:b/>
                <w:bCs/>
                <w:lang w:eastAsia="cs-CZ"/>
              </w:rPr>
              <w:br/>
              <w:t>2017</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Schválený rozpočet 2018</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D4A05" w:rsidRDefault="008A2ACA" w:rsidP="00CA2C79">
            <w:pPr>
              <w:jc w:val="center"/>
              <w:rPr>
                <w:rFonts w:eastAsia="Times New Roman" w:cs="Times New Roman"/>
                <w:b/>
                <w:bCs/>
                <w:lang w:eastAsia="cs-CZ"/>
              </w:rPr>
            </w:pPr>
            <w:r w:rsidRPr="00FD4A05">
              <w:rPr>
                <w:rFonts w:eastAsia="Times New Roman" w:cs="Times New Roman"/>
                <w:b/>
                <w:bCs/>
                <w:lang w:eastAsia="cs-CZ"/>
              </w:rPr>
              <w:t xml:space="preserve">Návrh rozpočtu </w:t>
            </w:r>
            <w:r w:rsidRPr="00FD4A05">
              <w:rPr>
                <w:rFonts w:eastAsia="Times New Roman" w:cs="Times New Roman"/>
                <w:b/>
                <w:bCs/>
                <w:lang w:eastAsia="cs-CZ"/>
              </w:rPr>
              <w:br/>
              <w:t>2019</w:t>
            </w:r>
          </w:p>
        </w:tc>
      </w:tr>
      <w:tr w:rsidR="008A2ACA" w:rsidRPr="00FD4A05" w:rsidTr="00CA2C79">
        <w:tc>
          <w:tcPr>
            <w:tcW w:w="2264" w:type="dxa"/>
            <w:tcBorders>
              <w:top w:val="single" w:sz="4" w:space="0" w:color="7F7F7F" w:themeColor="text1" w:themeTint="80"/>
            </w:tcBorders>
            <w:shd w:val="clear" w:color="auto" w:fill="auto"/>
          </w:tcPr>
          <w:p w:rsidR="008A2ACA" w:rsidRPr="00FD4A05" w:rsidRDefault="008A2ACA" w:rsidP="00CA2C79">
            <w:pPr>
              <w:jc w:val="center"/>
              <w:rPr>
                <w:rFonts w:eastAsia="Times New Roman" w:cs="Times New Roman"/>
                <w:lang w:eastAsia="cs-CZ"/>
              </w:rPr>
            </w:pPr>
            <w:r w:rsidRPr="00FD4A05">
              <w:rPr>
                <w:rFonts w:eastAsia="Times New Roman" w:cs="Times New Roman"/>
                <w:lang w:eastAsia="cs-CZ"/>
              </w:rPr>
              <w:t>127 01</w:t>
            </w:r>
          </w:p>
        </w:tc>
        <w:tc>
          <w:tcPr>
            <w:tcW w:w="2266"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64"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c>
          <w:tcPr>
            <w:tcW w:w="2258" w:type="dxa"/>
            <w:tcBorders>
              <w:top w:val="single" w:sz="4" w:space="0" w:color="7F7F7F" w:themeColor="text1" w:themeTint="80"/>
            </w:tcBorders>
            <w:shd w:val="clear" w:color="auto" w:fill="auto"/>
            <w:vAlign w:val="center"/>
          </w:tcPr>
          <w:p w:rsidR="008A2ACA" w:rsidRPr="00FD4A05" w:rsidRDefault="008A2ACA" w:rsidP="00CA2C79">
            <w:pPr>
              <w:jc w:val="right"/>
              <w:rPr>
                <w:rFonts w:eastAsia="Times New Roman" w:cs="Times New Roman"/>
                <w:lang w:eastAsia="cs-CZ"/>
              </w:rPr>
            </w:pPr>
            <w:r w:rsidRPr="00FD4A05">
              <w:rPr>
                <w:rFonts w:eastAsia="Times New Roman" w:cs="Times New Roman"/>
                <w:lang w:eastAsia="cs-CZ"/>
              </w:rPr>
              <w:t>0</w:t>
            </w:r>
          </w:p>
        </w:tc>
      </w:tr>
      <w:tr w:rsidR="008A2ACA" w:rsidRPr="00FD4A05" w:rsidTr="00CA2C79">
        <w:tc>
          <w:tcPr>
            <w:tcW w:w="2264" w:type="dxa"/>
            <w:tcBorders>
              <w:bottom w:val="single" w:sz="8" w:space="0" w:color="7F7F7F" w:themeColor="text1" w:themeTint="80"/>
            </w:tcBorders>
            <w:shd w:val="clear" w:color="auto" w:fill="auto"/>
          </w:tcPr>
          <w:p w:rsidR="008A2ACA" w:rsidRPr="00FD4A05" w:rsidRDefault="008A2ACA" w:rsidP="00CA2C79">
            <w:pPr>
              <w:jc w:val="center"/>
              <w:rPr>
                <w:rFonts w:eastAsia="Times New Roman" w:cs="Times New Roman"/>
                <w:lang w:eastAsia="cs-CZ"/>
              </w:rPr>
            </w:pPr>
            <w:r w:rsidRPr="00FD4A05">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1 040</w:t>
            </w:r>
          </w:p>
        </w:tc>
        <w:tc>
          <w:tcPr>
            <w:tcW w:w="2264"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1 300</w:t>
            </w:r>
          </w:p>
        </w:tc>
        <w:tc>
          <w:tcPr>
            <w:tcW w:w="2258" w:type="dxa"/>
            <w:tcBorders>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iCs/>
                <w:lang w:eastAsia="cs-CZ"/>
              </w:rPr>
            </w:pPr>
            <w:r w:rsidRPr="00FD4A05">
              <w:rPr>
                <w:rFonts w:eastAsia="Times New Roman" w:cs="Times New Roman"/>
                <w:iCs/>
                <w:lang w:eastAsia="cs-CZ"/>
              </w:rPr>
              <w:t>1 300</w:t>
            </w:r>
          </w:p>
        </w:tc>
      </w:tr>
      <w:tr w:rsidR="008A2ACA" w:rsidRPr="00FD4A05" w:rsidTr="00CA2C79">
        <w:tc>
          <w:tcPr>
            <w:tcW w:w="2264" w:type="dxa"/>
            <w:tcBorders>
              <w:top w:val="single" w:sz="8" w:space="0" w:color="7F7F7F" w:themeColor="text1" w:themeTint="80"/>
              <w:bottom w:val="single" w:sz="8" w:space="0" w:color="7F7F7F" w:themeColor="text1" w:themeTint="80"/>
            </w:tcBorders>
            <w:shd w:val="clear" w:color="auto" w:fill="auto"/>
          </w:tcPr>
          <w:p w:rsidR="008A2ACA" w:rsidRPr="00FD4A05" w:rsidRDefault="008A2ACA" w:rsidP="00CA2C79">
            <w:pPr>
              <w:jc w:val="center"/>
              <w:rPr>
                <w:rFonts w:eastAsia="Times New Roman" w:cs="Times New Roman"/>
                <w:b/>
                <w:iCs/>
                <w:lang w:eastAsia="cs-CZ"/>
              </w:rPr>
            </w:pPr>
            <w:r w:rsidRPr="00FD4A05">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1 040</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1 300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rsidR="008A2ACA" w:rsidRPr="00FD4A05" w:rsidRDefault="008A2ACA" w:rsidP="00CA2C79">
            <w:pPr>
              <w:jc w:val="right"/>
              <w:rPr>
                <w:rFonts w:eastAsia="Times New Roman" w:cs="Times New Roman"/>
                <w:b/>
                <w:iCs/>
                <w:lang w:eastAsia="cs-CZ"/>
              </w:rPr>
            </w:pPr>
            <w:r w:rsidRPr="00FD4A05">
              <w:rPr>
                <w:rFonts w:eastAsia="Times New Roman" w:cs="Times New Roman"/>
                <w:b/>
                <w:iCs/>
                <w:lang w:eastAsia="cs-CZ"/>
              </w:rPr>
              <w:t>1 300</w:t>
            </w:r>
          </w:p>
        </w:tc>
      </w:tr>
    </w:tbl>
    <w:p w:rsidR="008A2ACA" w:rsidRDefault="008A2ACA" w:rsidP="004C4BA5">
      <w:pPr>
        <w:pStyle w:val="Styl1"/>
      </w:pPr>
      <w:r w:rsidRPr="00FD4A05">
        <w:rPr>
          <w:b/>
        </w:rPr>
        <w:t>Kapitálové výdaje</w:t>
      </w:r>
      <w:r w:rsidRPr="00FD4A05">
        <w:t xml:space="preserve"> zapracované v programu 127 03 ve výši </w:t>
      </w:r>
      <w:r w:rsidRPr="00FD4A05">
        <w:rPr>
          <w:b/>
        </w:rPr>
        <w:t>1 300</w:t>
      </w:r>
      <w:r w:rsidRPr="00FD4A05">
        <w:rPr>
          <w:b/>
          <w:bCs/>
        </w:rPr>
        <w:t xml:space="preserve"> tis. Kč</w:t>
      </w:r>
      <w:r w:rsidRPr="00FD4A05">
        <w:t xml:space="preserve"> jsou určeny </w:t>
      </w:r>
      <w:r w:rsidRPr="00FD4A05">
        <w:br/>
        <w:t>na obměnu terénního užitkového vozu (850 tis. Kč), na obnovu kancelářské techniky a zařízení (300 tis. Kč). V </w:t>
      </w:r>
      <w:proofErr w:type="spellStart"/>
      <w:r w:rsidRPr="00FD4A05">
        <w:t>subtitulu</w:t>
      </w:r>
      <w:proofErr w:type="spellEnd"/>
      <w:r w:rsidRPr="00FD4A05">
        <w:t xml:space="preserve"> ICT bude investováno do obměny stávajícího serveru s ohledem </w:t>
      </w:r>
      <w:r w:rsidR="00BA4EEA">
        <w:br/>
      </w:r>
      <w:r w:rsidRPr="00FD4A05">
        <w:t xml:space="preserve">na zajištění požadavků na kybernetickou bezpečnost a ochranu citlivých dat zpracovávaných v databázích, které souvisejí s šetřením leteckých nehod a incidentů v civilním letectví                             (150 tis. Kč). </w:t>
      </w:r>
    </w:p>
    <w:p w:rsidR="00BA4EEA" w:rsidRDefault="00BA4EEA" w:rsidP="004C4BA5">
      <w:pPr>
        <w:pStyle w:val="Styl1"/>
      </w:pPr>
    </w:p>
    <w:p w:rsidR="00BA4EEA" w:rsidRDefault="00BA4EEA" w:rsidP="004C4BA5">
      <w:pPr>
        <w:pStyle w:val="Styl1"/>
      </w:pPr>
    </w:p>
    <w:p w:rsidR="00BA4EEA" w:rsidRDefault="00BA4EEA" w:rsidP="004C4BA5">
      <w:pPr>
        <w:pStyle w:val="Styl1"/>
      </w:pPr>
    </w:p>
    <w:p w:rsidR="00BA4EEA" w:rsidRDefault="00BA4EEA" w:rsidP="004C4BA5">
      <w:pPr>
        <w:pStyle w:val="Styl1"/>
      </w:pPr>
    </w:p>
    <w:p w:rsidR="00BA4EEA" w:rsidRDefault="00BA4EEA" w:rsidP="004C4BA5">
      <w:pPr>
        <w:pStyle w:val="Styl1"/>
      </w:pPr>
    </w:p>
    <w:p w:rsidR="00BA4EEA" w:rsidRDefault="00BA4EEA" w:rsidP="004C4BA5">
      <w:pPr>
        <w:pStyle w:val="Styl1"/>
      </w:pPr>
    </w:p>
    <w:p w:rsidR="00BA4EEA" w:rsidRDefault="00BA4EEA" w:rsidP="004C4BA5">
      <w:pPr>
        <w:pStyle w:val="Styl1"/>
      </w:pPr>
    </w:p>
    <w:p w:rsidR="00BB459E" w:rsidRDefault="00BB459E" w:rsidP="00BB459E">
      <w:pPr>
        <w:pStyle w:val="Nadpis3"/>
        <w:tabs>
          <w:tab w:val="clear" w:pos="720"/>
          <w:tab w:val="num" w:pos="709"/>
        </w:tabs>
        <w:spacing w:before="280"/>
        <w:ind w:left="1712" w:hanging="1712"/>
      </w:pPr>
      <w:bookmarkStart w:id="94" w:name="_Toc462314403"/>
      <w:bookmarkStart w:id="95" w:name="_Toc489274110"/>
      <w:bookmarkStart w:id="96" w:name="_Toc526424703"/>
      <w:bookmarkEnd w:id="92"/>
      <w:bookmarkEnd w:id="93"/>
      <w:r w:rsidRPr="008A2ACA">
        <w:lastRenderedPageBreak/>
        <w:t>Příspěvkové organizace</w:t>
      </w:r>
      <w:bookmarkEnd w:id="94"/>
      <w:bookmarkEnd w:id="95"/>
      <w:bookmarkEnd w:id="96"/>
    </w:p>
    <w:p w:rsidR="008A2ACA" w:rsidRPr="00BA4EEA" w:rsidRDefault="008A2ACA" w:rsidP="00BA4EEA">
      <w:pPr>
        <w:pStyle w:val="Styl1"/>
      </w:pPr>
      <w:r w:rsidRPr="00FE75D5">
        <w:t>Výdaje vedené v EDS/SMVS určené státním příspěvkovým organizacím nejsou pro rozpočtový rok 2019 navrženy. Druhové členění výdajů vykazuje následující tabulka.</w:t>
      </w:r>
      <w:r w:rsidR="00BA4EEA">
        <w:t xml:space="preserve"> </w:t>
      </w:r>
      <w:r w:rsidRPr="00201A4B">
        <w:rPr>
          <w:color w:val="FF0000"/>
        </w:rPr>
        <w:t xml:space="preserve">                                   </w:t>
      </w:r>
      <w:r w:rsidRPr="0001421C">
        <w:rPr>
          <w:bCs/>
          <w:iCs w:val="0"/>
          <w:color w:val="FF0000"/>
        </w:rPr>
        <w:t xml:space="preserve">                                                                                                                                </w:t>
      </w:r>
    </w:p>
    <w:p w:rsidR="008A2ACA" w:rsidRPr="00FD4A05" w:rsidRDefault="008A2ACA" w:rsidP="008A2ACA">
      <w:pPr>
        <w:keepNext/>
        <w:spacing w:after="120" w:line="240" w:lineRule="auto"/>
        <w:rPr>
          <w:rFonts w:eastAsia="Times New Roman" w:cs="Times New Roman"/>
          <w:b/>
          <w:bCs/>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34</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příspěvkových organizací vedených v EDS/SMVS (v tis. Kč)</w:t>
      </w:r>
    </w:p>
    <w:tbl>
      <w:tblPr>
        <w:tblStyle w:val="Svtltabulkasmkou1zvraznn5"/>
        <w:tblW w:w="5024"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4"/>
        <w:gridCol w:w="1361"/>
        <w:gridCol w:w="1426"/>
        <w:gridCol w:w="1426"/>
        <w:gridCol w:w="1028"/>
      </w:tblGrid>
      <w:tr w:rsidR="008A2ACA" w:rsidRPr="00FE75D5" w:rsidTr="00BA4EEA">
        <w:tc>
          <w:tcPr>
            <w:tcW w:w="21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Ukazatel</w:t>
            </w:r>
          </w:p>
        </w:tc>
        <w:tc>
          <w:tcPr>
            <w:tcW w:w="7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Skutečnost</w:t>
            </w:r>
          </w:p>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2017</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Schválený rozpočet</w:t>
            </w:r>
          </w:p>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2018</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Návrh</w:t>
            </w:r>
          </w:p>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rozpočtu</w:t>
            </w:r>
          </w:p>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2019</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Index</w:t>
            </w:r>
          </w:p>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2019/</w:t>
            </w:r>
            <w:r w:rsidR="00BA4EEA">
              <w:rPr>
                <w:rFonts w:eastAsia="Times New Roman" w:cs="Times New Roman"/>
                <w:b/>
                <w:lang w:eastAsia="cs-CZ"/>
              </w:rPr>
              <w:br/>
            </w:r>
            <w:r w:rsidRPr="00FE75D5">
              <w:rPr>
                <w:rFonts w:eastAsia="Times New Roman" w:cs="Times New Roman"/>
                <w:b/>
                <w:lang w:eastAsia="cs-CZ"/>
              </w:rPr>
              <w:t>2018</w:t>
            </w:r>
          </w:p>
          <w:p w:rsidR="008A2ACA" w:rsidRPr="00FE75D5" w:rsidRDefault="008A2ACA" w:rsidP="00BA4EEA">
            <w:pPr>
              <w:jc w:val="center"/>
              <w:rPr>
                <w:rFonts w:eastAsia="Times New Roman" w:cs="Times New Roman"/>
                <w:b/>
                <w:lang w:eastAsia="cs-CZ"/>
              </w:rPr>
            </w:pPr>
            <w:r w:rsidRPr="00FE75D5">
              <w:rPr>
                <w:rFonts w:eastAsia="Times New Roman" w:cs="Times New Roman"/>
                <w:b/>
                <w:lang w:eastAsia="cs-CZ"/>
              </w:rPr>
              <w:t>(v %)</w:t>
            </w:r>
          </w:p>
        </w:tc>
      </w:tr>
      <w:tr w:rsidR="008A2ACA" w:rsidRPr="00FE75D5" w:rsidTr="00BA4EEA">
        <w:tc>
          <w:tcPr>
            <w:tcW w:w="2119"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center"/>
              <w:rPr>
                <w:rFonts w:eastAsia="Times New Roman" w:cs="Times New Roman"/>
                <w:lang w:eastAsia="cs-CZ"/>
              </w:rPr>
            </w:pPr>
            <w:r w:rsidRPr="00FE75D5">
              <w:rPr>
                <w:rFonts w:eastAsia="Times New Roman" w:cs="Times New Roman"/>
                <w:lang w:eastAsia="cs-CZ"/>
              </w:rPr>
              <w:t>a</w:t>
            </w:r>
          </w:p>
        </w:tc>
        <w:tc>
          <w:tcPr>
            <w:tcW w:w="748"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center"/>
              <w:rPr>
                <w:rFonts w:eastAsia="Times New Roman" w:cs="Times New Roman"/>
                <w:lang w:eastAsia="cs-CZ"/>
              </w:rPr>
            </w:pPr>
            <w:r w:rsidRPr="00FE75D5">
              <w:rPr>
                <w:rFonts w:eastAsia="Times New Roman" w:cs="Times New Roman"/>
                <w:lang w:eastAsia="cs-CZ"/>
              </w:rPr>
              <w:t>1</w:t>
            </w:r>
          </w:p>
        </w:tc>
        <w:tc>
          <w:tcPr>
            <w:tcW w:w="784"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center"/>
              <w:rPr>
                <w:rFonts w:eastAsia="Times New Roman" w:cs="Times New Roman"/>
                <w:lang w:eastAsia="cs-CZ"/>
              </w:rPr>
            </w:pPr>
            <w:r w:rsidRPr="00FE75D5">
              <w:rPr>
                <w:rFonts w:eastAsia="Times New Roman" w:cs="Times New Roman"/>
                <w:lang w:eastAsia="cs-CZ"/>
              </w:rPr>
              <w:t>2</w:t>
            </w:r>
          </w:p>
        </w:tc>
        <w:tc>
          <w:tcPr>
            <w:tcW w:w="784"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center"/>
              <w:rPr>
                <w:rFonts w:eastAsia="Times New Roman" w:cs="Times New Roman"/>
                <w:lang w:eastAsia="cs-CZ"/>
              </w:rPr>
            </w:pPr>
            <w:r w:rsidRPr="00FE75D5">
              <w:rPr>
                <w:rFonts w:eastAsia="Times New Roman" w:cs="Times New Roman"/>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center"/>
              <w:rPr>
                <w:rFonts w:eastAsia="Times New Roman" w:cs="Times New Roman"/>
                <w:lang w:eastAsia="cs-CZ"/>
              </w:rPr>
            </w:pPr>
            <w:r w:rsidRPr="00FE75D5">
              <w:rPr>
                <w:rFonts w:eastAsia="Times New Roman" w:cs="Times New Roman"/>
                <w:lang w:eastAsia="cs-CZ"/>
              </w:rPr>
              <w:t>4</w:t>
            </w:r>
          </w:p>
        </w:tc>
      </w:tr>
      <w:tr w:rsidR="008A2ACA" w:rsidRPr="00FE75D5" w:rsidTr="00BA4EEA">
        <w:tc>
          <w:tcPr>
            <w:tcW w:w="2119"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rPr>
                <w:rFonts w:eastAsia="Times New Roman" w:cs="Times New Roman"/>
                <w:b/>
                <w:lang w:eastAsia="cs-CZ"/>
              </w:rPr>
            </w:pPr>
            <w:r w:rsidRPr="00FE75D5">
              <w:rPr>
                <w:rFonts w:eastAsia="Times New Roman" w:cs="Times New Roman"/>
                <w:b/>
                <w:lang w:eastAsia="cs-CZ"/>
              </w:rPr>
              <w:t xml:space="preserve">Příspěvkové organizace </w:t>
            </w:r>
            <w:r w:rsidRPr="00FE75D5">
              <w:rPr>
                <w:rFonts w:eastAsia="Times New Roman" w:cs="Times New Roman"/>
                <w:lang w:eastAsia="cs-CZ"/>
              </w:rPr>
              <w:t>v tom:</w:t>
            </w:r>
          </w:p>
        </w:tc>
        <w:tc>
          <w:tcPr>
            <w:tcW w:w="748" w:type="pct"/>
            <w:tcBorders>
              <w:top w:val="single" w:sz="5" w:space="0" w:color="7F7F7F" w:themeColor="text1" w:themeTint="80"/>
              <w:bottom w:val="single" w:sz="5" w:space="0" w:color="7F7F7F" w:themeColor="text1" w:themeTint="80"/>
            </w:tcBorders>
            <w:shd w:val="clear" w:color="auto" w:fill="auto"/>
          </w:tcPr>
          <w:p w:rsidR="008A2ACA" w:rsidRPr="00FE75D5" w:rsidRDefault="008A2ACA" w:rsidP="00CA2C79">
            <w:pPr>
              <w:jc w:val="right"/>
              <w:rPr>
                <w:rFonts w:eastAsia="Times New Roman" w:cs="Times New Roman"/>
                <w:b/>
                <w:lang w:eastAsia="cs-CZ"/>
              </w:rPr>
            </w:pPr>
            <w:r w:rsidRPr="00FE75D5">
              <w:rPr>
                <w:rFonts w:eastAsia="Times New Roman" w:cs="Times New Roman"/>
                <w:b/>
                <w:lang w:eastAsia="cs-CZ"/>
              </w:rPr>
              <w:t>89 160</w:t>
            </w:r>
          </w:p>
        </w:tc>
        <w:tc>
          <w:tcPr>
            <w:tcW w:w="784" w:type="pct"/>
            <w:tcBorders>
              <w:top w:val="single" w:sz="5" w:space="0" w:color="7F7F7F" w:themeColor="text1" w:themeTint="80"/>
              <w:bottom w:val="single" w:sz="5" w:space="0" w:color="7F7F7F" w:themeColor="text1" w:themeTint="80"/>
            </w:tcBorders>
            <w:shd w:val="clear" w:color="auto" w:fill="auto"/>
          </w:tcPr>
          <w:p w:rsidR="008A2ACA" w:rsidRPr="00FE75D5" w:rsidRDefault="008A2ACA" w:rsidP="00CA2C79">
            <w:pPr>
              <w:jc w:val="right"/>
              <w:rPr>
                <w:rFonts w:eastAsia="Times New Roman" w:cs="Times New Roman"/>
                <w:b/>
                <w:lang w:eastAsia="cs-CZ"/>
              </w:rPr>
            </w:pPr>
            <w:r w:rsidRPr="00FE75D5">
              <w:rPr>
                <w:rFonts w:eastAsia="Times New Roman" w:cs="Times New Roman"/>
                <w:b/>
                <w:lang w:eastAsia="cs-CZ"/>
              </w:rPr>
              <w:t>7 668</w:t>
            </w:r>
          </w:p>
        </w:tc>
        <w:tc>
          <w:tcPr>
            <w:tcW w:w="784" w:type="pct"/>
            <w:tcBorders>
              <w:top w:val="single" w:sz="5" w:space="0" w:color="7F7F7F" w:themeColor="text1" w:themeTint="80"/>
              <w:bottom w:val="single" w:sz="5" w:space="0" w:color="7F7F7F" w:themeColor="text1" w:themeTint="80"/>
            </w:tcBorders>
            <w:shd w:val="clear" w:color="auto" w:fill="auto"/>
          </w:tcPr>
          <w:p w:rsidR="008A2ACA" w:rsidRPr="00FE75D5" w:rsidRDefault="008A2ACA" w:rsidP="00CA2C79">
            <w:pPr>
              <w:jc w:val="right"/>
              <w:rPr>
                <w:rFonts w:eastAsia="Times New Roman" w:cs="Times New Roman"/>
                <w:b/>
                <w:lang w:eastAsia="cs-CZ"/>
              </w:rPr>
            </w:pPr>
            <w:r w:rsidRPr="00FE75D5">
              <w:rPr>
                <w:rFonts w:eastAsia="Times New Roman" w:cs="Times New Roman"/>
                <w:b/>
                <w:lang w:eastAsia="cs-CZ"/>
              </w:rPr>
              <w:t>0</w:t>
            </w:r>
          </w:p>
        </w:tc>
        <w:tc>
          <w:tcPr>
            <w:tcW w:w="565" w:type="pct"/>
            <w:tcBorders>
              <w:top w:val="single" w:sz="5" w:space="0" w:color="7F7F7F" w:themeColor="text1" w:themeTint="80"/>
              <w:bottom w:val="single" w:sz="5" w:space="0" w:color="7F7F7F" w:themeColor="text1" w:themeTint="80"/>
            </w:tcBorders>
            <w:shd w:val="clear" w:color="auto" w:fill="auto"/>
          </w:tcPr>
          <w:p w:rsidR="008A2ACA" w:rsidRPr="00FE75D5" w:rsidRDefault="008A2ACA" w:rsidP="00CA2C79">
            <w:pPr>
              <w:jc w:val="right"/>
              <w:rPr>
                <w:rFonts w:eastAsia="Times New Roman" w:cs="Times New Roman"/>
                <w:b/>
                <w:lang w:eastAsia="cs-CZ"/>
              </w:rPr>
            </w:pPr>
            <w:r w:rsidRPr="00FE75D5">
              <w:rPr>
                <w:rFonts w:eastAsia="Times New Roman" w:cs="Times New Roman"/>
                <w:b/>
                <w:lang w:eastAsia="cs-CZ"/>
              </w:rPr>
              <w:t>0,00</w:t>
            </w:r>
          </w:p>
        </w:tc>
      </w:tr>
      <w:tr w:rsidR="008A2ACA" w:rsidRPr="00FE75D5" w:rsidTr="00BA4EEA">
        <w:tc>
          <w:tcPr>
            <w:tcW w:w="2119" w:type="pct"/>
            <w:tcBorders>
              <w:top w:val="single" w:sz="8" w:space="0" w:color="7F7F7F" w:themeColor="text1" w:themeTint="80"/>
              <w:bottom w:val="nil"/>
            </w:tcBorders>
            <w:shd w:val="clear" w:color="auto" w:fill="auto"/>
          </w:tcPr>
          <w:p w:rsidR="008A2ACA" w:rsidRPr="00FE75D5" w:rsidRDefault="008A2ACA" w:rsidP="00CA2C79">
            <w:pPr>
              <w:rPr>
                <w:rFonts w:eastAsia="Times New Roman" w:cs="Times New Roman"/>
                <w:lang w:eastAsia="cs-CZ"/>
              </w:rPr>
            </w:pPr>
            <w:r w:rsidRPr="00FE75D5">
              <w:rPr>
                <w:rFonts w:eastAsia="Times New Roman" w:cs="Times New Roman"/>
                <w:lang w:eastAsia="cs-CZ"/>
              </w:rPr>
              <w:t>běžné výdaje v tom:</w:t>
            </w:r>
          </w:p>
        </w:tc>
        <w:tc>
          <w:tcPr>
            <w:tcW w:w="748" w:type="pct"/>
            <w:tcBorders>
              <w:top w:val="single" w:sz="5"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w:t>
            </w:r>
          </w:p>
        </w:tc>
        <w:tc>
          <w:tcPr>
            <w:tcW w:w="784" w:type="pct"/>
            <w:tcBorders>
              <w:top w:val="single" w:sz="5"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w:t>
            </w:r>
          </w:p>
        </w:tc>
        <w:tc>
          <w:tcPr>
            <w:tcW w:w="784" w:type="pct"/>
            <w:tcBorders>
              <w:top w:val="single" w:sz="5"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w:t>
            </w:r>
          </w:p>
        </w:tc>
        <w:tc>
          <w:tcPr>
            <w:tcW w:w="565" w:type="pct"/>
            <w:tcBorders>
              <w:top w:val="single" w:sz="5"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x</w:t>
            </w:r>
          </w:p>
        </w:tc>
      </w:tr>
      <w:tr w:rsidR="008A2ACA" w:rsidRPr="00FE75D5" w:rsidTr="00BA4EEA">
        <w:tc>
          <w:tcPr>
            <w:tcW w:w="2119" w:type="pct"/>
            <w:tcBorders>
              <w:top w:val="nil"/>
              <w:bottom w:val="nil"/>
            </w:tcBorders>
            <w:shd w:val="clear" w:color="auto" w:fill="auto"/>
          </w:tcPr>
          <w:p w:rsidR="008A2ACA" w:rsidRPr="00FE75D5" w:rsidRDefault="008A2ACA" w:rsidP="00CA2C79">
            <w:pPr>
              <w:rPr>
                <w:rFonts w:eastAsia="Times New Roman" w:cs="Times New Roman"/>
                <w:i/>
                <w:lang w:eastAsia="cs-CZ"/>
              </w:rPr>
            </w:pPr>
            <w:r w:rsidRPr="00FE75D5">
              <w:rPr>
                <w:rFonts w:eastAsia="Times New Roman" w:cs="Times New Roman"/>
                <w:i/>
                <w:lang w:eastAsia="cs-CZ"/>
              </w:rPr>
              <w:t xml:space="preserve">       prostředky SR </w:t>
            </w:r>
          </w:p>
        </w:tc>
        <w:tc>
          <w:tcPr>
            <w:tcW w:w="748"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784"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784"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565"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x</w:t>
            </w:r>
          </w:p>
        </w:tc>
      </w:tr>
      <w:tr w:rsidR="008A2ACA" w:rsidRPr="00FE75D5" w:rsidTr="00BA4EEA">
        <w:tc>
          <w:tcPr>
            <w:tcW w:w="2119" w:type="pct"/>
            <w:tcBorders>
              <w:top w:val="nil"/>
              <w:bottom w:val="single" w:sz="4" w:space="0" w:color="7F7F7F" w:themeColor="text1" w:themeTint="80"/>
            </w:tcBorders>
            <w:shd w:val="clear" w:color="auto" w:fill="auto"/>
          </w:tcPr>
          <w:p w:rsidR="008A2ACA" w:rsidRPr="00FE75D5" w:rsidRDefault="008A2ACA" w:rsidP="00CA2C79">
            <w:pPr>
              <w:rPr>
                <w:rFonts w:eastAsia="Times New Roman" w:cs="Times New Roman"/>
                <w:i/>
                <w:lang w:eastAsia="cs-CZ"/>
              </w:rPr>
            </w:pPr>
            <w:r w:rsidRPr="00FE75D5">
              <w:rPr>
                <w:rFonts w:eastAsia="Times New Roman" w:cs="Times New Roman"/>
                <w:i/>
                <w:lang w:eastAsia="cs-CZ"/>
              </w:rPr>
              <w:t xml:space="preserve">       prostředky z fondů EU</w:t>
            </w:r>
          </w:p>
        </w:tc>
        <w:tc>
          <w:tcPr>
            <w:tcW w:w="748" w:type="pct"/>
            <w:tcBorders>
              <w:top w:val="nil"/>
              <w:bottom w:val="single" w:sz="2"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784" w:type="pct"/>
            <w:tcBorders>
              <w:top w:val="nil"/>
              <w:bottom w:val="single" w:sz="2"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784" w:type="pct"/>
            <w:tcBorders>
              <w:top w:val="nil"/>
              <w:bottom w:val="single" w:sz="2"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565" w:type="pct"/>
            <w:tcBorders>
              <w:top w:val="nil"/>
              <w:bottom w:val="single" w:sz="2"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x</w:t>
            </w:r>
          </w:p>
        </w:tc>
      </w:tr>
      <w:tr w:rsidR="008A2ACA" w:rsidRPr="00FE75D5" w:rsidTr="00BA4EEA">
        <w:tc>
          <w:tcPr>
            <w:tcW w:w="2119" w:type="pct"/>
            <w:tcBorders>
              <w:top w:val="single" w:sz="4" w:space="0" w:color="7F7F7F" w:themeColor="text1" w:themeTint="80"/>
              <w:bottom w:val="nil"/>
            </w:tcBorders>
            <w:shd w:val="clear" w:color="auto" w:fill="auto"/>
          </w:tcPr>
          <w:p w:rsidR="008A2ACA" w:rsidRPr="00FE75D5" w:rsidRDefault="008A2ACA" w:rsidP="00CA2C79">
            <w:pPr>
              <w:spacing w:before="40"/>
              <w:rPr>
                <w:rFonts w:eastAsia="Times New Roman" w:cs="Times New Roman"/>
                <w:lang w:eastAsia="cs-CZ"/>
              </w:rPr>
            </w:pPr>
            <w:r w:rsidRPr="00FE75D5">
              <w:rPr>
                <w:rFonts w:eastAsia="Times New Roman" w:cs="Times New Roman"/>
                <w:lang w:eastAsia="cs-CZ"/>
              </w:rPr>
              <w:t>kapitálové výdaje v tom:</w:t>
            </w:r>
          </w:p>
        </w:tc>
        <w:tc>
          <w:tcPr>
            <w:tcW w:w="748" w:type="pct"/>
            <w:tcBorders>
              <w:top w:val="single" w:sz="2"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89 160</w:t>
            </w:r>
          </w:p>
        </w:tc>
        <w:tc>
          <w:tcPr>
            <w:tcW w:w="784" w:type="pct"/>
            <w:tcBorders>
              <w:top w:val="single" w:sz="2"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7 668</w:t>
            </w:r>
          </w:p>
        </w:tc>
        <w:tc>
          <w:tcPr>
            <w:tcW w:w="784" w:type="pct"/>
            <w:tcBorders>
              <w:top w:val="single" w:sz="2"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w:t>
            </w:r>
          </w:p>
        </w:tc>
        <w:tc>
          <w:tcPr>
            <w:tcW w:w="565" w:type="pct"/>
            <w:tcBorders>
              <w:top w:val="single" w:sz="2" w:space="0" w:color="7F7F7F" w:themeColor="text1" w:themeTint="80"/>
              <w:bottom w:val="nil"/>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0,00</w:t>
            </w:r>
          </w:p>
        </w:tc>
      </w:tr>
      <w:tr w:rsidR="008A2ACA" w:rsidRPr="00FE75D5" w:rsidTr="00BA4EEA">
        <w:tc>
          <w:tcPr>
            <w:tcW w:w="2119" w:type="pct"/>
            <w:tcBorders>
              <w:top w:val="nil"/>
              <w:bottom w:val="nil"/>
            </w:tcBorders>
            <w:shd w:val="clear" w:color="auto" w:fill="auto"/>
          </w:tcPr>
          <w:p w:rsidR="008A2ACA" w:rsidRPr="00FE75D5" w:rsidRDefault="008A2ACA" w:rsidP="00CA2C79">
            <w:pPr>
              <w:rPr>
                <w:rFonts w:eastAsia="Times New Roman" w:cs="Times New Roman"/>
                <w:i/>
                <w:lang w:eastAsia="cs-CZ"/>
              </w:rPr>
            </w:pPr>
            <w:r w:rsidRPr="00FE75D5">
              <w:rPr>
                <w:rFonts w:eastAsia="Times New Roman" w:cs="Times New Roman"/>
                <w:i/>
                <w:lang w:eastAsia="cs-CZ"/>
              </w:rPr>
              <w:t xml:space="preserve">      prostředky SR</w:t>
            </w:r>
          </w:p>
        </w:tc>
        <w:tc>
          <w:tcPr>
            <w:tcW w:w="748"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Pr>
                <w:rFonts w:eastAsia="Times New Roman" w:cs="Times New Roman"/>
                <w:i/>
                <w:lang w:eastAsia="cs-CZ"/>
              </w:rPr>
              <w:t>89 160</w:t>
            </w:r>
          </w:p>
        </w:tc>
        <w:tc>
          <w:tcPr>
            <w:tcW w:w="784"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7 668</w:t>
            </w:r>
          </w:p>
        </w:tc>
        <w:tc>
          <w:tcPr>
            <w:tcW w:w="784"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565" w:type="pct"/>
            <w:tcBorders>
              <w:top w:val="nil"/>
              <w:bottom w:val="nil"/>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0,00</w:t>
            </w:r>
          </w:p>
        </w:tc>
      </w:tr>
      <w:tr w:rsidR="008A2ACA" w:rsidRPr="00FE75D5" w:rsidTr="00BA4EEA">
        <w:tc>
          <w:tcPr>
            <w:tcW w:w="2119" w:type="pct"/>
            <w:tcBorders>
              <w:top w:val="nil"/>
              <w:bottom w:val="single" w:sz="8" w:space="0" w:color="7F7F7F" w:themeColor="text1" w:themeTint="80"/>
            </w:tcBorders>
            <w:shd w:val="clear" w:color="auto" w:fill="auto"/>
          </w:tcPr>
          <w:p w:rsidR="008A2ACA" w:rsidRPr="00FE75D5" w:rsidRDefault="008A2ACA" w:rsidP="00CA2C79">
            <w:pPr>
              <w:rPr>
                <w:rFonts w:eastAsia="Times New Roman" w:cs="Times New Roman"/>
                <w:i/>
                <w:lang w:eastAsia="cs-CZ"/>
              </w:rPr>
            </w:pPr>
            <w:r w:rsidRPr="00FE75D5">
              <w:rPr>
                <w:rFonts w:eastAsia="Times New Roman" w:cs="Times New Roman"/>
                <w:i/>
                <w:lang w:eastAsia="cs-CZ"/>
              </w:rPr>
              <w:t xml:space="preserve">      prostředky z fondů EU</w:t>
            </w:r>
          </w:p>
        </w:tc>
        <w:tc>
          <w:tcPr>
            <w:tcW w:w="748" w:type="pct"/>
            <w:tcBorders>
              <w:top w:val="nil"/>
              <w:bottom w:val="single" w:sz="5"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784" w:type="pct"/>
            <w:tcBorders>
              <w:top w:val="nil"/>
              <w:bottom w:val="single" w:sz="5"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784" w:type="pct"/>
            <w:tcBorders>
              <w:top w:val="nil"/>
              <w:bottom w:val="single" w:sz="5"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0</w:t>
            </w:r>
          </w:p>
        </w:tc>
        <w:tc>
          <w:tcPr>
            <w:tcW w:w="565" w:type="pct"/>
            <w:tcBorders>
              <w:top w:val="nil"/>
              <w:bottom w:val="single" w:sz="5" w:space="0" w:color="7F7F7F" w:themeColor="text1" w:themeTint="80"/>
            </w:tcBorders>
            <w:shd w:val="clear" w:color="auto" w:fill="auto"/>
          </w:tcPr>
          <w:p w:rsidR="008A2ACA" w:rsidRPr="00FE75D5" w:rsidRDefault="008A2ACA" w:rsidP="00CA2C79">
            <w:pPr>
              <w:jc w:val="right"/>
              <w:rPr>
                <w:rFonts w:eastAsia="Times New Roman" w:cs="Times New Roman"/>
                <w:i/>
                <w:lang w:eastAsia="cs-CZ"/>
              </w:rPr>
            </w:pPr>
            <w:r w:rsidRPr="00FE75D5">
              <w:rPr>
                <w:rFonts w:eastAsia="Times New Roman" w:cs="Times New Roman"/>
                <w:i/>
                <w:lang w:eastAsia="cs-CZ"/>
              </w:rPr>
              <w:t>x</w:t>
            </w:r>
          </w:p>
        </w:tc>
      </w:tr>
    </w:tbl>
    <w:p w:rsidR="008A2ACA" w:rsidRPr="00FE75D5" w:rsidRDefault="008A2ACA" w:rsidP="004C4BA5">
      <w:pPr>
        <w:pStyle w:val="Styl1"/>
      </w:pPr>
      <w:r w:rsidRPr="00FE75D5">
        <w:t xml:space="preserve">Státní příspěvkové organizace v působnosti Ministerstva dopravy jsou Ředitelství silnic </w:t>
      </w:r>
      <w:r w:rsidRPr="00FE75D5">
        <w:br/>
        <w:t xml:space="preserve">a dálnic ČR a Centrum služeb pro silniční dopravu. </w:t>
      </w:r>
    </w:p>
    <w:p w:rsidR="008A2ACA" w:rsidRPr="00FE75D5" w:rsidRDefault="008A2ACA" w:rsidP="004C4BA5">
      <w:pPr>
        <w:pStyle w:val="Styl1"/>
      </w:pPr>
      <w:r w:rsidRPr="00FE75D5">
        <w:t xml:space="preserve">V dalším textu je uváděn návrh rozpočtu výdajů vedených v EDS/SMVS v členění </w:t>
      </w:r>
      <w:r w:rsidR="00BA4EEA">
        <w:br/>
      </w:r>
      <w:r w:rsidRPr="00FE75D5">
        <w:t xml:space="preserve">na jednotlivé programy a v členění dle konečných příjemců. </w:t>
      </w:r>
    </w:p>
    <w:p w:rsidR="008A2ACA" w:rsidRPr="00FE75D5" w:rsidRDefault="008A2ACA" w:rsidP="008A2ACA">
      <w:pPr>
        <w:spacing w:before="200" w:line="240" w:lineRule="auto"/>
        <w:ind w:firstLine="539"/>
        <w:rPr>
          <w:rFonts w:eastAsia="Times New Roman" w:cs="Times New Roman"/>
          <w:b/>
          <w:bCs/>
          <w:szCs w:val="24"/>
          <w:u w:val="single"/>
          <w:lang w:eastAsia="cs-CZ"/>
        </w:rPr>
      </w:pPr>
      <w:r w:rsidRPr="00FE75D5">
        <w:rPr>
          <w:rFonts w:eastAsia="Times New Roman" w:cs="Times New Roman"/>
          <w:b/>
          <w:bCs/>
          <w:szCs w:val="24"/>
          <w:u w:val="single"/>
          <w:lang w:eastAsia="cs-CZ"/>
        </w:rPr>
        <w:t>Ředitelství silnic a dálnic ČR</w:t>
      </w:r>
    </w:p>
    <w:p w:rsidR="008A2ACA" w:rsidRPr="00FD4A05" w:rsidRDefault="008A2ACA" w:rsidP="008A2ACA">
      <w:pPr>
        <w:keepNext/>
        <w:spacing w:before="120" w:after="120" w:line="240" w:lineRule="auto"/>
        <w:rPr>
          <w:rFonts w:eastAsia="Times New Roman" w:cs="Times New Roman"/>
          <w:b/>
          <w:bCs/>
          <w:noProof/>
          <w:sz w:val="20"/>
          <w:szCs w:val="20"/>
          <w:lang w:eastAsia="cs-CZ"/>
        </w:rPr>
      </w:pPr>
      <w:r w:rsidRPr="00FD4A05">
        <w:rPr>
          <w:rFonts w:eastAsia="Times New Roman" w:cs="Times New Roman"/>
          <w:b/>
          <w:bCs/>
          <w:sz w:val="20"/>
          <w:szCs w:val="20"/>
          <w:lang w:eastAsia="cs-CZ"/>
        </w:rPr>
        <w:t xml:space="preserve">Tabulka č. </w:t>
      </w:r>
      <w:r w:rsidRPr="00FD4A05">
        <w:rPr>
          <w:rFonts w:eastAsia="Times New Roman" w:cs="Times New Roman"/>
          <w:b/>
          <w:bCs/>
          <w:noProof/>
          <w:sz w:val="20"/>
          <w:szCs w:val="20"/>
          <w:lang w:eastAsia="cs-CZ"/>
        </w:rPr>
        <w:fldChar w:fldCharType="begin"/>
      </w:r>
      <w:r w:rsidRPr="00FD4A05">
        <w:rPr>
          <w:rFonts w:eastAsia="Times New Roman" w:cs="Times New Roman"/>
          <w:b/>
          <w:bCs/>
          <w:noProof/>
          <w:sz w:val="20"/>
          <w:szCs w:val="20"/>
          <w:lang w:eastAsia="cs-CZ"/>
        </w:rPr>
        <w:instrText xml:space="preserve"> SEQ Tabulka \* ARABIC </w:instrText>
      </w:r>
      <w:r w:rsidRPr="00FD4A05">
        <w:rPr>
          <w:rFonts w:eastAsia="Times New Roman" w:cs="Times New Roman"/>
          <w:b/>
          <w:bCs/>
          <w:noProof/>
          <w:sz w:val="20"/>
          <w:szCs w:val="20"/>
          <w:lang w:eastAsia="cs-CZ"/>
        </w:rPr>
        <w:fldChar w:fldCharType="separate"/>
      </w:r>
      <w:r w:rsidR="00AF5225">
        <w:rPr>
          <w:rFonts w:eastAsia="Times New Roman" w:cs="Times New Roman"/>
          <w:b/>
          <w:bCs/>
          <w:noProof/>
          <w:sz w:val="20"/>
          <w:szCs w:val="20"/>
          <w:lang w:eastAsia="cs-CZ"/>
        </w:rPr>
        <w:t>35</w:t>
      </w:r>
      <w:r w:rsidRPr="00FD4A05">
        <w:rPr>
          <w:rFonts w:eastAsia="Times New Roman" w:cs="Times New Roman"/>
          <w:b/>
          <w:bCs/>
          <w:noProof/>
          <w:sz w:val="20"/>
          <w:szCs w:val="20"/>
          <w:lang w:eastAsia="cs-CZ"/>
        </w:rPr>
        <w:fldChar w:fldCharType="end"/>
      </w:r>
      <w:r w:rsidRPr="00FD4A05">
        <w:rPr>
          <w:rFonts w:eastAsia="Times New Roman" w:cs="Times New Roman"/>
          <w:b/>
          <w:bCs/>
          <w:noProof/>
          <w:sz w:val="20"/>
          <w:szCs w:val="20"/>
          <w:lang w:eastAsia="cs-CZ"/>
        </w:rPr>
        <w:t xml:space="preserve"> Výdaje Ředitelství silnic a dálnic ČR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4"/>
        <w:gridCol w:w="1131"/>
        <w:gridCol w:w="1132"/>
        <w:gridCol w:w="1132"/>
        <w:gridCol w:w="1133"/>
        <w:gridCol w:w="1132"/>
        <w:gridCol w:w="1128"/>
      </w:tblGrid>
      <w:tr w:rsidR="008A2ACA" w:rsidRPr="00FE75D5" w:rsidTr="00CA2C79">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CA2C79">
            <w:pPr>
              <w:spacing w:line="240" w:lineRule="auto"/>
              <w:jc w:val="center"/>
              <w:rPr>
                <w:rFonts w:eastAsia="Times New Roman" w:cs="Times New Roman"/>
                <w:b/>
                <w:bCs/>
                <w:lang w:eastAsia="cs-CZ"/>
              </w:rPr>
            </w:pPr>
            <w:r w:rsidRPr="00FE75D5">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CA2C79">
            <w:pPr>
              <w:spacing w:line="240" w:lineRule="auto"/>
              <w:jc w:val="center"/>
              <w:rPr>
                <w:rFonts w:eastAsia="Times New Roman" w:cs="Times New Roman"/>
                <w:b/>
                <w:bCs/>
                <w:lang w:eastAsia="cs-CZ"/>
              </w:rPr>
            </w:pPr>
            <w:r w:rsidRPr="00FE75D5">
              <w:rPr>
                <w:rFonts w:eastAsia="Times New Roman" w:cs="Times New Roman"/>
                <w:b/>
                <w:bCs/>
                <w:lang w:eastAsia="cs-CZ"/>
              </w:rPr>
              <w:t xml:space="preserve">Skutečnost </w:t>
            </w:r>
            <w:r w:rsidRPr="00FE75D5">
              <w:rPr>
                <w:rFonts w:eastAsia="Times New Roman" w:cs="Times New Roman"/>
                <w:b/>
                <w:bCs/>
                <w:lang w:eastAsia="cs-CZ"/>
              </w:rPr>
              <w:br/>
              <w:t>2017</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CA2C79">
            <w:pPr>
              <w:spacing w:line="240" w:lineRule="auto"/>
              <w:jc w:val="center"/>
              <w:rPr>
                <w:rFonts w:eastAsia="Times New Roman" w:cs="Times New Roman"/>
                <w:b/>
                <w:bCs/>
                <w:lang w:eastAsia="cs-CZ"/>
              </w:rPr>
            </w:pPr>
            <w:r w:rsidRPr="00FE75D5">
              <w:rPr>
                <w:rFonts w:eastAsia="Times New Roman" w:cs="Times New Roman"/>
                <w:b/>
                <w:bCs/>
                <w:lang w:eastAsia="cs-CZ"/>
              </w:rPr>
              <w:t>Schválený rozpočet 2018</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A2ACA" w:rsidRPr="00FE75D5" w:rsidRDefault="008A2ACA" w:rsidP="00CA2C79">
            <w:pPr>
              <w:spacing w:line="240" w:lineRule="auto"/>
              <w:jc w:val="center"/>
              <w:rPr>
                <w:rFonts w:eastAsia="Times New Roman" w:cs="Times New Roman"/>
                <w:b/>
                <w:bCs/>
                <w:lang w:eastAsia="cs-CZ"/>
              </w:rPr>
            </w:pPr>
            <w:r w:rsidRPr="00FE75D5">
              <w:rPr>
                <w:rFonts w:eastAsia="Times New Roman" w:cs="Times New Roman"/>
                <w:b/>
                <w:bCs/>
                <w:lang w:eastAsia="cs-CZ"/>
              </w:rPr>
              <w:t xml:space="preserve">Návrh rozpočtu </w:t>
            </w:r>
            <w:r w:rsidRPr="00FE75D5">
              <w:rPr>
                <w:rFonts w:eastAsia="Times New Roman" w:cs="Times New Roman"/>
                <w:b/>
                <w:bCs/>
                <w:lang w:eastAsia="cs-CZ"/>
              </w:rPr>
              <w:br/>
              <w:t>2019</w:t>
            </w:r>
          </w:p>
        </w:tc>
      </w:tr>
      <w:tr w:rsidR="008A2ACA" w:rsidRPr="00FE75D5" w:rsidTr="00CA2C79">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line="240" w:lineRule="auto"/>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line="240" w:lineRule="auto"/>
              <w:jc w:val="center"/>
              <w:rPr>
                <w:rFonts w:eastAsia="Times New Roman" w:cs="Times New Roman"/>
                <w:b/>
                <w:lang w:eastAsia="cs-CZ"/>
              </w:rPr>
            </w:pPr>
            <w:r w:rsidRPr="00FE75D5">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line="240" w:lineRule="auto"/>
              <w:jc w:val="center"/>
              <w:rPr>
                <w:rFonts w:eastAsia="Times New Roman" w:cs="Times New Roman"/>
                <w:b/>
                <w:lang w:eastAsia="cs-CZ"/>
              </w:rPr>
            </w:pPr>
            <w:r w:rsidRPr="00FE75D5">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line="240" w:lineRule="auto"/>
              <w:jc w:val="center"/>
              <w:rPr>
                <w:rFonts w:eastAsia="Times New Roman" w:cs="Times New Roman"/>
                <w:b/>
                <w:lang w:eastAsia="cs-CZ"/>
              </w:rPr>
            </w:pPr>
            <w:r w:rsidRPr="00FE75D5">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line="240" w:lineRule="auto"/>
              <w:jc w:val="center"/>
              <w:rPr>
                <w:rFonts w:eastAsia="Times New Roman" w:cs="Times New Roman"/>
                <w:b/>
                <w:lang w:eastAsia="cs-CZ"/>
              </w:rPr>
            </w:pPr>
            <w:r w:rsidRPr="00FE75D5">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line="240" w:lineRule="auto"/>
              <w:jc w:val="center"/>
              <w:rPr>
                <w:rFonts w:eastAsia="Times New Roman" w:cs="Times New Roman"/>
                <w:b/>
                <w:lang w:eastAsia="cs-CZ"/>
              </w:rPr>
            </w:pPr>
            <w:r w:rsidRPr="00FE75D5">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line="240" w:lineRule="auto"/>
              <w:jc w:val="center"/>
              <w:rPr>
                <w:rFonts w:eastAsia="Times New Roman" w:cs="Times New Roman"/>
                <w:b/>
                <w:lang w:eastAsia="cs-CZ"/>
              </w:rPr>
            </w:pPr>
            <w:r w:rsidRPr="00FE75D5">
              <w:rPr>
                <w:rFonts w:eastAsia="Times New Roman" w:cs="Times New Roman"/>
                <w:b/>
                <w:lang w:eastAsia="cs-CZ"/>
              </w:rPr>
              <w:t>EU</w:t>
            </w:r>
          </w:p>
        </w:tc>
      </w:tr>
      <w:tr w:rsidR="008A2ACA" w:rsidRPr="00FE75D5" w:rsidTr="00CA2C79">
        <w:tc>
          <w:tcPr>
            <w:tcW w:w="1251" w:type="pct"/>
            <w:tcBorders>
              <w:top w:val="single" w:sz="4" w:space="0" w:color="7F7F7F" w:themeColor="text1" w:themeTint="80"/>
            </w:tcBorders>
            <w:shd w:val="clear" w:color="auto" w:fill="auto"/>
          </w:tcPr>
          <w:p w:rsidR="008A2ACA" w:rsidRPr="00FE75D5" w:rsidRDefault="008A2ACA" w:rsidP="00CA2C79">
            <w:pPr>
              <w:spacing w:line="240" w:lineRule="auto"/>
              <w:jc w:val="center"/>
              <w:rPr>
                <w:rFonts w:eastAsia="Times New Roman" w:cs="Times New Roman"/>
                <w:lang w:eastAsia="cs-CZ"/>
              </w:rPr>
            </w:pPr>
            <w:r w:rsidRPr="00FE75D5">
              <w:rPr>
                <w:rFonts w:eastAsia="Times New Roman" w:cs="Times New Roman"/>
                <w:lang w:eastAsia="cs-CZ"/>
              </w:rPr>
              <w:t>127 02</w:t>
            </w:r>
          </w:p>
        </w:tc>
        <w:tc>
          <w:tcPr>
            <w:tcW w:w="625" w:type="pct"/>
            <w:tcBorders>
              <w:top w:val="single" w:sz="4"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lang w:eastAsia="cs-CZ"/>
              </w:rPr>
            </w:pPr>
            <w:r w:rsidRPr="00FE75D5">
              <w:rPr>
                <w:rFonts w:eastAsia="Times New Roman" w:cs="Times New Roman"/>
                <w:lang w:eastAsia="cs-CZ"/>
              </w:rPr>
              <w:t>0</w:t>
            </w:r>
          </w:p>
        </w:tc>
        <w:tc>
          <w:tcPr>
            <w:tcW w:w="625" w:type="pct"/>
            <w:tcBorders>
              <w:top w:val="single" w:sz="4"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lang w:eastAsia="cs-CZ"/>
              </w:rPr>
            </w:pPr>
            <w:r w:rsidRPr="00FE75D5">
              <w:rPr>
                <w:rFonts w:eastAsia="Times New Roman" w:cs="Times New Roman"/>
                <w:lang w:eastAsia="cs-CZ"/>
              </w:rPr>
              <w:t>0</w:t>
            </w:r>
          </w:p>
        </w:tc>
        <w:tc>
          <w:tcPr>
            <w:tcW w:w="625" w:type="pct"/>
            <w:tcBorders>
              <w:top w:val="single" w:sz="4"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lang w:eastAsia="cs-CZ"/>
              </w:rPr>
            </w:pPr>
            <w:r w:rsidRPr="00FE75D5">
              <w:rPr>
                <w:rFonts w:eastAsia="Times New Roman" w:cs="Times New Roman"/>
                <w:lang w:eastAsia="cs-CZ"/>
              </w:rPr>
              <w:t>0</w:t>
            </w:r>
          </w:p>
        </w:tc>
        <w:tc>
          <w:tcPr>
            <w:tcW w:w="626" w:type="pct"/>
            <w:tcBorders>
              <w:top w:val="single" w:sz="4"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lang w:eastAsia="cs-CZ"/>
              </w:rPr>
            </w:pPr>
            <w:r w:rsidRPr="00FE75D5">
              <w:rPr>
                <w:rFonts w:eastAsia="Times New Roman" w:cs="Times New Roman"/>
                <w:lang w:eastAsia="cs-CZ"/>
              </w:rPr>
              <w:t>0</w:t>
            </w:r>
          </w:p>
        </w:tc>
        <w:tc>
          <w:tcPr>
            <w:tcW w:w="625" w:type="pct"/>
            <w:tcBorders>
              <w:top w:val="single" w:sz="4"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lang w:eastAsia="cs-CZ"/>
              </w:rPr>
            </w:pPr>
            <w:r w:rsidRPr="00FE75D5">
              <w:rPr>
                <w:rFonts w:eastAsia="Times New Roman" w:cs="Times New Roman"/>
                <w:lang w:eastAsia="cs-CZ"/>
              </w:rPr>
              <w:t>0</w:t>
            </w:r>
          </w:p>
        </w:tc>
        <w:tc>
          <w:tcPr>
            <w:tcW w:w="623" w:type="pct"/>
            <w:tcBorders>
              <w:top w:val="single" w:sz="4"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lang w:eastAsia="cs-CZ"/>
              </w:rPr>
            </w:pPr>
            <w:r w:rsidRPr="00FE75D5">
              <w:rPr>
                <w:rFonts w:eastAsia="Times New Roman" w:cs="Times New Roman"/>
                <w:lang w:eastAsia="cs-CZ"/>
              </w:rPr>
              <w:t>0</w:t>
            </w:r>
          </w:p>
        </w:tc>
      </w:tr>
      <w:tr w:rsidR="008A2ACA" w:rsidRPr="00FE75D5" w:rsidTr="00CA2C79">
        <w:tc>
          <w:tcPr>
            <w:tcW w:w="1251" w:type="pct"/>
            <w:tcBorders>
              <w:bottom w:val="single" w:sz="8" w:space="0" w:color="7F7F7F" w:themeColor="text1" w:themeTint="80"/>
            </w:tcBorders>
            <w:shd w:val="clear" w:color="auto" w:fill="auto"/>
          </w:tcPr>
          <w:p w:rsidR="008A2ACA" w:rsidRPr="00FE75D5" w:rsidRDefault="008A2ACA" w:rsidP="00CA2C79">
            <w:pPr>
              <w:spacing w:line="240" w:lineRule="auto"/>
              <w:jc w:val="center"/>
              <w:rPr>
                <w:rFonts w:eastAsia="Times New Roman" w:cs="Times New Roman"/>
                <w:bCs/>
                <w:lang w:eastAsia="cs-CZ"/>
              </w:rPr>
            </w:pPr>
            <w:r w:rsidRPr="00FE75D5">
              <w:rPr>
                <w:rFonts w:eastAsia="Times New Roman" w:cs="Times New Roman"/>
                <w:bCs/>
                <w:lang w:eastAsia="cs-CZ"/>
              </w:rPr>
              <w:t>127 06</w:t>
            </w:r>
          </w:p>
        </w:tc>
        <w:tc>
          <w:tcPr>
            <w:tcW w:w="625" w:type="pct"/>
            <w:tcBorders>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Cs/>
                <w:lang w:eastAsia="cs-CZ"/>
              </w:rPr>
            </w:pPr>
            <w:r w:rsidRPr="00FE75D5">
              <w:rPr>
                <w:rFonts w:eastAsia="Times New Roman" w:cs="Times New Roman"/>
                <w:bCs/>
                <w:lang w:eastAsia="cs-CZ"/>
              </w:rPr>
              <w:t>73 705</w:t>
            </w:r>
          </w:p>
        </w:tc>
        <w:tc>
          <w:tcPr>
            <w:tcW w:w="625" w:type="pct"/>
            <w:tcBorders>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Cs/>
                <w:lang w:eastAsia="cs-CZ"/>
              </w:rPr>
            </w:pPr>
            <w:r w:rsidRPr="00FE75D5">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Cs/>
                <w:lang w:eastAsia="cs-CZ"/>
              </w:rPr>
            </w:pPr>
            <w:r w:rsidRPr="00FE75D5">
              <w:rPr>
                <w:rFonts w:eastAsia="Times New Roman" w:cs="Times New Roman"/>
                <w:bCs/>
                <w:lang w:eastAsia="cs-CZ"/>
              </w:rPr>
              <w:t>0</w:t>
            </w:r>
          </w:p>
        </w:tc>
        <w:tc>
          <w:tcPr>
            <w:tcW w:w="626" w:type="pct"/>
            <w:tcBorders>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Cs/>
                <w:lang w:eastAsia="cs-CZ"/>
              </w:rPr>
            </w:pPr>
            <w:r w:rsidRPr="00FE75D5">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Cs/>
                <w:lang w:eastAsia="cs-CZ"/>
              </w:rPr>
            </w:pPr>
            <w:r w:rsidRPr="00FE75D5">
              <w:rPr>
                <w:rFonts w:eastAsia="Times New Roman" w:cs="Times New Roman"/>
                <w:bCs/>
                <w:lang w:eastAsia="cs-CZ"/>
              </w:rPr>
              <w:t>0</w:t>
            </w:r>
          </w:p>
        </w:tc>
        <w:tc>
          <w:tcPr>
            <w:tcW w:w="623" w:type="pct"/>
            <w:tcBorders>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Cs/>
                <w:lang w:eastAsia="cs-CZ"/>
              </w:rPr>
            </w:pPr>
            <w:r w:rsidRPr="00FE75D5">
              <w:rPr>
                <w:rFonts w:eastAsia="Times New Roman" w:cs="Times New Roman"/>
                <w:bCs/>
                <w:lang w:eastAsia="cs-CZ"/>
              </w:rPr>
              <w:t>0</w:t>
            </w:r>
          </w:p>
        </w:tc>
      </w:tr>
      <w:tr w:rsidR="008A2ACA" w:rsidRPr="00FE75D5" w:rsidTr="00CA2C79">
        <w:trPr>
          <w:trHeight w:val="138"/>
        </w:trPr>
        <w:tc>
          <w:tcPr>
            <w:tcW w:w="1251"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spacing w:line="240" w:lineRule="auto"/>
              <w:jc w:val="center"/>
              <w:rPr>
                <w:rFonts w:eastAsia="Times New Roman" w:cs="Times New Roman"/>
                <w:b/>
                <w:bCs/>
                <w:lang w:eastAsia="cs-CZ"/>
              </w:rPr>
            </w:pPr>
            <w:r w:rsidRPr="00FE75D5">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
                <w:bCs/>
                <w:lang w:eastAsia="cs-CZ"/>
              </w:rPr>
            </w:pPr>
            <w:r w:rsidRPr="00FE75D5">
              <w:rPr>
                <w:rFonts w:eastAsia="Times New Roman" w:cs="Times New Roman"/>
                <w:b/>
                <w:bCs/>
                <w:lang w:eastAsia="cs-CZ"/>
              </w:rPr>
              <w:t>73 705</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
                <w:bCs/>
                <w:lang w:eastAsia="cs-CZ"/>
              </w:rPr>
            </w:pPr>
            <w:r w:rsidRPr="00FE75D5">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
                <w:bCs/>
                <w:lang w:eastAsia="cs-CZ"/>
              </w:rPr>
            </w:pPr>
            <w:r w:rsidRPr="00FE75D5">
              <w:rPr>
                <w:rFonts w:eastAsia="Times New Roman" w:cs="Times New Roman"/>
                <w:b/>
                <w:b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
                <w:bCs/>
                <w:lang w:eastAsia="cs-CZ"/>
              </w:rPr>
            </w:pPr>
            <w:r w:rsidRPr="00FE75D5">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
                <w:bCs/>
                <w:lang w:eastAsia="cs-CZ"/>
              </w:rPr>
            </w:pPr>
            <w:r w:rsidRPr="00FE75D5">
              <w:rPr>
                <w:rFonts w:eastAsia="Times New Roman" w:cs="Times New Roman"/>
                <w:b/>
                <w:bCs/>
                <w:lang w:eastAsia="cs-CZ"/>
              </w:rPr>
              <w:t>0</w:t>
            </w:r>
          </w:p>
        </w:tc>
        <w:tc>
          <w:tcPr>
            <w:tcW w:w="623"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spacing w:line="240" w:lineRule="auto"/>
              <w:jc w:val="right"/>
              <w:rPr>
                <w:rFonts w:eastAsia="Times New Roman" w:cs="Times New Roman"/>
                <w:b/>
                <w:bCs/>
                <w:lang w:eastAsia="cs-CZ"/>
              </w:rPr>
            </w:pPr>
            <w:r w:rsidRPr="00FE75D5">
              <w:rPr>
                <w:rFonts w:eastAsia="Times New Roman" w:cs="Times New Roman"/>
                <w:b/>
                <w:bCs/>
                <w:lang w:eastAsia="cs-CZ"/>
              </w:rPr>
              <w:t>0</w:t>
            </w:r>
          </w:p>
        </w:tc>
      </w:tr>
    </w:tbl>
    <w:p w:rsidR="008A2ACA" w:rsidRPr="00FE75D5" w:rsidRDefault="008A2ACA" w:rsidP="008A2ACA">
      <w:pPr>
        <w:spacing w:before="200" w:line="240" w:lineRule="auto"/>
        <w:ind w:firstLine="539"/>
        <w:rPr>
          <w:rFonts w:eastAsia="Times New Roman" w:cs="Times New Roman"/>
          <w:b/>
          <w:bCs/>
          <w:szCs w:val="24"/>
          <w:u w:val="single"/>
          <w:lang w:eastAsia="cs-CZ"/>
        </w:rPr>
      </w:pPr>
      <w:r w:rsidRPr="00FE75D5">
        <w:rPr>
          <w:rFonts w:eastAsia="Times New Roman" w:cs="Times New Roman"/>
          <w:b/>
          <w:bCs/>
          <w:szCs w:val="24"/>
          <w:u w:val="single"/>
          <w:lang w:eastAsia="cs-CZ"/>
        </w:rPr>
        <w:t>Centrum služeb pro silniční dopravu</w:t>
      </w:r>
    </w:p>
    <w:p w:rsidR="008A2ACA" w:rsidRPr="00FE75D5" w:rsidRDefault="008A2ACA" w:rsidP="008A2ACA">
      <w:pPr>
        <w:pStyle w:val="Titulek"/>
        <w:keepNext/>
      </w:pPr>
      <w:r w:rsidRPr="00FE75D5">
        <w:t xml:space="preserve">Tabulka č. </w:t>
      </w:r>
      <w:r w:rsidR="00260323" w:rsidRPr="00260323">
        <w:rPr>
          <w:bCs w:val="0"/>
          <w:noProof/>
        </w:rPr>
        <w:fldChar w:fldCharType="begin"/>
      </w:r>
      <w:r w:rsidR="00260323" w:rsidRPr="00260323">
        <w:rPr>
          <w:bCs w:val="0"/>
          <w:noProof/>
        </w:rPr>
        <w:instrText xml:space="preserve"> SEQ Tabulka \* ARABIC </w:instrText>
      </w:r>
      <w:r w:rsidR="00260323" w:rsidRPr="00260323">
        <w:rPr>
          <w:bCs w:val="0"/>
          <w:noProof/>
        </w:rPr>
        <w:fldChar w:fldCharType="separate"/>
      </w:r>
      <w:r w:rsidR="00AF5225">
        <w:rPr>
          <w:bCs w:val="0"/>
          <w:noProof/>
        </w:rPr>
        <w:t>36</w:t>
      </w:r>
      <w:r w:rsidR="00260323" w:rsidRPr="00260323">
        <w:rPr>
          <w:bCs w:val="0"/>
          <w:noProof/>
        </w:rPr>
        <w:fldChar w:fldCharType="end"/>
      </w:r>
      <w:r w:rsidR="00260323" w:rsidRPr="00260323">
        <w:rPr>
          <w:bCs w:val="0"/>
          <w:noProof/>
        </w:rPr>
        <w:t xml:space="preserve"> </w:t>
      </w:r>
      <w:r w:rsidRPr="00260323">
        <w:rPr>
          <w:noProof/>
        </w:rPr>
        <w:t>V</w:t>
      </w:r>
      <w:r w:rsidRPr="00FE75D5">
        <w:rPr>
          <w:noProof/>
        </w:rPr>
        <w:t>ýdaje Centra služeb pro silniční dopravu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1131"/>
        <w:gridCol w:w="1132"/>
        <w:gridCol w:w="1132"/>
        <w:gridCol w:w="1133"/>
        <w:gridCol w:w="1132"/>
        <w:gridCol w:w="1128"/>
      </w:tblGrid>
      <w:tr w:rsidR="008A2ACA" w:rsidRPr="00FE75D5" w:rsidTr="00CA2C79">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spacing w:before="240"/>
              <w:jc w:val="center"/>
              <w:rPr>
                <w:rFonts w:eastAsia="Times New Roman" w:cs="Times New Roman"/>
                <w:b/>
                <w:bCs/>
                <w:lang w:eastAsia="cs-CZ"/>
              </w:rPr>
            </w:pPr>
            <w:r w:rsidRPr="00FE75D5">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bCs/>
                <w:lang w:eastAsia="cs-CZ"/>
              </w:rPr>
            </w:pPr>
            <w:r w:rsidRPr="00FE75D5">
              <w:rPr>
                <w:rFonts w:eastAsia="Times New Roman" w:cs="Times New Roman"/>
                <w:b/>
                <w:bCs/>
                <w:lang w:eastAsia="cs-CZ"/>
              </w:rPr>
              <w:t xml:space="preserve">Skutečnost </w:t>
            </w:r>
            <w:r w:rsidRPr="00FE75D5">
              <w:rPr>
                <w:rFonts w:eastAsia="Times New Roman" w:cs="Times New Roman"/>
                <w:b/>
                <w:bCs/>
                <w:lang w:eastAsia="cs-CZ"/>
              </w:rPr>
              <w:br/>
              <w:t>201</w:t>
            </w:r>
            <w:r>
              <w:rPr>
                <w:rFonts w:eastAsia="Times New Roman" w:cs="Times New Roman"/>
                <w:b/>
                <w:bCs/>
                <w:lang w:eastAsia="cs-CZ"/>
              </w:rPr>
              <w:t>7</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bCs/>
                <w:lang w:eastAsia="cs-CZ"/>
              </w:rPr>
            </w:pPr>
            <w:r w:rsidRPr="00FE75D5">
              <w:rPr>
                <w:rFonts w:eastAsia="Times New Roman" w:cs="Times New Roman"/>
                <w:b/>
                <w:bCs/>
                <w:lang w:eastAsia="cs-CZ"/>
              </w:rPr>
              <w:t>Schválený rozpočet 201</w:t>
            </w:r>
            <w:r>
              <w:rPr>
                <w:rFonts w:eastAsia="Times New Roman" w:cs="Times New Roman"/>
                <w:b/>
                <w:bCs/>
                <w:lang w:eastAsia="cs-CZ"/>
              </w:rPr>
              <w:t>8</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bCs/>
                <w:lang w:eastAsia="cs-CZ"/>
              </w:rPr>
            </w:pPr>
            <w:r w:rsidRPr="00FE75D5">
              <w:rPr>
                <w:rFonts w:eastAsia="Times New Roman" w:cs="Times New Roman"/>
                <w:b/>
                <w:bCs/>
                <w:lang w:eastAsia="cs-CZ"/>
              </w:rPr>
              <w:t xml:space="preserve">Návrh rozpočtu </w:t>
            </w:r>
            <w:r w:rsidRPr="00FE75D5">
              <w:rPr>
                <w:rFonts w:eastAsia="Times New Roman" w:cs="Times New Roman"/>
                <w:b/>
                <w:bCs/>
                <w:lang w:eastAsia="cs-CZ"/>
              </w:rPr>
              <w:br/>
              <w:t>201</w:t>
            </w:r>
            <w:r>
              <w:rPr>
                <w:rFonts w:eastAsia="Times New Roman" w:cs="Times New Roman"/>
                <w:b/>
                <w:bCs/>
                <w:lang w:eastAsia="cs-CZ"/>
              </w:rPr>
              <w:t>9</w:t>
            </w:r>
          </w:p>
        </w:tc>
      </w:tr>
      <w:tr w:rsidR="008A2ACA" w:rsidRPr="00FE75D5" w:rsidTr="00CA2C79">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lang w:eastAsia="cs-CZ"/>
              </w:rPr>
            </w:pPr>
            <w:r w:rsidRPr="00FE75D5">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lang w:eastAsia="cs-CZ"/>
              </w:rPr>
            </w:pPr>
            <w:r w:rsidRPr="00FE75D5">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lang w:eastAsia="cs-CZ"/>
              </w:rPr>
            </w:pPr>
            <w:r w:rsidRPr="00FE75D5">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lang w:eastAsia="cs-CZ"/>
              </w:rPr>
            </w:pPr>
            <w:r w:rsidRPr="00FE75D5">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lang w:eastAsia="cs-CZ"/>
              </w:rPr>
            </w:pPr>
            <w:r w:rsidRPr="00FE75D5">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A2ACA" w:rsidRPr="00FE75D5" w:rsidRDefault="008A2ACA" w:rsidP="00CA2C79">
            <w:pPr>
              <w:jc w:val="center"/>
              <w:rPr>
                <w:rFonts w:eastAsia="Times New Roman" w:cs="Times New Roman"/>
                <w:b/>
                <w:lang w:eastAsia="cs-CZ"/>
              </w:rPr>
            </w:pPr>
            <w:r w:rsidRPr="00FE75D5">
              <w:rPr>
                <w:rFonts w:eastAsia="Times New Roman" w:cs="Times New Roman"/>
                <w:b/>
                <w:lang w:eastAsia="cs-CZ"/>
              </w:rPr>
              <w:t>EU</w:t>
            </w:r>
          </w:p>
        </w:tc>
      </w:tr>
      <w:tr w:rsidR="008A2ACA" w:rsidRPr="00FE75D5" w:rsidTr="00CA2C79">
        <w:tc>
          <w:tcPr>
            <w:tcW w:w="1251"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center"/>
              <w:rPr>
                <w:rFonts w:eastAsia="Times New Roman" w:cs="Times New Roman"/>
                <w:lang w:eastAsia="cs-CZ"/>
              </w:rPr>
            </w:pPr>
            <w:r w:rsidRPr="00FE75D5">
              <w:rPr>
                <w:rFonts w:eastAsia="Times New Roman" w:cs="Times New Roman"/>
                <w:lang w:eastAsia="cs-CZ"/>
              </w:rPr>
              <w:t>127 06</w:t>
            </w:r>
          </w:p>
        </w:tc>
        <w:tc>
          <w:tcPr>
            <w:tcW w:w="625"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lang w:eastAsia="cs-CZ"/>
              </w:rPr>
            </w:pPr>
            <w:r>
              <w:rPr>
                <w:rFonts w:eastAsia="Times New Roman" w:cs="Times New Roman"/>
                <w:lang w:eastAsia="cs-CZ"/>
              </w:rPr>
              <w:t>15 455</w:t>
            </w:r>
          </w:p>
        </w:tc>
        <w:tc>
          <w:tcPr>
            <w:tcW w:w="625"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lang w:eastAsia="cs-CZ"/>
              </w:rPr>
            </w:pPr>
            <w:r>
              <w:rPr>
                <w:rFonts w:eastAsia="Times New Roman" w:cs="Times New Roman"/>
                <w:lang w:eastAsia="cs-CZ"/>
              </w:rPr>
              <w:t>7 668</w:t>
            </w:r>
          </w:p>
        </w:tc>
        <w:tc>
          <w:tcPr>
            <w:tcW w:w="626"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lang w:eastAsia="cs-CZ"/>
              </w:rPr>
            </w:pPr>
            <w:r>
              <w:rPr>
                <w:rFonts w:eastAsia="Times New Roman" w:cs="Times New Roman"/>
                <w:lang w:eastAsia="cs-CZ"/>
              </w:rPr>
              <w:t>0</w:t>
            </w:r>
          </w:p>
        </w:tc>
        <w:tc>
          <w:tcPr>
            <w:tcW w:w="623" w:type="pct"/>
            <w:tcBorders>
              <w:top w:val="single" w:sz="4"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lang w:eastAsia="cs-CZ"/>
              </w:rPr>
            </w:pPr>
            <w:r w:rsidRPr="00FE75D5">
              <w:rPr>
                <w:rFonts w:eastAsia="Times New Roman" w:cs="Times New Roman"/>
                <w:lang w:eastAsia="cs-CZ"/>
              </w:rPr>
              <w:t>0</w:t>
            </w:r>
          </w:p>
        </w:tc>
      </w:tr>
      <w:tr w:rsidR="008A2ACA" w:rsidRPr="00FE75D5" w:rsidTr="00CA2C79">
        <w:tc>
          <w:tcPr>
            <w:tcW w:w="1251"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jc w:val="center"/>
              <w:rPr>
                <w:rFonts w:eastAsia="Times New Roman" w:cs="Times New Roman"/>
                <w:b/>
                <w:bCs/>
                <w:lang w:eastAsia="cs-CZ"/>
              </w:rPr>
            </w:pPr>
            <w:r w:rsidRPr="00FE75D5">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b/>
                <w:bCs/>
                <w:lang w:eastAsia="cs-CZ"/>
              </w:rPr>
            </w:pPr>
            <w:r>
              <w:rPr>
                <w:rFonts w:eastAsia="Times New Roman" w:cs="Times New Roman"/>
                <w:b/>
                <w:bCs/>
                <w:lang w:eastAsia="cs-CZ"/>
              </w:rPr>
              <w:t>15 455</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b/>
                <w:bCs/>
                <w:lang w:eastAsia="cs-CZ"/>
              </w:rPr>
            </w:pPr>
            <w:r w:rsidRPr="00FE75D5">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b/>
                <w:bCs/>
                <w:lang w:eastAsia="cs-CZ"/>
              </w:rPr>
            </w:pPr>
            <w:r>
              <w:rPr>
                <w:rFonts w:eastAsia="Times New Roman" w:cs="Times New Roman"/>
                <w:b/>
                <w:bCs/>
                <w:lang w:eastAsia="cs-CZ"/>
              </w:rPr>
              <w:t>7 668</w:t>
            </w:r>
          </w:p>
        </w:tc>
        <w:tc>
          <w:tcPr>
            <w:tcW w:w="626"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b/>
                <w:bCs/>
                <w:lang w:eastAsia="cs-CZ"/>
              </w:rPr>
            </w:pPr>
            <w:r w:rsidRPr="00FE75D5">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b/>
                <w:bCs/>
                <w:lang w:eastAsia="cs-CZ"/>
              </w:rPr>
            </w:pPr>
            <w:r>
              <w:rPr>
                <w:rFonts w:eastAsia="Times New Roman" w:cs="Times New Roman"/>
                <w:b/>
                <w:bCs/>
                <w:lang w:eastAsia="cs-CZ"/>
              </w:rPr>
              <w:t>0</w:t>
            </w:r>
          </w:p>
        </w:tc>
        <w:tc>
          <w:tcPr>
            <w:tcW w:w="623" w:type="pct"/>
            <w:tcBorders>
              <w:top w:val="single" w:sz="8" w:space="0" w:color="7F7F7F" w:themeColor="text1" w:themeTint="80"/>
              <w:bottom w:val="single" w:sz="8" w:space="0" w:color="7F7F7F" w:themeColor="text1" w:themeTint="80"/>
            </w:tcBorders>
            <w:shd w:val="clear" w:color="auto" w:fill="auto"/>
          </w:tcPr>
          <w:p w:rsidR="008A2ACA" w:rsidRPr="00FE75D5" w:rsidRDefault="008A2ACA" w:rsidP="00CA2C79">
            <w:pPr>
              <w:jc w:val="right"/>
              <w:rPr>
                <w:rFonts w:eastAsia="Times New Roman" w:cs="Times New Roman"/>
                <w:b/>
                <w:bCs/>
                <w:lang w:eastAsia="cs-CZ"/>
              </w:rPr>
            </w:pPr>
            <w:r w:rsidRPr="00FE75D5">
              <w:rPr>
                <w:rFonts w:eastAsia="Times New Roman" w:cs="Times New Roman"/>
                <w:b/>
                <w:bCs/>
                <w:lang w:eastAsia="cs-CZ"/>
              </w:rPr>
              <w:t>0</w:t>
            </w:r>
          </w:p>
        </w:tc>
      </w:tr>
    </w:tbl>
    <w:p w:rsidR="008A2ACA" w:rsidRPr="00FE75D5" w:rsidRDefault="008A2ACA" w:rsidP="008A2ACA">
      <w:pPr>
        <w:spacing w:before="120" w:after="120" w:line="240" w:lineRule="auto"/>
        <w:ind w:firstLine="539"/>
        <w:rPr>
          <w:rFonts w:eastAsia="Times New Roman" w:cs="Times New Roman"/>
          <w:szCs w:val="24"/>
          <w:u w:val="single"/>
          <w:lang w:eastAsia="cs-CZ"/>
        </w:rPr>
      </w:pPr>
      <w:r w:rsidRPr="00FE75D5">
        <w:rPr>
          <w:rFonts w:eastAsia="Times New Roman" w:cs="Times New Roman"/>
          <w:szCs w:val="24"/>
          <w:u w:val="single"/>
          <w:lang w:eastAsia="cs-CZ"/>
        </w:rPr>
        <w:t>Čísla a názvy programů:</w:t>
      </w:r>
    </w:p>
    <w:p w:rsidR="008A2ACA" w:rsidRPr="00FE75D5" w:rsidRDefault="008A2ACA" w:rsidP="00F07B29">
      <w:pPr>
        <w:pStyle w:val="Odstavecseseznamem"/>
        <w:numPr>
          <w:ilvl w:val="0"/>
          <w:numId w:val="15"/>
        </w:numPr>
        <w:tabs>
          <w:tab w:val="num" w:pos="426"/>
        </w:tabs>
        <w:spacing w:before="80"/>
        <w:ind w:left="714" w:hanging="357"/>
      </w:pPr>
      <w:r w:rsidRPr="00FE75D5">
        <w:t>127 02 „Rozvoj a obnova materiálně-technické základny systému řízení MD - PO“</w:t>
      </w:r>
    </w:p>
    <w:p w:rsidR="008A2ACA" w:rsidRPr="00FE75D5" w:rsidRDefault="008C24F7" w:rsidP="00855CFA">
      <w:pPr>
        <w:pStyle w:val="Odstavecseseznamem"/>
        <w:numPr>
          <w:ilvl w:val="0"/>
          <w:numId w:val="15"/>
        </w:numPr>
        <w:tabs>
          <w:tab w:val="num" w:pos="426"/>
        </w:tabs>
        <w:spacing w:before="40"/>
        <w:ind w:left="709" w:hanging="352"/>
      </w:pPr>
      <w:r>
        <w:t xml:space="preserve">127 06 </w:t>
      </w:r>
      <w:r w:rsidR="008A2ACA" w:rsidRPr="00FE75D5">
        <w:t xml:space="preserve">„Rozvoj a obnova materiálně-technické systému řízení MD-PO, SFDI“, který </w:t>
      </w:r>
      <w:r w:rsidR="00855CFA">
        <w:tab/>
      </w:r>
      <w:r>
        <w:t xml:space="preserve">  </w:t>
      </w:r>
      <w:r w:rsidR="008A2ACA" w:rsidRPr="00FE75D5">
        <w:t>postupně nahradí program 127 02</w:t>
      </w:r>
    </w:p>
    <w:p w:rsidR="008A2ACA" w:rsidRPr="00FE75D5" w:rsidRDefault="008A2ACA" w:rsidP="00D00A45">
      <w:pPr>
        <w:pStyle w:val="Styl1"/>
      </w:pPr>
      <w:r w:rsidRPr="00FE75D5">
        <w:t>Prostředky na rok 2019 nejsou rozpočtovány.</w:t>
      </w:r>
    </w:p>
    <w:p w:rsidR="008A2ACA" w:rsidRPr="008A2ACA" w:rsidRDefault="008A2ACA" w:rsidP="008A2ACA">
      <w:pPr>
        <w:rPr>
          <w:lang w:eastAsia="cs-CZ"/>
        </w:rPr>
      </w:pPr>
    </w:p>
    <w:p w:rsidR="00BB459E" w:rsidRPr="003870F8" w:rsidRDefault="00BB459E" w:rsidP="00BA4EEA">
      <w:pPr>
        <w:pStyle w:val="Nadpis3"/>
      </w:pPr>
      <w:bookmarkStart w:id="97" w:name="_Toc304375453"/>
      <w:bookmarkStart w:id="98" w:name="_Toc305406311"/>
      <w:bookmarkStart w:id="99" w:name="_Toc462314404"/>
      <w:bookmarkStart w:id="100" w:name="_Toc489274111"/>
      <w:bookmarkStart w:id="101" w:name="_Toc526424704"/>
      <w:r w:rsidRPr="00BA4EEA">
        <w:lastRenderedPageBreak/>
        <w:t>Podnikatelské</w:t>
      </w:r>
      <w:r w:rsidRPr="003870F8">
        <w:t xml:space="preserve"> subjekty</w:t>
      </w:r>
      <w:bookmarkEnd w:id="97"/>
      <w:bookmarkEnd w:id="98"/>
      <w:bookmarkEnd w:id="99"/>
      <w:bookmarkEnd w:id="100"/>
      <w:bookmarkEnd w:id="101"/>
    </w:p>
    <w:p w:rsidR="003870F8" w:rsidRPr="003870F8" w:rsidRDefault="003870F8" w:rsidP="00D00A45">
      <w:pPr>
        <w:pStyle w:val="Styl1"/>
      </w:pPr>
      <w:r w:rsidRPr="003870F8">
        <w:t>Výdaje vedené v EDS/SMVS určené pro podnikatelské subjekt</w:t>
      </w:r>
      <w:r w:rsidR="00855CFA">
        <w:t xml:space="preserve">y jsou pro rozpočtový rok 2019 navrženy v celkové výši </w:t>
      </w:r>
      <w:r w:rsidRPr="003870F8">
        <w:t>41 485 tis. Kč, v tom prostředky státního rozpočt</w:t>
      </w:r>
      <w:r w:rsidR="00855CFA">
        <w:t>u 4 000 tis. Kč, prostředky EU</w:t>
      </w:r>
      <w:r w:rsidRPr="003870F8">
        <w:t xml:space="preserve"> 37 485 tis. Kč. Druhové členění vykazuje následující tabulka.                        </w:t>
      </w:r>
      <w:r w:rsidR="00D00A45">
        <w:t xml:space="preserve">                           </w:t>
      </w:r>
      <w:r w:rsidRPr="003870F8">
        <w:t xml:space="preserve">                                                                                       </w:t>
      </w:r>
    </w:p>
    <w:p w:rsidR="003870F8" w:rsidRPr="003870F8" w:rsidRDefault="003870F8" w:rsidP="003870F8">
      <w:pPr>
        <w:pStyle w:val="Titulek"/>
        <w:keepNext/>
      </w:pPr>
      <w:r w:rsidRPr="003870F8">
        <w:t xml:space="preserve">Tabulka č. </w:t>
      </w:r>
      <w:r w:rsidRPr="003870F8">
        <w:rPr>
          <w:noProof/>
        </w:rPr>
        <w:fldChar w:fldCharType="begin"/>
      </w:r>
      <w:r w:rsidRPr="003870F8">
        <w:rPr>
          <w:noProof/>
        </w:rPr>
        <w:instrText xml:space="preserve"> SEQ Tabulka \* ARABIC </w:instrText>
      </w:r>
      <w:r w:rsidRPr="003870F8">
        <w:rPr>
          <w:noProof/>
        </w:rPr>
        <w:fldChar w:fldCharType="separate"/>
      </w:r>
      <w:r w:rsidR="00AF5225">
        <w:rPr>
          <w:noProof/>
        </w:rPr>
        <w:t>37</w:t>
      </w:r>
      <w:r w:rsidRPr="003870F8">
        <w:rPr>
          <w:noProof/>
        </w:rPr>
        <w:fldChar w:fldCharType="end"/>
      </w:r>
      <w:r w:rsidRPr="003870F8">
        <w:rPr>
          <w:noProof/>
        </w:rPr>
        <w:t xml:space="preserve"> Výdaje podnikatelských subjektů vedených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37"/>
        <w:gridCol w:w="1370"/>
        <w:gridCol w:w="1370"/>
        <w:gridCol w:w="1432"/>
        <w:gridCol w:w="1043"/>
      </w:tblGrid>
      <w:tr w:rsidR="003870F8" w:rsidRPr="003870F8" w:rsidTr="00BA4EEA">
        <w:tc>
          <w:tcPr>
            <w:tcW w:w="21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BA4EEA">
            <w:pPr>
              <w:jc w:val="center"/>
              <w:rPr>
                <w:rFonts w:eastAsia="Times New Roman" w:cs="Times New Roman"/>
                <w:b/>
                <w:lang w:eastAsia="cs-CZ"/>
              </w:rPr>
            </w:pPr>
            <w:r w:rsidRPr="003870F8">
              <w:rPr>
                <w:rFonts w:eastAsia="Times New Roman" w:cs="Times New Roman"/>
                <w:b/>
                <w:lang w:eastAsia="cs-CZ"/>
              </w:rPr>
              <w:t>Ukazatel</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BA4EEA">
            <w:pPr>
              <w:jc w:val="center"/>
              <w:rPr>
                <w:rFonts w:eastAsia="Times New Roman" w:cs="Times New Roman"/>
                <w:b/>
                <w:lang w:eastAsia="cs-CZ"/>
              </w:rPr>
            </w:pPr>
            <w:r w:rsidRPr="003870F8">
              <w:rPr>
                <w:rFonts w:eastAsia="Times New Roman" w:cs="Times New Roman"/>
                <w:b/>
                <w:lang w:eastAsia="cs-CZ"/>
              </w:rPr>
              <w:t>Skutečnost</w:t>
            </w:r>
          </w:p>
          <w:p w:rsidR="003870F8" w:rsidRPr="003870F8" w:rsidRDefault="00BA4EEA" w:rsidP="00BA4EEA">
            <w:pPr>
              <w:jc w:val="center"/>
              <w:rPr>
                <w:rFonts w:eastAsia="Times New Roman" w:cs="Times New Roman"/>
                <w:b/>
                <w:lang w:eastAsia="cs-CZ"/>
              </w:rPr>
            </w:pPr>
            <w:r>
              <w:rPr>
                <w:rFonts w:eastAsia="Times New Roman" w:cs="Times New Roman"/>
                <w:b/>
                <w:lang w:eastAsia="cs-CZ"/>
              </w:rPr>
              <w:t>2017</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BA4EEA">
            <w:pPr>
              <w:jc w:val="center"/>
              <w:rPr>
                <w:rFonts w:eastAsia="Times New Roman" w:cs="Times New Roman"/>
                <w:b/>
                <w:lang w:eastAsia="cs-CZ"/>
              </w:rPr>
            </w:pPr>
            <w:r w:rsidRPr="003870F8">
              <w:rPr>
                <w:rFonts w:eastAsia="Times New Roman" w:cs="Times New Roman"/>
                <w:b/>
                <w:lang w:eastAsia="cs-CZ"/>
              </w:rPr>
              <w:t>Schválený rozpočet</w:t>
            </w:r>
          </w:p>
          <w:p w:rsidR="003870F8" w:rsidRPr="003870F8" w:rsidRDefault="00BA4EEA" w:rsidP="00BA4EEA">
            <w:pPr>
              <w:jc w:val="center"/>
              <w:rPr>
                <w:rFonts w:eastAsia="Times New Roman" w:cs="Times New Roman"/>
                <w:b/>
                <w:lang w:eastAsia="cs-CZ"/>
              </w:rPr>
            </w:pPr>
            <w:r>
              <w:rPr>
                <w:rFonts w:eastAsia="Times New Roman" w:cs="Times New Roman"/>
                <w:b/>
                <w:lang w:eastAsia="cs-CZ"/>
              </w:rPr>
              <w:t>2018</w:t>
            </w:r>
          </w:p>
        </w:tc>
        <w:tc>
          <w:tcPr>
            <w:tcW w:w="79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BA4EEA">
            <w:pPr>
              <w:jc w:val="center"/>
              <w:rPr>
                <w:rFonts w:eastAsia="Times New Roman" w:cs="Times New Roman"/>
                <w:b/>
                <w:lang w:eastAsia="cs-CZ"/>
              </w:rPr>
            </w:pPr>
            <w:r w:rsidRPr="003870F8">
              <w:rPr>
                <w:rFonts w:eastAsia="Times New Roman" w:cs="Times New Roman"/>
                <w:b/>
                <w:lang w:eastAsia="cs-CZ"/>
              </w:rPr>
              <w:t>Návrh</w:t>
            </w:r>
          </w:p>
          <w:p w:rsidR="003870F8" w:rsidRPr="003870F8" w:rsidRDefault="003870F8" w:rsidP="00BA4EEA">
            <w:pPr>
              <w:jc w:val="center"/>
              <w:rPr>
                <w:rFonts w:eastAsia="Times New Roman" w:cs="Times New Roman"/>
                <w:b/>
                <w:lang w:eastAsia="cs-CZ"/>
              </w:rPr>
            </w:pPr>
            <w:r w:rsidRPr="003870F8">
              <w:rPr>
                <w:rFonts w:eastAsia="Times New Roman" w:cs="Times New Roman"/>
                <w:b/>
                <w:lang w:eastAsia="cs-CZ"/>
              </w:rPr>
              <w:t>rozpočtu</w:t>
            </w:r>
          </w:p>
          <w:p w:rsidR="003870F8" w:rsidRPr="003870F8" w:rsidRDefault="00BA4EEA" w:rsidP="00BA4EEA">
            <w:pPr>
              <w:jc w:val="center"/>
              <w:rPr>
                <w:rFonts w:eastAsia="Times New Roman" w:cs="Times New Roman"/>
                <w:b/>
                <w:lang w:eastAsia="cs-CZ"/>
              </w:rPr>
            </w:pPr>
            <w:r>
              <w:rPr>
                <w:rFonts w:eastAsia="Times New Roman" w:cs="Times New Roman"/>
                <w:b/>
                <w:lang w:eastAsia="cs-CZ"/>
              </w:rPr>
              <w:t>2019</w:t>
            </w:r>
          </w:p>
        </w:tc>
        <w:tc>
          <w:tcPr>
            <w:tcW w:w="57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BA4EEA">
            <w:pPr>
              <w:jc w:val="center"/>
              <w:rPr>
                <w:rFonts w:eastAsia="Times New Roman" w:cs="Times New Roman"/>
                <w:b/>
                <w:lang w:eastAsia="cs-CZ"/>
              </w:rPr>
            </w:pPr>
            <w:r w:rsidRPr="003870F8">
              <w:rPr>
                <w:rFonts w:eastAsia="Times New Roman" w:cs="Times New Roman"/>
                <w:b/>
                <w:lang w:eastAsia="cs-CZ"/>
              </w:rPr>
              <w:t>Index</w:t>
            </w:r>
          </w:p>
          <w:p w:rsidR="003870F8" w:rsidRPr="003870F8" w:rsidRDefault="00BA4EEA" w:rsidP="00BA4EEA">
            <w:pPr>
              <w:jc w:val="center"/>
              <w:rPr>
                <w:rFonts w:eastAsia="Times New Roman" w:cs="Times New Roman"/>
                <w:b/>
                <w:lang w:eastAsia="cs-CZ"/>
              </w:rPr>
            </w:pPr>
            <w:r>
              <w:rPr>
                <w:rFonts w:eastAsia="Times New Roman" w:cs="Times New Roman"/>
                <w:b/>
                <w:lang w:eastAsia="cs-CZ"/>
              </w:rPr>
              <w:t>2019/</w:t>
            </w:r>
            <w:r>
              <w:rPr>
                <w:rFonts w:eastAsia="Times New Roman" w:cs="Times New Roman"/>
                <w:b/>
                <w:lang w:eastAsia="cs-CZ"/>
              </w:rPr>
              <w:br/>
              <w:t>2018</w:t>
            </w:r>
          </w:p>
          <w:p w:rsidR="003870F8" w:rsidRPr="003870F8" w:rsidRDefault="003870F8" w:rsidP="00BA4EEA">
            <w:pPr>
              <w:jc w:val="center"/>
              <w:rPr>
                <w:rFonts w:eastAsia="Times New Roman" w:cs="Times New Roman"/>
                <w:b/>
                <w:lang w:eastAsia="cs-CZ"/>
              </w:rPr>
            </w:pPr>
            <w:r w:rsidRPr="003870F8">
              <w:rPr>
                <w:rFonts w:eastAsia="Times New Roman" w:cs="Times New Roman"/>
                <w:b/>
                <w:lang w:eastAsia="cs-CZ"/>
              </w:rPr>
              <w:t>(v %)</w:t>
            </w:r>
          </w:p>
        </w:tc>
      </w:tr>
      <w:tr w:rsidR="003870F8" w:rsidRPr="003870F8" w:rsidTr="00BA4EEA">
        <w:tc>
          <w:tcPr>
            <w:tcW w:w="2119"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a</w:t>
            </w:r>
          </w:p>
        </w:tc>
        <w:tc>
          <w:tcPr>
            <w:tcW w:w="757"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1</w:t>
            </w:r>
          </w:p>
        </w:tc>
        <w:tc>
          <w:tcPr>
            <w:tcW w:w="757"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2</w:t>
            </w:r>
          </w:p>
        </w:tc>
        <w:tc>
          <w:tcPr>
            <w:tcW w:w="791"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3</w:t>
            </w:r>
          </w:p>
        </w:tc>
        <w:tc>
          <w:tcPr>
            <w:tcW w:w="576"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4</w:t>
            </w:r>
          </w:p>
        </w:tc>
      </w:tr>
      <w:tr w:rsidR="003870F8" w:rsidRPr="003870F8" w:rsidTr="00BA4EEA">
        <w:tc>
          <w:tcPr>
            <w:tcW w:w="2119"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rPr>
                <w:rFonts w:eastAsia="Times New Roman" w:cs="Times New Roman"/>
                <w:lang w:eastAsia="cs-CZ"/>
              </w:rPr>
            </w:pPr>
            <w:r w:rsidRPr="003870F8">
              <w:rPr>
                <w:rFonts w:eastAsia="Times New Roman" w:cs="Times New Roman"/>
                <w:b/>
                <w:lang w:eastAsia="cs-CZ"/>
              </w:rPr>
              <w:t>Podnikatelská sféra</w:t>
            </w:r>
            <w:r w:rsidRPr="003870F8">
              <w:rPr>
                <w:rFonts w:eastAsia="Times New Roman" w:cs="Times New Roman"/>
                <w:b/>
                <w:vertAlign w:val="superscript"/>
                <w:lang w:eastAsia="cs-CZ"/>
              </w:rPr>
              <w:t xml:space="preserve"> </w:t>
            </w:r>
            <w:r w:rsidRPr="003870F8">
              <w:rPr>
                <w:rFonts w:eastAsia="Times New Roman" w:cs="Times New Roman"/>
                <w:lang w:eastAsia="cs-CZ"/>
              </w:rPr>
              <w:t>v tom:</w:t>
            </w:r>
          </w:p>
        </w:tc>
        <w:tc>
          <w:tcPr>
            <w:tcW w:w="757" w:type="pct"/>
            <w:tcBorders>
              <w:top w:val="single" w:sz="8" w:space="0" w:color="7F7F7F" w:themeColor="text1" w:themeTint="80"/>
              <w:bottom w:val="single" w:sz="8" w:space="0" w:color="7F7F7F" w:themeColor="text1" w:themeTint="80"/>
            </w:tcBorders>
            <w:shd w:val="clear" w:color="auto" w:fill="auto"/>
            <w:vAlign w:val="center"/>
          </w:tcPr>
          <w:p w:rsidR="003870F8" w:rsidRPr="003870F8" w:rsidRDefault="003870F8" w:rsidP="00BA4EEA">
            <w:pPr>
              <w:jc w:val="right"/>
              <w:rPr>
                <w:rFonts w:eastAsia="Times New Roman" w:cs="Times New Roman"/>
                <w:b/>
                <w:lang w:eastAsia="cs-CZ"/>
              </w:rPr>
            </w:pPr>
            <w:r w:rsidRPr="003870F8">
              <w:rPr>
                <w:rFonts w:eastAsia="Times New Roman" w:cs="Times New Roman"/>
                <w:b/>
                <w:lang w:eastAsia="cs-CZ"/>
              </w:rPr>
              <w:t>  3 693</w:t>
            </w:r>
          </w:p>
        </w:tc>
        <w:tc>
          <w:tcPr>
            <w:tcW w:w="757" w:type="pct"/>
            <w:tcBorders>
              <w:top w:val="single" w:sz="8" w:space="0" w:color="7F7F7F" w:themeColor="text1" w:themeTint="80"/>
              <w:bottom w:val="single" w:sz="8" w:space="0" w:color="7F7F7F" w:themeColor="text1" w:themeTint="80"/>
            </w:tcBorders>
            <w:shd w:val="clear" w:color="auto" w:fill="auto"/>
            <w:vAlign w:val="center"/>
          </w:tcPr>
          <w:p w:rsidR="003870F8" w:rsidRPr="003870F8" w:rsidRDefault="003870F8" w:rsidP="00BA4EEA">
            <w:pPr>
              <w:jc w:val="right"/>
              <w:rPr>
                <w:rFonts w:eastAsia="Times New Roman" w:cs="Times New Roman"/>
                <w:b/>
                <w:lang w:eastAsia="cs-CZ"/>
              </w:rPr>
            </w:pPr>
            <w:r w:rsidRPr="003870F8">
              <w:rPr>
                <w:rFonts w:eastAsia="Times New Roman" w:cs="Times New Roman"/>
                <w:b/>
                <w:lang w:eastAsia="cs-CZ"/>
              </w:rPr>
              <w:t>  716 538</w:t>
            </w:r>
          </w:p>
        </w:tc>
        <w:tc>
          <w:tcPr>
            <w:tcW w:w="791" w:type="pct"/>
            <w:tcBorders>
              <w:top w:val="single" w:sz="8" w:space="0" w:color="7F7F7F" w:themeColor="text1" w:themeTint="80"/>
              <w:bottom w:val="single" w:sz="8" w:space="0" w:color="7F7F7F" w:themeColor="text1" w:themeTint="80"/>
            </w:tcBorders>
            <w:shd w:val="clear" w:color="auto" w:fill="auto"/>
            <w:vAlign w:val="center"/>
          </w:tcPr>
          <w:p w:rsidR="003870F8" w:rsidRPr="003870F8" w:rsidRDefault="003870F8" w:rsidP="00BA4EEA">
            <w:pPr>
              <w:jc w:val="right"/>
              <w:rPr>
                <w:rFonts w:eastAsia="Times New Roman" w:cs="Times New Roman"/>
                <w:b/>
                <w:lang w:eastAsia="cs-CZ"/>
              </w:rPr>
            </w:pPr>
            <w:r w:rsidRPr="003870F8">
              <w:rPr>
                <w:rFonts w:eastAsia="Times New Roman" w:cs="Times New Roman"/>
                <w:b/>
                <w:lang w:eastAsia="cs-CZ"/>
              </w:rPr>
              <w:t>  41 485</w:t>
            </w:r>
          </w:p>
        </w:tc>
        <w:tc>
          <w:tcPr>
            <w:tcW w:w="576" w:type="pct"/>
            <w:tcBorders>
              <w:top w:val="single" w:sz="5" w:space="0" w:color="7F7F7F" w:themeColor="text1" w:themeTint="80"/>
              <w:bottom w:val="single" w:sz="5" w:space="0" w:color="7F7F7F" w:themeColor="text1" w:themeTint="80"/>
            </w:tcBorders>
            <w:shd w:val="clear" w:color="auto" w:fill="auto"/>
            <w:vAlign w:val="center"/>
          </w:tcPr>
          <w:p w:rsidR="003870F8" w:rsidRPr="003870F8" w:rsidRDefault="003870F8" w:rsidP="00BA4EEA">
            <w:pPr>
              <w:jc w:val="right"/>
              <w:rPr>
                <w:rFonts w:eastAsia="Times New Roman" w:cs="Times New Roman"/>
                <w:b/>
                <w:lang w:eastAsia="cs-CZ"/>
              </w:rPr>
            </w:pPr>
            <w:r w:rsidRPr="003870F8">
              <w:rPr>
                <w:rFonts w:eastAsia="Times New Roman" w:cs="Times New Roman"/>
                <w:b/>
                <w:lang w:eastAsia="cs-CZ"/>
              </w:rPr>
              <w:t xml:space="preserve"> 5,79</w:t>
            </w:r>
          </w:p>
        </w:tc>
      </w:tr>
      <w:tr w:rsidR="003870F8" w:rsidRPr="003870F8" w:rsidTr="00BA4EEA">
        <w:tc>
          <w:tcPr>
            <w:tcW w:w="2119" w:type="pct"/>
            <w:tcBorders>
              <w:top w:val="single" w:sz="8" w:space="0" w:color="7F7F7F" w:themeColor="text1" w:themeTint="80"/>
              <w:bottom w:val="nil"/>
            </w:tcBorders>
            <w:shd w:val="clear" w:color="auto" w:fill="auto"/>
          </w:tcPr>
          <w:p w:rsidR="003870F8" w:rsidRPr="003870F8" w:rsidRDefault="003870F8" w:rsidP="009A036B">
            <w:pPr>
              <w:rPr>
                <w:rFonts w:eastAsia="Times New Roman" w:cs="Times New Roman"/>
                <w:lang w:eastAsia="cs-CZ"/>
              </w:rPr>
            </w:pPr>
            <w:r w:rsidRPr="003870F8">
              <w:rPr>
                <w:rFonts w:eastAsia="Times New Roman" w:cs="Times New Roman"/>
                <w:lang w:eastAsia="cs-CZ"/>
              </w:rPr>
              <w:t>běžné výdaje v tom:</w:t>
            </w:r>
          </w:p>
        </w:tc>
        <w:tc>
          <w:tcPr>
            <w:tcW w:w="757" w:type="pct"/>
            <w:tcBorders>
              <w:top w:val="single" w:sz="8"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vertAlign w:val="superscript"/>
                <w:lang w:eastAsia="cs-CZ"/>
              </w:rPr>
            </w:pPr>
            <w:r w:rsidRPr="003870F8">
              <w:rPr>
                <w:rFonts w:eastAsia="Times New Roman" w:cs="Times New Roman"/>
                <w:lang w:eastAsia="cs-CZ"/>
              </w:rPr>
              <w:t>  3 693</w:t>
            </w:r>
          </w:p>
        </w:tc>
        <w:tc>
          <w:tcPr>
            <w:tcW w:w="757" w:type="pct"/>
            <w:tcBorders>
              <w:top w:val="single" w:sz="8"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lang w:eastAsia="cs-CZ"/>
              </w:rPr>
            </w:pPr>
            <w:r w:rsidRPr="003870F8">
              <w:rPr>
                <w:rFonts w:eastAsia="Times New Roman" w:cs="Times New Roman"/>
                <w:lang w:eastAsia="cs-CZ"/>
              </w:rPr>
              <w:t xml:space="preserve">4 000 </w:t>
            </w:r>
          </w:p>
        </w:tc>
        <w:tc>
          <w:tcPr>
            <w:tcW w:w="791" w:type="pct"/>
            <w:tcBorders>
              <w:top w:val="single" w:sz="8"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lang w:eastAsia="cs-CZ"/>
              </w:rPr>
            </w:pPr>
            <w:r w:rsidRPr="003870F8">
              <w:rPr>
                <w:rFonts w:eastAsia="Times New Roman" w:cs="Times New Roman"/>
                <w:lang w:eastAsia="cs-CZ"/>
              </w:rPr>
              <w:t xml:space="preserve">4 000 </w:t>
            </w:r>
          </w:p>
        </w:tc>
        <w:tc>
          <w:tcPr>
            <w:tcW w:w="576" w:type="pct"/>
            <w:tcBorders>
              <w:top w:val="single" w:sz="5"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lang w:eastAsia="cs-CZ"/>
              </w:rPr>
            </w:pPr>
            <w:r w:rsidRPr="003870F8">
              <w:rPr>
                <w:rFonts w:eastAsia="Times New Roman" w:cs="Times New Roman"/>
                <w:lang w:eastAsia="cs-CZ"/>
              </w:rPr>
              <w:t>100,00</w:t>
            </w:r>
          </w:p>
        </w:tc>
      </w:tr>
      <w:tr w:rsidR="003870F8" w:rsidRPr="003870F8" w:rsidTr="00BA4EEA">
        <w:tc>
          <w:tcPr>
            <w:tcW w:w="2119" w:type="pct"/>
            <w:tcBorders>
              <w:top w:val="nil"/>
              <w:bottom w:val="nil"/>
              <w:right w:val="single" w:sz="4" w:space="0" w:color="7F7F7F" w:themeColor="text1" w:themeTint="80"/>
            </w:tcBorders>
            <w:shd w:val="clear" w:color="auto" w:fill="auto"/>
          </w:tcPr>
          <w:p w:rsidR="003870F8" w:rsidRPr="003870F8" w:rsidRDefault="003870F8" w:rsidP="009A036B">
            <w:pPr>
              <w:rPr>
                <w:rFonts w:eastAsia="Times New Roman" w:cs="Times New Roman"/>
                <w:i/>
                <w:lang w:eastAsia="cs-CZ"/>
              </w:rPr>
            </w:pPr>
            <w:r w:rsidRPr="003870F8">
              <w:rPr>
                <w:rFonts w:eastAsia="Times New Roman" w:cs="Times New Roman"/>
                <w:i/>
                <w:lang w:eastAsia="cs-CZ"/>
              </w:rPr>
              <w:t xml:space="preserve">      prostředky SR</w:t>
            </w:r>
          </w:p>
        </w:tc>
        <w:tc>
          <w:tcPr>
            <w:tcW w:w="757"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3 693</w:t>
            </w:r>
          </w:p>
        </w:tc>
        <w:tc>
          <w:tcPr>
            <w:tcW w:w="757"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xml:space="preserve">4 000 </w:t>
            </w:r>
          </w:p>
        </w:tc>
        <w:tc>
          <w:tcPr>
            <w:tcW w:w="791"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xml:space="preserve">4 000 </w:t>
            </w:r>
          </w:p>
        </w:tc>
        <w:tc>
          <w:tcPr>
            <w:tcW w:w="576" w:type="pct"/>
            <w:tcBorders>
              <w:top w:val="nil"/>
              <w:left w:val="single" w:sz="2"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100,00</w:t>
            </w:r>
          </w:p>
        </w:tc>
      </w:tr>
      <w:tr w:rsidR="003870F8" w:rsidRPr="003870F8" w:rsidTr="00BA4EEA">
        <w:tc>
          <w:tcPr>
            <w:tcW w:w="2119" w:type="pct"/>
            <w:tcBorders>
              <w:top w:val="nil"/>
              <w:bottom w:val="single" w:sz="4" w:space="0" w:color="7F7F7F" w:themeColor="text1" w:themeTint="80"/>
              <w:right w:val="single" w:sz="4" w:space="0" w:color="7F7F7F" w:themeColor="text1" w:themeTint="80"/>
            </w:tcBorders>
            <w:shd w:val="clear" w:color="auto" w:fill="auto"/>
          </w:tcPr>
          <w:p w:rsidR="003870F8" w:rsidRPr="003870F8" w:rsidRDefault="003870F8" w:rsidP="009A036B">
            <w:pPr>
              <w:rPr>
                <w:rFonts w:eastAsia="Times New Roman" w:cs="Times New Roman"/>
                <w:i/>
                <w:lang w:eastAsia="cs-CZ"/>
              </w:rPr>
            </w:pPr>
            <w:r w:rsidRPr="003870F8">
              <w:rPr>
                <w:rFonts w:eastAsia="Times New Roman" w:cs="Times New Roman"/>
                <w:i/>
                <w:lang w:eastAsia="cs-CZ"/>
              </w:rPr>
              <w:t xml:space="preserve">      prostředky z fondů EU</w:t>
            </w:r>
          </w:p>
        </w:tc>
        <w:tc>
          <w:tcPr>
            <w:tcW w:w="757"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0</w:t>
            </w:r>
          </w:p>
        </w:tc>
        <w:tc>
          <w:tcPr>
            <w:tcW w:w="757"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0</w:t>
            </w:r>
          </w:p>
        </w:tc>
        <w:tc>
          <w:tcPr>
            <w:tcW w:w="791"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0</w:t>
            </w:r>
          </w:p>
        </w:tc>
        <w:tc>
          <w:tcPr>
            <w:tcW w:w="576" w:type="pct"/>
            <w:tcBorders>
              <w:top w:val="nil"/>
              <w:left w:val="single" w:sz="2" w:space="0" w:color="7F7F7F" w:themeColor="text1" w:themeTint="80"/>
              <w:bottom w:val="single" w:sz="2"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x</w:t>
            </w:r>
          </w:p>
        </w:tc>
      </w:tr>
      <w:tr w:rsidR="003870F8" w:rsidRPr="003870F8" w:rsidTr="00BA4EEA">
        <w:tc>
          <w:tcPr>
            <w:tcW w:w="2119" w:type="pct"/>
            <w:tcBorders>
              <w:top w:val="single" w:sz="4" w:space="0" w:color="7F7F7F" w:themeColor="text1" w:themeTint="80"/>
              <w:bottom w:val="nil"/>
            </w:tcBorders>
            <w:shd w:val="clear" w:color="auto" w:fill="auto"/>
          </w:tcPr>
          <w:p w:rsidR="003870F8" w:rsidRPr="003870F8" w:rsidRDefault="003870F8" w:rsidP="009A036B">
            <w:pPr>
              <w:rPr>
                <w:rFonts w:eastAsia="Times New Roman" w:cs="Times New Roman"/>
                <w:lang w:eastAsia="cs-CZ"/>
              </w:rPr>
            </w:pPr>
            <w:r w:rsidRPr="003870F8">
              <w:rPr>
                <w:rFonts w:eastAsia="Times New Roman" w:cs="Times New Roman"/>
                <w:lang w:eastAsia="cs-CZ"/>
              </w:rPr>
              <w:t>kapitálové výdaje v tom:</w:t>
            </w:r>
          </w:p>
        </w:tc>
        <w:tc>
          <w:tcPr>
            <w:tcW w:w="757" w:type="pct"/>
            <w:tcBorders>
              <w:top w:val="single" w:sz="4"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lang w:eastAsia="cs-CZ"/>
              </w:rPr>
            </w:pPr>
            <w:r w:rsidRPr="003870F8">
              <w:rPr>
                <w:rFonts w:eastAsia="Times New Roman" w:cs="Times New Roman"/>
                <w:lang w:eastAsia="cs-CZ"/>
              </w:rPr>
              <w:t>  0</w:t>
            </w:r>
          </w:p>
        </w:tc>
        <w:tc>
          <w:tcPr>
            <w:tcW w:w="757" w:type="pct"/>
            <w:tcBorders>
              <w:top w:val="single" w:sz="4"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bCs/>
                <w:lang w:eastAsia="cs-CZ"/>
              </w:rPr>
            </w:pPr>
            <w:r w:rsidRPr="003870F8">
              <w:rPr>
                <w:rFonts w:eastAsia="Times New Roman" w:cs="Times New Roman"/>
                <w:bCs/>
                <w:lang w:eastAsia="cs-CZ"/>
              </w:rPr>
              <w:t>  712 538</w:t>
            </w:r>
          </w:p>
        </w:tc>
        <w:tc>
          <w:tcPr>
            <w:tcW w:w="791" w:type="pct"/>
            <w:tcBorders>
              <w:top w:val="single" w:sz="4"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bCs/>
                <w:lang w:eastAsia="cs-CZ"/>
              </w:rPr>
            </w:pPr>
            <w:r w:rsidRPr="003870F8">
              <w:rPr>
                <w:rFonts w:eastAsia="Times New Roman" w:cs="Times New Roman"/>
                <w:bCs/>
                <w:lang w:eastAsia="cs-CZ"/>
              </w:rPr>
              <w:t>  37 485</w:t>
            </w:r>
          </w:p>
        </w:tc>
        <w:tc>
          <w:tcPr>
            <w:tcW w:w="576" w:type="pct"/>
            <w:tcBorders>
              <w:top w:val="single" w:sz="2" w:space="0" w:color="7F7F7F" w:themeColor="text1" w:themeTint="80"/>
              <w:bottom w:val="nil"/>
            </w:tcBorders>
            <w:shd w:val="clear" w:color="auto" w:fill="auto"/>
            <w:vAlign w:val="center"/>
          </w:tcPr>
          <w:p w:rsidR="003870F8" w:rsidRPr="003870F8" w:rsidRDefault="003870F8" w:rsidP="00BA4EEA">
            <w:pPr>
              <w:jc w:val="right"/>
              <w:rPr>
                <w:rFonts w:eastAsia="Times New Roman" w:cs="Times New Roman"/>
                <w:lang w:eastAsia="cs-CZ"/>
              </w:rPr>
            </w:pPr>
            <w:r w:rsidRPr="003870F8">
              <w:rPr>
                <w:rFonts w:eastAsia="Times New Roman" w:cs="Times New Roman"/>
                <w:lang w:eastAsia="cs-CZ"/>
              </w:rPr>
              <w:t xml:space="preserve"> 5,26</w:t>
            </w:r>
          </w:p>
        </w:tc>
      </w:tr>
      <w:tr w:rsidR="003870F8" w:rsidRPr="003870F8" w:rsidTr="00BA4EEA">
        <w:tc>
          <w:tcPr>
            <w:tcW w:w="2119" w:type="pct"/>
            <w:tcBorders>
              <w:top w:val="nil"/>
              <w:bottom w:val="nil"/>
            </w:tcBorders>
            <w:shd w:val="clear" w:color="auto" w:fill="auto"/>
          </w:tcPr>
          <w:p w:rsidR="003870F8" w:rsidRPr="003870F8" w:rsidRDefault="003870F8" w:rsidP="009A036B">
            <w:pPr>
              <w:rPr>
                <w:rFonts w:eastAsia="Times New Roman" w:cs="Times New Roman"/>
                <w:i/>
                <w:lang w:eastAsia="cs-CZ"/>
              </w:rPr>
            </w:pPr>
            <w:r w:rsidRPr="003870F8">
              <w:rPr>
                <w:rFonts w:eastAsia="Times New Roman" w:cs="Times New Roman"/>
                <w:i/>
                <w:lang w:eastAsia="cs-CZ"/>
              </w:rPr>
              <w:t xml:space="preserve">      prostředky SR</w:t>
            </w:r>
          </w:p>
        </w:tc>
        <w:tc>
          <w:tcPr>
            <w:tcW w:w="757" w:type="pct"/>
            <w:tcBorders>
              <w:top w:val="nil"/>
              <w:bottom w:val="nil"/>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0</w:t>
            </w:r>
          </w:p>
        </w:tc>
        <w:tc>
          <w:tcPr>
            <w:tcW w:w="757" w:type="pct"/>
            <w:tcBorders>
              <w:top w:val="nil"/>
              <w:bottom w:val="nil"/>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0</w:t>
            </w:r>
          </w:p>
        </w:tc>
        <w:tc>
          <w:tcPr>
            <w:tcW w:w="791" w:type="pct"/>
            <w:tcBorders>
              <w:top w:val="nil"/>
              <w:bottom w:val="nil"/>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0</w:t>
            </w:r>
          </w:p>
        </w:tc>
        <w:tc>
          <w:tcPr>
            <w:tcW w:w="576" w:type="pct"/>
            <w:tcBorders>
              <w:top w:val="nil"/>
              <w:bottom w:val="nil"/>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xml:space="preserve"> x</w:t>
            </w:r>
          </w:p>
        </w:tc>
      </w:tr>
      <w:tr w:rsidR="003870F8" w:rsidRPr="003870F8" w:rsidTr="00BA4EEA">
        <w:tc>
          <w:tcPr>
            <w:tcW w:w="2119" w:type="pct"/>
            <w:tcBorders>
              <w:top w:val="nil"/>
              <w:bottom w:val="single" w:sz="8" w:space="0" w:color="7F7F7F" w:themeColor="text1" w:themeTint="80"/>
            </w:tcBorders>
            <w:shd w:val="clear" w:color="auto" w:fill="auto"/>
          </w:tcPr>
          <w:p w:rsidR="003870F8" w:rsidRPr="003870F8" w:rsidRDefault="003870F8" w:rsidP="009A036B">
            <w:pPr>
              <w:rPr>
                <w:rFonts w:eastAsia="Times New Roman" w:cs="Times New Roman"/>
                <w:i/>
                <w:lang w:eastAsia="cs-CZ"/>
              </w:rPr>
            </w:pPr>
            <w:r w:rsidRPr="003870F8">
              <w:rPr>
                <w:rFonts w:eastAsia="Times New Roman" w:cs="Times New Roman"/>
                <w:i/>
                <w:lang w:eastAsia="cs-CZ"/>
              </w:rPr>
              <w:t xml:space="preserve">      prostředky z fondů EU</w:t>
            </w:r>
          </w:p>
        </w:tc>
        <w:tc>
          <w:tcPr>
            <w:tcW w:w="757" w:type="pct"/>
            <w:tcBorders>
              <w:top w:val="nil"/>
              <w:bottom w:val="single" w:sz="8"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0</w:t>
            </w:r>
          </w:p>
        </w:tc>
        <w:tc>
          <w:tcPr>
            <w:tcW w:w="757" w:type="pct"/>
            <w:tcBorders>
              <w:top w:val="nil"/>
              <w:bottom w:val="single" w:sz="8"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712 538</w:t>
            </w:r>
          </w:p>
        </w:tc>
        <w:tc>
          <w:tcPr>
            <w:tcW w:w="791" w:type="pct"/>
            <w:tcBorders>
              <w:top w:val="nil"/>
              <w:bottom w:val="single" w:sz="8"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37 485</w:t>
            </w:r>
          </w:p>
        </w:tc>
        <w:tc>
          <w:tcPr>
            <w:tcW w:w="576" w:type="pct"/>
            <w:tcBorders>
              <w:top w:val="nil"/>
              <w:bottom w:val="single" w:sz="5" w:space="0" w:color="7F7F7F" w:themeColor="text1" w:themeTint="80"/>
            </w:tcBorders>
            <w:shd w:val="clear" w:color="auto" w:fill="auto"/>
            <w:vAlign w:val="center"/>
          </w:tcPr>
          <w:p w:rsidR="003870F8" w:rsidRPr="003870F8" w:rsidRDefault="003870F8" w:rsidP="00BA4EEA">
            <w:pPr>
              <w:jc w:val="right"/>
              <w:rPr>
                <w:rFonts w:eastAsia="Times New Roman" w:cs="Times New Roman"/>
                <w:i/>
                <w:lang w:eastAsia="cs-CZ"/>
              </w:rPr>
            </w:pPr>
            <w:r w:rsidRPr="003870F8">
              <w:rPr>
                <w:rFonts w:eastAsia="Times New Roman" w:cs="Times New Roman"/>
                <w:i/>
                <w:lang w:eastAsia="cs-CZ"/>
              </w:rPr>
              <w:t xml:space="preserve"> 5,26</w:t>
            </w:r>
          </w:p>
        </w:tc>
      </w:tr>
    </w:tbl>
    <w:p w:rsidR="003870F8" w:rsidRPr="003870F8" w:rsidRDefault="00ED1974" w:rsidP="00ED1974">
      <w:pPr>
        <w:pStyle w:val="Styl1"/>
        <w:ind w:firstLine="0"/>
      </w:pPr>
      <w:r>
        <w:tab/>
      </w:r>
      <w:r w:rsidR="003870F8" w:rsidRPr="003870F8">
        <w:t xml:space="preserve">V dalším textu je uváděn návrh rozpočtu výdajů na financování reprodukce majetku v členění na jednotlivé programy vedené v EDS/SMVS. </w:t>
      </w:r>
    </w:p>
    <w:p w:rsidR="003870F8" w:rsidRPr="003870F8" w:rsidRDefault="003870F8" w:rsidP="003870F8">
      <w:pPr>
        <w:pStyle w:val="Titulek"/>
        <w:keepNext/>
      </w:pPr>
      <w:r w:rsidRPr="003870F8">
        <w:t xml:space="preserve">Tabulka č. </w:t>
      </w:r>
      <w:r w:rsidRPr="003870F8">
        <w:rPr>
          <w:noProof/>
        </w:rPr>
        <w:fldChar w:fldCharType="begin"/>
      </w:r>
      <w:r w:rsidRPr="003870F8">
        <w:rPr>
          <w:noProof/>
        </w:rPr>
        <w:instrText xml:space="preserve"> SEQ Tabulka \* ARABIC </w:instrText>
      </w:r>
      <w:r w:rsidRPr="003870F8">
        <w:rPr>
          <w:noProof/>
        </w:rPr>
        <w:fldChar w:fldCharType="separate"/>
      </w:r>
      <w:r w:rsidR="00AF5225">
        <w:rPr>
          <w:noProof/>
        </w:rPr>
        <w:t>38</w:t>
      </w:r>
      <w:r w:rsidRPr="003870F8">
        <w:rPr>
          <w:noProof/>
        </w:rPr>
        <w:fldChar w:fldCharType="end"/>
      </w:r>
      <w:r w:rsidRPr="003870F8">
        <w:rPr>
          <w:noProof/>
        </w:rPr>
        <w:t xml:space="preserve"> Přehled jednotlivých programů vedených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4"/>
        <w:gridCol w:w="1132"/>
        <w:gridCol w:w="1132"/>
        <w:gridCol w:w="1132"/>
        <w:gridCol w:w="1278"/>
        <w:gridCol w:w="988"/>
        <w:gridCol w:w="1126"/>
      </w:tblGrid>
      <w:tr w:rsidR="003870F8" w:rsidRPr="003870F8" w:rsidTr="009A036B">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before="240"/>
              <w:jc w:val="center"/>
              <w:rPr>
                <w:rFonts w:eastAsia="Times New Roman" w:cs="Times New Roman"/>
                <w:b/>
                <w:bCs/>
                <w:lang w:eastAsia="cs-CZ"/>
              </w:rPr>
            </w:pPr>
            <w:r w:rsidRPr="003870F8">
              <w:rPr>
                <w:rFonts w:eastAsia="Times New Roman" w:cs="Times New Roman"/>
                <w:b/>
                <w:bCs/>
                <w:lang w:eastAsia="cs-CZ"/>
              </w:rPr>
              <w:t>Číslo programu</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bCs/>
                <w:lang w:eastAsia="cs-CZ"/>
              </w:rPr>
            </w:pPr>
            <w:r w:rsidRPr="003870F8">
              <w:rPr>
                <w:rFonts w:eastAsia="Times New Roman" w:cs="Times New Roman"/>
                <w:b/>
                <w:bCs/>
                <w:lang w:eastAsia="cs-CZ"/>
              </w:rPr>
              <w:t xml:space="preserve">Skutečnost </w:t>
            </w:r>
            <w:r w:rsidRPr="003870F8">
              <w:rPr>
                <w:rFonts w:eastAsia="Times New Roman" w:cs="Times New Roman"/>
                <w:b/>
                <w:bCs/>
                <w:lang w:eastAsia="cs-CZ"/>
              </w:rPr>
              <w:br/>
              <w:t xml:space="preserve">2017 </w:t>
            </w:r>
          </w:p>
        </w:tc>
        <w:tc>
          <w:tcPr>
            <w:tcW w:w="133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bCs/>
                <w:lang w:eastAsia="cs-CZ"/>
              </w:rPr>
            </w:pPr>
            <w:r w:rsidRPr="003870F8">
              <w:rPr>
                <w:rFonts w:eastAsia="Times New Roman" w:cs="Times New Roman"/>
                <w:b/>
                <w:bCs/>
                <w:lang w:eastAsia="cs-CZ"/>
              </w:rPr>
              <w:t xml:space="preserve">Schválený rozpočet 2018 </w:t>
            </w:r>
          </w:p>
        </w:tc>
        <w:tc>
          <w:tcPr>
            <w:tcW w:w="116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bCs/>
                <w:lang w:eastAsia="cs-CZ"/>
              </w:rPr>
            </w:pPr>
            <w:r w:rsidRPr="003870F8">
              <w:rPr>
                <w:rFonts w:eastAsia="Times New Roman" w:cs="Times New Roman"/>
                <w:b/>
                <w:bCs/>
                <w:lang w:eastAsia="cs-CZ"/>
              </w:rPr>
              <w:t>Návrh rozpočtu</w:t>
            </w:r>
            <w:r w:rsidRPr="003870F8">
              <w:rPr>
                <w:rFonts w:eastAsia="Times New Roman" w:cs="Times New Roman"/>
                <w:b/>
                <w:bCs/>
                <w:lang w:eastAsia="cs-CZ"/>
              </w:rPr>
              <w:br/>
              <w:t xml:space="preserve"> 2019 </w:t>
            </w:r>
          </w:p>
        </w:tc>
      </w:tr>
      <w:tr w:rsidR="003870F8" w:rsidRPr="003870F8" w:rsidTr="009A036B">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lang w:eastAsia="cs-CZ"/>
              </w:rPr>
            </w:pPr>
            <w:r w:rsidRPr="003870F8">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lang w:eastAsia="cs-CZ"/>
              </w:rPr>
            </w:pPr>
            <w:r w:rsidRPr="003870F8">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lang w:eastAsia="cs-CZ"/>
              </w:rPr>
            </w:pPr>
            <w:r w:rsidRPr="003870F8">
              <w:rPr>
                <w:rFonts w:eastAsia="Times New Roman" w:cs="Times New Roman"/>
                <w:b/>
                <w:lang w:eastAsia="cs-CZ"/>
              </w:rPr>
              <w:t>SR</w:t>
            </w:r>
          </w:p>
        </w:tc>
        <w:tc>
          <w:tcPr>
            <w:tcW w:w="70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lang w:eastAsia="cs-CZ"/>
              </w:rPr>
            </w:pPr>
            <w:r w:rsidRPr="003870F8">
              <w:rPr>
                <w:rFonts w:eastAsia="Times New Roman" w:cs="Times New Roman"/>
                <w:b/>
                <w:lang w:eastAsia="cs-CZ"/>
              </w:rPr>
              <w:t>EU</w:t>
            </w:r>
          </w:p>
        </w:tc>
        <w:tc>
          <w:tcPr>
            <w:tcW w:w="54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lang w:eastAsia="cs-CZ"/>
              </w:rPr>
            </w:pPr>
            <w:r w:rsidRPr="003870F8">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jc w:val="center"/>
              <w:rPr>
                <w:rFonts w:eastAsia="Times New Roman" w:cs="Times New Roman"/>
                <w:b/>
                <w:lang w:eastAsia="cs-CZ"/>
              </w:rPr>
            </w:pPr>
            <w:r w:rsidRPr="003870F8">
              <w:rPr>
                <w:rFonts w:eastAsia="Times New Roman" w:cs="Times New Roman"/>
                <w:b/>
                <w:lang w:eastAsia="cs-CZ"/>
              </w:rPr>
              <w:t>EU</w:t>
            </w:r>
          </w:p>
        </w:tc>
      </w:tr>
      <w:tr w:rsidR="003870F8" w:rsidRPr="003870F8" w:rsidTr="009A036B">
        <w:tc>
          <w:tcPr>
            <w:tcW w:w="1251" w:type="pct"/>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127 65</w:t>
            </w:r>
          </w:p>
        </w:tc>
        <w:tc>
          <w:tcPr>
            <w:tcW w:w="625"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c>
          <w:tcPr>
            <w:tcW w:w="625" w:type="pct"/>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0</w:t>
            </w:r>
          </w:p>
        </w:tc>
        <w:tc>
          <w:tcPr>
            <w:tcW w:w="625"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c>
          <w:tcPr>
            <w:tcW w:w="705"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c>
          <w:tcPr>
            <w:tcW w:w="546"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c>
          <w:tcPr>
            <w:tcW w:w="623"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r>
      <w:tr w:rsidR="003870F8" w:rsidRPr="003870F8" w:rsidTr="009A036B">
        <w:tc>
          <w:tcPr>
            <w:tcW w:w="1251" w:type="pct"/>
            <w:shd w:val="clear" w:color="auto" w:fill="auto"/>
          </w:tcPr>
          <w:p w:rsidR="003870F8" w:rsidRPr="003870F8" w:rsidRDefault="003870F8" w:rsidP="009A036B">
            <w:pPr>
              <w:jc w:val="center"/>
              <w:rPr>
                <w:rFonts w:eastAsia="Times New Roman" w:cs="Times New Roman"/>
                <w:lang w:eastAsia="cs-CZ"/>
              </w:rPr>
            </w:pPr>
            <w:r w:rsidRPr="003870F8">
              <w:rPr>
                <w:rFonts w:eastAsia="Times New Roman" w:cs="Times New Roman"/>
                <w:lang w:eastAsia="cs-CZ"/>
              </w:rPr>
              <w:t>127 66</w:t>
            </w:r>
          </w:p>
        </w:tc>
        <w:tc>
          <w:tcPr>
            <w:tcW w:w="625"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 xml:space="preserve"> 3 693</w:t>
            </w:r>
          </w:p>
        </w:tc>
        <w:tc>
          <w:tcPr>
            <w:tcW w:w="625"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c>
          <w:tcPr>
            <w:tcW w:w="625"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 xml:space="preserve"> 4 000</w:t>
            </w:r>
          </w:p>
        </w:tc>
        <w:tc>
          <w:tcPr>
            <w:tcW w:w="705"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c>
          <w:tcPr>
            <w:tcW w:w="546"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4 000</w:t>
            </w:r>
          </w:p>
        </w:tc>
        <w:tc>
          <w:tcPr>
            <w:tcW w:w="623" w:type="pct"/>
            <w:shd w:val="clear" w:color="auto" w:fill="auto"/>
          </w:tcPr>
          <w:p w:rsidR="003870F8" w:rsidRPr="003870F8" w:rsidRDefault="003870F8" w:rsidP="009A036B">
            <w:pPr>
              <w:jc w:val="right"/>
              <w:rPr>
                <w:rFonts w:eastAsia="Times New Roman" w:cs="Times New Roman"/>
                <w:lang w:eastAsia="cs-CZ"/>
              </w:rPr>
            </w:pPr>
            <w:r w:rsidRPr="003870F8">
              <w:rPr>
                <w:rFonts w:eastAsia="Times New Roman" w:cs="Times New Roman"/>
                <w:lang w:eastAsia="cs-CZ"/>
              </w:rPr>
              <w:t>0</w:t>
            </w:r>
          </w:p>
        </w:tc>
      </w:tr>
      <w:tr w:rsidR="003870F8" w:rsidRPr="003870F8" w:rsidTr="009A036B">
        <w:tc>
          <w:tcPr>
            <w:tcW w:w="1251"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center"/>
              <w:rPr>
                <w:rFonts w:eastAsia="Times New Roman" w:cs="Times New Roman"/>
                <w:bCs/>
                <w:lang w:eastAsia="cs-CZ"/>
              </w:rPr>
            </w:pPr>
            <w:r w:rsidRPr="003870F8">
              <w:rPr>
                <w:rFonts w:eastAsia="Times New Roman" w:cs="Times New Roman"/>
                <w:bCs/>
                <w:lang w:eastAsia="cs-CZ"/>
              </w:rPr>
              <w:t>127 77</w:t>
            </w:r>
          </w:p>
        </w:tc>
        <w:tc>
          <w:tcPr>
            <w:tcW w:w="62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Cs/>
                <w:lang w:eastAsia="cs-CZ"/>
              </w:rPr>
            </w:pPr>
            <w:r w:rsidRPr="003870F8">
              <w:rPr>
                <w:rFonts w:eastAsia="Times New Roman" w:cs="Times New Roman"/>
                <w:bCs/>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Cs/>
                <w:lang w:eastAsia="cs-CZ"/>
              </w:rPr>
            </w:pPr>
            <w:r w:rsidRPr="003870F8">
              <w:rPr>
                <w:rFonts w:eastAsia="Times New Roman" w:cs="Times New Roman"/>
                <w:bCs/>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Cs/>
                <w:lang w:eastAsia="cs-CZ"/>
              </w:rPr>
            </w:pPr>
            <w:r w:rsidRPr="003870F8">
              <w:rPr>
                <w:rFonts w:eastAsia="Times New Roman" w:cs="Times New Roman"/>
                <w:bCs/>
                <w:lang w:eastAsia="cs-CZ"/>
              </w:rPr>
              <w:t>0</w:t>
            </w:r>
          </w:p>
        </w:tc>
        <w:tc>
          <w:tcPr>
            <w:tcW w:w="70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Cs/>
                <w:lang w:eastAsia="cs-CZ"/>
              </w:rPr>
            </w:pPr>
            <w:r w:rsidRPr="003870F8">
              <w:rPr>
                <w:rFonts w:eastAsia="Times New Roman" w:cs="Times New Roman"/>
                <w:bCs/>
                <w:lang w:eastAsia="cs-CZ"/>
              </w:rPr>
              <w:t xml:space="preserve"> 712 538</w:t>
            </w:r>
          </w:p>
        </w:tc>
        <w:tc>
          <w:tcPr>
            <w:tcW w:w="546"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Cs/>
                <w:lang w:eastAsia="cs-CZ"/>
              </w:rPr>
            </w:pPr>
            <w:r w:rsidRPr="003870F8">
              <w:rPr>
                <w:rFonts w:eastAsia="Times New Roman" w:cs="Times New Roman"/>
                <w:bCs/>
                <w:lang w:eastAsia="cs-CZ"/>
              </w:rPr>
              <w:t>0</w:t>
            </w:r>
          </w:p>
        </w:tc>
        <w:tc>
          <w:tcPr>
            <w:tcW w:w="623"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Cs/>
                <w:lang w:eastAsia="cs-CZ"/>
              </w:rPr>
            </w:pPr>
            <w:r w:rsidRPr="003870F8">
              <w:rPr>
                <w:rFonts w:eastAsia="Times New Roman" w:cs="Times New Roman"/>
                <w:bCs/>
                <w:lang w:eastAsia="cs-CZ"/>
              </w:rPr>
              <w:t>  37 485</w:t>
            </w:r>
          </w:p>
        </w:tc>
      </w:tr>
      <w:tr w:rsidR="003870F8" w:rsidRPr="003870F8" w:rsidTr="009A036B">
        <w:tc>
          <w:tcPr>
            <w:tcW w:w="1251"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jc w:val="center"/>
              <w:rPr>
                <w:rFonts w:eastAsia="Times New Roman" w:cs="Times New Roman"/>
                <w:b/>
                <w:bCs/>
                <w:lang w:eastAsia="cs-CZ"/>
              </w:rPr>
            </w:pPr>
            <w:r w:rsidRPr="003870F8">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
                <w:bCs/>
                <w:lang w:eastAsia="cs-CZ"/>
              </w:rPr>
            </w:pPr>
            <w:r w:rsidRPr="003870F8">
              <w:rPr>
                <w:rFonts w:eastAsia="Times New Roman" w:cs="Times New Roman"/>
                <w:b/>
                <w:bCs/>
                <w:lang w:eastAsia="cs-CZ"/>
              </w:rPr>
              <w:t>  3 693</w:t>
            </w:r>
          </w:p>
        </w:tc>
        <w:tc>
          <w:tcPr>
            <w:tcW w:w="62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
                <w:bCs/>
                <w:lang w:eastAsia="cs-CZ"/>
              </w:rPr>
            </w:pPr>
            <w:r w:rsidRPr="003870F8">
              <w:rPr>
                <w:rFonts w:eastAsia="Times New Roman" w:cs="Times New Roman"/>
                <w:b/>
                <w:bCs/>
                <w:lang w:eastAsia="cs-CZ"/>
              </w:rPr>
              <w:t>  0</w:t>
            </w:r>
          </w:p>
        </w:tc>
        <w:tc>
          <w:tcPr>
            <w:tcW w:w="62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
                <w:bCs/>
                <w:lang w:eastAsia="cs-CZ"/>
              </w:rPr>
            </w:pPr>
            <w:r w:rsidRPr="003870F8">
              <w:rPr>
                <w:rFonts w:eastAsia="Times New Roman" w:cs="Times New Roman"/>
                <w:b/>
                <w:bCs/>
                <w:lang w:eastAsia="cs-CZ"/>
              </w:rPr>
              <w:t>  4 000</w:t>
            </w:r>
          </w:p>
        </w:tc>
        <w:tc>
          <w:tcPr>
            <w:tcW w:w="70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
                <w:bCs/>
                <w:lang w:eastAsia="cs-CZ"/>
              </w:rPr>
            </w:pPr>
            <w:r w:rsidRPr="003870F8">
              <w:rPr>
                <w:rFonts w:eastAsia="Times New Roman" w:cs="Times New Roman"/>
                <w:b/>
                <w:bCs/>
                <w:lang w:eastAsia="cs-CZ"/>
              </w:rPr>
              <w:t>  0</w:t>
            </w:r>
          </w:p>
        </w:tc>
        <w:tc>
          <w:tcPr>
            <w:tcW w:w="546"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
                <w:bCs/>
                <w:lang w:eastAsia="cs-CZ"/>
              </w:rPr>
            </w:pPr>
            <w:r w:rsidRPr="003870F8">
              <w:rPr>
                <w:rFonts w:eastAsia="Times New Roman" w:cs="Times New Roman"/>
                <w:b/>
                <w:bCs/>
                <w:lang w:eastAsia="cs-CZ"/>
              </w:rPr>
              <w:t>4 000</w:t>
            </w:r>
          </w:p>
        </w:tc>
        <w:tc>
          <w:tcPr>
            <w:tcW w:w="623"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jc w:val="right"/>
              <w:rPr>
                <w:rFonts w:eastAsia="Times New Roman" w:cs="Times New Roman"/>
                <w:b/>
                <w:bCs/>
                <w:lang w:eastAsia="cs-CZ"/>
              </w:rPr>
            </w:pPr>
            <w:r w:rsidRPr="003870F8">
              <w:rPr>
                <w:rFonts w:eastAsia="Times New Roman" w:cs="Times New Roman"/>
                <w:b/>
                <w:bCs/>
                <w:lang w:eastAsia="cs-CZ"/>
              </w:rPr>
              <w:t>  37 485</w:t>
            </w:r>
          </w:p>
        </w:tc>
      </w:tr>
    </w:tbl>
    <w:p w:rsidR="003870F8" w:rsidRPr="003870F8" w:rsidRDefault="003870F8" w:rsidP="003870F8">
      <w:pPr>
        <w:spacing w:before="120" w:after="80" w:line="240" w:lineRule="auto"/>
        <w:ind w:firstLine="539"/>
        <w:rPr>
          <w:rFonts w:eastAsia="Times New Roman" w:cs="Times New Roman"/>
          <w:szCs w:val="24"/>
          <w:u w:val="single"/>
          <w:lang w:eastAsia="cs-CZ"/>
        </w:rPr>
      </w:pPr>
      <w:r w:rsidRPr="003870F8">
        <w:rPr>
          <w:rFonts w:eastAsia="Times New Roman" w:cs="Times New Roman"/>
          <w:szCs w:val="24"/>
          <w:u w:val="single"/>
          <w:lang w:eastAsia="cs-CZ"/>
        </w:rPr>
        <w:t>Čísla a názvy programů:</w:t>
      </w:r>
    </w:p>
    <w:p w:rsidR="003870F8" w:rsidRPr="003870F8" w:rsidRDefault="003870F8" w:rsidP="00F07B29">
      <w:pPr>
        <w:numPr>
          <w:ilvl w:val="0"/>
          <w:numId w:val="13"/>
        </w:numPr>
        <w:tabs>
          <w:tab w:val="num" w:pos="851"/>
        </w:tabs>
        <w:spacing w:before="40" w:line="240" w:lineRule="auto"/>
        <w:ind w:firstLine="135"/>
        <w:rPr>
          <w:rFonts w:eastAsia="Times New Roman" w:cs="Times New Roman"/>
          <w:szCs w:val="24"/>
          <w:lang w:eastAsia="cs-CZ"/>
        </w:rPr>
      </w:pPr>
      <w:r w:rsidRPr="003870F8">
        <w:rPr>
          <w:rFonts w:eastAsia="Times New Roman" w:cs="Times New Roman"/>
          <w:szCs w:val="24"/>
          <w:lang w:eastAsia="cs-CZ"/>
        </w:rPr>
        <w:t>127 65 „Pořízení a modernizace železničních kolejových vozidel“</w:t>
      </w:r>
    </w:p>
    <w:p w:rsidR="003870F8" w:rsidRPr="003870F8" w:rsidRDefault="003870F8" w:rsidP="00ED1974">
      <w:pPr>
        <w:numPr>
          <w:ilvl w:val="0"/>
          <w:numId w:val="13"/>
        </w:numPr>
        <w:tabs>
          <w:tab w:val="clear" w:pos="432"/>
        </w:tabs>
        <w:spacing w:before="40" w:line="240" w:lineRule="auto"/>
        <w:ind w:left="851" w:hanging="284"/>
        <w:rPr>
          <w:rFonts w:eastAsia="Times New Roman" w:cs="Times New Roman"/>
          <w:szCs w:val="24"/>
          <w:lang w:eastAsia="cs-CZ"/>
        </w:rPr>
      </w:pPr>
      <w:r w:rsidRPr="003870F8">
        <w:rPr>
          <w:rFonts w:eastAsia="Times New Roman" w:cs="Times New Roman"/>
          <w:szCs w:val="24"/>
          <w:lang w:eastAsia="cs-CZ"/>
        </w:rPr>
        <w:t>127 66 „Podpora obnovy historických železničních kolejových vozidel v období 2017-</w:t>
      </w:r>
      <w:r w:rsidR="008F7D8A">
        <w:rPr>
          <w:rFonts w:eastAsia="Times New Roman" w:cs="Times New Roman"/>
          <w:szCs w:val="24"/>
          <w:lang w:eastAsia="cs-CZ"/>
        </w:rPr>
        <w:br/>
      </w:r>
      <w:r w:rsidR="008F7D8A">
        <w:rPr>
          <w:rFonts w:eastAsia="Times New Roman" w:cs="Times New Roman"/>
          <w:szCs w:val="24"/>
          <w:lang w:eastAsia="cs-CZ"/>
        </w:rPr>
        <w:tab/>
        <w:t xml:space="preserve">    2</w:t>
      </w:r>
      <w:r w:rsidRPr="003870F8">
        <w:rPr>
          <w:rFonts w:eastAsia="Times New Roman" w:cs="Times New Roman"/>
          <w:szCs w:val="24"/>
          <w:lang w:eastAsia="cs-CZ"/>
        </w:rPr>
        <w:t>020“</w:t>
      </w:r>
    </w:p>
    <w:p w:rsidR="003870F8" w:rsidRPr="003870F8" w:rsidRDefault="003870F8" w:rsidP="00F07B29">
      <w:pPr>
        <w:numPr>
          <w:ilvl w:val="0"/>
          <w:numId w:val="13"/>
        </w:numPr>
        <w:tabs>
          <w:tab w:val="num" w:pos="851"/>
        </w:tabs>
        <w:spacing w:before="40" w:line="240" w:lineRule="auto"/>
        <w:ind w:firstLine="135"/>
        <w:rPr>
          <w:rFonts w:eastAsia="Times New Roman" w:cs="Times New Roman"/>
          <w:szCs w:val="24"/>
          <w:lang w:eastAsia="cs-CZ"/>
        </w:rPr>
      </w:pPr>
      <w:r w:rsidRPr="003870F8">
        <w:rPr>
          <w:rFonts w:eastAsia="Times New Roman" w:cs="Times New Roman"/>
          <w:szCs w:val="24"/>
          <w:lang w:eastAsia="cs-CZ"/>
        </w:rPr>
        <w:t>127 77 „Podpora financování dopravy“</w:t>
      </w:r>
    </w:p>
    <w:p w:rsidR="003870F8" w:rsidRPr="003870F8" w:rsidRDefault="003870F8" w:rsidP="00D00A45">
      <w:pPr>
        <w:pStyle w:val="Styl1"/>
      </w:pPr>
      <w:r w:rsidRPr="003870F8">
        <w:t xml:space="preserve">Pro rok 2019 je navržena účast státu na úhradu běžných výdajů programu </w:t>
      </w:r>
      <w:r w:rsidRPr="003870F8">
        <w:rPr>
          <w:b/>
        </w:rPr>
        <w:t>127 66 „Podpora obnovy historických železničních kolejových vozidel v období 2017-2020“</w:t>
      </w:r>
      <w:r w:rsidRPr="003870F8">
        <w:t xml:space="preserve"> </w:t>
      </w:r>
      <w:r w:rsidRPr="003870F8">
        <w:br/>
        <w:t xml:space="preserve">ve výši 4 000 tis. Kč. Prostředky budou použity formou neinvestiční dotace na financování obnovy historických železničních kolejových vozidel.   </w:t>
      </w:r>
    </w:p>
    <w:p w:rsidR="00A13925" w:rsidRDefault="003870F8" w:rsidP="00A13925">
      <w:pPr>
        <w:pStyle w:val="Styl1"/>
      </w:pPr>
      <w:r w:rsidRPr="003870F8">
        <w:t xml:space="preserve">V rámci programu 127 77 „Podpora financování dopravy“ jsou nárokovány investiční prostředky ve výši 37 485 tis. Kč, které budou použity v rámci projektu C-ROADS (CEF-Nástroj pro propojení Evropy 2014+), který si klade za cíl harmonizaci </w:t>
      </w:r>
      <w:r w:rsidR="00BA4EEA">
        <w:br/>
      </w:r>
      <w:r w:rsidRPr="003870F8">
        <w:t xml:space="preserve">a </w:t>
      </w:r>
      <w:r w:rsidRPr="00BA4EEA">
        <w:t>spolupráci</w:t>
      </w:r>
      <w:r w:rsidRPr="003870F8">
        <w:t xml:space="preserve"> při zavádění systému C-ITS ve státech střední Evropy. </w:t>
      </w:r>
      <w:bookmarkStart w:id="102" w:name="_Toc304375454"/>
      <w:bookmarkStart w:id="103" w:name="_Toc305406312"/>
      <w:bookmarkStart w:id="104" w:name="_Toc462314405"/>
      <w:bookmarkStart w:id="105" w:name="_Toc489274112"/>
    </w:p>
    <w:p w:rsidR="00A13925" w:rsidRDefault="00A13925" w:rsidP="00A13925">
      <w:pPr>
        <w:pStyle w:val="Styl1"/>
      </w:pPr>
    </w:p>
    <w:p w:rsidR="003870F8" w:rsidRPr="003870F8" w:rsidRDefault="003870F8" w:rsidP="00A13925">
      <w:pPr>
        <w:pStyle w:val="Nadpis3"/>
      </w:pPr>
      <w:bookmarkStart w:id="106" w:name="_Toc526424705"/>
      <w:r w:rsidRPr="003870F8">
        <w:lastRenderedPageBreak/>
        <w:t>Veřejné rozpočty územní úrovně</w:t>
      </w:r>
      <w:bookmarkEnd w:id="102"/>
      <w:bookmarkEnd w:id="103"/>
      <w:bookmarkEnd w:id="104"/>
      <w:bookmarkEnd w:id="105"/>
      <w:bookmarkEnd w:id="106"/>
      <w:r w:rsidRPr="003870F8">
        <w:t xml:space="preserve"> </w:t>
      </w:r>
    </w:p>
    <w:p w:rsidR="003870F8" w:rsidRPr="00BA4EEA" w:rsidRDefault="003870F8" w:rsidP="00D00A45">
      <w:pPr>
        <w:pStyle w:val="Styl1"/>
      </w:pPr>
      <w:r w:rsidRPr="003870F8">
        <w:t xml:space="preserve">Výdaje vedené v EDS/SMVS určené pro veřejné rozpočty územní úrovně </w:t>
      </w:r>
      <w:r w:rsidR="00CA24A2">
        <w:t>nejsou pro rozpočtový rok 2019</w:t>
      </w:r>
      <w:r w:rsidRPr="003870F8">
        <w:t xml:space="preserve"> navrženy. Druhové členění vykazuje následující tabulka.  </w:t>
      </w:r>
    </w:p>
    <w:p w:rsidR="003870F8" w:rsidRPr="003870F8" w:rsidRDefault="003870F8" w:rsidP="003870F8">
      <w:pPr>
        <w:pStyle w:val="Titulek"/>
        <w:keepNext/>
      </w:pPr>
      <w:r w:rsidRPr="003870F8">
        <w:t xml:space="preserve">Tabulka č. </w:t>
      </w:r>
      <w:r w:rsidRPr="003870F8">
        <w:rPr>
          <w:noProof/>
        </w:rPr>
        <w:fldChar w:fldCharType="begin"/>
      </w:r>
      <w:r w:rsidRPr="003870F8">
        <w:rPr>
          <w:noProof/>
        </w:rPr>
        <w:instrText xml:space="preserve"> SEQ Tabulka \* ARABIC </w:instrText>
      </w:r>
      <w:r w:rsidRPr="003870F8">
        <w:rPr>
          <w:noProof/>
        </w:rPr>
        <w:fldChar w:fldCharType="separate"/>
      </w:r>
      <w:r w:rsidR="00AF5225">
        <w:rPr>
          <w:noProof/>
        </w:rPr>
        <w:t>39</w:t>
      </w:r>
      <w:r w:rsidRPr="003870F8">
        <w:rPr>
          <w:noProof/>
        </w:rPr>
        <w:fldChar w:fldCharType="end"/>
      </w:r>
      <w:r w:rsidRPr="003870F8">
        <w:rPr>
          <w:noProof/>
        </w:rPr>
        <w:t xml:space="preserve"> Výdaje veřejných rozpočtů územní úrovně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auto"/>
        </w:tblBorders>
        <w:tblCellMar>
          <w:left w:w="70" w:type="dxa"/>
          <w:right w:w="70" w:type="dxa"/>
        </w:tblCellMar>
        <w:tblLook w:val="0000" w:firstRow="0" w:lastRow="0" w:firstColumn="0" w:lastColumn="0" w:noHBand="0" w:noVBand="0"/>
      </w:tblPr>
      <w:tblGrid>
        <w:gridCol w:w="3838"/>
        <w:gridCol w:w="1303"/>
        <w:gridCol w:w="1436"/>
        <w:gridCol w:w="1436"/>
        <w:gridCol w:w="1039"/>
      </w:tblGrid>
      <w:tr w:rsidR="003870F8" w:rsidRPr="003870F8" w:rsidTr="00BA4EEA">
        <w:tc>
          <w:tcPr>
            <w:tcW w:w="212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Ukazatel</w:t>
            </w:r>
          </w:p>
        </w:tc>
        <w:tc>
          <w:tcPr>
            <w:tcW w:w="72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Skutečnost</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 xml:space="preserve">2017 </w:t>
            </w:r>
          </w:p>
        </w:tc>
        <w:tc>
          <w:tcPr>
            <w:tcW w:w="7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Schválený rozpočet</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 xml:space="preserve">2018 </w:t>
            </w:r>
          </w:p>
        </w:tc>
        <w:tc>
          <w:tcPr>
            <w:tcW w:w="7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Návrh</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rozpočtu</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 xml:space="preserve">2019 </w:t>
            </w:r>
          </w:p>
        </w:tc>
        <w:tc>
          <w:tcPr>
            <w:tcW w:w="57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Index</w:t>
            </w:r>
          </w:p>
          <w:p w:rsidR="003870F8" w:rsidRPr="003870F8" w:rsidRDefault="00BA4EEA" w:rsidP="009A036B">
            <w:pPr>
              <w:spacing w:line="240" w:lineRule="auto"/>
              <w:jc w:val="center"/>
              <w:rPr>
                <w:rFonts w:eastAsia="Times New Roman" w:cs="Times New Roman"/>
                <w:b/>
                <w:lang w:eastAsia="cs-CZ"/>
              </w:rPr>
            </w:pPr>
            <w:r>
              <w:rPr>
                <w:rFonts w:eastAsia="Times New Roman" w:cs="Times New Roman"/>
                <w:b/>
                <w:lang w:eastAsia="cs-CZ"/>
              </w:rPr>
              <w:t>2019</w:t>
            </w:r>
            <w:r w:rsidR="003870F8" w:rsidRPr="003870F8">
              <w:rPr>
                <w:rFonts w:eastAsia="Times New Roman" w:cs="Times New Roman"/>
                <w:b/>
                <w:lang w:eastAsia="cs-CZ"/>
              </w:rPr>
              <w:t>/</w:t>
            </w:r>
            <w:r>
              <w:rPr>
                <w:rFonts w:eastAsia="Times New Roman" w:cs="Times New Roman"/>
                <w:b/>
                <w:lang w:eastAsia="cs-CZ"/>
              </w:rPr>
              <w:br/>
            </w:r>
            <w:r w:rsidR="003870F8" w:rsidRPr="003870F8">
              <w:rPr>
                <w:rFonts w:eastAsia="Times New Roman" w:cs="Times New Roman"/>
                <w:b/>
                <w:lang w:eastAsia="cs-CZ"/>
              </w:rPr>
              <w:t xml:space="preserve">2018 </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(v %)</w:t>
            </w:r>
          </w:p>
        </w:tc>
      </w:tr>
      <w:tr w:rsidR="003870F8" w:rsidRPr="003870F8" w:rsidTr="00BA4EEA">
        <w:tc>
          <w:tcPr>
            <w:tcW w:w="2120" w:type="pct"/>
            <w:tcBorders>
              <w:top w:val="single" w:sz="4" w:space="0" w:color="7F7F7F" w:themeColor="text1" w:themeTint="80"/>
              <w:bottom w:val="single" w:sz="8" w:space="0" w:color="7F7F7F" w:themeColor="text1" w:themeTint="80"/>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a</w:t>
            </w:r>
          </w:p>
        </w:tc>
        <w:tc>
          <w:tcPr>
            <w:tcW w:w="720" w:type="pct"/>
            <w:tcBorders>
              <w:top w:val="single" w:sz="4" w:space="0" w:color="7F7F7F" w:themeColor="text1" w:themeTint="80"/>
              <w:bottom w:val="single" w:sz="8" w:space="0" w:color="7F7F7F" w:themeColor="text1" w:themeTint="80"/>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1</w:t>
            </w:r>
          </w:p>
        </w:tc>
        <w:tc>
          <w:tcPr>
            <w:tcW w:w="793" w:type="pct"/>
            <w:tcBorders>
              <w:top w:val="single" w:sz="4" w:space="0" w:color="7F7F7F" w:themeColor="text1" w:themeTint="80"/>
              <w:bottom w:val="single" w:sz="8" w:space="0" w:color="7F7F7F" w:themeColor="text1" w:themeTint="80"/>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2</w:t>
            </w:r>
          </w:p>
        </w:tc>
        <w:tc>
          <w:tcPr>
            <w:tcW w:w="793" w:type="pct"/>
            <w:tcBorders>
              <w:top w:val="single" w:sz="4" w:space="0" w:color="7F7F7F" w:themeColor="text1" w:themeTint="80"/>
              <w:bottom w:val="single" w:sz="8" w:space="0" w:color="7F7F7F" w:themeColor="text1" w:themeTint="80"/>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3</w:t>
            </w:r>
          </w:p>
        </w:tc>
        <w:tc>
          <w:tcPr>
            <w:tcW w:w="575" w:type="pct"/>
            <w:tcBorders>
              <w:top w:val="single" w:sz="4" w:space="0" w:color="7F7F7F" w:themeColor="text1" w:themeTint="80"/>
              <w:bottom w:val="single" w:sz="8" w:space="0" w:color="7F7F7F" w:themeColor="text1" w:themeTint="80"/>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4</w:t>
            </w:r>
          </w:p>
        </w:tc>
      </w:tr>
      <w:tr w:rsidR="003870F8" w:rsidRPr="003870F8" w:rsidTr="00BA4EEA">
        <w:tc>
          <w:tcPr>
            <w:tcW w:w="2120" w:type="pct"/>
            <w:tcBorders>
              <w:top w:val="single" w:sz="8" w:space="0" w:color="7F7F7F" w:themeColor="text1" w:themeTint="80"/>
              <w:bottom w:val="single" w:sz="8" w:space="0" w:color="7F7F7F" w:themeColor="text1" w:themeTint="80"/>
            </w:tcBorders>
          </w:tcPr>
          <w:p w:rsidR="003870F8" w:rsidRPr="003870F8" w:rsidRDefault="003870F8" w:rsidP="009A036B">
            <w:pPr>
              <w:spacing w:line="240" w:lineRule="auto"/>
              <w:rPr>
                <w:rFonts w:eastAsia="Times New Roman" w:cs="Times New Roman"/>
                <w:lang w:eastAsia="cs-CZ"/>
              </w:rPr>
            </w:pPr>
            <w:r w:rsidRPr="003870F8">
              <w:rPr>
                <w:rFonts w:eastAsia="Times New Roman" w:cs="Times New Roman"/>
                <w:b/>
                <w:lang w:eastAsia="cs-CZ"/>
              </w:rPr>
              <w:t xml:space="preserve">Veřejné rozpočty územní úrovně celkem </w:t>
            </w:r>
            <w:r w:rsidRPr="003870F8">
              <w:rPr>
                <w:rFonts w:eastAsia="Times New Roman" w:cs="Times New Roman"/>
                <w:lang w:eastAsia="cs-CZ"/>
              </w:rPr>
              <w:t>v tom:</w:t>
            </w:r>
          </w:p>
        </w:tc>
        <w:tc>
          <w:tcPr>
            <w:tcW w:w="720" w:type="pct"/>
            <w:tcBorders>
              <w:top w:val="single" w:sz="8" w:space="0" w:color="7F7F7F" w:themeColor="text1" w:themeTint="80"/>
              <w:bottom w:val="single" w:sz="8" w:space="0" w:color="7F7F7F" w:themeColor="text1" w:themeTint="80"/>
            </w:tcBorders>
          </w:tcPr>
          <w:p w:rsidR="003870F8" w:rsidRPr="003870F8" w:rsidRDefault="003870F8" w:rsidP="009A036B">
            <w:pPr>
              <w:spacing w:before="120" w:line="240" w:lineRule="auto"/>
              <w:jc w:val="right"/>
              <w:rPr>
                <w:rFonts w:eastAsia="Times New Roman" w:cs="Times New Roman"/>
                <w:b/>
                <w:lang w:eastAsia="cs-CZ"/>
              </w:rPr>
            </w:pPr>
            <w:r w:rsidRPr="003870F8">
              <w:rPr>
                <w:rFonts w:eastAsia="Times New Roman" w:cs="Times New Roman"/>
                <w:b/>
                <w:lang w:eastAsia="cs-CZ"/>
              </w:rPr>
              <w:t xml:space="preserve">  5 194    </w:t>
            </w:r>
          </w:p>
        </w:tc>
        <w:tc>
          <w:tcPr>
            <w:tcW w:w="793" w:type="pct"/>
            <w:tcBorders>
              <w:top w:val="single" w:sz="8" w:space="0" w:color="7F7F7F" w:themeColor="text1" w:themeTint="80"/>
              <w:bottom w:val="single" w:sz="8" w:space="0" w:color="7F7F7F" w:themeColor="text1" w:themeTint="80"/>
            </w:tcBorders>
          </w:tcPr>
          <w:p w:rsidR="003870F8" w:rsidRPr="003870F8" w:rsidRDefault="003870F8" w:rsidP="009A036B">
            <w:pPr>
              <w:spacing w:before="120" w:line="240" w:lineRule="auto"/>
              <w:jc w:val="right"/>
              <w:rPr>
                <w:rFonts w:eastAsia="Times New Roman" w:cs="Times New Roman"/>
                <w:b/>
                <w:lang w:eastAsia="cs-CZ"/>
              </w:rPr>
            </w:pPr>
            <w:r w:rsidRPr="003870F8">
              <w:rPr>
                <w:rFonts w:eastAsia="Times New Roman" w:cs="Times New Roman"/>
                <w:b/>
                <w:lang w:eastAsia="cs-CZ"/>
              </w:rPr>
              <w:t>0</w:t>
            </w:r>
          </w:p>
        </w:tc>
        <w:tc>
          <w:tcPr>
            <w:tcW w:w="793" w:type="pct"/>
            <w:tcBorders>
              <w:top w:val="single" w:sz="8" w:space="0" w:color="7F7F7F" w:themeColor="text1" w:themeTint="80"/>
              <w:bottom w:val="single" w:sz="8" w:space="0" w:color="7F7F7F" w:themeColor="text1" w:themeTint="80"/>
            </w:tcBorders>
          </w:tcPr>
          <w:p w:rsidR="003870F8" w:rsidRPr="003870F8" w:rsidRDefault="003870F8" w:rsidP="009A036B">
            <w:pPr>
              <w:spacing w:before="120" w:line="240" w:lineRule="auto"/>
              <w:jc w:val="right"/>
              <w:rPr>
                <w:rFonts w:eastAsia="Times New Roman" w:cs="Times New Roman"/>
                <w:b/>
                <w:lang w:eastAsia="cs-CZ"/>
              </w:rPr>
            </w:pPr>
            <w:r w:rsidRPr="003870F8">
              <w:rPr>
                <w:rFonts w:eastAsia="Times New Roman" w:cs="Times New Roman"/>
                <w:b/>
                <w:lang w:eastAsia="cs-CZ"/>
              </w:rPr>
              <w:t>0</w:t>
            </w:r>
          </w:p>
        </w:tc>
        <w:tc>
          <w:tcPr>
            <w:tcW w:w="575" w:type="pct"/>
            <w:tcBorders>
              <w:top w:val="single" w:sz="8" w:space="0" w:color="7F7F7F" w:themeColor="text1" w:themeTint="80"/>
              <w:bottom w:val="single" w:sz="8" w:space="0" w:color="7F7F7F" w:themeColor="text1" w:themeTint="80"/>
            </w:tcBorders>
          </w:tcPr>
          <w:p w:rsidR="003870F8" w:rsidRPr="003870F8" w:rsidRDefault="003870F8" w:rsidP="009A036B">
            <w:pPr>
              <w:spacing w:before="120" w:line="240" w:lineRule="auto"/>
              <w:jc w:val="right"/>
              <w:rPr>
                <w:rFonts w:eastAsia="Times New Roman" w:cs="Times New Roman"/>
                <w:b/>
                <w:lang w:eastAsia="cs-CZ"/>
              </w:rPr>
            </w:pPr>
            <w:r w:rsidRPr="003870F8">
              <w:rPr>
                <w:rFonts w:eastAsia="Times New Roman" w:cs="Times New Roman"/>
                <w:b/>
                <w:lang w:eastAsia="cs-CZ"/>
              </w:rPr>
              <w:t>x</w:t>
            </w:r>
          </w:p>
        </w:tc>
      </w:tr>
      <w:tr w:rsidR="003870F8" w:rsidRPr="003870F8" w:rsidTr="00BA4EEA">
        <w:tc>
          <w:tcPr>
            <w:tcW w:w="2120" w:type="pct"/>
            <w:tcBorders>
              <w:top w:val="single" w:sz="8" w:space="0" w:color="7F7F7F" w:themeColor="text1" w:themeTint="80"/>
              <w:bottom w:val="nil"/>
            </w:tcBorders>
          </w:tcPr>
          <w:p w:rsidR="003870F8" w:rsidRPr="003870F8" w:rsidRDefault="003870F8" w:rsidP="009A036B">
            <w:pPr>
              <w:tabs>
                <w:tab w:val="left" w:pos="180"/>
              </w:tabs>
              <w:spacing w:line="240" w:lineRule="auto"/>
              <w:rPr>
                <w:rFonts w:eastAsia="Times New Roman" w:cs="Times New Roman"/>
                <w:lang w:eastAsia="cs-CZ"/>
              </w:rPr>
            </w:pPr>
            <w:r w:rsidRPr="003870F8">
              <w:rPr>
                <w:rFonts w:eastAsia="Times New Roman" w:cs="Times New Roman"/>
                <w:lang w:eastAsia="cs-CZ"/>
              </w:rPr>
              <w:t>běžné výdaje celkem v tom:</w:t>
            </w:r>
          </w:p>
        </w:tc>
        <w:tc>
          <w:tcPr>
            <w:tcW w:w="720" w:type="pct"/>
            <w:tcBorders>
              <w:top w:val="single" w:sz="8" w:space="0" w:color="7F7F7F" w:themeColor="text1" w:themeTint="80"/>
              <w:bottom w:val="nil"/>
            </w:tcBorders>
          </w:tcPr>
          <w:p w:rsidR="003870F8" w:rsidRPr="003870F8" w:rsidRDefault="003870F8" w:rsidP="009A036B">
            <w:pPr>
              <w:spacing w:line="240" w:lineRule="auto"/>
              <w:jc w:val="right"/>
              <w:rPr>
                <w:rFonts w:eastAsia="Times New Roman" w:cs="Times New Roman"/>
                <w:vertAlign w:val="superscript"/>
                <w:lang w:eastAsia="cs-CZ"/>
              </w:rPr>
            </w:pPr>
            <w:r w:rsidRPr="003870F8">
              <w:rPr>
                <w:rFonts w:eastAsia="Times New Roman" w:cs="Times New Roman"/>
                <w:lang w:eastAsia="cs-CZ"/>
              </w:rPr>
              <w:t>0</w:t>
            </w:r>
          </w:p>
        </w:tc>
        <w:tc>
          <w:tcPr>
            <w:tcW w:w="793" w:type="pct"/>
            <w:tcBorders>
              <w:top w:val="single" w:sz="8" w:space="0" w:color="7F7F7F" w:themeColor="text1" w:themeTint="80"/>
              <w:bottom w:val="nil"/>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793" w:type="pct"/>
            <w:tcBorders>
              <w:top w:val="single" w:sz="8" w:space="0" w:color="7F7F7F" w:themeColor="text1" w:themeTint="80"/>
              <w:bottom w:val="nil"/>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575" w:type="pct"/>
            <w:tcBorders>
              <w:top w:val="single" w:sz="8" w:space="0" w:color="7F7F7F" w:themeColor="text1" w:themeTint="80"/>
              <w:bottom w:val="nil"/>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x</w:t>
            </w:r>
          </w:p>
        </w:tc>
      </w:tr>
      <w:tr w:rsidR="003870F8" w:rsidRPr="003870F8" w:rsidTr="00BA4EEA">
        <w:tc>
          <w:tcPr>
            <w:tcW w:w="2120" w:type="pct"/>
            <w:tcBorders>
              <w:top w:val="nil"/>
              <w:bottom w:val="nil"/>
            </w:tcBorders>
          </w:tcPr>
          <w:p w:rsidR="003870F8" w:rsidRPr="003870F8" w:rsidRDefault="003870F8" w:rsidP="009A036B">
            <w:pPr>
              <w:spacing w:line="240" w:lineRule="auto"/>
              <w:rPr>
                <w:rFonts w:eastAsia="Times New Roman" w:cs="Times New Roman"/>
                <w:i/>
                <w:lang w:eastAsia="cs-CZ"/>
              </w:rPr>
            </w:pPr>
            <w:r w:rsidRPr="003870F8">
              <w:rPr>
                <w:rFonts w:eastAsia="Times New Roman" w:cs="Times New Roman"/>
                <w:i/>
                <w:lang w:eastAsia="cs-CZ"/>
              </w:rPr>
              <w:t xml:space="preserve">      prostředky SR</w:t>
            </w:r>
          </w:p>
        </w:tc>
        <w:tc>
          <w:tcPr>
            <w:tcW w:w="720"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93"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93"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575"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x</w:t>
            </w:r>
          </w:p>
        </w:tc>
      </w:tr>
      <w:tr w:rsidR="003870F8" w:rsidRPr="003870F8" w:rsidTr="00BA4EEA">
        <w:tc>
          <w:tcPr>
            <w:tcW w:w="2120" w:type="pct"/>
            <w:tcBorders>
              <w:top w:val="nil"/>
              <w:bottom w:val="single" w:sz="4" w:space="0" w:color="7F7F7F" w:themeColor="text1" w:themeTint="80"/>
            </w:tcBorders>
          </w:tcPr>
          <w:p w:rsidR="003870F8" w:rsidRPr="003870F8" w:rsidRDefault="003870F8" w:rsidP="009A036B">
            <w:pPr>
              <w:spacing w:line="240" w:lineRule="auto"/>
              <w:rPr>
                <w:rFonts w:eastAsia="Times New Roman" w:cs="Times New Roman"/>
                <w:i/>
                <w:lang w:eastAsia="cs-CZ"/>
              </w:rPr>
            </w:pPr>
            <w:r w:rsidRPr="003870F8">
              <w:rPr>
                <w:rFonts w:eastAsia="Times New Roman" w:cs="Times New Roman"/>
                <w:i/>
                <w:lang w:eastAsia="cs-CZ"/>
              </w:rPr>
              <w:t xml:space="preserve">      prostředky z fondů EU</w:t>
            </w:r>
          </w:p>
        </w:tc>
        <w:tc>
          <w:tcPr>
            <w:tcW w:w="720" w:type="pct"/>
            <w:tcBorders>
              <w:top w:val="nil"/>
              <w:bottom w:val="single" w:sz="4"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93" w:type="pct"/>
            <w:tcBorders>
              <w:top w:val="nil"/>
              <w:bottom w:val="single" w:sz="4"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93" w:type="pct"/>
            <w:tcBorders>
              <w:top w:val="nil"/>
              <w:bottom w:val="single" w:sz="4"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575" w:type="pct"/>
            <w:tcBorders>
              <w:top w:val="nil"/>
              <w:bottom w:val="single" w:sz="4"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x</w:t>
            </w:r>
          </w:p>
        </w:tc>
      </w:tr>
      <w:tr w:rsidR="003870F8" w:rsidRPr="003870F8" w:rsidTr="00BA4EEA">
        <w:tc>
          <w:tcPr>
            <w:tcW w:w="2120" w:type="pct"/>
            <w:tcBorders>
              <w:top w:val="single" w:sz="4" w:space="0" w:color="7F7F7F" w:themeColor="text1" w:themeTint="80"/>
              <w:bottom w:val="nil"/>
            </w:tcBorders>
          </w:tcPr>
          <w:p w:rsidR="003870F8" w:rsidRPr="003870F8" w:rsidRDefault="003870F8" w:rsidP="009A036B">
            <w:pPr>
              <w:spacing w:line="240" w:lineRule="auto"/>
              <w:rPr>
                <w:rFonts w:eastAsia="Times New Roman" w:cs="Times New Roman"/>
                <w:lang w:eastAsia="cs-CZ"/>
              </w:rPr>
            </w:pPr>
            <w:r w:rsidRPr="003870F8">
              <w:rPr>
                <w:rFonts w:eastAsia="Times New Roman" w:cs="Times New Roman"/>
                <w:lang w:eastAsia="cs-CZ"/>
              </w:rPr>
              <w:t>kapitálové výdaje celkem v tom:</w:t>
            </w:r>
          </w:p>
        </w:tc>
        <w:tc>
          <w:tcPr>
            <w:tcW w:w="720" w:type="pct"/>
            <w:tcBorders>
              <w:top w:val="single" w:sz="4" w:space="0" w:color="7F7F7F" w:themeColor="text1" w:themeTint="80"/>
              <w:bottom w:val="nil"/>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  5 194</w:t>
            </w:r>
          </w:p>
        </w:tc>
        <w:tc>
          <w:tcPr>
            <w:tcW w:w="793" w:type="pct"/>
            <w:tcBorders>
              <w:top w:val="single" w:sz="4" w:space="0" w:color="7F7F7F" w:themeColor="text1" w:themeTint="80"/>
              <w:bottom w:val="nil"/>
            </w:tcBorders>
          </w:tcPr>
          <w:p w:rsidR="003870F8" w:rsidRPr="003870F8" w:rsidRDefault="003870F8" w:rsidP="009A036B">
            <w:pPr>
              <w:spacing w:line="240" w:lineRule="auto"/>
              <w:jc w:val="right"/>
              <w:rPr>
                <w:rFonts w:eastAsia="Times New Roman" w:cs="Times New Roman"/>
                <w:bCs/>
                <w:lang w:eastAsia="cs-CZ"/>
              </w:rPr>
            </w:pPr>
            <w:r w:rsidRPr="003870F8">
              <w:rPr>
                <w:rFonts w:eastAsia="Times New Roman" w:cs="Times New Roman"/>
                <w:bCs/>
                <w:lang w:eastAsia="cs-CZ"/>
              </w:rPr>
              <w:t>0</w:t>
            </w:r>
          </w:p>
        </w:tc>
        <w:tc>
          <w:tcPr>
            <w:tcW w:w="793" w:type="pct"/>
            <w:tcBorders>
              <w:top w:val="single" w:sz="4" w:space="0" w:color="7F7F7F" w:themeColor="text1" w:themeTint="80"/>
              <w:bottom w:val="nil"/>
            </w:tcBorders>
          </w:tcPr>
          <w:p w:rsidR="003870F8" w:rsidRPr="003870F8" w:rsidRDefault="003870F8" w:rsidP="009A036B">
            <w:pPr>
              <w:spacing w:line="240" w:lineRule="auto"/>
              <w:jc w:val="right"/>
              <w:rPr>
                <w:rFonts w:eastAsia="Times New Roman" w:cs="Times New Roman"/>
                <w:bCs/>
                <w:lang w:eastAsia="cs-CZ"/>
              </w:rPr>
            </w:pPr>
            <w:r w:rsidRPr="003870F8">
              <w:rPr>
                <w:rFonts w:eastAsia="Times New Roman" w:cs="Times New Roman"/>
                <w:bCs/>
                <w:lang w:eastAsia="cs-CZ"/>
              </w:rPr>
              <w:t>0</w:t>
            </w:r>
          </w:p>
        </w:tc>
        <w:tc>
          <w:tcPr>
            <w:tcW w:w="575" w:type="pct"/>
            <w:tcBorders>
              <w:top w:val="single" w:sz="4" w:space="0" w:color="7F7F7F" w:themeColor="text1" w:themeTint="80"/>
              <w:bottom w:val="nil"/>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x</w:t>
            </w:r>
          </w:p>
        </w:tc>
      </w:tr>
      <w:tr w:rsidR="003870F8" w:rsidRPr="003870F8" w:rsidTr="00BA4EEA">
        <w:tc>
          <w:tcPr>
            <w:tcW w:w="2120" w:type="pct"/>
            <w:tcBorders>
              <w:top w:val="nil"/>
              <w:bottom w:val="nil"/>
            </w:tcBorders>
          </w:tcPr>
          <w:p w:rsidR="003870F8" w:rsidRPr="003870F8" w:rsidRDefault="003870F8" w:rsidP="009A036B">
            <w:pPr>
              <w:spacing w:line="240" w:lineRule="auto"/>
              <w:rPr>
                <w:rFonts w:eastAsia="Times New Roman" w:cs="Times New Roman"/>
                <w:i/>
                <w:lang w:eastAsia="cs-CZ"/>
              </w:rPr>
            </w:pPr>
            <w:r w:rsidRPr="003870F8">
              <w:rPr>
                <w:rFonts w:eastAsia="Times New Roman" w:cs="Times New Roman"/>
                <w:i/>
                <w:lang w:eastAsia="cs-CZ"/>
              </w:rPr>
              <w:t xml:space="preserve">      prostředky SR</w:t>
            </w:r>
          </w:p>
        </w:tc>
        <w:tc>
          <w:tcPr>
            <w:tcW w:w="720"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  5 194</w:t>
            </w:r>
          </w:p>
        </w:tc>
        <w:tc>
          <w:tcPr>
            <w:tcW w:w="793"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93"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575" w:type="pct"/>
            <w:tcBorders>
              <w:top w:val="nil"/>
              <w:bottom w:val="nil"/>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x</w:t>
            </w:r>
          </w:p>
        </w:tc>
      </w:tr>
      <w:tr w:rsidR="003870F8" w:rsidRPr="003870F8" w:rsidTr="00BA4EEA">
        <w:tc>
          <w:tcPr>
            <w:tcW w:w="2120" w:type="pct"/>
            <w:tcBorders>
              <w:top w:val="nil"/>
              <w:bottom w:val="single" w:sz="8" w:space="0" w:color="7F7F7F" w:themeColor="text1" w:themeTint="80"/>
            </w:tcBorders>
          </w:tcPr>
          <w:p w:rsidR="003870F8" w:rsidRPr="003870F8" w:rsidRDefault="003870F8" w:rsidP="009A036B">
            <w:pPr>
              <w:spacing w:line="240" w:lineRule="auto"/>
              <w:rPr>
                <w:rFonts w:eastAsia="Times New Roman" w:cs="Times New Roman"/>
                <w:i/>
                <w:lang w:eastAsia="cs-CZ"/>
              </w:rPr>
            </w:pPr>
            <w:r w:rsidRPr="003870F8">
              <w:rPr>
                <w:rFonts w:eastAsia="Times New Roman" w:cs="Times New Roman"/>
                <w:i/>
                <w:lang w:eastAsia="cs-CZ"/>
              </w:rPr>
              <w:t xml:space="preserve">      prostředky z fondů EU</w:t>
            </w:r>
          </w:p>
        </w:tc>
        <w:tc>
          <w:tcPr>
            <w:tcW w:w="720" w:type="pct"/>
            <w:tcBorders>
              <w:top w:val="nil"/>
              <w:bottom w:val="single" w:sz="8"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  0</w:t>
            </w:r>
          </w:p>
        </w:tc>
        <w:tc>
          <w:tcPr>
            <w:tcW w:w="793" w:type="pct"/>
            <w:tcBorders>
              <w:top w:val="nil"/>
              <w:bottom w:val="single" w:sz="8"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93" w:type="pct"/>
            <w:tcBorders>
              <w:top w:val="nil"/>
              <w:bottom w:val="single" w:sz="8"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575" w:type="pct"/>
            <w:tcBorders>
              <w:top w:val="nil"/>
              <w:bottom w:val="single" w:sz="8"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x</w:t>
            </w:r>
          </w:p>
        </w:tc>
      </w:tr>
    </w:tbl>
    <w:p w:rsidR="003870F8" w:rsidRPr="003870F8" w:rsidRDefault="003870F8" w:rsidP="00D00A45">
      <w:pPr>
        <w:pStyle w:val="Styl1"/>
      </w:pPr>
      <w:r w:rsidRPr="003870F8">
        <w:t>V dalším textu je uváděn návrh rozpočtu výdajů na financování reprodukce majetku v členění na jednotlivé programy vedené v EDS/SMVS.</w:t>
      </w:r>
    </w:p>
    <w:p w:rsidR="003870F8" w:rsidRPr="003870F8" w:rsidRDefault="003870F8" w:rsidP="003870F8">
      <w:pPr>
        <w:pStyle w:val="Titulek"/>
        <w:keepNext/>
      </w:pPr>
      <w:r w:rsidRPr="003870F8">
        <w:t xml:space="preserve">Tabulka č. </w:t>
      </w:r>
      <w:r w:rsidRPr="003870F8">
        <w:rPr>
          <w:noProof/>
        </w:rPr>
        <w:fldChar w:fldCharType="begin"/>
      </w:r>
      <w:r w:rsidRPr="003870F8">
        <w:rPr>
          <w:noProof/>
        </w:rPr>
        <w:instrText xml:space="preserve"> SEQ Tabulka \* ARABIC </w:instrText>
      </w:r>
      <w:r w:rsidRPr="003870F8">
        <w:rPr>
          <w:noProof/>
        </w:rPr>
        <w:fldChar w:fldCharType="separate"/>
      </w:r>
      <w:r w:rsidR="00AF5225">
        <w:rPr>
          <w:noProof/>
        </w:rPr>
        <w:t>40</w:t>
      </w:r>
      <w:r w:rsidRPr="003870F8">
        <w:rPr>
          <w:noProof/>
        </w:rPr>
        <w:fldChar w:fldCharType="end"/>
      </w:r>
      <w:r w:rsidRPr="003870F8">
        <w:rPr>
          <w:noProof/>
        </w:rPr>
        <w:t xml:space="preserve"> Přehled jednotlivých programů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4"/>
        <w:gridCol w:w="1131"/>
        <w:gridCol w:w="1132"/>
        <w:gridCol w:w="1132"/>
        <w:gridCol w:w="1133"/>
        <w:gridCol w:w="1132"/>
        <w:gridCol w:w="1128"/>
      </w:tblGrid>
      <w:tr w:rsidR="003870F8" w:rsidRPr="003870F8" w:rsidTr="009A036B">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bCs/>
                <w:lang w:eastAsia="cs-CZ"/>
              </w:rPr>
            </w:pPr>
            <w:r w:rsidRPr="003870F8">
              <w:rPr>
                <w:rFonts w:eastAsia="Times New Roman" w:cs="Times New Roman"/>
                <w:b/>
                <w:bCs/>
                <w:lang w:eastAsia="cs-CZ"/>
              </w:rPr>
              <w:t>Číslo programu</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bCs/>
                <w:lang w:eastAsia="cs-CZ"/>
              </w:rPr>
            </w:pPr>
            <w:r w:rsidRPr="003870F8">
              <w:rPr>
                <w:rFonts w:eastAsia="Times New Roman" w:cs="Times New Roman"/>
                <w:b/>
                <w:bCs/>
                <w:lang w:eastAsia="cs-CZ"/>
              </w:rPr>
              <w:t xml:space="preserve">Skutečnost </w:t>
            </w:r>
            <w:r w:rsidRPr="003870F8">
              <w:rPr>
                <w:rFonts w:eastAsia="Times New Roman" w:cs="Times New Roman"/>
                <w:b/>
                <w:bCs/>
                <w:lang w:eastAsia="cs-CZ"/>
              </w:rPr>
              <w:br/>
              <w:t xml:space="preserve">2017 </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bCs/>
                <w:lang w:eastAsia="cs-CZ"/>
              </w:rPr>
            </w:pPr>
            <w:r w:rsidRPr="003870F8">
              <w:rPr>
                <w:rFonts w:eastAsia="Times New Roman" w:cs="Times New Roman"/>
                <w:b/>
                <w:bCs/>
                <w:lang w:eastAsia="cs-CZ"/>
              </w:rPr>
              <w:t xml:space="preserve">Schválený rozpočet 2018 </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bCs/>
                <w:lang w:eastAsia="cs-CZ"/>
              </w:rPr>
            </w:pPr>
            <w:r w:rsidRPr="003870F8">
              <w:rPr>
                <w:rFonts w:eastAsia="Times New Roman" w:cs="Times New Roman"/>
                <w:b/>
                <w:bCs/>
                <w:lang w:eastAsia="cs-CZ"/>
              </w:rPr>
              <w:t xml:space="preserve">Návrh rozpočtu </w:t>
            </w:r>
          </w:p>
          <w:p w:rsidR="003870F8" w:rsidRPr="003870F8" w:rsidRDefault="003870F8" w:rsidP="009A036B">
            <w:pPr>
              <w:spacing w:line="240" w:lineRule="auto"/>
              <w:jc w:val="center"/>
              <w:rPr>
                <w:rFonts w:eastAsia="Times New Roman" w:cs="Times New Roman"/>
                <w:b/>
                <w:bCs/>
                <w:lang w:eastAsia="cs-CZ"/>
              </w:rPr>
            </w:pPr>
            <w:r w:rsidRPr="003870F8">
              <w:rPr>
                <w:rFonts w:eastAsia="Times New Roman" w:cs="Times New Roman"/>
                <w:b/>
                <w:bCs/>
                <w:lang w:eastAsia="cs-CZ"/>
              </w:rPr>
              <w:t xml:space="preserve"> 2019 </w:t>
            </w:r>
          </w:p>
        </w:tc>
      </w:tr>
      <w:tr w:rsidR="003870F8" w:rsidRPr="003870F8" w:rsidTr="009A036B">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line="240" w:lineRule="auto"/>
              <w:rPr>
                <w:rFonts w:eastAsia="Times New Roman" w:cs="Times New Roman"/>
                <w:b/>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EU</w:t>
            </w:r>
          </w:p>
        </w:tc>
      </w:tr>
      <w:tr w:rsidR="003870F8" w:rsidRPr="003870F8" w:rsidTr="009A036B">
        <w:tc>
          <w:tcPr>
            <w:tcW w:w="1251" w:type="pct"/>
            <w:tcBorders>
              <w:top w:val="single" w:sz="4" w:space="0" w:color="7F7F7F" w:themeColor="text1" w:themeTint="80"/>
              <w:bottom w:val="single" w:sz="8" w:space="0" w:color="7F7F7F" w:themeColor="text1" w:themeTint="80"/>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127 21</w:t>
            </w:r>
          </w:p>
        </w:tc>
        <w:tc>
          <w:tcPr>
            <w:tcW w:w="62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  5 194</w:t>
            </w:r>
          </w:p>
        </w:tc>
        <w:tc>
          <w:tcPr>
            <w:tcW w:w="62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623" w:type="pct"/>
            <w:tcBorders>
              <w:top w:val="single" w:sz="4"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r>
      <w:tr w:rsidR="003870F8" w:rsidRPr="003870F8" w:rsidTr="009A036B">
        <w:tc>
          <w:tcPr>
            <w:tcW w:w="1251" w:type="pct"/>
            <w:tcBorders>
              <w:top w:val="single" w:sz="8" w:space="0" w:color="7F7F7F" w:themeColor="text1" w:themeTint="80"/>
              <w:bottom w:val="single" w:sz="8" w:space="0" w:color="7F7F7F" w:themeColor="text1" w:themeTint="80"/>
            </w:tcBorders>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  5 194</w:t>
            </w:r>
          </w:p>
        </w:tc>
        <w:tc>
          <w:tcPr>
            <w:tcW w:w="62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  0</w:t>
            </w:r>
          </w:p>
        </w:tc>
        <w:tc>
          <w:tcPr>
            <w:tcW w:w="62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0</w:t>
            </w:r>
          </w:p>
        </w:tc>
        <w:tc>
          <w:tcPr>
            <w:tcW w:w="623" w:type="pct"/>
            <w:tcBorders>
              <w:top w:val="single" w:sz="8" w:space="0" w:color="7F7F7F" w:themeColor="text1" w:themeTint="80"/>
              <w:bottom w:val="single" w:sz="8" w:space="0" w:color="7F7F7F" w:themeColor="text1" w:themeTint="80"/>
            </w:tcBorders>
            <w:shd w:val="clear" w:color="auto" w:fill="auto"/>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0</w:t>
            </w:r>
          </w:p>
        </w:tc>
      </w:tr>
    </w:tbl>
    <w:p w:rsidR="003870F8" w:rsidRPr="003870F8" w:rsidRDefault="003870F8" w:rsidP="003870F8">
      <w:pPr>
        <w:spacing w:before="120" w:after="80" w:line="240" w:lineRule="auto"/>
        <w:ind w:firstLine="539"/>
        <w:rPr>
          <w:rFonts w:eastAsia="Times New Roman" w:cs="Times New Roman"/>
          <w:szCs w:val="24"/>
          <w:u w:val="single"/>
          <w:lang w:eastAsia="cs-CZ"/>
        </w:rPr>
      </w:pPr>
      <w:r w:rsidRPr="003870F8">
        <w:rPr>
          <w:rFonts w:eastAsia="Times New Roman" w:cs="Times New Roman"/>
          <w:szCs w:val="24"/>
          <w:u w:val="single"/>
          <w:lang w:eastAsia="cs-CZ"/>
        </w:rPr>
        <w:t>Čísla a názvy programů:</w:t>
      </w:r>
    </w:p>
    <w:p w:rsidR="003870F8" w:rsidRPr="003870F8" w:rsidRDefault="003870F8" w:rsidP="00F07B29">
      <w:pPr>
        <w:numPr>
          <w:ilvl w:val="0"/>
          <w:numId w:val="10"/>
        </w:numPr>
        <w:tabs>
          <w:tab w:val="num" w:pos="900"/>
        </w:tabs>
        <w:spacing w:before="80" w:line="240" w:lineRule="auto"/>
        <w:ind w:hanging="181"/>
        <w:rPr>
          <w:rFonts w:eastAsia="Times New Roman" w:cs="Times New Roman"/>
          <w:szCs w:val="24"/>
          <w:lang w:eastAsia="cs-CZ"/>
        </w:rPr>
      </w:pPr>
      <w:r w:rsidRPr="003870F8">
        <w:rPr>
          <w:rFonts w:eastAsia="Times New Roman" w:cs="Times New Roman"/>
          <w:szCs w:val="24"/>
          <w:lang w:eastAsia="cs-CZ"/>
        </w:rPr>
        <w:t>127 21 „Obnova místních komunikací po povodních“</w:t>
      </w:r>
    </w:p>
    <w:p w:rsidR="003870F8" w:rsidRDefault="003870F8" w:rsidP="003870F8">
      <w:pPr>
        <w:spacing w:before="120" w:line="240" w:lineRule="auto"/>
        <w:ind w:firstLine="567"/>
        <w:rPr>
          <w:rFonts w:eastAsia="Times New Roman" w:cs="Times New Roman"/>
          <w:szCs w:val="24"/>
          <w:lang w:eastAsia="cs-CZ"/>
        </w:rPr>
      </w:pPr>
      <w:r w:rsidRPr="003870F8">
        <w:rPr>
          <w:rFonts w:eastAsia="Times New Roman" w:cs="Times New Roman"/>
          <w:szCs w:val="24"/>
          <w:lang w:eastAsia="cs-CZ"/>
        </w:rPr>
        <w:t xml:space="preserve">Program </w:t>
      </w:r>
      <w:r w:rsidRPr="003870F8">
        <w:rPr>
          <w:rFonts w:eastAsia="Times New Roman" w:cs="Times New Roman"/>
          <w:b/>
          <w:szCs w:val="24"/>
          <w:lang w:eastAsia="cs-CZ"/>
        </w:rPr>
        <w:t>127 21 „Obnova místních komunikací po povodních“</w:t>
      </w:r>
      <w:r w:rsidR="00E371D5">
        <w:rPr>
          <w:rFonts w:eastAsia="Times New Roman" w:cs="Times New Roman"/>
          <w:szCs w:val="24"/>
          <w:lang w:eastAsia="cs-CZ"/>
        </w:rPr>
        <w:t xml:space="preserve"> byl  v roce 2017 </w:t>
      </w:r>
      <w:r w:rsidRPr="003870F8">
        <w:rPr>
          <w:rFonts w:eastAsia="Times New Roman" w:cs="Times New Roman"/>
          <w:szCs w:val="24"/>
          <w:lang w:eastAsia="cs-CZ"/>
        </w:rPr>
        <w:t xml:space="preserve">ukončen. </w:t>
      </w:r>
    </w:p>
    <w:p w:rsidR="00BA4EEA" w:rsidRDefault="00BA4EEA" w:rsidP="003870F8">
      <w:pPr>
        <w:spacing w:before="120" w:line="240" w:lineRule="auto"/>
        <w:ind w:firstLine="567"/>
        <w:rPr>
          <w:rFonts w:eastAsia="Times New Roman" w:cs="Times New Roman"/>
          <w:szCs w:val="24"/>
          <w:lang w:eastAsia="cs-CZ"/>
        </w:rPr>
      </w:pPr>
    </w:p>
    <w:p w:rsidR="00BA4EEA" w:rsidRDefault="00BA4EEA" w:rsidP="003870F8">
      <w:pPr>
        <w:spacing w:before="120" w:line="240" w:lineRule="auto"/>
        <w:ind w:firstLine="567"/>
        <w:rPr>
          <w:rFonts w:eastAsia="Times New Roman" w:cs="Times New Roman"/>
          <w:szCs w:val="24"/>
          <w:lang w:eastAsia="cs-CZ"/>
        </w:rPr>
      </w:pPr>
    </w:p>
    <w:p w:rsidR="00BA4EEA" w:rsidRDefault="00BA4EEA" w:rsidP="003870F8">
      <w:pPr>
        <w:spacing w:before="120" w:line="240" w:lineRule="auto"/>
        <w:ind w:firstLine="567"/>
        <w:rPr>
          <w:rFonts w:eastAsia="Times New Roman" w:cs="Times New Roman"/>
          <w:szCs w:val="24"/>
          <w:lang w:eastAsia="cs-CZ"/>
        </w:rPr>
      </w:pPr>
    </w:p>
    <w:p w:rsidR="00BA4EEA" w:rsidRDefault="00BA4EEA" w:rsidP="003870F8">
      <w:pPr>
        <w:spacing w:before="120" w:line="240" w:lineRule="auto"/>
        <w:ind w:firstLine="567"/>
        <w:rPr>
          <w:rFonts w:eastAsia="Times New Roman" w:cs="Times New Roman"/>
          <w:szCs w:val="24"/>
          <w:lang w:eastAsia="cs-CZ"/>
        </w:rPr>
      </w:pPr>
    </w:p>
    <w:p w:rsidR="00BA4EEA" w:rsidRDefault="00BA4EEA" w:rsidP="003870F8">
      <w:pPr>
        <w:spacing w:before="120" w:line="240" w:lineRule="auto"/>
        <w:ind w:firstLine="567"/>
        <w:rPr>
          <w:rFonts w:eastAsia="Times New Roman" w:cs="Times New Roman"/>
          <w:szCs w:val="24"/>
          <w:lang w:eastAsia="cs-CZ"/>
        </w:rPr>
      </w:pPr>
    </w:p>
    <w:p w:rsidR="00BA4EEA" w:rsidRDefault="00BA4EEA" w:rsidP="003870F8">
      <w:pPr>
        <w:spacing w:before="120" w:line="240" w:lineRule="auto"/>
        <w:ind w:firstLine="567"/>
        <w:rPr>
          <w:rFonts w:eastAsia="Times New Roman" w:cs="Times New Roman"/>
          <w:szCs w:val="24"/>
          <w:lang w:eastAsia="cs-CZ"/>
        </w:rPr>
      </w:pPr>
    </w:p>
    <w:p w:rsidR="00BA4EEA" w:rsidRDefault="00BA4EEA" w:rsidP="003870F8">
      <w:pPr>
        <w:spacing w:before="120" w:line="240" w:lineRule="auto"/>
        <w:ind w:firstLine="567"/>
        <w:rPr>
          <w:rFonts w:eastAsia="Times New Roman" w:cs="Times New Roman"/>
          <w:szCs w:val="24"/>
          <w:lang w:eastAsia="cs-CZ"/>
        </w:rPr>
      </w:pPr>
    </w:p>
    <w:p w:rsidR="00A13925" w:rsidRDefault="00A13925" w:rsidP="003870F8">
      <w:pPr>
        <w:spacing w:before="120" w:line="240" w:lineRule="auto"/>
        <w:ind w:firstLine="567"/>
        <w:rPr>
          <w:rFonts w:eastAsia="Times New Roman" w:cs="Times New Roman"/>
          <w:szCs w:val="24"/>
          <w:lang w:eastAsia="cs-CZ"/>
        </w:rPr>
      </w:pPr>
    </w:p>
    <w:p w:rsidR="00BA4EEA" w:rsidRPr="003870F8" w:rsidRDefault="00BA4EEA" w:rsidP="003870F8">
      <w:pPr>
        <w:spacing w:before="120" w:line="240" w:lineRule="auto"/>
        <w:ind w:firstLine="567"/>
        <w:rPr>
          <w:rFonts w:eastAsia="Times New Roman" w:cs="Times New Roman"/>
          <w:szCs w:val="24"/>
          <w:lang w:eastAsia="cs-CZ"/>
        </w:rPr>
      </w:pPr>
    </w:p>
    <w:p w:rsidR="00A36B40" w:rsidRPr="008B655F" w:rsidRDefault="00A36B40" w:rsidP="00BA4EEA">
      <w:pPr>
        <w:pStyle w:val="Nadpis3"/>
      </w:pPr>
      <w:bookmarkStart w:id="107" w:name="_Toc526424706"/>
      <w:r w:rsidRPr="00BA4EEA">
        <w:lastRenderedPageBreak/>
        <w:t>Státní</w:t>
      </w:r>
      <w:r w:rsidRPr="008B655F">
        <w:t xml:space="preserve"> fondy</w:t>
      </w:r>
      <w:bookmarkEnd w:id="76"/>
      <w:bookmarkEnd w:id="77"/>
      <w:bookmarkEnd w:id="107"/>
    </w:p>
    <w:p w:rsidR="004672A8" w:rsidRPr="00BA4EEA" w:rsidRDefault="008B655F" w:rsidP="00D00A45">
      <w:pPr>
        <w:pStyle w:val="Styl1"/>
      </w:pPr>
      <w:r w:rsidRPr="007F0A2C">
        <w:t xml:space="preserve">Výdaje vedené v EDS/SMVS u Státního fondu dopravní infrastruktury jsou pro rozpočtový rok 2019 navrženy ve výši </w:t>
      </w:r>
      <w:r w:rsidRPr="007F0A2C">
        <w:rPr>
          <w:b/>
        </w:rPr>
        <w:t>48</w:t>
      </w:r>
      <w:r>
        <w:rPr>
          <w:b/>
        </w:rPr>
        <w:t> 689 757</w:t>
      </w:r>
      <w:r w:rsidRPr="007F0A2C">
        <w:rPr>
          <w:b/>
        </w:rPr>
        <w:t xml:space="preserve"> tis. Kč.</w:t>
      </w:r>
      <w:r w:rsidRPr="007F0A2C">
        <w:t xml:space="preserve"> Druhové členění vykazuje následující tabulka.</w:t>
      </w:r>
      <w:r w:rsidR="004672A8" w:rsidRPr="0001421C">
        <w:rPr>
          <w:color w:val="FF0000"/>
        </w:rPr>
        <w:t xml:space="preserve">      </w:t>
      </w:r>
    </w:p>
    <w:p w:rsidR="004672A8" w:rsidRPr="008B655F" w:rsidRDefault="004672A8" w:rsidP="004672A8">
      <w:pPr>
        <w:pStyle w:val="Titulek"/>
        <w:keepNext/>
      </w:pPr>
      <w:r w:rsidRPr="008B655F">
        <w:t xml:space="preserve">Tabulka č. </w:t>
      </w:r>
      <w:r w:rsidR="0001421C" w:rsidRPr="008B655F">
        <w:rPr>
          <w:noProof/>
        </w:rPr>
        <w:fldChar w:fldCharType="begin"/>
      </w:r>
      <w:r w:rsidR="0001421C" w:rsidRPr="008B655F">
        <w:rPr>
          <w:noProof/>
        </w:rPr>
        <w:instrText xml:space="preserve"> SEQ Tabulka \* ARABIC </w:instrText>
      </w:r>
      <w:r w:rsidR="0001421C" w:rsidRPr="008B655F">
        <w:rPr>
          <w:noProof/>
        </w:rPr>
        <w:fldChar w:fldCharType="separate"/>
      </w:r>
      <w:r w:rsidR="00AF5225">
        <w:rPr>
          <w:noProof/>
        </w:rPr>
        <w:t>41</w:t>
      </w:r>
      <w:r w:rsidR="0001421C" w:rsidRPr="008B655F">
        <w:rPr>
          <w:noProof/>
        </w:rPr>
        <w:fldChar w:fldCharType="end"/>
      </w:r>
      <w:r w:rsidRPr="008B655F">
        <w:rPr>
          <w:noProof/>
        </w:rPr>
        <w:t xml:space="preserve"> Výdaje státních fondů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3827"/>
        <w:gridCol w:w="1397"/>
        <w:gridCol w:w="1398"/>
        <w:gridCol w:w="1397"/>
        <w:gridCol w:w="1038"/>
      </w:tblGrid>
      <w:tr w:rsidR="008B655F" w:rsidRPr="007F0A2C" w:rsidTr="00BA4EEA">
        <w:tc>
          <w:tcPr>
            <w:tcW w:w="2113" w:type="pct"/>
            <w:tcBorders>
              <w:top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8B655F" w:rsidRPr="007F0A2C" w:rsidRDefault="008B655F" w:rsidP="00363483">
            <w:pPr>
              <w:spacing w:line="240" w:lineRule="auto"/>
              <w:jc w:val="center"/>
              <w:rPr>
                <w:rFonts w:eastAsia="Times New Roman" w:cs="Times New Roman"/>
                <w:b/>
                <w:lang w:eastAsia="cs-CZ"/>
              </w:rPr>
            </w:pPr>
            <w:r w:rsidRPr="007F0A2C">
              <w:rPr>
                <w:rFonts w:eastAsia="Times New Roman" w:cs="Times New Roman"/>
                <w:b/>
                <w:lang w:eastAsia="cs-CZ"/>
              </w:rPr>
              <w:t>Ukazatel</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8B655F" w:rsidRPr="007F0A2C" w:rsidRDefault="008B655F" w:rsidP="00363483">
            <w:pPr>
              <w:spacing w:line="240" w:lineRule="auto"/>
              <w:jc w:val="center"/>
              <w:rPr>
                <w:rFonts w:eastAsia="Times New Roman" w:cs="Times New Roman"/>
                <w:b/>
                <w:lang w:eastAsia="cs-CZ"/>
              </w:rPr>
            </w:pPr>
            <w:r w:rsidRPr="007F0A2C">
              <w:rPr>
                <w:rFonts w:eastAsia="Times New Roman" w:cs="Times New Roman"/>
                <w:b/>
                <w:lang w:eastAsia="cs-CZ"/>
              </w:rPr>
              <w:t>Skutečnost</w:t>
            </w:r>
          </w:p>
          <w:p w:rsidR="008B655F" w:rsidRPr="007F0A2C" w:rsidRDefault="008B655F" w:rsidP="00363483">
            <w:pPr>
              <w:spacing w:line="240" w:lineRule="auto"/>
              <w:jc w:val="center"/>
              <w:rPr>
                <w:rFonts w:eastAsia="Times New Roman" w:cs="Times New Roman"/>
                <w:b/>
                <w:vertAlign w:val="superscript"/>
                <w:lang w:eastAsia="cs-CZ"/>
              </w:rPr>
            </w:pPr>
            <w:r>
              <w:rPr>
                <w:rFonts w:eastAsia="Times New Roman" w:cs="Times New Roman"/>
                <w:b/>
                <w:lang w:eastAsia="cs-CZ"/>
              </w:rPr>
              <w:t>2017</w:t>
            </w:r>
          </w:p>
        </w:tc>
        <w:tc>
          <w:tcPr>
            <w:tcW w:w="772"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8B655F" w:rsidRPr="007F0A2C" w:rsidRDefault="008B655F" w:rsidP="00363483">
            <w:pPr>
              <w:spacing w:line="240" w:lineRule="auto"/>
              <w:jc w:val="center"/>
              <w:rPr>
                <w:rFonts w:eastAsia="Times New Roman" w:cs="Times New Roman"/>
                <w:b/>
                <w:lang w:eastAsia="cs-CZ"/>
              </w:rPr>
            </w:pPr>
            <w:r w:rsidRPr="007F0A2C">
              <w:rPr>
                <w:rFonts w:eastAsia="Times New Roman" w:cs="Times New Roman"/>
                <w:b/>
                <w:lang w:eastAsia="cs-CZ"/>
              </w:rPr>
              <w:t>Schválený rozpočet</w:t>
            </w:r>
          </w:p>
          <w:p w:rsidR="008B655F" w:rsidRPr="007F0A2C" w:rsidRDefault="008B655F" w:rsidP="00363483">
            <w:pPr>
              <w:spacing w:line="240" w:lineRule="auto"/>
              <w:jc w:val="center"/>
              <w:rPr>
                <w:rFonts w:eastAsia="Times New Roman" w:cs="Times New Roman"/>
                <w:b/>
                <w:lang w:eastAsia="cs-CZ"/>
              </w:rPr>
            </w:pPr>
            <w:r>
              <w:rPr>
                <w:rFonts w:eastAsia="Times New Roman" w:cs="Times New Roman"/>
                <w:b/>
                <w:lang w:eastAsia="cs-CZ"/>
              </w:rPr>
              <w:t>2018</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8B655F" w:rsidRPr="007F0A2C" w:rsidRDefault="008B655F" w:rsidP="00363483">
            <w:pPr>
              <w:spacing w:line="240" w:lineRule="auto"/>
              <w:jc w:val="center"/>
              <w:rPr>
                <w:rFonts w:eastAsia="Times New Roman" w:cs="Times New Roman"/>
                <w:b/>
                <w:lang w:eastAsia="cs-CZ"/>
              </w:rPr>
            </w:pPr>
            <w:r w:rsidRPr="007F0A2C">
              <w:rPr>
                <w:rFonts w:eastAsia="Times New Roman" w:cs="Times New Roman"/>
                <w:b/>
                <w:lang w:eastAsia="cs-CZ"/>
              </w:rPr>
              <w:t>Návrh</w:t>
            </w:r>
          </w:p>
          <w:p w:rsidR="008B655F" w:rsidRPr="007F0A2C" w:rsidRDefault="008B655F" w:rsidP="00363483">
            <w:pPr>
              <w:spacing w:line="240" w:lineRule="auto"/>
              <w:jc w:val="center"/>
              <w:rPr>
                <w:rFonts w:eastAsia="Times New Roman" w:cs="Times New Roman"/>
                <w:b/>
                <w:lang w:eastAsia="cs-CZ"/>
              </w:rPr>
            </w:pPr>
            <w:r w:rsidRPr="007F0A2C">
              <w:rPr>
                <w:rFonts w:eastAsia="Times New Roman" w:cs="Times New Roman"/>
                <w:b/>
                <w:lang w:eastAsia="cs-CZ"/>
              </w:rPr>
              <w:t>rozpočtu</w:t>
            </w:r>
          </w:p>
          <w:p w:rsidR="008B655F" w:rsidRPr="007F0A2C" w:rsidRDefault="008B655F" w:rsidP="00363483">
            <w:pPr>
              <w:spacing w:line="240" w:lineRule="auto"/>
              <w:jc w:val="center"/>
              <w:rPr>
                <w:rFonts w:eastAsia="Times New Roman" w:cs="Times New Roman"/>
                <w:b/>
                <w:lang w:eastAsia="cs-CZ"/>
              </w:rPr>
            </w:pPr>
            <w:r>
              <w:rPr>
                <w:rFonts w:eastAsia="Times New Roman" w:cs="Times New Roman"/>
                <w:b/>
                <w:lang w:eastAsia="cs-CZ"/>
              </w:rPr>
              <w:t>2019</w:t>
            </w:r>
          </w:p>
        </w:tc>
        <w:tc>
          <w:tcPr>
            <w:tcW w:w="573"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8B655F" w:rsidRPr="007F0A2C" w:rsidRDefault="008B655F" w:rsidP="00363483">
            <w:pPr>
              <w:spacing w:line="240" w:lineRule="auto"/>
              <w:jc w:val="center"/>
              <w:rPr>
                <w:rFonts w:eastAsia="Times New Roman" w:cs="Times New Roman"/>
                <w:b/>
                <w:lang w:eastAsia="cs-CZ"/>
              </w:rPr>
            </w:pPr>
            <w:r w:rsidRPr="007F0A2C">
              <w:rPr>
                <w:rFonts w:eastAsia="Times New Roman" w:cs="Times New Roman"/>
                <w:b/>
                <w:lang w:eastAsia="cs-CZ"/>
              </w:rPr>
              <w:t>Index</w:t>
            </w:r>
          </w:p>
          <w:p w:rsidR="008B655F" w:rsidRPr="007F0A2C" w:rsidRDefault="008B655F" w:rsidP="00363483">
            <w:pPr>
              <w:spacing w:line="240" w:lineRule="auto"/>
              <w:jc w:val="center"/>
              <w:rPr>
                <w:rFonts w:eastAsia="Times New Roman" w:cs="Times New Roman"/>
                <w:b/>
                <w:lang w:eastAsia="cs-CZ"/>
              </w:rPr>
            </w:pPr>
            <w:r>
              <w:rPr>
                <w:rFonts w:eastAsia="Times New Roman" w:cs="Times New Roman"/>
                <w:b/>
                <w:lang w:eastAsia="cs-CZ"/>
              </w:rPr>
              <w:t>2019/</w:t>
            </w:r>
            <w:r w:rsidR="00BA4EEA">
              <w:rPr>
                <w:rFonts w:eastAsia="Times New Roman" w:cs="Times New Roman"/>
                <w:b/>
                <w:lang w:eastAsia="cs-CZ"/>
              </w:rPr>
              <w:br/>
            </w:r>
            <w:r>
              <w:rPr>
                <w:rFonts w:eastAsia="Times New Roman" w:cs="Times New Roman"/>
                <w:b/>
                <w:lang w:eastAsia="cs-CZ"/>
              </w:rPr>
              <w:t>2018</w:t>
            </w:r>
          </w:p>
          <w:p w:rsidR="008B655F" w:rsidRPr="007F0A2C" w:rsidRDefault="008B655F" w:rsidP="00363483">
            <w:pPr>
              <w:spacing w:line="240" w:lineRule="auto"/>
              <w:jc w:val="center"/>
              <w:rPr>
                <w:rFonts w:eastAsia="Times New Roman" w:cs="Times New Roman"/>
                <w:b/>
                <w:lang w:eastAsia="cs-CZ"/>
              </w:rPr>
            </w:pPr>
            <w:r w:rsidRPr="007F0A2C">
              <w:rPr>
                <w:rFonts w:eastAsia="Times New Roman" w:cs="Times New Roman"/>
                <w:b/>
                <w:lang w:eastAsia="cs-CZ"/>
              </w:rPr>
              <w:t>(v %)</w:t>
            </w:r>
          </w:p>
        </w:tc>
      </w:tr>
      <w:tr w:rsidR="008B655F" w:rsidRPr="009615D3" w:rsidTr="00BA4EEA">
        <w:trPr>
          <w:trHeight w:val="202"/>
        </w:trPr>
        <w:tc>
          <w:tcPr>
            <w:tcW w:w="2113" w:type="pct"/>
            <w:tcBorders>
              <w:top w:val="single" w:sz="4" w:space="0" w:color="7F7F7F" w:themeColor="text1" w:themeTint="80"/>
              <w:bottom w:val="single" w:sz="8" w:space="0" w:color="7F7F7F" w:themeColor="text1" w:themeTint="80"/>
            </w:tcBorders>
          </w:tcPr>
          <w:p w:rsidR="008B655F" w:rsidRPr="009615D3" w:rsidRDefault="008B655F" w:rsidP="00363483">
            <w:pPr>
              <w:spacing w:line="240" w:lineRule="auto"/>
              <w:jc w:val="center"/>
              <w:rPr>
                <w:rFonts w:eastAsia="Times New Roman" w:cs="Times New Roman"/>
                <w:lang w:eastAsia="cs-CZ"/>
              </w:rPr>
            </w:pPr>
            <w:r w:rsidRPr="009615D3">
              <w:rPr>
                <w:rFonts w:eastAsia="Times New Roman" w:cs="Times New Roman"/>
                <w:lang w:eastAsia="cs-CZ"/>
              </w:rPr>
              <w:t>a</w:t>
            </w:r>
          </w:p>
        </w:tc>
        <w:tc>
          <w:tcPr>
            <w:tcW w:w="771" w:type="pct"/>
            <w:tcBorders>
              <w:top w:val="single" w:sz="4" w:space="0" w:color="7F7F7F" w:themeColor="text1" w:themeTint="80"/>
              <w:bottom w:val="single" w:sz="8" w:space="0" w:color="7F7F7F" w:themeColor="text1" w:themeTint="80"/>
            </w:tcBorders>
          </w:tcPr>
          <w:p w:rsidR="008B655F" w:rsidRPr="009615D3" w:rsidRDefault="008B655F" w:rsidP="00363483">
            <w:pPr>
              <w:spacing w:line="240" w:lineRule="auto"/>
              <w:jc w:val="center"/>
              <w:rPr>
                <w:rFonts w:eastAsia="Times New Roman" w:cs="Times New Roman"/>
                <w:lang w:eastAsia="cs-CZ"/>
              </w:rPr>
            </w:pPr>
            <w:r w:rsidRPr="009615D3">
              <w:rPr>
                <w:rFonts w:eastAsia="Times New Roman" w:cs="Times New Roman"/>
                <w:lang w:eastAsia="cs-CZ"/>
              </w:rPr>
              <w:t>1</w:t>
            </w:r>
          </w:p>
        </w:tc>
        <w:tc>
          <w:tcPr>
            <w:tcW w:w="772" w:type="pct"/>
            <w:tcBorders>
              <w:top w:val="single" w:sz="4" w:space="0" w:color="7F7F7F" w:themeColor="text1" w:themeTint="80"/>
              <w:bottom w:val="single" w:sz="8" w:space="0" w:color="7F7F7F" w:themeColor="text1" w:themeTint="80"/>
            </w:tcBorders>
          </w:tcPr>
          <w:p w:rsidR="008B655F" w:rsidRPr="009615D3" w:rsidRDefault="008B655F" w:rsidP="00363483">
            <w:pPr>
              <w:spacing w:line="240" w:lineRule="auto"/>
              <w:jc w:val="center"/>
              <w:rPr>
                <w:rFonts w:eastAsia="Times New Roman" w:cs="Times New Roman"/>
                <w:lang w:eastAsia="cs-CZ"/>
              </w:rPr>
            </w:pPr>
            <w:r w:rsidRPr="009615D3">
              <w:rPr>
                <w:rFonts w:eastAsia="Times New Roman" w:cs="Times New Roman"/>
                <w:lang w:eastAsia="cs-CZ"/>
              </w:rPr>
              <w:t>2</w:t>
            </w:r>
          </w:p>
        </w:tc>
        <w:tc>
          <w:tcPr>
            <w:tcW w:w="771" w:type="pct"/>
            <w:tcBorders>
              <w:top w:val="single" w:sz="4" w:space="0" w:color="7F7F7F" w:themeColor="text1" w:themeTint="80"/>
              <w:bottom w:val="single" w:sz="8" w:space="0" w:color="7F7F7F" w:themeColor="text1" w:themeTint="80"/>
            </w:tcBorders>
          </w:tcPr>
          <w:p w:rsidR="008B655F" w:rsidRPr="009615D3" w:rsidRDefault="008B655F" w:rsidP="00363483">
            <w:pPr>
              <w:spacing w:line="240" w:lineRule="auto"/>
              <w:jc w:val="center"/>
              <w:rPr>
                <w:rFonts w:eastAsia="Times New Roman" w:cs="Times New Roman"/>
                <w:lang w:eastAsia="cs-CZ"/>
              </w:rPr>
            </w:pPr>
            <w:r w:rsidRPr="009615D3">
              <w:rPr>
                <w:rFonts w:eastAsia="Times New Roman" w:cs="Times New Roman"/>
                <w:lang w:eastAsia="cs-CZ"/>
              </w:rPr>
              <w:t>3</w:t>
            </w:r>
          </w:p>
        </w:tc>
        <w:tc>
          <w:tcPr>
            <w:tcW w:w="573" w:type="pct"/>
            <w:tcBorders>
              <w:top w:val="single" w:sz="4" w:space="0" w:color="7F7F7F" w:themeColor="text1" w:themeTint="80"/>
              <w:bottom w:val="single" w:sz="8" w:space="0" w:color="7F7F7F" w:themeColor="text1" w:themeTint="80"/>
            </w:tcBorders>
          </w:tcPr>
          <w:p w:rsidR="008B655F" w:rsidRPr="009615D3" w:rsidRDefault="008B655F" w:rsidP="00363483">
            <w:pPr>
              <w:spacing w:line="240" w:lineRule="auto"/>
              <w:jc w:val="center"/>
              <w:rPr>
                <w:rFonts w:eastAsia="Times New Roman" w:cs="Times New Roman"/>
                <w:lang w:eastAsia="cs-CZ"/>
              </w:rPr>
            </w:pPr>
            <w:r w:rsidRPr="009615D3">
              <w:rPr>
                <w:rFonts w:eastAsia="Times New Roman" w:cs="Times New Roman"/>
                <w:lang w:eastAsia="cs-CZ"/>
              </w:rPr>
              <w:t>4</w:t>
            </w:r>
          </w:p>
        </w:tc>
      </w:tr>
      <w:tr w:rsidR="008B655F" w:rsidRPr="0001421C" w:rsidTr="00BA4EEA">
        <w:tc>
          <w:tcPr>
            <w:tcW w:w="2113" w:type="pct"/>
            <w:tcBorders>
              <w:top w:val="single" w:sz="8" w:space="0" w:color="7F7F7F" w:themeColor="text1" w:themeTint="80"/>
              <w:bottom w:val="single" w:sz="8" w:space="0" w:color="7F7F7F" w:themeColor="text1" w:themeTint="80"/>
            </w:tcBorders>
          </w:tcPr>
          <w:p w:rsidR="008B655F" w:rsidRPr="0001421C" w:rsidRDefault="008B655F" w:rsidP="00363483">
            <w:pPr>
              <w:spacing w:line="240" w:lineRule="auto"/>
              <w:rPr>
                <w:rFonts w:eastAsia="Times New Roman" w:cs="Times New Roman"/>
                <w:color w:val="FF0000"/>
                <w:lang w:eastAsia="cs-CZ"/>
              </w:rPr>
            </w:pPr>
            <w:r w:rsidRPr="00806945">
              <w:rPr>
                <w:rFonts w:eastAsia="Times New Roman" w:cs="Times New Roman"/>
                <w:b/>
                <w:lang w:eastAsia="cs-CZ"/>
              </w:rPr>
              <w:t xml:space="preserve">Státní fondy </w:t>
            </w:r>
            <w:r w:rsidRPr="00806945">
              <w:rPr>
                <w:rFonts w:eastAsia="Times New Roman" w:cs="Times New Roman"/>
                <w:lang w:eastAsia="cs-CZ"/>
              </w:rPr>
              <w:t>v tom:</w:t>
            </w:r>
          </w:p>
        </w:tc>
        <w:tc>
          <w:tcPr>
            <w:tcW w:w="771" w:type="pct"/>
            <w:tcBorders>
              <w:top w:val="single" w:sz="4" w:space="0" w:color="auto"/>
              <w:left w:val="single" w:sz="4" w:space="0" w:color="auto"/>
              <w:bottom w:val="single" w:sz="4" w:space="0" w:color="auto"/>
              <w:right w:val="single" w:sz="4" w:space="0" w:color="auto"/>
            </w:tcBorders>
          </w:tcPr>
          <w:p w:rsidR="008B655F" w:rsidRPr="00806945" w:rsidRDefault="008B655F" w:rsidP="00363483">
            <w:pPr>
              <w:jc w:val="right"/>
              <w:rPr>
                <w:rFonts w:cs="Times New Roman"/>
                <w:b/>
              </w:rPr>
            </w:pPr>
            <w:r w:rsidRPr="00806945">
              <w:rPr>
                <w:rFonts w:cs="Times New Roman"/>
                <w:b/>
                <w:bCs/>
              </w:rPr>
              <w:t>31 643 365</w:t>
            </w:r>
          </w:p>
        </w:tc>
        <w:tc>
          <w:tcPr>
            <w:tcW w:w="772" w:type="pct"/>
            <w:tcBorders>
              <w:top w:val="single" w:sz="4" w:space="0" w:color="auto"/>
              <w:left w:val="single" w:sz="4" w:space="0" w:color="auto"/>
              <w:bottom w:val="single" w:sz="4" w:space="0" w:color="auto"/>
              <w:right w:val="single" w:sz="4" w:space="0" w:color="auto"/>
            </w:tcBorders>
          </w:tcPr>
          <w:p w:rsidR="008B655F" w:rsidRPr="0001421C" w:rsidRDefault="008B655F" w:rsidP="00363483">
            <w:pPr>
              <w:jc w:val="right"/>
              <w:rPr>
                <w:rFonts w:cs="Times New Roman"/>
                <w:b/>
                <w:color w:val="FF0000"/>
              </w:rPr>
            </w:pPr>
            <w:r w:rsidRPr="00806945">
              <w:rPr>
                <w:rFonts w:cs="Times New Roman"/>
                <w:b/>
              </w:rPr>
              <w:t>35 923 832</w:t>
            </w:r>
          </w:p>
        </w:tc>
        <w:tc>
          <w:tcPr>
            <w:tcW w:w="771" w:type="pct"/>
            <w:tcBorders>
              <w:top w:val="single" w:sz="8" w:space="0" w:color="7F7F7F" w:themeColor="text1" w:themeTint="80"/>
              <w:bottom w:val="single" w:sz="8" w:space="0" w:color="7F7F7F" w:themeColor="text1" w:themeTint="80"/>
            </w:tcBorders>
          </w:tcPr>
          <w:p w:rsidR="008B655F" w:rsidRPr="0001421C" w:rsidRDefault="008B655F" w:rsidP="00363483">
            <w:pPr>
              <w:spacing w:line="240" w:lineRule="auto"/>
              <w:jc w:val="right"/>
              <w:rPr>
                <w:rFonts w:eastAsia="Times New Roman" w:cs="Times New Roman"/>
                <w:b/>
                <w:color w:val="FF0000"/>
                <w:lang w:eastAsia="cs-CZ"/>
              </w:rPr>
            </w:pPr>
            <w:r w:rsidRPr="00806945">
              <w:rPr>
                <w:rFonts w:eastAsia="Times New Roman" w:cs="Times New Roman"/>
                <w:b/>
                <w:lang w:eastAsia="cs-CZ"/>
              </w:rPr>
              <w:t xml:space="preserve">48 689 </w:t>
            </w:r>
            <w:r>
              <w:rPr>
                <w:rFonts w:eastAsia="Times New Roman" w:cs="Times New Roman"/>
                <w:b/>
                <w:lang w:eastAsia="cs-CZ"/>
              </w:rPr>
              <w:t>757</w:t>
            </w:r>
            <w:r w:rsidRPr="00806945">
              <w:rPr>
                <w:rFonts w:eastAsia="Times New Roman" w:cs="Times New Roman"/>
                <w:b/>
                <w:lang w:eastAsia="cs-CZ"/>
              </w:rPr>
              <w:t xml:space="preserve"> </w:t>
            </w:r>
          </w:p>
        </w:tc>
        <w:tc>
          <w:tcPr>
            <w:tcW w:w="573" w:type="pct"/>
            <w:tcBorders>
              <w:top w:val="single" w:sz="8" w:space="0" w:color="7F7F7F" w:themeColor="text1" w:themeTint="80"/>
              <w:bottom w:val="single" w:sz="8" w:space="0" w:color="7F7F7F" w:themeColor="text1" w:themeTint="80"/>
            </w:tcBorders>
          </w:tcPr>
          <w:p w:rsidR="008B655F" w:rsidRPr="0001421C" w:rsidRDefault="008B655F" w:rsidP="00363483">
            <w:pPr>
              <w:spacing w:line="240" w:lineRule="auto"/>
              <w:jc w:val="right"/>
              <w:rPr>
                <w:rFonts w:eastAsia="Times New Roman" w:cs="Times New Roman"/>
                <w:b/>
                <w:color w:val="FF0000"/>
                <w:lang w:eastAsia="cs-CZ"/>
              </w:rPr>
            </w:pPr>
            <w:r w:rsidRPr="009F4395">
              <w:rPr>
                <w:rFonts w:eastAsia="Times New Roman" w:cs="Times New Roman"/>
                <w:b/>
                <w:lang w:eastAsia="cs-CZ"/>
              </w:rPr>
              <w:t>135,54</w:t>
            </w:r>
          </w:p>
        </w:tc>
      </w:tr>
      <w:tr w:rsidR="008B655F" w:rsidRPr="0001421C" w:rsidTr="00BA4EEA">
        <w:tc>
          <w:tcPr>
            <w:tcW w:w="2113" w:type="pct"/>
            <w:tcBorders>
              <w:top w:val="single" w:sz="8" w:space="0" w:color="7F7F7F" w:themeColor="text1" w:themeTint="80"/>
              <w:bottom w:val="nil"/>
            </w:tcBorders>
          </w:tcPr>
          <w:p w:rsidR="008B655F" w:rsidRPr="00806945" w:rsidRDefault="008B655F" w:rsidP="00363483">
            <w:pPr>
              <w:spacing w:line="240" w:lineRule="auto"/>
              <w:rPr>
                <w:rFonts w:eastAsia="Times New Roman" w:cs="Times New Roman"/>
                <w:lang w:eastAsia="cs-CZ"/>
              </w:rPr>
            </w:pPr>
            <w:r w:rsidRPr="00806945">
              <w:rPr>
                <w:rFonts w:eastAsia="Times New Roman" w:cs="Times New Roman"/>
                <w:lang w:eastAsia="cs-CZ"/>
              </w:rPr>
              <w:t>běžné výdaje celkem v tom:</w:t>
            </w:r>
          </w:p>
        </w:tc>
        <w:tc>
          <w:tcPr>
            <w:tcW w:w="771" w:type="pct"/>
            <w:tcBorders>
              <w:top w:val="single" w:sz="8" w:space="0" w:color="7F7F7F" w:themeColor="text1" w:themeTint="80"/>
              <w:bottom w:val="nil"/>
            </w:tcBorders>
          </w:tcPr>
          <w:p w:rsidR="008B655F" w:rsidRPr="00806945" w:rsidRDefault="008B655F" w:rsidP="00363483">
            <w:pPr>
              <w:spacing w:line="240" w:lineRule="auto"/>
              <w:jc w:val="right"/>
              <w:rPr>
                <w:rFonts w:eastAsia="Times New Roman" w:cs="Times New Roman"/>
                <w:vertAlign w:val="superscript"/>
                <w:lang w:eastAsia="cs-CZ"/>
              </w:rPr>
            </w:pPr>
            <w:r w:rsidRPr="00806945">
              <w:rPr>
                <w:rFonts w:eastAsia="Times New Roman" w:cs="Times New Roman"/>
                <w:lang w:eastAsia="cs-CZ"/>
              </w:rPr>
              <w:t>1 070</w:t>
            </w:r>
          </w:p>
        </w:tc>
        <w:tc>
          <w:tcPr>
            <w:tcW w:w="772" w:type="pct"/>
            <w:tcBorders>
              <w:top w:val="single" w:sz="8" w:space="0" w:color="7F7F7F" w:themeColor="text1" w:themeTint="80"/>
              <w:bottom w:val="nil"/>
            </w:tcBorders>
          </w:tcPr>
          <w:p w:rsidR="008B655F" w:rsidRPr="00806945" w:rsidRDefault="008B655F" w:rsidP="00363483">
            <w:pPr>
              <w:spacing w:line="240" w:lineRule="auto"/>
              <w:jc w:val="right"/>
              <w:rPr>
                <w:rFonts w:eastAsia="Times New Roman" w:cs="Times New Roman"/>
                <w:lang w:eastAsia="cs-CZ"/>
              </w:rPr>
            </w:pPr>
            <w:r w:rsidRPr="00806945">
              <w:rPr>
                <w:rFonts w:eastAsia="Times New Roman" w:cs="Times New Roman"/>
                <w:lang w:eastAsia="cs-CZ"/>
              </w:rPr>
              <w:t>0</w:t>
            </w:r>
          </w:p>
        </w:tc>
        <w:tc>
          <w:tcPr>
            <w:tcW w:w="771" w:type="pct"/>
            <w:tcBorders>
              <w:top w:val="single" w:sz="8" w:space="0" w:color="7F7F7F" w:themeColor="text1" w:themeTint="80"/>
              <w:bottom w:val="nil"/>
            </w:tcBorders>
          </w:tcPr>
          <w:p w:rsidR="008B655F" w:rsidRPr="00806945" w:rsidRDefault="008B655F" w:rsidP="00363483">
            <w:pPr>
              <w:spacing w:line="240" w:lineRule="auto"/>
              <w:jc w:val="right"/>
              <w:rPr>
                <w:rFonts w:eastAsia="Times New Roman" w:cs="Times New Roman"/>
                <w:lang w:eastAsia="cs-CZ"/>
              </w:rPr>
            </w:pPr>
            <w:r w:rsidRPr="00806945">
              <w:rPr>
                <w:rFonts w:eastAsia="Times New Roman" w:cs="Times New Roman"/>
                <w:lang w:eastAsia="cs-CZ"/>
              </w:rPr>
              <w:t>0</w:t>
            </w:r>
          </w:p>
        </w:tc>
        <w:tc>
          <w:tcPr>
            <w:tcW w:w="573" w:type="pct"/>
            <w:tcBorders>
              <w:top w:val="single" w:sz="8" w:space="0" w:color="7F7F7F" w:themeColor="text1" w:themeTint="80"/>
              <w:bottom w:val="nil"/>
            </w:tcBorders>
          </w:tcPr>
          <w:p w:rsidR="008B655F" w:rsidRPr="004B5933" w:rsidRDefault="008B655F" w:rsidP="00363483">
            <w:pPr>
              <w:spacing w:line="240" w:lineRule="auto"/>
              <w:jc w:val="right"/>
              <w:rPr>
                <w:rFonts w:eastAsia="Times New Roman" w:cs="Times New Roman"/>
                <w:lang w:eastAsia="cs-CZ"/>
              </w:rPr>
            </w:pPr>
            <w:r w:rsidRPr="004B5933">
              <w:rPr>
                <w:rFonts w:eastAsia="Times New Roman" w:cs="Times New Roman"/>
                <w:lang w:eastAsia="cs-CZ"/>
              </w:rPr>
              <w:t>x</w:t>
            </w:r>
          </w:p>
        </w:tc>
      </w:tr>
      <w:tr w:rsidR="008B655F" w:rsidRPr="0001421C" w:rsidTr="00BA4EEA">
        <w:tc>
          <w:tcPr>
            <w:tcW w:w="2113" w:type="pct"/>
            <w:tcBorders>
              <w:top w:val="nil"/>
              <w:bottom w:val="nil"/>
            </w:tcBorders>
          </w:tcPr>
          <w:p w:rsidR="008B655F" w:rsidRPr="00806945" w:rsidRDefault="008B655F" w:rsidP="00363483">
            <w:pPr>
              <w:spacing w:line="240" w:lineRule="auto"/>
              <w:rPr>
                <w:rFonts w:eastAsia="Times New Roman" w:cs="Times New Roman"/>
                <w:i/>
                <w:lang w:eastAsia="cs-CZ"/>
              </w:rPr>
            </w:pPr>
            <w:r w:rsidRPr="00806945">
              <w:rPr>
                <w:rFonts w:eastAsia="Times New Roman" w:cs="Times New Roman"/>
                <w:i/>
                <w:lang w:eastAsia="cs-CZ"/>
              </w:rPr>
              <w:t xml:space="preserve">      prostředky SR</w:t>
            </w:r>
          </w:p>
        </w:tc>
        <w:tc>
          <w:tcPr>
            <w:tcW w:w="771" w:type="pct"/>
            <w:tcBorders>
              <w:top w:val="nil"/>
              <w:bottom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0</w:t>
            </w:r>
          </w:p>
        </w:tc>
        <w:tc>
          <w:tcPr>
            <w:tcW w:w="772" w:type="pct"/>
            <w:tcBorders>
              <w:top w:val="nil"/>
              <w:bottom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0</w:t>
            </w:r>
          </w:p>
        </w:tc>
        <w:tc>
          <w:tcPr>
            <w:tcW w:w="771" w:type="pct"/>
            <w:tcBorders>
              <w:top w:val="nil"/>
              <w:bottom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0</w:t>
            </w:r>
          </w:p>
        </w:tc>
        <w:tc>
          <w:tcPr>
            <w:tcW w:w="573" w:type="pct"/>
            <w:tcBorders>
              <w:top w:val="nil"/>
              <w:bottom w:val="nil"/>
            </w:tcBorders>
          </w:tcPr>
          <w:p w:rsidR="008B655F" w:rsidRPr="004B5933" w:rsidRDefault="008B655F" w:rsidP="00363483">
            <w:pPr>
              <w:spacing w:line="240" w:lineRule="auto"/>
              <w:jc w:val="right"/>
              <w:rPr>
                <w:rFonts w:eastAsia="Times New Roman" w:cs="Times New Roman"/>
                <w:i/>
                <w:lang w:eastAsia="cs-CZ"/>
              </w:rPr>
            </w:pPr>
            <w:r w:rsidRPr="004B5933">
              <w:rPr>
                <w:rFonts w:eastAsia="Times New Roman" w:cs="Times New Roman"/>
                <w:i/>
                <w:lang w:eastAsia="cs-CZ"/>
              </w:rPr>
              <w:t>x</w:t>
            </w:r>
          </w:p>
        </w:tc>
      </w:tr>
      <w:tr w:rsidR="008B655F" w:rsidRPr="0001421C" w:rsidTr="00BA4EEA">
        <w:trPr>
          <w:trHeight w:val="176"/>
        </w:trPr>
        <w:tc>
          <w:tcPr>
            <w:tcW w:w="2113" w:type="pct"/>
            <w:tcBorders>
              <w:top w:val="nil"/>
            </w:tcBorders>
          </w:tcPr>
          <w:p w:rsidR="008B655F" w:rsidRPr="00806945" w:rsidRDefault="008B655F" w:rsidP="00363483">
            <w:pPr>
              <w:spacing w:line="240" w:lineRule="auto"/>
              <w:rPr>
                <w:rFonts w:eastAsia="Times New Roman" w:cs="Times New Roman"/>
                <w:i/>
                <w:lang w:eastAsia="cs-CZ"/>
              </w:rPr>
            </w:pPr>
            <w:r w:rsidRPr="00806945">
              <w:rPr>
                <w:rFonts w:eastAsia="Times New Roman" w:cs="Times New Roman"/>
                <w:i/>
                <w:lang w:eastAsia="cs-CZ"/>
              </w:rPr>
              <w:t xml:space="preserve">      prostředky z fondů EU</w:t>
            </w:r>
          </w:p>
        </w:tc>
        <w:tc>
          <w:tcPr>
            <w:tcW w:w="771" w:type="pct"/>
            <w:tcBorders>
              <w:top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1 070</w:t>
            </w:r>
          </w:p>
        </w:tc>
        <w:tc>
          <w:tcPr>
            <w:tcW w:w="772" w:type="pct"/>
            <w:tcBorders>
              <w:top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0</w:t>
            </w:r>
          </w:p>
        </w:tc>
        <w:tc>
          <w:tcPr>
            <w:tcW w:w="771" w:type="pct"/>
            <w:tcBorders>
              <w:top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0</w:t>
            </w:r>
          </w:p>
        </w:tc>
        <w:tc>
          <w:tcPr>
            <w:tcW w:w="573" w:type="pct"/>
            <w:tcBorders>
              <w:top w:val="nil"/>
            </w:tcBorders>
          </w:tcPr>
          <w:p w:rsidR="008B655F" w:rsidRPr="004B5933" w:rsidRDefault="008B655F" w:rsidP="00363483">
            <w:pPr>
              <w:spacing w:line="240" w:lineRule="auto"/>
              <w:jc w:val="right"/>
              <w:rPr>
                <w:rFonts w:eastAsia="Times New Roman" w:cs="Times New Roman"/>
                <w:i/>
                <w:lang w:eastAsia="cs-CZ"/>
              </w:rPr>
            </w:pPr>
            <w:r w:rsidRPr="004B5933">
              <w:rPr>
                <w:rFonts w:eastAsia="Times New Roman" w:cs="Times New Roman"/>
                <w:i/>
                <w:lang w:eastAsia="cs-CZ"/>
              </w:rPr>
              <w:t>x</w:t>
            </w:r>
          </w:p>
        </w:tc>
      </w:tr>
      <w:tr w:rsidR="008B655F" w:rsidRPr="0001421C" w:rsidTr="00BA4EEA">
        <w:tc>
          <w:tcPr>
            <w:tcW w:w="2113" w:type="pct"/>
            <w:tcBorders>
              <w:bottom w:val="nil"/>
            </w:tcBorders>
          </w:tcPr>
          <w:p w:rsidR="008B655F" w:rsidRPr="00806945" w:rsidRDefault="008B655F" w:rsidP="00363483">
            <w:pPr>
              <w:spacing w:line="240" w:lineRule="auto"/>
              <w:rPr>
                <w:rFonts w:eastAsia="Times New Roman" w:cs="Times New Roman"/>
                <w:lang w:eastAsia="cs-CZ"/>
              </w:rPr>
            </w:pPr>
            <w:r w:rsidRPr="00806945">
              <w:rPr>
                <w:rFonts w:eastAsia="Times New Roman" w:cs="Times New Roman"/>
                <w:lang w:eastAsia="cs-CZ"/>
              </w:rPr>
              <w:t>kapitálové výdaje celkem v tom:</w:t>
            </w:r>
          </w:p>
        </w:tc>
        <w:tc>
          <w:tcPr>
            <w:tcW w:w="771" w:type="pct"/>
            <w:tcBorders>
              <w:bottom w:val="nil"/>
            </w:tcBorders>
          </w:tcPr>
          <w:p w:rsidR="008B655F" w:rsidRPr="00806945" w:rsidRDefault="008B655F" w:rsidP="00363483">
            <w:pPr>
              <w:spacing w:line="240" w:lineRule="auto"/>
              <w:jc w:val="right"/>
              <w:rPr>
                <w:rFonts w:eastAsia="Times New Roman" w:cs="Times New Roman"/>
                <w:lang w:eastAsia="cs-CZ"/>
              </w:rPr>
            </w:pPr>
            <w:r w:rsidRPr="00806945">
              <w:rPr>
                <w:rFonts w:eastAsia="Times New Roman" w:cs="Times New Roman"/>
                <w:lang w:eastAsia="cs-CZ"/>
              </w:rPr>
              <w:t>31 642 295</w:t>
            </w:r>
          </w:p>
        </w:tc>
        <w:tc>
          <w:tcPr>
            <w:tcW w:w="772" w:type="pct"/>
            <w:tcBorders>
              <w:top w:val="single" w:sz="4" w:space="0" w:color="7F7F7F" w:themeColor="text1" w:themeTint="80"/>
              <w:left w:val="single" w:sz="4" w:space="0" w:color="auto"/>
              <w:bottom w:val="nil"/>
              <w:right w:val="single" w:sz="4" w:space="0" w:color="auto"/>
            </w:tcBorders>
          </w:tcPr>
          <w:p w:rsidR="008B655F" w:rsidRPr="00806945" w:rsidRDefault="008B655F" w:rsidP="00363483">
            <w:pPr>
              <w:jc w:val="right"/>
              <w:rPr>
                <w:rFonts w:cs="Times New Roman"/>
              </w:rPr>
            </w:pPr>
            <w:r w:rsidRPr="00806945">
              <w:rPr>
                <w:rFonts w:cs="Times New Roman"/>
              </w:rPr>
              <w:t>35 923 832</w:t>
            </w:r>
          </w:p>
        </w:tc>
        <w:tc>
          <w:tcPr>
            <w:tcW w:w="771" w:type="pct"/>
            <w:tcBorders>
              <w:top w:val="single" w:sz="4" w:space="0" w:color="7F7F7F" w:themeColor="text1" w:themeTint="80"/>
              <w:left w:val="single" w:sz="4" w:space="0" w:color="auto"/>
              <w:bottom w:val="nil"/>
              <w:right w:val="single" w:sz="4" w:space="0" w:color="auto"/>
            </w:tcBorders>
          </w:tcPr>
          <w:p w:rsidR="008B655F" w:rsidRPr="00806945" w:rsidRDefault="008B655F" w:rsidP="00363483">
            <w:pPr>
              <w:jc w:val="right"/>
              <w:rPr>
                <w:rFonts w:cs="Times New Roman"/>
              </w:rPr>
            </w:pPr>
            <w:r w:rsidRPr="00806945">
              <w:rPr>
                <w:rFonts w:cs="Times New Roman"/>
              </w:rPr>
              <w:t xml:space="preserve">48 689 </w:t>
            </w:r>
            <w:r>
              <w:rPr>
                <w:rFonts w:cs="Times New Roman"/>
              </w:rPr>
              <w:t>757</w:t>
            </w:r>
          </w:p>
        </w:tc>
        <w:tc>
          <w:tcPr>
            <w:tcW w:w="573" w:type="pct"/>
            <w:tcBorders>
              <w:bottom w:val="nil"/>
            </w:tcBorders>
          </w:tcPr>
          <w:p w:rsidR="008B655F" w:rsidRPr="0001421C" w:rsidRDefault="008B655F" w:rsidP="00363483">
            <w:pPr>
              <w:spacing w:line="240" w:lineRule="auto"/>
              <w:jc w:val="right"/>
              <w:rPr>
                <w:rFonts w:eastAsia="Times New Roman" w:cs="Times New Roman"/>
                <w:color w:val="FF0000"/>
                <w:lang w:eastAsia="cs-CZ"/>
              </w:rPr>
            </w:pPr>
            <w:r w:rsidRPr="009F4395">
              <w:rPr>
                <w:rFonts w:eastAsia="Times New Roman" w:cs="Times New Roman"/>
                <w:lang w:eastAsia="cs-CZ"/>
              </w:rPr>
              <w:t>135,54</w:t>
            </w:r>
          </w:p>
        </w:tc>
      </w:tr>
      <w:tr w:rsidR="008B655F" w:rsidRPr="0001421C" w:rsidTr="00BA4EEA">
        <w:tc>
          <w:tcPr>
            <w:tcW w:w="2113" w:type="pct"/>
            <w:tcBorders>
              <w:top w:val="nil"/>
              <w:bottom w:val="nil"/>
            </w:tcBorders>
          </w:tcPr>
          <w:p w:rsidR="008B655F" w:rsidRPr="00806945" w:rsidRDefault="008B655F" w:rsidP="00363483">
            <w:pPr>
              <w:spacing w:line="240" w:lineRule="auto"/>
              <w:rPr>
                <w:rFonts w:eastAsia="Times New Roman" w:cs="Times New Roman"/>
                <w:i/>
                <w:lang w:eastAsia="cs-CZ"/>
              </w:rPr>
            </w:pPr>
            <w:r w:rsidRPr="00806945">
              <w:rPr>
                <w:rFonts w:eastAsia="Times New Roman" w:cs="Times New Roman"/>
                <w:i/>
                <w:lang w:eastAsia="cs-CZ"/>
              </w:rPr>
              <w:t xml:space="preserve">      prostředky SR</w:t>
            </w:r>
          </w:p>
        </w:tc>
        <w:tc>
          <w:tcPr>
            <w:tcW w:w="771" w:type="pct"/>
            <w:tcBorders>
              <w:top w:val="nil"/>
              <w:bottom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14 814 288</w:t>
            </w:r>
          </w:p>
        </w:tc>
        <w:tc>
          <w:tcPr>
            <w:tcW w:w="772" w:type="pct"/>
            <w:tcBorders>
              <w:top w:val="nil"/>
              <w:left w:val="single" w:sz="4" w:space="0" w:color="auto"/>
              <w:bottom w:val="nil"/>
              <w:right w:val="single" w:sz="4" w:space="0" w:color="auto"/>
            </w:tcBorders>
          </w:tcPr>
          <w:p w:rsidR="008B655F" w:rsidRPr="00806945" w:rsidRDefault="008B655F" w:rsidP="00363483">
            <w:pPr>
              <w:jc w:val="right"/>
              <w:rPr>
                <w:rFonts w:cs="Times New Roman"/>
                <w:i/>
              </w:rPr>
            </w:pPr>
            <w:r w:rsidRPr="00806945">
              <w:rPr>
                <w:rFonts w:cs="Times New Roman"/>
                <w:i/>
              </w:rPr>
              <w:t>20 432 556</w:t>
            </w:r>
          </w:p>
        </w:tc>
        <w:tc>
          <w:tcPr>
            <w:tcW w:w="771" w:type="pct"/>
            <w:tcBorders>
              <w:top w:val="nil"/>
              <w:left w:val="single" w:sz="4" w:space="0" w:color="auto"/>
              <w:bottom w:val="nil"/>
              <w:right w:val="single" w:sz="4" w:space="0" w:color="auto"/>
            </w:tcBorders>
          </w:tcPr>
          <w:p w:rsidR="008B655F" w:rsidRPr="00806945" w:rsidRDefault="008B655F" w:rsidP="00363483">
            <w:pPr>
              <w:jc w:val="right"/>
              <w:rPr>
                <w:rFonts w:cs="Times New Roman"/>
                <w:i/>
              </w:rPr>
            </w:pPr>
            <w:r w:rsidRPr="00806945">
              <w:rPr>
                <w:rFonts w:cs="Times New Roman"/>
                <w:i/>
              </w:rPr>
              <w:t>30 000 000</w:t>
            </w:r>
          </w:p>
        </w:tc>
        <w:tc>
          <w:tcPr>
            <w:tcW w:w="573" w:type="pct"/>
            <w:tcBorders>
              <w:top w:val="nil"/>
              <w:bottom w:val="nil"/>
            </w:tcBorders>
          </w:tcPr>
          <w:p w:rsidR="008B655F" w:rsidRPr="009F4395" w:rsidRDefault="008B655F" w:rsidP="00363483">
            <w:pPr>
              <w:spacing w:line="240" w:lineRule="auto"/>
              <w:jc w:val="right"/>
              <w:rPr>
                <w:rFonts w:eastAsia="Times New Roman" w:cs="Times New Roman"/>
                <w:i/>
                <w:lang w:eastAsia="cs-CZ"/>
              </w:rPr>
            </w:pPr>
            <w:r w:rsidRPr="009F4395">
              <w:rPr>
                <w:rFonts w:eastAsia="Times New Roman" w:cs="Times New Roman"/>
                <w:i/>
                <w:lang w:eastAsia="cs-CZ"/>
              </w:rPr>
              <w:t>146,82</w:t>
            </w:r>
          </w:p>
        </w:tc>
      </w:tr>
      <w:tr w:rsidR="008B655F" w:rsidRPr="0001421C" w:rsidTr="00BA4EEA">
        <w:tc>
          <w:tcPr>
            <w:tcW w:w="2113" w:type="pct"/>
            <w:tcBorders>
              <w:top w:val="nil"/>
            </w:tcBorders>
          </w:tcPr>
          <w:p w:rsidR="008B655F" w:rsidRPr="00806945" w:rsidRDefault="008B655F" w:rsidP="00363483">
            <w:pPr>
              <w:spacing w:line="240" w:lineRule="auto"/>
              <w:rPr>
                <w:rFonts w:eastAsia="Times New Roman" w:cs="Times New Roman"/>
                <w:i/>
                <w:lang w:eastAsia="cs-CZ"/>
              </w:rPr>
            </w:pPr>
            <w:r w:rsidRPr="00806945">
              <w:rPr>
                <w:rFonts w:eastAsia="Times New Roman" w:cs="Times New Roman"/>
                <w:i/>
                <w:lang w:eastAsia="cs-CZ"/>
              </w:rPr>
              <w:t xml:space="preserve">      prostředky z fondů EU</w:t>
            </w:r>
          </w:p>
        </w:tc>
        <w:tc>
          <w:tcPr>
            <w:tcW w:w="771" w:type="pct"/>
            <w:tcBorders>
              <w:top w:val="nil"/>
            </w:tcBorders>
          </w:tcPr>
          <w:p w:rsidR="008B655F" w:rsidRPr="00806945" w:rsidRDefault="008B655F" w:rsidP="00363483">
            <w:pPr>
              <w:spacing w:line="240" w:lineRule="auto"/>
              <w:jc w:val="right"/>
              <w:rPr>
                <w:rFonts w:eastAsia="Times New Roman" w:cs="Times New Roman"/>
                <w:i/>
                <w:lang w:eastAsia="cs-CZ"/>
              </w:rPr>
            </w:pPr>
            <w:r w:rsidRPr="00806945">
              <w:rPr>
                <w:rFonts w:eastAsia="Times New Roman" w:cs="Times New Roman"/>
                <w:i/>
                <w:lang w:eastAsia="cs-CZ"/>
              </w:rPr>
              <w:t>16 828 007</w:t>
            </w:r>
          </w:p>
        </w:tc>
        <w:tc>
          <w:tcPr>
            <w:tcW w:w="772" w:type="pct"/>
            <w:tcBorders>
              <w:top w:val="nil"/>
              <w:left w:val="single" w:sz="4" w:space="0" w:color="auto"/>
              <w:bottom w:val="single" w:sz="4" w:space="0" w:color="auto"/>
              <w:right w:val="single" w:sz="4" w:space="0" w:color="auto"/>
            </w:tcBorders>
          </w:tcPr>
          <w:p w:rsidR="008B655F" w:rsidRPr="00806945" w:rsidRDefault="008B655F" w:rsidP="00363483">
            <w:pPr>
              <w:jc w:val="right"/>
              <w:rPr>
                <w:rFonts w:cs="Times New Roman"/>
                <w:i/>
              </w:rPr>
            </w:pPr>
            <w:r w:rsidRPr="00806945">
              <w:rPr>
                <w:rFonts w:cs="Times New Roman"/>
                <w:i/>
              </w:rPr>
              <w:t>15 491 276</w:t>
            </w:r>
          </w:p>
        </w:tc>
        <w:tc>
          <w:tcPr>
            <w:tcW w:w="771" w:type="pct"/>
            <w:tcBorders>
              <w:top w:val="nil"/>
              <w:left w:val="single" w:sz="4" w:space="0" w:color="auto"/>
              <w:bottom w:val="single" w:sz="4" w:space="0" w:color="auto"/>
              <w:right w:val="single" w:sz="4" w:space="0" w:color="auto"/>
            </w:tcBorders>
          </w:tcPr>
          <w:p w:rsidR="008B655F" w:rsidRPr="00806945" w:rsidRDefault="008B655F" w:rsidP="00363483">
            <w:pPr>
              <w:jc w:val="right"/>
              <w:rPr>
                <w:rFonts w:cs="Times New Roman"/>
                <w:i/>
              </w:rPr>
            </w:pPr>
            <w:r w:rsidRPr="00806945">
              <w:rPr>
                <w:rFonts w:cs="Times New Roman"/>
                <w:i/>
              </w:rPr>
              <w:t>18 689 75</w:t>
            </w:r>
            <w:r>
              <w:rPr>
                <w:rFonts w:cs="Times New Roman"/>
                <w:i/>
              </w:rPr>
              <w:t>7</w:t>
            </w:r>
          </w:p>
        </w:tc>
        <w:tc>
          <w:tcPr>
            <w:tcW w:w="573" w:type="pct"/>
            <w:tcBorders>
              <w:top w:val="nil"/>
            </w:tcBorders>
          </w:tcPr>
          <w:p w:rsidR="008B655F" w:rsidRPr="0001421C" w:rsidRDefault="008B655F" w:rsidP="00363483">
            <w:pPr>
              <w:spacing w:line="240" w:lineRule="auto"/>
              <w:jc w:val="right"/>
              <w:rPr>
                <w:rFonts w:eastAsia="Times New Roman" w:cs="Times New Roman"/>
                <w:i/>
                <w:color w:val="FF0000"/>
                <w:lang w:eastAsia="cs-CZ"/>
              </w:rPr>
            </w:pPr>
            <w:r w:rsidRPr="009F4395">
              <w:rPr>
                <w:rFonts w:eastAsia="Times New Roman" w:cs="Times New Roman"/>
                <w:i/>
                <w:lang w:eastAsia="cs-CZ"/>
              </w:rPr>
              <w:t>120,65</w:t>
            </w:r>
          </w:p>
        </w:tc>
      </w:tr>
    </w:tbl>
    <w:p w:rsidR="008B655F" w:rsidRPr="00BA4EEA" w:rsidRDefault="008B655F" w:rsidP="00D00A45">
      <w:pPr>
        <w:pStyle w:val="Styl1"/>
      </w:pPr>
      <w:r w:rsidRPr="00806945">
        <w:t>V dalším textu je uváděn návrh rozpočtu výdajů na financování reprodukce majetku v členění na jednotlivé programy vedené v EDS</w:t>
      </w:r>
      <w:r w:rsidR="00BA4EEA">
        <w:t>/SMVS.</w:t>
      </w:r>
    </w:p>
    <w:p w:rsidR="004672A8" w:rsidRPr="008B655F" w:rsidRDefault="004672A8" w:rsidP="004672A8">
      <w:pPr>
        <w:pStyle w:val="Titulek"/>
        <w:keepNext/>
      </w:pPr>
      <w:r w:rsidRPr="008B655F">
        <w:t xml:space="preserve">Tabulka č. </w:t>
      </w:r>
      <w:r w:rsidR="0001421C" w:rsidRPr="008B655F">
        <w:rPr>
          <w:noProof/>
        </w:rPr>
        <w:fldChar w:fldCharType="begin"/>
      </w:r>
      <w:r w:rsidR="0001421C" w:rsidRPr="008B655F">
        <w:rPr>
          <w:noProof/>
        </w:rPr>
        <w:instrText xml:space="preserve"> SEQ Tabulka \* ARABIC </w:instrText>
      </w:r>
      <w:r w:rsidR="0001421C" w:rsidRPr="008B655F">
        <w:rPr>
          <w:noProof/>
        </w:rPr>
        <w:fldChar w:fldCharType="separate"/>
      </w:r>
      <w:r w:rsidR="00AF5225">
        <w:rPr>
          <w:noProof/>
        </w:rPr>
        <w:t>42</w:t>
      </w:r>
      <w:r w:rsidR="0001421C" w:rsidRPr="008B655F">
        <w:rPr>
          <w:noProof/>
        </w:rPr>
        <w:fldChar w:fldCharType="end"/>
      </w:r>
      <w:r w:rsidRPr="008B655F">
        <w:rPr>
          <w:noProof/>
        </w:rPr>
        <w:t xml:space="preserve"> Přehled jednotlivých programů vedených v EDS/SMVS (v tis. Kč)</w:t>
      </w:r>
    </w:p>
    <w:tbl>
      <w:tblPr>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58"/>
        <w:gridCol w:w="448"/>
        <w:gridCol w:w="1253"/>
        <w:gridCol w:w="1278"/>
        <w:gridCol w:w="1274"/>
        <w:gridCol w:w="1278"/>
        <w:gridCol w:w="1274"/>
      </w:tblGrid>
      <w:tr w:rsidR="008B655F" w:rsidRPr="00960592" w:rsidTr="00D00A45">
        <w:tc>
          <w:tcPr>
            <w:tcW w:w="124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B655F" w:rsidRPr="00960592" w:rsidRDefault="008B655F" w:rsidP="00363483">
            <w:pPr>
              <w:spacing w:line="240" w:lineRule="auto"/>
              <w:jc w:val="center"/>
              <w:rPr>
                <w:rFonts w:eastAsia="Times New Roman" w:cs="Times New Roman"/>
                <w:b/>
                <w:bCs/>
                <w:lang w:eastAsia="cs-CZ"/>
              </w:rPr>
            </w:pPr>
            <w:r w:rsidRPr="00960592">
              <w:rPr>
                <w:rFonts w:eastAsia="Times New Roman" w:cs="Times New Roman"/>
                <w:b/>
                <w:bCs/>
                <w:lang w:eastAsia="cs-CZ"/>
              </w:rPr>
              <w:t>Číslo programu</w:t>
            </w:r>
          </w:p>
        </w:tc>
        <w:tc>
          <w:tcPr>
            <w:tcW w:w="937" w:type="pct"/>
            <w:gridSpan w:val="2"/>
            <w:shd w:val="thinReverseDiagStripe" w:color="D9D9D9" w:themeColor="background1" w:themeShade="D9" w:fill="auto"/>
            <w:vAlign w:val="center"/>
          </w:tcPr>
          <w:p w:rsidR="008B655F" w:rsidRPr="00960592" w:rsidRDefault="008B655F" w:rsidP="00363483">
            <w:pPr>
              <w:spacing w:line="240" w:lineRule="auto"/>
              <w:jc w:val="center"/>
              <w:rPr>
                <w:rFonts w:eastAsia="Times New Roman" w:cs="Times New Roman"/>
                <w:b/>
                <w:bCs/>
                <w:lang w:eastAsia="cs-CZ"/>
              </w:rPr>
            </w:pPr>
            <w:r w:rsidRPr="00960592">
              <w:rPr>
                <w:rFonts w:eastAsia="Times New Roman" w:cs="Times New Roman"/>
                <w:b/>
                <w:bCs/>
                <w:lang w:eastAsia="cs-CZ"/>
              </w:rPr>
              <w:t xml:space="preserve">Skutečnost </w:t>
            </w:r>
            <w:r w:rsidRPr="00960592">
              <w:rPr>
                <w:rFonts w:eastAsia="Times New Roman" w:cs="Times New Roman"/>
                <w:b/>
                <w:bCs/>
                <w:lang w:eastAsia="cs-CZ"/>
              </w:rPr>
              <w:br/>
              <w:t>2017</w:t>
            </w:r>
          </w:p>
        </w:tc>
        <w:tc>
          <w:tcPr>
            <w:tcW w:w="1408" w:type="pct"/>
            <w:gridSpan w:val="2"/>
            <w:shd w:val="thinReverseDiagStripe" w:color="D9D9D9" w:themeColor="background1" w:themeShade="D9" w:fill="auto"/>
            <w:vAlign w:val="center"/>
          </w:tcPr>
          <w:p w:rsidR="008B655F" w:rsidRPr="00960592" w:rsidRDefault="008B655F" w:rsidP="00363483">
            <w:pPr>
              <w:spacing w:line="240" w:lineRule="auto"/>
              <w:jc w:val="center"/>
              <w:rPr>
                <w:rFonts w:eastAsia="Times New Roman" w:cs="Times New Roman"/>
                <w:b/>
                <w:bCs/>
                <w:lang w:eastAsia="cs-CZ"/>
              </w:rPr>
            </w:pPr>
            <w:r w:rsidRPr="00960592">
              <w:rPr>
                <w:rFonts w:eastAsia="Times New Roman" w:cs="Times New Roman"/>
                <w:b/>
                <w:bCs/>
                <w:lang w:eastAsia="cs-CZ"/>
              </w:rPr>
              <w:t>Schválený rozpočet 2018</w:t>
            </w:r>
          </w:p>
        </w:tc>
        <w:tc>
          <w:tcPr>
            <w:tcW w:w="1408" w:type="pct"/>
            <w:gridSpan w:val="2"/>
            <w:shd w:val="thinReverseDiagStripe" w:color="D9D9D9" w:themeColor="background1" w:themeShade="D9" w:fill="auto"/>
            <w:vAlign w:val="center"/>
          </w:tcPr>
          <w:p w:rsidR="008B655F" w:rsidRPr="00960592" w:rsidRDefault="008B655F" w:rsidP="00363483">
            <w:pPr>
              <w:spacing w:line="240" w:lineRule="auto"/>
              <w:jc w:val="center"/>
              <w:rPr>
                <w:rFonts w:eastAsia="Times New Roman" w:cs="Times New Roman"/>
                <w:b/>
                <w:bCs/>
                <w:lang w:eastAsia="cs-CZ"/>
              </w:rPr>
            </w:pPr>
            <w:r w:rsidRPr="00960592">
              <w:rPr>
                <w:rFonts w:eastAsia="Times New Roman" w:cs="Times New Roman"/>
                <w:b/>
                <w:bCs/>
                <w:lang w:eastAsia="cs-CZ"/>
              </w:rPr>
              <w:t xml:space="preserve">Návrh rozpočtu </w:t>
            </w:r>
          </w:p>
          <w:p w:rsidR="008B655F" w:rsidRPr="00960592" w:rsidRDefault="008B655F" w:rsidP="00363483">
            <w:pPr>
              <w:spacing w:line="240" w:lineRule="auto"/>
              <w:jc w:val="center"/>
              <w:rPr>
                <w:rFonts w:eastAsia="Times New Roman" w:cs="Times New Roman"/>
                <w:b/>
                <w:bCs/>
                <w:lang w:eastAsia="cs-CZ"/>
              </w:rPr>
            </w:pPr>
            <w:r w:rsidRPr="00960592">
              <w:rPr>
                <w:rFonts w:eastAsia="Times New Roman" w:cs="Times New Roman"/>
                <w:b/>
                <w:bCs/>
                <w:lang w:eastAsia="cs-CZ"/>
              </w:rPr>
              <w:t xml:space="preserve"> 2019</w:t>
            </w:r>
          </w:p>
        </w:tc>
      </w:tr>
      <w:tr w:rsidR="008B655F" w:rsidRPr="0001421C" w:rsidTr="00D00A45">
        <w:tc>
          <w:tcPr>
            <w:tcW w:w="124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01421C" w:rsidRDefault="008B655F" w:rsidP="00363483">
            <w:pPr>
              <w:spacing w:line="240" w:lineRule="auto"/>
              <w:rPr>
                <w:rFonts w:eastAsia="Times New Roman" w:cs="Times New Roman"/>
                <w:color w:val="FF0000"/>
                <w:lang w:eastAsia="cs-CZ"/>
              </w:rPr>
            </w:pPr>
          </w:p>
        </w:tc>
        <w:tc>
          <w:tcPr>
            <w:tcW w:w="24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960592" w:rsidRDefault="008B655F" w:rsidP="00363483">
            <w:pPr>
              <w:spacing w:line="240" w:lineRule="auto"/>
              <w:jc w:val="center"/>
              <w:rPr>
                <w:rFonts w:eastAsia="Times New Roman" w:cs="Times New Roman"/>
                <w:b/>
                <w:lang w:eastAsia="cs-CZ"/>
              </w:rPr>
            </w:pPr>
            <w:r w:rsidRPr="00960592">
              <w:rPr>
                <w:rFonts w:eastAsia="Times New Roman" w:cs="Times New Roman"/>
                <w:b/>
                <w:lang w:eastAsia="cs-CZ"/>
              </w:rPr>
              <w:t>SR</w:t>
            </w:r>
          </w:p>
        </w:tc>
        <w:tc>
          <w:tcPr>
            <w:tcW w:w="69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960592" w:rsidRDefault="008B655F" w:rsidP="00363483">
            <w:pPr>
              <w:spacing w:line="240" w:lineRule="auto"/>
              <w:jc w:val="center"/>
              <w:rPr>
                <w:rFonts w:eastAsia="Times New Roman" w:cs="Times New Roman"/>
                <w:b/>
                <w:lang w:eastAsia="cs-CZ"/>
              </w:rPr>
            </w:pPr>
            <w:r w:rsidRPr="00960592">
              <w:rPr>
                <w:rFonts w:eastAsia="Times New Roman" w:cs="Times New Roman"/>
                <w:b/>
                <w:lang w:eastAsia="cs-CZ"/>
              </w:rPr>
              <w:t>EU</w:t>
            </w:r>
          </w:p>
        </w:tc>
        <w:tc>
          <w:tcPr>
            <w:tcW w:w="70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960592" w:rsidRDefault="008B655F" w:rsidP="00363483">
            <w:pPr>
              <w:spacing w:line="240" w:lineRule="auto"/>
              <w:jc w:val="center"/>
              <w:rPr>
                <w:rFonts w:eastAsia="Times New Roman" w:cs="Times New Roman"/>
                <w:b/>
                <w:lang w:eastAsia="cs-CZ"/>
              </w:rPr>
            </w:pPr>
            <w:r w:rsidRPr="00960592">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960592" w:rsidRDefault="008B655F" w:rsidP="00363483">
            <w:pPr>
              <w:spacing w:line="240" w:lineRule="auto"/>
              <w:jc w:val="center"/>
              <w:rPr>
                <w:rFonts w:eastAsia="Times New Roman" w:cs="Times New Roman"/>
                <w:b/>
                <w:lang w:eastAsia="cs-CZ"/>
              </w:rPr>
            </w:pPr>
            <w:r w:rsidRPr="00960592">
              <w:rPr>
                <w:rFonts w:eastAsia="Times New Roman" w:cs="Times New Roman"/>
                <w:b/>
                <w:lang w:eastAsia="cs-CZ"/>
              </w:rPr>
              <w:t>EU</w:t>
            </w:r>
          </w:p>
        </w:tc>
        <w:tc>
          <w:tcPr>
            <w:tcW w:w="70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960592" w:rsidRDefault="008B655F" w:rsidP="00363483">
            <w:pPr>
              <w:spacing w:line="240" w:lineRule="auto"/>
              <w:jc w:val="center"/>
              <w:rPr>
                <w:rFonts w:eastAsia="Times New Roman" w:cs="Times New Roman"/>
                <w:b/>
                <w:lang w:eastAsia="cs-CZ"/>
              </w:rPr>
            </w:pPr>
            <w:r w:rsidRPr="00960592">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960592" w:rsidRDefault="008B655F" w:rsidP="00363483">
            <w:pPr>
              <w:spacing w:line="240" w:lineRule="auto"/>
              <w:jc w:val="center"/>
              <w:rPr>
                <w:rFonts w:eastAsia="Times New Roman" w:cs="Times New Roman"/>
                <w:b/>
                <w:lang w:eastAsia="cs-CZ"/>
              </w:rPr>
            </w:pPr>
            <w:r w:rsidRPr="00960592">
              <w:rPr>
                <w:rFonts w:eastAsia="Times New Roman" w:cs="Times New Roman"/>
                <w:b/>
                <w:lang w:eastAsia="cs-CZ"/>
              </w:rPr>
              <w:t>EU</w:t>
            </w:r>
          </w:p>
        </w:tc>
      </w:tr>
      <w:tr w:rsidR="008B655F" w:rsidRPr="0001421C" w:rsidTr="00D00A45">
        <w:tc>
          <w:tcPr>
            <w:tcW w:w="1246" w:type="pct"/>
            <w:vAlign w:val="center"/>
          </w:tcPr>
          <w:p w:rsidR="008B655F" w:rsidRPr="004B5933" w:rsidRDefault="008B655F" w:rsidP="00BA4EEA">
            <w:pPr>
              <w:spacing w:line="240" w:lineRule="auto"/>
              <w:jc w:val="center"/>
              <w:rPr>
                <w:rFonts w:eastAsia="Times New Roman" w:cs="Times New Roman"/>
                <w:lang w:eastAsia="cs-CZ"/>
              </w:rPr>
            </w:pPr>
            <w:r w:rsidRPr="004B5933">
              <w:rPr>
                <w:rFonts w:eastAsia="Times New Roman" w:cs="Times New Roman"/>
                <w:lang w:eastAsia="cs-CZ"/>
              </w:rPr>
              <w:t>127 06</w:t>
            </w:r>
          </w:p>
        </w:tc>
        <w:tc>
          <w:tcPr>
            <w:tcW w:w="247" w:type="pct"/>
            <w:shd w:val="clear" w:color="auto" w:fill="auto"/>
          </w:tcPr>
          <w:p w:rsidR="008B655F" w:rsidRPr="004B5933" w:rsidRDefault="008B655F" w:rsidP="00363483">
            <w:pPr>
              <w:jc w:val="right"/>
              <w:rPr>
                <w:rFonts w:cs="Times New Roman"/>
              </w:rPr>
            </w:pPr>
            <w:r w:rsidRPr="004B5933">
              <w:rPr>
                <w:rFonts w:cs="Times New Roman"/>
              </w:rPr>
              <w:t>0</w:t>
            </w:r>
          </w:p>
        </w:tc>
        <w:tc>
          <w:tcPr>
            <w:tcW w:w="691" w:type="pct"/>
            <w:shd w:val="clear" w:color="auto" w:fill="auto"/>
            <w:vAlign w:val="center"/>
          </w:tcPr>
          <w:p w:rsidR="008B655F" w:rsidRPr="004B5933" w:rsidRDefault="008B655F" w:rsidP="00BA4EEA">
            <w:pPr>
              <w:jc w:val="right"/>
              <w:rPr>
                <w:rFonts w:cs="Times New Roman"/>
              </w:rPr>
            </w:pPr>
            <w:r w:rsidRPr="004B5933">
              <w:rPr>
                <w:rFonts w:cs="Times New Roman"/>
              </w:rPr>
              <w:t>1 259</w:t>
            </w:r>
          </w:p>
        </w:tc>
        <w:tc>
          <w:tcPr>
            <w:tcW w:w="705" w:type="pct"/>
            <w:shd w:val="clear" w:color="auto" w:fill="auto"/>
            <w:vAlign w:val="center"/>
          </w:tcPr>
          <w:p w:rsidR="008B655F" w:rsidRPr="004B5933" w:rsidRDefault="008B655F" w:rsidP="00BA4EEA">
            <w:pPr>
              <w:jc w:val="right"/>
              <w:rPr>
                <w:rFonts w:cs="Times New Roman"/>
              </w:rPr>
            </w:pPr>
            <w:r w:rsidRPr="004B5933">
              <w:rPr>
                <w:rFonts w:cs="Times New Roman"/>
              </w:rPr>
              <w:t>0</w:t>
            </w:r>
          </w:p>
        </w:tc>
        <w:tc>
          <w:tcPr>
            <w:tcW w:w="703" w:type="pct"/>
            <w:shd w:val="clear" w:color="auto" w:fill="auto"/>
            <w:vAlign w:val="center"/>
          </w:tcPr>
          <w:p w:rsidR="008B655F" w:rsidRPr="004B5933" w:rsidRDefault="008B655F" w:rsidP="00BA4EEA">
            <w:pPr>
              <w:jc w:val="right"/>
              <w:rPr>
                <w:rFonts w:cs="Times New Roman"/>
              </w:rPr>
            </w:pPr>
            <w:r w:rsidRPr="004B5933">
              <w:rPr>
                <w:rFonts w:cs="Times New Roman"/>
              </w:rPr>
              <w:t>1 398</w:t>
            </w:r>
          </w:p>
        </w:tc>
        <w:tc>
          <w:tcPr>
            <w:tcW w:w="705" w:type="pct"/>
            <w:shd w:val="clear" w:color="auto" w:fill="auto"/>
            <w:vAlign w:val="center"/>
          </w:tcPr>
          <w:p w:rsidR="008B655F" w:rsidRPr="00A70E28" w:rsidRDefault="008B655F" w:rsidP="00BA4EEA">
            <w:pPr>
              <w:jc w:val="right"/>
              <w:rPr>
                <w:rFonts w:cs="Times New Roman"/>
              </w:rPr>
            </w:pPr>
            <w:r w:rsidRPr="00A70E28">
              <w:rPr>
                <w:rFonts w:cs="Times New Roman"/>
              </w:rPr>
              <w:t>0</w:t>
            </w:r>
          </w:p>
        </w:tc>
        <w:tc>
          <w:tcPr>
            <w:tcW w:w="703" w:type="pct"/>
            <w:shd w:val="clear" w:color="auto" w:fill="auto"/>
            <w:vAlign w:val="center"/>
          </w:tcPr>
          <w:p w:rsidR="008B655F" w:rsidRPr="004B5933" w:rsidRDefault="008B655F" w:rsidP="00BA4EEA">
            <w:pPr>
              <w:jc w:val="right"/>
              <w:rPr>
                <w:rFonts w:cs="Times New Roman"/>
              </w:rPr>
            </w:pPr>
            <w:r w:rsidRPr="004B5933">
              <w:rPr>
                <w:rFonts w:cs="Times New Roman"/>
              </w:rPr>
              <w:t xml:space="preserve">1 431 </w:t>
            </w:r>
          </w:p>
        </w:tc>
      </w:tr>
      <w:tr w:rsidR="008B655F" w:rsidRPr="0001421C" w:rsidTr="00D00A45">
        <w:tc>
          <w:tcPr>
            <w:tcW w:w="1246" w:type="pct"/>
            <w:vAlign w:val="center"/>
          </w:tcPr>
          <w:p w:rsidR="008B655F" w:rsidRPr="004B5933" w:rsidRDefault="008B655F" w:rsidP="00BA4EEA">
            <w:pPr>
              <w:spacing w:line="240" w:lineRule="auto"/>
              <w:jc w:val="center"/>
              <w:rPr>
                <w:rFonts w:eastAsia="Times New Roman" w:cs="Times New Roman"/>
                <w:lang w:eastAsia="cs-CZ"/>
              </w:rPr>
            </w:pPr>
            <w:r w:rsidRPr="004B5933">
              <w:rPr>
                <w:rFonts w:eastAsia="Times New Roman" w:cs="Times New Roman"/>
                <w:lang w:eastAsia="cs-CZ"/>
              </w:rPr>
              <w:t>127 77</w:t>
            </w:r>
          </w:p>
        </w:tc>
        <w:tc>
          <w:tcPr>
            <w:tcW w:w="247" w:type="pct"/>
            <w:shd w:val="clear" w:color="auto" w:fill="auto"/>
          </w:tcPr>
          <w:p w:rsidR="008B655F" w:rsidRPr="004B5933" w:rsidRDefault="008B655F" w:rsidP="00363483">
            <w:pPr>
              <w:jc w:val="right"/>
              <w:rPr>
                <w:rFonts w:cs="Times New Roman"/>
              </w:rPr>
            </w:pPr>
            <w:r w:rsidRPr="004B5933">
              <w:rPr>
                <w:rFonts w:cs="Times New Roman"/>
              </w:rPr>
              <w:t>0</w:t>
            </w:r>
          </w:p>
        </w:tc>
        <w:tc>
          <w:tcPr>
            <w:tcW w:w="691" w:type="pct"/>
            <w:shd w:val="clear" w:color="auto" w:fill="auto"/>
            <w:vAlign w:val="center"/>
          </w:tcPr>
          <w:p w:rsidR="008B655F" w:rsidRPr="004B5933" w:rsidRDefault="008B655F" w:rsidP="00BA4EEA">
            <w:pPr>
              <w:jc w:val="right"/>
              <w:rPr>
                <w:rFonts w:cs="Times New Roman"/>
              </w:rPr>
            </w:pPr>
            <w:r w:rsidRPr="004B5933">
              <w:rPr>
                <w:rFonts w:cs="Times New Roman"/>
              </w:rPr>
              <w:t>31 642 105</w:t>
            </w:r>
          </w:p>
        </w:tc>
        <w:tc>
          <w:tcPr>
            <w:tcW w:w="705" w:type="pct"/>
            <w:shd w:val="clear" w:color="auto" w:fill="auto"/>
            <w:vAlign w:val="center"/>
          </w:tcPr>
          <w:p w:rsidR="008B655F" w:rsidRPr="004B5933" w:rsidRDefault="008B655F" w:rsidP="00BA4EEA">
            <w:pPr>
              <w:jc w:val="right"/>
              <w:rPr>
                <w:rFonts w:cs="Times New Roman"/>
              </w:rPr>
            </w:pPr>
            <w:r>
              <w:rPr>
                <w:rFonts w:cs="Times New Roman"/>
              </w:rPr>
              <w:t>20 432 556</w:t>
            </w:r>
          </w:p>
        </w:tc>
        <w:tc>
          <w:tcPr>
            <w:tcW w:w="703" w:type="pct"/>
            <w:shd w:val="clear" w:color="auto" w:fill="auto"/>
            <w:vAlign w:val="center"/>
          </w:tcPr>
          <w:p w:rsidR="008B655F" w:rsidRPr="004B5933" w:rsidRDefault="008B655F" w:rsidP="00BA4EEA">
            <w:pPr>
              <w:jc w:val="right"/>
              <w:rPr>
                <w:rFonts w:cs="Times New Roman"/>
              </w:rPr>
            </w:pPr>
            <w:r>
              <w:rPr>
                <w:rFonts w:cs="Times New Roman"/>
              </w:rPr>
              <w:t>15 489 878</w:t>
            </w:r>
          </w:p>
        </w:tc>
        <w:tc>
          <w:tcPr>
            <w:tcW w:w="705" w:type="pct"/>
            <w:shd w:val="clear" w:color="auto" w:fill="auto"/>
            <w:vAlign w:val="center"/>
          </w:tcPr>
          <w:p w:rsidR="008B655F" w:rsidRPr="00A70E28" w:rsidRDefault="008B655F" w:rsidP="00BA4EEA">
            <w:pPr>
              <w:rPr>
                <w:rFonts w:cs="Times New Roman"/>
              </w:rPr>
            </w:pPr>
            <w:r w:rsidRPr="00A70E28">
              <w:rPr>
                <w:rFonts w:cs="Times New Roman"/>
              </w:rPr>
              <w:t>30 000 000</w:t>
            </w:r>
          </w:p>
        </w:tc>
        <w:tc>
          <w:tcPr>
            <w:tcW w:w="703" w:type="pct"/>
            <w:shd w:val="clear" w:color="auto" w:fill="auto"/>
            <w:vAlign w:val="center"/>
          </w:tcPr>
          <w:p w:rsidR="008B655F" w:rsidRPr="004B5933" w:rsidRDefault="008B655F" w:rsidP="00BA4EEA">
            <w:pPr>
              <w:jc w:val="right"/>
              <w:rPr>
                <w:rFonts w:cs="Times New Roman"/>
              </w:rPr>
            </w:pPr>
            <w:r w:rsidRPr="004B5933">
              <w:rPr>
                <w:rFonts w:cs="Times New Roman"/>
              </w:rPr>
              <w:t>18 688 326</w:t>
            </w:r>
          </w:p>
        </w:tc>
      </w:tr>
      <w:tr w:rsidR="008B655F" w:rsidRPr="00B117B3" w:rsidTr="00D00A45">
        <w:tc>
          <w:tcPr>
            <w:tcW w:w="1246" w:type="pct"/>
            <w:tcBorders>
              <w:top w:val="single" w:sz="8" w:space="0" w:color="7F7F7F" w:themeColor="text1" w:themeTint="80"/>
              <w:bottom w:val="single" w:sz="8" w:space="0" w:color="7F7F7F" w:themeColor="text1" w:themeTint="80"/>
            </w:tcBorders>
            <w:vAlign w:val="center"/>
          </w:tcPr>
          <w:p w:rsidR="008B655F" w:rsidRPr="00B117B3" w:rsidRDefault="008B655F" w:rsidP="00BA4EEA">
            <w:pPr>
              <w:spacing w:line="240" w:lineRule="auto"/>
              <w:jc w:val="center"/>
              <w:rPr>
                <w:rFonts w:eastAsia="Times New Roman" w:cs="Times New Roman"/>
                <w:b/>
                <w:lang w:eastAsia="cs-CZ"/>
              </w:rPr>
            </w:pPr>
            <w:r w:rsidRPr="00B117B3">
              <w:rPr>
                <w:rFonts w:eastAsia="Times New Roman" w:cs="Times New Roman"/>
                <w:b/>
                <w:lang w:eastAsia="cs-CZ"/>
              </w:rPr>
              <w:t>CELKEM</w:t>
            </w:r>
          </w:p>
        </w:tc>
        <w:tc>
          <w:tcPr>
            <w:tcW w:w="247" w:type="pct"/>
            <w:shd w:val="clear" w:color="auto" w:fill="auto"/>
          </w:tcPr>
          <w:p w:rsidR="008B655F" w:rsidRPr="00B117B3" w:rsidRDefault="008B655F" w:rsidP="00363483">
            <w:pPr>
              <w:jc w:val="right"/>
              <w:rPr>
                <w:rFonts w:cs="Times New Roman"/>
                <w:b/>
              </w:rPr>
            </w:pPr>
            <w:r w:rsidRPr="00B117B3">
              <w:rPr>
                <w:rFonts w:cs="Times New Roman"/>
                <w:b/>
              </w:rPr>
              <w:t>0</w:t>
            </w:r>
          </w:p>
        </w:tc>
        <w:tc>
          <w:tcPr>
            <w:tcW w:w="691" w:type="pct"/>
            <w:shd w:val="clear" w:color="auto" w:fill="auto"/>
            <w:vAlign w:val="center"/>
          </w:tcPr>
          <w:p w:rsidR="008B655F" w:rsidRPr="00B117B3" w:rsidRDefault="008B655F" w:rsidP="00BA4EEA">
            <w:pPr>
              <w:jc w:val="right"/>
              <w:rPr>
                <w:rFonts w:cs="Times New Roman"/>
                <w:b/>
              </w:rPr>
            </w:pPr>
            <w:r w:rsidRPr="00B117B3">
              <w:rPr>
                <w:rFonts w:cs="Times New Roman"/>
                <w:b/>
              </w:rPr>
              <w:t>31 643 364</w:t>
            </w:r>
          </w:p>
        </w:tc>
        <w:tc>
          <w:tcPr>
            <w:tcW w:w="705" w:type="pct"/>
            <w:shd w:val="clear" w:color="auto" w:fill="auto"/>
            <w:vAlign w:val="center"/>
          </w:tcPr>
          <w:p w:rsidR="008B655F" w:rsidRPr="00B117B3" w:rsidRDefault="008B655F" w:rsidP="00BA4EEA">
            <w:pPr>
              <w:jc w:val="right"/>
              <w:rPr>
                <w:rFonts w:cs="Times New Roman"/>
                <w:b/>
              </w:rPr>
            </w:pPr>
            <w:r w:rsidRPr="00B117B3">
              <w:rPr>
                <w:rFonts w:cs="Times New Roman"/>
                <w:b/>
              </w:rPr>
              <w:t>20 432 556</w:t>
            </w:r>
          </w:p>
        </w:tc>
        <w:tc>
          <w:tcPr>
            <w:tcW w:w="703" w:type="pct"/>
            <w:shd w:val="clear" w:color="auto" w:fill="auto"/>
            <w:vAlign w:val="center"/>
          </w:tcPr>
          <w:p w:rsidR="008B655F" w:rsidRPr="00B117B3" w:rsidRDefault="008B655F" w:rsidP="00BA4EEA">
            <w:pPr>
              <w:jc w:val="right"/>
              <w:rPr>
                <w:rFonts w:cs="Times New Roman"/>
                <w:b/>
              </w:rPr>
            </w:pPr>
            <w:r w:rsidRPr="00B117B3">
              <w:rPr>
                <w:rFonts w:cs="Times New Roman"/>
                <w:b/>
              </w:rPr>
              <w:t>15 491 276</w:t>
            </w:r>
          </w:p>
        </w:tc>
        <w:tc>
          <w:tcPr>
            <w:tcW w:w="705" w:type="pct"/>
            <w:shd w:val="clear" w:color="auto" w:fill="auto"/>
            <w:vAlign w:val="center"/>
          </w:tcPr>
          <w:p w:rsidR="008B655F" w:rsidRPr="00B117B3" w:rsidRDefault="008B655F" w:rsidP="00BA4EEA">
            <w:pPr>
              <w:rPr>
                <w:rFonts w:cs="Times New Roman"/>
                <w:b/>
              </w:rPr>
            </w:pPr>
            <w:r w:rsidRPr="00B117B3">
              <w:rPr>
                <w:rFonts w:cs="Times New Roman"/>
                <w:b/>
              </w:rPr>
              <w:t>30 000 000</w:t>
            </w:r>
          </w:p>
        </w:tc>
        <w:tc>
          <w:tcPr>
            <w:tcW w:w="703" w:type="pct"/>
            <w:shd w:val="clear" w:color="auto" w:fill="auto"/>
            <w:vAlign w:val="center"/>
          </w:tcPr>
          <w:p w:rsidR="008B655F" w:rsidRPr="00B117B3" w:rsidRDefault="008B655F" w:rsidP="00BA4EEA">
            <w:pPr>
              <w:jc w:val="right"/>
              <w:rPr>
                <w:rFonts w:cs="Times New Roman"/>
                <w:b/>
              </w:rPr>
            </w:pPr>
            <w:r w:rsidRPr="00B117B3">
              <w:rPr>
                <w:rFonts w:cs="Times New Roman"/>
                <w:b/>
              </w:rPr>
              <w:t>18 689 757</w:t>
            </w:r>
          </w:p>
        </w:tc>
      </w:tr>
    </w:tbl>
    <w:p w:rsidR="008B655F" w:rsidRPr="004B5933" w:rsidRDefault="008B655F" w:rsidP="008B655F">
      <w:pPr>
        <w:spacing w:before="120" w:after="80" w:line="240" w:lineRule="auto"/>
        <w:ind w:firstLine="539"/>
        <w:rPr>
          <w:rFonts w:eastAsia="Times New Roman" w:cs="Times New Roman"/>
          <w:szCs w:val="24"/>
          <w:u w:val="single"/>
          <w:lang w:eastAsia="cs-CZ"/>
        </w:rPr>
      </w:pPr>
      <w:r w:rsidRPr="004B5933">
        <w:rPr>
          <w:rFonts w:eastAsia="Times New Roman" w:cs="Times New Roman"/>
          <w:szCs w:val="24"/>
          <w:u w:val="single"/>
          <w:lang w:eastAsia="cs-CZ"/>
        </w:rPr>
        <w:t>Čísla a název programu:</w:t>
      </w:r>
    </w:p>
    <w:p w:rsidR="008B655F" w:rsidRPr="004B5933" w:rsidRDefault="008B655F" w:rsidP="006627F2">
      <w:pPr>
        <w:numPr>
          <w:ilvl w:val="0"/>
          <w:numId w:val="53"/>
        </w:numPr>
        <w:spacing w:before="120" w:after="80" w:line="240" w:lineRule="auto"/>
        <w:ind w:left="851" w:hanging="284"/>
        <w:rPr>
          <w:rFonts w:eastAsia="Times New Roman" w:cs="Times New Roman"/>
          <w:szCs w:val="24"/>
          <w:lang w:eastAsia="cs-CZ"/>
        </w:rPr>
      </w:pPr>
      <w:r w:rsidRPr="004B5933">
        <w:rPr>
          <w:rFonts w:eastAsia="Times New Roman" w:cs="Times New Roman"/>
          <w:szCs w:val="24"/>
          <w:lang w:eastAsia="cs-CZ"/>
        </w:rPr>
        <w:t xml:space="preserve">127 06 „Rozvoj a obnova materiálně technické základny systému řízení MD-PO,  </w:t>
      </w:r>
      <w:r w:rsidR="006627F2">
        <w:rPr>
          <w:rFonts w:eastAsia="Times New Roman" w:cs="Times New Roman"/>
          <w:szCs w:val="24"/>
          <w:lang w:eastAsia="cs-CZ"/>
        </w:rPr>
        <w:tab/>
      </w:r>
      <w:r w:rsidR="006627F2">
        <w:rPr>
          <w:rFonts w:eastAsia="Times New Roman" w:cs="Times New Roman"/>
          <w:szCs w:val="24"/>
          <w:lang w:eastAsia="cs-CZ"/>
        </w:rPr>
        <w:tab/>
        <w:t xml:space="preserve">    </w:t>
      </w:r>
      <w:r w:rsidRPr="004B5933">
        <w:rPr>
          <w:rFonts w:eastAsia="Times New Roman" w:cs="Times New Roman"/>
          <w:szCs w:val="24"/>
          <w:lang w:eastAsia="cs-CZ"/>
        </w:rPr>
        <w:t>SFDI“;</w:t>
      </w:r>
    </w:p>
    <w:p w:rsidR="008B655F" w:rsidRPr="004B5933" w:rsidRDefault="008B655F" w:rsidP="006627F2">
      <w:pPr>
        <w:numPr>
          <w:ilvl w:val="0"/>
          <w:numId w:val="53"/>
        </w:numPr>
        <w:spacing w:before="120" w:after="80" w:line="240" w:lineRule="auto"/>
        <w:ind w:left="851" w:hanging="284"/>
        <w:rPr>
          <w:rFonts w:eastAsia="Times New Roman" w:cs="Times New Roman"/>
          <w:szCs w:val="24"/>
          <w:lang w:eastAsia="cs-CZ"/>
        </w:rPr>
      </w:pPr>
      <w:r w:rsidRPr="004B5933">
        <w:rPr>
          <w:rFonts w:eastAsia="Times New Roman" w:cs="Times New Roman"/>
          <w:szCs w:val="24"/>
          <w:lang w:eastAsia="cs-CZ"/>
        </w:rPr>
        <w:t>127 77 „Podpora financování dopravy</w:t>
      </w:r>
      <w:r>
        <w:rPr>
          <w:rFonts w:eastAsia="Times New Roman" w:cs="Times New Roman"/>
          <w:szCs w:val="24"/>
          <w:lang w:eastAsia="cs-CZ"/>
        </w:rPr>
        <w:t>“</w:t>
      </w:r>
    </w:p>
    <w:p w:rsidR="008B655F" w:rsidRDefault="008B655F" w:rsidP="00D00A45">
      <w:pPr>
        <w:pStyle w:val="Styl1"/>
      </w:pPr>
      <w:r w:rsidRPr="00FB38AD">
        <w:t>Prostředky ve výši 17 831 723 tis. Kč budou použity v rámci Operačního programu Doprava 2014-2020</w:t>
      </w:r>
      <w:r w:rsidRPr="00B117B3">
        <w:t xml:space="preserve">, 858 </w:t>
      </w:r>
      <w:r w:rsidRPr="00FB38AD">
        <w:t>034 tis. Kč v rámci Komunitárních programů a 30 000 000 tis. Kč na krytí deficitu SFDI.</w:t>
      </w:r>
    </w:p>
    <w:p w:rsidR="00BA4EEA" w:rsidRDefault="00BA4EEA" w:rsidP="008B655F">
      <w:pPr>
        <w:spacing w:before="120" w:after="80" w:line="240" w:lineRule="auto"/>
        <w:ind w:firstLine="539"/>
        <w:rPr>
          <w:rFonts w:eastAsia="Times New Roman" w:cs="Times New Roman"/>
          <w:szCs w:val="24"/>
          <w:lang w:eastAsia="cs-CZ"/>
        </w:rPr>
      </w:pPr>
    </w:p>
    <w:p w:rsidR="00BA4EEA" w:rsidRDefault="00BA4EEA" w:rsidP="008B655F">
      <w:pPr>
        <w:spacing w:before="120" w:after="80" w:line="240" w:lineRule="auto"/>
        <w:ind w:firstLine="539"/>
        <w:rPr>
          <w:rFonts w:eastAsia="Times New Roman" w:cs="Times New Roman"/>
          <w:szCs w:val="24"/>
          <w:lang w:eastAsia="cs-CZ"/>
        </w:rPr>
      </w:pPr>
    </w:p>
    <w:p w:rsidR="00BA4EEA" w:rsidRDefault="00BA4EEA" w:rsidP="008B655F">
      <w:pPr>
        <w:spacing w:before="120" w:after="80" w:line="240" w:lineRule="auto"/>
        <w:ind w:firstLine="539"/>
        <w:rPr>
          <w:rFonts w:eastAsia="Times New Roman" w:cs="Times New Roman"/>
          <w:szCs w:val="24"/>
          <w:lang w:eastAsia="cs-CZ"/>
        </w:rPr>
      </w:pPr>
    </w:p>
    <w:p w:rsidR="00BA4EEA" w:rsidRDefault="00BA4EEA" w:rsidP="008B655F">
      <w:pPr>
        <w:spacing w:before="120" w:after="80" w:line="240" w:lineRule="auto"/>
        <w:ind w:firstLine="539"/>
        <w:rPr>
          <w:rFonts w:eastAsia="Times New Roman" w:cs="Times New Roman"/>
          <w:szCs w:val="24"/>
          <w:lang w:eastAsia="cs-CZ"/>
        </w:rPr>
      </w:pPr>
    </w:p>
    <w:p w:rsidR="00BA4EEA" w:rsidRDefault="00BA4EEA" w:rsidP="008B655F">
      <w:pPr>
        <w:spacing w:before="120" w:after="80" w:line="240" w:lineRule="auto"/>
        <w:ind w:firstLine="539"/>
        <w:rPr>
          <w:rFonts w:eastAsia="Times New Roman" w:cs="Times New Roman"/>
          <w:szCs w:val="24"/>
          <w:lang w:eastAsia="cs-CZ"/>
        </w:rPr>
      </w:pPr>
    </w:p>
    <w:p w:rsidR="00BA4EEA" w:rsidRPr="00FB38AD" w:rsidRDefault="00BA4EEA" w:rsidP="008B655F">
      <w:pPr>
        <w:spacing w:before="120" w:after="80" w:line="240" w:lineRule="auto"/>
        <w:ind w:firstLine="539"/>
        <w:rPr>
          <w:rFonts w:eastAsia="Times New Roman" w:cs="Times New Roman"/>
          <w:szCs w:val="24"/>
          <w:lang w:eastAsia="cs-CZ"/>
        </w:rPr>
      </w:pPr>
    </w:p>
    <w:p w:rsidR="00A36B40" w:rsidRDefault="003870F8" w:rsidP="00D00A45">
      <w:pPr>
        <w:pStyle w:val="Nadpis3"/>
      </w:pPr>
      <w:bookmarkStart w:id="108" w:name="_Toc526424707"/>
      <w:r w:rsidRPr="00D00A45">
        <w:lastRenderedPageBreak/>
        <w:t>Neziskové</w:t>
      </w:r>
      <w:r w:rsidRPr="003870F8">
        <w:t xml:space="preserve"> a podobné organizace</w:t>
      </w:r>
      <w:bookmarkEnd w:id="108"/>
    </w:p>
    <w:p w:rsidR="003870F8" w:rsidRPr="003870F8" w:rsidRDefault="003870F8" w:rsidP="00D00A45">
      <w:pPr>
        <w:pStyle w:val="Styl1"/>
        <w:rPr>
          <w:b/>
        </w:rPr>
      </w:pPr>
      <w:r w:rsidRPr="003870F8">
        <w:t xml:space="preserve">Od  roku  2017  jsou  neziskovým a podobným organizacím  poskytovány prostředky v rámci programu </w:t>
      </w:r>
      <w:r w:rsidRPr="003870F8">
        <w:rPr>
          <w:b/>
        </w:rPr>
        <w:t>127 66 „Podpora obnovy historických železničních kolejových vozidel v období 2017-2020“.</w:t>
      </w:r>
    </w:p>
    <w:p w:rsidR="003870F8" w:rsidRPr="003870F8" w:rsidRDefault="003870F8" w:rsidP="00D00A45">
      <w:pPr>
        <w:pStyle w:val="Styl1"/>
      </w:pPr>
      <w:r w:rsidRPr="003870F8">
        <w:t>Pro rok 201</w:t>
      </w:r>
      <w:r w:rsidR="00BD5F7C">
        <w:t>9</w:t>
      </w:r>
      <w:r w:rsidRPr="003870F8">
        <w:t xml:space="preserve"> jsou prostředky určené na daný program rozpočtovány v rámci podnikatelských subjektů.</w:t>
      </w:r>
    </w:p>
    <w:p w:rsidR="003870F8" w:rsidRPr="00BA4EEA" w:rsidRDefault="003870F8" w:rsidP="00D00A45">
      <w:pPr>
        <w:pStyle w:val="Styl1"/>
      </w:pPr>
      <w:r w:rsidRPr="003870F8">
        <w:t xml:space="preserve">Druhové členění vykazuje následující tabulka. </w:t>
      </w:r>
      <w:r w:rsidR="00BA4EEA">
        <w:t xml:space="preserve">  </w:t>
      </w:r>
    </w:p>
    <w:p w:rsidR="003870F8" w:rsidRPr="003870F8" w:rsidRDefault="003870F8" w:rsidP="003870F8">
      <w:pPr>
        <w:pStyle w:val="Titulek"/>
        <w:keepNext/>
      </w:pPr>
      <w:r w:rsidRPr="003870F8">
        <w:t xml:space="preserve">Tabulka č. </w:t>
      </w:r>
      <w:r w:rsidRPr="003870F8">
        <w:rPr>
          <w:noProof/>
        </w:rPr>
        <w:fldChar w:fldCharType="begin"/>
      </w:r>
      <w:r w:rsidRPr="003870F8">
        <w:rPr>
          <w:noProof/>
        </w:rPr>
        <w:instrText xml:space="preserve"> SEQ Tabulka \* ARABIC </w:instrText>
      </w:r>
      <w:r w:rsidRPr="003870F8">
        <w:rPr>
          <w:noProof/>
        </w:rPr>
        <w:fldChar w:fldCharType="separate"/>
      </w:r>
      <w:r w:rsidR="00AF5225">
        <w:rPr>
          <w:noProof/>
        </w:rPr>
        <w:t>43</w:t>
      </w:r>
      <w:r w:rsidRPr="003870F8">
        <w:rPr>
          <w:noProof/>
        </w:rPr>
        <w:fldChar w:fldCharType="end"/>
      </w:r>
      <w:r w:rsidRPr="003870F8">
        <w:rPr>
          <w:noProof/>
        </w:rPr>
        <w:t xml:space="preserve"> Výdaje neziskovým a podobným organizacím  vedené v EDS/SMVS (v tis. Kč)</w:t>
      </w:r>
    </w:p>
    <w:tbl>
      <w:tblPr>
        <w:tblW w:w="500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10"/>
        <w:gridCol w:w="1331"/>
        <w:gridCol w:w="1362"/>
        <w:gridCol w:w="1384"/>
        <w:gridCol w:w="1069"/>
      </w:tblGrid>
      <w:tr w:rsidR="003870F8" w:rsidRPr="003870F8" w:rsidTr="00BA4EEA">
        <w:tc>
          <w:tcPr>
            <w:tcW w:w="2159" w:type="pct"/>
            <w:tcBorders>
              <w:top w:val="single" w:sz="8" w:space="0" w:color="7F7F7F" w:themeColor="text1" w:themeTint="80"/>
              <w:left w:val="single" w:sz="8" w:space="0" w:color="7F7F7F" w:themeColor="text1" w:themeTint="80"/>
              <w:bottom w:val="single" w:sz="4" w:space="0" w:color="auto"/>
              <w:right w:val="single" w:sz="4" w:space="0" w:color="auto"/>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Ukazatel</w:t>
            </w:r>
          </w:p>
        </w:tc>
        <w:tc>
          <w:tcPr>
            <w:tcW w:w="735"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Skutečnost</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 xml:space="preserve"> 2017</w:t>
            </w:r>
          </w:p>
        </w:tc>
        <w:tc>
          <w:tcPr>
            <w:tcW w:w="752"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Schválený rozpočet</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 xml:space="preserve"> 2018</w:t>
            </w:r>
          </w:p>
        </w:tc>
        <w:tc>
          <w:tcPr>
            <w:tcW w:w="764"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Návrh</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rozpočtu</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 xml:space="preserve"> 2019</w:t>
            </w:r>
          </w:p>
        </w:tc>
        <w:tc>
          <w:tcPr>
            <w:tcW w:w="590" w:type="pct"/>
            <w:tcBorders>
              <w:top w:val="single" w:sz="8" w:space="0" w:color="7F7F7F" w:themeColor="text1" w:themeTint="80"/>
              <w:left w:val="single" w:sz="4" w:space="0" w:color="auto"/>
              <w:bottom w:val="single" w:sz="4" w:space="0" w:color="auto"/>
              <w:right w:val="single" w:sz="8" w:space="0" w:color="7F7F7F" w:themeColor="text1" w:themeTint="80"/>
            </w:tcBorders>
            <w:shd w:val="thinReverseDiagStripe" w:color="D9D9D9" w:themeColor="background1" w:themeShade="D9" w:fill="FFFFFF" w:themeFill="background1"/>
            <w:vAlign w:val="center"/>
          </w:tcPr>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Index</w:t>
            </w:r>
          </w:p>
          <w:p w:rsidR="003870F8" w:rsidRPr="003870F8" w:rsidRDefault="00BA4EEA" w:rsidP="009A036B">
            <w:pPr>
              <w:spacing w:line="240" w:lineRule="auto"/>
              <w:jc w:val="center"/>
              <w:rPr>
                <w:rFonts w:eastAsia="Times New Roman" w:cs="Times New Roman"/>
                <w:b/>
                <w:lang w:eastAsia="cs-CZ"/>
              </w:rPr>
            </w:pPr>
            <w:r>
              <w:rPr>
                <w:rFonts w:eastAsia="Times New Roman" w:cs="Times New Roman"/>
                <w:b/>
                <w:lang w:eastAsia="cs-CZ"/>
              </w:rPr>
              <w:t xml:space="preserve">2019/  </w:t>
            </w:r>
            <w:r w:rsidR="003870F8" w:rsidRPr="003870F8">
              <w:rPr>
                <w:rFonts w:eastAsia="Times New Roman" w:cs="Times New Roman"/>
                <w:b/>
                <w:lang w:eastAsia="cs-CZ"/>
              </w:rPr>
              <w:t xml:space="preserve">2018 </w:t>
            </w:r>
          </w:p>
          <w:p w:rsidR="003870F8" w:rsidRPr="003870F8" w:rsidRDefault="003870F8" w:rsidP="009A036B">
            <w:pPr>
              <w:spacing w:line="240" w:lineRule="auto"/>
              <w:jc w:val="center"/>
              <w:rPr>
                <w:rFonts w:eastAsia="Times New Roman" w:cs="Times New Roman"/>
                <w:b/>
                <w:lang w:eastAsia="cs-CZ"/>
              </w:rPr>
            </w:pPr>
            <w:r w:rsidRPr="003870F8">
              <w:rPr>
                <w:rFonts w:eastAsia="Times New Roman" w:cs="Times New Roman"/>
                <w:b/>
                <w:lang w:eastAsia="cs-CZ"/>
              </w:rPr>
              <w:t>(v %)</w:t>
            </w:r>
          </w:p>
        </w:tc>
      </w:tr>
      <w:tr w:rsidR="003870F8" w:rsidRPr="003870F8" w:rsidTr="00BA4EEA">
        <w:tc>
          <w:tcPr>
            <w:tcW w:w="2159" w:type="pct"/>
            <w:tcBorders>
              <w:top w:val="single" w:sz="4" w:space="0" w:color="auto"/>
              <w:left w:val="single" w:sz="8" w:space="0" w:color="7F7F7F" w:themeColor="text1" w:themeTint="80"/>
              <w:bottom w:val="single" w:sz="8" w:space="0" w:color="7F7F7F" w:themeColor="text1" w:themeTint="80"/>
              <w:right w:val="single" w:sz="4" w:space="0" w:color="auto"/>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a</w:t>
            </w:r>
          </w:p>
        </w:tc>
        <w:tc>
          <w:tcPr>
            <w:tcW w:w="735" w:type="pct"/>
            <w:tcBorders>
              <w:top w:val="single" w:sz="4" w:space="0" w:color="auto"/>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1</w:t>
            </w:r>
          </w:p>
        </w:tc>
        <w:tc>
          <w:tcPr>
            <w:tcW w:w="752" w:type="pct"/>
            <w:tcBorders>
              <w:top w:val="single" w:sz="4" w:space="0" w:color="auto"/>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2</w:t>
            </w:r>
          </w:p>
        </w:tc>
        <w:tc>
          <w:tcPr>
            <w:tcW w:w="764" w:type="pct"/>
            <w:tcBorders>
              <w:top w:val="single" w:sz="4" w:space="0" w:color="auto"/>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3</w:t>
            </w:r>
          </w:p>
        </w:tc>
        <w:tc>
          <w:tcPr>
            <w:tcW w:w="590" w:type="pct"/>
            <w:tcBorders>
              <w:top w:val="single" w:sz="4" w:space="0" w:color="auto"/>
              <w:left w:val="single" w:sz="4" w:space="0" w:color="auto"/>
              <w:bottom w:val="single" w:sz="8" w:space="0" w:color="7F7F7F" w:themeColor="text1" w:themeTint="80"/>
              <w:right w:val="single" w:sz="8" w:space="0" w:color="7F7F7F" w:themeColor="text1" w:themeTint="80"/>
            </w:tcBorders>
          </w:tcPr>
          <w:p w:rsidR="003870F8" w:rsidRPr="003870F8" w:rsidRDefault="003870F8" w:rsidP="009A036B">
            <w:pPr>
              <w:spacing w:line="240" w:lineRule="auto"/>
              <w:jc w:val="center"/>
              <w:rPr>
                <w:rFonts w:eastAsia="Times New Roman" w:cs="Times New Roman"/>
                <w:lang w:eastAsia="cs-CZ"/>
              </w:rPr>
            </w:pPr>
            <w:r w:rsidRPr="003870F8">
              <w:rPr>
                <w:rFonts w:eastAsia="Times New Roman" w:cs="Times New Roman"/>
                <w:lang w:eastAsia="cs-CZ"/>
              </w:rPr>
              <w:t>4</w:t>
            </w:r>
          </w:p>
        </w:tc>
      </w:tr>
      <w:tr w:rsidR="003870F8" w:rsidRPr="003870F8" w:rsidTr="00BA4EEA">
        <w:tc>
          <w:tcPr>
            <w:tcW w:w="2159" w:type="pct"/>
            <w:tcBorders>
              <w:top w:val="single" w:sz="8" w:space="0" w:color="7F7F7F" w:themeColor="text1" w:themeTint="80"/>
              <w:left w:val="single" w:sz="8" w:space="0" w:color="7F7F7F" w:themeColor="text1" w:themeTint="80"/>
              <w:bottom w:val="single" w:sz="8" w:space="0" w:color="7F7F7F" w:themeColor="text1" w:themeTint="80"/>
              <w:right w:val="single" w:sz="4" w:space="0" w:color="auto"/>
            </w:tcBorders>
          </w:tcPr>
          <w:p w:rsidR="003870F8" w:rsidRPr="003870F8" w:rsidRDefault="003870F8" w:rsidP="009A036B">
            <w:pPr>
              <w:spacing w:line="240" w:lineRule="auto"/>
              <w:rPr>
                <w:rFonts w:eastAsia="Times New Roman" w:cs="Times New Roman"/>
                <w:lang w:eastAsia="cs-CZ"/>
              </w:rPr>
            </w:pPr>
            <w:r w:rsidRPr="003870F8">
              <w:rPr>
                <w:rFonts w:eastAsia="Times New Roman" w:cs="Times New Roman"/>
                <w:b/>
                <w:lang w:eastAsia="cs-CZ"/>
              </w:rPr>
              <w:t>N</w:t>
            </w:r>
            <w:r w:rsidR="00CA24A2">
              <w:rPr>
                <w:rFonts w:eastAsia="Times New Roman" w:cs="Times New Roman"/>
                <w:b/>
                <w:lang w:eastAsia="cs-CZ"/>
              </w:rPr>
              <w:t>eziskové a podobné organizace</w:t>
            </w:r>
            <w:r w:rsidRPr="003870F8">
              <w:rPr>
                <w:rFonts w:eastAsia="Times New Roman" w:cs="Times New Roman"/>
                <w:b/>
                <w:lang w:eastAsia="cs-CZ"/>
              </w:rPr>
              <w:t xml:space="preserve"> - program 127 66 </w:t>
            </w:r>
            <w:r w:rsidRPr="003870F8">
              <w:rPr>
                <w:rFonts w:eastAsia="Times New Roman" w:cs="Times New Roman"/>
                <w:lang w:eastAsia="cs-CZ"/>
              </w:rPr>
              <w:t>v tom:</w:t>
            </w:r>
          </w:p>
        </w:tc>
        <w:tc>
          <w:tcPr>
            <w:tcW w:w="735" w:type="pct"/>
            <w:tcBorders>
              <w:top w:val="single" w:sz="8" w:space="0" w:color="7F7F7F" w:themeColor="text1" w:themeTint="80"/>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 xml:space="preserve"> 307</w:t>
            </w:r>
          </w:p>
        </w:tc>
        <w:tc>
          <w:tcPr>
            <w:tcW w:w="752" w:type="pct"/>
            <w:tcBorders>
              <w:top w:val="single" w:sz="8" w:space="0" w:color="7F7F7F" w:themeColor="text1" w:themeTint="80"/>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0</w:t>
            </w:r>
          </w:p>
        </w:tc>
        <w:tc>
          <w:tcPr>
            <w:tcW w:w="764" w:type="pct"/>
            <w:tcBorders>
              <w:top w:val="single" w:sz="8" w:space="0" w:color="7F7F7F" w:themeColor="text1" w:themeTint="80"/>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0</w:t>
            </w:r>
          </w:p>
        </w:tc>
        <w:tc>
          <w:tcPr>
            <w:tcW w:w="590" w:type="pct"/>
            <w:tcBorders>
              <w:top w:val="single" w:sz="8" w:space="0" w:color="7F7F7F" w:themeColor="text1" w:themeTint="80"/>
              <w:left w:val="single" w:sz="4" w:space="0" w:color="auto"/>
              <w:bottom w:val="single" w:sz="8" w:space="0" w:color="7F7F7F" w:themeColor="text1" w:themeTint="80"/>
              <w:right w:val="single" w:sz="8" w:space="0" w:color="7F7F7F" w:themeColor="text1" w:themeTint="80"/>
            </w:tcBorders>
          </w:tcPr>
          <w:p w:rsidR="003870F8" w:rsidRPr="003870F8" w:rsidRDefault="003870F8" w:rsidP="009A036B">
            <w:pPr>
              <w:spacing w:line="240" w:lineRule="auto"/>
              <w:jc w:val="right"/>
              <w:rPr>
                <w:rFonts w:eastAsia="Times New Roman" w:cs="Times New Roman"/>
                <w:b/>
                <w:lang w:eastAsia="cs-CZ"/>
              </w:rPr>
            </w:pPr>
            <w:r w:rsidRPr="003870F8">
              <w:rPr>
                <w:rFonts w:eastAsia="Times New Roman" w:cs="Times New Roman"/>
                <w:b/>
                <w:lang w:eastAsia="cs-CZ"/>
              </w:rPr>
              <w:t>x</w:t>
            </w:r>
          </w:p>
        </w:tc>
      </w:tr>
      <w:tr w:rsidR="003870F8" w:rsidRPr="003870F8" w:rsidTr="00BA4EEA">
        <w:tc>
          <w:tcPr>
            <w:tcW w:w="2159" w:type="pct"/>
            <w:tcBorders>
              <w:top w:val="single" w:sz="8" w:space="0" w:color="7F7F7F" w:themeColor="text1" w:themeTint="80"/>
              <w:left w:val="single" w:sz="8" w:space="0" w:color="7F7F7F" w:themeColor="text1" w:themeTint="80"/>
              <w:bottom w:val="nil"/>
              <w:right w:val="single" w:sz="4" w:space="0" w:color="auto"/>
            </w:tcBorders>
          </w:tcPr>
          <w:p w:rsidR="003870F8" w:rsidRPr="003870F8" w:rsidRDefault="003870F8" w:rsidP="009A036B">
            <w:pPr>
              <w:spacing w:line="240" w:lineRule="auto"/>
              <w:rPr>
                <w:rFonts w:eastAsia="Times New Roman" w:cs="Times New Roman"/>
                <w:lang w:eastAsia="cs-CZ"/>
              </w:rPr>
            </w:pPr>
            <w:r w:rsidRPr="003870F8">
              <w:rPr>
                <w:rFonts w:eastAsia="Times New Roman" w:cs="Times New Roman"/>
                <w:lang w:eastAsia="cs-CZ"/>
              </w:rPr>
              <w:t>běžné výdaje celkem v tom:</w:t>
            </w:r>
          </w:p>
        </w:tc>
        <w:tc>
          <w:tcPr>
            <w:tcW w:w="735" w:type="pct"/>
            <w:tcBorders>
              <w:top w:val="single" w:sz="8" w:space="0" w:color="7F7F7F" w:themeColor="text1" w:themeTint="80"/>
              <w:left w:val="single" w:sz="4" w:space="0" w:color="auto"/>
              <w:bottom w:val="nil"/>
              <w:right w:val="single" w:sz="4" w:space="0" w:color="auto"/>
            </w:tcBorders>
          </w:tcPr>
          <w:p w:rsidR="003870F8" w:rsidRPr="003870F8" w:rsidRDefault="003870F8" w:rsidP="009A036B">
            <w:pPr>
              <w:spacing w:line="240" w:lineRule="auto"/>
              <w:jc w:val="right"/>
              <w:rPr>
                <w:rFonts w:eastAsia="Times New Roman" w:cs="Times New Roman"/>
                <w:vertAlign w:val="superscript"/>
                <w:lang w:eastAsia="cs-CZ"/>
              </w:rPr>
            </w:pPr>
            <w:r w:rsidRPr="003870F8">
              <w:rPr>
                <w:rFonts w:eastAsia="Times New Roman" w:cs="Times New Roman"/>
                <w:lang w:eastAsia="cs-CZ"/>
              </w:rPr>
              <w:t xml:space="preserve"> 307</w:t>
            </w:r>
          </w:p>
        </w:tc>
        <w:tc>
          <w:tcPr>
            <w:tcW w:w="752" w:type="pct"/>
            <w:tcBorders>
              <w:top w:val="single" w:sz="8" w:space="0" w:color="7F7F7F" w:themeColor="text1" w:themeTint="80"/>
              <w:left w:val="single" w:sz="4" w:space="0" w:color="auto"/>
              <w:bottom w:val="nil"/>
              <w:right w:val="single" w:sz="4" w:space="0" w:color="auto"/>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764" w:type="pct"/>
            <w:tcBorders>
              <w:top w:val="single" w:sz="8" w:space="0" w:color="7F7F7F" w:themeColor="text1" w:themeTint="80"/>
              <w:left w:val="single" w:sz="4" w:space="0" w:color="auto"/>
              <w:bottom w:val="nil"/>
              <w:right w:val="single" w:sz="4" w:space="0" w:color="auto"/>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0</w:t>
            </w:r>
          </w:p>
        </w:tc>
        <w:tc>
          <w:tcPr>
            <w:tcW w:w="590" w:type="pct"/>
            <w:tcBorders>
              <w:top w:val="single" w:sz="8" w:space="0" w:color="7F7F7F" w:themeColor="text1" w:themeTint="80"/>
              <w:left w:val="single" w:sz="4" w:space="0" w:color="auto"/>
              <w:bottom w:val="nil"/>
              <w:right w:val="single" w:sz="8" w:space="0" w:color="7F7F7F" w:themeColor="text1" w:themeTint="80"/>
            </w:tcBorders>
          </w:tcPr>
          <w:p w:rsidR="003870F8" w:rsidRPr="003870F8" w:rsidRDefault="003870F8" w:rsidP="009A036B">
            <w:pPr>
              <w:spacing w:line="240" w:lineRule="auto"/>
              <w:jc w:val="right"/>
              <w:rPr>
                <w:rFonts w:eastAsia="Times New Roman" w:cs="Times New Roman"/>
                <w:lang w:eastAsia="cs-CZ"/>
              </w:rPr>
            </w:pPr>
            <w:r w:rsidRPr="003870F8">
              <w:rPr>
                <w:rFonts w:eastAsia="Times New Roman" w:cs="Times New Roman"/>
                <w:lang w:eastAsia="cs-CZ"/>
              </w:rPr>
              <w:t>x</w:t>
            </w:r>
          </w:p>
        </w:tc>
      </w:tr>
      <w:tr w:rsidR="003870F8" w:rsidRPr="003870F8" w:rsidTr="00BA4EEA">
        <w:tc>
          <w:tcPr>
            <w:tcW w:w="2159" w:type="pct"/>
            <w:tcBorders>
              <w:top w:val="nil"/>
              <w:left w:val="single" w:sz="8" w:space="0" w:color="7F7F7F" w:themeColor="text1" w:themeTint="80"/>
              <w:bottom w:val="nil"/>
              <w:right w:val="single" w:sz="4" w:space="0" w:color="auto"/>
            </w:tcBorders>
          </w:tcPr>
          <w:p w:rsidR="003870F8" w:rsidRPr="003870F8" w:rsidRDefault="003870F8" w:rsidP="009A036B">
            <w:pPr>
              <w:spacing w:line="240" w:lineRule="auto"/>
              <w:rPr>
                <w:rFonts w:eastAsia="Times New Roman" w:cs="Times New Roman"/>
                <w:i/>
                <w:lang w:eastAsia="cs-CZ"/>
              </w:rPr>
            </w:pPr>
            <w:r w:rsidRPr="003870F8">
              <w:rPr>
                <w:rFonts w:eastAsia="Times New Roman" w:cs="Times New Roman"/>
                <w:i/>
                <w:lang w:eastAsia="cs-CZ"/>
              </w:rPr>
              <w:t xml:space="preserve">      prostředky SR</w:t>
            </w:r>
          </w:p>
        </w:tc>
        <w:tc>
          <w:tcPr>
            <w:tcW w:w="735" w:type="pct"/>
            <w:tcBorders>
              <w:top w:val="nil"/>
              <w:left w:val="single" w:sz="4" w:space="0" w:color="auto"/>
              <w:bottom w:val="nil"/>
              <w:right w:val="single" w:sz="4" w:space="0" w:color="auto"/>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 xml:space="preserve"> 307</w:t>
            </w:r>
          </w:p>
        </w:tc>
        <w:tc>
          <w:tcPr>
            <w:tcW w:w="752" w:type="pct"/>
            <w:tcBorders>
              <w:top w:val="nil"/>
              <w:left w:val="single" w:sz="4" w:space="0" w:color="auto"/>
              <w:bottom w:val="nil"/>
              <w:right w:val="single" w:sz="4" w:space="0" w:color="auto"/>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64" w:type="pct"/>
            <w:tcBorders>
              <w:top w:val="nil"/>
              <w:left w:val="single" w:sz="4" w:space="0" w:color="auto"/>
              <w:bottom w:val="nil"/>
              <w:right w:val="single" w:sz="4" w:space="0" w:color="auto"/>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590" w:type="pct"/>
            <w:tcBorders>
              <w:top w:val="nil"/>
              <w:left w:val="single" w:sz="4" w:space="0" w:color="auto"/>
              <w:bottom w:val="nil"/>
              <w:right w:val="single" w:sz="8"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x</w:t>
            </w:r>
          </w:p>
        </w:tc>
      </w:tr>
      <w:tr w:rsidR="003870F8" w:rsidRPr="003870F8" w:rsidTr="00BA4EEA">
        <w:tc>
          <w:tcPr>
            <w:tcW w:w="2159" w:type="pct"/>
            <w:tcBorders>
              <w:top w:val="nil"/>
              <w:left w:val="single" w:sz="8" w:space="0" w:color="7F7F7F" w:themeColor="text1" w:themeTint="80"/>
              <w:bottom w:val="single" w:sz="8" w:space="0" w:color="7F7F7F" w:themeColor="text1" w:themeTint="80"/>
              <w:right w:val="single" w:sz="4" w:space="0" w:color="auto"/>
            </w:tcBorders>
          </w:tcPr>
          <w:p w:rsidR="003870F8" w:rsidRPr="003870F8" w:rsidRDefault="003870F8" w:rsidP="009A036B">
            <w:pPr>
              <w:spacing w:line="240" w:lineRule="auto"/>
              <w:rPr>
                <w:rFonts w:eastAsia="Times New Roman" w:cs="Times New Roman"/>
                <w:i/>
                <w:lang w:eastAsia="cs-CZ"/>
              </w:rPr>
            </w:pPr>
            <w:r w:rsidRPr="003870F8">
              <w:rPr>
                <w:rFonts w:eastAsia="Times New Roman" w:cs="Times New Roman"/>
                <w:i/>
                <w:lang w:eastAsia="cs-CZ"/>
              </w:rPr>
              <w:t xml:space="preserve">      prostředky z fondů EU</w:t>
            </w:r>
          </w:p>
        </w:tc>
        <w:tc>
          <w:tcPr>
            <w:tcW w:w="735" w:type="pct"/>
            <w:tcBorders>
              <w:top w:val="nil"/>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52" w:type="pct"/>
            <w:tcBorders>
              <w:top w:val="nil"/>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764" w:type="pct"/>
            <w:tcBorders>
              <w:top w:val="nil"/>
              <w:left w:val="single" w:sz="4" w:space="0" w:color="auto"/>
              <w:bottom w:val="single" w:sz="8" w:space="0" w:color="7F7F7F" w:themeColor="text1" w:themeTint="80"/>
              <w:right w:val="single" w:sz="4" w:space="0" w:color="auto"/>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0</w:t>
            </w:r>
          </w:p>
        </w:tc>
        <w:tc>
          <w:tcPr>
            <w:tcW w:w="590" w:type="pct"/>
            <w:tcBorders>
              <w:top w:val="nil"/>
              <w:left w:val="single" w:sz="4" w:space="0" w:color="auto"/>
              <w:bottom w:val="single" w:sz="8" w:space="0" w:color="7F7F7F" w:themeColor="text1" w:themeTint="80"/>
              <w:right w:val="single" w:sz="8" w:space="0" w:color="7F7F7F" w:themeColor="text1" w:themeTint="80"/>
            </w:tcBorders>
          </w:tcPr>
          <w:p w:rsidR="003870F8" w:rsidRPr="003870F8" w:rsidRDefault="003870F8" w:rsidP="009A036B">
            <w:pPr>
              <w:spacing w:line="240" w:lineRule="auto"/>
              <w:jc w:val="right"/>
              <w:rPr>
                <w:rFonts w:eastAsia="Times New Roman" w:cs="Times New Roman"/>
                <w:i/>
                <w:lang w:eastAsia="cs-CZ"/>
              </w:rPr>
            </w:pPr>
            <w:r w:rsidRPr="003870F8">
              <w:rPr>
                <w:rFonts w:eastAsia="Times New Roman" w:cs="Times New Roman"/>
                <w:i/>
                <w:lang w:eastAsia="cs-CZ"/>
              </w:rPr>
              <w:t>x</w:t>
            </w:r>
          </w:p>
        </w:tc>
      </w:tr>
    </w:tbl>
    <w:p w:rsidR="00BD28A7" w:rsidRPr="008B655F" w:rsidRDefault="000E081D" w:rsidP="00D00A45">
      <w:pPr>
        <w:pStyle w:val="Nadpis2"/>
      </w:pPr>
      <w:bookmarkStart w:id="109" w:name="_Toc462314408"/>
      <w:bookmarkStart w:id="110" w:name="_Toc526424708"/>
      <w:r w:rsidRPr="00D00A45">
        <w:t>P</w:t>
      </w:r>
      <w:r w:rsidR="00BD28A7" w:rsidRPr="00D00A45">
        <w:t>rostředky</w:t>
      </w:r>
      <w:r w:rsidR="00BD28A7" w:rsidRPr="008B655F">
        <w:t xml:space="preserve"> </w:t>
      </w:r>
      <w:r w:rsidR="00BD28A7" w:rsidRPr="00BA4EEA">
        <w:t>fondů</w:t>
      </w:r>
      <w:r w:rsidR="00BD28A7" w:rsidRPr="008B655F">
        <w:t xml:space="preserve"> Evropské unie</w:t>
      </w:r>
      <w:bookmarkEnd w:id="109"/>
      <w:bookmarkEnd w:id="110"/>
    </w:p>
    <w:p w:rsidR="008B655F" w:rsidRPr="00D00A45" w:rsidRDefault="008B655F" w:rsidP="00D00A45">
      <w:pPr>
        <w:pStyle w:val="Styl1"/>
        <w:rPr>
          <w:b/>
          <w:color w:val="FF0000"/>
        </w:rPr>
      </w:pPr>
      <w:bookmarkStart w:id="111" w:name="_Toc304375475"/>
      <w:bookmarkStart w:id="112" w:name="_Toc462314412"/>
      <w:r w:rsidRPr="00C211B2">
        <w:t xml:space="preserve">Návrh rozpočtu kapitoly 327 MD na rok 2019 předpokládá objem prostředků fondů Evropské unie v celkové </w:t>
      </w:r>
      <w:r w:rsidRPr="006438E0">
        <w:t xml:space="preserve">výši </w:t>
      </w:r>
      <w:r w:rsidRPr="006438E0">
        <w:rPr>
          <w:b/>
          <w:bCs/>
        </w:rPr>
        <w:t xml:space="preserve">18 869 733 </w:t>
      </w:r>
      <w:r w:rsidRPr="006438E0">
        <w:rPr>
          <w:b/>
        </w:rPr>
        <w:t>tis. Kč.</w:t>
      </w:r>
      <w:r w:rsidRPr="006438E0">
        <w:t xml:space="preserve"> </w:t>
      </w:r>
      <w:r w:rsidRPr="00822C89">
        <w:t xml:space="preserve">V této částce jsou zahrnuty prostředky programového období </w:t>
      </w:r>
      <w:r w:rsidRPr="00822C89">
        <w:rPr>
          <w:u w:val="single"/>
        </w:rPr>
        <w:t>2014-2020</w:t>
      </w:r>
      <w:r w:rsidRPr="00822C89">
        <w:t xml:space="preserve"> (Operační program Doprava 2014 - 2020 – Kohezní fond                     a Strukturální fondy), komunitární programy a Operační program Zaměstnanost. Spolufinancování z kapitoly 327 MD se předpokládá ve výši </w:t>
      </w:r>
      <w:r>
        <w:rPr>
          <w:b/>
        </w:rPr>
        <w:t>13 047</w:t>
      </w:r>
      <w:r w:rsidRPr="005832E2">
        <w:rPr>
          <w:b/>
        </w:rPr>
        <w:t xml:space="preserve"> tis. Kč.</w:t>
      </w:r>
    </w:p>
    <w:p w:rsidR="00D4300A" w:rsidRPr="008B655F" w:rsidRDefault="00D4300A" w:rsidP="00755422">
      <w:pPr>
        <w:spacing w:after="120" w:line="240" w:lineRule="auto"/>
        <w:rPr>
          <w:rFonts w:eastAsia="Times New Roman" w:cs="Times New Roman"/>
          <w:b/>
          <w:sz w:val="20"/>
          <w:szCs w:val="20"/>
          <w:lang w:eastAsia="cs-CZ"/>
        </w:rPr>
      </w:pPr>
      <w:r w:rsidRPr="008B655F">
        <w:rPr>
          <w:rFonts w:eastAsia="Times New Roman" w:cs="Times New Roman"/>
          <w:b/>
          <w:sz w:val="20"/>
          <w:szCs w:val="20"/>
          <w:lang w:eastAsia="cs-CZ"/>
        </w:rPr>
        <w:t xml:space="preserve">Tabulka č. </w:t>
      </w:r>
      <w:r w:rsidRPr="008B655F">
        <w:rPr>
          <w:rFonts w:eastAsia="Times New Roman" w:cs="Times New Roman"/>
          <w:b/>
          <w:sz w:val="20"/>
          <w:szCs w:val="20"/>
          <w:lang w:eastAsia="cs-CZ"/>
        </w:rPr>
        <w:fldChar w:fldCharType="begin"/>
      </w:r>
      <w:r w:rsidRPr="008B655F">
        <w:rPr>
          <w:rFonts w:eastAsia="Times New Roman" w:cs="Times New Roman"/>
          <w:b/>
          <w:sz w:val="20"/>
          <w:szCs w:val="20"/>
          <w:lang w:eastAsia="cs-CZ"/>
        </w:rPr>
        <w:instrText xml:space="preserve"> SEQ Tabulka \* ARABIC </w:instrText>
      </w:r>
      <w:r w:rsidRPr="008B655F">
        <w:rPr>
          <w:rFonts w:eastAsia="Times New Roman" w:cs="Times New Roman"/>
          <w:b/>
          <w:sz w:val="20"/>
          <w:szCs w:val="20"/>
          <w:lang w:eastAsia="cs-CZ"/>
        </w:rPr>
        <w:fldChar w:fldCharType="separate"/>
      </w:r>
      <w:r w:rsidR="00AF5225">
        <w:rPr>
          <w:rFonts w:eastAsia="Times New Roman" w:cs="Times New Roman"/>
          <w:b/>
          <w:noProof/>
          <w:sz w:val="20"/>
          <w:szCs w:val="20"/>
          <w:lang w:eastAsia="cs-CZ"/>
        </w:rPr>
        <w:t>44</w:t>
      </w:r>
      <w:r w:rsidRPr="008B655F">
        <w:rPr>
          <w:rFonts w:eastAsia="Times New Roman" w:cs="Times New Roman"/>
          <w:b/>
          <w:sz w:val="20"/>
          <w:szCs w:val="20"/>
          <w:lang w:eastAsia="cs-CZ"/>
        </w:rPr>
        <w:fldChar w:fldCharType="end"/>
      </w:r>
      <w:r w:rsidRPr="008B655F">
        <w:rPr>
          <w:rFonts w:eastAsia="Times New Roman" w:cs="Times New Roman"/>
          <w:b/>
          <w:sz w:val="20"/>
          <w:szCs w:val="20"/>
          <w:lang w:eastAsia="cs-CZ"/>
        </w:rPr>
        <w:t xml:space="preserve"> Přehled výdajů Evropské unie (v</w:t>
      </w:r>
      <w:r w:rsidR="00C14A62">
        <w:rPr>
          <w:rFonts w:eastAsia="Times New Roman" w:cs="Times New Roman"/>
          <w:b/>
          <w:sz w:val="20"/>
          <w:szCs w:val="20"/>
          <w:lang w:eastAsia="cs-CZ"/>
        </w:rPr>
        <w:t xml:space="preserve"> tis.</w:t>
      </w:r>
      <w:r w:rsidRPr="008B655F">
        <w:rPr>
          <w:rFonts w:eastAsia="Times New Roman" w:cs="Times New Roman"/>
          <w:b/>
          <w:sz w:val="20"/>
          <w:szCs w:val="20"/>
          <w:lang w:eastAsia="cs-CZ"/>
        </w:rPr>
        <w:t xml:space="preserve"> Kč)</w:t>
      </w:r>
    </w:p>
    <w:tbl>
      <w:tblPr>
        <w:tblStyle w:val="Prosttabulka2"/>
        <w:tblW w:w="9085"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139"/>
        <w:gridCol w:w="1446"/>
        <w:gridCol w:w="1757"/>
        <w:gridCol w:w="1743"/>
      </w:tblGrid>
      <w:tr w:rsidR="008B655F" w:rsidRPr="005832E2" w:rsidTr="00BA4EEA">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139" w:type="dxa"/>
            <w:shd w:val="thinReverseDiagStripe" w:color="D9D9D9" w:themeColor="background1" w:themeShade="D9" w:fill="auto"/>
          </w:tcPr>
          <w:p w:rsidR="008B655F" w:rsidRPr="005832E2" w:rsidRDefault="008B655F" w:rsidP="00363483">
            <w:pPr>
              <w:spacing w:before="120"/>
              <w:jc w:val="center"/>
              <w:rPr>
                <w:rFonts w:cs="Times New Roman"/>
                <w:b/>
                <w:bCs/>
              </w:rPr>
            </w:pPr>
            <w:r w:rsidRPr="005832E2">
              <w:rPr>
                <w:rFonts w:cs="Times New Roman"/>
                <w:b/>
                <w:bCs/>
              </w:rPr>
              <w:t>Titul</w:t>
            </w:r>
          </w:p>
        </w:tc>
        <w:tc>
          <w:tcPr>
            <w:cnfStyle w:val="000001000000" w:firstRow="0" w:lastRow="0" w:firstColumn="0" w:lastColumn="0" w:oddVBand="0" w:evenVBand="1" w:oddHBand="0" w:evenHBand="0" w:firstRowFirstColumn="0" w:firstRowLastColumn="0" w:lastRowFirstColumn="0" w:lastRowLastColumn="0"/>
            <w:tcW w:w="1446" w:type="dxa"/>
            <w:shd w:val="thinReverseDiagStripe" w:color="D9D9D9" w:themeColor="background1" w:themeShade="D9" w:fill="auto"/>
          </w:tcPr>
          <w:p w:rsidR="008B655F" w:rsidRPr="005832E2" w:rsidRDefault="008B655F" w:rsidP="00363483">
            <w:pPr>
              <w:jc w:val="center"/>
              <w:rPr>
                <w:rFonts w:cs="Times New Roman"/>
                <w:b/>
                <w:bCs/>
              </w:rPr>
            </w:pPr>
            <w:r w:rsidRPr="005832E2">
              <w:rPr>
                <w:rFonts w:cs="Times New Roman"/>
                <w:b/>
                <w:bCs/>
              </w:rPr>
              <w:t xml:space="preserve">Běžné </w:t>
            </w:r>
          </w:p>
          <w:p w:rsidR="008B655F" w:rsidRPr="005832E2" w:rsidRDefault="008B655F" w:rsidP="00363483">
            <w:pPr>
              <w:jc w:val="center"/>
              <w:rPr>
                <w:rFonts w:cs="Times New Roman"/>
                <w:b/>
                <w:bCs/>
              </w:rPr>
            </w:pPr>
            <w:r w:rsidRPr="005832E2">
              <w:rPr>
                <w:rFonts w:cs="Times New Roman"/>
                <w:b/>
                <w:bCs/>
              </w:rPr>
              <w:t>výdaje</w:t>
            </w:r>
          </w:p>
        </w:tc>
        <w:tc>
          <w:tcPr>
            <w:cnfStyle w:val="000010000000" w:firstRow="0" w:lastRow="0" w:firstColumn="0" w:lastColumn="0" w:oddVBand="1" w:evenVBand="0" w:oddHBand="0" w:evenHBand="0" w:firstRowFirstColumn="0" w:firstRowLastColumn="0" w:lastRowFirstColumn="0" w:lastRowLastColumn="0"/>
            <w:tcW w:w="1757" w:type="dxa"/>
            <w:shd w:val="thinReverseDiagStripe" w:color="D9D9D9" w:themeColor="background1" w:themeShade="D9" w:fill="auto"/>
          </w:tcPr>
          <w:p w:rsidR="008B655F" w:rsidRPr="005832E2" w:rsidRDefault="008B655F" w:rsidP="00363483">
            <w:pPr>
              <w:ind w:left="180" w:hanging="180"/>
              <w:jc w:val="center"/>
              <w:rPr>
                <w:rFonts w:cs="Times New Roman"/>
                <w:b/>
                <w:bCs/>
              </w:rPr>
            </w:pPr>
            <w:r w:rsidRPr="005832E2">
              <w:rPr>
                <w:rFonts w:cs="Times New Roman"/>
                <w:b/>
                <w:bCs/>
              </w:rPr>
              <w:t>Kapitálové výdaje</w:t>
            </w:r>
          </w:p>
        </w:tc>
        <w:tc>
          <w:tcPr>
            <w:cnfStyle w:val="000001000000" w:firstRow="0" w:lastRow="0" w:firstColumn="0" w:lastColumn="0" w:oddVBand="0" w:evenVBand="1" w:oddHBand="0" w:evenHBand="0" w:firstRowFirstColumn="0" w:firstRowLastColumn="0" w:lastRowFirstColumn="0" w:lastRowLastColumn="0"/>
            <w:tcW w:w="1743" w:type="dxa"/>
            <w:shd w:val="thinReverseDiagStripe" w:color="D9D9D9" w:themeColor="background1" w:themeShade="D9" w:fill="auto"/>
          </w:tcPr>
          <w:p w:rsidR="008B655F" w:rsidRPr="005832E2" w:rsidRDefault="008B655F" w:rsidP="00363483">
            <w:pPr>
              <w:spacing w:before="120"/>
              <w:jc w:val="center"/>
              <w:rPr>
                <w:rFonts w:cs="Times New Roman"/>
                <w:b/>
                <w:bCs/>
              </w:rPr>
            </w:pPr>
            <w:r w:rsidRPr="005832E2">
              <w:rPr>
                <w:rFonts w:cs="Times New Roman"/>
                <w:b/>
                <w:bCs/>
              </w:rPr>
              <w:t>Celkem</w:t>
            </w:r>
          </w:p>
        </w:tc>
      </w:tr>
      <w:tr w:rsidR="008B655F" w:rsidRPr="0001421C" w:rsidTr="00BA4EEA">
        <w:trPr>
          <w:trHeight w:val="452"/>
        </w:trPr>
        <w:tc>
          <w:tcPr>
            <w:cnfStyle w:val="000010000000" w:firstRow="0" w:lastRow="0" w:firstColumn="0" w:lastColumn="0" w:oddVBand="1" w:evenVBand="0" w:oddHBand="0" w:evenHBand="0" w:firstRowFirstColumn="0" w:firstRowLastColumn="0" w:lastRowFirstColumn="0" w:lastRowLastColumn="0"/>
            <w:tcW w:w="4139" w:type="dxa"/>
          </w:tcPr>
          <w:p w:rsidR="008B655F" w:rsidRPr="005832E2" w:rsidRDefault="008B655F" w:rsidP="00363483">
            <w:pPr>
              <w:spacing w:before="120"/>
              <w:rPr>
                <w:rFonts w:cs="Times New Roman"/>
                <w:bCs/>
              </w:rPr>
            </w:pPr>
            <w:r w:rsidRPr="005832E2">
              <w:rPr>
                <w:rFonts w:cs="Times New Roman"/>
                <w:b/>
                <w:bCs/>
              </w:rPr>
              <w:t>Společné programy ČR a EU</w:t>
            </w:r>
            <w:r w:rsidRPr="005832E2">
              <w:rPr>
                <w:rFonts w:cs="Times New Roman"/>
                <w:bCs/>
              </w:rPr>
              <w:t xml:space="preserve"> v tom:</w:t>
            </w:r>
          </w:p>
        </w:tc>
        <w:tc>
          <w:tcPr>
            <w:cnfStyle w:val="000001000000" w:firstRow="0" w:lastRow="0" w:firstColumn="0" w:lastColumn="0" w:oddVBand="0" w:evenVBand="1" w:oddHBand="0" w:evenHBand="0" w:firstRowFirstColumn="0" w:firstRowLastColumn="0" w:lastRowFirstColumn="0" w:lastRowLastColumn="0"/>
            <w:tcW w:w="1446" w:type="dxa"/>
          </w:tcPr>
          <w:p w:rsidR="008B655F" w:rsidRPr="005832E2" w:rsidRDefault="00C14A62" w:rsidP="00363483">
            <w:pPr>
              <w:spacing w:before="120"/>
              <w:jc w:val="right"/>
              <w:rPr>
                <w:rFonts w:cs="Times New Roman"/>
                <w:b/>
                <w:bCs/>
              </w:rPr>
            </w:pPr>
            <w:r>
              <w:rPr>
                <w:rFonts w:cs="Times New Roman"/>
                <w:b/>
                <w:bCs/>
              </w:rPr>
              <w:t>142 491</w:t>
            </w:r>
          </w:p>
        </w:tc>
        <w:tc>
          <w:tcPr>
            <w:cnfStyle w:val="000010000000" w:firstRow="0" w:lastRow="0" w:firstColumn="0" w:lastColumn="0" w:oddVBand="1" w:evenVBand="0" w:oddHBand="0" w:evenHBand="0" w:firstRowFirstColumn="0" w:firstRowLastColumn="0" w:lastRowFirstColumn="0" w:lastRowLastColumn="0"/>
            <w:tcW w:w="1757" w:type="dxa"/>
          </w:tcPr>
          <w:p w:rsidR="008B655F" w:rsidRPr="0001421C" w:rsidRDefault="00C14A62" w:rsidP="00363483">
            <w:pPr>
              <w:spacing w:before="120"/>
              <w:jc w:val="right"/>
              <w:rPr>
                <w:rFonts w:cs="Times New Roman"/>
                <w:b/>
                <w:bCs/>
                <w:color w:val="FF0000"/>
              </w:rPr>
            </w:pPr>
            <w:r>
              <w:rPr>
                <w:rFonts w:cs="Times New Roman"/>
                <w:b/>
                <w:bCs/>
              </w:rPr>
              <w:t>18 727 243</w:t>
            </w:r>
          </w:p>
        </w:tc>
        <w:tc>
          <w:tcPr>
            <w:cnfStyle w:val="000001000000" w:firstRow="0" w:lastRow="0" w:firstColumn="0" w:lastColumn="0" w:oddVBand="0" w:evenVBand="1" w:oddHBand="0" w:evenHBand="0" w:firstRowFirstColumn="0" w:firstRowLastColumn="0" w:lastRowFirstColumn="0" w:lastRowLastColumn="0"/>
            <w:tcW w:w="1743" w:type="dxa"/>
          </w:tcPr>
          <w:p w:rsidR="008B655F" w:rsidRPr="0001421C" w:rsidRDefault="00C14A62" w:rsidP="00363483">
            <w:pPr>
              <w:tabs>
                <w:tab w:val="left" w:pos="0"/>
              </w:tabs>
              <w:spacing w:before="120"/>
              <w:jc w:val="right"/>
              <w:rPr>
                <w:rFonts w:cs="Times New Roman"/>
                <w:b/>
                <w:bCs/>
                <w:color w:val="FF0000"/>
              </w:rPr>
            </w:pPr>
            <w:r>
              <w:rPr>
                <w:rFonts w:cs="Times New Roman"/>
                <w:b/>
                <w:bCs/>
              </w:rPr>
              <w:t>18 869 733</w:t>
            </w:r>
          </w:p>
        </w:tc>
      </w:tr>
      <w:tr w:rsidR="008B655F" w:rsidRPr="00641A4E" w:rsidTr="00BA4EEA">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139" w:type="dxa"/>
          </w:tcPr>
          <w:p w:rsidR="008B655F" w:rsidRPr="00641A4E" w:rsidRDefault="008B655F" w:rsidP="00363483">
            <w:pPr>
              <w:tabs>
                <w:tab w:val="left" w:pos="330"/>
              </w:tabs>
              <w:rPr>
                <w:rFonts w:cs="Times New Roman"/>
              </w:rPr>
            </w:pPr>
            <w:r w:rsidRPr="00641A4E">
              <w:rPr>
                <w:rFonts w:cs="Times New Roman"/>
                <w:b/>
              </w:rPr>
              <w:t>Programové období 2014-2020</w:t>
            </w:r>
            <w:r w:rsidRPr="00641A4E">
              <w:rPr>
                <w:rFonts w:cs="Times New Roman"/>
              </w:rPr>
              <w:t xml:space="preserve"> v tom:</w:t>
            </w:r>
          </w:p>
        </w:tc>
        <w:tc>
          <w:tcPr>
            <w:cnfStyle w:val="000001000000" w:firstRow="0" w:lastRow="0" w:firstColumn="0" w:lastColumn="0" w:oddVBand="0" w:evenVBand="1" w:oddHBand="0" w:evenHBand="0" w:firstRowFirstColumn="0" w:firstRowLastColumn="0" w:lastRowFirstColumn="0" w:lastRowLastColumn="0"/>
            <w:tcW w:w="1446" w:type="dxa"/>
          </w:tcPr>
          <w:p w:rsidR="008B655F" w:rsidRPr="00641A4E" w:rsidRDefault="00C14A62" w:rsidP="00363483">
            <w:pPr>
              <w:jc w:val="right"/>
              <w:rPr>
                <w:rFonts w:cs="Times New Roman"/>
                <w:b/>
              </w:rPr>
            </w:pPr>
            <w:r>
              <w:rPr>
                <w:rFonts w:cs="Times New Roman"/>
                <w:b/>
              </w:rPr>
              <w:t>142 491</w:t>
            </w:r>
          </w:p>
        </w:tc>
        <w:tc>
          <w:tcPr>
            <w:cnfStyle w:val="000010000000" w:firstRow="0" w:lastRow="0" w:firstColumn="0" w:lastColumn="0" w:oddVBand="1" w:evenVBand="0" w:oddHBand="0" w:evenHBand="0" w:firstRowFirstColumn="0" w:firstRowLastColumn="0" w:lastRowFirstColumn="0" w:lastRowLastColumn="0"/>
            <w:tcW w:w="1757" w:type="dxa"/>
          </w:tcPr>
          <w:p w:rsidR="008B655F" w:rsidRPr="00641A4E" w:rsidRDefault="00C14A62" w:rsidP="00363483">
            <w:pPr>
              <w:jc w:val="right"/>
              <w:rPr>
                <w:rFonts w:cs="Times New Roman"/>
                <w:b/>
              </w:rPr>
            </w:pPr>
            <w:r>
              <w:rPr>
                <w:rFonts w:cs="Times New Roman"/>
                <w:b/>
              </w:rPr>
              <w:t>18 727 243</w:t>
            </w:r>
          </w:p>
        </w:tc>
        <w:tc>
          <w:tcPr>
            <w:cnfStyle w:val="000001000000" w:firstRow="0" w:lastRow="0" w:firstColumn="0" w:lastColumn="0" w:oddVBand="0" w:evenVBand="1" w:oddHBand="0" w:evenHBand="0" w:firstRowFirstColumn="0" w:firstRowLastColumn="0" w:lastRowFirstColumn="0" w:lastRowLastColumn="0"/>
            <w:tcW w:w="1743" w:type="dxa"/>
          </w:tcPr>
          <w:p w:rsidR="008B655F" w:rsidRPr="00641A4E" w:rsidRDefault="00C14A62" w:rsidP="00363483">
            <w:pPr>
              <w:jc w:val="right"/>
              <w:rPr>
                <w:rFonts w:cs="Times New Roman"/>
                <w:b/>
              </w:rPr>
            </w:pPr>
            <w:r>
              <w:rPr>
                <w:rFonts w:cs="Times New Roman"/>
                <w:b/>
              </w:rPr>
              <w:t>18 869 733</w:t>
            </w:r>
          </w:p>
        </w:tc>
      </w:tr>
      <w:tr w:rsidR="008B655F" w:rsidRPr="00641A4E" w:rsidTr="00BA4EEA">
        <w:trPr>
          <w:trHeight w:val="226"/>
        </w:trPr>
        <w:tc>
          <w:tcPr>
            <w:cnfStyle w:val="000010000000" w:firstRow="0" w:lastRow="0" w:firstColumn="0" w:lastColumn="0" w:oddVBand="1" w:evenVBand="0" w:oddHBand="0" w:evenHBand="0" w:firstRowFirstColumn="0" w:firstRowLastColumn="0" w:lastRowFirstColumn="0" w:lastRowLastColumn="0"/>
            <w:tcW w:w="4139" w:type="dxa"/>
          </w:tcPr>
          <w:p w:rsidR="008B655F" w:rsidRPr="00641A4E" w:rsidRDefault="008B655F" w:rsidP="00363483">
            <w:pPr>
              <w:tabs>
                <w:tab w:val="left" w:pos="330"/>
                <w:tab w:val="left" w:pos="513"/>
                <w:tab w:val="left" w:pos="720"/>
              </w:tabs>
              <w:rPr>
                <w:rFonts w:cs="Times New Roman"/>
                <w:bCs/>
              </w:rPr>
            </w:pPr>
            <w:r w:rsidRPr="00641A4E">
              <w:rPr>
                <w:rFonts w:cs="Times New Roman"/>
              </w:rPr>
              <w:t>Operační program Doprava 2014+</w:t>
            </w:r>
            <w:r w:rsidR="00BE5DDF">
              <w:rPr>
                <w:rFonts w:cs="Times New Roman"/>
              </w:rPr>
              <w:t xml:space="preserve"> </w:t>
            </w:r>
            <w:r w:rsidRPr="00641A4E">
              <w:rPr>
                <w:rFonts w:cs="Times New Roman"/>
              </w:rPr>
              <w:t>v tom:</w:t>
            </w:r>
          </w:p>
        </w:tc>
        <w:tc>
          <w:tcPr>
            <w:cnfStyle w:val="000001000000" w:firstRow="0" w:lastRow="0" w:firstColumn="0" w:lastColumn="0" w:oddVBand="0" w:evenVBand="1" w:oddHBand="0" w:evenHBand="0" w:firstRowFirstColumn="0" w:firstRowLastColumn="0" w:lastRowFirstColumn="0" w:lastRowLastColumn="0"/>
            <w:tcW w:w="1446" w:type="dxa"/>
          </w:tcPr>
          <w:p w:rsidR="008B655F" w:rsidRPr="00641A4E" w:rsidRDefault="00C14A62" w:rsidP="00363483">
            <w:pPr>
              <w:jc w:val="right"/>
              <w:rPr>
                <w:rFonts w:cs="Times New Roman"/>
              </w:rPr>
            </w:pPr>
            <w:r>
              <w:rPr>
                <w:rFonts w:cs="Times New Roman"/>
              </w:rPr>
              <w:t>111 941</w:t>
            </w:r>
          </w:p>
        </w:tc>
        <w:tc>
          <w:tcPr>
            <w:cnfStyle w:val="000010000000" w:firstRow="0" w:lastRow="0" w:firstColumn="0" w:lastColumn="0" w:oddVBand="1" w:evenVBand="0" w:oddHBand="0" w:evenHBand="0" w:firstRowFirstColumn="0" w:firstRowLastColumn="0" w:lastRowFirstColumn="0" w:lastRowLastColumn="0"/>
            <w:tcW w:w="1757" w:type="dxa"/>
          </w:tcPr>
          <w:p w:rsidR="008B655F" w:rsidRPr="00641A4E" w:rsidRDefault="00C14A62" w:rsidP="00363483">
            <w:pPr>
              <w:jc w:val="right"/>
              <w:rPr>
                <w:rFonts w:cs="Times New Roman"/>
              </w:rPr>
            </w:pPr>
            <w:r>
              <w:rPr>
                <w:rFonts w:cs="Times New Roman"/>
              </w:rPr>
              <w:t>17 831 723</w:t>
            </w:r>
          </w:p>
        </w:tc>
        <w:tc>
          <w:tcPr>
            <w:cnfStyle w:val="000001000000" w:firstRow="0" w:lastRow="0" w:firstColumn="0" w:lastColumn="0" w:oddVBand="0" w:evenVBand="1" w:oddHBand="0" w:evenHBand="0" w:firstRowFirstColumn="0" w:firstRowLastColumn="0" w:lastRowFirstColumn="0" w:lastRowLastColumn="0"/>
            <w:tcW w:w="1743" w:type="dxa"/>
          </w:tcPr>
          <w:p w:rsidR="008B655F" w:rsidRPr="00641A4E" w:rsidRDefault="00C14A62" w:rsidP="00363483">
            <w:pPr>
              <w:jc w:val="right"/>
              <w:rPr>
                <w:rFonts w:cs="Times New Roman"/>
              </w:rPr>
            </w:pPr>
            <w:r>
              <w:rPr>
                <w:rFonts w:cs="Times New Roman"/>
              </w:rPr>
              <w:t>17 943 664</w:t>
            </w:r>
          </w:p>
        </w:tc>
      </w:tr>
      <w:tr w:rsidR="008B655F" w:rsidRPr="00641A4E" w:rsidTr="00BA4EEA">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139" w:type="dxa"/>
          </w:tcPr>
          <w:p w:rsidR="008B655F" w:rsidRPr="00641A4E" w:rsidRDefault="008B655F" w:rsidP="00363483">
            <w:pPr>
              <w:rPr>
                <w:rFonts w:cs="Times New Roman"/>
                <w:i/>
              </w:rPr>
            </w:pPr>
            <w:r w:rsidRPr="00641A4E">
              <w:rPr>
                <w:rFonts w:cs="Times New Roman"/>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46" w:type="dxa"/>
          </w:tcPr>
          <w:p w:rsidR="008B655F" w:rsidRPr="00641A4E" w:rsidRDefault="00C14A62" w:rsidP="00363483">
            <w:pPr>
              <w:jc w:val="right"/>
              <w:rPr>
                <w:rFonts w:cs="Times New Roman"/>
                <w:bCs/>
                <w:i/>
              </w:rPr>
            </w:pPr>
            <w:r>
              <w:rPr>
                <w:rFonts w:cs="Times New Roman"/>
                <w:bCs/>
                <w:i/>
              </w:rPr>
              <w:t>111 941</w:t>
            </w:r>
          </w:p>
        </w:tc>
        <w:tc>
          <w:tcPr>
            <w:cnfStyle w:val="000010000000" w:firstRow="0" w:lastRow="0" w:firstColumn="0" w:lastColumn="0" w:oddVBand="1" w:evenVBand="0" w:oddHBand="0" w:evenHBand="0" w:firstRowFirstColumn="0" w:firstRowLastColumn="0" w:lastRowFirstColumn="0" w:lastRowLastColumn="0"/>
            <w:tcW w:w="1757" w:type="dxa"/>
          </w:tcPr>
          <w:p w:rsidR="008B655F" w:rsidRPr="00641A4E" w:rsidRDefault="00C14A62" w:rsidP="00363483">
            <w:pPr>
              <w:jc w:val="right"/>
              <w:rPr>
                <w:rFonts w:cs="Times New Roman"/>
                <w:i/>
              </w:rPr>
            </w:pPr>
            <w:r>
              <w:rPr>
                <w:rFonts w:cs="Times New Roman"/>
                <w:i/>
              </w:rPr>
              <w:t>13 990 544</w:t>
            </w:r>
          </w:p>
        </w:tc>
        <w:tc>
          <w:tcPr>
            <w:cnfStyle w:val="000001000000" w:firstRow="0" w:lastRow="0" w:firstColumn="0" w:lastColumn="0" w:oddVBand="0" w:evenVBand="1" w:oddHBand="0" w:evenHBand="0" w:firstRowFirstColumn="0" w:firstRowLastColumn="0" w:lastRowFirstColumn="0" w:lastRowLastColumn="0"/>
            <w:tcW w:w="1743" w:type="dxa"/>
          </w:tcPr>
          <w:p w:rsidR="008B655F" w:rsidRPr="00641A4E" w:rsidRDefault="00C14A62" w:rsidP="00363483">
            <w:pPr>
              <w:jc w:val="right"/>
              <w:rPr>
                <w:rFonts w:cs="Times New Roman"/>
                <w:i/>
              </w:rPr>
            </w:pPr>
            <w:r>
              <w:rPr>
                <w:rFonts w:cs="Times New Roman"/>
                <w:i/>
              </w:rPr>
              <w:t>14 102 485</w:t>
            </w:r>
          </w:p>
        </w:tc>
      </w:tr>
      <w:tr w:rsidR="008B655F" w:rsidRPr="00641A4E" w:rsidTr="00BA4EEA">
        <w:trPr>
          <w:trHeight w:val="226"/>
        </w:trPr>
        <w:tc>
          <w:tcPr>
            <w:cnfStyle w:val="000010000000" w:firstRow="0" w:lastRow="0" w:firstColumn="0" w:lastColumn="0" w:oddVBand="1" w:evenVBand="0" w:oddHBand="0" w:evenHBand="0" w:firstRowFirstColumn="0" w:firstRowLastColumn="0" w:lastRowFirstColumn="0" w:lastRowLastColumn="0"/>
            <w:tcW w:w="4139" w:type="dxa"/>
          </w:tcPr>
          <w:p w:rsidR="008B655F" w:rsidRPr="00641A4E" w:rsidRDefault="008B655F" w:rsidP="00363483">
            <w:pPr>
              <w:rPr>
                <w:rFonts w:cs="Times New Roman"/>
                <w:i/>
              </w:rPr>
            </w:pPr>
            <w:r w:rsidRPr="00641A4E">
              <w:rPr>
                <w:rFonts w:cs="Times New Roman"/>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46" w:type="dxa"/>
          </w:tcPr>
          <w:p w:rsidR="008B655F" w:rsidRPr="00641A4E" w:rsidRDefault="008B655F" w:rsidP="00363483">
            <w:pPr>
              <w:ind w:left="180" w:hanging="180"/>
              <w:jc w:val="right"/>
              <w:rPr>
                <w:rFonts w:cs="Times New Roman"/>
                <w:i/>
              </w:rPr>
            </w:pPr>
            <w:r w:rsidRPr="00641A4E">
              <w:rPr>
                <w:rFonts w:cs="Times New Roman"/>
                <w:i/>
              </w:rPr>
              <w:t>0</w:t>
            </w:r>
          </w:p>
        </w:tc>
        <w:tc>
          <w:tcPr>
            <w:cnfStyle w:val="000010000000" w:firstRow="0" w:lastRow="0" w:firstColumn="0" w:lastColumn="0" w:oddVBand="1" w:evenVBand="0" w:oddHBand="0" w:evenHBand="0" w:firstRowFirstColumn="0" w:firstRowLastColumn="0" w:lastRowFirstColumn="0" w:lastRowLastColumn="0"/>
            <w:tcW w:w="1757" w:type="dxa"/>
          </w:tcPr>
          <w:p w:rsidR="008B655F" w:rsidRPr="00641A4E" w:rsidRDefault="00C14A62" w:rsidP="00363483">
            <w:pPr>
              <w:jc w:val="right"/>
              <w:rPr>
                <w:rFonts w:cs="Times New Roman"/>
                <w:i/>
              </w:rPr>
            </w:pPr>
            <w:r>
              <w:rPr>
                <w:rFonts w:cs="Times New Roman"/>
                <w:i/>
              </w:rPr>
              <w:t>3 841 179</w:t>
            </w:r>
          </w:p>
        </w:tc>
        <w:tc>
          <w:tcPr>
            <w:cnfStyle w:val="000001000000" w:firstRow="0" w:lastRow="0" w:firstColumn="0" w:lastColumn="0" w:oddVBand="0" w:evenVBand="1" w:oddHBand="0" w:evenHBand="0" w:firstRowFirstColumn="0" w:firstRowLastColumn="0" w:lastRowFirstColumn="0" w:lastRowLastColumn="0"/>
            <w:tcW w:w="1743" w:type="dxa"/>
          </w:tcPr>
          <w:p w:rsidR="008B655F" w:rsidRPr="00641A4E" w:rsidRDefault="00C14A62" w:rsidP="00C14A62">
            <w:pPr>
              <w:jc w:val="right"/>
              <w:rPr>
                <w:rFonts w:cs="Times New Roman"/>
                <w:i/>
              </w:rPr>
            </w:pPr>
            <w:r>
              <w:rPr>
                <w:rFonts w:cs="Times New Roman"/>
                <w:i/>
              </w:rPr>
              <w:t>3 841 179</w:t>
            </w:r>
          </w:p>
        </w:tc>
      </w:tr>
      <w:tr w:rsidR="008B655F" w:rsidRPr="00641A4E" w:rsidTr="00BA4EEA">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139" w:type="dxa"/>
          </w:tcPr>
          <w:p w:rsidR="008B655F" w:rsidRPr="00641A4E" w:rsidRDefault="008B655F" w:rsidP="00363483">
            <w:pPr>
              <w:rPr>
                <w:rFonts w:cs="Times New Roman"/>
              </w:rPr>
            </w:pPr>
            <w:r w:rsidRPr="00641A4E">
              <w:rPr>
                <w:rFonts w:cs="Times New Roman"/>
              </w:rPr>
              <w:t>Operační program Zaměstnanost</w:t>
            </w:r>
          </w:p>
        </w:tc>
        <w:tc>
          <w:tcPr>
            <w:cnfStyle w:val="000001000000" w:firstRow="0" w:lastRow="0" w:firstColumn="0" w:lastColumn="0" w:oddVBand="0" w:evenVBand="1" w:oddHBand="0" w:evenHBand="0" w:firstRowFirstColumn="0" w:firstRowLastColumn="0" w:lastRowFirstColumn="0" w:lastRowLastColumn="0"/>
            <w:tcW w:w="1446" w:type="dxa"/>
          </w:tcPr>
          <w:p w:rsidR="008B655F" w:rsidRPr="00641A4E" w:rsidRDefault="00C14A62" w:rsidP="00363483">
            <w:pPr>
              <w:jc w:val="right"/>
              <w:rPr>
                <w:rFonts w:cs="Times New Roman"/>
              </w:rPr>
            </w:pPr>
            <w:r>
              <w:rPr>
                <w:rFonts w:cs="Times New Roman"/>
              </w:rPr>
              <w:t>414</w:t>
            </w:r>
          </w:p>
        </w:tc>
        <w:tc>
          <w:tcPr>
            <w:cnfStyle w:val="000010000000" w:firstRow="0" w:lastRow="0" w:firstColumn="0" w:lastColumn="0" w:oddVBand="1" w:evenVBand="0" w:oddHBand="0" w:evenHBand="0" w:firstRowFirstColumn="0" w:firstRowLastColumn="0" w:lastRowFirstColumn="0" w:lastRowLastColumn="0"/>
            <w:tcW w:w="1757" w:type="dxa"/>
          </w:tcPr>
          <w:p w:rsidR="008B655F" w:rsidRPr="00641A4E" w:rsidRDefault="008B655F" w:rsidP="00363483">
            <w:pPr>
              <w:jc w:val="right"/>
              <w:rPr>
                <w:rFonts w:cs="Times New Roman"/>
                <w:bCs/>
              </w:rPr>
            </w:pPr>
            <w:r w:rsidRPr="00641A4E">
              <w:rPr>
                <w:rFonts w:cs="Times New Roman"/>
                <w:bCs/>
              </w:rPr>
              <w:t>0</w:t>
            </w:r>
          </w:p>
        </w:tc>
        <w:tc>
          <w:tcPr>
            <w:cnfStyle w:val="000001000000" w:firstRow="0" w:lastRow="0" w:firstColumn="0" w:lastColumn="0" w:oddVBand="0" w:evenVBand="1" w:oddHBand="0" w:evenHBand="0" w:firstRowFirstColumn="0" w:firstRowLastColumn="0" w:lastRowFirstColumn="0" w:lastRowLastColumn="0"/>
            <w:tcW w:w="1743" w:type="dxa"/>
          </w:tcPr>
          <w:p w:rsidR="008B655F" w:rsidRPr="00641A4E" w:rsidRDefault="00C14A62" w:rsidP="00363483">
            <w:pPr>
              <w:jc w:val="right"/>
              <w:rPr>
                <w:rFonts w:cs="Times New Roman"/>
              </w:rPr>
            </w:pPr>
            <w:r>
              <w:rPr>
                <w:rFonts w:cs="Times New Roman"/>
              </w:rPr>
              <w:t>414</w:t>
            </w:r>
          </w:p>
        </w:tc>
      </w:tr>
      <w:tr w:rsidR="008B655F" w:rsidRPr="00641A4E" w:rsidTr="00BA4EEA">
        <w:trPr>
          <w:trHeight w:val="226"/>
        </w:trPr>
        <w:tc>
          <w:tcPr>
            <w:cnfStyle w:val="000010000000" w:firstRow="0" w:lastRow="0" w:firstColumn="0" w:lastColumn="0" w:oddVBand="1" w:evenVBand="0" w:oddHBand="0" w:evenHBand="0" w:firstRowFirstColumn="0" w:firstRowLastColumn="0" w:lastRowFirstColumn="0" w:lastRowLastColumn="0"/>
            <w:tcW w:w="4139" w:type="dxa"/>
          </w:tcPr>
          <w:p w:rsidR="008B655F" w:rsidRPr="00641A4E" w:rsidRDefault="008B655F" w:rsidP="00363483">
            <w:pPr>
              <w:rPr>
                <w:rFonts w:cs="Times New Roman"/>
              </w:rPr>
            </w:pPr>
            <w:r w:rsidRPr="00641A4E">
              <w:rPr>
                <w:rFonts w:cs="Times New Roman"/>
              </w:rPr>
              <w:t>Komunitární programy</w:t>
            </w:r>
          </w:p>
        </w:tc>
        <w:tc>
          <w:tcPr>
            <w:cnfStyle w:val="000001000000" w:firstRow="0" w:lastRow="0" w:firstColumn="0" w:lastColumn="0" w:oddVBand="0" w:evenVBand="1" w:oddHBand="0" w:evenHBand="0" w:firstRowFirstColumn="0" w:firstRowLastColumn="0" w:lastRowFirstColumn="0" w:lastRowLastColumn="0"/>
            <w:tcW w:w="1446" w:type="dxa"/>
          </w:tcPr>
          <w:p w:rsidR="008B655F" w:rsidRPr="00641A4E" w:rsidRDefault="00C14A62" w:rsidP="00363483">
            <w:pPr>
              <w:jc w:val="right"/>
              <w:rPr>
                <w:rFonts w:cs="Times New Roman"/>
                <w:bCs/>
              </w:rPr>
            </w:pPr>
            <w:r>
              <w:rPr>
                <w:rFonts w:cs="Times New Roman"/>
              </w:rPr>
              <w:t>30 135</w:t>
            </w:r>
          </w:p>
        </w:tc>
        <w:tc>
          <w:tcPr>
            <w:cnfStyle w:val="000010000000" w:firstRow="0" w:lastRow="0" w:firstColumn="0" w:lastColumn="0" w:oddVBand="1" w:evenVBand="0" w:oddHBand="0" w:evenHBand="0" w:firstRowFirstColumn="0" w:firstRowLastColumn="0" w:lastRowFirstColumn="0" w:lastRowLastColumn="0"/>
            <w:tcW w:w="1757" w:type="dxa"/>
          </w:tcPr>
          <w:p w:rsidR="008B655F" w:rsidRPr="00641A4E" w:rsidRDefault="00C14A62" w:rsidP="00363483">
            <w:pPr>
              <w:jc w:val="right"/>
              <w:rPr>
                <w:rFonts w:cs="Times New Roman"/>
                <w:bCs/>
              </w:rPr>
            </w:pPr>
            <w:r>
              <w:rPr>
                <w:rFonts w:cs="Times New Roman"/>
                <w:bCs/>
              </w:rPr>
              <w:t>895 520</w:t>
            </w:r>
          </w:p>
        </w:tc>
        <w:tc>
          <w:tcPr>
            <w:cnfStyle w:val="000001000000" w:firstRow="0" w:lastRow="0" w:firstColumn="0" w:lastColumn="0" w:oddVBand="0" w:evenVBand="1" w:oddHBand="0" w:evenHBand="0" w:firstRowFirstColumn="0" w:firstRowLastColumn="0" w:lastRowFirstColumn="0" w:lastRowLastColumn="0"/>
            <w:tcW w:w="1743" w:type="dxa"/>
          </w:tcPr>
          <w:p w:rsidR="008B655F" w:rsidRPr="00641A4E" w:rsidRDefault="00C14A62" w:rsidP="00363483">
            <w:pPr>
              <w:jc w:val="right"/>
              <w:rPr>
                <w:rFonts w:cs="Times New Roman"/>
              </w:rPr>
            </w:pPr>
            <w:r>
              <w:rPr>
                <w:rFonts w:cs="Times New Roman"/>
              </w:rPr>
              <w:t>925 655</w:t>
            </w:r>
          </w:p>
        </w:tc>
      </w:tr>
    </w:tbl>
    <w:p w:rsidR="00D4300A" w:rsidRPr="008B655F" w:rsidRDefault="00D4300A" w:rsidP="00D00A45">
      <w:pPr>
        <w:pStyle w:val="Nadpis3"/>
      </w:pPr>
      <w:bookmarkStart w:id="113" w:name="_Toc462314409"/>
      <w:bookmarkStart w:id="114" w:name="_Toc526424709"/>
      <w:r w:rsidRPr="008B655F">
        <w:t>Operační program Doprava – programové období 2014 – 2020</w:t>
      </w:r>
      <w:bookmarkEnd w:id="113"/>
      <w:bookmarkEnd w:id="114"/>
    </w:p>
    <w:p w:rsidR="008B655F" w:rsidRPr="00F67E30" w:rsidRDefault="008B655F" w:rsidP="008B655F">
      <w:pPr>
        <w:pStyle w:val="Styl1"/>
      </w:pPr>
      <w:r w:rsidRPr="00F67E30">
        <w:t xml:space="preserve">Operační program Doprava 2014-2020 byl schválen usnesením vlády č. 558 ze dne </w:t>
      </w:r>
      <w:r w:rsidRPr="00F67E30">
        <w:br/>
        <w:t xml:space="preserve">9. července 2014. </w:t>
      </w:r>
      <w:r w:rsidRPr="008F2721">
        <w:t>Řídícím orgánem Operačního programu Doprava 2014-2020 bylo usnesením vlády č. 867 ze dne 28. listopadu 2012 pověřeno Ministerstvo dopravy – Odbor fondů EU. Roli</w:t>
      </w:r>
      <w:r w:rsidRPr="00F67E30">
        <w:t xml:space="preserve"> Zprostředkujícího subjektu plní Státní fond dopravní infrastruktury. Operační program Doprava 2014-2020 vychází z materiálu Dopravní politika ČR pro období 2014-2020 s výhledem </w:t>
      </w:r>
      <w:r>
        <w:br/>
      </w:r>
      <w:r w:rsidRPr="00F67E30">
        <w:t xml:space="preserve">do roku </w:t>
      </w:r>
      <w:smartTag w:uri="urn:schemas-microsoft-com:office:smarttags" w:element="metricconverter">
        <w:smartTagPr>
          <w:attr w:name="ProductID" w:val="2050 a"/>
        </w:smartTagPr>
        <w:r w:rsidRPr="00F67E30">
          <w:t>2050 a</w:t>
        </w:r>
      </w:smartTag>
      <w:r w:rsidRPr="00F67E30">
        <w:t xml:space="preserve"> jejich návazné strategické dokumenty, především Dopravní sektorové strategie, </w:t>
      </w:r>
      <w:r w:rsidRPr="00F67E30">
        <w:br/>
        <w:t xml:space="preserve">2. fáze (Střednědobý plán rozvoje dopravní infrastruktury s dlouhodobým výhledem do roku </w:t>
      </w:r>
      <w:r w:rsidRPr="00F67E30">
        <w:lastRenderedPageBreak/>
        <w:t xml:space="preserve">2050). Ke schválení Operačního programu Doprava ze strany Evropské komise došlo dne </w:t>
      </w:r>
      <w:r w:rsidRPr="00F67E30">
        <w:br/>
        <w:t xml:space="preserve">11. května 2015, přičemž ve druhé polovině roku 2015 byly vyhlášeny první výzvy k předkládání projektů a mohl být zahájen proces hodnocení projektů a jejich následná realizace. Financování prvních projektů začalo v roce 2016. </w:t>
      </w:r>
    </w:p>
    <w:p w:rsidR="008B655F" w:rsidRPr="00654FEB" w:rsidRDefault="008B655F" w:rsidP="008B655F">
      <w:pPr>
        <w:pStyle w:val="Styl1"/>
      </w:pPr>
      <w:r w:rsidRPr="00F67E30">
        <w:rPr>
          <w:bCs/>
        </w:rPr>
        <w:t xml:space="preserve">Alokace Operačního programu Doprava 2014-2020 v EUR činila 4 695 769 435 EUR (z toho FS 3 793 452 296 EUR, ERDF 902 317 139 EUR). </w:t>
      </w:r>
      <w:r w:rsidRPr="00F67E30">
        <w:t xml:space="preserve">V průběhu roku 2016 byla část prostředků převedena ve prospěch Operačního programu Životní prostředí 2014-2020, došlo ke snížení alokace na 4 622 006 803 EUR (z toho FS 3 719 689 664 EUR, ERDF </w:t>
      </w:r>
      <w:r>
        <w:br/>
      </w:r>
      <w:r w:rsidRPr="00F67E30">
        <w:t xml:space="preserve">902 317 139 </w:t>
      </w:r>
      <w:r w:rsidRPr="00654FEB">
        <w:t>EUR). V květnu 2017 byli členové Monitorovacího výboru Operačního programu Doprava 2014-2020 (dále jen „MV OPD“) informováni o snížení alokace o</w:t>
      </w:r>
      <w:r>
        <w:t xml:space="preserve"> dalších </w:t>
      </w:r>
      <w:r>
        <w:br/>
        <w:t xml:space="preserve">62 236 804 EUR v rámci </w:t>
      </w:r>
      <w:r w:rsidRPr="00654FEB">
        <w:t xml:space="preserve">tzv. Kohezní obálky. Snížení alokace bylo následně členy MV OPD schváleno procedurou per </w:t>
      </w:r>
      <w:proofErr w:type="spellStart"/>
      <w:r w:rsidRPr="00654FEB">
        <w:t>rollam</w:t>
      </w:r>
      <w:proofErr w:type="spellEnd"/>
      <w:r w:rsidRPr="00654FEB">
        <w:t xml:space="preserve"> a bylo odesláno ke schválení Evropské komisi. Alokace </w:t>
      </w:r>
      <w:r w:rsidR="00D00A45">
        <w:br/>
      </w:r>
      <w:r w:rsidRPr="00654FEB">
        <w:t>po snížení činí 4 559 769 999 EUR (z toho FS 3 657 452 860 EUR, ERDF 902 317 139 EUR).</w:t>
      </w:r>
    </w:p>
    <w:p w:rsidR="008B655F" w:rsidRPr="00E1699B" w:rsidRDefault="008B655F" w:rsidP="008B655F">
      <w:pPr>
        <w:spacing w:before="240" w:after="80" w:line="240" w:lineRule="auto"/>
        <w:ind w:firstLine="539"/>
        <w:rPr>
          <w:rFonts w:eastAsia="Times New Roman" w:cs="Times New Roman"/>
          <w:szCs w:val="24"/>
          <w:u w:val="single"/>
          <w:lang w:eastAsia="cs-CZ"/>
        </w:rPr>
      </w:pPr>
      <w:r w:rsidRPr="00E1699B">
        <w:rPr>
          <w:rFonts w:eastAsia="Times New Roman" w:cs="Times New Roman"/>
          <w:szCs w:val="24"/>
          <w:u w:val="single"/>
          <w:lang w:eastAsia="cs-CZ"/>
        </w:rPr>
        <w:t>Operační program Doprava 2014-2020 obsahuje následující prioritní osy:</w:t>
      </w:r>
    </w:p>
    <w:p w:rsidR="008B655F" w:rsidRPr="00E1699B" w:rsidRDefault="008B655F" w:rsidP="008B655F">
      <w:pPr>
        <w:spacing w:before="240" w:after="80" w:line="240" w:lineRule="auto"/>
        <w:rPr>
          <w:rFonts w:eastAsia="Times New Roman" w:cs="Times New Roman"/>
          <w:b/>
          <w:i/>
          <w:szCs w:val="24"/>
          <w:u w:val="single"/>
          <w:lang w:eastAsia="cs-CZ"/>
        </w:rPr>
      </w:pPr>
      <w:r w:rsidRPr="00E1699B">
        <w:rPr>
          <w:rFonts w:eastAsia="Times New Roman" w:cs="Times New Roman"/>
          <w:b/>
          <w:i/>
          <w:szCs w:val="24"/>
          <w:u w:val="single"/>
          <w:lang w:eastAsia="cs-CZ"/>
        </w:rPr>
        <w:t>Prioritní osa 1 – Infrastruktura pro železniční a další udržitelnou dopravu</w:t>
      </w:r>
    </w:p>
    <w:p w:rsidR="008B655F" w:rsidRPr="00E1699B" w:rsidRDefault="008B655F" w:rsidP="008B655F">
      <w:pPr>
        <w:spacing w:before="120" w:after="120" w:line="240" w:lineRule="auto"/>
        <w:ind w:firstLine="567"/>
        <w:rPr>
          <w:rFonts w:eastAsia="Times New Roman" w:cs="Times New Roman"/>
          <w:i/>
          <w:iCs/>
          <w:szCs w:val="24"/>
          <w:lang w:eastAsia="cs-CZ"/>
        </w:rPr>
      </w:pPr>
      <w:r w:rsidRPr="00E1699B">
        <w:rPr>
          <w:rFonts w:eastAsia="Times New Roman" w:cs="Times New Roman"/>
          <w:i/>
          <w:iCs/>
          <w:szCs w:val="24"/>
          <w:lang w:eastAsia="cs-CZ"/>
        </w:rPr>
        <w:t>Specifický cíl 1.1 - Zlepšení infrastruktury pro vyšší konkurenceschopnost a větší využití železniční dopravy</w:t>
      </w:r>
      <w:r w:rsidRPr="00E1699B" w:rsidDel="00F06086">
        <w:rPr>
          <w:rFonts w:eastAsia="Times New Roman" w:cs="Times New Roman"/>
          <w:i/>
          <w:iCs/>
          <w:szCs w:val="24"/>
          <w:lang w:eastAsia="cs-CZ"/>
        </w:rPr>
        <w:t xml:space="preserve"> </w:t>
      </w:r>
    </w:p>
    <w:p w:rsidR="008B655F" w:rsidRPr="00E1699B" w:rsidRDefault="008B655F" w:rsidP="008B655F">
      <w:pPr>
        <w:spacing w:before="120" w:after="120" w:line="240" w:lineRule="auto"/>
        <w:ind w:firstLine="567"/>
        <w:rPr>
          <w:rFonts w:eastAsia="Times New Roman" w:cs="Times New Roman"/>
          <w:i/>
          <w:iCs/>
          <w:szCs w:val="24"/>
          <w:lang w:eastAsia="cs-CZ"/>
        </w:rPr>
      </w:pPr>
      <w:r w:rsidRPr="00E1699B">
        <w:rPr>
          <w:rFonts w:eastAsia="Times New Roman" w:cs="Times New Roman"/>
          <w:i/>
          <w:iCs/>
          <w:szCs w:val="24"/>
          <w:lang w:eastAsia="cs-CZ"/>
        </w:rPr>
        <w:t>Specifický cíl 1.3 - Vytvoření podmínek pro větší využití multimodální dopravy</w:t>
      </w:r>
      <w:r w:rsidRPr="00E1699B" w:rsidDel="00684652">
        <w:rPr>
          <w:rFonts w:eastAsia="Times New Roman" w:cs="Times New Roman"/>
          <w:i/>
          <w:iCs/>
          <w:szCs w:val="24"/>
          <w:lang w:eastAsia="cs-CZ"/>
        </w:rPr>
        <w:t xml:space="preserve"> </w:t>
      </w:r>
    </w:p>
    <w:p w:rsidR="008B655F" w:rsidRPr="00E1699B" w:rsidRDefault="008B655F" w:rsidP="008B655F">
      <w:pPr>
        <w:spacing w:before="120" w:after="120" w:line="240" w:lineRule="auto"/>
        <w:ind w:firstLine="567"/>
        <w:rPr>
          <w:rFonts w:eastAsia="Times New Roman" w:cs="Times New Roman"/>
          <w:i/>
          <w:iCs/>
          <w:szCs w:val="24"/>
          <w:lang w:eastAsia="cs-CZ"/>
        </w:rPr>
      </w:pPr>
      <w:r w:rsidRPr="00E1699B">
        <w:rPr>
          <w:rFonts w:eastAsia="Times New Roman" w:cs="Times New Roman"/>
          <w:i/>
          <w:iCs/>
          <w:szCs w:val="24"/>
          <w:lang w:eastAsia="cs-CZ"/>
        </w:rPr>
        <w:t>Specifický cíl 1.4 - Vytvoření podmínek pro zvýšení využívání veřejné hromadné dopravy ve městech v elektrické trakci</w:t>
      </w:r>
      <w:r w:rsidRPr="00E1699B" w:rsidDel="00684652">
        <w:rPr>
          <w:rFonts w:eastAsia="Times New Roman" w:cs="Times New Roman"/>
          <w:i/>
          <w:iCs/>
          <w:szCs w:val="24"/>
          <w:lang w:eastAsia="cs-CZ"/>
        </w:rPr>
        <w:t xml:space="preserve"> </w:t>
      </w:r>
    </w:p>
    <w:p w:rsidR="008B655F" w:rsidRPr="00E1699B" w:rsidRDefault="008B655F" w:rsidP="008B655F">
      <w:pPr>
        <w:spacing w:before="120" w:after="120" w:line="240" w:lineRule="auto"/>
        <w:ind w:firstLine="567"/>
        <w:rPr>
          <w:rFonts w:eastAsia="Times New Roman" w:cs="Times New Roman"/>
          <w:i/>
          <w:iCs/>
          <w:szCs w:val="24"/>
          <w:lang w:eastAsia="cs-CZ"/>
        </w:rPr>
      </w:pPr>
      <w:r w:rsidRPr="00E1699B">
        <w:rPr>
          <w:rFonts w:eastAsia="Times New Roman" w:cs="Times New Roman"/>
          <w:i/>
          <w:iCs/>
          <w:szCs w:val="24"/>
          <w:lang w:eastAsia="cs-CZ"/>
        </w:rPr>
        <w:t>Specifický cíl 1.5 - Vytvoření podmínek pro širší využití železniční a vodní dopravy prostřednictvím modernizace dopravního parku</w:t>
      </w:r>
    </w:p>
    <w:p w:rsidR="008B655F" w:rsidRPr="00E6664A" w:rsidRDefault="008B655F" w:rsidP="008B655F">
      <w:pPr>
        <w:spacing w:before="240" w:after="80" w:line="240" w:lineRule="auto"/>
        <w:rPr>
          <w:rFonts w:eastAsia="Times New Roman" w:cs="Times New Roman"/>
          <w:b/>
          <w:i/>
          <w:szCs w:val="24"/>
          <w:u w:val="single"/>
          <w:lang w:eastAsia="cs-CZ"/>
        </w:rPr>
      </w:pPr>
      <w:r w:rsidRPr="00E6664A">
        <w:rPr>
          <w:rFonts w:eastAsia="Times New Roman" w:cs="Times New Roman"/>
          <w:b/>
          <w:i/>
          <w:szCs w:val="24"/>
          <w:u w:val="single"/>
          <w:lang w:eastAsia="cs-CZ"/>
        </w:rPr>
        <w:t>Prioritní osa 2 - Silniční infrastruktura na síti TEN-T a veřejná infrastruktura pro čistou mobilitu</w:t>
      </w:r>
    </w:p>
    <w:p w:rsidR="008B655F" w:rsidRPr="00E6664A" w:rsidRDefault="008B655F" w:rsidP="008B655F">
      <w:pPr>
        <w:spacing w:before="120" w:after="120" w:line="240" w:lineRule="auto"/>
        <w:ind w:firstLine="567"/>
        <w:rPr>
          <w:rFonts w:eastAsia="Times New Roman" w:cs="Times New Roman"/>
          <w:i/>
          <w:iCs/>
          <w:szCs w:val="24"/>
          <w:lang w:eastAsia="cs-CZ"/>
        </w:rPr>
      </w:pPr>
      <w:r w:rsidRPr="00E6664A">
        <w:rPr>
          <w:rFonts w:eastAsia="Times New Roman" w:cs="Times New Roman"/>
          <w:i/>
          <w:iCs/>
          <w:szCs w:val="24"/>
          <w:lang w:eastAsia="cs-CZ"/>
        </w:rPr>
        <w:t xml:space="preserve">Specifický cíl 2.1 - Zlepšení propojení center a regionů a zvýšení bezpečnosti </w:t>
      </w:r>
      <w:r w:rsidRPr="00E6664A">
        <w:rPr>
          <w:rFonts w:eastAsia="Times New Roman" w:cs="Times New Roman"/>
          <w:i/>
          <w:iCs/>
          <w:szCs w:val="24"/>
          <w:lang w:eastAsia="cs-CZ"/>
        </w:rPr>
        <w:br/>
        <w:t>a efektivnosti silniční dopravy prostřednictvím výstavby, obnovy a modernizace dálnic, rychlostních silnic a silnic sítě TEN-T včetně rozvoje systémů ITS</w:t>
      </w:r>
    </w:p>
    <w:p w:rsidR="008B655F" w:rsidRPr="00E6664A" w:rsidRDefault="008B655F" w:rsidP="008B655F">
      <w:pPr>
        <w:spacing w:before="120" w:after="120" w:line="240" w:lineRule="auto"/>
        <w:ind w:firstLine="567"/>
        <w:rPr>
          <w:rFonts w:eastAsia="Times New Roman" w:cs="Times New Roman"/>
          <w:i/>
          <w:iCs/>
          <w:szCs w:val="24"/>
          <w:lang w:eastAsia="cs-CZ"/>
        </w:rPr>
      </w:pPr>
      <w:r w:rsidRPr="00E6664A">
        <w:rPr>
          <w:rFonts w:eastAsia="Times New Roman" w:cs="Times New Roman"/>
          <w:i/>
          <w:iCs/>
          <w:szCs w:val="24"/>
          <w:lang w:eastAsia="cs-CZ"/>
        </w:rPr>
        <w:t>Specifický cíl 2.2 - Vytvoření podmínek pro širší využití vozidel na alternativní pohon na silniční síti</w:t>
      </w:r>
    </w:p>
    <w:p w:rsidR="008B655F" w:rsidRPr="00E6664A" w:rsidRDefault="008B655F" w:rsidP="008B655F">
      <w:pPr>
        <w:spacing w:before="120" w:after="120" w:line="240" w:lineRule="auto"/>
        <w:ind w:firstLine="567"/>
        <w:rPr>
          <w:rFonts w:eastAsia="Times New Roman" w:cs="Times New Roman"/>
          <w:i/>
          <w:iCs/>
          <w:szCs w:val="24"/>
          <w:lang w:eastAsia="cs-CZ"/>
        </w:rPr>
      </w:pPr>
      <w:r w:rsidRPr="00E6664A">
        <w:rPr>
          <w:rFonts w:eastAsia="Times New Roman" w:cs="Times New Roman"/>
          <w:i/>
          <w:iCs/>
          <w:szCs w:val="24"/>
          <w:lang w:eastAsia="cs-CZ"/>
        </w:rPr>
        <w:t>Specifický cíl 2.3 - Zlepšení řízení dopravního provozu a zvyšování bezpečnosti dopravního provozu</w:t>
      </w:r>
    </w:p>
    <w:p w:rsidR="008B655F" w:rsidRPr="00D626C4" w:rsidRDefault="008B655F" w:rsidP="008B655F">
      <w:pPr>
        <w:spacing w:before="240" w:after="80" w:line="240" w:lineRule="auto"/>
        <w:rPr>
          <w:rFonts w:eastAsia="Times New Roman" w:cs="Times New Roman"/>
          <w:b/>
          <w:i/>
          <w:szCs w:val="24"/>
          <w:u w:val="single"/>
          <w:lang w:eastAsia="cs-CZ"/>
        </w:rPr>
      </w:pPr>
      <w:r w:rsidRPr="00D626C4">
        <w:rPr>
          <w:rFonts w:eastAsia="Times New Roman" w:cs="Times New Roman"/>
          <w:b/>
          <w:i/>
          <w:szCs w:val="24"/>
          <w:u w:val="single"/>
          <w:lang w:eastAsia="cs-CZ"/>
        </w:rPr>
        <w:t>Prioritní osa 3 - Silniční infrastruktura mimo síť TEN-T</w:t>
      </w:r>
    </w:p>
    <w:p w:rsidR="00D00A45" w:rsidRPr="00D00A45" w:rsidRDefault="008B655F" w:rsidP="00D00A45">
      <w:pPr>
        <w:pStyle w:val="Styl1"/>
        <w:rPr>
          <w:i/>
        </w:rPr>
      </w:pPr>
      <w:r w:rsidRPr="00654FEB">
        <w:rPr>
          <w:i/>
        </w:rPr>
        <w:t xml:space="preserve">Specifický cíl 3.1 - Zlepšení dostupnosti regionů, zvýšení bezpečnosti a plynulosti a snížení dopadů dopravy na veřejné zdraví prostřednictvím výstavby, obnovy a zlepšení parametrů dálnic, rychlostních silnic a </w:t>
      </w:r>
      <w:r w:rsidR="00D00A45">
        <w:rPr>
          <w:i/>
        </w:rPr>
        <w:t xml:space="preserve">silnic I. třídy mimo síť TEN-T </w:t>
      </w:r>
    </w:p>
    <w:p w:rsidR="008B655F" w:rsidRPr="00DF7CE1" w:rsidRDefault="008B655F" w:rsidP="008B655F">
      <w:pPr>
        <w:spacing w:before="240" w:after="80" w:line="240" w:lineRule="auto"/>
        <w:rPr>
          <w:rFonts w:eastAsia="Times New Roman" w:cs="Times New Roman"/>
          <w:b/>
          <w:i/>
          <w:szCs w:val="24"/>
          <w:u w:val="single"/>
          <w:lang w:eastAsia="cs-CZ"/>
        </w:rPr>
      </w:pPr>
      <w:r w:rsidRPr="00DF7CE1">
        <w:rPr>
          <w:rFonts w:eastAsia="Times New Roman" w:cs="Times New Roman"/>
          <w:b/>
          <w:i/>
          <w:szCs w:val="24"/>
          <w:u w:val="single"/>
          <w:lang w:eastAsia="cs-CZ"/>
        </w:rPr>
        <w:t xml:space="preserve">Prioritní osa 4 - Technická pomoc </w:t>
      </w:r>
    </w:p>
    <w:p w:rsidR="008B655F" w:rsidRPr="00654FEB" w:rsidRDefault="008B655F" w:rsidP="008B655F">
      <w:pPr>
        <w:pStyle w:val="Styl1"/>
        <w:rPr>
          <w:i/>
        </w:rPr>
      </w:pPr>
      <w:r w:rsidRPr="00654FEB">
        <w:rPr>
          <w:i/>
        </w:rPr>
        <w:t>Specifický cíl 4.1  - Podpora a zajištění implementace OP Doprava</w:t>
      </w:r>
    </w:p>
    <w:p w:rsidR="008B655F" w:rsidRPr="002A7B2C" w:rsidRDefault="008B655F" w:rsidP="008B655F">
      <w:pPr>
        <w:pStyle w:val="Styl1"/>
        <w:rPr>
          <w:i/>
        </w:rPr>
      </w:pPr>
      <w:r w:rsidRPr="00654FEB">
        <w:rPr>
          <w:i/>
        </w:rPr>
        <w:t xml:space="preserve">Zaměření specifického cíle je soustředěno především k zajištění těchto oblastí v rámci implementace Operačního programu Doprava 2014 - 2020: řízení a kontrola programu, technické zabezpečení činnosti, podpora absorpční kapacity, publicita, evaluace, vzdělávání. </w:t>
      </w:r>
      <w:r w:rsidR="00D00A45">
        <w:rPr>
          <w:i/>
        </w:rPr>
        <w:br/>
      </w:r>
      <w:r w:rsidRPr="00654FEB">
        <w:rPr>
          <w:i/>
        </w:rPr>
        <w:lastRenderedPageBreak/>
        <w:t>Z prostředků specifického cíle budou také hrazeny aktivity spojené s dokončením programového období 2007 – 2013.</w:t>
      </w:r>
    </w:p>
    <w:p w:rsidR="008B655F" w:rsidRPr="00D00A45" w:rsidRDefault="008B655F" w:rsidP="00D00A45">
      <w:pPr>
        <w:spacing w:before="240" w:after="80" w:line="240" w:lineRule="auto"/>
        <w:rPr>
          <w:rFonts w:eastAsia="Times New Roman" w:cs="Times New Roman"/>
          <w:szCs w:val="24"/>
          <w:u w:val="single"/>
          <w:lang w:eastAsia="cs-CZ"/>
        </w:rPr>
      </w:pPr>
      <w:r w:rsidRPr="002A7B2C">
        <w:rPr>
          <w:rFonts w:eastAsia="Times New Roman" w:cs="Times New Roman"/>
          <w:szCs w:val="24"/>
          <w:u w:val="single"/>
          <w:lang w:eastAsia="cs-CZ"/>
        </w:rPr>
        <w:t>Rozdělení prostředků fondů EU a SR pro Operační program Doprava 2014-2020 na rok 2019</w:t>
      </w:r>
    </w:p>
    <w:p w:rsidR="00D4300A" w:rsidRPr="008B655F" w:rsidRDefault="00D4300A" w:rsidP="00D4300A">
      <w:pPr>
        <w:pStyle w:val="Titulek"/>
        <w:keepNext/>
      </w:pPr>
      <w:r w:rsidRPr="008B655F">
        <w:t xml:space="preserve">Tabulka č. </w:t>
      </w:r>
      <w:r w:rsidR="0001421C" w:rsidRPr="008B655F">
        <w:rPr>
          <w:noProof/>
        </w:rPr>
        <w:fldChar w:fldCharType="begin"/>
      </w:r>
      <w:r w:rsidR="0001421C" w:rsidRPr="008B655F">
        <w:rPr>
          <w:noProof/>
        </w:rPr>
        <w:instrText xml:space="preserve"> SEQ Tabulka \* ARABIC </w:instrText>
      </w:r>
      <w:r w:rsidR="0001421C" w:rsidRPr="008B655F">
        <w:rPr>
          <w:noProof/>
        </w:rPr>
        <w:fldChar w:fldCharType="separate"/>
      </w:r>
      <w:r w:rsidR="00AF5225">
        <w:rPr>
          <w:noProof/>
        </w:rPr>
        <w:t>45</w:t>
      </w:r>
      <w:r w:rsidR="0001421C" w:rsidRPr="008B655F">
        <w:rPr>
          <w:noProof/>
        </w:rPr>
        <w:fldChar w:fldCharType="end"/>
      </w:r>
      <w:r w:rsidRPr="008B655F">
        <w:rPr>
          <w:noProof/>
        </w:rPr>
        <w:t xml:space="preserve"> Členění Operačního programu Doprava 2014-2020 (v tis. Kč)</w:t>
      </w:r>
    </w:p>
    <w:tbl>
      <w:tblPr>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4"/>
        <w:gridCol w:w="1388"/>
        <w:gridCol w:w="1175"/>
        <w:gridCol w:w="1416"/>
      </w:tblGrid>
      <w:tr w:rsidR="008B655F" w:rsidRPr="00495C87" w:rsidTr="00D00A45">
        <w:trPr>
          <w:trHeight w:val="467"/>
        </w:trPr>
        <w:tc>
          <w:tcPr>
            <w:tcW w:w="280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495C87" w:rsidRDefault="008B655F" w:rsidP="00363483">
            <w:pPr>
              <w:spacing w:before="120" w:line="240" w:lineRule="auto"/>
              <w:rPr>
                <w:rFonts w:eastAsia="Times New Roman" w:cs="Times New Roman"/>
                <w:b/>
                <w:lang w:eastAsia="cs-CZ"/>
              </w:rPr>
            </w:pPr>
            <w:r w:rsidRPr="00495C87">
              <w:rPr>
                <w:rFonts w:eastAsia="Times New Roman" w:cs="Times New Roman"/>
                <w:b/>
                <w:lang w:eastAsia="cs-CZ"/>
              </w:rPr>
              <w:t xml:space="preserve">Číslo (Fond) a název prioritní osy </w:t>
            </w:r>
          </w:p>
        </w:tc>
        <w:tc>
          <w:tcPr>
            <w:tcW w:w="76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495C87" w:rsidRDefault="008B655F" w:rsidP="00363483">
            <w:pPr>
              <w:spacing w:before="120" w:line="240" w:lineRule="auto"/>
              <w:jc w:val="center"/>
              <w:rPr>
                <w:rFonts w:eastAsia="Times New Roman" w:cs="Times New Roman"/>
                <w:b/>
                <w:lang w:eastAsia="cs-CZ"/>
              </w:rPr>
            </w:pPr>
            <w:r w:rsidRPr="00495C87">
              <w:rPr>
                <w:rFonts w:eastAsia="Times New Roman" w:cs="Times New Roman"/>
                <w:b/>
                <w:lang w:eastAsia="cs-CZ"/>
              </w:rPr>
              <w:t>EU</w:t>
            </w:r>
          </w:p>
        </w:tc>
        <w:tc>
          <w:tcPr>
            <w:tcW w:w="6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495C87" w:rsidRDefault="008B655F" w:rsidP="00363483">
            <w:pPr>
              <w:spacing w:before="120" w:line="240" w:lineRule="auto"/>
              <w:jc w:val="center"/>
              <w:rPr>
                <w:rFonts w:eastAsia="Times New Roman" w:cs="Times New Roman"/>
                <w:b/>
                <w:lang w:eastAsia="cs-CZ"/>
              </w:rPr>
            </w:pPr>
            <w:r w:rsidRPr="00495C87">
              <w:rPr>
                <w:rFonts w:eastAsia="Times New Roman" w:cs="Times New Roman"/>
                <w:b/>
                <w:lang w:eastAsia="cs-CZ"/>
              </w:rPr>
              <w:t>SR</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B655F" w:rsidRPr="00495C87" w:rsidRDefault="008B655F" w:rsidP="00363483">
            <w:pPr>
              <w:spacing w:before="120" w:line="240" w:lineRule="auto"/>
              <w:jc w:val="center"/>
              <w:rPr>
                <w:rFonts w:eastAsia="Times New Roman" w:cs="Times New Roman"/>
                <w:b/>
                <w:lang w:eastAsia="cs-CZ"/>
              </w:rPr>
            </w:pPr>
            <w:r w:rsidRPr="00495C87">
              <w:rPr>
                <w:rFonts w:eastAsia="Times New Roman" w:cs="Times New Roman"/>
                <w:b/>
                <w:lang w:eastAsia="cs-CZ"/>
              </w:rPr>
              <w:t>Celkem</w:t>
            </w:r>
          </w:p>
        </w:tc>
      </w:tr>
      <w:tr w:rsidR="008B655F" w:rsidRPr="00495C87" w:rsidTr="00D00A45">
        <w:tc>
          <w:tcPr>
            <w:tcW w:w="2805" w:type="pct"/>
            <w:tcBorders>
              <w:top w:val="single" w:sz="4" w:space="0" w:color="7F7F7F" w:themeColor="text1" w:themeTint="80"/>
            </w:tcBorders>
            <w:shd w:val="clear" w:color="auto" w:fill="auto"/>
          </w:tcPr>
          <w:p w:rsidR="008B655F" w:rsidRPr="00495C87" w:rsidRDefault="008B655F" w:rsidP="00363483">
            <w:pPr>
              <w:spacing w:line="240" w:lineRule="auto"/>
              <w:rPr>
                <w:rFonts w:eastAsia="Times New Roman" w:cs="Times New Roman"/>
                <w:lang w:eastAsia="cs-CZ"/>
              </w:rPr>
            </w:pPr>
            <w:r w:rsidRPr="00495C87">
              <w:rPr>
                <w:rFonts w:eastAsia="Times New Roman" w:cs="Times New Roman"/>
                <w:b/>
                <w:lang w:eastAsia="cs-CZ"/>
              </w:rPr>
              <w:t xml:space="preserve">1 (CF) – Infrastruktura pro železniční a další udržitelnou dopravu </w:t>
            </w:r>
            <w:r w:rsidRPr="00495C87">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B655F" w:rsidRPr="00495C87" w:rsidRDefault="008B655F" w:rsidP="00363483">
            <w:pPr>
              <w:spacing w:before="120" w:line="240" w:lineRule="auto"/>
              <w:jc w:val="right"/>
              <w:rPr>
                <w:rFonts w:eastAsia="Times New Roman" w:cs="Times New Roman"/>
                <w:b/>
                <w:lang w:eastAsia="cs-CZ"/>
              </w:rPr>
            </w:pPr>
            <w:r w:rsidRPr="00495C87">
              <w:rPr>
                <w:rFonts w:eastAsia="Times New Roman" w:cs="Times New Roman"/>
                <w:b/>
                <w:lang w:eastAsia="cs-CZ"/>
              </w:rPr>
              <w:t>7 261 226</w:t>
            </w:r>
          </w:p>
        </w:tc>
        <w:tc>
          <w:tcPr>
            <w:tcW w:w="648" w:type="pct"/>
            <w:tcBorders>
              <w:top w:val="single" w:sz="4" w:space="0" w:color="7F7F7F" w:themeColor="text1" w:themeTint="80"/>
            </w:tcBorders>
            <w:shd w:val="clear" w:color="auto" w:fill="auto"/>
          </w:tcPr>
          <w:p w:rsidR="008B655F" w:rsidRPr="00495C87" w:rsidRDefault="008B655F" w:rsidP="00363483">
            <w:pPr>
              <w:spacing w:before="120" w:line="240" w:lineRule="auto"/>
              <w:jc w:val="right"/>
              <w:rPr>
                <w:rFonts w:eastAsia="Times New Roman" w:cs="Times New Roman"/>
                <w:b/>
                <w:lang w:eastAsia="cs-CZ"/>
              </w:rPr>
            </w:pPr>
            <w:r w:rsidRPr="00495C87">
              <w:rPr>
                <w:rFonts w:eastAsia="Times New Roman" w:cs="Times New Roman"/>
                <w:b/>
                <w:lang w:eastAsia="cs-CZ"/>
              </w:rPr>
              <w:t>0</w:t>
            </w:r>
          </w:p>
        </w:tc>
        <w:tc>
          <w:tcPr>
            <w:tcW w:w="782" w:type="pct"/>
            <w:tcBorders>
              <w:top w:val="single" w:sz="4" w:space="0" w:color="7F7F7F" w:themeColor="text1" w:themeTint="80"/>
            </w:tcBorders>
            <w:shd w:val="clear" w:color="auto" w:fill="auto"/>
          </w:tcPr>
          <w:p w:rsidR="008B655F" w:rsidRPr="00495C87" w:rsidRDefault="008B655F" w:rsidP="00363483">
            <w:pPr>
              <w:spacing w:before="120" w:line="240" w:lineRule="auto"/>
              <w:jc w:val="right"/>
              <w:rPr>
                <w:rFonts w:eastAsia="Times New Roman" w:cs="Times New Roman"/>
                <w:b/>
                <w:lang w:eastAsia="cs-CZ"/>
              </w:rPr>
            </w:pPr>
            <w:r w:rsidRPr="00495C87">
              <w:rPr>
                <w:rFonts w:eastAsia="Times New Roman" w:cs="Times New Roman"/>
                <w:b/>
                <w:lang w:eastAsia="cs-CZ"/>
              </w:rPr>
              <w:t>7 261 226</w:t>
            </w:r>
          </w:p>
        </w:tc>
      </w:tr>
      <w:tr w:rsidR="008B655F" w:rsidRPr="00495C87" w:rsidTr="00D00A45">
        <w:trPr>
          <w:trHeight w:val="112"/>
        </w:trPr>
        <w:tc>
          <w:tcPr>
            <w:tcW w:w="2805" w:type="pct"/>
            <w:tcBorders>
              <w:bottom w:val="nil"/>
            </w:tcBorders>
            <w:shd w:val="clear" w:color="auto" w:fill="auto"/>
          </w:tcPr>
          <w:p w:rsidR="008B655F" w:rsidRPr="00495C87" w:rsidRDefault="008B655F" w:rsidP="00363483">
            <w:pPr>
              <w:spacing w:line="240" w:lineRule="auto"/>
              <w:rPr>
                <w:rFonts w:eastAsia="Times New Roman" w:cs="Times New Roman"/>
                <w:lang w:eastAsia="cs-CZ"/>
              </w:rPr>
            </w:pPr>
            <w:r w:rsidRPr="00495C87">
              <w:rPr>
                <w:rFonts w:eastAsia="Times New Roman" w:cs="Times New Roman"/>
                <w:lang w:eastAsia="cs-CZ"/>
              </w:rPr>
              <w:t>Státní fond dopravní infrastruktury v tom:</w:t>
            </w:r>
          </w:p>
        </w:tc>
        <w:tc>
          <w:tcPr>
            <w:tcW w:w="766" w:type="pct"/>
            <w:tcBorders>
              <w:bottom w:val="nil"/>
            </w:tcBorders>
            <w:shd w:val="clear" w:color="auto" w:fill="auto"/>
          </w:tcPr>
          <w:p w:rsidR="008B655F" w:rsidRPr="00495C87" w:rsidRDefault="008B655F" w:rsidP="00363483">
            <w:pPr>
              <w:spacing w:line="240" w:lineRule="auto"/>
              <w:jc w:val="right"/>
              <w:rPr>
                <w:rFonts w:eastAsia="Times New Roman" w:cs="Times New Roman"/>
                <w:lang w:eastAsia="cs-CZ"/>
              </w:rPr>
            </w:pPr>
            <w:r w:rsidRPr="00495C87">
              <w:rPr>
                <w:rFonts w:eastAsia="Times New Roman" w:cs="Times New Roman"/>
                <w:lang w:eastAsia="cs-CZ"/>
              </w:rPr>
              <w:t>7 261 226</w:t>
            </w:r>
          </w:p>
        </w:tc>
        <w:tc>
          <w:tcPr>
            <w:tcW w:w="648" w:type="pct"/>
            <w:tcBorders>
              <w:bottom w:val="nil"/>
            </w:tcBorders>
            <w:shd w:val="clear" w:color="auto" w:fill="auto"/>
          </w:tcPr>
          <w:p w:rsidR="008B655F" w:rsidRPr="00495C87" w:rsidRDefault="008B655F" w:rsidP="00363483">
            <w:pPr>
              <w:spacing w:line="240" w:lineRule="auto"/>
              <w:jc w:val="right"/>
              <w:rPr>
                <w:rFonts w:eastAsia="Times New Roman" w:cs="Times New Roman"/>
                <w:lang w:eastAsia="cs-CZ"/>
              </w:rPr>
            </w:pPr>
            <w:r w:rsidRPr="00495C87">
              <w:rPr>
                <w:rFonts w:eastAsia="Times New Roman" w:cs="Times New Roman"/>
                <w:lang w:eastAsia="cs-CZ"/>
              </w:rPr>
              <w:t>0</w:t>
            </w:r>
          </w:p>
        </w:tc>
        <w:tc>
          <w:tcPr>
            <w:tcW w:w="782" w:type="pct"/>
            <w:tcBorders>
              <w:bottom w:val="nil"/>
            </w:tcBorders>
            <w:shd w:val="clear" w:color="auto" w:fill="auto"/>
          </w:tcPr>
          <w:p w:rsidR="008B655F" w:rsidRPr="00495C87" w:rsidRDefault="008B655F" w:rsidP="00363483">
            <w:pPr>
              <w:spacing w:line="240" w:lineRule="auto"/>
              <w:jc w:val="right"/>
              <w:rPr>
                <w:rFonts w:eastAsia="Times New Roman" w:cs="Times New Roman"/>
                <w:lang w:eastAsia="cs-CZ"/>
              </w:rPr>
            </w:pPr>
            <w:r w:rsidRPr="00495C87">
              <w:rPr>
                <w:rFonts w:eastAsia="Times New Roman" w:cs="Times New Roman"/>
                <w:lang w:eastAsia="cs-CZ"/>
              </w:rPr>
              <w:t>7 261 226</w:t>
            </w:r>
          </w:p>
        </w:tc>
      </w:tr>
      <w:tr w:rsidR="008B655F" w:rsidRPr="00495C87" w:rsidTr="00D00A45">
        <w:tc>
          <w:tcPr>
            <w:tcW w:w="2805" w:type="pct"/>
            <w:tcBorders>
              <w:top w:val="nil"/>
              <w:bottom w:val="single" w:sz="4" w:space="0" w:color="7F7F7F" w:themeColor="text1" w:themeTint="80"/>
            </w:tcBorders>
            <w:shd w:val="clear" w:color="auto" w:fill="auto"/>
          </w:tcPr>
          <w:p w:rsidR="008B655F" w:rsidRPr="00495C87" w:rsidRDefault="008B655F" w:rsidP="00363483">
            <w:pPr>
              <w:spacing w:line="240" w:lineRule="auto"/>
              <w:rPr>
                <w:rFonts w:eastAsia="Times New Roman" w:cs="Times New Roman"/>
                <w:b/>
                <w:i/>
                <w:lang w:eastAsia="cs-CZ"/>
              </w:rPr>
            </w:pPr>
            <w:r w:rsidRPr="00495C87">
              <w:rPr>
                <w:rFonts w:eastAsia="Times New Roman" w:cs="Times New Roman"/>
                <w:b/>
                <w:i/>
                <w:lang w:eastAsia="cs-CZ"/>
              </w:rPr>
              <w:t>127 77 Podpora financování dopravy</w:t>
            </w:r>
          </w:p>
        </w:tc>
        <w:tc>
          <w:tcPr>
            <w:tcW w:w="766" w:type="pct"/>
            <w:tcBorders>
              <w:top w:val="nil"/>
              <w:bottom w:val="single" w:sz="4" w:space="0" w:color="7F7F7F" w:themeColor="text1" w:themeTint="80"/>
            </w:tcBorders>
            <w:shd w:val="clear" w:color="auto" w:fill="auto"/>
          </w:tcPr>
          <w:p w:rsidR="008B655F" w:rsidRPr="00495C87" w:rsidRDefault="008B655F" w:rsidP="00363483">
            <w:pPr>
              <w:spacing w:line="240" w:lineRule="auto"/>
              <w:jc w:val="right"/>
              <w:rPr>
                <w:rFonts w:eastAsia="Times New Roman" w:cs="Times New Roman"/>
                <w:b/>
                <w:i/>
                <w:lang w:eastAsia="cs-CZ"/>
              </w:rPr>
            </w:pPr>
            <w:r w:rsidRPr="00495C87">
              <w:rPr>
                <w:rFonts w:eastAsia="Times New Roman" w:cs="Times New Roman"/>
                <w:b/>
                <w:i/>
                <w:lang w:eastAsia="cs-CZ"/>
              </w:rPr>
              <w:t>7 261 226</w:t>
            </w:r>
          </w:p>
        </w:tc>
        <w:tc>
          <w:tcPr>
            <w:tcW w:w="648" w:type="pct"/>
            <w:tcBorders>
              <w:top w:val="nil"/>
              <w:bottom w:val="single" w:sz="4" w:space="0" w:color="7F7F7F" w:themeColor="text1" w:themeTint="80"/>
            </w:tcBorders>
            <w:shd w:val="clear" w:color="auto" w:fill="auto"/>
          </w:tcPr>
          <w:p w:rsidR="008B655F" w:rsidRPr="00495C87" w:rsidRDefault="008B655F" w:rsidP="00363483">
            <w:pPr>
              <w:spacing w:line="240" w:lineRule="auto"/>
              <w:jc w:val="right"/>
              <w:rPr>
                <w:rFonts w:eastAsia="Times New Roman" w:cs="Times New Roman"/>
                <w:b/>
                <w:i/>
                <w:lang w:eastAsia="cs-CZ"/>
              </w:rPr>
            </w:pPr>
            <w:r w:rsidRPr="00495C87">
              <w:rPr>
                <w:rFonts w:eastAsia="Times New Roman" w:cs="Times New Roman"/>
                <w:b/>
                <w:i/>
                <w:lang w:eastAsia="cs-CZ"/>
              </w:rPr>
              <w:t>0</w:t>
            </w:r>
          </w:p>
        </w:tc>
        <w:tc>
          <w:tcPr>
            <w:tcW w:w="782" w:type="pct"/>
            <w:tcBorders>
              <w:top w:val="nil"/>
              <w:bottom w:val="single" w:sz="4" w:space="0" w:color="7F7F7F" w:themeColor="text1" w:themeTint="80"/>
            </w:tcBorders>
            <w:shd w:val="clear" w:color="auto" w:fill="auto"/>
          </w:tcPr>
          <w:p w:rsidR="008B655F" w:rsidRPr="00495C87" w:rsidRDefault="008B655F" w:rsidP="00363483">
            <w:pPr>
              <w:spacing w:line="240" w:lineRule="auto"/>
              <w:jc w:val="right"/>
              <w:rPr>
                <w:rFonts w:eastAsia="Times New Roman" w:cs="Times New Roman"/>
                <w:b/>
                <w:i/>
                <w:lang w:eastAsia="cs-CZ"/>
              </w:rPr>
            </w:pPr>
            <w:r w:rsidRPr="00495C87">
              <w:rPr>
                <w:rFonts w:eastAsia="Times New Roman" w:cs="Times New Roman"/>
                <w:b/>
                <w:i/>
                <w:lang w:eastAsia="cs-CZ"/>
              </w:rPr>
              <w:t>7 261 226</w:t>
            </w:r>
          </w:p>
        </w:tc>
      </w:tr>
      <w:tr w:rsidR="008B655F" w:rsidRPr="00495C87" w:rsidTr="00D00A45">
        <w:tc>
          <w:tcPr>
            <w:tcW w:w="2805" w:type="pct"/>
            <w:tcBorders>
              <w:top w:val="single" w:sz="4" w:space="0" w:color="7F7F7F" w:themeColor="text1" w:themeTint="80"/>
            </w:tcBorders>
            <w:shd w:val="clear" w:color="auto" w:fill="auto"/>
          </w:tcPr>
          <w:p w:rsidR="008B655F" w:rsidRPr="00495C87" w:rsidRDefault="008B655F" w:rsidP="00363483">
            <w:pPr>
              <w:spacing w:line="240" w:lineRule="auto"/>
              <w:rPr>
                <w:rFonts w:eastAsia="Times New Roman" w:cs="Times New Roman"/>
                <w:lang w:eastAsia="cs-CZ"/>
              </w:rPr>
            </w:pPr>
            <w:r w:rsidRPr="00495C87">
              <w:rPr>
                <w:rFonts w:eastAsia="Times New Roman" w:cs="Times New Roman"/>
                <w:b/>
                <w:lang w:eastAsia="cs-CZ"/>
              </w:rPr>
              <w:t xml:space="preserve">2 (CF) – Silniční infrastruktura na síti TEN-T                 a veřejná infrastruktura pro čistou mobilitu </w:t>
            </w:r>
            <w:r w:rsidRPr="00495C87">
              <w:rPr>
                <w:rFonts w:eastAsia="Times New Roman" w:cs="Times New Roman"/>
                <w:b/>
                <w:lang w:eastAsia="cs-CZ"/>
              </w:rPr>
              <w:br/>
              <w:t xml:space="preserve">a řízení silničního provozu </w:t>
            </w:r>
            <w:r w:rsidRPr="00495C87">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B655F" w:rsidRPr="00495C87" w:rsidRDefault="008B655F" w:rsidP="00363483">
            <w:pPr>
              <w:spacing w:before="240" w:line="240" w:lineRule="auto"/>
              <w:jc w:val="right"/>
              <w:rPr>
                <w:rFonts w:eastAsia="Times New Roman" w:cs="Times New Roman"/>
                <w:b/>
                <w:lang w:eastAsia="cs-CZ"/>
              </w:rPr>
            </w:pPr>
            <w:r>
              <w:rPr>
                <w:rFonts w:eastAsia="Times New Roman" w:cs="Times New Roman"/>
                <w:b/>
                <w:lang w:eastAsia="cs-CZ"/>
              </w:rPr>
              <w:t>6 727 887</w:t>
            </w:r>
          </w:p>
        </w:tc>
        <w:tc>
          <w:tcPr>
            <w:tcW w:w="648" w:type="pct"/>
            <w:tcBorders>
              <w:top w:val="single" w:sz="4" w:space="0" w:color="7F7F7F" w:themeColor="text1" w:themeTint="80"/>
            </w:tcBorders>
            <w:shd w:val="clear" w:color="auto" w:fill="auto"/>
          </w:tcPr>
          <w:p w:rsidR="008B655F" w:rsidRPr="00495C87" w:rsidRDefault="008B655F" w:rsidP="00363483">
            <w:pPr>
              <w:spacing w:before="240" w:line="240" w:lineRule="auto"/>
              <w:jc w:val="right"/>
              <w:rPr>
                <w:rFonts w:eastAsia="Times New Roman" w:cs="Times New Roman"/>
                <w:b/>
                <w:lang w:eastAsia="cs-CZ"/>
              </w:rPr>
            </w:pPr>
            <w:r w:rsidRPr="00495C87">
              <w:rPr>
                <w:rFonts w:eastAsia="Times New Roman" w:cs="Times New Roman"/>
                <w:b/>
                <w:lang w:eastAsia="cs-CZ"/>
              </w:rPr>
              <w:t>0</w:t>
            </w:r>
          </w:p>
        </w:tc>
        <w:tc>
          <w:tcPr>
            <w:tcW w:w="782" w:type="pct"/>
            <w:tcBorders>
              <w:top w:val="single" w:sz="4" w:space="0" w:color="7F7F7F" w:themeColor="text1" w:themeTint="80"/>
            </w:tcBorders>
            <w:shd w:val="clear" w:color="auto" w:fill="auto"/>
          </w:tcPr>
          <w:p w:rsidR="008B655F" w:rsidRPr="00495C87" w:rsidRDefault="008B655F" w:rsidP="00363483">
            <w:pPr>
              <w:spacing w:before="240" w:line="240" w:lineRule="auto"/>
              <w:jc w:val="right"/>
              <w:rPr>
                <w:rFonts w:eastAsia="Times New Roman" w:cs="Times New Roman"/>
                <w:b/>
                <w:lang w:eastAsia="cs-CZ"/>
              </w:rPr>
            </w:pPr>
            <w:r w:rsidRPr="00145804">
              <w:rPr>
                <w:rFonts w:eastAsia="Times New Roman" w:cs="Times New Roman"/>
                <w:b/>
                <w:lang w:eastAsia="cs-CZ"/>
              </w:rPr>
              <w:t>6 727 887</w:t>
            </w:r>
          </w:p>
        </w:tc>
      </w:tr>
      <w:tr w:rsidR="008B655F" w:rsidRPr="00145804" w:rsidTr="00D00A45">
        <w:tc>
          <w:tcPr>
            <w:tcW w:w="2805" w:type="pct"/>
            <w:tcBorders>
              <w:bottom w:val="nil"/>
            </w:tcBorders>
            <w:shd w:val="clear" w:color="auto" w:fill="auto"/>
          </w:tcPr>
          <w:p w:rsidR="008B655F" w:rsidRPr="00145804" w:rsidRDefault="008B655F" w:rsidP="00363483">
            <w:pPr>
              <w:spacing w:line="240" w:lineRule="auto"/>
              <w:rPr>
                <w:rFonts w:eastAsia="Times New Roman" w:cs="Times New Roman"/>
                <w:lang w:eastAsia="cs-CZ"/>
              </w:rPr>
            </w:pPr>
            <w:r w:rsidRPr="00145804">
              <w:rPr>
                <w:rFonts w:eastAsia="Times New Roman" w:cs="Times New Roman"/>
                <w:lang w:eastAsia="cs-CZ"/>
              </w:rPr>
              <w:t>Státní fond dopravní infrastruktury v tom:</w:t>
            </w:r>
          </w:p>
        </w:tc>
        <w:tc>
          <w:tcPr>
            <w:tcW w:w="766" w:type="pct"/>
            <w:tcBorders>
              <w:bottom w:val="nil"/>
            </w:tcBorders>
            <w:shd w:val="clear" w:color="auto" w:fill="auto"/>
          </w:tcPr>
          <w:p w:rsidR="008B655F" w:rsidRPr="00145804" w:rsidRDefault="008B655F" w:rsidP="00363483">
            <w:pPr>
              <w:spacing w:line="240" w:lineRule="auto"/>
              <w:jc w:val="right"/>
              <w:rPr>
                <w:rFonts w:eastAsia="Times New Roman" w:cs="Times New Roman"/>
                <w:lang w:eastAsia="cs-CZ"/>
              </w:rPr>
            </w:pPr>
            <w:r w:rsidRPr="00145804">
              <w:rPr>
                <w:rFonts w:eastAsia="Times New Roman" w:cs="Times New Roman"/>
                <w:lang w:eastAsia="cs-CZ"/>
              </w:rPr>
              <w:t>6 727 887</w:t>
            </w:r>
          </w:p>
        </w:tc>
        <w:tc>
          <w:tcPr>
            <w:tcW w:w="648" w:type="pct"/>
            <w:tcBorders>
              <w:bottom w:val="nil"/>
            </w:tcBorders>
            <w:shd w:val="clear" w:color="auto" w:fill="auto"/>
          </w:tcPr>
          <w:p w:rsidR="008B655F" w:rsidRPr="00145804" w:rsidRDefault="008B655F" w:rsidP="00363483">
            <w:pPr>
              <w:spacing w:line="240" w:lineRule="auto"/>
              <w:jc w:val="right"/>
              <w:rPr>
                <w:rFonts w:eastAsia="Times New Roman" w:cs="Times New Roman"/>
                <w:lang w:eastAsia="cs-CZ"/>
              </w:rPr>
            </w:pPr>
            <w:r w:rsidRPr="00145804">
              <w:rPr>
                <w:rFonts w:eastAsia="Times New Roman" w:cs="Times New Roman"/>
                <w:lang w:eastAsia="cs-CZ"/>
              </w:rPr>
              <w:t>0</w:t>
            </w:r>
          </w:p>
        </w:tc>
        <w:tc>
          <w:tcPr>
            <w:tcW w:w="782" w:type="pct"/>
            <w:tcBorders>
              <w:bottom w:val="nil"/>
            </w:tcBorders>
            <w:shd w:val="clear" w:color="auto" w:fill="auto"/>
          </w:tcPr>
          <w:p w:rsidR="008B655F" w:rsidRPr="00145804" w:rsidRDefault="008B655F" w:rsidP="00363483">
            <w:pPr>
              <w:spacing w:line="240" w:lineRule="auto"/>
              <w:jc w:val="right"/>
              <w:rPr>
                <w:rFonts w:eastAsia="Times New Roman" w:cs="Times New Roman"/>
                <w:lang w:eastAsia="cs-CZ"/>
              </w:rPr>
            </w:pPr>
            <w:r w:rsidRPr="00145804">
              <w:rPr>
                <w:rFonts w:eastAsia="Times New Roman" w:cs="Times New Roman"/>
                <w:lang w:eastAsia="cs-CZ"/>
              </w:rPr>
              <w:t>6 727 887</w:t>
            </w:r>
          </w:p>
        </w:tc>
      </w:tr>
      <w:tr w:rsidR="008B655F" w:rsidRPr="00145804" w:rsidTr="00D00A45">
        <w:tc>
          <w:tcPr>
            <w:tcW w:w="2805" w:type="pct"/>
            <w:tcBorders>
              <w:top w:val="nil"/>
              <w:bottom w:val="single" w:sz="4" w:space="0" w:color="7F7F7F" w:themeColor="text1" w:themeTint="80"/>
            </w:tcBorders>
            <w:shd w:val="clear" w:color="auto" w:fill="auto"/>
          </w:tcPr>
          <w:p w:rsidR="008B655F" w:rsidRPr="00145804" w:rsidRDefault="008B655F" w:rsidP="00363483">
            <w:pPr>
              <w:spacing w:line="240" w:lineRule="auto"/>
              <w:rPr>
                <w:rFonts w:eastAsia="Times New Roman" w:cs="Times New Roman"/>
                <w:i/>
                <w:lang w:eastAsia="cs-CZ"/>
              </w:rPr>
            </w:pPr>
            <w:r w:rsidRPr="00145804">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i/>
                <w:lang w:eastAsia="cs-CZ"/>
              </w:rPr>
            </w:pPr>
            <w:r w:rsidRPr="00145804">
              <w:rPr>
                <w:rFonts w:eastAsia="Times New Roman" w:cs="Times New Roman"/>
                <w:lang w:eastAsia="cs-CZ"/>
              </w:rPr>
              <w:t>6 727 887</w:t>
            </w:r>
          </w:p>
        </w:tc>
        <w:tc>
          <w:tcPr>
            <w:tcW w:w="648" w:type="pct"/>
            <w:tcBorders>
              <w:top w:val="nil"/>
              <w:bottom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i/>
                <w:lang w:eastAsia="cs-CZ"/>
              </w:rPr>
            </w:pPr>
            <w:r w:rsidRPr="00145804">
              <w:rPr>
                <w:rFonts w:eastAsia="Times New Roman" w:cs="Times New Roman"/>
                <w:i/>
                <w:lang w:eastAsia="cs-CZ"/>
              </w:rPr>
              <w:t>0</w:t>
            </w:r>
          </w:p>
        </w:tc>
        <w:tc>
          <w:tcPr>
            <w:tcW w:w="782" w:type="pct"/>
            <w:tcBorders>
              <w:top w:val="nil"/>
              <w:bottom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i/>
                <w:lang w:eastAsia="cs-CZ"/>
              </w:rPr>
            </w:pPr>
            <w:r w:rsidRPr="00145804">
              <w:rPr>
                <w:rFonts w:eastAsia="Times New Roman" w:cs="Times New Roman"/>
                <w:lang w:eastAsia="cs-CZ"/>
              </w:rPr>
              <w:t>6 727 887</w:t>
            </w:r>
          </w:p>
        </w:tc>
      </w:tr>
      <w:tr w:rsidR="008B655F" w:rsidRPr="00145804" w:rsidTr="00D00A45">
        <w:tc>
          <w:tcPr>
            <w:tcW w:w="2805" w:type="pct"/>
            <w:tcBorders>
              <w:top w:val="single" w:sz="4" w:space="0" w:color="7F7F7F" w:themeColor="text1" w:themeTint="80"/>
            </w:tcBorders>
            <w:shd w:val="clear" w:color="auto" w:fill="auto"/>
          </w:tcPr>
          <w:p w:rsidR="008B655F" w:rsidRPr="00145804" w:rsidRDefault="008B655F" w:rsidP="00363483">
            <w:pPr>
              <w:spacing w:line="240" w:lineRule="auto"/>
              <w:rPr>
                <w:rFonts w:eastAsia="Times New Roman" w:cs="Times New Roman"/>
                <w:lang w:eastAsia="cs-CZ"/>
              </w:rPr>
            </w:pPr>
            <w:r w:rsidRPr="00145804">
              <w:rPr>
                <w:rFonts w:eastAsia="Times New Roman" w:cs="Times New Roman"/>
                <w:b/>
                <w:lang w:eastAsia="cs-CZ"/>
              </w:rPr>
              <w:t xml:space="preserve">3 (ERDF) – Silniční infrastruktura mimo síť </w:t>
            </w:r>
            <w:r w:rsidRPr="00145804">
              <w:rPr>
                <w:rFonts w:eastAsia="Times New Roman" w:cs="Times New Roman"/>
                <w:b/>
                <w:lang w:eastAsia="cs-CZ"/>
              </w:rPr>
              <w:br/>
              <w:t xml:space="preserve">TEN-T </w:t>
            </w:r>
            <w:r w:rsidRPr="00145804">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b/>
                <w:lang w:eastAsia="cs-CZ"/>
              </w:rPr>
            </w:pPr>
          </w:p>
          <w:p w:rsidR="008B655F" w:rsidRPr="00145804" w:rsidRDefault="008B655F" w:rsidP="00363483">
            <w:pPr>
              <w:spacing w:line="240" w:lineRule="auto"/>
              <w:jc w:val="right"/>
              <w:rPr>
                <w:rFonts w:eastAsia="Times New Roman" w:cs="Times New Roman"/>
                <w:b/>
                <w:lang w:eastAsia="cs-CZ"/>
              </w:rPr>
            </w:pPr>
            <w:r w:rsidRPr="00145804">
              <w:rPr>
                <w:rFonts w:eastAsia="Times New Roman" w:cs="Times New Roman"/>
                <w:b/>
                <w:lang w:eastAsia="cs-CZ"/>
              </w:rPr>
              <w:t>3 841 179</w:t>
            </w:r>
          </w:p>
        </w:tc>
        <w:tc>
          <w:tcPr>
            <w:tcW w:w="648" w:type="pct"/>
            <w:tcBorders>
              <w:top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b/>
                <w:lang w:eastAsia="cs-CZ"/>
              </w:rPr>
            </w:pPr>
          </w:p>
          <w:p w:rsidR="008B655F" w:rsidRPr="00145804" w:rsidRDefault="008B655F" w:rsidP="00363483">
            <w:pPr>
              <w:spacing w:line="240" w:lineRule="auto"/>
              <w:jc w:val="right"/>
              <w:rPr>
                <w:rFonts w:eastAsia="Times New Roman" w:cs="Times New Roman"/>
                <w:b/>
                <w:lang w:eastAsia="cs-CZ"/>
              </w:rPr>
            </w:pPr>
            <w:r w:rsidRPr="00145804">
              <w:rPr>
                <w:rFonts w:eastAsia="Times New Roman" w:cs="Times New Roman"/>
                <w:b/>
                <w:lang w:eastAsia="cs-CZ"/>
              </w:rPr>
              <w:t>0</w:t>
            </w:r>
          </w:p>
        </w:tc>
        <w:tc>
          <w:tcPr>
            <w:tcW w:w="782" w:type="pct"/>
            <w:tcBorders>
              <w:top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b/>
                <w:lang w:eastAsia="cs-CZ"/>
              </w:rPr>
            </w:pPr>
          </w:p>
          <w:p w:rsidR="008B655F" w:rsidRPr="00145804" w:rsidRDefault="008B655F" w:rsidP="00363483">
            <w:pPr>
              <w:spacing w:line="240" w:lineRule="auto"/>
              <w:jc w:val="right"/>
              <w:rPr>
                <w:rFonts w:eastAsia="Times New Roman" w:cs="Times New Roman"/>
                <w:b/>
                <w:lang w:eastAsia="cs-CZ"/>
              </w:rPr>
            </w:pPr>
            <w:r w:rsidRPr="00145804">
              <w:rPr>
                <w:rFonts w:eastAsia="Times New Roman" w:cs="Times New Roman"/>
                <w:b/>
                <w:lang w:eastAsia="cs-CZ"/>
              </w:rPr>
              <w:t>3 841 179</w:t>
            </w:r>
          </w:p>
        </w:tc>
      </w:tr>
      <w:tr w:rsidR="008B655F" w:rsidRPr="00145804" w:rsidTr="00D00A45">
        <w:tc>
          <w:tcPr>
            <w:tcW w:w="2805" w:type="pct"/>
            <w:tcBorders>
              <w:bottom w:val="nil"/>
            </w:tcBorders>
            <w:shd w:val="clear" w:color="auto" w:fill="auto"/>
          </w:tcPr>
          <w:p w:rsidR="008B655F" w:rsidRPr="00145804" w:rsidRDefault="008B655F" w:rsidP="00363483">
            <w:pPr>
              <w:spacing w:line="240" w:lineRule="auto"/>
              <w:rPr>
                <w:rFonts w:eastAsia="Times New Roman" w:cs="Times New Roman"/>
                <w:lang w:eastAsia="cs-CZ"/>
              </w:rPr>
            </w:pPr>
            <w:r w:rsidRPr="00145804">
              <w:rPr>
                <w:rFonts w:eastAsia="Times New Roman" w:cs="Times New Roman"/>
                <w:lang w:eastAsia="cs-CZ"/>
              </w:rPr>
              <w:t>Státní fond dopravní infrastruktury v tom:</w:t>
            </w:r>
          </w:p>
        </w:tc>
        <w:tc>
          <w:tcPr>
            <w:tcW w:w="766" w:type="pct"/>
            <w:tcBorders>
              <w:bottom w:val="nil"/>
            </w:tcBorders>
            <w:shd w:val="clear" w:color="auto" w:fill="auto"/>
          </w:tcPr>
          <w:p w:rsidR="008B655F" w:rsidRPr="00145804" w:rsidRDefault="008B655F" w:rsidP="00363483">
            <w:pPr>
              <w:spacing w:line="240" w:lineRule="auto"/>
              <w:jc w:val="right"/>
              <w:rPr>
                <w:rFonts w:eastAsia="Times New Roman" w:cs="Times New Roman"/>
                <w:lang w:eastAsia="cs-CZ"/>
              </w:rPr>
            </w:pPr>
            <w:r w:rsidRPr="00145804">
              <w:rPr>
                <w:rFonts w:eastAsia="Times New Roman" w:cs="Times New Roman"/>
                <w:lang w:eastAsia="cs-CZ"/>
              </w:rPr>
              <w:t>3 841 179</w:t>
            </w:r>
          </w:p>
        </w:tc>
        <w:tc>
          <w:tcPr>
            <w:tcW w:w="648" w:type="pct"/>
            <w:tcBorders>
              <w:bottom w:val="nil"/>
            </w:tcBorders>
            <w:shd w:val="clear" w:color="auto" w:fill="auto"/>
          </w:tcPr>
          <w:p w:rsidR="008B655F" w:rsidRPr="00145804" w:rsidRDefault="008B655F" w:rsidP="00363483">
            <w:pPr>
              <w:spacing w:line="240" w:lineRule="auto"/>
              <w:jc w:val="right"/>
              <w:rPr>
                <w:rFonts w:eastAsia="Times New Roman" w:cs="Times New Roman"/>
                <w:lang w:eastAsia="cs-CZ"/>
              </w:rPr>
            </w:pPr>
            <w:r w:rsidRPr="00145804">
              <w:rPr>
                <w:rFonts w:eastAsia="Times New Roman" w:cs="Times New Roman"/>
                <w:lang w:eastAsia="cs-CZ"/>
              </w:rPr>
              <w:t>0</w:t>
            </w:r>
          </w:p>
        </w:tc>
        <w:tc>
          <w:tcPr>
            <w:tcW w:w="782" w:type="pct"/>
            <w:tcBorders>
              <w:bottom w:val="nil"/>
            </w:tcBorders>
            <w:shd w:val="clear" w:color="auto" w:fill="auto"/>
          </w:tcPr>
          <w:p w:rsidR="008B655F" w:rsidRPr="00145804" w:rsidRDefault="008B655F" w:rsidP="00363483">
            <w:pPr>
              <w:spacing w:line="240" w:lineRule="auto"/>
              <w:jc w:val="right"/>
              <w:rPr>
                <w:rFonts w:eastAsia="Times New Roman" w:cs="Times New Roman"/>
                <w:lang w:eastAsia="cs-CZ"/>
              </w:rPr>
            </w:pPr>
            <w:r w:rsidRPr="00145804">
              <w:rPr>
                <w:rFonts w:eastAsia="Times New Roman" w:cs="Times New Roman"/>
                <w:lang w:eastAsia="cs-CZ"/>
              </w:rPr>
              <w:t>3 841 179</w:t>
            </w:r>
          </w:p>
        </w:tc>
      </w:tr>
      <w:tr w:rsidR="008B655F" w:rsidRPr="00145804" w:rsidTr="00D00A45">
        <w:tc>
          <w:tcPr>
            <w:tcW w:w="2805" w:type="pct"/>
            <w:tcBorders>
              <w:top w:val="nil"/>
              <w:bottom w:val="single" w:sz="4" w:space="0" w:color="7F7F7F" w:themeColor="text1" w:themeTint="80"/>
            </w:tcBorders>
            <w:shd w:val="clear" w:color="auto" w:fill="auto"/>
          </w:tcPr>
          <w:p w:rsidR="008B655F" w:rsidRPr="00145804" w:rsidRDefault="008B655F" w:rsidP="00363483">
            <w:pPr>
              <w:spacing w:line="240" w:lineRule="auto"/>
              <w:rPr>
                <w:rFonts w:eastAsia="Times New Roman" w:cs="Times New Roman"/>
                <w:lang w:eastAsia="cs-CZ"/>
              </w:rPr>
            </w:pPr>
            <w:r w:rsidRPr="00145804">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i/>
                <w:lang w:eastAsia="cs-CZ"/>
              </w:rPr>
            </w:pPr>
            <w:r w:rsidRPr="00145804">
              <w:rPr>
                <w:rFonts w:eastAsia="Times New Roman" w:cs="Times New Roman"/>
                <w:i/>
                <w:lang w:eastAsia="cs-CZ"/>
              </w:rPr>
              <w:t>3 841 179</w:t>
            </w:r>
          </w:p>
        </w:tc>
        <w:tc>
          <w:tcPr>
            <w:tcW w:w="648" w:type="pct"/>
            <w:tcBorders>
              <w:top w:val="nil"/>
              <w:bottom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i/>
                <w:lang w:eastAsia="cs-CZ"/>
              </w:rPr>
            </w:pPr>
            <w:r w:rsidRPr="00145804">
              <w:rPr>
                <w:rFonts w:eastAsia="Times New Roman" w:cs="Times New Roman"/>
                <w:i/>
                <w:lang w:eastAsia="cs-CZ"/>
              </w:rPr>
              <w:t>0</w:t>
            </w:r>
          </w:p>
        </w:tc>
        <w:tc>
          <w:tcPr>
            <w:tcW w:w="782" w:type="pct"/>
            <w:tcBorders>
              <w:top w:val="nil"/>
              <w:bottom w:val="single" w:sz="4" w:space="0" w:color="7F7F7F" w:themeColor="text1" w:themeTint="80"/>
            </w:tcBorders>
            <w:shd w:val="clear" w:color="auto" w:fill="auto"/>
          </w:tcPr>
          <w:p w:rsidR="008B655F" w:rsidRPr="00145804" w:rsidRDefault="008B655F" w:rsidP="00363483">
            <w:pPr>
              <w:spacing w:line="240" w:lineRule="auto"/>
              <w:jc w:val="right"/>
              <w:rPr>
                <w:rFonts w:eastAsia="Times New Roman" w:cs="Times New Roman"/>
                <w:i/>
                <w:lang w:eastAsia="cs-CZ"/>
              </w:rPr>
            </w:pPr>
            <w:r w:rsidRPr="00145804">
              <w:rPr>
                <w:rFonts w:eastAsia="Times New Roman" w:cs="Times New Roman"/>
                <w:i/>
                <w:lang w:eastAsia="cs-CZ"/>
              </w:rPr>
              <w:t>3 841 179</w:t>
            </w:r>
          </w:p>
        </w:tc>
      </w:tr>
      <w:tr w:rsidR="008B655F" w:rsidRPr="00BC2793" w:rsidTr="00D00A45">
        <w:tc>
          <w:tcPr>
            <w:tcW w:w="2805" w:type="pct"/>
            <w:tcBorders>
              <w:top w:val="single" w:sz="4" w:space="0" w:color="7F7F7F" w:themeColor="text1" w:themeTint="80"/>
            </w:tcBorders>
            <w:shd w:val="clear" w:color="auto" w:fill="auto"/>
          </w:tcPr>
          <w:p w:rsidR="008B655F" w:rsidRPr="00BC2793" w:rsidRDefault="008B655F" w:rsidP="00363483">
            <w:pPr>
              <w:spacing w:line="240" w:lineRule="auto"/>
              <w:rPr>
                <w:rFonts w:eastAsia="Times New Roman" w:cs="Times New Roman"/>
                <w:lang w:eastAsia="cs-CZ"/>
              </w:rPr>
            </w:pPr>
            <w:r w:rsidRPr="00BC2793">
              <w:rPr>
                <w:rFonts w:eastAsia="Times New Roman" w:cs="Times New Roman"/>
                <w:b/>
                <w:lang w:eastAsia="cs-CZ"/>
              </w:rPr>
              <w:t xml:space="preserve">4 (CF) – Technická pomoc </w:t>
            </w:r>
            <w:r w:rsidRPr="00BC2793">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B655F" w:rsidRPr="00BC2793" w:rsidRDefault="008B655F" w:rsidP="00363483">
            <w:pPr>
              <w:spacing w:line="240" w:lineRule="auto"/>
              <w:jc w:val="right"/>
              <w:rPr>
                <w:rFonts w:eastAsia="Times New Roman" w:cs="Times New Roman"/>
                <w:b/>
                <w:lang w:eastAsia="cs-CZ"/>
              </w:rPr>
            </w:pPr>
            <w:r>
              <w:rPr>
                <w:rFonts w:eastAsia="Times New Roman" w:cs="Times New Roman"/>
                <w:b/>
                <w:lang w:eastAsia="cs-CZ"/>
              </w:rPr>
              <w:t>113 372</w:t>
            </w:r>
          </w:p>
        </w:tc>
        <w:tc>
          <w:tcPr>
            <w:tcW w:w="648" w:type="pct"/>
            <w:tcBorders>
              <w:top w:val="single" w:sz="4" w:space="0" w:color="7F7F7F" w:themeColor="text1" w:themeTint="80"/>
            </w:tcBorders>
            <w:shd w:val="clear" w:color="auto" w:fill="auto"/>
          </w:tcPr>
          <w:p w:rsidR="008B655F" w:rsidRPr="00BC2793" w:rsidRDefault="008B655F" w:rsidP="00363483">
            <w:pPr>
              <w:spacing w:line="240" w:lineRule="auto"/>
              <w:jc w:val="right"/>
              <w:rPr>
                <w:rFonts w:eastAsia="Times New Roman" w:cs="Times New Roman"/>
                <w:b/>
                <w:lang w:eastAsia="cs-CZ"/>
              </w:rPr>
            </w:pPr>
            <w:r>
              <w:rPr>
                <w:rFonts w:eastAsia="Times New Roman" w:cs="Times New Roman"/>
                <w:b/>
                <w:lang w:eastAsia="cs-CZ"/>
              </w:rPr>
              <w:t>10 410</w:t>
            </w:r>
            <w:r w:rsidRPr="00BC2793">
              <w:rPr>
                <w:rFonts w:eastAsia="Times New Roman" w:cs="Times New Roman"/>
                <w:b/>
                <w:lang w:eastAsia="cs-CZ"/>
              </w:rPr>
              <w:t xml:space="preserve"> </w:t>
            </w:r>
          </w:p>
        </w:tc>
        <w:tc>
          <w:tcPr>
            <w:tcW w:w="782" w:type="pct"/>
            <w:tcBorders>
              <w:top w:val="single" w:sz="4" w:space="0" w:color="7F7F7F" w:themeColor="text1" w:themeTint="80"/>
            </w:tcBorders>
            <w:shd w:val="clear" w:color="auto" w:fill="auto"/>
          </w:tcPr>
          <w:p w:rsidR="008B655F" w:rsidRPr="00BC2793" w:rsidRDefault="008B655F" w:rsidP="00363483">
            <w:pPr>
              <w:spacing w:line="240" w:lineRule="auto"/>
              <w:jc w:val="right"/>
              <w:rPr>
                <w:rFonts w:eastAsia="Times New Roman" w:cs="Times New Roman"/>
                <w:b/>
                <w:lang w:eastAsia="cs-CZ"/>
              </w:rPr>
            </w:pPr>
            <w:r>
              <w:rPr>
                <w:rFonts w:eastAsia="Times New Roman" w:cs="Times New Roman"/>
                <w:b/>
                <w:lang w:eastAsia="cs-CZ"/>
              </w:rPr>
              <w:t>123 782</w:t>
            </w:r>
          </w:p>
        </w:tc>
      </w:tr>
      <w:tr w:rsidR="008B655F" w:rsidRPr="0001421C" w:rsidTr="00D00A45">
        <w:tc>
          <w:tcPr>
            <w:tcW w:w="2805" w:type="pct"/>
            <w:tcBorders>
              <w:bottom w:val="nil"/>
            </w:tcBorders>
            <w:shd w:val="clear" w:color="auto" w:fill="auto"/>
          </w:tcPr>
          <w:p w:rsidR="008B655F" w:rsidRPr="0001421C" w:rsidRDefault="008B655F" w:rsidP="00363483">
            <w:pPr>
              <w:spacing w:line="240" w:lineRule="auto"/>
              <w:rPr>
                <w:rFonts w:eastAsia="Times New Roman" w:cs="Times New Roman"/>
                <w:color w:val="FF0000"/>
                <w:lang w:eastAsia="cs-CZ"/>
              </w:rPr>
            </w:pPr>
            <w:r w:rsidRPr="00FA3939">
              <w:rPr>
                <w:rFonts w:eastAsia="Times New Roman" w:cs="Times New Roman"/>
                <w:lang w:eastAsia="cs-CZ"/>
              </w:rPr>
              <w:t>Státní fond dopravní infrastruktury z toho:</w:t>
            </w:r>
          </w:p>
        </w:tc>
        <w:tc>
          <w:tcPr>
            <w:tcW w:w="766" w:type="pct"/>
            <w:tcBorders>
              <w:bottom w:val="nil"/>
            </w:tcBorders>
            <w:shd w:val="clear" w:color="auto" w:fill="auto"/>
          </w:tcPr>
          <w:p w:rsidR="008B655F" w:rsidRPr="0001421C" w:rsidRDefault="008B655F" w:rsidP="00363483">
            <w:pPr>
              <w:spacing w:line="240" w:lineRule="auto"/>
              <w:jc w:val="right"/>
              <w:rPr>
                <w:rFonts w:eastAsia="Times New Roman" w:cs="Times New Roman"/>
                <w:color w:val="FF0000"/>
                <w:lang w:eastAsia="cs-CZ"/>
              </w:rPr>
            </w:pPr>
            <w:r w:rsidRPr="00FA3939">
              <w:rPr>
                <w:rFonts w:eastAsia="Times New Roman" w:cs="Times New Roman"/>
                <w:lang w:eastAsia="cs-CZ"/>
              </w:rPr>
              <w:t>54 622</w:t>
            </w:r>
          </w:p>
        </w:tc>
        <w:tc>
          <w:tcPr>
            <w:tcW w:w="648" w:type="pct"/>
            <w:tcBorders>
              <w:bottom w:val="nil"/>
            </w:tcBorders>
            <w:shd w:val="clear" w:color="auto" w:fill="auto"/>
          </w:tcPr>
          <w:p w:rsidR="008B655F" w:rsidRPr="00FA3939" w:rsidRDefault="008B655F" w:rsidP="00363483">
            <w:pPr>
              <w:spacing w:line="240" w:lineRule="auto"/>
              <w:jc w:val="right"/>
              <w:rPr>
                <w:rFonts w:eastAsia="Times New Roman" w:cs="Times New Roman"/>
                <w:lang w:eastAsia="cs-CZ"/>
              </w:rPr>
            </w:pPr>
            <w:r w:rsidRPr="00FA3939">
              <w:rPr>
                <w:rFonts w:eastAsia="Times New Roman" w:cs="Times New Roman"/>
                <w:lang w:eastAsia="cs-CZ"/>
              </w:rPr>
              <w:t>0</w:t>
            </w:r>
          </w:p>
        </w:tc>
        <w:tc>
          <w:tcPr>
            <w:tcW w:w="782" w:type="pct"/>
            <w:tcBorders>
              <w:bottom w:val="nil"/>
            </w:tcBorders>
            <w:shd w:val="clear" w:color="auto" w:fill="auto"/>
          </w:tcPr>
          <w:p w:rsidR="008B655F" w:rsidRPr="00FA3939" w:rsidRDefault="008B655F" w:rsidP="00363483">
            <w:pPr>
              <w:spacing w:line="240" w:lineRule="auto"/>
              <w:jc w:val="right"/>
              <w:rPr>
                <w:rFonts w:eastAsia="Times New Roman" w:cs="Times New Roman"/>
                <w:lang w:eastAsia="cs-CZ"/>
              </w:rPr>
            </w:pPr>
            <w:r w:rsidRPr="00FA3939">
              <w:rPr>
                <w:rFonts w:eastAsia="Times New Roman" w:cs="Times New Roman"/>
                <w:lang w:eastAsia="cs-CZ"/>
              </w:rPr>
              <w:t>54 622</w:t>
            </w:r>
          </w:p>
        </w:tc>
      </w:tr>
      <w:tr w:rsidR="008B655F" w:rsidRPr="0001421C" w:rsidTr="00D00A45">
        <w:tc>
          <w:tcPr>
            <w:tcW w:w="2805" w:type="pct"/>
            <w:tcBorders>
              <w:top w:val="nil"/>
              <w:bottom w:val="single" w:sz="4" w:space="0" w:color="7F7F7F" w:themeColor="text1" w:themeTint="80"/>
            </w:tcBorders>
            <w:shd w:val="clear" w:color="auto" w:fill="auto"/>
          </w:tcPr>
          <w:p w:rsidR="008B655F" w:rsidRPr="0001421C" w:rsidRDefault="008B655F" w:rsidP="00363483">
            <w:pPr>
              <w:spacing w:line="240" w:lineRule="auto"/>
              <w:rPr>
                <w:rFonts w:eastAsia="Times New Roman" w:cs="Times New Roman"/>
                <w:i/>
                <w:color w:val="FF0000"/>
                <w:lang w:eastAsia="cs-CZ"/>
              </w:rPr>
            </w:pPr>
            <w:r w:rsidRPr="00FA3939">
              <w:rPr>
                <w:rFonts w:eastAsia="Times New Roman" w:cs="Times New Roman"/>
                <w:i/>
                <w:lang w:eastAsia="cs-CZ"/>
              </w:rPr>
              <w:t>127 06 Rozvoj a obnova materiálně-technické základny systému řízení MD-PO, SFDI</w:t>
            </w:r>
          </w:p>
        </w:tc>
        <w:tc>
          <w:tcPr>
            <w:tcW w:w="766" w:type="pct"/>
            <w:tcBorders>
              <w:top w:val="nil"/>
              <w:bottom w:val="single" w:sz="4" w:space="0" w:color="7F7F7F" w:themeColor="text1" w:themeTint="80"/>
            </w:tcBorders>
            <w:shd w:val="clear" w:color="auto" w:fill="auto"/>
          </w:tcPr>
          <w:p w:rsidR="008B655F" w:rsidRPr="00FA3939" w:rsidRDefault="008B655F" w:rsidP="00363483">
            <w:pPr>
              <w:spacing w:line="240" w:lineRule="auto"/>
              <w:jc w:val="right"/>
              <w:rPr>
                <w:rFonts w:eastAsia="Times New Roman" w:cs="Times New Roman"/>
                <w:i/>
                <w:lang w:eastAsia="cs-CZ"/>
              </w:rPr>
            </w:pPr>
          </w:p>
          <w:p w:rsidR="008B655F" w:rsidRPr="00FA3939" w:rsidRDefault="008B655F" w:rsidP="00363483">
            <w:pPr>
              <w:spacing w:line="240" w:lineRule="auto"/>
              <w:jc w:val="right"/>
              <w:rPr>
                <w:rFonts w:eastAsia="Times New Roman" w:cs="Times New Roman"/>
                <w:i/>
                <w:lang w:eastAsia="cs-CZ"/>
              </w:rPr>
            </w:pPr>
            <w:r w:rsidRPr="00FA3939">
              <w:rPr>
                <w:rFonts w:eastAsia="Times New Roman" w:cs="Times New Roman"/>
                <w:i/>
                <w:lang w:eastAsia="cs-CZ"/>
              </w:rPr>
              <w:t xml:space="preserve">1 430 </w:t>
            </w:r>
          </w:p>
        </w:tc>
        <w:tc>
          <w:tcPr>
            <w:tcW w:w="648" w:type="pct"/>
            <w:tcBorders>
              <w:top w:val="nil"/>
              <w:bottom w:val="single" w:sz="4" w:space="0" w:color="7F7F7F" w:themeColor="text1" w:themeTint="80"/>
            </w:tcBorders>
            <w:shd w:val="clear" w:color="auto" w:fill="auto"/>
          </w:tcPr>
          <w:p w:rsidR="008B655F" w:rsidRPr="00FA3939" w:rsidRDefault="008B655F" w:rsidP="00363483">
            <w:pPr>
              <w:spacing w:line="240" w:lineRule="auto"/>
              <w:jc w:val="right"/>
              <w:rPr>
                <w:rFonts w:eastAsia="Times New Roman" w:cs="Times New Roman"/>
                <w:i/>
                <w:lang w:eastAsia="cs-CZ"/>
              </w:rPr>
            </w:pPr>
          </w:p>
          <w:p w:rsidR="008B655F" w:rsidRPr="00FA3939" w:rsidRDefault="008B655F" w:rsidP="00363483">
            <w:pPr>
              <w:spacing w:line="240" w:lineRule="auto"/>
              <w:jc w:val="right"/>
              <w:rPr>
                <w:rFonts w:eastAsia="Times New Roman" w:cs="Times New Roman"/>
                <w:i/>
                <w:lang w:eastAsia="cs-CZ"/>
              </w:rPr>
            </w:pPr>
            <w:r w:rsidRPr="00FA3939">
              <w:rPr>
                <w:rFonts w:eastAsia="Times New Roman" w:cs="Times New Roman"/>
                <w:i/>
                <w:lang w:eastAsia="cs-CZ"/>
              </w:rPr>
              <w:t>0</w:t>
            </w:r>
          </w:p>
        </w:tc>
        <w:tc>
          <w:tcPr>
            <w:tcW w:w="782" w:type="pct"/>
            <w:tcBorders>
              <w:top w:val="nil"/>
              <w:bottom w:val="single" w:sz="4" w:space="0" w:color="7F7F7F" w:themeColor="text1" w:themeTint="80"/>
            </w:tcBorders>
            <w:shd w:val="clear" w:color="auto" w:fill="auto"/>
          </w:tcPr>
          <w:p w:rsidR="008B655F" w:rsidRPr="00FA3939" w:rsidRDefault="008B655F" w:rsidP="00363483">
            <w:pPr>
              <w:spacing w:line="240" w:lineRule="auto"/>
              <w:jc w:val="right"/>
              <w:rPr>
                <w:rFonts w:eastAsia="Times New Roman" w:cs="Times New Roman"/>
                <w:i/>
                <w:lang w:eastAsia="cs-CZ"/>
              </w:rPr>
            </w:pPr>
          </w:p>
          <w:p w:rsidR="008B655F" w:rsidRPr="00FA3939" w:rsidRDefault="008B655F" w:rsidP="00363483">
            <w:pPr>
              <w:spacing w:line="240" w:lineRule="auto"/>
              <w:jc w:val="right"/>
              <w:rPr>
                <w:rFonts w:eastAsia="Times New Roman" w:cs="Times New Roman"/>
                <w:i/>
                <w:lang w:eastAsia="cs-CZ"/>
              </w:rPr>
            </w:pPr>
            <w:r w:rsidRPr="00FA3939">
              <w:rPr>
                <w:rFonts w:eastAsia="Times New Roman" w:cs="Times New Roman"/>
                <w:i/>
                <w:lang w:eastAsia="cs-CZ"/>
              </w:rPr>
              <w:t xml:space="preserve">1 430 </w:t>
            </w:r>
          </w:p>
        </w:tc>
      </w:tr>
      <w:tr w:rsidR="008B655F" w:rsidRPr="0001421C" w:rsidTr="00D00A45">
        <w:tc>
          <w:tcPr>
            <w:tcW w:w="2805" w:type="pct"/>
            <w:tcBorders>
              <w:top w:val="single" w:sz="4" w:space="0" w:color="7F7F7F" w:themeColor="text1" w:themeTint="80"/>
              <w:bottom w:val="nil"/>
            </w:tcBorders>
            <w:shd w:val="clear" w:color="auto" w:fill="auto"/>
          </w:tcPr>
          <w:p w:rsidR="008B655F" w:rsidRPr="00FA3939" w:rsidRDefault="008B655F" w:rsidP="00363483">
            <w:pPr>
              <w:spacing w:line="240" w:lineRule="auto"/>
              <w:rPr>
                <w:rFonts w:eastAsia="Times New Roman" w:cs="Times New Roman"/>
                <w:lang w:eastAsia="cs-CZ"/>
              </w:rPr>
            </w:pPr>
            <w:r w:rsidRPr="00FA3939">
              <w:rPr>
                <w:rFonts w:eastAsia="Times New Roman" w:cs="Times New Roman"/>
                <w:lang w:eastAsia="cs-CZ"/>
              </w:rPr>
              <w:t>Ústřední orgán MD z toho:</w:t>
            </w:r>
          </w:p>
        </w:tc>
        <w:tc>
          <w:tcPr>
            <w:tcW w:w="766" w:type="pct"/>
            <w:tcBorders>
              <w:top w:val="single" w:sz="4" w:space="0" w:color="7F7F7F" w:themeColor="text1" w:themeTint="80"/>
              <w:bottom w:val="nil"/>
            </w:tcBorders>
            <w:shd w:val="clear" w:color="auto" w:fill="auto"/>
          </w:tcPr>
          <w:p w:rsidR="008B655F" w:rsidRPr="00FA3939" w:rsidRDefault="008B655F" w:rsidP="00363483">
            <w:pPr>
              <w:spacing w:line="240" w:lineRule="auto"/>
              <w:jc w:val="right"/>
              <w:rPr>
                <w:rFonts w:eastAsia="Times New Roman" w:cs="Times New Roman"/>
                <w:lang w:eastAsia="cs-CZ"/>
              </w:rPr>
            </w:pPr>
            <w:r w:rsidRPr="00FA3939">
              <w:rPr>
                <w:rFonts w:eastAsia="Times New Roman" w:cs="Times New Roman"/>
                <w:lang w:eastAsia="cs-CZ"/>
              </w:rPr>
              <w:t>58 750</w:t>
            </w:r>
          </w:p>
        </w:tc>
        <w:tc>
          <w:tcPr>
            <w:tcW w:w="648" w:type="pct"/>
            <w:tcBorders>
              <w:top w:val="single" w:sz="4" w:space="0" w:color="7F7F7F" w:themeColor="text1" w:themeTint="80"/>
              <w:bottom w:val="nil"/>
            </w:tcBorders>
            <w:shd w:val="clear" w:color="auto" w:fill="auto"/>
          </w:tcPr>
          <w:p w:rsidR="008B655F" w:rsidRPr="00FA3939" w:rsidRDefault="008B655F" w:rsidP="00363483">
            <w:pPr>
              <w:spacing w:line="240" w:lineRule="auto"/>
              <w:jc w:val="right"/>
              <w:rPr>
                <w:rFonts w:eastAsia="Times New Roman" w:cs="Times New Roman"/>
                <w:lang w:eastAsia="cs-CZ"/>
              </w:rPr>
            </w:pPr>
            <w:r w:rsidRPr="00FA3939">
              <w:rPr>
                <w:rFonts w:eastAsia="Times New Roman" w:cs="Times New Roman"/>
                <w:lang w:eastAsia="cs-CZ"/>
              </w:rPr>
              <w:t>10 410</w:t>
            </w:r>
          </w:p>
        </w:tc>
        <w:tc>
          <w:tcPr>
            <w:tcW w:w="782" w:type="pct"/>
            <w:tcBorders>
              <w:top w:val="single" w:sz="4" w:space="0" w:color="7F7F7F" w:themeColor="text1" w:themeTint="80"/>
              <w:bottom w:val="nil"/>
            </w:tcBorders>
            <w:shd w:val="clear" w:color="auto" w:fill="auto"/>
          </w:tcPr>
          <w:p w:rsidR="008B655F" w:rsidRPr="00FA3939" w:rsidRDefault="008B655F" w:rsidP="00363483">
            <w:pPr>
              <w:spacing w:line="240" w:lineRule="auto"/>
              <w:jc w:val="right"/>
              <w:rPr>
                <w:rFonts w:eastAsia="Times New Roman" w:cs="Times New Roman"/>
                <w:lang w:eastAsia="cs-CZ"/>
              </w:rPr>
            </w:pPr>
            <w:r w:rsidRPr="00FA3939">
              <w:rPr>
                <w:rFonts w:eastAsia="Times New Roman" w:cs="Times New Roman"/>
                <w:lang w:eastAsia="cs-CZ"/>
              </w:rPr>
              <w:t>69 160</w:t>
            </w:r>
          </w:p>
        </w:tc>
      </w:tr>
      <w:tr w:rsidR="008B655F" w:rsidRPr="0001421C" w:rsidTr="00D00A45">
        <w:tc>
          <w:tcPr>
            <w:tcW w:w="2805" w:type="pct"/>
            <w:tcBorders>
              <w:top w:val="nil"/>
              <w:bottom w:val="single" w:sz="8" w:space="0" w:color="7F7F7F" w:themeColor="text1" w:themeTint="80"/>
            </w:tcBorders>
            <w:shd w:val="clear" w:color="auto" w:fill="auto"/>
          </w:tcPr>
          <w:p w:rsidR="008B655F" w:rsidRPr="00FA3939" w:rsidRDefault="008B655F" w:rsidP="00363483">
            <w:pPr>
              <w:spacing w:line="240" w:lineRule="auto"/>
              <w:rPr>
                <w:rFonts w:eastAsia="Times New Roman" w:cs="Times New Roman"/>
                <w:i/>
                <w:lang w:eastAsia="cs-CZ"/>
              </w:rPr>
            </w:pPr>
            <w:r w:rsidRPr="00FA3939">
              <w:rPr>
                <w:rFonts w:eastAsia="Times New Roman" w:cs="Times New Roman"/>
                <w:i/>
                <w:lang w:eastAsia="cs-CZ"/>
              </w:rPr>
              <w:t xml:space="preserve">127 03 Rozvoj a obnova MTZ </w:t>
            </w:r>
            <w:proofErr w:type="spellStart"/>
            <w:r w:rsidRPr="00FA3939">
              <w:rPr>
                <w:rFonts w:eastAsia="Times New Roman" w:cs="Times New Roman"/>
                <w:i/>
                <w:lang w:eastAsia="cs-CZ"/>
              </w:rPr>
              <w:t>syst</w:t>
            </w:r>
            <w:proofErr w:type="spellEnd"/>
            <w:r w:rsidRPr="00FA3939">
              <w:rPr>
                <w:rFonts w:eastAsia="Times New Roman" w:cs="Times New Roman"/>
                <w:i/>
                <w:lang w:eastAsia="cs-CZ"/>
              </w:rPr>
              <w:t>. řízení MD – OSS</w:t>
            </w:r>
          </w:p>
        </w:tc>
        <w:tc>
          <w:tcPr>
            <w:tcW w:w="766" w:type="pct"/>
            <w:tcBorders>
              <w:top w:val="nil"/>
              <w:bottom w:val="single" w:sz="8" w:space="0" w:color="7F7F7F" w:themeColor="text1" w:themeTint="80"/>
            </w:tcBorders>
            <w:shd w:val="clear" w:color="auto" w:fill="auto"/>
          </w:tcPr>
          <w:p w:rsidR="008B655F" w:rsidRPr="00FA3939" w:rsidRDefault="008B655F" w:rsidP="00363483">
            <w:pPr>
              <w:spacing w:line="240" w:lineRule="auto"/>
              <w:jc w:val="right"/>
              <w:rPr>
                <w:rFonts w:eastAsia="Times New Roman" w:cs="Times New Roman"/>
                <w:i/>
                <w:lang w:eastAsia="cs-CZ"/>
              </w:rPr>
            </w:pPr>
            <w:r w:rsidRPr="00FA3939">
              <w:rPr>
                <w:rFonts w:eastAsia="Times New Roman" w:cs="Times New Roman"/>
                <w:i/>
                <w:lang w:eastAsia="cs-CZ"/>
              </w:rPr>
              <w:t>0</w:t>
            </w:r>
          </w:p>
        </w:tc>
        <w:tc>
          <w:tcPr>
            <w:tcW w:w="648" w:type="pct"/>
            <w:tcBorders>
              <w:top w:val="nil"/>
              <w:bottom w:val="single" w:sz="8" w:space="0" w:color="7F7F7F" w:themeColor="text1" w:themeTint="80"/>
            </w:tcBorders>
            <w:shd w:val="clear" w:color="auto" w:fill="auto"/>
          </w:tcPr>
          <w:p w:rsidR="008B655F" w:rsidRPr="00FA3939" w:rsidRDefault="008B655F" w:rsidP="00363483">
            <w:pPr>
              <w:spacing w:line="240" w:lineRule="auto"/>
              <w:jc w:val="right"/>
              <w:rPr>
                <w:rFonts w:eastAsia="Times New Roman" w:cs="Times New Roman"/>
                <w:i/>
                <w:lang w:eastAsia="cs-CZ"/>
              </w:rPr>
            </w:pPr>
            <w:r w:rsidRPr="00FA3939">
              <w:rPr>
                <w:rFonts w:eastAsia="Times New Roman" w:cs="Times New Roman"/>
                <w:i/>
                <w:lang w:eastAsia="cs-CZ"/>
              </w:rPr>
              <w:t>0</w:t>
            </w:r>
          </w:p>
        </w:tc>
        <w:tc>
          <w:tcPr>
            <w:tcW w:w="782" w:type="pct"/>
            <w:tcBorders>
              <w:top w:val="nil"/>
              <w:bottom w:val="single" w:sz="8" w:space="0" w:color="7F7F7F" w:themeColor="text1" w:themeTint="80"/>
            </w:tcBorders>
            <w:shd w:val="clear" w:color="auto" w:fill="auto"/>
          </w:tcPr>
          <w:p w:rsidR="008B655F" w:rsidRPr="00FA3939" w:rsidRDefault="008B655F" w:rsidP="00363483">
            <w:pPr>
              <w:spacing w:line="240" w:lineRule="auto"/>
              <w:jc w:val="right"/>
              <w:rPr>
                <w:rFonts w:eastAsia="Times New Roman" w:cs="Times New Roman"/>
                <w:i/>
                <w:lang w:eastAsia="cs-CZ"/>
              </w:rPr>
            </w:pPr>
            <w:r w:rsidRPr="00FA3939">
              <w:rPr>
                <w:rFonts w:eastAsia="Times New Roman" w:cs="Times New Roman"/>
                <w:i/>
                <w:lang w:eastAsia="cs-CZ"/>
              </w:rPr>
              <w:t>0</w:t>
            </w:r>
          </w:p>
        </w:tc>
      </w:tr>
      <w:tr w:rsidR="008B655F" w:rsidRPr="00FA3939" w:rsidTr="00D00A45">
        <w:trPr>
          <w:trHeight w:val="402"/>
        </w:trPr>
        <w:tc>
          <w:tcPr>
            <w:tcW w:w="2805" w:type="pct"/>
            <w:tcBorders>
              <w:top w:val="single" w:sz="8" w:space="0" w:color="7F7F7F" w:themeColor="text1" w:themeTint="80"/>
              <w:bottom w:val="single" w:sz="8" w:space="0" w:color="7F7F7F" w:themeColor="text1" w:themeTint="80"/>
            </w:tcBorders>
            <w:shd w:val="clear" w:color="auto" w:fill="auto"/>
          </w:tcPr>
          <w:p w:rsidR="008B655F" w:rsidRPr="00FA3939" w:rsidRDefault="008B655F" w:rsidP="00363483">
            <w:pPr>
              <w:spacing w:before="120" w:line="240" w:lineRule="auto"/>
              <w:rPr>
                <w:rFonts w:eastAsia="Times New Roman" w:cs="Times New Roman"/>
                <w:b/>
                <w:szCs w:val="24"/>
                <w:lang w:eastAsia="cs-CZ"/>
              </w:rPr>
            </w:pPr>
            <w:r w:rsidRPr="00FA3939">
              <w:rPr>
                <w:rFonts w:eastAsia="Times New Roman" w:cs="Times New Roman"/>
                <w:b/>
                <w:szCs w:val="24"/>
                <w:lang w:eastAsia="cs-CZ"/>
              </w:rPr>
              <w:t>Celkem</w:t>
            </w:r>
          </w:p>
        </w:tc>
        <w:tc>
          <w:tcPr>
            <w:tcW w:w="766" w:type="pct"/>
            <w:tcBorders>
              <w:top w:val="single" w:sz="8" w:space="0" w:color="7F7F7F" w:themeColor="text1" w:themeTint="80"/>
              <w:bottom w:val="single" w:sz="8" w:space="0" w:color="7F7F7F" w:themeColor="text1" w:themeTint="80"/>
            </w:tcBorders>
            <w:shd w:val="clear" w:color="auto" w:fill="auto"/>
          </w:tcPr>
          <w:p w:rsidR="008B655F" w:rsidRPr="00FA3939" w:rsidRDefault="008B655F" w:rsidP="00363483">
            <w:pPr>
              <w:spacing w:before="120" w:line="240" w:lineRule="auto"/>
              <w:jc w:val="right"/>
              <w:rPr>
                <w:rFonts w:eastAsia="Times New Roman" w:cs="Times New Roman"/>
                <w:b/>
                <w:szCs w:val="24"/>
                <w:lang w:eastAsia="cs-CZ"/>
              </w:rPr>
            </w:pPr>
            <w:r>
              <w:rPr>
                <w:rFonts w:eastAsia="Times New Roman" w:cs="Times New Roman"/>
                <w:b/>
                <w:szCs w:val="24"/>
                <w:lang w:eastAsia="cs-CZ"/>
              </w:rPr>
              <w:t>17 943 664</w:t>
            </w:r>
          </w:p>
        </w:tc>
        <w:tc>
          <w:tcPr>
            <w:tcW w:w="648" w:type="pct"/>
            <w:tcBorders>
              <w:top w:val="single" w:sz="8" w:space="0" w:color="7F7F7F" w:themeColor="text1" w:themeTint="80"/>
              <w:bottom w:val="single" w:sz="8" w:space="0" w:color="7F7F7F" w:themeColor="text1" w:themeTint="80"/>
            </w:tcBorders>
            <w:shd w:val="clear" w:color="auto" w:fill="auto"/>
          </w:tcPr>
          <w:p w:rsidR="008B655F" w:rsidRPr="00FA3939" w:rsidRDefault="008B655F" w:rsidP="00363483">
            <w:pPr>
              <w:spacing w:before="120" w:line="240" w:lineRule="auto"/>
              <w:jc w:val="right"/>
              <w:rPr>
                <w:rFonts w:eastAsia="Times New Roman" w:cs="Times New Roman"/>
                <w:b/>
                <w:szCs w:val="24"/>
                <w:lang w:eastAsia="cs-CZ"/>
              </w:rPr>
            </w:pPr>
            <w:r w:rsidRPr="00FA3939">
              <w:rPr>
                <w:rFonts w:eastAsia="Times New Roman" w:cs="Times New Roman"/>
                <w:b/>
                <w:szCs w:val="24"/>
                <w:lang w:eastAsia="cs-CZ"/>
              </w:rPr>
              <w:t>10 410</w:t>
            </w:r>
          </w:p>
        </w:tc>
        <w:tc>
          <w:tcPr>
            <w:tcW w:w="782" w:type="pct"/>
            <w:tcBorders>
              <w:top w:val="single" w:sz="8" w:space="0" w:color="7F7F7F" w:themeColor="text1" w:themeTint="80"/>
              <w:bottom w:val="single" w:sz="8" w:space="0" w:color="7F7F7F" w:themeColor="text1" w:themeTint="80"/>
            </w:tcBorders>
            <w:shd w:val="clear" w:color="auto" w:fill="auto"/>
          </w:tcPr>
          <w:p w:rsidR="008B655F" w:rsidRPr="00FA3939" w:rsidRDefault="008B655F" w:rsidP="00363483">
            <w:pPr>
              <w:spacing w:before="120" w:line="240" w:lineRule="auto"/>
              <w:jc w:val="right"/>
              <w:rPr>
                <w:rFonts w:eastAsia="Times New Roman" w:cs="Times New Roman"/>
                <w:b/>
                <w:szCs w:val="24"/>
                <w:lang w:eastAsia="cs-CZ"/>
              </w:rPr>
            </w:pPr>
            <w:r>
              <w:rPr>
                <w:rFonts w:eastAsia="Times New Roman" w:cs="Times New Roman"/>
                <w:b/>
                <w:szCs w:val="24"/>
                <w:lang w:eastAsia="cs-CZ"/>
              </w:rPr>
              <w:t>17 954 074</w:t>
            </w:r>
          </w:p>
        </w:tc>
      </w:tr>
    </w:tbl>
    <w:p w:rsidR="00D4300A" w:rsidRPr="00D00A45" w:rsidRDefault="00D4300A" w:rsidP="00D4300A">
      <w:pPr>
        <w:spacing w:before="120" w:line="240" w:lineRule="auto"/>
        <w:rPr>
          <w:rFonts w:eastAsia="Times New Roman" w:cs="Times New Roman"/>
          <w:i/>
          <w:sz w:val="20"/>
          <w:szCs w:val="20"/>
          <w:lang w:eastAsia="cs-CZ"/>
        </w:rPr>
      </w:pPr>
      <w:r w:rsidRPr="00D00A45">
        <w:rPr>
          <w:rFonts w:eastAsia="Times New Roman" w:cs="Times New Roman"/>
          <w:i/>
          <w:sz w:val="20"/>
          <w:szCs w:val="20"/>
          <w:lang w:eastAsia="cs-CZ"/>
        </w:rPr>
        <w:t>CF - Fond soudržnosti</w:t>
      </w:r>
    </w:p>
    <w:p w:rsidR="00D4300A" w:rsidRPr="00D00A45" w:rsidRDefault="00D4300A" w:rsidP="00D4300A">
      <w:pPr>
        <w:spacing w:after="80" w:line="240" w:lineRule="auto"/>
        <w:rPr>
          <w:rFonts w:eastAsia="Times New Roman" w:cs="Times New Roman"/>
          <w:i/>
          <w:sz w:val="20"/>
          <w:szCs w:val="20"/>
          <w:lang w:eastAsia="cs-CZ"/>
        </w:rPr>
      </w:pPr>
      <w:r w:rsidRPr="00D00A45">
        <w:rPr>
          <w:rFonts w:eastAsia="Times New Roman" w:cs="Times New Roman"/>
          <w:i/>
          <w:sz w:val="20"/>
          <w:szCs w:val="20"/>
          <w:lang w:eastAsia="cs-CZ"/>
        </w:rPr>
        <w:t>ERDF – Strukturální fond</w:t>
      </w:r>
    </w:p>
    <w:p w:rsidR="00D4300A" w:rsidRPr="0001421C" w:rsidRDefault="00D4300A" w:rsidP="00D4300A">
      <w:pPr>
        <w:rPr>
          <w:rFonts w:eastAsia="Times New Roman" w:cs="Times New Roman"/>
          <w:i/>
          <w:color w:val="FF0000"/>
          <w:sz w:val="20"/>
          <w:szCs w:val="20"/>
          <w:lang w:eastAsia="cs-CZ"/>
        </w:rPr>
      </w:pPr>
      <w:r w:rsidRPr="0001421C">
        <w:rPr>
          <w:rFonts w:eastAsia="Times New Roman" w:cs="Times New Roman"/>
          <w:i/>
          <w:color w:val="FF0000"/>
          <w:sz w:val="20"/>
          <w:szCs w:val="20"/>
          <w:lang w:eastAsia="cs-CZ"/>
        </w:rPr>
        <w:br w:type="page"/>
      </w:r>
    </w:p>
    <w:p w:rsidR="00D4300A" w:rsidRPr="008B655F" w:rsidRDefault="00D4300A" w:rsidP="00D00A45">
      <w:pPr>
        <w:pStyle w:val="Nadpis3"/>
      </w:pPr>
      <w:bookmarkStart w:id="115" w:name="_Toc462314410"/>
      <w:bookmarkStart w:id="116" w:name="_Toc526424710"/>
      <w:bookmarkStart w:id="117" w:name="_Toc305406319"/>
      <w:r w:rsidRPr="008B655F">
        <w:lastRenderedPageBreak/>
        <w:t>Komunitární programy (TEN-T) – programové období 2014 – 2020</w:t>
      </w:r>
      <w:bookmarkEnd w:id="115"/>
      <w:bookmarkEnd w:id="116"/>
    </w:p>
    <w:p w:rsidR="00D4300A" w:rsidRPr="00D00A45" w:rsidRDefault="008B655F" w:rsidP="00D00A45">
      <w:pPr>
        <w:spacing w:after="120" w:line="240" w:lineRule="auto"/>
        <w:jc w:val="center"/>
        <w:rPr>
          <w:rFonts w:eastAsia="Times New Roman" w:cs="Times New Roman"/>
          <w:szCs w:val="24"/>
          <w:u w:val="single"/>
          <w:lang w:eastAsia="cs-CZ"/>
        </w:rPr>
      </w:pPr>
      <w:r w:rsidRPr="00513B55">
        <w:rPr>
          <w:rFonts w:eastAsia="Times New Roman" w:cs="Times New Roman"/>
          <w:szCs w:val="24"/>
          <w:u w:val="single"/>
          <w:lang w:eastAsia="cs-CZ"/>
        </w:rPr>
        <w:t>Rozdělení prostředků fondů EU a SR pro Komuni</w:t>
      </w:r>
      <w:r>
        <w:rPr>
          <w:rFonts w:eastAsia="Times New Roman" w:cs="Times New Roman"/>
          <w:szCs w:val="24"/>
          <w:u w:val="single"/>
          <w:lang w:eastAsia="cs-CZ"/>
        </w:rPr>
        <w:t>tární programy 2014+ na rok 2019</w:t>
      </w:r>
    </w:p>
    <w:p w:rsidR="00D4300A" w:rsidRDefault="00D4300A" w:rsidP="00D4300A">
      <w:pPr>
        <w:pStyle w:val="Titulek"/>
        <w:keepNext/>
        <w:rPr>
          <w:noProof/>
        </w:rPr>
      </w:pPr>
      <w:r w:rsidRPr="008B655F">
        <w:t xml:space="preserve">Tabulka č. </w:t>
      </w:r>
      <w:r w:rsidR="0001421C" w:rsidRPr="008B655F">
        <w:rPr>
          <w:noProof/>
        </w:rPr>
        <w:fldChar w:fldCharType="begin"/>
      </w:r>
      <w:r w:rsidR="0001421C" w:rsidRPr="008B655F">
        <w:rPr>
          <w:noProof/>
        </w:rPr>
        <w:instrText xml:space="preserve"> SEQ Tabulka \* ARABIC </w:instrText>
      </w:r>
      <w:r w:rsidR="0001421C" w:rsidRPr="008B655F">
        <w:rPr>
          <w:noProof/>
        </w:rPr>
        <w:fldChar w:fldCharType="separate"/>
      </w:r>
      <w:r w:rsidR="00AF5225">
        <w:rPr>
          <w:noProof/>
        </w:rPr>
        <w:t>46</w:t>
      </w:r>
      <w:r w:rsidR="0001421C" w:rsidRPr="008B655F">
        <w:rPr>
          <w:noProof/>
        </w:rPr>
        <w:fldChar w:fldCharType="end"/>
      </w:r>
      <w:r w:rsidRPr="008B655F">
        <w:rPr>
          <w:noProof/>
        </w:rPr>
        <w:t xml:space="preserve"> Členění komunitárních programů 2014+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2"/>
        <w:gridCol w:w="1658"/>
        <w:gridCol w:w="1393"/>
        <w:gridCol w:w="1458"/>
      </w:tblGrid>
      <w:tr w:rsidR="008B655F" w:rsidRPr="00640B9E" w:rsidTr="00363483">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B655F" w:rsidRPr="00640B9E" w:rsidRDefault="008B655F" w:rsidP="00363483">
            <w:pPr>
              <w:spacing w:line="240" w:lineRule="auto"/>
              <w:rPr>
                <w:rFonts w:eastAsia="Times New Roman" w:cs="Times New Roman"/>
                <w:b/>
                <w:lang w:eastAsia="cs-CZ"/>
              </w:rPr>
            </w:pPr>
            <w:r w:rsidRPr="00640B9E">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B655F" w:rsidRPr="00640B9E" w:rsidRDefault="008B655F" w:rsidP="00363483">
            <w:pPr>
              <w:spacing w:line="240" w:lineRule="auto"/>
              <w:jc w:val="center"/>
              <w:rPr>
                <w:rFonts w:eastAsia="Times New Roman" w:cs="Times New Roman"/>
                <w:b/>
                <w:lang w:eastAsia="cs-CZ"/>
              </w:rPr>
            </w:pPr>
            <w:r w:rsidRPr="00640B9E">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B655F" w:rsidRPr="00640B9E" w:rsidRDefault="008B655F" w:rsidP="00363483">
            <w:pPr>
              <w:spacing w:line="240" w:lineRule="auto"/>
              <w:jc w:val="center"/>
              <w:rPr>
                <w:rFonts w:eastAsia="Times New Roman" w:cs="Times New Roman"/>
                <w:b/>
                <w:lang w:eastAsia="cs-CZ"/>
              </w:rPr>
            </w:pPr>
            <w:r w:rsidRPr="00640B9E">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B655F" w:rsidRPr="00640B9E" w:rsidRDefault="008B655F" w:rsidP="00363483">
            <w:pPr>
              <w:spacing w:line="240" w:lineRule="auto"/>
              <w:jc w:val="center"/>
              <w:rPr>
                <w:rFonts w:eastAsia="Times New Roman" w:cs="Times New Roman"/>
                <w:b/>
                <w:lang w:eastAsia="cs-CZ"/>
              </w:rPr>
            </w:pPr>
            <w:r w:rsidRPr="00640B9E">
              <w:rPr>
                <w:rFonts w:eastAsia="Times New Roman" w:cs="Times New Roman"/>
                <w:b/>
                <w:lang w:eastAsia="cs-CZ"/>
              </w:rPr>
              <w:t>Celkem</w:t>
            </w:r>
          </w:p>
        </w:tc>
      </w:tr>
      <w:tr w:rsidR="008B655F" w:rsidRPr="00640B9E" w:rsidTr="00363483">
        <w:trPr>
          <w:tblHeader/>
          <w:jc w:val="center"/>
        </w:trPr>
        <w:tc>
          <w:tcPr>
            <w:tcW w:w="2501" w:type="pct"/>
            <w:tcBorders>
              <w:top w:val="single" w:sz="4" w:space="0" w:color="7F7F7F" w:themeColor="text1" w:themeTint="80"/>
            </w:tcBorders>
            <w:shd w:val="clear" w:color="auto" w:fill="auto"/>
          </w:tcPr>
          <w:p w:rsidR="008B655F" w:rsidRPr="00640B9E" w:rsidRDefault="008B655F" w:rsidP="00363483">
            <w:pPr>
              <w:spacing w:before="40" w:after="40" w:line="240" w:lineRule="auto"/>
              <w:rPr>
                <w:rFonts w:eastAsia="Times New Roman" w:cs="Times New Roman"/>
                <w:lang w:eastAsia="cs-CZ"/>
              </w:rPr>
            </w:pPr>
            <w:r w:rsidRPr="00640B9E">
              <w:rPr>
                <w:rFonts w:eastAsia="Times New Roman" w:cs="Times New Roman"/>
                <w:b/>
                <w:lang w:eastAsia="cs-CZ"/>
              </w:rPr>
              <w:t xml:space="preserve">Nástroj pro propojení Evropy 2014+ </w:t>
            </w:r>
            <w:r w:rsidRPr="00640B9E">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rsidR="008B655F" w:rsidRPr="00640B9E" w:rsidRDefault="008B655F" w:rsidP="00363483">
            <w:pPr>
              <w:spacing w:before="40" w:after="40" w:line="240" w:lineRule="auto"/>
              <w:jc w:val="right"/>
              <w:rPr>
                <w:rFonts w:eastAsia="Times New Roman" w:cs="Times New Roman"/>
                <w:b/>
                <w:lang w:eastAsia="cs-CZ"/>
              </w:rPr>
            </w:pPr>
            <w:r w:rsidRPr="00640B9E">
              <w:rPr>
                <w:rFonts w:eastAsia="Times New Roman" w:cs="Times New Roman"/>
                <w:b/>
                <w:lang w:eastAsia="cs-CZ"/>
              </w:rPr>
              <w:t>925 655</w:t>
            </w:r>
          </w:p>
        </w:tc>
        <w:tc>
          <w:tcPr>
            <w:tcW w:w="772" w:type="pct"/>
            <w:tcBorders>
              <w:top w:val="single" w:sz="4" w:space="0" w:color="7F7F7F" w:themeColor="text1" w:themeTint="80"/>
            </w:tcBorders>
            <w:shd w:val="clear" w:color="auto" w:fill="auto"/>
            <w:vAlign w:val="center"/>
          </w:tcPr>
          <w:p w:rsidR="008B655F" w:rsidRPr="00640B9E" w:rsidRDefault="008B655F" w:rsidP="00363483">
            <w:pPr>
              <w:spacing w:before="40" w:after="40" w:line="240" w:lineRule="auto"/>
              <w:jc w:val="right"/>
              <w:rPr>
                <w:rFonts w:eastAsia="Times New Roman" w:cs="Times New Roman"/>
                <w:b/>
                <w:lang w:eastAsia="cs-CZ"/>
              </w:rPr>
            </w:pPr>
            <w:r>
              <w:rPr>
                <w:rFonts w:eastAsia="Times New Roman" w:cs="Times New Roman"/>
                <w:b/>
                <w:lang w:eastAsia="cs-CZ"/>
              </w:rPr>
              <w:t>2 223</w:t>
            </w:r>
          </w:p>
        </w:tc>
        <w:tc>
          <w:tcPr>
            <w:tcW w:w="808" w:type="pct"/>
            <w:tcBorders>
              <w:top w:val="single" w:sz="4" w:space="0" w:color="7F7F7F" w:themeColor="text1" w:themeTint="80"/>
            </w:tcBorders>
            <w:shd w:val="clear" w:color="auto" w:fill="auto"/>
            <w:vAlign w:val="center"/>
          </w:tcPr>
          <w:p w:rsidR="008B655F" w:rsidRPr="00640B9E" w:rsidRDefault="008B655F" w:rsidP="00363483">
            <w:pPr>
              <w:spacing w:before="40" w:after="40" w:line="240" w:lineRule="auto"/>
              <w:jc w:val="right"/>
              <w:rPr>
                <w:rFonts w:eastAsia="Times New Roman" w:cs="Times New Roman"/>
                <w:b/>
                <w:lang w:eastAsia="cs-CZ"/>
              </w:rPr>
            </w:pPr>
            <w:r>
              <w:rPr>
                <w:rFonts w:eastAsia="Times New Roman" w:cs="Times New Roman"/>
                <w:b/>
                <w:lang w:eastAsia="cs-CZ"/>
              </w:rPr>
              <w:t>927 878</w:t>
            </w:r>
          </w:p>
        </w:tc>
      </w:tr>
      <w:tr w:rsidR="008B655F" w:rsidRPr="00640B9E" w:rsidTr="00363483">
        <w:trPr>
          <w:trHeight w:val="283"/>
          <w:tblHeader/>
          <w:jc w:val="center"/>
        </w:trPr>
        <w:tc>
          <w:tcPr>
            <w:tcW w:w="2501" w:type="pct"/>
            <w:tcBorders>
              <w:bottom w:val="nil"/>
            </w:tcBorders>
            <w:shd w:val="clear" w:color="auto" w:fill="auto"/>
          </w:tcPr>
          <w:p w:rsidR="008B655F" w:rsidRPr="00640B9E" w:rsidRDefault="008B655F" w:rsidP="00363483">
            <w:pPr>
              <w:spacing w:before="60" w:after="60" w:line="240" w:lineRule="auto"/>
              <w:rPr>
                <w:rFonts w:eastAsia="Times New Roman" w:cs="Times New Roman"/>
                <w:lang w:eastAsia="cs-CZ"/>
              </w:rPr>
            </w:pPr>
            <w:r w:rsidRPr="00640B9E">
              <w:rPr>
                <w:rFonts w:eastAsia="Times New Roman" w:cs="Times New Roman"/>
                <w:lang w:eastAsia="cs-CZ"/>
              </w:rPr>
              <w:t xml:space="preserve">CEF kohezní (SFDI) </w:t>
            </w:r>
          </w:p>
        </w:tc>
        <w:tc>
          <w:tcPr>
            <w:tcW w:w="919" w:type="pct"/>
            <w:tcBorders>
              <w:bottom w:val="nil"/>
            </w:tcBorders>
            <w:shd w:val="clear" w:color="auto" w:fill="auto"/>
            <w:vAlign w:val="center"/>
          </w:tcPr>
          <w:p w:rsidR="008B655F" w:rsidRPr="00640B9E" w:rsidRDefault="008B655F" w:rsidP="00363483">
            <w:pPr>
              <w:spacing w:before="60" w:after="60" w:line="240" w:lineRule="auto"/>
              <w:ind w:firstLine="539"/>
              <w:jc w:val="right"/>
              <w:rPr>
                <w:rFonts w:eastAsia="Times New Roman" w:cs="Times New Roman"/>
                <w:lang w:eastAsia="cs-CZ"/>
              </w:rPr>
            </w:pPr>
            <w:r w:rsidRPr="00640B9E">
              <w:rPr>
                <w:rFonts w:eastAsia="Times New Roman" w:cs="Times New Roman"/>
                <w:lang w:eastAsia="cs-CZ"/>
              </w:rPr>
              <w:t>832 995</w:t>
            </w:r>
          </w:p>
        </w:tc>
        <w:tc>
          <w:tcPr>
            <w:tcW w:w="772" w:type="pct"/>
            <w:tcBorders>
              <w:bottom w:val="nil"/>
            </w:tcBorders>
            <w:shd w:val="clear" w:color="auto" w:fill="auto"/>
            <w:vAlign w:val="center"/>
          </w:tcPr>
          <w:p w:rsidR="008B655F" w:rsidRPr="00640B9E" w:rsidRDefault="008B655F" w:rsidP="00363483">
            <w:pPr>
              <w:spacing w:before="60" w:after="60" w:line="240" w:lineRule="auto"/>
              <w:ind w:firstLine="539"/>
              <w:jc w:val="right"/>
              <w:rPr>
                <w:rFonts w:eastAsia="Times New Roman" w:cs="Times New Roman"/>
                <w:lang w:eastAsia="cs-CZ"/>
              </w:rPr>
            </w:pPr>
            <w:r w:rsidRPr="00640B9E">
              <w:rPr>
                <w:rFonts w:eastAsia="Times New Roman" w:cs="Times New Roman"/>
                <w:lang w:eastAsia="cs-CZ"/>
              </w:rPr>
              <w:t>0</w:t>
            </w:r>
          </w:p>
        </w:tc>
        <w:tc>
          <w:tcPr>
            <w:tcW w:w="808" w:type="pct"/>
            <w:tcBorders>
              <w:bottom w:val="nil"/>
            </w:tcBorders>
            <w:shd w:val="clear" w:color="auto" w:fill="auto"/>
            <w:vAlign w:val="center"/>
          </w:tcPr>
          <w:p w:rsidR="008B655F" w:rsidRPr="00640B9E" w:rsidRDefault="008B655F" w:rsidP="00363483">
            <w:pPr>
              <w:spacing w:before="60" w:after="60" w:line="240" w:lineRule="auto"/>
              <w:jc w:val="right"/>
              <w:rPr>
                <w:rFonts w:eastAsia="Times New Roman" w:cs="Times New Roman"/>
                <w:b/>
                <w:lang w:eastAsia="cs-CZ"/>
              </w:rPr>
            </w:pPr>
            <w:r w:rsidRPr="00640B9E">
              <w:rPr>
                <w:rFonts w:eastAsia="Times New Roman" w:cs="Times New Roman"/>
                <w:b/>
                <w:lang w:eastAsia="cs-CZ"/>
              </w:rPr>
              <w:t>832 995</w:t>
            </w:r>
          </w:p>
        </w:tc>
      </w:tr>
      <w:tr w:rsidR="008B655F" w:rsidRPr="00640B9E" w:rsidTr="00363483">
        <w:trPr>
          <w:trHeight w:val="283"/>
          <w:tblHeader/>
          <w:jc w:val="center"/>
        </w:trPr>
        <w:tc>
          <w:tcPr>
            <w:tcW w:w="2501" w:type="pct"/>
            <w:tcBorders>
              <w:top w:val="nil"/>
              <w:bottom w:val="single" w:sz="4" w:space="0" w:color="7F7F7F" w:themeColor="text1" w:themeTint="80"/>
            </w:tcBorders>
            <w:shd w:val="clear" w:color="auto" w:fill="auto"/>
          </w:tcPr>
          <w:p w:rsidR="008B655F" w:rsidRPr="00640B9E" w:rsidRDefault="008B655F" w:rsidP="00363483">
            <w:pPr>
              <w:spacing w:before="60" w:after="60" w:line="240" w:lineRule="auto"/>
              <w:rPr>
                <w:rFonts w:eastAsia="Times New Roman" w:cs="Times New Roman"/>
                <w:i/>
                <w:lang w:eastAsia="cs-CZ"/>
              </w:rPr>
            </w:pPr>
            <w:r w:rsidRPr="00640B9E">
              <w:rPr>
                <w:rFonts w:eastAsia="Times New Roman" w:cs="Times New Roman"/>
                <w:i/>
                <w:lang w:eastAsia="cs-CZ"/>
              </w:rPr>
              <w:t xml:space="preserve"> </w:t>
            </w:r>
            <w:r w:rsidRPr="00640B9E">
              <w:rPr>
                <w:rFonts w:eastAsia="Times New Roman" w:cs="Times New Roman"/>
                <w:lang w:eastAsia="cs-CZ"/>
              </w:rPr>
              <w:t xml:space="preserve">v tom: </w:t>
            </w:r>
            <w:r w:rsidRPr="00640B9E">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8B655F" w:rsidRPr="00640B9E" w:rsidRDefault="008B655F" w:rsidP="00363483">
            <w:pPr>
              <w:spacing w:before="60" w:after="60" w:line="240" w:lineRule="auto"/>
              <w:ind w:firstLine="539"/>
              <w:jc w:val="right"/>
              <w:rPr>
                <w:rFonts w:eastAsia="Times New Roman" w:cs="Times New Roman"/>
                <w:i/>
                <w:lang w:eastAsia="cs-CZ"/>
              </w:rPr>
            </w:pPr>
            <w:r w:rsidRPr="00640B9E">
              <w:rPr>
                <w:rFonts w:eastAsia="Times New Roman" w:cs="Times New Roman"/>
                <w:i/>
                <w:lang w:eastAsia="cs-CZ"/>
              </w:rPr>
              <w:t>832 995</w:t>
            </w:r>
          </w:p>
        </w:tc>
        <w:tc>
          <w:tcPr>
            <w:tcW w:w="772" w:type="pct"/>
            <w:tcBorders>
              <w:top w:val="nil"/>
              <w:bottom w:val="single" w:sz="4" w:space="0" w:color="7F7F7F" w:themeColor="text1" w:themeTint="80"/>
            </w:tcBorders>
            <w:shd w:val="clear" w:color="auto" w:fill="auto"/>
            <w:vAlign w:val="center"/>
          </w:tcPr>
          <w:p w:rsidR="008B655F" w:rsidRPr="00640B9E" w:rsidRDefault="008B655F" w:rsidP="00363483">
            <w:pPr>
              <w:spacing w:before="60" w:after="60" w:line="240" w:lineRule="auto"/>
              <w:ind w:firstLine="539"/>
              <w:jc w:val="right"/>
              <w:rPr>
                <w:rFonts w:eastAsia="Times New Roman" w:cs="Times New Roman"/>
                <w:i/>
                <w:lang w:eastAsia="cs-CZ"/>
              </w:rPr>
            </w:pPr>
            <w:r w:rsidRPr="00640B9E">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8B655F" w:rsidRPr="00640B9E" w:rsidRDefault="008B655F" w:rsidP="00363483">
            <w:pPr>
              <w:spacing w:before="60" w:after="60" w:line="240" w:lineRule="auto"/>
              <w:jc w:val="right"/>
              <w:rPr>
                <w:rFonts w:eastAsia="Times New Roman" w:cs="Times New Roman"/>
                <w:b/>
                <w:i/>
                <w:lang w:eastAsia="cs-CZ"/>
              </w:rPr>
            </w:pPr>
            <w:r w:rsidRPr="00640B9E">
              <w:rPr>
                <w:rFonts w:eastAsia="Times New Roman" w:cs="Times New Roman"/>
                <w:b/>
                <w:i/>
                <w:lang w:eastAsia="cs-CZ"/>
              </w:rPr>
              <w:t>832 995</w:t>
            </w:r>
          </w:p>
        </w:tc>
      </w:tr>
      <w:tr w:rsidR="008B655F" w:rsidRPr="00182DE5" w:rsidTr="00363483">
        <w:trPr>
          <w:trHeight w:val="283"/>
          <w:tblHeader/>
          <w:jc w:val="center"/>
        </w:trPr>
        <w:tc>
          <w:tcPr>
            <w:tcW w:w="2501" w:type="pct"/>
            <w:tcBorders>
              <w:top w:val="single" w:sz="4" w:space="0" w:color="7F7F7F" w:themeColor="text1" w:themeTint="80"/>
            </w:tcBorders>
            <w:shd w:val="clear" w:color="auto" w:fill="auto"/>
          </w:tcPr>
          <w:p w:rsidR="008B655F" w:rsidRPr="00182DE5" w:rsidRDefault="008B655F" w:rsidP="00363483">
            <w:pPr>
              <w:spacing w:before="60" w:after="60" w:line="240" w:lineRule="auto"/>
              <w:rPr>
                <w:rFonts w:eastAsia="Times New Roman" w:cs="Times New Roman"/>
                <w:lang w:eastAsia="cs-CZ"/>
              </w:rPr>
            </w:pPr>
            <w:r w:rsidRPr="00182DE5">
              <w:rPr>
                <w:rFonts w:eastAsia="Times New Roman" w:cs="Times New Roman"/>
                <w:lang w:eastAsia="cs-CZ"/>
              </w:rPr>
              <w:t>CEF TP (SFDI)</w:t>
            </w:r>
          </w:p>
        </w:tc>
        <w:tc>
          <w:tcPr>
            <w:tcW w:w="919" w:type="pct"/>
            <w:tcBorders>
              <w:top w:val="single" w:sz="4" w:space="0" w:color="7F7F7F" w:themeColor="text1" w:themeTint="80"/>
            </w:tcBorders>
            <w:shd w:val="clear" w:color="auto" w:fill="auto"/>
            <w:vAlign w:val="center"/>
          </w:tcPr>
          <w:p w:rsidR="008B655F" w:rsidRPr="00182DE5" w:rsidRDefault="008B655F" w:rsidP="00363483">
            <w:pPr>
              <w:spacing w:before="60" w:after="60" w:line="240" w:lineRule="auto"/>
              <w:ind w:firstLine="539"/>
              <w:jc w:val="right"/>
              <w:rPr>
                <w:rFonts w:eastAsia="Times New Roman" w:cs="Times New Roman"/>
                <w:lang w:eastAsia="cs-CZ"/>
              </w:rPr>
            </w:pPr>
            <w:r>
              <w:rPr>
                <w:rFonts w:eastAsia="Times New Roman" w:cs="Times New Roman"/>
                <w:lang w:eastAsia="cs-CZ"/>
              </w:rPr>
              <w:t>647</w:t>
            </w:r>
          </w:p>
        </w:tc>
        <w:tc>
          <w:tcPr>
            <w:tcW w:w="772" w:type="pct"/>
            <w:tcBorders>
              <w:top w:val="single" w:sz="4" w:space="0" w:color="7F7F7F" w:themeColor="text1" w:themeTint="80"/>
            </w:tcBorders>
            <w:shd w:val="clear" w:color="auto" w:fill="auto"/>
            <w:vAlign w:val="center"/>
          </w:tcPr>
          <w:p w:rsidR="008B655F" w:rsidRPr="00182DE5" w:rsidRDefault="008B655F" w:rsidP="00363483">
            <w:pPr>
              <w:spacing w:before="60" w:after="60" w:line="240" w:lineRule="auto"/>
              <w:ind w:firstLine="539"/>
              <w:jc w:val="right"/>
              <w:rPr>
                <w:rFonts w:eastAsia="Times New Roman" w:cs="Times New Roman"/>
                <w:lang w:eastAsia="cs-CZ"/>
              </w:rPr>
            </w:pPr>
            <w:r w:rsidRPr="00182DE5">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rsidR="008B655F" w:rsidRPr="00182DE5" w:rsidRDefault="008B655F" w:rsidP="00363483">
            <w:pPr>
              <w:spacing w:before="60" w:after="60" w:line="240" w:lineRule="auto"/>
              <w:jc w:val="right"/>
              <w:rPr>
                <w:rFonts w:eastAsia="Times New Roman" w:cs="Times New Roman"/>
                <w:b/>
                <w:lang w:eastAsia="cs-CZ"/>
              </w:rPr>
            </w:pPr>
            <w:r>
              <w:rPr>
                <w:rFonts w:eastAsia="Times New Roman" w:cs="Times New Roman"/>
                <w:b/>
                <w:lang w:eastAsia="cs-CZ"/>
              </w:rPr>
              <w:t>647</w:t>
            </w:r>
          </w:p>
        </w:tc>
      </w:tr>
      <w:tr w:rsidR="008B655F" w:rsidRPr="00182DE5" w:rsidTr="00363483">
        <w:trPr>
          <w:trHeight w:val="283"/>
          <w:tblHeader/>
          <w:jc w:val="center"/>
        </w:trPr>
        <w:tc>
          <w:tcPr>
            <w:tcW w:w="2501" w:type="pct"/>
            <w:shd w:val="clear" w:color="auto" w:fill="auto"/>
          </w:tcPr>
          <w:p w:rsidR="008B655F" w:rsidRPr="00182DE5" w:rsidRDefault="008B655F" w:rsidP="00363483">
            <w:pPr>
              <w:spacing w:before="60" w:after="60" w:line="240" w:lineRule="auto"/>
              <w:rPr>
                <w:rFonts w:eastAsia="Times New Roman" w:cs="Times New Roman"/>
                <w:lang w:eastAsia="cs-CZ"/>
              </w:rPr>
            </w:pPr>
            <w:r w:rsidRPr="00182DE5">
              <w:rPr>
                <w:rFonts w:eastAsia="Times New Roman" w:cs="Times New Roman"/>
                <w:lang w:eastAsia="cs-CZ"/>
              </w:rPr>
              <w:t>CEF TP (ÚO MD)</w:t>
            </w:r>
          </w:p>
        </w:tc>
        <w:tc>
          <w:tcPr>
            <w:tcW w:w="919" w:type="pct"/>
            <w:shd w:val="clear" w:color="auto" w:fill="auto"/>
            <w:vAlign w:val="center"/>
          </w:tcPr>
          <w:p w:rsidR="008B655F" w:rsidRPr="00182DE5" w:rsidRDefault="008B655F" w:rsidP="00363483">
            <w:pPr>
              <w:spacing w:before="60" w:after="60" w:line="240" w:lineRule="auto"/>
              <w:ind w:firstLine="539"/>
              <w:jc w:val="right"/>
              <w:rPr>
                <w:rFonts w:eastAsia="Times New Roman" w:cs="Times New Roman"/>
                <w:lang w:eastAsia="cs-CZ"/>
              </w:rPr>
            </w:pPr>
            <w:r>
              <w:rPr>
                <w:rFonts w:eastAsia="Times New Roman" w:cs="Times New Roman"/>
                <w:lang w:eastAsia="cs-CZ"/>
              </w:rPr>
              <w:t>5 508</w:t>
            </w:r>
          </w:p>
        </w:tc>
        <w:tc>
          <w:tcPr>
            <w:tcW w:w="772" w:type="pct"/>
            <w:shd w:val="clear" w:color="auto" w:fill="auto"/>
            <w:vAlign w:val="center"/>
          </w:tcPr>
          <w:p w:rsidR="008B655F" w:rsidRPr="00182DE5" w:rsidRDefault="008B655F" w:rsidP="00363483">
            <w:pPr>
              <w:spacing w:before="60" w:after="60" w:line="240" w:lineRule="auto"/>
              <w:ind w:firstLine="539"/>
              <w:jc w:val="right"/>
              <w:rPr>
                <w:rFonts w:eastAsia="Times New Roman" w:cs="Times New Roman"/>
                <w:lang w:eastAsia="cs-CZ"/>
              </w:rPr>
            </w:pPr>
            <w:r>
              <w:rPr>
                <w:rFonts w:eastAsia="Times New Roman" w:cs="Times New Roman"/>
                <w:lang w:eastAsia="cs-CZ"/>
              </w:rPr>
              <w:t>581</w:t>
            </w:r>
          </w:p>
        </w:tc>
        <w:tc>
          <w:tcPr>
            <w:tcW w:w="808" w:type="pct"/>
            <w:shd w:val="clear" w:color="auto" w:fill="auto"/>
            <w:vAlign w:val="center"/>
          </w:tcPr>
          <w:p w:rsidR="008B655F" w:rsidRPr="00182DE5" w:rsidRDefault="008B655F" w:rsidP="00363483">
            <w:pPr>
              <w:spacing w:before="60" w:after="60" w:line="240" w:lineRule="auto"/>
              <w:jc w:val="right"/>
              <w:rPr>
                <w:rFonts w:eastAsia="Times New Roman" w:cs="Times New Roman"/>
                <w:b/>
                <w:lang w:eastAsia="cs-CZ"/>
              </w:rPr>
            </w:pPr>
            <w:r>
              <w:rPr>
                <w:rFonts w:eastAsia="Times New Roman" w:cs="Times New Roman"/>
                <w:b/>
                <w:lang w:eastAsia="cs-CZ"/>
              </w:rPr>
              <w:t>6 089</w:t>
            </w:r>
          </w:p>
        </w:tc>
      </w:tr>
      <w:tr w:rsidR="008B655F" w:rsidRPr="00182DE5" w:rsidTr="00363483">
        <w:trPr>
          <w:tblHeader/>
          <w:jc w:val="center"/>
        </w:trPr>
        <w:tc>
          <w:tcPr>
            <w:tcW w:w="2501" w:type="pct"/>
            <w:tcBorders>
              <w:top w:val="nil"/>
              <w:bottom w:val="single" w:sz="4" w:space="0" w:color="7F7F7F" w:themeColor="text1" w:themeTint="80"/>
            </w:tcBorders>
            <w:shd w:val="clear" w:color="auto" w:fill="auto"/>
          </w:tcPr>
          <w:p w:rsidR="008B655F" w:rsidRPr="0001421C" w:rsidRDefault="008B655F" w:rsidP="00363483">
            <w:pPr>
              <w:spacing w:before="60" w:after="60" w:line="240" w:lineRule="auto"/>
              <w:rPr>
                <w:rFonts w:eastAsia="Times New Roman" w:cs="Times New Roman"/>
                <w:color w:val="FF0000"/>
                <w:lang w:eastAsia="cs-CZ"/>
              </w:rPr>
            </w:pPr>
            <w:r w:rsidRPr="00182DE5">
              <w:rPr>
                <w:rFonts w:eastAsia="Times New Roman" w:cs="Times New Roman"/>
                <w:lang w:eastAsia="cs-CZ"/>
              </w:rPr>
              <w:t xml:space="preserve">CEF_ </w:t>
            </w:r>
            <w:proofErr w:type="spellStart"/>
            <w:r w:rsidRPr="00182DE5">
              <w:rPr>
                <w:rFonts w:eastAsia="Times New Roman" w:cs="Times New Roman"/>
                <w:lang w:eastAsia="cs-CZ"/>
              </w:rPr>
              <w:t>Crocodile</w:t>
            </w:r>
            <w:proofErr w:type="spellEnd"/>
            <w:r w:rsidRPr="00182DE5">
              <w:rPr>
                <w:rFonts w:eastAsia="Times New Roman" w:cs="Times New Roman"/>
                <w:lang w:eastAsia="cs-CZ"/>
              </w:rPr>
              <w:t xml:space="preserve"> 3  (ÚO MD)</w:t>
            </w:r>
          </w:p>
        </w:tc>
        <w:tc>
          <w:tcPr>
            <w:tcW w:w="919" w:type="pct"/>
            <w:tcBorders>
              <w:top w:val="nil"/>
              <w:bottom w:val="single" w:sz="4" w:space="0" w:color="7F7F7F" w:themeColor="text1" w:themeTint="80"/>
            </w:tcBorders>
            <w:shd w:val="clear" w:color="auto" w:fill="auto"/>
            <w:vAlign w:val="center"/>
          </w:tcPr>
          <w:p w:rsidR="008B655F" w:rsidRPr="00C364A1" w:rsidRDefault="008B655F" w:rsidP="00363483">
            <w:pPr>
              <w:spacing w:before="40" w:after="40" w:line="240" w:lineRule="auto"/>
              <w:jc w:val="right"/>
              <w:rPr>
                <w:rFonts w:eastAsia="Times New Roman" w:cs="Times New Roman"/>
                <w:color w:val="FF0000"/>
                <w:lang w:eastAsia="cs-CZ"/>
              </w:rPr>
            </w:pPr>
            <w:r w:rsidRPr="00C364A1">
              <w:rPr>
                <w:rFonts w:eastAsia="Times New Roman" w:cs="Times New Roman"/>
                <w:lang w:eastAsia="cs-CZ"/>
              </w:rPr>
              <w:t>201</w:t>
            </w:r>
          </w:p>
        </w:tc>
        <w:tc>
          <w:tcPr>
            <w:tcW w:w="772" w:type="pct"/>
            <w:tcBorders>
              <w:top w:val="nil"/>
              <w:bottom w:val="single" w:sz="4" w:space="0" w:color="7F7F7F" w:themeColor="text1" w:themeTint="80"/>
            </w:tcBorders>
            <w:shd w:val="clear" w:color="auto" w:fill="auto"/>
            <w:vAlign w:val="center"/>
          </w:tcPr>
          <w:p w:rsidR="008B655F" w:rsidRPr="00C364A1" w:rsidRDefault="008B655F" w:rsidP="00363483">
            <w:pPr>
              <w:spacing w:before="40" w:after="40" w:line="240" w:lineRule="auto"/>
              <w:jc w:val="right"/>
              <w:rPr>
                <w:rFonts w:eastAsia="Times New Roman" w:cs="Times New Roman"/>
                <w:color w:val="FF0000"/>
                <w:lang w:eastAsia="cs-CZ"/>
              </w:rPr>
            </w:pPr>
            <w:r w:rsidRPr="00C364A1">
              <w:rPr>
                <w:rFonts w:eastAsia="Times New Roman" w:cs="Times New Roman"/>
                <w:lang w:eastAsia="cs-CZ"/>
              </w:rPr>
              <w:t>805</w:t>
            </w:r>
          </w:p>
        </w:tc>
        <w:tc>
          <w:tcPr>
            <w:tcW w:w="808" w:type="pct"/>
            <w:tcBorders>
              <w:top w:val="nil"/>
              <w:bottom w:val="single" w:sz="4" w:space="0" w:color="7F7F7F" w:themeColor="text1" w:themeTint="80"/>
            </w:tcBorders>
            <w:shd w:val="clear" w:color="auto" w:fill="auto"/>
            <w:vAlign w:val="center"/>
          </w:tcPr>
          <w:p w:rsidR="008B655F" w:rsidRPr="00C364A1" w:rsidRDefault="008B655F" w:rsidP="00363483">
            <w:pPr>
              <w:spacing w:before="40" w:after="40" w:line="240" w:lineRule="auto"/>
              <w:jc w:val="right"/>
              <w:rPr>
                <w:rFonts w:eastAsia="Times New Roman" w:cs="Times New Roman"/>
                <w:b/>
                <w:lang w:eastAsia="cs-CZ"/>
              </w:rPr>
            </w:pPr>
            <w:r w:rsidRPr="00C364A1">
              <w:rPr>
                <w:rFonts w:eastAsia="Times New Roman" w:cs="Times New Roman"/>
                <w:b/>
                <w:lang w:eastAsia="cs-CZ"/>
              </w:rPr>
              <w:t>1 006</w:t>
            </w:r>
          </w:p>
        </w:tc>
      </w:tr>
      <w:tr w:rsidR="008B655F" w:rsidRPr="0001421C" w:rsidTr="00363483">
        <w:trPr>
          <w:tblHeader/>
          <w:jc w:val="center"/>
        </w:trPr>
        <w:tc>
          <w:tcPr>
            <w:tcW w:w="2501" w:type="pct"/>
            <w:tcBorders>
              <w:bottom w:val="nil"/>
            </w:tcBorders>
            <w:shd w:val="clear" w:color="auto" w:fill="auto"/>
          </w:tcPr>
          <w:p w:rsidR="008B655F" w:rsidRPr="0001421C" w:rsidRDefault="008B655F" w:rsidP="00363483">
            <w:pPr>
              <w:spacing w:before="40" w:after="40" w:line="240" w:lineRule="auto"/>
              <w:rPr>
                <w:rFonts w:eastAsia="Times New Roman" w:cs="Times New Roman"/>
                <w:color w:val="FF0000"/>
                <w:lang w:eastAsia="cs-CZ"/>
              </w:rPr>
            </w:pPr>
            <w:r w:rsidRPr="00481255">
              <w:rPr>
                <w:rFonts w:eastAsia="Times New Roman" w:cs="Times New Roman"/>
                <w:lang w:eastAsia="cs-CZ"/>
              </w:rPr>
              <w:t xml:space="preserve">CEF_ </w:t>
            </w:r>
            <w:proofErr w:type="spellStart"/>
            <w:r w:rsidRPr="00481255">
              <w:rPr>
                <w:rFonts w:eastAsia="Times New Roman" w:cs="Times New Roman"/>
                <w:lang w:eastAsia="cs-CZ"/>
              </w:rPr>
              <w:t>Crocodile</w:t>
            </w:r>
            <w:proofErr w:type="spellEnd"/>
            <w:r w:rsidRPr="00481255">
              <w:rPr>
                <w:rFonts w:eastAsia="Times New Roman" w:cs="Times New Roman"/>
                <w:lang w:eastAsia="cs-CZ"/>
              </w:rPr>
              <w:t xml:space="preserve"> 3  (SFDI) </w:t>
            </w:r>
          </w:p>
        </w:tc>
        <w:tc>
          <w:tcPr>
            <w:tcW w:w="919"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sidRPr="00481255">
              <w:rPr>
                <w:rFonts w:eastAsia="Times New Roman" w:cs="Times New Roman"/>
                <w:lang w:eastAsia="cs-CZ"/>
              </w:rPr>
              <w:t>3 065</w:t>
            </w:r>
          </w:p>
        </w:tc>
        <w:tc>
          <w:tcPr>
            <w:tcW w:w="772"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sidRPr="00481255">
              <w:rPr>
                <w:rFonts w:eastAsia="Times New Roman" w:cs="Times New Roman"/>
                <w:lang w:eastAsia="cs-CZ"/>
              </w:rPr>
              <w:t>0</w:t>
            </w:r>
          </w:p>
        </w:tc>
        <w:tc>
          <w:tcPr>
            <w:tcW w:w="808"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b/>
                <w:lang w:eastAsia="cs-CZ"/>
              </w:rPr>
            </w:pPr>
            <w:r w:rsidRPr="00481255">
              <w:rPr>
                <w:rFonts w:eastAsia="Times New Roman" w:cs="Times New Roman"/>
                <w:b/>
                <w:lang w:eastAsia="cs-CZ"/>
              </w:rPr>
              <w:t>3 065</w:t>
            </w:r>
          </w:p>
        </w:tc>
      </w:tr>
      <w:tr w:rsidR="008B655F" w:rsidRPr="00481255" w:rsidTr="00363483">
        <w:trPr>
          <w:tblHeader/>
          <w:jc w:val="center"/>
        </w:trPr>
        <w:tc>
          <w:tcPr>
            <w:tcW w:w="2501" w:type="pct"/>
            <w:tcBorders>
              <w:top w:val="nil"/>
              <w:bottom w:val="single" w:sz="4" w:space="0" w:color="7F7F7F" w:themeColor="text1" w:themeTint="80"/>
            </w:tcBorders>
            <w:shd w:val="clear" w:color="auto" w:fill="auto"/>
          </w:tcPr>
          <w:p w:rsidR="008B655F" w:rsidRPr="00481255" w:rsidRDefault="008B655F" w:rsidP="00363483">
            <w:pPr>
              <w:spacing w:before="60" w:after="60" w:line="240" w:lineRule="auto"/>
              <w:rPr>
                <w:rFonts w:eastAsia="Times New Roman" w:cs="Times New Roman"/>
                <w:i/>
                <w:lang w:eastAsia="cs-CZ"/>
              </w:rPr>
            </w:pPr>
            <w:r w:rsidRPr="00481255">
              <w:rPr>
                <w:rFonts w:eastAsia="Times New Roman" w:cs="Times New Roman"/>
                <w:lang w:eastAsia="cs-CZ"/>
              </w:rPr>
              <w:t xml:space="preserve">z toho: </w:t>
            </w:r>
            <w:r w:rsidRPr="00481255">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i/>
                <w:lang w:eastAsia="cs-CZ"/>
              </w:rPr>
            </w:pPr>
            <w:r w:rsidRPr="00481255">
              <w:rPr>
                <w:rFonts w:eastAsia="Times New Roman" w:cs="Times New Roman"/>
                <w:i/>
                <w:lang w:eastAsia="cs-CZ"/>
              </w:rPr>
              <w:t>2 758</w:t>
            </w:r>
          </w:p>
        </w:tc>
        <w:tc>
          <w:tcPr>
            <w:tcW w:w="772"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i/>
                <w:lang w:eastAsia="cs-CZ"/>
              </w:rPr>
            </w:pPr>
            <w:r w:rsidRPr="00481255">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b/>
                <w:i/>
                <w:lang w:eastAsia="cs-CZ"/>
              </w:rPr>
            </w:pPr>
            <w:r w:rsidRPr="00481255">
              <w:rPr>
                <w:rFonts w:eastAsia="Times New Roman" w:cs="Times New Roman"/>
                <w:b/>
                <w:i/>
                <w:lang w:eastAsia="cs-CZ"/>
              </w:rPr>
              <w:t>2 758</w:t>
            </w:r>
          </w:p>
        </w:tc>
      </w:tr>
      <w:tr w:rsidR="008B655F" w:rsidRPr="00481255" w:rsidTr="00363483">
        <w:trPr>
          <w:tblHeader/>
          <w:jc w:val="center"/>
        </w:trPr>
        <w:tc>
          <w:tcPr>
            <w:tcW w:w="2501" w:type="pct"/>
            <w:tcBorders>
              <w:top w:val="single" w:sz="4" w:space="0" w:color="7F7F7F" w:themeColor="text1" w:themeTint="80"/>
            </w:tcBorders>
            <w:shd w:val="clear" w:color="auto" w:fill="auto"/>
          </w:tcPr>
          <w:p w:rsidR="008B655F" w:rsidRPr="00481255" w:rsidRDefault="008B655F" w:rsidP="00363483">
            <w:pPr>
              <w:spacing w:before="40" w:after="40" w:line="240" w:lineRule="auto"/>
              <w:rPr>
                <w:rFonts w:eastAsia="Times New Roman" w:cs="Times New Roman"/>
                <w:lang w:eastAsia="cs-CZ"/>
              </w:rPr>
            </w:pPr>
            <w:r w:rsidRPr="00481255">
              <w:rPr>
                <w:rFonts w:eastAsia="Times New Roman" w:cs="Times New Roman"/>
                <w:lang w:eastAsia="cs-CZ"/>
              </w:rPr>
              <w:t>CEF_ C ROADS CZ  (ÚO MD)</w:t>
            </w:r>
          </w:p>
        </w:tc>
        <w:tc>
          <w:tcPr>
            <w:tcW w:w="919" w:type="pct"/>
            <w:tcBorders>
              <w:top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sidRPr="00481255">
              <w:rPr>
                <w:rFonts w:eastAsia="Times New Roman" w:cs="Times New Roman"/>
                <w:lang w:eastAsia="cs-CZ"/>
              </w:rPr>
              <w:t>3 788</w:t>
            </w:r>
          </w:p>
        </w:tc>
        <w:tc>
          <w:tcPr>
            <w:tcW w:w="772" w:type="pct"/>
            <w:tcBorders>
              <w:top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sidRPr="00481255">
              <w:rPr>
                <w:rFonts w:eastAsia="Times New Roman" w:cs="Times New Roman"/>
                <w:lang w:eastAsia="cs-CZ"/>
              </w:rPr>
              <w:t>668</w:t>
            </w:r>
          </w:p>
        </w:tc>
        <w:tc>
          <w:tcPr>
            <w:tcW w:w="808" w:type="pct"/>
            <w:tcBorders>
              <w:top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b/>
                <w:lang w:eastAsia="cs-CZ"/>
              </w:rPr>
            </w:pPr>
            <w:r w:rsidRPr="00481255">
              <w:rPr>
                <w:rFonts w:eastAsia="Times New Roman" w:cs="Times New Roman"/>
                <w:b/>
                <w:lang w:eastAsia="cs-CZ"/>
              </w:rPr>
              <w:t>4 456</w:t>
            </w:r>
          </w:p>
        </w:tc>
      </w:tr>
      <w:tr w:rsidR="008B655F" w:rsidRPr="00481255" w:rsidTr="00363483">
        <w:trPr>
          <w:tblHeader/>
          <w:jc w:val="center"/>
        </w:trPr>
        <w:tc>
          <w:tcPr>
            <w:tcW w:w="2501" w:type="pct"/>
            <w:tcBorders>
              <w:bottom w:val="nil"/>
            </w:tcBorders>
            <w:shd w:val="clear" w:color="auto" w:fill="auto"/>
          </w:tcPr>
          <w:p w:rsidR="008B655F" w:rsidRPr="00481255" w:rsidRDefault="008B655F" w:rsidP="00363483">
            <w:pPr>
              <w:spacing w:before="40" w:after="40" w:line="240" w:lineRule="auto"/>
              <w:rPr>
                <w:rFonts w:eastAsia="Times New Roman" w:cs="Times New Roman"/>
                <w:lang w:eastAsia="cs-CZ"/>
              </w:rPr>
            </w:pPr>
            <w:r w:rsidRPr="00481255">
              <w:rPr>
                <w:rFonts w:eastAsia="Times New Roman" w:cs="Times New Roman"/>
                <w:lang w:eastAsia="cs-CZ"/>
              </w:rPr>
              <w:t xml:space="preserve">CEF_ C ROADS CZ  (PRÁVNICKÉ OSOBY) </w:t>
            </w:r>
          </w:p>
        </w:tc>
        <w:tc>
          <w:tcPr>
            <w:tcW w:w="919"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sidRPr="00481255">
              <w:rPr>
                <w:rFonts w:eastAsia="Times New Roman" w:cs="Times New Roman"/>
                <w:lang w:eastAsia="cs-CZ"/>
              </w:rPr>
              <w:t>50 403</w:t>
            </w:r>
          </w:p>
        </w:tc>
        <w:tc>
          <w:tcPr>
            <w:tcW w:w="772"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sidRPr="00481255">
              <w:rPr>
                <w:rFonts w:eastAsia="Times New Roman" w:cs="Times New Roman"/>
                <w:lang w:eastAsia="cs-CZ"/>
              </w:rPr>
              <w:t>0</w:t>
            </w:r>
          </w:p>
        </w:tc>
        <w:tc>
          <w:tcPr>
            <w:tcW w:w="808"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b/>
                <w:lang w:eastAsia="cs-CZ"/>
              </w:rPr>
            </w:pPr>
            <w:r w:rsidRPr="00481255">
              <w:rPr>
                <w:rFonts w:eastAsia="Times New Roman" w:cs="Times New Roman"/>
                <w:b/>
                <w:lang w:eastAsia="cs-CZ"/>
              </w:rPr>
              <w:t>50 403</w:t>
            </w:r>
          </w:p>
        </w:tc>
      </w:tr>
      <w:tr w:rsidR="008B655F" w:rsidRPr="00481255" w:rsidTr="00363483">
        <w:trPr>
          <w:tblHeader/>
          <w:jc w:val="center"/>
        </w:trPr>
        <w:tc>
          <w:tcPr>
            <w:tcW w:w="2501" w:type="pct"/>
            <w:tcBorders>
              <w:top w:val="nil"/>
              <w:bottom w:val="single" w:sz="4" w:space="0" w:color="7F7F7F" w:themeColor="text1" w:themeTint="80"/>
            </w:tcBorders>
            <w:shd w:val="clear" w:color="auto" w:fill="auto"/>
          </w:tcPr>
          <w:p w:rsidR="008B655F" w:rsidRPr="00481255" w:rsidRDefault="008B655F" w:rsidP="00363483">
            <w:pPr>
              <w:spacing w:before="40" w:after="40" w:line="240" w:lineRule="auto"/>
              <w:rPr>
                <w:rFonts w:eastAsia="Times New Roman" w:cs="Times New Roman"/>
                <w:lang w:eastAsia="cs-CZ"/>
              </w:rPr>
            </w:pPr>
            <w:r w:rsidRPr="00481255">
              <w:rPr>
                <w:rFonts w:eastAsia="Times New Roman" w:cs="Times New Roman"/>
                <w:lang w:eastAsia="cs-CZ"/>
              </w:rPr>
              <w:t xml:space="preserve">z toho: </w:t>
            </w:r>
            <w:r w:rsidRPr="00481255">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i/>
                <w:lang w:eastAsia="cs-CZ"/>
              </w:rPr>
            </w:pPr>
            <w:r w:rsidRPr="00481255">
              <w:rPr>
                <w:rFonts w:eastAsia="Times New Roman" w:cs="Times New Roman"/>
                <w:i/>
                <w:lang w:eastAsia="cs-CZ"/>
              </w:rPr>
              <w:t>37 485</w:t>
            </w:r>
          </w:p>
        </w:tc>
        <w:tc>
          <w:tcPr>
            <w:tcW w:w="772"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i/>
                <w:lang w:eastAsia="cs-CZ"/>
              </w:rPr>
            </w:pPr>
            <w:r w:rsidRPr="00481255">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b/>
                <w:i/>
                <w:lang w:eastAsia="cs-CZ"/>
              </w:rPr>
            </w:pPr>
            <w:r w:rsidRPr="00481255">
              <w:rPr>
                <w:rFonts w:eastAsia="Times New Roman" w:cs="Times New Roman"/>
                <w:b/>
                <w:i/>
                <w:lang w:eastAsia="cs-CZ"/>
              </w:rPr>
              <w:t>37 485</w:t>
            </w:r>
          </w:p>
        </w:tc>
      </w:tr>
      <w:tr w:rsidR="008B655F" w:rsidRPr="00481255" w:rsidTr="00363483">
        <w:trPr>
          <w:tblHeader/>
          <w:jc w:val="center"/>
        </w:trPr>
        <w:tc>
          <w:tcPr>
            <w:tcW w:w="2501" w:type="pct"/>
            <w:tcBorders>
              <w:bottom w:val="nil"/>
            </w:tcBorders>
            <w:shd w:val="clear" w:color="auto" w:fill="auto"/>
          </w:tcPr>
          <w:p w:rsidR="008B655F" w:rsidRPr="00481255" w:rsidRDefault="008B655F" w:rsidP="00363483">
            <w:pPr>
              <w:spacing w:before="40" w:after="40" w:line="240" w:lineRule="auto"/>
              <w:rPr>
                <w:rFonts w:eastAsia="Times New Roman" w:cs="Times New Roman"/>
                <w:lang w:eastAsia="cs-CZ"/>
              </w:rPr>
            </w:pPr>
            <w:r w:rsidRPr="00481255">
              <w:rPr>
                <w:rFonts w:eastAsia="Times New Roman" w:cs="Times New Roman"/>
                <w:lang w:eastAsia="cs-CZ"/>
              </w:rPr>
              <w:t xml:space="preserve">CEF_ C ROADS CZ  (SFDI) </w:t>
            </w:r>
          </w:p>
        </w:tc>
        <w:tc>
          <w:tcPr>
            <w:tcW w:w="919"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Pr>
                <w:rFonts w:eastAsia="Times New Roman" w:cs="Times New Roman"/>
                <w:lang w:eastAsia="cs-CZ"/>
              </w:rPr>
              <w:t>13 632</w:t>
            </w:r>
          </w:p>
        </w:tc>
        <w:tc>
          <w:tcPr>
            <w:tcW w:w="772"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lang w:eastAsia="cs-CZ"/>
              </w:rPr>
            </w:pPr>
            <w:r w:rsidRPr="00481255">
              <w:rPr>
                <w:rFonts w:eastAsia="Times New Roman" w:cs="Times New Roman"/>
                <w:lang w:eastAsia="cs-CZ"/>
              </w:rPr>
              <w:t>0</w:t>
            </w:r>
          </w:p>
        </w:tc>
        <w:tc>
          <w:tcPr>
            <w:tcW w:w="808" w:type="pct"/>
            <w:tcBorders>
              <w:bottom w:val="nil"/>
            </w:tcBorders>
            <w:shd w:val="clear" w:color="auto" w:fill="auto"/>
            <w:vAlign w:val="center"/>
          </w:tcPr>
          <w:p w:rsidR="008B655F" w:rsidRPr="00481255" w:rsidRDefault="008B655F" w:rsidP="00363483">
            <w:pPr>
              <w:spacing w:before="40" w:after="40" w:line="240" w:lineRule="auto"/>
              <w:jc w:val="right"/>
              <w:rPr>
                <w:rFonts w:eastAsia="Times New Roman" w:cs="Times New Roman"/>
                <w:b/>
                <w:lang w:eastAsia="cs-CZ"/>
              </w:rPr>
            </w:pPr>
            <w:r>
              <w:rPr>
                <w:rFonts w:eastAsia="Times New Roman" w:cs="Times New Roman"/>
                <w:b/>
                <w:lang w:eastAsia="cs-CZ"/>
              </w:rPr>
              <w:t>13 632</w:t>
            </w:r>
          </w:p>
        </w:tc>
      </w:tr>
      <w:tr w:rsidR="008B655F" w:rsidRPr="00481255" w:rsidTr="00363483">
        <w:trPr>
          <w:tblHeader/>
          <w:jc w:val="center"/>
        </w:trPr>
        <w:tc>
          <w:tcPr>
            <w:tcW w:w="2501" w:type="pct"/>
            <w:tcBorders>
              <w:top w:val="nil"/>
              <w:bottom w:val="single" w:sz="4" w:space="0" w:color="7F7F7F" w:themeColor="text1" w:themeTint="80"/>
            </w:tcBorders>
            <w:shd w:val="clear" w:color="auto" w:fill="auto"/>
          </w:tcPr>
          <w:p w:rsidR="008B655F" w:rsidRPr="00481255" w:rsidRDefault="008B655F" w:rsidP="00363483">
            <w:pPr>
              <w:spacing w:before="40" w:after="40" w:line="240" w:lineRule="auto"/>
              <w:rPr>
                <w:rFonts w:eastAsia="Times New Roman" w:cs="Times New Roman"/>
                <w:lang w:eastAsia="cs-CZ"/>
              </w:rPr>
            </w:pPr>
            <w:r w:rsidRPr="00481255">
              <w:rPr>
                <w:rFonts w:eastAsia="Times New Roman" w:cs="Times New Roman"/>
                <w:lang w:eastAsia="cs-CZ"/>
              </w:rPr>
              <w:t xml:space="preserve">z toho: </w:t>
            </w:r>
            <w:r w:rsidRPr="00481255">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i/>
                <w:lang w:eastAsia="cs-CZ"/>
              </w:rPr>
            </w:pPr>
            <w:r w:rsidRPr="00481255">
              <w:rPr>
                <w:rFonts w:eastAsia="Times New Roman" w:cs="Times New Roman"/>
                <w:i/>
                <w:lang w:eastAsia="cs-CZ"/>
              </w:rPr>
              <w:t>7 820</w:t>
            </w:r>
          </w:p>
        </w:tc>
        <w:tc>
          <w:tcPr>
            <w:tcW w:w="772"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i/>
                <w:lang w:eastAsia="cs-CZ"/>
              </w:rPr>
            </w:pPr>
            <w:r w:rsidRPr="00481255">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8B655F" w:rsidRPr="00481255" w:rsidRDefault="008B655F" w:rsidP="00363483">
            <w:pPr>
              <w:spacing w:before="40" w:after="40" w:line="240" w:lineRule="auto"/>
              <w:jc w:val="right"/>
              <w:rPr>
                <w:rFonts w:eastAsia="Times New Roman" w:cs="Times New Roman"/>
                <w:b/>
                <w:i/>
                <w:lang w:eastAsia="cs-CZ"/>
              </w:rPr>
            </w:pPr>
            <w:r w:rsidRPr="00481255">
              <w:rPr>
                <w:rFonts w:eastAsia="Times New Roman" w:cs="Times New Roman"/>
                <w:b/>
                <w:i/>
                <w:lang w:eastAsia="cs-CZ"/>
              </w:rPr>
              <w:t>7 820</w:t>
            </w:r>
          </w:p>
        </w:tc>
      </w:tr>
      <w:tr w:rsidR="008B655F" w:rsidRPr="0001421C" w:rsidTr="00363483">
        <w:trPr>
          <w:tblHeader/>
          <w:jc w:val="center"/>
        </w:trPr>
        <w:tc>
          <w:tcPr>
            <w:tcW w:w="2501" w:type="pct"/>
            <w:tcBorders>
              <w:top w:val="single" w:sz="4" w:space="0" w:color="7F7F7F" w:themeColor="text1" w:themeTint="80"/>
            </w:tcBorders>
            <w:shd w:val="clear" w:color="auto" w:fill="auto"/>
          </w:tcPr>
          <w:p w:rsidR="008B655F" w:rsidRPr="0001421C" w:rsidRDefault="008B655F" w:rsidP="00363483">
            <w:pPr>
              <w:spacing w:before="40" w:after="40" w:line="240" w:lineRule="auto"/>
              <w:rPr>
                <w:rFonts w:eastAsia="Times New Roman" w:cs="Times New Roman"/>
                <w:color w:val="FF0000"/>
                <w:lang w:eastAsia="cs-CZ"/>
              </w:rPr>
            </w:pPr>
            <w:r w:rsidRPr="00891AFB">
              <w:rPr>
                <w:rFonts w:eastAsia="Times New Roman" w:cs="Times New Roman"/>
                <w:lang w:eastAsia="cs-CZ"/>
              </w:rPr>
              <w:t>CEF_ RIS COMEX  (SPS)</w:t>
            </w:r>
          </w:p>
        </w:tc>
        <w:tc>
          <w:tcPr>
            <w:tcW w:w="919" w:type="pct"/>
            <w:tcBorders>
              <w:top w:val="single" w:sz="4" w:space="0" w:color="7F7F7F" w:themeColor="text1" w:themeTint="80"/>
            </w:tcBorders>
            <w:shd w:val="clear" w:color="auto" w:fill="auto"/>
            <w:vAlign w:val="center"/>
          </w:tcPr>
          <w:p w:rsidR="008B655F" w:rsidRPr="00891AFB" w:rsidRDefault="008B655F" w:rsidP="00363483">
            <w:pPr>
              <w:spacing w:before="40" w:after="40" w:line="240" w:lineRule="auto"/>
              <w:jc w:val="right"/>
              <w:rPr>
                <w:rFonts w:eastAsia="Times New Roman" w:cs="Times New Roman"/>
                <w:lang w:eastAsia="cs-CZ"/>
              </w:rPr>
            </w:pPr>
            <w:r>
              <w:rPr>
                <w:rFonts w:eastAsia="Times New Roman" w:cs="Times New Roman"/>
                <w:lang w:eastAsia="cs-CZ"/>
              </w:rPr>
              <w:t>955</w:t>
            </w:r>
          </w:p>
        </w:tc>
        <w:tc>
          <w:tcPr>
            <w:tcW w:w="772" w:type="pct"/>
            <w:tcBorders>
              <w:top w:val="single" w:sz="4" w:space="0" w:color="7F7F7F" w:themeColor="text1" w:themeTint="80"/>
            </w:tcBorders>
            <w:shd w:val="clear" w:color="auto" w:fill="auto"/>
            <w:vAlign w:val="center"/>
          </w:tcPr>
          <w:p w:rsidR="008B655F" w:rsidRPr="00891AFB" w:rsidRDefault="008B655F" w:rsidP="00363483">
            <w:pPr>
              <w:spacing w:before="40" w:after="40" w:line="240" w:lineRule="auto"/>
              <w:jc w:val="right"/>
              <w:rPr>
                <w:rFonts w:eastAsia="Times New Roman" w:cs="Times New Roman"/>
                <w:lang w:eastAsia="cs-CZ"/>
              </w:rPr>
            </w:pPr>
            <w:r>
              <w:rPr>
                <w:rFonts w:eastAsia="Times New Roman" w:cs="Times New Roman"/>
                <w:lang w:eastAsia="cs-CZ"/>
              </w:rPr>
              <w:t>169</w:t>
            </w:r>
          </w:p>
        </w:tc>
        <w:tc>
          <w:tcPr>
            <w:tcW w:w="808" w:type="pct"/>
            <w:tcBorders>
              <w:top w:val="single" w:sz="4" w:space="0" w:color="7F7F7F" w:themeColor="text1" w:themeTint="80"/>
            </w:tcBorders>
            <w:shd w:val="clear" w:color="auto" w:fill="auto"/>
            <w:vAlign w:val="center"/>
          </w:tcPr>
          <w:p w:rsidR="008B655F" w:rsidRPr="00891AFB" w:rsidRDefault="008B655F" w:rsidP="00363483">
            <w:pPr>
              <w:spacing w:before="40" w:after="40" w:line="240" w:lineRule="auto"/>
              <w:jc w:val="right"/>
              <w:rPr>
                <w:rFonts w:eastAsia="Times New Roman" w:cs="Times New Roman"/>
                <w:b/>
                <w:lang w:eastAsia="cs-CZ"/>
              </w:rPr>
            </w:pPr>
            <w:r>
              <w:rPr>
                <w:rFonts w:eastAsia="Times New Roman" w:cs="Times New Roman"/>
                <w:b/>
                <w:lang w:eastAsia="cs-CZ"/>
              </w:rPr>
              <w:t>1 124</w:t>
            </w:r>
          </w:p>
        </w:tc>
      </w:tr>
      <w:tr w:rsidR="008B655F" w:rsidRPr="00891AFB" w:rsidTr="00363483">
        <w:trPr>
          <w:tblHeader/>
          <w:jc w:val="center"/>
        </w:trPr>
        <w:tc>
          <w:tcPr>
            <w:tcW w:w="2501" w:type="pct"/>
            <w:tcBorders>
              <w:bottom w:val="nil"/>
            </w:tcBorders>
            <w:shd w:val="clear" w:color="auto" w:fill="auto"/>
          </w:tcPr>
          <w:p w:rsidR="008B655F" w:rsidRPr="00891AFB" w:rsidRDefault="008B655F" w:rsidP="00363483">
            <w:pPr>
              <w:spacing w:before="40" w:after="40" w:line="240" w:lineRule="auto"/>
              <w:rPr>
                <w:rFonts w:eastAsia="Times New Roman" w:cs="Times New Roman"/>
                <w:lang w:eastAsia="cs-CZ"/>
              </w:rPr>
            </w:pPr>
            <w:r w:rsidRPr="00891AFB">
              <w:rPr>
                <w:rFonts w:eastAsia="Times New Roman" w:cs="Times New Roman"/>
                <w:lang w:eastAsia="cs-CZ"/>
              </w:rPr>
              <w:t xml:space="preserve">CEF_ RIS COMEX  (SFDI) </w:t>
            </w:r>
          </w:p>
        </w:tc>
        <w:tc>
          <w:tcPr>
            <w:tcW w:w="919" w:type="pct"/>
            <w:tcBorders>
              <w:bottom w:val="nil"/>
            </w:tcBorders>
            <w:shd w:val="clear" w:color="auto" w:fill="auto"/>
            <w:vAlign w:val="center"/>
          </w:tcPr>
          <w:p w:rsidR="008B655F" w:rsidRPr="00891AFB" w:rsidRDefault="008B655F" w:rsidP="00363483">
            <w:pPr>
              <w:spacing w:before="40" w:after="40" w:line="240" w:lineRule="auto"/>
              <w:jc w:val="right"/>
              <w:rPr>
                <w:rFonts w:eastAsia="Times New Roman" w:cs="Times New Roman"/>
                <w:lang w:eastAsia="cs-CZ"/>
              </w:rPr>
            </w:pPr>
            <w:r w:rsidRPr="00891AFB">
              <w:rPr>
                <w:rFonts w:eastAsia="Times New Roman" w:cs="Times New Roman"/>
                <w:lang w:eastAsia="cs-CZ"/>
              </w:rPr>
              <w:t>14 461</w:t>
            </w:r>
          </w:p>
        </w:tc>
        <w:tc>
          <w:tcPr>
            <w:tcW w:w="772" w:type="pct"/>
            <w:tcBorders>
              <w:bottom w:val="nil"/>
            </w:tcBorders>
            <w:shd w:val="clear" w:color="auto" w:fill="auto"/>
            <w:vAlign w:val="center"/>
          </w:tcPr>
          <w:p w:rsidR="008B655F" w:rsidRPr="00891AFB" w:rsidRDefault="008B655F" w:rsidP="00363483">
            <w:pPr>
              <w:spacing w:before="40" w:after="40" w:line="240" w:lineRule="auto"/>
              <w:jc w:val="right"/>
              <w:rPr>
                <w:rFonts w:eastAsia="Times New Roman" w:cs="Times New Roman"/>
                <w:lang w:eastAsia="cs-CZ"/>
              </w:rPr>
            </w:pPr>
            <w:r w:rsidRPr="00891AFB">
              <w:rPr>
                <w:rFonts w:eastAsia="Times New Roman" w:cs="Times New Roman"/>
                <w:lang w:eastAsia="cs-CZ"/>
              </w:rPr>
              <w:t>0</w:t>
            </w:r>
          </w:p>
        </w:tc>
        <w:tc>
          <w:tcPr>
            <w:tcW w:w="808" w:type="pct"/>
            <w:tcBorders>
              <w:bottom w:val="nil"/>
            </w:tcBorders>
            <w:shd w:val="clear" w:color="auto" w:fill="auto"/>
            <w:vAlign w:val="center"/>
          </w:tcPr>
          <w:p w:rsidR="008B655F" w:rsidRPr="00891AFB" w:rsidRDefault="008B655F" w:rsidP="00363483">
            <w:pPr>
              <w:spacing w:before="40" w:after="40" w:line="240" w:lineRule="auto"/>
              <w:jc w:val="right"/>
              <w:rPr>
                <w:rFonts w:eastAsia="Times New Roman" w:cs="Times New Roman"/>
                <w:b/>
                <w:lang w:eastAsia="cs-CZ"/>
              </w:rPr>
            </w:pPr>
            <w:r w:rsidRPr="00891AFB">
              <w:rPr>
                <w:rFonts w:eastAsia="Times New Roman" w:cs="Times New Roman"/>
                <w:b/>
                <w:lang w:eastAsia="cs-CZ"/>
              </w:rPr>
              <w:t>14 461</w:t>
            </w:r>
          </w:p>
        </w:tc>
      </w:tr>
      <w:tr w:rsidR="008B655F" w:rsidRPr="00891AFB" w:rsidTr="00363483">
        <w:trPr>
          <w:tblHeader/>
          <w:jc w:val="center"/>
        </w:trPr>
        <w:tc>
          <w:tcPr>
            <w:tcW w:w="2501" w:type="pct"/>
            <w:tcBorders>
              <w:top w:val="nil"/>
              <w:bottom w:val="single" w:sz="4" w:space="0" w:color="7F7F7F" w:themeColor="text1" w:themeTint="80"/>
            </w:tcBorders>
            <w:shd w:val="clear" w:color="auto" w:fill="auto"/>
          </w:tcPr>
          <w:p w:rsidR="008B655F" w:rsidRPr="00891AFB" w:rsidRDefault="008B655F" w:rsidP="00363483">
            <w:pPr>
              <w:spacing w:before="40" w:after="40" w:line="240" w:lineRule="auto"/>
              <w:rPr>
                <w:rFonts w:eastAsia="Times New Roman" w:cs="Times New Roman"/>
                <w:lang w:eastAsia="cs-CZ"/>
              </w:rPr>
            </w:pPr>
            <w:r w:rsidRPr="00891AFB">
              <w:rPr>
                <w:rFonts w:eastAsia="Times New Roman" w:cs="Times New Roman"/>
                <w:i/>
                <w:lang w:eastAsia="cs-CZ"/>
              </w:rPr>
              <w:t xml:space="preserve"> </w:t>
            </w:r>
            <w:r w:rsidRPr="00891AFB">
              <w:rPr>
                <w:rFonts w:eastAsia="Times New Roman" w:cs="Times New Roman"/>
                <w:lang w:eastAsia="cs-CZ"/>
              </w:rPr>
              <w:t xml:space="preserve">v tom: </w:t>
            </w:r>
            <w:r w:rsidRPr="00891AFB">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8B655F" w:rsidRPr="00891AFB" w:rsidRDefault="008B655F" w:rsidP="00363483">
            <w:pPr>
              <w:spacing w:before="40" w:after="40" w:line="240" w:lineRule="auto"/>
              <w:jc w:val="right"/>
              <w:rPr>
                <w:rFonts w:eastAsia="Times New Roman" w:cs="Times New Roman"/>
                <w:i/>
                <w:lang w:eastAsia="cs-CZ"/>
              </w:rPr>
            </w:pPr>
            <w:r>
              <w:rPr>
                <w:rFonts w:eastAsia="Times New Roman" w:cs="Times New Roman"/>
                <w:i/>
                <w:lang w:eastAsia="cs-CZ"/>
              </w:rPr>
              <w:t>14 461</w:t>
            </w:r>
          </w:p>
        </w:tc>
        <w:tc>
          <w:tcPr>
            <w:tcW w:w="772" w:type="pct"/>
            <w:tcBorders>
              <w:top w:val="nil"/>
              <w:bottom w:val="single" w:sz="4" w:space="0" w:color="7F7F7F" w:themeColor="text1" w:themeTint="80"/>
            </w:tcBorders>
            <w:shd w:val="clear" w:color="auto" w:fill="auto"/>
            <w:vAlign w:val="center"/>
          </w:tcPr>
          <w:p w:rsidR="008B655F" w:rsidRPr="00891AFB" w:rsidRDefault="008B655F" w:rsidP="00363483">
            <w:pPr>
              <w:spacing w:before="40" w:after="40" w:line="240" w:lineRule="auto"/>
              <w:jc w:val="right"/>
              <w:rPr>
                <w:rFonts w:eastAsia="Times New Roman" w:cs="Times New Roman"/>
                <w:i/>
                <w:lang w:eastAsia="cs-CZ"/>
              </w:rPr>
            </w:pPr>
            <w:r w:rsidRPr="00891AFB">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8B655F" w:rsidRPr="00891AFB" w:rsidRDefault="008B655F" w:rsidP="00363483">
            <w:pPr>
              <w:spacing w:before="40" w:after="40" w:line="240" w:lineRule="auto"/>
              <w:jc w:val="right"/>
              <w:rPr>
                <w:rFonts w:eastAsia="Times New Roman" w:cs="Times New Roman"/>
                <w:b/>
                <w:i/>
                <w:lang w:eastAsia="cs-CZ"/>
              </w:rPr>
            </w:pPr>
            <w:r>
              <w:rPr>
                <w:rFonts w:eastAsia="Times New Roman" w:cs="Times New Roman"/>
                <w:b/>
                <w:i/>
                <w:lang w:eastAsia="cs-CZ"/>
              </w:rPr>
              <w:t>14 461</w:t>
            </w:r>
          </w:p>
        </w:tc>
      </w:tr>
      <w:tr w:rsidR="008B655F" w:rsidRPr="00640B9E" w:rsidTr="00363483">
        <w:trPr>
          <w:tblHeader/>
          <w:jc w:val="center"/>
        </w:trPr>
        <w:tc>
          <w:tcPr>
            <w:tcW w:w="2501" w:type="pct"/>
            <w:shd w:val="clear" w:color="auto" w:fill="auto"/>
          </w:tcPr>
          <w:p w:rsidR="008B655F" w:rsidRPr="00640B9E" w:rsidRDefault="008B655F" w:rsidP="00363483">
            <w:pPr>
              <w:spacing w:before="40" w:after="40" w:line="240" w:lineRule="auto"/>
              <w:rPr>
                <w:rFonts w:eastAsia="Times New Roman" w:cs="Times New Roman"/>
                <w:b/>
                <w:szCs w:val="24"/>
                <w:lang w:eastAsia="cs-CZ"/>
              </w:rPr>
            </w:pPr>
            <w:r w:rsidRPr="00640B9E">
              <w:rPr>
                <w:rFonts w:eastAsia="Times New Roman" w:cs="Times New Roman"/>
                <w:b/>
                <w:szCs w:val="24"/>
                <w:lang w:eastAsia="cs-CZ"/>
              </w:rPr>
              <w:t>Celkem</w:t>
            </w:r>
          </w:p>
        </w:tc>
        <w:tc>
          <w:tcPr>
            <w:tcW w:w="919" w:type="pct"/>
            <w:shd w:val="clear" w:color="auto" w:fill="auto"/>
            <w:vAlign w:val="center"/>
          </w:tcPr>
          <w:p w:rsidR="008B655F" w:rsidRPr="00640B9E" w:rsidRDefault="008B655F" w:rsidP="00363483">
            <w:pPr>
              <w:spacing w:before="40" w:after="40" w:line="240" w:lineRule="auto"/>
              <w:jc w:val="right"/>
              <w:rPr>
                <w:rFonts w:eastAsia="Times New Roman" w:cs="Times New Roman"/>
                <w:b/>
                <w:szCs w:val="24"/>
                <w:lang w:eastAsia="cs-CZ"/>
              </w:rPr>
            </w:pPr>
            <w:r w:rsidRPr="00640B9E">
              <w:rPr>
                <w:rFonts w:eastAsia="Times New Roman" w:cs="Times New Roman"/>
                <w:b/>
                <w:szCs w:val="24"/>
                <w:lang w:eastAsia="cs-CZ"/>
              </w:rPr>
              <w:t>925 655</w:t>
            </w:r>
          </w:p>
        </w:tc>
        <w:tc>
          <w:tcPr>
            <w:tcW w:w="772" w:type="pct"/>
            <w:shd w:val="clear" w:color="auto" w:fill="auto"/>
            <w:vAlign w:val="center"/>
          </w:tcPr>
          <w:p w:rsidR="008B655F" w:rsidRPr="00640B9E" w:rsidRDefault="008B655F" w:rsidP="00363483">
            <w:pPr>
              <w:spacing w:before="40" w:after="40" w:line="240" w:lineRule="auto"/>
              <w:jc w:val="right"/>
              <w:rPr>
                <w:rFonts w:eastAsia="Times New Roman" w:cs="Times New Roman"/>
                <w:b/>
                <w:szCs w:val="24"/>
                <w:lang w:eastAsia="cs-CZ"/>
              </w:rPr>
            </w:pPr>
            <w:r w:rsidRPr="00640B9E">
              <w:rPr>
                <w:rFonts w:eastAsia="Times New Roman" w:cs="Times New Roman"/>
                <w:b/>
                <w:szCs w:val="24"/>
                <w:lang w:eastAsia="cs-CZ"/>
              </w:rPr>
              <w:t>2 223</w:t>
            </w:r>
          </w:p>
        </w:tc>
        <w:tc>
          <w:tcPr>
            <w:tcW w:w="808" w:type="pct"/>
            <w:shd w:val="clear" w:color="auto" w:fill="auto"/>
            <w:vAlign w:val="center"/>
          </w:tcPr>
          <w:p w:rsidR="008B655F" w:rsidRPr="00640B9E" w:rsidRDefault="008B655F" w:rsidP="00363483">
            <w:pPr>
              <w:spacing w:before="40" w:after="40" w:line="240" w:lineRule="auto"/>
              <w:jc w:val="right"/>
              <w:rPr>
                <w:rFonts w:eastAsia="Times New Roman" w:cs="Times New Roman"/>
                <w:b/>
                <w:szCs w:val="24"/>
                <w:lang w:eastAsia="cs-CZ"/>
              </w:rPr>
            </w:pPr>
            <w:r w:rsidRPr="00640B9E">
              <w:rPr>
                <w:rFonts w:eastAsia="Times New Roman" w:cs="Times New Roman"/>
                <w:b/>
                <w:szCs w:val="24"/>
                <w:lang w:eastAsia="cs-CZ"/>
              </w:rPr>
              <w:t>927 878</w:t>
            </w:r>
          </w:p>
        </w:tc>
      </w:tr>
    </w:tbl>
    <w:p w:rsidR="00D4300A" w:rsidRPr="008B655F" w:rsidRDefault="00D4300A" w:rsidP="00D4300A">
      <w:pPr>
        <w:spacing w:before="360" w:line="240" w:lineRule="auto"/>
        <w:ind w:firstLine="539"/>
        <w:rPr>
          <w:rFonts w:eastAsia="Times New Roman" w:cs="Times New Roman"/>
          <w:b/>
          <w:szCs w:val="24"/>
          <w:lang w:eastAsia="cs-CZ"/>
        </w:rPr>
      </w:pPr>
      <w:r w:rsidRPr="008B655F">
        <w:rPr>
          <w:rFonts w:eastAsia="Times New Roman" w:cs="Times New Roman"/>
          <w:b/>
          <w:szCs w:val="24"/>
          <w:lang w:eastAsia="cs-CZ"/>
        </w:rPr>
        <w:t>KP - CEF – Nástroj pro propojení Evropy 2014+</w:t>
      </w:r>
    </w:p>
    <w:p w:rsidR="00D4300A" w:rsidRPr="0001421C" w:rsidRDefault="00D4300A" w:rsidP="00D4300A">
      <w:pPr>
        <w:spacing w:before="240" w:after="120" w:line="240" w:lineRule="auto"/>
        <w:ind w:firstLine="539"/>
        <w:rPr>
          <w:rFonts w:eastAsia="Times New Roman" w:cs="Times New Roman"/>
          <w:b/>
          <w:color w:val="FF0000"/>
          <w:szCs w:val="24"/>
          <w:lang w:eastAsia="cs-CZ"/>
        </w:rPr>
      </w:pPr>
      <w:r w:rsidRPr="008B655F">
        <w:rPr>
          <w:rFonts w:eastAsia="Times New Roman" w:cs="Times New Roman"/>
          <w:b/>
          <w:szCs w:val="24"/>
          <w:lang w:eastAsia="cs-CZ"/>
        </w:rPr>
        <w:t>a) CEF – SFDI</w:t>
      </w:r>
    </w:p>
    <w:p w:rsidR="008B655F" w:rsidRPr="008016B3" w:rsidRDefault="008B655F" w:rsidP="008B655F">
      <w:pPr>
        <w:pStyle w:val="Styl1"/>
      </w:pPr>
      <w:r w:rsidRPr="008016B3">
        <w:t xml:space="preserve">Jedná se o integrovaný nástroj k financování prioritních transevropských infrastrukturních sítí. Cílem tohoto nástroje je podpořit vybudování infrastruktury, která zlepší fungování vnitřního trhu EU. Podpora EU bude zaměřena na prioritní energetické, dopravní </w:t>
      </w:r>
      <w:r w:rsidRPr="008016B3">
        <w:br/>
        <w:t>a telekomunikační sítě</w:t>
      </w:r>
      <w:r>
        <w:t xml:space="preserve"> a </w:t>
      </w:r>
      <w:r w:rsidRPr="008016B3">
        <w:t>horizontál</w:t>
      </w:r>
      <w:r w:rsidR="00D00A45">
        <w:t xml:space="preserve">ní priority. Součástí CEF jsou </w:t>
      </w:r>
      <w:r w:rsidRPr="008016B3">
        <w:t xml:space="preserve">i prostředky Fondu soudržnosti (kohezní CEF), které jsou určeny na budování transevropské páteřní dopravní infrastruktury v kohezních státech. </w:t>
      </w:r>
    </w:p>
    <w:p w:rsidR="008B655F" w:rsidRPr="008016B3" w:rsidRDefault="008B655F" w:rsidP="008B655F">
      <w:pPr>
        <w:pStyle w:val="Styl1"/>
      </w:pPr>
      <w:r w:rsidRPr="008016B3">
        <w:t xml:space="preserve">Ve výzvách vyhlášených v prvních třech letech implementace (2014-2016) se podařilo českým subjektům zcela smluvně zavázat tzv. národní obálku v kohezním CEF ve výši </w:t>
      </w:r>
      <w:r w:rsidR="00D00A45">
        <w:br/>
      </w:r>
      <w:r w:rsidRPr="008016B3">
        <w:t xml:space="preserve">1,117 mld. EUR. Celkem prošlo procesem hodnocení úspěšně 48 projektů v kohezním CEF </w:t>
      </w:r>
      <w:r w:rsidR="00D00A45">
        <w:br/>
      </w:r>
      <w:r w:rsidRPr="008016B3">
        <w:t xml:space="preserve">a 8 projektů v obecném CEF. </w:t>
      </w:r>
    </w:p>
    <w:p w:rsidR="00D4300A" w:rsidRPr="00D00A45" w:rsidRDefault="008B655F" w:rsidP="00D00A45">
      <w:pPr>
        <w:pStyle w:val="Styl1"/>
      </w:pPr>
      <w:r w:rsidRPr="008016B3">
        <w:t xml:space="preserve">V roce 2017 byla vyhlášena tzv. </w:t>
      </w:r>
      <w:proofErr w:type="spellStart"/>
      <w:r w:rsidRPr="008016B3">
        <w:t>blendingová</w:t>
      </w:r>
      <w:proofErr w:type="spellEnd"/>
      <w:r w:rsidRPr="008016B3">
        <w:t xml:space="preserve"> výzva CEF. V rámci ní bylo možné žádat </w:t>
      </w:r>
      <w:r>
        <w:br/>
      </w:r>
      <w:r w:rsidRPr="008016B3">
        <w:t xml:space="preserve">o podporu v kombinaci poskytnutého grantu CEF a úvěru od soukromé nebo veřejné bankovní instituce. V prvním kole výzvy uspěl projekt SŽDC s názvem Odstranění úzkých míst </w:t>
      </w:r>
      <w:r w:rsidR="00D00A45">
        <w:br/>
      </w:r>
      <w:r w:rsidRPr="008016B3">
        <w:lastRenderedPageBreak/>
        <w:t xml:space="preserve">na vybraných předdefinovaných úsecích železničních koridorů hlavní sítě TEN-T v České republice. Ve druhém kole výzvy byla v dubnu 2018 předložena druhá žádost SŽDC </w:t>
      </w:r>
      <w:r>
        <w:br/>
      </w:r>
      <w:r w:rsidRPr="008016B3">
        <w:t xml:space="preserve">s projektem Modernizace trati Čelákovice – </w:t>
      </w:r>
      <w:proofErr w:type="spellStart"/>
      <w:r w:rsidRPr="008016B3">
        <w:t>Mstětice</w:t>
      </w:r>
      <w:proofErr w:type="spellEnd"/>
      <w:r w:rsidRPr="008016B3">
        <w:t xml:space="preserve">. Projekty připravované ministerstvem dopravy, nebo jeho investorskými společnostmi jsou předfinancovány prostředky SFDI, který kryje vlastními prostředky rovněž národní část spolufinancování a nezpůsobilé výdaje. </w:t>
      </w:r>
    </w:p>
    <w:p w:rsidR="00D4300A" w:rsidRDefault="00D4300A" w:rsidP="00D4300A">
      <w:pPr>
        <w:pStyle w:val="Titulek"/>
        <w:keepNext/>
        <w:rPr>
          <w:noProof/>
        </w:rPr>
      </w:pPr>
      <w:r w:rsidRPr="00363483">
        <w:t xml:space="preserve">Tabulka č. </w:t>
      </w:r>
      <w:r w:rsidR="0001421C" w:rsidRPr="00363483">
        <w:rPr>
          <w:noProof/>
        </w:rPr>
        <w:fldChar w:fldCharType="begin"/>
      </w:r>
      <w:r w:rsidR="0001421C" w:rsidRPr="00363483">
        <w:rPr>
          <w:noProof/>
        </w:rPr>
        <w:instrText xml:space="preserve"> SEQ Tabulka \* ARABIC </w:instrText>
      </w:r>
      <w:r w:rsidR="0001421C" w:rsidRPr="00363483">
        <w:rPr>
          <w:noProof/>
        </w:rPr>
        <w:fldChar w:fldCharType="separate"/>
      </w:r>
      <w:r w:rsidR="00AF5225">
        <w:rPr>
          <w:noProof/>
        </w:rPr>
        <w:t>47</w:t>
      </w:r>
      <w:r w:rsidR="0001421C" w:rsidRPr="00363483">
        <w:rPr>
          <w:noProof/>
        </w:rPr>
        <w:fldChar w:fldCharType="end"/>
      </w:r>
      <w:r w:rsidRPr="00363483">
        <w:rPr>
          <w:noProof/>
        </w:rPr>
        <w:t xml:space="preserve"> Komunitární program CEF – SFDI (v tis. Kč)</w:t>
      </w:r>
    </w:p>
    <w:tbl>
      <w:tblPr>
        <w:tblW w:w="4976"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705"/>
        <w:gridCol w:w="1434"/>
        <w:gridCol w:w="1434"/>
        <w:gridCol w:w="1436"/>
      </w:tblGrid>
      <w:tr w:rsidR="00363483" w:rsidRPr="00E865D0" w:rsidTr="00363483">
        <w:trPr>
          <w:jc w:val="center"/>
        </w:trPr>
        <w:tc>
          <w:tcPr>
            <w:tcW w:w="261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E865D0" w:rsidRDefault="00363483" w:rsidP="00363483">
            <w:pPr>
              <w:spacing w:before="40" w:after="40" w:line="240" w:lineRule="auto"/>
              <w:rPr>
                <w:rFonts w:eastAsia="Times New Roman" w:cs="Times New Roman"/>
                <w:b/>
                <w:lang w:eastAsia="cs-CZ"/>
              </w:rPr>
            </w:pPr>
            <w:r w:rsidRPr="00E865D0">
              <w:rPr>
                <w:rFonts w:eastAsia="Times New Roman" w:cs="Times New Roman"/>
                <w:b/>
                <w:lang w:eastAsia="cs-CZ"/>
              </w:rPr>
              <w:t>Název programu (projektu)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E865D0" w:rsidRDefault="00363483" w:rsidP="00363483">
            <w:pPr>
              <w:spacing w:before="40" w:after="40" w:line="240" w:lineRule="auto"/>
              <w:jc w:val="center"/>
              <w:rPr>
                <w:rFonts w:eastAsia="Times New Roman" w:cs="Times New Roman"/>
                <w:b/>
                <w:lang w:eastAsia="cs-CZ"/>
              </w:rPr>
            </w:pPr>
            <w:r w:rsidRPr="00E865D0">
              <w:rPr>
                <w:rFonts w:eastAsia="Times New Roman" w:cs="Times New Roman"/>
                <w:b/>
                <w:lang w:eastAsia="cs-CZ"/>
              </w:rPr>
              <w:t>EU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E865D0" w:rsidRDefault="00363483" w:rsidP="00363483">
            <w:pPr>
              <w:spacing w:before="40" w:after="40" w:line="240" w:lineRule="auto"/>
              <w:jc w:val="center"/>
              <w:rPr>
                <w:rFonts w:eastAsia="Times New Roman" w:cs="Times New Roman"/>
                <w:b/>
                <w:lang w:eastAsia="cs-CZ"/>
              </w:rPr>
            </w:pPr>
            <w:r w:rsidRPr="00E865D0">
              <w:rPr>
                <w:rFonts w:eastAsia="Times New Roman" w:cs="Times New Roman"/>
                <w:b/>
                <w:lang w:eastAsia="cs-CZ"/>
              </w:rPr>
              <w:t>SR</w:t>
            </w:r>
          </w:p>
        </w:tc>
        <w:tc>
          <w:tcPr>
            <w:tcW w:w="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E865D0" w:rsidRDefault="00363483" w:rsidP="00363483">
            <w:pPr>
              <w:spacing w:before="40" w:after="40" w:line="240" w:lineRule="auto"/>
              <w:jc w:val="center"/>
              <w:rPr>
                <w:rFonts w:eastAsia="Times New Roman" w:cs="Times New Roman"/>
                <w:b/>
                <w:lang w:eastAsia="cs-CZ"/>
              </w:rPr>
            </w:pPr>
            <w:r w:rsidRPr="00E865D0">
              <w:rPr>
                <w:rFonts w:eastAsia="Times New Roman" w:cs="Times New Roman"/>
                <w:b/>
                <w:lang w:eastAsia="cs-CZ"/>
              </w:rPr>
              <w:t>Celkem</w:t>
            </w:r>
          </w:p>
        </w:tc>
      </w:tr>
      <w:tr w:rsidR="00363483" w:rsidRPr="00E865D0" w:rsidTr="00363483">
        <w:trPr>
          <w:jc w:val="center"/>
        </w:trPr>
        <w:tc>
          <w:tcPr>
            <w:tcW w:w="2611" w:type="pct"/>
            <w:tcBorders>
              <w:top w:val="single" w:sz="4" w:space="0" w:color="7F7F7F" w:themeColor="text1" w:themeTint="80"/>
            </w:tcBorders>
            <w:shd w:val="clear" w:color="auto" w:fill="auto"/>
          </w:tcPr>
          <w:p w:rsidR="00363483" w:rsidRPr="00E865D0" w:rsidRDefault="00363483" w:rsidP="00363483">
            <w:pPr>
              <w:spacing w:before="40" w:after="40" w:line="240" w:lineRule="auto"/>
              <w:rPr>
                <w:rFonts w:eastAsia="Times New Roman" w:cs="Times New Roman"/>
                <w:b/>
                <w:lang w:eastAsia="cs-CZ"/>
              </w:rPr>
            </w:pPr>
            <w:r w:rsidRPr="00E865D0">
              <w:rPr>
                <w:rFonts w:eastAsia="Times New Roman" w:cs="Times New Roman"/>
                <w:b/>
                <w:lang w:eastAsia="cs-CZ"/>
              </w:rPr>
              <w:t xml:space="preserve">CEF kohezní (SFDI) </w:t>
            </w:r>
            <w:r w:rsidRPr="00E865D0">
              <w:rPr>
                <w:rFonts w:eastAsia="Times New Roman" w:cs="Times New Roman"/>
                <w:lang w:eastAsia="cs-CZ"/>
              </w:rPr>
              <w:t>– program 127 77</w:t>
            </w:r>
          </w:p>
        </w:tc>
        <w:tc>
          <w:tcPr>
            <w:tcW w:w="796" w:type="pct"/>
            <w:tcBorders>
              <w:top w:val="single" w:sz="4" w:space="0" w:color="7F7F7F" w:themeColor="text1" w:themeTint="80"/>
            </w:tcBorders>
            <w:shd w:val="clear" w:color="auto" w:fill="auto"/>
            <w:vAlign w:val="center"/>
          </w:tcPr>
          <w:p w:rsidR="00363483" w:rsidRPr="00E865D0" w:rsidRDefault="00363483" w:rsidP="00363483">
            <w:pPr>
              <w:spacing w:before="40" w:after="40" w:line="240" w:lineRule="auto"/>
              <w:jc w:val="right"/>
              <w:rPr>
                <w:rFonts w:eastAsia="Times New Roman" w:cs="Times New Roman"/>
                <w:b/>
                <w:lang w:eastAsia="cs-CZ"/>
              </w:rPr>
            </w:pPr>
            <w:r>
              <w:rPr>
                <w:rFonts w:eastAsia="Times New Roman" w:cs="Times New Roman"/>
                <w:b/>
                <w:lang w:eastAsia="cs-CZ"/>
              </w:rPr>
              <w:t>832 995</w:t>
            </w:r>
          </w:p>
        </w:tc>
        <w:tc>
          <w:tcPr>
            <w:tcW w:w="796" w:type="pct"/>
            <w:tcBorders>
              <w:top w:val="single" w:sz="4" w:space="0" w:color="7F7F7F" w:themeColor="text1" w:themeTint="80"/>
            </w:tcBorders>
            <w:shd w:val="clear" w:color="auto" w:fill="auto"/>
            <w:vAlign w:val="center"/>
          </w:tcPr>
          <w:p w:rsidR="00363483" w:rsidRPr="00E865D0" w:rsidRDefault="00363483" w:rsidP="00363483">
            <w:pPr>
              <w:spacing w:before="40" w:after="40" w:line="240" w:lineRule="auto"/>
              <w:ind w:firstLine="539"/>
              <w:jc w:val="right"/>
              <w:rPr>
                <w:rFonts w:eastAsia="Times New Roman" w:cs="Times New Roman"/>
                <w:b/>
                <w:lang w:eastAsia="cs-CZ"/>
              </w:rPr>
            </w:pPr>
            <w:r w:rsidRPr="00E865D0">
              <w:rPr>
                <w:rFonts w:eastAsia="Times New Roman" w:cs="Times New Roman"/>
                <w:b/>
                <w:lang w:eastAsia="cs-CZ"/>
              </w:rPr>
              <w:t>0</w:t>
            </w:r>
          </w:p>
        </w:tc>
        <w:tc>
          <w:tcPr>
            <w:tcW w:w="797" w:type="pct"/>
            <w:tcBorders>
              <w:top w:val="single" w:sz="4" w:space="0" w:color="7F7F7F" w:themeColor="text1" w:themeTint="80"/>
            </w:tcBorders>
            <w:shd w:val="clear" w:color="auto" w:fill="auto"/>
            <w:vAlign w:val="center"/>
          </w:tcPr>
          <w:p w:rsidR="00363483" w:rsidRPr="00E865D0" w:rsidRDefault="00363483" w:rsidP="00363483">
            <w:pPr>
              <w:spacing w:before="40" w:after="40" w:line="240" w:lineRule="auto"/>
              <w:jc w:val="right"/>
              <w:rPr>
                <w:rFonts w:eastAsia="Times New Roman" w:cs="Times New Roman"/>
                <w:b/>
                <w:lang w:eastAsia="cs-CZ"/>
              </w:rPr>
            </w:pPr>
            <w:r>
              <w:rPr>
                <w:rFonts w:eastAsia="Times New Roman" w:cs="Times New Roman"/>
                <w:b/>
                <w:lang w:eastAsia="cs-CZ"/>
              </w:rPr>
              <w:t>832 995</w:t>
            </w:r>
          </w:p>
        </w:tc>
      </w:tr>
    </w:tbl>
    <w:p w:rsidR="00D4300A" w:rsidRPr="00363483" w:rsidRDefault="00D4300A" w:rsidP="00D4300A">
      <w:pPr>
        <w:spacing w:before="240" w:after="120" w:line="240" w:lineRule="auto"/>
        <w:ind w:firstLine="539"/>
        <w:rPr>
          <w:rFonts w:eastAsia="Times New Roman" w:cs="Times New Roman"/>
          <w:b/>
          <w:szCs w:val="24"/>
          <w:lang w:eastAsia="cs-CZ"/>
        </w:rPr>
      </w:pPr>
      <w:r w:rsidRPr="00363483">
        <w:rPr>
          <w:rFonts w:eastAsia="Times New Roman" w:cs="Times New Roman"/>
          <w:b/>
          <w:szCs w:val="24"/>
          <w:lang w:eastAsia="cs-CZ"/>
        </w:rPr>
        <w:t>b) CEF TP</w:t>
      </w:r>
    </w:p>
    <w:p w:rsidR="00363483" w:rsidRPr="000C0768" w:rsidRDefault="00363483" w:rsidP="00363483">
      <w:pPr>
        <w:pStyle w:val="Styl1"/>
      </w:pPr>
      <w:r w:rsidRPr="000C0768">
        <w:t xml:space="preserve">Cílem projektu Technické pomoci CEF je podpořit schopnost České republiky v přípravě a následné implementaci infrastrukturních projektů na území ČR, které jsou součástí TEN-T </w:t>
      </w:r>
      <w:r w:rsidRPr="000C0768">
        <w:br/>
        <w:t>a jsou v takovém stadiu přípravy, aby bylo prokazatelné, že jejich realizace bude pro Unii představovat přidanou hodnotu.</w:t>
      </w:r>
    </w:p>
    <w:p w:rsidR="00363483" w:rsidRDefault="00363483" w:rsidP="00363483">
      <w:pPr>
        <w:pStyle w:val="Styl1"/>
      </w:pPr>
      <w:r w:rsidRPr="000C0768">
        <w:t xml:space="preserve">Uvedený cíl bude naplněn prostřednictvím podpory subjektů (MDČR, SFDI, ŘVC, ŘSD), které jsou zapojeny do přípravy a následné realizace uvedených projektů. Cílem projektu je zlepšení administrativní kapacity těchto subjektů, a tím zvýšení kvality a efektivnosti přípravy a implementace projektů financovatelných z CEF. </w:t>
      </w:r>
    </w:p>
    <w:p w:rsidR="00363483" w:rsidRPr="000C0768" w:rsidRDefault="00363483" w:rsidP="00363483">
      <w:pPr>
        <w:pStyle w:val="Styl1"/>
      </w:pPr>
      <w:r w:rsidRPr="000C0768">
        <w:t>Konkrétně budou v rámci projektu CEF TP realizovány následující aktivity:</w:t>
      </w:r>
    </w:p>
    <w:p w:rsidR="00363483" w:rsidRPr="000C0768" w:rsidRDefault="00363483" w:rsidP="00D71937">
      <w:pPr>
        <w:pStyle w:val="Styl1"/>
        <w:numPr>
          <w:ilvl w:val="0"/>
          <w:numId w:val="52"/>
        </w:numPr>
        <w:ind w:left="851" w:hanging="284"/>
      </w:pPr>
      <w:r w:rsidRPr="000C0768">
        <w:t>Zkvalitnění stávající institucionální a administrativní kapacity jednotlivých subjektů zapojených do realizace projektů TEN-T prostřednictvím odborného vzdělávání, výměny zkušeností a metodické podpory;</w:t>
      </w:r>
    </w:p>
    <w:p w:rsidR="00363483" w:rsidRPr="000C0768" w:rsidRDefault="00363483" w:rsidP="00D71937">
      <w:pPr>
        <w:pStyle w:val="Styl1"/>
        <w:numPr>
          <w:ilvl w:val="0"/>
          <w:numId w:val="52"/>
        </w:numPr>
        <w:ind w:left="851" w:hanging="284"/>
      </w:pPr>
      <w:r w:rsidRPr="000C0768">
        <w:t>Podpora zapojených institucí prostřednictvím navýšení počtu administrativních kapacit zapojených do realizace TEN-T prostřednictvím nástroje CEF a zajištění jejich osobního odměňování;</w:t>
      </w:r>
    </w:p>
    <w:p w:rsidR="00363483" w:rsidRPr="000C0768" w:rsidRDefault="00363483" w:rsidP="00D71937">
      <w:pPr>
        <w:pStyle w:val="Styl1"/>
        <w:numPr>
          <w:ilvl w:val="0"/>
          <w:numId w:val="52"/>
        </w:numPr>
        <w:ind w:left="851" w:hanging="284"/>
      </w:pPr>
      <w:r w:rsidRPr="000C0768">
        <w:t>Podpora zapojených institucí prostřednictvím využití podpory implementace skrze kapacitu externích expertních dodavatelů služeb, zejména pro specifické oblasti, jejich zajištění bude účelnější/efektivnější/hospodárnější.  Bude se jednat o expertní služby v oblasti poradenství souvisejícího s realizací akce, které budou realizované v případě potřeby expertních stanovisek v oblasti legislativy a metodiky související s přípravou projektových žádostí CEF;</w:t>
      </w:r>
    </w:p>
    <w:p w:rsidR="00363483" w:rsidRPr="000C0768" w:rsidRDefault="00363483" w:rsidP="00D71937">
      <w:pPr>
        <w:pStyle w:val="Styl1"/>
        <w:numPr>
          <w:ilvl w:val="0"/>
          <w:numId w:val="52"/>
        </w:numPr>
        <w:ind w:left="851" w:hanging="284"/>
      </w:pPr>
      <w:r w:rsidRPr="000C0768">
        <w:t>Náklady spojené s jednáními k CEF v ČR a v zahraničí.</w:t>
      </w:r>
    </w:p>
    <w:p w:rsidR="00D4300A" w:rsidRDefault="00363483" w:rsidP="00D00A45">
      <w:pPr>
        <w:pStyle w:val="Styl1"/>
      </w:pPr>
      <w:r w:rsidRPr="00853E9C">
        <w:t xml:space="preserve">Projekt </w:t>
      </w:r>
      <w:r>
        <w:t>TP CEF</w:t>
      </w:r>
      <w:r w:rsidRPr="00853E9C">
        <w:t xml:space="preserve"> je financován v rámci finanční</w:t>
      </w:r>
      <w:r>
        <w:t>ho nástroje CEF 2014+ a bude ukončen k 31. 12. 2021.</w:t>
      </w:r>
    </w:p>
    <w:p w:rsidR="00D00A45" w:rsidRDefault="00D00A45" w:rsidP="00D00A45">
      <w:pPr>
        <w:pStyle w:val="Styl1"/>
      </w:pPr>
    </w:p>
    <w:p w:rsidR="00D00A45" w:rsidRDefault="00D00A45" w:rsidP="00D00A45">
      <w:pPr>
        <w:pStyle w:val="Styl1"/>
      </w:pPr>
    </w:p>
    <w:p w:rsidR="00D00A45" w:rsidRPr="00D00A45" w:rsidRDefault="00D00A45" w:rsidP="00D00A45">
      <w:pPr>
        <w:pStyle w:val="Styl1"/>
      </w:pPr>
    </w:p>
    <w:p w:rsidR="00D4300A" w:rsidRPr="00363483" w:rsidRDefault="00D4300A" w:rsidP="00D4300A">
      <w:pPr>
        <w:pStyle w:val="Titulek"/>
        <w:keepNext/>
      </w:pPr>
      <w:r w:rsidRPr="00363483">
        <w:lastRenderedPageBreak/>
        <w:t xml:space="preserve">Tabulka č. </w:t>
      </w:r>
      <w:r w:rsidR="0001421C" w:rsidRPr="00363483">
        <w:rPr>
          <w:noProof/>
        </w:rPr>
        <w:fldChar w:fldCharType="begin"/>
      </w:r>
      <w:r w:rsidR="0001421C" w:rsidRPr="00363483">
        <w:rPr>
          <w:noProof/>
        </w:rPr>
        <w:instrText xml:space="preserve"> SEQ Tabulka \* ARABIC </w:instrText>
      </w:r>
      <w:r w:rsidR="0001421C" w:rsidRPr="00363483">
        <w:rPr>
          <w:noProof/>
        </w:rPr>
        <w:fldChar w:fldCharType="separate"/>
      </w:r>
      <w:r w:rsidR="00AF5225">
        <w:rPr>
          <w:noProof/>
        </w:rPr>
        <w:t>48</w:t>
      </w:r>
      <w:r w:rsidR="0001421C" w:rsidRPr="00363483">
        <w:rPr>
          <w:noProof/>
        </w:rPr>
        <w:fldChar w:fldCharType="end"/>
      </w:r>
      <w:r w:rsidRPr="00363483">
        <w:rPr>
          <w:noProof/>
        </w:rPr>
        <w:t xml:space="preserve"> Komunitární program CEF – Technická pomoc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363483" w:rsidRPr="00395995" w:rsidTr="00D00A45">
        <w:trPr>
          <w:trHeight w:val="282"/>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395995" w:rsidRDefault="00363483" w:rsidP="00363483">
            <w:pPr>
              <w:spacing w:before="40" w:after="40" w:line="240" w:lineRule="auto"/>
              <w:rPr>
                <w:rFonts w:eastAsia="Times New Roman" w:cs="Times New Roman"/>
                <w:b/>
                <w:lang w:eastAsia="cs-CZ"/>
              </w:rPr>
            </w:pPr>
            <w:r w:rsidRPr="00395995">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395995" w:rsidRDefault="00363483" w:rsidP="00363483">
            <w:pPr>
              <w:spacing w:before="40" w:after="40" w:line="240" w:lineRule="auto"/>
              <w:ind w:firstLine="539"/>
              <w:rPr>
                <w:rFonts w:eastAsia="Times New Roman" w:cs="Times New Roman"/>
                <w:b/>
                <w:lang w:eastAsia="cs-CZ"/>
              </w:rPr>
            </w:pPr>
            <w:r w:rsidRPr="00395995">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395995" w:rsidRDefault="00363483" w:rsidP="00363483">
            <w:pPr>
              <w:spacing w:before="40" w:after="40" w:line="240" w:lineRule="auto"/>
              <w:ind w:firstLine="539"/>
              <w:rPr>
                <w:rFonts w:eastAsia="Times New Roman" w:cs="Times New Roman"/>
                <w:b/>
                <w:lang w:eastAsia="cs-CZ"/>
              </w:rPr>
            </w:pPr>
            <w:r w:rsidRPr="00395995">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395995" w:rsidRDefault="00363483" w:rsidP="00363483">
            <w:pPr>
              <w:spacing w:before="40" w:after="40" w:line="240" w:lineRule="auto"/>
              <w:jc w:val="center"/>
              <w:rPr>
                <w:rFonts w:eastAsia="Times New Roman" w:cs="Times New Roman"/>
                <w:b/>
                <w:lang w:eastAsia="cs-CZ"/>
              </w:rPr>
            </w:pPr>
            <w:r w:rsidRPr="00395995">
              <w:rPr>
                <w:rFonts w:eastAsia="Times New Roman" w:cs="Times New Roman"/>
                <w:b/>
                <w:lang w:eastAsia="cs-CZ"/>
              </w:rPr>
              <w:t>Celkem</w:t>
            </w:r>
          </w:p>
        </w:tc>
      </w:tr>
      <w:tr w:rsidR="00363483" w:rsidRPr="00395995" w:rsidTr="00363483">
        <w:trPr>
          <w:jc w:val="center"/>
        </w:trPr>
        <w:tc>
          <w:tcPr>
            <w:tcW w:w="2600" w:type="pct"/>
            <w:tcBorders>
              <w:top w:val="single" w:sz="4" w:space="0" w:color="7F7F7F" w:themeColor="text1" w:themeTint="80"/>
            </w:tcBorders>
            <w:shd w:val="clear" w:color="auto" w:fill="auto"/>
          </w:tcPr>
          <w:p w:rsidR="00363483" w:rsidRPr="00395995" w:rsidRDefault="00363483" w:rsidP="00363483">
            <w:pPr>
              <w:spacing w:before="40" w:after="40" w:line="240" w:lineRule="auto"/>
              <w:rPr>
                <w:rFonts w:eastAsia="Times New Roman" w:cs="Times New Roman"/>
                <w:lang w:eastAsia="cs-CZ"/>
              </w:rPr>
            </w:pPr>
            <w:r w:rsidRPr="00395995">
              <w:rPr>
                <w:rFonts w:eastAsia="Times New Roman" w:cs="Times New Roman"/>
                <w:lang w:eastAsia="cs-CZ"/>
              </w:rPr>
              <w:t>CEF TP (SFDI)</w:t>
            </w:r>
          </w:p>
        </w:tc>
        <w:tc>
          <w:tcPr>
            <w:tcW w:w="800" w:type="pct"/>
            <w:tcBorders>
              <w:top w:val="single" w:sz="4" w:space="0" w:color="7F7F7F" w:themeColor="text1" w:themeTint="80"/>
            </w:tcBorders>
            <w:shd w:val="clear" w:color="auto" w:fill="auto"/>
            <w:vAlign w:val="center"/>
          </w:tcPr>
          <w:p w:rsidR="00363483" w:rsidRPr="00395995" w:rsidRDefault="00363483" w:rsidP="00363483">
            <w:pPr>
              <w:spacing w:before="60" w:after="60" w:line="240" w:lineRule="auto"/>
              <w:ind w:firstLine="539"/>
              <w:jc w:val="right"/>
              <w:rPr>
                <w:rFonts w:eastAsia="Times New Roman" w:cs="Times New Roman"/>
                <w:lang w:eastAsia="cs-CZ"/>
              </w:rPr>
            </w:pPr>
            <w:r w:rsidRPr="00395995">
              <w:rPr>
                <w:rFonts w:eastAsia="Times New Roman" w:cs="Times New Roman"/>
                <w:lang w:eastAsia="cs-CZ"/>
              </w:rPr>
              <w:t>647</w:t>
            </w:r>
          </w:p>
        </w:tc>
        <w:tc>
          <w:tcPr>
            <w:tcW w:w="800" w:type="pct"/>
            <w:tcBorders>
              <w:top w:val="single" w:sz="4" w:space="0" w:color="7F7F7F" w:themeColor="text1" w:themeTint="80"/>
            </w:tcBorders>
            <w:shd w:val="clear" w:color="auto" w:fill="auto"/>
            <w:vAlign w:val="center"/>
          </w:tcPr>
          <w:p w:rsidR="00363483" w:rsidRPr="00395995" w:rsidRDefault="00363483" w:rsidP="00363483">
            <w:pPr>
              <w:spacing w:before="60" w:after="60" w:line="240" w:lineRule="auto"/>
              <w:ind w:firstLine="539"/>
              <w:jc w:val="right"/>
              <w:rPr>
                <w:rFonts w:eastAsia="Times New Roman" w:cs="Times New Roman"/>
                <w:lang w:eastAsia="cs-CZ"/>
              </w:rPr>
            </w:pPr>
            <w:r w:rsidRPr="00395995">
              <w:rPr>
                <w:rFonts w:eastAsia="Times New Roman" w:cs="Times New Roman"/>
                <w:lang w:eastAsia="cs-CZ"/>
              </w:rPr>
              <w:t>0</w:t>
            </w:r>
          </w:p>
        </w:tc>
        <w:tc>
          <w:tcPr>
            <w:tcW w:w="800" w:type="pct"/>
            <w:tcBorders>
              <w:top w:val="single" w:sz="4" w:space="0" w:color="7F7F7F" w:themeColor="text1" w:themeTint="80"/>
            </w:tcBorders>
            <w:shd w:val="clear" w:color="auto" w:fill="auto"/>
            <w:vAlign w:val="center"/>
          </w:tcPr>
          <w:p w:rsidR="00363483" w:rsidRPr="00395995" w:rsidRDefault="00363483" w:rsidP="00363483">
            <w:pPr>
              <w:spacing w:before="60" w:after="60" w:line="240" w:lineRule="auto"/>
              <w:jc w:val="right"/>
              <w:rPr>
                <w:rFonts w:eastAsia="Times New Roman" w:cs="Times New Roman"/>
                <w:b/>
                <w:lang w:eastAsia="cs-CZ"/>
              </w:rPr>
            </w:pPr>
            <w:r w:rsidRPr="00395995">
              <w:rPr>
                <w:rFonts w:eastAsia="Times New Roman" w:cs="Times New Roman"/>
                <w:b/>
                <w:lang w:eastAsia="cs-CZ"/>
              </w:rPr>
              <w:t>647</w:t>
            </w:r>
          </w:p>
        </w:tc>
      </w:tr>
      <w:tr w:rsidR="00363483" w:rsidRPr="0001421C" w:rsidTr="00363483">
        <w:trPr>
          <w:jc w:val="center"/>
        </w:trPr>
        <w:tc>
          <w:tcPr>
            <w:tcW w:w="2600" w:type="pct"/>
            <w:shd w:val="clear" w:color="auto" w:fill="auto"/>
          </w:tcPr>
          <w:p w:rsidR="00363483" w:rsidRPr="00395995" w:rsidRDefault="00363483" w:rsidP="00363483">
            <w:pPr>
              <w:spacing w:before="40" w:after="40" w:line="240" w:lineRule="auto"/>
              <w:rPr>
                <w:rFonts w:eastAsia="Times New Roman" w:cs="Times New Roman"/>
                <w:lang w:eastAsia="cs-CZ"/>
              </w:rPr>
            </w:pPr>
            <w:r w:rsidRPr="00395995">
              <w:rPr>
                <w:rFonts w:eastAsia="Times New Roman" w:cs="Times New Roman"/>
                <w:lang w:eastAsia="cs-CZ"/>
              </w:rPr>
              <w:t>CEF TP (ÚO MD)</w:t>
            </w:r>
          </w:p>
        </w:tc>
        <w:tc>
          <w:tcPr>
            <w:tcW w:w="800" w:type="pct"/>
            <w:shd w:val="clear" w:color="auto" w:fill="auto"/>
            <w:vAlign w:val="center"/>
          </w:tcPr>
          <w:p w:rsidR="00363483" w:rsidRPr="00395995" w:rsidRDefault="00363483" w:rsidP="00363483">
            <w:pPr>
              <w:spacing w:before="60" w:after="60" w:line="240" w:lineRule="auto"/>
              <w:ind w:firstLine="539"/>
              <w:jc w:val="right"/>
              <w:rPr>
                <w:rFonts w:eastAsia="Times New Roman" w:cs="Times New Roman"/>
                <w:lang w:eastAsia="cs-CZ"/>
              </w:rPr>
            </w:pPr>
            <w:r w:rsidRPr="00395995">
              <w:rPr>
                <w:rFonts w:eastAsia="Times New Roman" w:cs="Times New Roman"/>
                <w:lang w:eastAsia="cs-CZ"/>
              </w:rPr>
              <w:t>5 508</w:t>
            </w:r>
          </w:p>
        </w:tc>
        <w:tc>
          <w:tcPr>
            <w:tcW w:w="800" w:type="pct"/>
            <w:shd w:val="clear" w:color="auto" w:fill="auto"/>
            <w:vAlign w:val="center"/>
          </w:tcPr>
          <w:p w:rsidR="00363483" w:rsidRPr="00395995" w:rsidRDefault="00363483" w:rsidP="00363483">
            <w:pPr>
              <w:spacing w:before="60" w:after="60" w:line="240" w:lineRule="auto"/>
              <w:ind w:firstLine="539"/>
              <w:jc w:val="right"/>
              <w:rPr>
                <w:rFonts w:eastAsia="Times New Roman" w:cs="Times New Roman"/>
                <w:lang w:eastAsia="cs-CZ"/>
              </w:rPr>
            </w:pPr>
            <w:r w:rsidRPr="00395995">
              <w:rPr>
                <w:rFonts w:eastAsia="Times New Roman" w:cs="Times New Roman"/>
                <w:lang w:eastAsia="cs-CZ"/>
              </w:rPr>
              <w:t>581</w:t>
            </w:r>
          </w:p>
        </w:tc>
        <w:tc>
          <w:tcPr>
            <w:tcW w:w="800" w:type="pct"/>
            <w:shd w:val="clear" w:color="auto" w:fill="auto"/>
            <w:vAlign w:val="center"/>
          </w:tcPr>
          <w:p w:rsidR="00363483" w:rsidRPr="00395995" w:rsidRDefault="00363483" w:rsidP="00363483">
            <w:pPr>
              <w:spacing w:before="60" w:after="60" w:line="240" w:lineRule="auto"/>
              <w:jc w:val="right"/>
              <w:rPr>
                <w:rFonts w:eastAsia="Times New Roman" w:cs="Times New Roman"/>
                <w:b/>
                <w:lang w:eastAsia="cs-CZ"/>
              </w:rPr>
            </w:pPr>
            <w:r w:rsidRPr="00395995">
              <w:rPr>
                <w:rFonts w:eastAsia="Times New Roman" w:cs="Times New Roman"/>
                <w:b/>
                <w:lang w:eastAsia="cs-CZ"/>
              </w:rPr>
              <w:t>6 089</w:t>
            </w:r>
          </w:p>
        </w:tc>
      </w:tr>
      <w:tr w:rsidR="00363483" w:rsidRPr="0001421C" w:rsidTr="00363483">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363483" w:rsidRPr="00395995" w:rsidRDefault="00363483" w:rsidP="00363483">
            <w:pPr>
              <w:spacing w:before="40" w:after="40" w:line="240" w:lineRule="auto"/>
              <w:rPr>
                <w:rFonts w:eastAsia="Times New Roman" w:cs="Times New Roman"/>
                <w:b/>
                <w:lang w:eastAsia="cs-CZ"/>
              </w:rPr>
            </w:pPr>
            <w:r w:rsidRPr="00395995">
              <w:rPr>
                <w:rFonts w:eastAsia="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63483" w:rsidRPr="00395995" w:rsidRDefault="00363483" w:rsidP="00363483">
            <w:pPr>
              <w:spacing w:before="40" w:after="40" w:line="240" w:lineRule="auto"/>
              <w:jc w:val="right"/>
              <w:rPr>
                <w:rFonts w:eastAsia="Times New Roman" w:cs="Times New Roman"/>
                <w:b/>
                <w:lang w:eastAsia="cs-CZ"/>
              </w:rPr>
            </w:pPr>
            <w:r w:rsidRPr="00395995">
              <w:rPr>
                <w:rFonts w:eastAsia="Times New Roman" w:cs="Times New Roman"/>
                <w:b/>
                <w:lang w:eastAsia="cs-CZ"/>
              </w:rPr>
              <w:t>6 155</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63483" w:rsidRPr="00395995" w:rsidRDefault="00363483" w:rsidP="00363483">
            <w:pPr>
              <w:spacing w:before="40" w:after="40" w:line="240" w:lineRule="auto"/>
              <w:ind w:firstLine="539"/>
              <w:jc w:val="right"/>
              <w:rPr>
                <w:rFonts w:eastAsia="Times New Roman" w:cs="Times New Roman"/>
                <w:b/>
                <w:lang w:eastAsia="cs-CZ"/>
              </w:rPr>
            </w:pPr>
            <w:r w:rsidRPr="00395995">
              <w:rPr>
                <w:rFonts w:eastAsia="Times New Roman" w:cs="Times New Roman"/>
                <w:b/>
                <w:lang w:eastAsia="cs-CZ"/>
              </w:rPr>
              <w:t>581</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63483" w:rsidRPr="00395995" w:rsidRDefault="00363483" w:rsidP="00363483">
            <w:pPr>
              <w:spacing w:before="40" w:after="40" w:line="240" w:lineRule="auto"/>
              <w:ind w:firstLine="539"/>
              <w:jc w:val="right"/>
              <w:rPr>
                <w:rFonts w:eastAsia="Times New Roman" w:cs="Times New Roman"/>
                <w:b/>
                <w:lang w:eastAsia="cs-CZ"/>
              </w:rPr>
            </w:pPr>
            <w:r w:rsidRPr="00395995">
              <w:rPr>
                <w:rFonts w:eastAsia="Times New Roman" w:cs="Times New Roman"/>
                <w:b/>
                <w:lang w:eastAsia="cs-CZ"/>
              </w:rPr>
              <w:t>6 736</w:t>
            </w:r>
          </w:p>
        </w:tc>
      </w:tr>
    </w:tbl>
    <w:p w:rsidR="00363483" w:rsidRPr="00F6255C" w:rsidRDefault="00363483" w:rsidP="00363483">
      <w:pPr>
        <w:spacing w:before="240" w:after="120" w:line="240" w:lineRule="auto"/>
        <w:ind w:firstLine="539"/>
        <w:rPr>
          <w:rFonts w:eastAsia="Times New Roman" w:cs="Times New Roman"/>
          <w:b/>
          <w:szCs w:val="24"/>
          <w:lang w:eastAsia="cs-CZ"/>
        </w:rPr>
      </w:pPr>
      <w:r>
        <w:rPr>
          <w:rFonts w:eastAsia="Times New Roman" w:cs="Times New Roman"/>
          <w:b/>
          <w:szCs w:val="24"/>
          <w:lang w:eastAsia="cs-CZ"/>
        </w:rPr>
        <w:t xml:space="preserve">c) </w:t>
      </w:r>
      <w:r w:rsidRPr="00F6255C">
        <w:rPr>
          <w:rFonts w:eastAsia="Times New Roman" w:cs="Times New Roman"/>
          <w:b/>
          <w:szCs w:val="24"/>
          <w:lang w:eastAsia="cs-CZ"/>
        </w:rPr>
        <w:t xml:space="preserve">CEF </w:t>
      </w:r>
      <w:proofErr w:type="spellStart"/>
      <w:r w:rsidRPr="00F6255C">
        <w:rPr>
          <w:rFonts w:eastAsia="Times New Roman" w:cs="Times New Roman"/>
          <w:b/>
          <w:szCs w:val="24"/>
          <w:lang w:eastAsia="cs-CZ"/>
        </w:rPr>
        <w:t>Crocodile</w:t>
      </w:r>
      <w:proofErr w:type="spellEnd"/>
      <w:r w:rsidRPr="00F6255C">
        <w:rPr>
          <w:rFonts w:eastAsia="Times New Roman" w:cs="Times New Roman"/>
          <w:b/>
          <w:szCs w:val="24"/>
          <w:lang w:eastAsia="cs-CZ"/>
        </w:rPr>
        <w:t xml:space="preserve"> 3</w:t>
      </w:r>
    </w:p>
    <w:p w:rsidR="00363483" w:rsidRPr="00853E9C" w:rsidRDefault="00363483" w:rsidP="00363483">
      <w:pPr>
        <w:pStyle w:val="Styl1"/>
      </w:pPr>
      <w:r w:rsidRPr="00853E9C">
        <w:t xml:space="preserve">Projekt CROCODILE 3 je evropský projekt spolufinancovaný z fondu CEF, který navazuje na projekt společného zájmu CROCODILE 2. Projekt CROCODILE 3 zajišťuje společný postup České republiky (dále jen „ČR“), Rakouska, Německa, Slovenska, Polska, Maďarska, Slovinska, Chorvatska, Itálie, Rumunska, Bulharska, Řecka a Kypru při zajištění poskytování minimálních dopravních informací, poskytování informací o parkování nákladních vozidel a informací o dopravním provozu v reálném čase. Návrh projektu CROCODILE 3 je připravován pod koordinací státní organizací </w:t>
      </w:r>
      <w:proofErr w:type="spellStart"/>
      <w:r w:rsidRPr="00853E9C">
        <w:t>AustriaTech</w:t>
      </w:r>
      <w:proofErr w:type="spellEnd"/>
      <w:r w:rsidRPr="00853E9C">
        <w:t xml:space="preserve"> – </w:t>
      </w:r>
      <w:proofErr w:type="spellStart"/>
      <w:r w:rsidRPr="00853E9C">
        <w:t>Gesellschaft</w:t>
      </w:r>
      <w:proofErr w:type="spellEnd"/>
      <w:r w:rsidRPr="00853E9C">
        <w:t xml:space="preserve"> des </w:t>
      </w:r>
      <w:proofErr w:type="spellStart"/>
      <w:r w:rsidRPr="00853E9C">
        <w:t>Bundes</w:t>
      </w:r>
      <w:proofErr w:type="spellEnd"/>
      <w:r w:rsidRPr="00853E9C">
        <w:t xml:space="preserve"> </w:t>
      </w:r>
      <w:proofErr w:type="spellStart"/>
      <w:r w:rsidRPr="00853E9C">
        <w:t>für</w:t>
      </w:r>
      <w:proofErr w:type="spellEnd"/>
      <w:r w:rsidRPr="00853E9C">
        <w:t xml:space="preserve"> </w:t>
      </w:r>
      <w:proofErr w:type="spellStart"/>
      <w:r w:rsidRPr="00853E9C">
        <w:t>technologiepolitische</w:t>
      </w:r>
      <w:proofErr w:type="spellEnd"/>
      <w:r w:rsidRPr="00853E9C">
        <w:t xml:space="preserve"> </w:t>
      </w:r>
      <w:proofErr w:type="spellStart"/>
      <w:r w:rsidRPr="00853E9C">
        <w:t>Maßnahmen</w:t>
      </w:r>
      <w:proofErr w:type="spellEnd"/>
      <w:r w:rsidRPr="00853E9C">
        <w:t xml:space="preserve"> </w:t>
      </w:r>
      <w:proofErr w:type="spellStart"/>
      <w:r w:rsidRPr="00853E9C">
        <w:t>GmbH</w:t>
      </w:r>
      <w:proofErr w:type="spellEnd"/>
      <w:r w:rsidRPr="00853E9C">
        <w:t xml:space="preserve">, přičemž projekt se bude zaměřovat především </w:t>
      </w:r>
      <w:r w:rsidR="00D00A45">
        <w:br/>
      </w:r>
      <w:r w:rsidRPr="00853E9C">
        <w:t xml:space="preserve">na dokončení implementace formátu DATEX II pro výměnu dostupných dopravních dat </w:t>
      </w:r>
      <w:r w:rsidR="00D00A45">
        <w:br/>
      </w:r>
      <w:r w:rsidRPr="00853E9C">
        <w:t xml:space="preserve">a na zřízení národního přístupového místa pro sběr, zpracování a poskytování dopravních informačních služeb koncovým uživatelům sousedních států. Dále se připravovaný projekt zaměří na proces ověřování shody v souladu s požadavky podle technických a právních předpisů EU. Délka trvání projektu je v délce 36 měsíců a počítá se už od 1. 1. 2018, tedy konec projektu je 31. 12. 2020. Projekt CROCODILE 3 se bude zaměřovat zejména na implementaci Nařízení EK č. 2015/962 na zajištění výměny přesných a spolehlivých dat o silničním provozu a o parkovacích plochách v reálném čase mezi správci silniční sítě včetně možnosti předání těchto dat soukromým subjektům. Dále budou zpracovány plány pro řízení přeshraničního provozu (v případě ČR se sousedními zeměmi). </w:t>
      </w:r>
    </w:p>
    <w:p w:rsidR="00363483" w:rsidRPr="00853E9C" w:rsidRDefault="00363483" w:rsidP="00363483">
      <w:pPr>
        <w:pStyle w:val="Styl1"/>
      </w:pPr>
      <w:r w:rsidRPr="00853E9C">
        <w:t>Mezi závazky MD pro zajištění realizace projektu EU CROCODILE 3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CROCODILE 3.</w:t>
      </w:r>
    </w:p>
    <w:p w:rsidR="00363483" w:rsidRPr="006D4F10" w:rsidRDefault="00363483" w:rsidP="00363483">
      <w:pPr>
        <w:pStyle w:val="Styl1"/>
      </w:pPr>
      <w:r w:rsidRPr="00853E9C">
        <w:t>Projekt CROCODILE 3 je financován v rámci finanční</w:t>
      </w:r>
      <w:r>
        <w:t>ho nástroje CEF 2014+ a bude ukončen k 31. 12. 2020.</w:t>
      </w:r>
    </w:p>
    <w:p w:rsidR="00363483" w:rsidRPr="005A64B3" w:rsidRDefault="00363483" w:rsidP="00363483">
      <w:pPr>
        <w:pStyle w:val="Titulek"/>
        <w:keepNext/>
      </w:pPr>
      <w:r w:rsidRPr="005A64B3">
        <w:t xml:space="preserve">Tabulka č. </w:t>
      </w:r>
      <w:r w:rsidRPr="005A64B3">
        <w:rPr>
          <w:noProof/>
        </w:rPr>
        <w:fldChar w:fldCharType="begin"/>
      </w:r>
      <w:r w:rsidRPr="005A64B3">
        <w:rPr>
          <w:noProof/>
        </w:rPr>
        <w:instrText xml:space="preserve"> SEQ Tabulka \* ARABIC </w:instrText>
      </w:r>
      <w:r w:rsidRPr="005A64B3">
        <w:rPr>
          <w:noProof/>
        </w:rPr>
        <w:fldChar w:fldCharType="separate"/>
      </w:r>
      <w:r w:rsidR="00AF5225">
        <w:rPr>
          <w:noProof/>
        </w:rPr>
        <w:t>49</w:t>
      </w:r>
      <w:r w:rsidRPr="005A64B3">
        <w:rPr>
          <w:noProof/>
        </w:rPr>
        <w:fldChar w:fldCharType="end"/>
      </w:r>
      <w:r w:rsidRPr="005A64B3">
        <w:rPr>
          <w:noProof/>
        </w:rPr>
        <w:t xml:space="preserve"> Komunitární program CEF Crocodile 3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363483" w:rsidRPr="005A64B3" w:rsidTr="00363483">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5A64B3" w:rsidRDefault="00363483" w:rsidP="00363483">
            <w:pPr>
              <w:spacing w:before="40" w:after="40" w:line="240" w:lineRule="auto"/>
              <w:rPr>
                <w:rFonts w:eastAsia="Times New Roman" w:cs="Times New Roman"/>
                <w:b/>
                <w:lang w:eastAsia="cs-CZ"/>
              </w:rPr>
            </w:pPr>
            <w:r w:rsidRPr="005A64B3">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5A64B3" w:rsidRDefault="00363483" w:rsidP="00363483">
            <w:pPr>
              <w:spacing w:before="40" w:after="40" w:line="240" w:lineRule="auto"/>
              <w:ind w:firstLine="539"/>
              <w:rPr>
                <w:rFonts w:eastAsia="Times New Roman" w:cs="Times New Roman"/>
                <w:b/>
                <w:lang w:eastAsia="cs-CZ"/>
              </w:rPr>
            </w:pPr>
            <w:r w:rsidRPr="005A64B3">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5A64B3" w:rsidRDefault="00363483" w:rsidP="00363483">
            <w:pPr>
              <w:spacing w:before="40" w:after="40" w:line="240" w:lineRule="auto"/>
              <w:ind w:firstLine="539"/>
              <w:rPr>
                <w:rFonts w:eastAsia="Times New Roman" w:cs="Times New Roman"/>
                <w:b/>
                <w:lang w:eastAsia="cs-CZ"/>
              </w:rPr>
            </w:pPr>
            <w:r w:rsidRPr="005A64B3">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5A64B3" w:rsidRDefault="00363483" w:rsidP="00363483">
            <w:pPr>
              <w:spacing w:before="40" w:after="40" w:line="240" w:lineRule="auto"/>
              <w:jc w:val="center"/>
              <w:rPr>
                <w:rFonts w:eastAsia="Times New Roman" w:cs="Times New Roman"/>
                <w:b/>
                <w:lang w:eastAsia="cs-CZ"/>
              </w:rPr>
            </w:pPr>
            <w:r w:rsidRPr="005A64B3">
              <w:rPr>
                <w:rFonts w:eastAsia="Times New Roman" w:cs="Times New Roman"/>
                <w:b/>
                <w:lang w:eastAsia="cs-CZ"/>
              </w:rPr>
              <w:t>Celkem</w:t>
            </w:r>
          </w:p>
        </w:tc>
      </w:tr>
      <w:tr w:rsidR="00363483" w:rsidRPr="00E45F86" w:rsidTr="00363483">
        <w:trPr>
          <w:jc w:val="center"/>
        </w:trPr>
        <w:tc>
          <w:tcPr>
            <w:tcW w:w="2600" w:type="pct"/>
            <w:tcBorders>
              <w:top w:val="single" w:sz="4" w:space="0" w:color="7F7F7F" w:themeColor="text1" w:themeTint="80"/>
            </w:tcBorders>
            <w:shd w:val="clear" w:color="auto" w:fill="auto"/>
          </w:tcPr>
          <w:p w:rsidR="00363483" w:rsidRPr="00E45F86" w:rsidRDefault="00363483" w:rsidP="00363483">
            <w:pPr>
              <w:spacing w:before="40" w:after="40" w:line="240" w:lineRule="auto"/>
              <w:rPr>
                <w:rFonts w:eastAsia="Times New Roman" w:cs="Times New Roman"/>
                <w:lang w:eastAsia="cs-CZ"/>
              </w:rPr>
            </w:pPr>
            <w:r w:rsidRPr="00E45F86">
              <w:rPr>
                <w:rFonts w:eastAsia="Times New Roman" w:cs="Times New Roman"/>
                <w:bCs/>
                <w:lang w:eastAsia="cs-CZ"/>
              </w:rPr>
              <w:t xml:space="preserve">CEF </w:t>
            </w:r>
            <w:proofErr w:type="spellStart"/>
            <w:r w:rsidRPr="00E45F86">
              <w:rPr>
                <w:rFonts w:eastAsia="Times New Roman" w:cs="Times New Roman"/>
                <w:bCs/>
                <w:lang w:eastAsia="cs-CZ"/>
              </w:rPr>
              <w:t>Crocodile</w:t>
            </w:r>
            <w:proofErr w:type="spellEnd"/>
            <w:r w:rsidRPr="00E45F86">
              <w:rPr>
                <w:rFonts w:eastAsia="Times New Roman" w:cs="Times New Roman"/>
                <w:bCs/>
                <w:lang w:eastAsia="cs-CZ"/>
              </w:rPr>
              <w:t xml:space="preserve"> 3 </w:t>
            </w:r>
            <w:r w:rsidRPr="00E45F86">
              <w:rPr>
                <w:rFonts w:eastAsia="Times New Roman" w:cs="Times New Roman"/>
                <w:lang w:eastAsia="cs-CZ"/>
              </w:rPr>
              <w:t>(ÚO MD)</w:t>
            </w:r>
          </w:p>
        </w:tc>
        <w:tc>
          <w:tcPr>
            <w:tcW w:w="800" w:type="pct"/>
            <w:tcBorders>
              <w:top w:val="single" w:sz="4"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lang w:eastAsia="cs-CZ"/>
              </w:rPr>
            </w:pPr>
            <w:r w:rsidRPr="00E45F86">
              <w:rPr>
                <w:rFonts w:eastAsia="Times New Roman" w:cs="Times New Roman"/>
                <w:lang w:eastAsia="cs-CZ"/>
              </w:rPr>
              <w:t>201</w:t>
            </w:r>
          </w:p>
        </w:tc>
        <w:tc>
          <w:tcPr>
            <w:tcW w:w="800" w:type="pct"/>
            <w:tcBorders>
              <w:top w:val="single" w:sz="4"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lang w:eastAsia="cs-CZ"/>
              </w:rPr>
            </w:pPr>
            <w:r w:rsidRPr="00E45F86">
              <w:rPr>
                <w:rFonts w:eastAsia="Times New Roman" w:cs="Times New Roman"/>
                <w:lang w:eastAsia="cs-CZ"/>
              </w:rPr>
              <w:t>805</w:t>
            </w:r>
          </w:p>
        </w:tc>
        <w:tc>
          <w:tcPr>
            <w:tcW w:w="800" w:type="pct"/>
            <w:tcBorders>
              <w:top w:val="single" w:sz="4"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b/>
                <w:lang w:eastAsia="cs-CZ"/>
              </w:rPr>
            </w:pPr>
            <w:r w:rsidRPr="00E45F86">
              <w:rPr>
                <w:rFonts w:eastAsia="Times New Roman" w:cs="Times New Roman"/>
                <w:b/>
                <w:lang w:eastAsia="cs-CZ"/>
              </w:rPr>
              <w:t>1 006</w:t>
            </w:r>
          </w:p>
        </w:tc>
      </w:tr>
      <w:tr w:rsidR="00363483" w:rsidRPr="00E45F86" w:rsidTr="00363483">
        <w:trPr>
          <w:jc w:val="center"/>
        </w:trPr>
        <w:tc>
          <w:tcPr>
            <w:tcW w:w="2600" w:type="pct"/>
            <w:tcBorders>
              <w:top w:val="single" w:sz="4" w:space="0" w:color="7F7F7F" w:themeColor="text1" w:themeTint="80"/>
            </w:tcBorders>
            <w:shd w:val="clear" w:color="auto" w:fill="auto"/>
          </w:tcPr>
          <w:p w:rsidR="00363483" w:rsidRPr="00E45F86" w:rsidRDefault="00363483" w:rsidP="00363483">
            <w:pPr>
              <w:spacing w:before="40" w:after="40" w:line="240" w:lineRule="auto"/>
              <w:rPr>
                <w:rFonts w:eastAsia="Times New Roman" w:cs="Times New Roman"/>
                <w:bCs/>
                <w:lang w:eastAsia="cs-CZ"/>
              </w:rPr>
            </w:pPr>
            <w:r w:rsidRPr="00E45F86">
              <w:rPr>
                <w:rFonts w:eastAsia="Times New Roman" w:cs="Times New Roman"/>
                <w:bCs/>
                <w:lang w:eastAsia="cs-CZ"/>
              </w:rPr>
              <w:t xml:space="preserve">CEF </w:t>
            </w:r>
            <w:proofErr w:type="spellStart"/>
            <w:r w:rsidRPr="00E45F86">
              <w:rPr>
                <w:rFonts w:eastAsia="Times New Roman" w:cs="Times New Roman"/>
                <w:bCs/>
                <w:lang w:eastAsia="cs-CZ"/>
              </w:rPr>
              <w:t>Crocodile</w:t>
            </w:r>
            <w:proofErr w:type="spellEnd"/>
            <w:r w:rsidRPr="00E45F86">
              <w:rPr>
                <w:rFonts w:eastAsia="Times New Roman" w:cs="Times New Roman"/>
                <w:bCs/>
                <w:lang w:eastAsia="cs-CZ"/>
              </w:rPr>
              <w:t xml:space="preserve"> 3 (SFDI)</w:t>
            </w:r>
          </w:p>
        </w:tc>
        <w:tc>
          <w:tcPr>
            <w:tcW w:w="800" w:type="pct"/>
            <w:tcBorders>
              <w:top w:val="single" w:sz="4"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lang w:eastAsia="cs-CZ"/>
              </w:rPr>
            </w:pPr>
            <w:r>
              <w:rPr>
                <w:rFonts w:eastAsia="Times New Roman" w:cs="Times New Roman"/>
                <w:lang w:eastAsia="cs-CZ"/>
              </w:rPr>
              <w:t>307</w:t>
            </w:r>
          </w:p>
        </w:tc>
        <w:tc>
          <w:tcPr>
            <w:tcW w:w="800" w:type="pct"/>
            <w:tcBorders>
              <w:top w:val="single" w:sz="4"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lang w:eastAsia="cs-CZ"/>
              </w:rPr>
            </w:pPr>
          </w:p>
        </w:tc>
        <w:tc>
          <w:tcPr>
            <w:tcW w:w="800" w:type="pct"/>
            <w:tcBorders>
              <w:top w:val="single" w:sz="4"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b/>
                <w:lang w:eastAsia="cs-CZ"/>
              </w:rPr>
            </w:pPr>
            <w:r>
              <w:rPr>
                <w:rFonts w:eastAsia="Times New Roman" w:cs="Times New Roman"/>
                <w:b/>
                <w:lang w:eastAsia="cs-CZ"/>
              </w:rPr>
              <w:t>307</w:t>
            </w:r>
          </w:p>
        </w:tc>
      </w:tr>
      <w:tr w:rsidR="00363483" w:rsidRPr="00E45F86" w:rsidTr="00363483">
        <w:trPr>
          <w:jc w:val="center"/>
        </w:trPr>
        <w:tc>
          <w:tcPr>
            <w:tcW w:w="2600" w:type="pct"/>
            <w:tcBorders>
              <w:bottom w:val="single" w:sz="8" w:space="0" w:color="7F7F7F" w:themeColor="text1" w:themeTint="80"/>
            </w:tcBorders>
            <w:shd w:val="clear" w:color="auto" w:fill="auto"/>
          </w:tcPr>
          <w:p w:rsidR="00363483" w:rsidRPr="00E45F86" w:rsidRDefault="00363483" w:rsidP="00363483">
            <w:pPr>
              <w:spacing w:before="40" w:after="40" w:line="240" w:lineRule="auto"/>
              <w:rPr>
                <w:rFonts w:eastAsia="Times New Roman" w:cs="Times New Roman"/>
                <w:bCs/>
                <w:lang w:eastAsia="cs-CZ"/>
              </w:rPr>
            </w:pPr>
            <w:r w:rsidRPr="00E45F86">
              <w:rPr>
                <w:rFonts w:eastAsia="Times New Roman" w:cs="Times New Roman"/>
                <w:bCs/>
                <w:lang w:eastAsia="cs-CZ"/>
              </w:rPr>
              <w:t xml:space="preserve">CEF </w:t>
            </w:r>
            <w:proofErr w:type="spellStart"/>
            <w:r w:rsidRPr="00E45F86">
              <w:rPr>
                <w:rFonts w:eastAsia="Times New Roman" w:cs="Times New Roman"/>
                <w:bCs/>
                <w:lang w:eastAsia="cs-CZ"/>
              </w:rPr>
              <w:t>Crocodile</w:t>
            </w:r>
            <w:proofErr w:type="spellEnd"/>
            <w:r w:rsidRPr="00E45F86">
              <w:rPr>
                <w:rFonts w:eastAsia="Times New Roman" w:cs="Times New Roman"/>
                <w:bCs/>
                <w:lang w:eastAsia="cs-CZ"/>
              </w:rPr>
              <w:t xml:space="preserve"> 3 (SFDI)</w:t>
            </w:r>
            <w:r w:rsidRPr="00E45F86">
              <w:rPr>
                <w:rFonts w:eastAsia="Times New Roman" w:cs="Times New Roman"/>
                <w:lang w:eastAsia="cs-CZ"/>
              </w:rPr>
              <w:t xml:space="preserve"> – program 127 77</w:t>
            </w:r>
          </w:p>
        </w:tc>
        <w:tc>
          <w:tcPr>
            <w:tcW w:w="800" w:type="pct"/>
            <w:tcBorders>
              <w:bottom w:val="single" w:sz="8"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lang w:eastAsia="cs-CZ"/>
              </w:rPr>
            </w:pPr>
            <w:r w:rsidRPr="00E45F86">
              <w:rPr>
                <w:rFonts w:eastAsia="Times New Roman" w:cs="Times New Roman"/>
                <w:lang w:eastAsia="cs-CZ"/>
              </w:rPr>
              <w:t>2 758</w:t>
            </w:r>
          </w:p>
        </w:tc>
        <w:tc>
          <w:tcPr>
            <w:tcW w:w="800" w:type="pct"/>
            <w:tcBorders>
              <w:bottom w:val="single" w:sz="8"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lang w:eastAsia="cs-CZ"/>
              </w:rPr>
            </w:pPr>
            <w:r w:rsidRPr="00E45F86">
              <w:rPr>
                <w:rFonts w:eastAsia="Times New Roman" w:cs="Times New Roman"/>
                <w:lang w:eastAsia="cs-CZ"/>
              </w:rPr>
              <w:t>0</w:t>
            </w:r>
          </w:p>
        </w:tc>
        <w:tc>
          <w:tcPr>
            <w:tcW w:w="800" w:type="pct"/>
            <w:tcBorders>
              <w:bottom w:val="single" w:sz="8"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b/>
                <w:lang w:eastAsia="cs-CZ"/>
              </w:rPr>
            </w:pPr>
            <w:r w:rsidRPr="00E45F86">
              <w:rPr>
                <w:rFonts w:eastAsia="Times New Roman" w:cs="Times New Roman"/>
                <w:b/>
                <w:lang w:eastAsia="cs-CZ"/>
              </w:rPr>
              <w:t>2 758</w:t>
            </w:r>
          </w:p>
        </w:tc>
      </w:tr>
      <w:tr w:rsidR="00363483" w:rsidRPr="00E45F86" w:rsidTr="00363483">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363483" w:rsidRPr="00E45F86" w:rsidRDefault="00363483" w:rsidP="00363483">
            <w:pPr>
              <w:spacing w:before="40" w:after="40" w:line="240" w:lineRule="auto"/>
              <w:rPr>
                <w:rFonts w:eastAsia="Times New Roman" w:cs="Times New Roman"/>
                <w:b/>
                <w:bCs/>
                <w:lang w:eastAsia="cs-CZ"/>
              </w:rPr>
            </w:pPr>
            <w:r w:rsidRPr="00E45F86">
              <w:rPr>
                <w:rFonts w:eastAsia="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b/>
                <w:lang w:eastAsia="cs-CZ"/>
              </w:rPr>
            </w:pPr>
            <w:r w:rsidRPr="00E45F86">
              <w:rPr>
                <w:rFonts w:eastAsia="Times New Roman" w:cs="Times New Roman"/>
                <w:b/>
                <w:lang w:eastAsia="cs-CZ"/>
              </w:rPr>
              <w:t>3 266</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b/>
                <w:lang w:eastAsia="cs-CZ"/>
              </w:rPr>
            </w:pPr>
            <w:r w:rsidRPr="00E45F86">
              <w:rPr>
                <w:rFonts w:eastAsia="Times New Roman" w:cs="Times New Roman"/>
                <w:b/>
                <w:lang w:eastAsia="cs-CZ"/>
              </w:rPr>
              <w:t>805</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63483" w:rsidRPr="00E45F86" w:rsidRDefault="00363483" w:rsidP="00363483">
            <w:pPr>
              <w:spacing w:before="40" w:after="40" w:line="240" w:lineRule="auto"/>
              <w:ind w:firstLine="539"/>
              <w:jc w:val="right"/>
              <w:rPr>
                <w:rFonts w:eastAsia="Times New Roman" w:cs="Times New Roman"/>
                <w:b/>
                <w:lang w:eastAsia="cs-CZ"/>
              </w:rPr>
            </w:pPr>
            <w:r w:rsidRPr="00A26977">
              <w:rPr>
                <w:rFonts w:eastAsia="Times New Roman" w:cs="Times New Roman"/>
                <w:b/>
                <w:lang w:eastAsia="cs-CZ"/>
              </w:rPr>
              <w:t>4 071</w:t>
            </w:r>
          </w:p>
        </w:tc>
      </w:tr>
    </w:tbl>
    <w:p w:rsidR="00363483" w:rsidRPr="002A3FD9" w:rsidRDefault="00363483" w:rsidP="00363483">
      <w:pPr>
        <w:spacing w:before="240" w:line="240" w:lineRule="auto"/>
        <w:ind w:firstLine="539"/>
        <w:rPr>
          <w:rFonts w:eastAsia="Times New Roman" w:cs="Times New Roman"/>
          <w:b/>
          <w:szCs w:val="24"/>
          <w:lang w:eastAsia="cs-CZ"/>
        </w:rPr>
      </w:pPr>
      <w:r w:rsidRPr="002A3FD9">
        <w:rPr>
          <w:rFonts w:eastAsia="Times New Roman" w:cs="Times New Roman"/>
          <w:b/>
          <w:szCs w:val="24"/>
          <w:lang w:eastAsia="cs-CZ"/>
        </w:rPr>
        <w:t>d) CEF C – ROADS CZ</w:t>
      </w:r>
    </w:p>
    <w:p w:rsidR="00363483" w:rsidRPr="00BD6BF9" w:rsidRDefault="00363483" w:rsidP="00363483">
      <w:pPr>
        <w:pStyle w:val="Styl1"/>
      </w:pPr>
      <w:r w:rsidRPr="00BD6BF9">
        <w:t xml:space="preserve">Kooperativní inteligentní dopravní systémy (C-ITS) jsou systémy založené </w:t>
      </w:r>
      <w:r w:rsidR="00D00A45">
        <w:br/>
      </w:r>
      <w:r w:rsidRPr="00BD6BF9">
        <w:t xml:space="preserve">na komunikaci (výměně dat) mezi samotnými vozidly a také mezi vozidly a zařízením na silniční infrastruktuře. Základní myšlenkou je schopnost vozidel předávat si zprávy týkající se aktuální dopravní situace, tedy vzájemná kooperace. Díky těmto informacím mohou řidiči včas </w:t>
      </w:r>
      <w:r w:rsidRPr="00BD6BF9">
        <w:lastRenderedPageBreak/>
        <w:t>zareagovat na varování systému, bezpečně zvládnout nečekanou situaci a zabránit tak případné nehodě.</w:t>
      </w:r>
    </w:p>
    <w:p w:rsidR="00363483" w:rsidRPr="00BD6BF9" w:rsidRDefault="00363483" w:rsidP="00363483">
      <w:pPr>
        <w:pStyle w:val="Styl1"/>
      </w:pPr>
      <w:r w:rsidRPr="00BD6BF9">
        <w:t xml:space="preserve">Projekt C-ROADS Czech Republic je projekt úzce spojený s mezinárodní iniciativou </w:t>
      </w:r>
      <w:r>
        <w:br/>
      </w:r>
      <w:r w:rsidRPr="00BD6BF9">
        <w:t>C-</w:t>
      </w:r>
      <w:proofErr w:type="spellStart"/>
      <w:r w:rsidRPr="00BD6BF9">
        <w:t>Roads</w:t>
      </w:r>
      <w:proofErr w:type="spellEnd"/>
      <w:r w:rsidRPr="00BD6BF9">
        <w:t xml:space="preserve"> (mezinárodní platforma financovaná Evropskou komisí), jež byla výsledkem společné aktivity států ČR, Rakouska a Německa, zvláště spolkové země Dolní Sasko. V rámci projektu bude vybudován kooperativní ITS systém (C-ITS) na vybraných úsecích dálnic a silnic  (</w:t>
      </w:r>
      <w:proofErr w:type="spellStart"/>
      <w:r w:rsidRPr="00BD6BF9">
        <w:t>extravilánu</w:t>
      </w:r>
      <w:proofErr w:type="spellEnd"/>
      <w:r w:rsidRPr="00BD6BF9">
        <w:t xml:space="preserve"> a </w:t>
      </w:r>
      <w:proofErr w:type="spellStart"/>
      <w:r w:rsidRPr="00BD6BF9">
        <w:t>intravilánu</w:t>
      </w:r>
      <w:proofErr w:type="spellEnd"/>
      <w:r w:rsidRPr="00BD6BF9">
        <w:t xml:space="preserve">) a úrovňových železničních přejezdech. Následně dojde v rámci projektu k otestování mezinárodní interoperability, bezpečnosti a spolehlivosti vybudovaných C-ITS. Projekt je spolufinancován z Nástroje pro propojení Evropy (CEF Transport) </w:t>
      </w:r>
      <w:r w:rsidR="00D00A45">
        <w:br/>
      </w:r>
      <w:r w:rsidRPr="00BD6BF9">
        <w:t xml:space="preserve">z víceletého pracovního programu Evropské unie. Koordinátorem projektu je Ministerstvo dopravy ČR. Partnery projektu jsou ŘSD ČR, SŽDC, AŽD Praha s.r.o., ČVUT v Praze Fakulta dopravní, Brněnské komunikace a.s., O2 Czech Republic a.s., T-Mobile Czech Republic a.s. </w:t>
      </w:r>
      <w:r w:rsidR="00D00A45">
        <w:br/>
      </w:r>
      <w:r w:rsidRPr="00BD6BF9">
        <w:t xml:space="preserve">a INTENS </w:t>
      </w:r>
      <w:proofErr w:type="spellStart"/>
      <w:r w:rsidRPr="00BD6BF9">
        <w:t>Corporation</w:t>
      </w:r>
      <w:proofErr w:type="spellEnd"/>
      <w:r w:rsidRPr="00BD6BF9">
        <w:t xml:space="preserve"> s.r.o. </w:t>
      </w:r>
    </w:p>
    <w:p w:rsidR="00363483" w:rsidRPr="00BD6BF9" w:rsidRDefault="00363483" w:rsidP="00363483">
      <w:pPr>
        <w:pStyle w:val="Styl1"/>
      </w:pPr>
      <w:r w:rsidRPr="00BD6BF9">
        <w:t xml:space="preserve">Cíle projektu vycházejí z výsledků a doporučení závěrečné zprávy zpracované platformou Evropské komise pro kooperativní systémy dne 21. ledna 2016 a naplňují opatření z cílů Akčního plánu rozvoje inteligentních dopravních systémů (ITS) v ČR do roku 2020 </w:t>
      </w:r>
      <w:r w:rsidRPr="00BD6BF9">
        <w:br/>
        <w:t>(s výhledem do roku 2050) schváleného usnesením vlády ze dne 15. dubna 2015 č. 268.</w:t>
      </w:r>
    </w:p>
    <w:p w:rsidR="00363483" w:rsidRPr="00BD6BF9" w:rsidRDefault="00363483" w:rsidP="00363483">
      <w:pPr>
        <w:pStyle w:val="Styl1"/>
      </w:pPr>
      <w:r w:rsidRPr="00BD6BF9">
        <w:t>V rámci tohoto projektu se rozšíří pokrytí ITS koridoru ze silničního okruhu kolem Prahy (SOKP) po dálnici D5 do Plzně a po dálnici D11 do Hradce Králové. Dále bude vybavena část dálnice D1 v okolí Brna. K účasti na projektu se zavázala i společnost ŠKODA Auto a.s.</w:t>
      </w:r>
    </w:p>
    <w:p w:rsidR="00363483" w:rsidRPr="00BD6BF9" w:rsidRDefault="00363483" w:rsidP="00363483">
      <w:pPr>
        <w:pStyle w:val="Styl1"/>
      </w:pPr>
      <w:r w:rsidRPr="00BD6BF9">
        <w:t>Projekt není zaměřen pouze na dálnice. Město Brno prostřednictvím jím vlastněné společnosti Brněnské komunikace a.s. v úzké spolupráci s ŘSD ČR nastaví v rámci projektu systematický přístup k zavádění kooperativních systémů ve městě a vytvoří podmínky pro jejich efektivní nasazení. Cíleno bude zejména na optimalizaci dopravních toků na území města Brna, se zvláštním zřetelem na páteřní a tranzitní tahy.</w:t>
      </w:r>
    </w:p>
    <w:p w:rsidR="00363483" w:rsidRPr="00BD6BF9" w:rsidRDefault="00363483" w:rsidP="00363483">
      <w:pPr>
        <w:pStyle w:val="Styl1"/>
      </w:pPr>
      <w:r w:rsidRPr="00BD6BF9">
        <w:t xml:space="preserve">V rámci projektu bude také testováno využití systémů C-ITS v městské hromadné dopravě, a to konkrétně v Plzni a v Ostravě, kde se dopravní podniky zavázaly poskytnout pro účely testování svá vozidla a infrastrukturu. V případě Ostravy bude také testováno varování řidiče jedoucího k přejezdu před přijíždějící tramvají, zvláště na jednokolejné meziměstské tramvajové trati. Výsledky mohou být využity při budování </w:t>
      </w:r>
      <w:proofErr w:type="spellStart"/>
      <w:r w:rsidRPr="00BD6BF9">
        <w:t>vlakotramvaje</w:t>
      </w:r>
      <w:proofErr w:type="spellEnd"/>
      <w:r w:rsidRPr="00BD6BF9">
        <w:t xml:space="preserve"> (tram-</w:t>
      </w:r>
      <w:proofErr w:type="spellStart"/>
      <w:r w:rsidRPr="00BD6BF9">
        <w:t>train</w:t>
      </w:r>
      <w:proofErr w:type="spellEnd"/>
      <w:r w:rsidRPr="00BD6BF9">
        <w:t xml:space="preserve">) v ČR - systému umožňujícího přejíždění vozidel z železniční tratě na tramvajovou trať, popřípadě pro jízdu drážních vozidel po trati, která má smíšené rysy (například železniční trať vedená obcí </w:t>
      </w:r>
      <w:r w:rsidR="00D00A45">
        <w:br/>
      </w:r>
      <w:r w:rsidRPr="00BD6BF9">
        <w:t xml:space="preserve">po ulici). Zároveň je plánováno testování na železničních přejezdech, přičemž organizace SŽDC vyčlenila pro tyto účely dva zabezpečené přejezdy v Pardubickém kraji s cílem zvýšit bezpečnost a snížit tak počet zraněných a usmrcených lidí v důsledku střetu vlaku se silničním dopravním prostředkem informováním řidičů vozidel v blízkém okolí přejezdu o blížícím </w:t>
      </w:r>
      <w:r w:rsidR="00D00A45">
        <w:br/>
      </w:r>
      <w:r w:rsidRPr="00BD6BF9">
        <w:t>se vlaku.</w:t>
      </w:r>
    </w:p>
    <w:p w:rsidR="00363483" w:rsidRPr="00BD6BF9" w:rsidRDefault="00363483" w:rsidP="00363483">
      <w:pPr>
        <w:pStyle w:val="Styl1"/>
      </w:pPr>
      <w:r w:rsidRPr="00BD6BF9">
        <w:t>Projekt se nebude zabývat pouze vlastním technickým návrhem, implementací a pilotním provozováním kooperativních systémů, ale tento provoz vyhodnotí pro stanovení technických specifikací, pro vytvoření podkladů k evropským normativním dokumentům a případně i pro oblast právních předpisů, oblast testování a zavádění bezpečnostních prvků pro C-ITS systémy.</w:t>
      </w:r>
    </w:p>
    <w:p w:rsidR="00363483" w:rsidRPr="00BD6BF9" w:rsidRDefault="00363483" w:rsidP="00363483">
      <w:pPr>
        <w:pStyle w:val="Styl1"/>
      </w:pPr>
      <w:r w:rsidRPr="00BD6BF9">
        <w:t xml:space="preserve">Nedílnou součástí řešení národního projektu budou také integrační práce vedoucí </w:t>
      </w:r>
      <w:r w:rsidRPr="00BD6BF9">
        <w:br/>
        <w:t xml:space="preserve">k vytvoření národní C-ITS platformy, která umožní výměnu informací mezi partnery projektu a dalšími organizacemi (národními i mezinárodními). Vybudovaná národní platforma bude poskytnuta pro mezinárodní testování v rámci iniciativy C-ROADS zahraničním partnerům, </w:t>
      </w:r>
      <w:r w:rsidRPr="00BD6BF9">
        <w:lastRenderedPageBreak/>
        <w:t>během které dojde k ověření interoperability systému mezi jednotlivými výrobci HW, poskytovateli služeb apod.</w:t>
      </w:r>
    </w:p>
    <w:p w:rsidR="00363483" w:rsidRPr="00BD6BF9" w:rsidRDefault="00363483" w:rsidP="00363483">
      <w:pPr>
        <w:pStyle w:val="Styl1"/>
      </w:pPr>
      <w:r w:rsidRPr="00BD6BF9">
        <w:t>Mezi závazky MD v rámci projektu C-</w:t>
      </w:r>
      <w:proofErr w:type="spellStart"/>
      <w:r w:rsidRPr="00BD6BF9">
        <w:t>Roads</w:t>
      </w:r>
      <w:proofErr w:type="spellEnd"/>
      <w:r w:rsidRPr="00BD6BF9">
        <w:t xml:space="preserve"> Czech Republic patří zajištění řízení partnerů projektu na národní úrovni a koordinace jejich prací, spolupráce a projednávání společného postupu v rámci evropské platformy C-</w:t>
      </w:r>
      <w:proofErr w:type="spellStart"/>
      <w:r w:rsidRPr="00BD6BF9">
        <w:t>Roads</w:t>
      </w:r>
      <w:proofErr w:type="spellEnd"/>
      <w:r w:rsidRPr="00BD6BF9">
        <w:t xml:space="preserve">, dále administrativní stránky projektu, koordinace prací na mezinárodní i národní úrovni, identifikace možných problémů </w:t>
      </w:r>
      <w:r w:rsidR="00D00A45">
        <w:br/>
      </w:r>
      <w:r w:rsidRPr="00BD6BF9">
        <w:t>a návrhy na jejich vyřešení, zpracování zpráv o dosaženém pokroku a poskytnutí informací požadovaných Evropskou komisí.</w:t>
      </w:r>
    </w:p>
    <w:p w:rsidR="00363483" w:rsidRPr="00BD6BF9" w:rsidRDefault="00363483" w:rsidP="00363483">
      <w:pPr>
        <w:pStyle w:val="Styl1"/>
      </w:pPr>
      <w:r w:rsidRPr="00BD6BF9">
        <w:t xml:space="preserve">Dále budou jako forma komunikace s odbornou veřejností pořádány MD odborné semináře, výsledky projektu budou představeny prostřednictvím odborných tiskovin </w:t>
      </w:r>
      <w:r w:rsidRPr="00BD6BF9">
        <w:br/>
        <w:t>a problematika řešená v projektu bude propagována v odborných i hromadných sdělovacích prostředcích.</w:t>
      </w:r>
    </w:p>
    <w:p w:rsidR="00D4300A" w:rsidRPr="00363483" w:rsidRDefault="00363483" w:rsidP="00D00A45">
      <w:pPr>
        <w:pStyle w:val="Styl1"/>
      </w:pPr>
      <w:r w:rsidRPr="00BD6BF9">
        <w:t>Projekt C-ROADS CZ je financován v rámc</w:t>
      </w:r>
      <w:r>
        <w:t>i finančního nástroje CEF 2014+</w:t>
      </w:r>
      <w:r w:rsidR="00D00A45">
        <w:t xml:space="preserve"> a bude ukončen k 31. 12. 2020.</w:t>
      </w:r>
    </w:p>
    <w:p w:rsidR="00D4300A" w:rsidRDefault="00D4300A" w:rsidP="00D4300A">
      <w:pPr>
        <w:pStyle w:val="Titulek"/>
        <w:keepNext/>
        <w:rPr>
          <w:noProof/>
        </w:rPr>
      </w:pPr>
      <w:r w:rsidRPr="00363483">
        <w:t xml:space="preserve">Tabulka č. </w:t>
      </w:r>
      <w:r w:rsidR="0001421C" w:rsidRPr="00363483">
        <w:rPr>
          <w:noProof/>
        </w:rPr>
        <w:fldChar w:fldCharType="begin"/>
      </w:r>
      <w:r w:rsidR="0001421C" w:rsidRPr="00363483">
        <w:rPr>
          <w:noProof/>
        </w:rPr>
        <w:instrText xml:space="preserve"> SEQ Tabulka \* ARABIC </w:instrText>
      </w:r>
      <w:r w:rsidR="0001421C" w:rsidRPr="00363483">
        <w:rPr>
          <w:noProof/>
        </w:rPr>
        <w:fldChar w:fldCharType="separate"/>
      </w:r>
      <w:r w:rsidR="00AF5225">
        <w:rPr>
          <w:noProof/>
        </w:rPr>
        <w:t>50</w:t>
      </w:r>
      <w:r w:rsidR="0001421C" w:rsidRPr="00363483">
        <w:rPr>
          <w:noProof/>
        </w:rPr>
        <w:fldChar w:fldCharType="end"/>
      </w:r>
      <w:r w:rsidRPr="00363483">
        <w:rPr>
          <w:noProof/>
        </w:rPr>
        <w:t xml:space="preserve"> </w:t>
      </w:r>
      <w:r w:rsidR="00363483" w:rsidRPr="00363483">
        <w:rPr>
          <w:noProof/>
        </w:rPr>
        <w:t>Komunitární projekt CEF_C ROADS CZ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363483" w:rsidRPr="004707C9" w:rsidTr="00363483">
        <w:trPr>
          <w:jc w:val="center"/>
        </w:trPr>
        <w:tc>
          <w:tcPr>
            <w:tcW w:w="2600" w:type="pct"/>
            <w:tcBorders>
              <w:top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363483" w:rsidRPr="004707C9" w:rsidRDefault="00363483" w:rsidP="00363483">
            <w:pPr>
              <w:spacing w:before="40" w:after="40" w:line="240" w:lineRule="auto"/>
              <w:rPr>
                <w:rFonts w:eastAsia="Times New Roman" w:cs="Times New Roman"/>
                <w:b/>
                <w:lang w:eastAsia="cs-CZ"/>
              </w:rPr>
            </w:pPr>
            <w:r w:rsidRPr="004707C9">
              <w:rPr>
                <w:rFonts w:eastAsia="Times New Roman" w:cs="Times New Roman"/>
                <w:b/>
                <w:lang w:eastAsia="cs-CZ"/>
              </w:rPr>
              <w:t>Název programu (projektu)</w:t>
            </w:r>
          </w:p>
        </w:tc>
        <w:tc>
          <w:tcPr>
            <w:tcW w:w="800" w:type="pct"/>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363483" w:rsidRPr="004707C9" w:rsidRDefault="00363483" w:rsidP="00363483">
            <w:pPr>
              <w:spacing w:before="40" w:after="40" w:line="240" w:lineRule="auto"/>
              <w:ind w:firstLine="539"/>
              <w:rPr>
                <w:rFonts w:eastAsia="Times New Roman" w:cs="Times New Roman"/>
                <w:b/>
                <w:lang w:eastAsia="cs-CZ"/>
              </w:rPr>
            </w:pPr>
            <w:r w:rsidRPr="004707C9">
              <w:rPr>
                <w:rFonts w:eastAsia="Times New Roman" w:cs="Times New Roman"/>
                <w:b/>
                <w:lang w:eastAsia="cs-CZ"/>
              </w:rPr>
              <w:t>EU</w:t>
            </w:r>
          </w:p>
        </w:tc>
        <w:tc>
          <w:tcPr>
            <w:tcW w:w="800" w:type="pct"/>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363483" w:rsidRPr="004707C9" w:rsidRDefault="00363483" w:rsidP="00363483">
            <w:pPr>
              <w:spacing w:before="40" w:after="40" w:line="240" w:lineRule="auto"/>
              <w:ind w:firstLine="539"/>
              <w:rPr>
                <w:rFonts w:eastAsia="Times New Roman" w:cs="Times New Roman"/>
                <w:b/>
                <w:lang w:eastAsia="cs-CZ"/>
              </w:rPr>
            </w:pPr>
            <w:r w:rsidRPr="004707C9">
              <w:rPr>
                <w:rFonts w:eastAsia="Times New Roman" w:cs="Times New Roman"/>
                <w:b/>
                <w:lang w:eastAsia="cs-CZ"/>
              </w:rPr>
              <w:t>SR</w:t>
            </w:r>
          </w:p>
        </w:tc>
        <w:tc>
          <w:tcPr>
            <w:tcW w:w="800" w:type="pct"/>
            <w:tcBorders>
              <w:top w:val="single" w:sz="8" w:space="0" w:color="7F7F7F" w:themeColor="text1" w:themeTint="80"/>
              <w:left w:val="single" w:sz="4"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63483" w:rsidRPr="004707C9" w:rsidRDefault="00363483" w:rsidP="00363483">
            <w:pPr>
              <w:spacing w:before="40" w:after="40" w:line="240" w:lineRule="auto"/>
              <w:jc w:val="center"/>
              <w:rPr>
                <w:rFonts w:eastAsia="Times New Roman" w:cs="Times New Roman"/>
                <w:b/>
                <w:lang w:eastAsia="cs-CZ"/>
              </w:rPr>
            </w:pPr>
            <w:r w:rsidRPr="004707C9">
              <w:rPr>
                <w:rFonts w:eastAsia="Times New Roman" w:cs="Times New Roman"/>
                <w:b/>
                <w:lang w:eastAsia="cs-CZ"/>
              </w:rPr>
              <w:t>Celkem</w:t>
            </w:r>
          </w:p>
        </w:tc>
      </w:tr>
      <w:tr w:rsidR="00363483" w:rsidRPr="004F24D7" w:rsidTr="00363483">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363483" w:rsidRPr="004F24D7" w:rsidRDefault="00363483" w:rsidP="00363483">
            <w:pPr>
              <w:spacing w:before="40" w:after="40" w:line="240" w:lineRule="auto"/>
              <w:rPr>
                <w:rFonts w:eastAsia="Times New Roman" w:cs="Times New Roman"/>
                <w:lang w:eastAsia="cs-CZ"/>
              </w:rPr>
            </w:pPr>
            <w:r w:rsidRPr="004F24D7">
              <w:rPr>
                <w:rFonts w:eastAsia="Times New Roman" w:cs="Times New Roman"/>
                <w:lang w:eastAsia="cs-CZ"/>
              </w:rPr>
              <w:t>CEF_C ROADS CZ (ÚO MD)</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3 788</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668</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b/>
                <w:lang w:eastAsia="cs-CZ"/>
              </w:rPr>
            </w:pPr>
            <w:r w:rsidRPr="004F24D7">
              <w:rPr>
                <w:rFonts w:eastAsia="Times New Roman" w:cs="Times New Roman"/>
                <w:b/>
                <w:lang w:eastAsia="cs-CZ"/>
              </w:rPr>
              <w:t>4 456</w:t>
            </w:r>
          </w:p>
        </w:tc>
      </w:tr>
      <w:tr w:rsidR="00363483" w:rsidRPr="004F24D7" w:rsidTr="00363483">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363483" w:rsidRPr="004F24D7" w:rsidRDefault="00363483" w:rsidP="00363483">
            <w:pPr>
              <w:spacing w:before="40" w:after="40" w:line="240" w:lineRule="auto"/>
              <w:rPr>
                <w:rFonts w:eastAsia="Times New Roman" w:cs="Times New Roman"/>
                <w:lang w:eastAsia="cs-CZ"/>
              </w:rPr>
            </w:pPr>
            <w:r w:rsidRPr="004F24D7">
              <w:rPr>
                <w:rFonts w:eastAsia="Times New Roman" w:cs="Times New Roman"/>
                <w:lang w:eastAsia="cs-CZ"/>
              </w:rPr>
              <w:t>CEF_C ROADS CZ (PRÁVNICKÉ OSOBY)</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12 918</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0</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b/>
                <w:lang w:eastAsia="cs-CZ"/>
              </w:rPr>
            </w:pPr>
            <w:r w:rsidRPr="004F24D7">
              <w:rPr>
                <w:rFonts w:eastAsia="Times New Roman" w:cs="Times New Roman"/>
                <w:b/>
                <w:lang w:eastAsia="cs-CZ"/>
              </w:rPr>
              <w:t>12 918</w:t>
            </w:r>
          </w:p>
        </w:tc>
      </w:tr>
      <w:tr w:rsidR="00363483" w:rsidRPr="004F24D7" w:rsidTr="00363483">
        <w:trPr>
          <w:jc w:val="center"/>
        </w:trPr>
        <w:tc>
          <w:tcPr>
            <w:tcW w:w="2600" w:type="pct"/>
            <w:tcBorders>
              <w:bottom w:val="single" w:sz="8" w:space="0" w:color="7F7F7F" w:themeColor="text1" w:themeTint="80"/>
              <w:right w:val="single" w:sz="4" w:space="0" w:color="7F7F7F" w:themeColor="text1" w:themeTint="80"/>
            </w:tcBorders>
            <w:shd w:val="clear" w:color="auto" w:fill="auto"/>
          </w:tcPr>
          <w:p w:rsidR="00363483" w:rsidRPr="004F24D7" w:rsidRDefault="00363483" w:rsidP="00363483">
            <w:pPr>
              <w:spacing w:before="40" w:after="40" w:line="240" w:lineRule="auto"/>
              <w:rPr>
                <w:rFonts w:eastAsia="Times New Roman" w:cs="Times New Roman"/>
                <w:lang w:eastAsia="cs-CZ"/>
              </w:rPr>
            </w:pPr>
            <w:r w:rsidRPr="004F24D7">
              <w:rPr>
                <w:rFonts w:eastAsia="Times New Roman" w:cs="Times New Roman"/>
                <w:lang w:eastAsia="cs-CZ"/>
              </w:rPr>
              <w:t>CEF_C ROADS CZ (PRÁVNICKÉ OSOBY) – program 127 77</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37 485</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0</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b/>
                <w:lang w:eastAsia="cs-CZ"/>
              </w:rPr>
            </w:pPr>
            <w:r w:rsidRPr="004F24D7">
              <w:rPr>
                <w:rFonts w:eastAsia="Times New Roman" w:cs="Times New Roman"/>
                <w:b/>
                <w:lang w:eastAsia="cs-CZ"/>
              </w:rPr>
              <w:t>37 485</w:t>
            </w:r>
          </w:p>
        </w:tc>
      </w:tr>
      <w:tr w:rsidR="00363483" w:rsidRPr="004F24D7" w:rsidTr="00363483">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363483" w:rsidRPr="004F24D7" w:rsidRDefault="00363483" w:rsidP="00363483">
            <w:pPr>
              <w:spacing w:before="40" w:after="40" w:line="240" w:lineRule="auto"/>
              <w:rPr>
                <w:rFonts w:eastAsia="Times New Roman" w:cs="Times New Roman"/>
                <w:lang w:eastAsia="cs-CZ"/>
              </w:rPr>
            </w:pPr>
            <w:r w:rsidRPr="004F24D7">
              <w:rPr>
                <w:rFonts w:eastAsia="Times New Roman" w:cs="Times New Roman"/>
                <w:lang w:eastAsia="cs-CZ"/>
              </w:rPr>
              <w:t>CEF_C ROADS CZ (SFDI)</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5 812</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0</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b/>
                <w:lang w:eastAsia="cs-CZ"/>
              </w:rPr>
            </w:pPr>
            <w:r w:rsidRPr="004F24D7">
              <w:rPr>
                <w:rFonts w:eastAsia="Times New Roman" w:cs="Times New Roman"/>
                <w:b/>
                <w:lang w:eastAsia="cs-CZ"/>
              </w:rPr>
              <w:t>5 812</w:t>
            </w:r>
          </w:p>
        </w:tc>
      </w:tr>
      <w:tr w:rsidR="00363483" w:rsidRPr="004F24D7" w:rsidTr="00363483">
        <w:trPr>
          <w:jc w:val="center"/>
        </w:trPr>
        <w:tc>
          <w:tcPr>
            <w:tcW w:w="2600" w:type="pct"/>
            <w:tcBorders>
              <w:bottom w:val="single" w:sz="8" w:space="0" w:color="7F7F7F" w:themeColor="text1" w:themeTint="80"/>
              <w:right w:val="single" w:sz="4" w:space="0" w:color="7F7F7F" w:themeColor="text1" w:themeTint="80"/>
            </w:tcBorders>
            <w:shd w:val="clear" w:color="auto" w:fill="auto"/>
          </w:tcPr>
          <w:p w:rsidR="00363483" w:rsidRPr="004F24D7" w:rsidRDefault="00363483" w:rsidP="00363483">
            <w:pPr>
              <w:spacing w:before="40" w:after="40" w:line="240" w:lineRule="auto"/>
              <w:rPr>
                <w:rFonts w:eastAsia="Times New Roman" w:cs="Times New Roman"/>
                <w:lang w:eastAsia="cs-CZ"/>
              </w:rPr>
            </w:pPr>
            <w:r w:rsidRPr="004F24D7">
              <w:rPr>
                <w:rFonts w:eastAsia="Times New Roman" w:cs="Times New Roman"/>
                <w:lang w:eastAsia="cs-CZ"/>
              </w:rPr>
              <w:t>CEF_C ROADS CZ (SFDI) – program 127 77</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7 820</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lang w:eastAsia="cs-CZ"/>
              </w:rPr>
            </w:pPr>
            <w:r w:rsidRPr="004F24D7">
              <w:rPr>
                <w:rFonts w:eastAsia="Times New Roman" w:cs="Times New Roman"/>
                <w:lang w:eastAsia="cs-CZ"/>
              </w:rPr>
              <w:t>0</w:t>
            </w:r>
          </w:p>
        </w:tc>
        <w:tc>
          <w:tcPr>
            <w:tcW w:w="800" w:type="pct"/>
            <w:tcBorders>
              <w:left w:val="single" w:sz="4" w:space="0" w:color="7F7F7F" w:themeColor="text1" w:themeTint="80"/>
              <w:bottom w:val="single" w:sz="8"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b/>
                <w:lang w:eastAsia="cs-CZ"/>
              </w:rPr>
            </w:pPr>
            <w:r w:rsidRPr="004F24D7">
              <w:rPr>
                <w:rFonts w:eastAsia="Times New Roman" w:cs="Times New Roman"/>
                <w:b/>
                <w:lang w:eastAsia="cs-CZ"/>
              </w:rPr>
              <w:t>7 820</w:t>
            </w:r>
          </w:p>
        </w:tc>
      </w:tr>
      <w:tr w:rsidR="00363483" w:rsidRPr="004F24D7" w:rsidTr="00363483">
        <w:trPr>
          <w:jc w:val="center"/>
        </w:trPr>
        <w:tc>
          <w:tcPr>
            <w:tcW w:w="2600" w:type="pct"/>
            <w:tcBorders>
              <w:top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363483" w:rsidRPr="004F24D7" w:rsidRDefault="00363483" w:rsidP="00363483">
            <w:pPr>
              <w:spacing w:before="40" w:after="40" w:line="240" w:lineRule="auto"/>
              <w:rPr>
                <w:rFonts w:eastAsia="Times New Roman" w:cs="Times New Roman"/>
                <w:b/>
                <w:bCs/>
                <w:lang w:eastAsia="cs-CZ"/>
              </w:rPr>
            </w:pPr>
            <w:r w:rsidRPr="004F24D7">
              <w:rPr>
                <w:rFonts w:eastAsia="Times New Roman" w:cs="Times New Roman"/>
                <w:b/>
                <w:lang w:eastAsia="cs-CZ"/>
              </w:rPr>
              <w:t>Celkem</w:t>
            </w:r>
          </w:p>
        </w:tc>
        <w:tc>
          <w:tcPr>
            <w:tcW w:w="800" w:type="pct"/>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b/>
                <w:lang w:eastAsia="cs-CZ"/>
              </w:rPr>
            </w:pPr>
            <w:r w:rsidRPr="004F24D7">
              <w:rPr>
                <w:rFonts w:eastAsia="Times New Roman" w:cs="Times New Roman"/>
                <w:b/>
                <w:lang w:eastAsia="cs-CZ"/>
              </w:rPr>
              <w:t>67 823</w:t>
            </w:r>
          </w:p>
        </w:tc>
        <w:tc>
          <w:tcPr>
            <w:tcW w:w="800" w:type="pct"/>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363483" w:rsidRPr="004F24D7" w:rsidRDefault="00363483" w:rsidP="00363483">
            <w:pPr>
              <w:spacing w:before="40" w:after="40" w:line="240" w:lineRule="auto"/>
              <w:ind w:firstLine="539"/>
              <w:jc w:val="right"/>
              <w:rPr>
                <w:rFonts w:eastAsia="Times New Roman" w:cs="Times New Roman"/>
                <w:b/>
                <w:lang w:eastAsia="cs-CZ"/>
              </w:rPr>
            </w:pPr>
            <w:r w:rsidRPr="004F24D7">
              <w:rPr>
                <w:rFonts w:eastAsia="Times New Roman" w:cs="Times New Roman"/>
                <w:b/>
                <w:lang w:eastAsia="cs-CZ"/>
              </w:rPr>
              <w:t>668</w:t>
            </w:r>
          </w:p>
        </w:tc>
        <w:tc>
          <w:tcPr>
            <w:tcW w:w="800" w:type="pct"/>
            <w:tcBorders>
              <w:top w:val="single" w:sz="8" w:space="0" w:color="7F7F7F" w:themeColor="text1" w:themeTint="80"/>
              <w:left w:val="single" w:sz="4" w:space="0" w:color="7F7F7F" w:themeColor="text1" w:themeTint="80"/>
              <w:bottom w:val="single" w:sz="8" w:space="0" w:color="7F7F7F" w:themeColor="text1" w:themeTint="80"/>
            </w:tcBorders>
            <w:shd w:val="clear" w:color="auto" w:fill="auto"/>
            <w:vAlign w:val="center"/>
          </w:tcPr>
          <w:p w:rsidR="00363483" w:rsidRPr="004F24D7" w:rsidRDefault="00363483" w:rsidP="00363483">
            <w:pPr>
              <w:spacing w:before="40" w:after="40" w:line="240" w:lineRule="auto"/>
              <w:jc w:val="right"/>
              <w:rPr>
                <w:rFonts w:eastAsia="Times New Roman" w:cs="Times New Roman"/>
                <w:b/>
                <w:lang w:eastAsia="cs-CZ"/>
              </w:rPr>
            </w:pPr>
            <w:r w:rsidRPr="004F24D7">
              <w:rPr>
                <w:rFonts w:eastAsia="Times New Roman" w:cs="Times New Roman"/>
                <w:b/>
                <w:lang w:eastAsia="cs-CZ"/>
              </w:rPr>
              <w:t>68 491</w:t>
            </w:r>
          </w:p>
        </w:tc>
      </w:tr>
    </w:tbl>
    <w:p w:rsidR="00363483" w:rsidRPr="002A3FD9" w:rsidRDefault="00363483" w:rsidP="00363483">
      <w:pPr>
        <w:spacing w:before="240" w:line="240" w:lineRule="auto"/>
        <w:ind w:firstLine="539"/>
        <w:rPr>
          <w:rFonts w:eastAsia="Times New Roman" w:cs="Times New Roman"/>
          <w:b/>
          <w:szCs w:val="24"/>
          <w:lang w:eastAsia="cs-CZ"/>
        </w:rPr>
      </w:pPr>
      <w:r w:rsidRPr="002A3FD9">
        <w:rPr>
          <w:rFonts w:eastAsia="Times New Roman" w:cs="Times New Roman"/>
          <w:b/>
          <w:szCs w:val="24"/>
          <w:lang w:eastAsia="cs-CZ"/>
        </w:rPr>
        <w:t>e) RIS - COMEX</w:t>
      </w:r>
    </w:p>
    <w:p w:rsidR="00363483" w:rsidRPr="006C795A" w:rsidRDefault="00363483" w:rsidP="00363483">
      <w:pPr>
        <w:pStyle w:val="Styl1"/>
      </w:pPr>
      <w:r w:rsidRPr="006C795A">
        <w:t xml:space="preserve">Projekt RIS COMEX jako společný projekt 12 členských států EU a 1 nečlenského (Srbsko), pokrývající téměř celou síť evropských vodních cest TEN-T, je zaměřen </w:t>
      </w:r>
      <w:r w:rsidR="00C601A8">
        <w:br/>
      </w:r>
      <w:r w:rsidRPr="006C795A">
        <w:t xml:space="preserve">na implementaci a následný spolehlivý provoz služeb ve všech třech úrovních podél hlavních transevropských dopravních koridorů. Koridorové informační služby RIS mají umožnit řízení dopravy pomocí kompetentních úřadů a řízení přepravy pomocí logistiky. </w:t>
      </w:r>
    </w:p>
    <w:p w:rsidR="00363483" w:rsidRPr="006C795A" w:rsidRDefault="00363483" w:rsidP="00363483">
      <w:pPr>
        <w:pStyle w:val="Styl1"/>
      </w:pPr>
      <w:r w:rsidRPr="006C795A">
        <w:t xml:space="preserve">Hlavní cíle navrženého projektu RIS COMEX (společné cíle pro všechny účastníky): </w:t>
      </w:r>
    </w:p>
    <w:p w:rsidR="00363483" w:rsidRPr="006C795A" w:rsidRDefault="00363483" w:rsidP="00F04969">
      <w:pPr>
        <w:pStyle w:val="Styl1"/>
        <w:numPr>
          <w:ilvl w:val="0"/>
          <w:numId w:val="48"/>
        </w:numPr>
        <w:ind w:left="851" w:hanging="284"/>
      </w:pPr>
      <w:r w:rsidRPr="006C795A">
        <w:t>Zavést koncept koridorového řízení RIS (</w:t>
      </w:r>
      <w:proofErr w:type="spellStart"/>
      <w:r w:rsidRPr="006C795A">
        <w:t>Corridor</w:t>
      </w:r>
      <w:proofErr w:type="spellEnd"/>
      <w:r w:rsidRPr="006C795A">
        <w:t xml:space="preserve"> RIS Management </w:t>
      </w:r>
      <w:proofErr w:type="spellStart"/>
      <w:r w:rsidRPr="006C795A">
        <w:t>concept</w:t>
      </w:r>
      <w:proofErr w:type="spellEnd"/>
      <w:r w:rsidRPr="006C795A">
        <w:t>) jako dialog mezi správci RIS a uživateli z oblasti logistiky (vůdci plavidel, provozovatelé plavidel, operátoři přístavů) s cílem zavedení relevantních uživatelsky orientovaných služeb;</w:t>
      </w:r>
    </w:p>
    <w:p w:rsidR="00363483" w:rsidRPr="006C795A" w:rsidRDefault="00363483" w:rsidP="00F04969">
      <w:pPr>
        <w:pStyle w:val="Styl1"/>
        <w:numPr>
          <w:ilvl w:val="0"/>
          <w:numId w:val="48"/>
        </w:numPr>
        <w:ind w:left="851" w:hanging="284"/>
      </w:pPr>
      <w:r w:rsidRPr="006C795A">
        <w:t>implementovat a trvale provozovat vybrané části celkového konceptu poskytujícího kvalitní a spolehlivé informace, vedoucí primárně k významnému nárůstu efektivnosti vnitrozemské vodní dopravy,</w:t>
      </w:r>
      <w:r w:rsidR="00C601A8">
        <w:t xml:space="preserve"> příspěvku k růstu bezpečnosti </w:t>
      </w:r>
      <w:r w:rsidRPr="006C795A">
        <w:t>a environmentální ohleduplnosti;</w:t>
      </w:r>
    </w:p>
    <w:p w:rsidR="00363483" w:rsidRPr="006C795A" w:rsidRDefault="00363483" w:rsidP="00F04969">
      <w:pPr>
        <w:pStyle w:val="Styl1"/>
        <w:numPr>
          <w:ilvl w:val="0"/>
          <w:numId w:val="47"/>
        </w:numPr>
        <w:ind w:left="851" w:hanging="284"/>
      </w:pPr>
      <w:r w:rsidRPr="006C795A">
        <w:lastRenderedPageBreak/>
        <w:t>definovat a odsouhlasit provozní administrativní nástroje (právní, organizační, finanční, technické, kvalitativní) na zajištění udržitelného budoucího rozvoje, implementace a trvalého provozu definovaných služeb;</w:t>
      </w:r>
    </w:p>
    <w:p w:rsidR="00363483" w:rsidRPr="006C795A" w:rsidRDefault="00363483" w:rsidP="00F04969">
      <w:pPr>
        <w:pStyle w:val="Styl1"/>
        <w:numPr>
          <w:ilvl w:val="0"/>
          <w:numId w:val="47"/>
        </w:numPr>
        <w:ind w:left="851" w:hanging="284"/>
      </w:pPr>
      <w:r w:rsidRPr="006C795A">
        <w:t xml:space="preserve">harmonizace konceptů datové výměny RIS dat zavedením koordinovaného řízení </w:t>
      </w:r>
      <w:r w:rsidR="00C601A8">
        <w:br/>
      </w:r>
      <w:r w:rsidRPr="006C795A">
        <w:t>na koridorech, eliminující rozdílné koncepty datové výměny;</w:t>
      </w:r>
    </w:p>
    <w:p w:rsidR="00363483" w:rsidRPr="006C795A" w:rsidRDefault="00363483" w:rsidP="00F04969">
      <w:pPr>
        <w:pStyle w:val="Styl1"/>
        <w:numPr>
          <w:ilvl w:val="0"/>
          <w:numId w:val="47"/>
        </w:numPr>
        <w:ind w:left="851" w:hanging="284"/>
      </w:pPr>
      <w:r w:rsidRPr="006C795A">
        <w:t>výrazný pokrok v zavádění harmonizovaných informačních služeb na evropské nebo koridorové úrovni, vycházející z existujících řešení a technologií;</w:t>
      </w:r>
    </w:p>
    <w:p w:rsidR="00363483" w:rsidRPr="006C795A" w:rsidRDefault="00363483" w:rsidP="00F04969">
      <w:pPr>
        <w:pStyle w:val="Styl1"/>
        <w:numPr>
          <w:ilvl w:val="0"/>
          <w:numId w:val="47"/>
        </w:numPr>
        <w:ind w:left="851" w:hanging="284"/>
      </w:pPr>
      <w:r w:rsidRPr="006C795A">
        <w:t xml:space="preserve">RIS COMEX, jako společná platforma spojující partnery z veřejného a soukromého sektoru v koridorovém řízení RIS, zajistí dialog mezi poskytovateli RIS a uživateli; </w:t>
      </w:r>
    </w:p>
    <w:p w:rsidR="00363483" w:rsidRPr="006C795A" w:rsidRDefault="00363483" w:rsidP="00F04969">
      <w:pPr>
        <w:pStyle w:val="Styl1"/>
        <w:numPr>
          <w:ilvl w:val="0"/>
          <w:numId w:val="47"/>
        </w:numPr>
        <w:ind w:left="851" w:hanging="284"/>
      </w:pPr>
      <w:r w:rsidRPr="006C795A">
        <w:t>RIS COMEX zavede harmonizované Říční informační služby zařazené do iniciativy DINA a posune kupředu RIS směrem k integraci s ostatními dopravními módy.</w:t>
      </w:r>
    </w:p>
    <w:p w:rsidR="00363483" w:rsidRPr="00654FEB" w:rsidRDefault="00363483" w:rsidP="00363483">
      <w:pPr>
        <w:pStyle w:val="Styl1"/>
        <w:rPr>
          <w:u w:val="single"/>
        </w:rPr>
      </w:pPr>
      <w:r w:rsidRPr="00654FEB">
        <w:rPr>
          <w:u w:val="single"/>
        </w:rPr>
        <w:t>Specifické cíle projektu:</w:t>
      </w:r>
    </w:p>
    <w:p w:rsidR="00363483" w:rsidRPr="006C795A" w:rsidRDefault="00363483" w:rsidP="00EB42A1">
      <w:pPr>
        <w:pStyle w:val="Styl1"/>
        <w:numPr>
          <w:ilvl w:val="0"/>
          <w:numId w:val="46"/>
        </w:numPr>
        <w:spacing w:after="0"/>
        <w:ind w:left="851" w:hanging="284"/>
      </w:pPr>
      <w:r w:rsidRPr="006C795A">
        <w:t>lepší plánování přepravní vnitrozemskou vodní dopravou</w:t>
      </w:r>
    </w:p>
    <w:p w:rsidR="00363483" w:rsidRPr="006C795A" w:rsidRDefault="00363483" w:rsidP="00EB42A1">
      <w:pPr>
        <w:pStyle w:val="Styl1"/>
        <w:numPr>
          <w:ilvl w:val="0"/>
          <w:numId w:val="46"/>
        </w:numPr>
        <w:spacing w:after="0"/>
        <w:ind w:left="851" w:hanging="284"/>
      </w:pPr>
      <w:r w:rsidRPr="006C795A">
        <w:t>redukce časů čekání a přepravy</w:t>
      </w:r>
    </w:p>
    <w:p w:rsidR="00363483" w:rsidRPr="006C795A" w:rsidRDefault="00363483" w:rsidP="00EB42A1">
      <w:pPr>
        <w:pStyle w:val="Styl1"/>
        <w:numPr>
          <w:ilvl w:val="0"/>
          <w:numId w:val="46"/>
        </w:numPr>
        <w:spacing w:after="0"/>
        <w:ind w:left="851" w:hanging="284"/>
      </w:pPr>
      <w:r w:rsidRPr="006C795A">
        <w:t>růst efektivnosti přepravy vnitrozemskou vodní dopravou</w:t>
      </w:r>
    </w:p>
    <w:p w:rsidR="00363483" w:rsidRPr="006C795A" w:rsidRDefault="00363483" w:rsidP="00EB42A1">
      <w:pPr>
        <w:pStyle w:val="Styl1"/>
        <w:numPr>
          <w:ilvl w:val="0"/>
          <w:numId w:val="46"/>
        </w:numPr>
        <w:spacing w:after="0"/>
        <w:ind w:left="851" w:hanging="284"/>
      </w:pPr>
      <w:r w:rsidRPr="006C795A">
        <w:t xml:space="preserve">optimální využití infrastruktury </w:t>
      </w:r>
    </w:p>
    <w:p w:rsidR="00363483" w:rsidRDefault="00363483" w:rsidP="00EB42A1">
      <w:pPr>
        <w:pStyle w:val="Styl1"/>
        <w:numPr>
          <w:ilvl w:val="0"/>
          <w:numId w:val="46"/>
        </w:numPr>
        <w:spacing w:after="0"/>
        <w:ind w:left="851" w:hanging="284"/>
      </w:pPr>
      <w:r w:rsidRPr="006C795A">
        <w:t xml:space="preserve">redukce administrativních překážek </w:t>
      </w:r>
    </w:p>
    <w:p w:rsidR="00363483" w:rsidRPr="00C601A8" w:rsidRDefault="00363483" w:rsidP="00C601A8">
      <w:pPr>
        <w:pStyle w:val="Styl1"/>
      </w:pPr>
      <w:r w:rsidRPr="00BD6BF9">
        <w:t xml:space="preserve">Projekt </w:t>
      </w:r>
      <w:r>
        <w:t>RIS-COMEX</w:t>
      </w:r>
      <w:r w:rsidRPr="00BD6BF9">
        <w:t xml:space="preserve"> je financován v rámc</w:t>
      </w:r>
      <w:r>
        <w:t>i finančního nástroje CEF 2014+ a bude ukončen k 31. 12. 2020.</w:t>
      </w:r>
    </w:p>
    <w:p w:rsidR="00D4300A" w:rsidRPr="0001421C" w:rsidRDefault="00D4300A" w:rsidP="00D4300A">
      <w:pPr>
        <w:pStyle w:val="Titulek"/>
        <w:keepNext/>
        <w:rPr>
          <w:color w:val="FF0000"/>
        </w:rPr>
      </w:pPr>
      <w:r w:rsidRPr="00363483">
        <w:t xml:space="preserve">Tabulka č. </w:t>
      </w:r>
      <w:r w:rsidR="0001421C" w:rsidRPr="00363483">
        <w:rPr>
          <w:noProof/>
        </w:rPr>
        <w:fldChar w:fldCharType="begin"/>
      </w:r>
      <w:r w:rsidR="0001421C" w:rsidRPr="00363483">
        <w:rPr>
          <w:noProof/>
        </w:rPr>
        <w:instrText xml:space="preserve"> SEQ Tabulka \* ARABIC </w:instrText>
      </w:r>
      <w:r w:rsidR="0001421C" w:rsidRPr="00363483">
        <w:rPr>
          <w:noProof/>
        </w:rPr>
        <w:fldChar w:fldCharType="separate"/>
      </w:r>
      <w:r w:rsidR="00AF5225">
        <w:rPr>
          <w:noProof/>
        </w:rPr>
        <w:t>51</w:t>
      </w:r>
      <w:r w:rsidR="0001421C" w:rsidRPr="00363483">
        <w:rPr>
          <w:noProof/>
        </w:rPr>
        <w:fldChar w:fldCharType="end"/>
      </w:r>
      <w:r w:rsidRPr="00363483">
        <w:rPr>
          <w:noProof/>
        </w:rPr>
        <w:t xml:space="preserve"> </w:t>
      </w:r>
      <w:r w:rsidR="00363483" w:rsidRPr="00AE44E9">
        <w:rPr>
          <w:noProof/>
        </w:rPr>
        <w:t>Komunitární projekt CEF_RIS COMEX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9"/>
        <w:gridCol w:w="1455"/>
        <w:gridCol w:w="1455"/>
        <w:gridCol w:w="1455"/>
      </w:tblGrid>
      <w:tr w:rsidR="00BB5816" w:rsidRPr="004707C9" w:rsidTr="000A05A0">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4707C9" w:rsidRDefault="00BB5816" w:rsidP="000A05A0">
            <w:pPr>
              <w:spacing w:before="40" w:after="40" w:line="240" w:lineRule="auto"/>
              <w:rPr>
                <w:rFonts w:eastAsia="Times New Roman" w:cs="Times New Roman"/>
                <w:b/>
                <w:lang w:eastAsia="cs-CZ"/>
              </w:rPr>
            </w:pPr>
            <w:r w:rsidRPr="004707C9">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4707C9" w:rsidRDefault="00BB5816" w:rsidP="000A05A0">
            <w:pPr>
              <w:spacing w:before="40" w:after="40" w:line="240" w:lineRule="auto"/>
              <w:ind w:firstLine="539"/>
              <w:rPr>
                <w:rFonts w:eastAsia="Times New Roman" w:cs="Times New Roman"/>
                <w:b/>
                <w:lang w:eastAsia="cs-CZ"/>
              </w:rPr>
            </w:pPr>
            <w:r w:rsidRPr="004707C9">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4707C9" w:rsidRDefault="00BB5816" w:rsidP="000A05A0">
            <w:pPr>
              <w:spacing w:before="40" w:after="40" w:line="240" w:lineRule="auto"/>
              <w:ind w:firstLine="539"/>
              <w:rPr>
                <w:rFonts w:eastAsia="Times New Roman" w:cs="Times New Roman"/>
                <w:b/>
                <w:lang w:eastAsia="cs-CZ"/>
              </w:rPr>
            </w:pPr>
            <w:r w:rsidRPr="004707C9">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B5816" w:rsidRPr="004707C9" w:rsidRDefault="00BB5816" w:rsidP="000A05A0">
            <w:pPr>
              <w:spacing w:before="40" w:after="40" w:line="240" w:lineRule="auto"/>
              <w:jc w:val="center"/>
              <w:rPr>
                <w:rFonts w:eastAsia="Times New Roman" w:cs="Times New Roman"/>
                <w:b/>
                <w:lang w:eastAsia="cs-CZ"/>
              </w:rPr>
            </w:pPr>
            <w:r w:rsidRPr="004707C9">
              <w:rPr>
                <w:rFonts w:eastAsia="Times New Roman" w:cs="Times New Roman"/>
                <w:b/>
                <w:lang w:eastAsia="cs-CZ"/>
              </w:rPr>
              <w:t>Celkem</w:t>
            </w:r>
          </w:p>
        </w:tc>
      </w:tr>
      <w:tr w:rsidR="00BB5816" w:rsidRPr="007B45C6" w:rsidTr="000A05A0">
        <w:trPr>
          <w:jc w:val="center"/>
        </w:trPr>
        <w:tc>
          <w:tcPr>
            <w:tcW w:w="2600" w:type="pct"/>
            <w:tcBorders>
              <w:top w:val="single" w:sz="4" w:space="0" w:color="7F7F7F" w:themeColor="text1" w:themeTint="80"/>
            </w:tcBorders>
            <w:shd w:val="clear" w:color="auto" w:fill="auto"/>
          </w:tcPr>
          <w:p w:rsidR="00BB5816" w:rsidRPr="007B45C6" w:rsidRDefault="00BB5816" w:rsidP="000A05A0">
            <w:pPr>
              <w:spacing w:before="40" w:after="40" w:line="240" w:lineRule="auto"/>
              <w:rPr>
                <w:rFonts w:eastAsia="Times New Roman" w:cs="Times New Roman"/>
                <w:lang w:eastAsia="cs-CZ"/>
              </w:rPr>
            </w:pPr>
            <w:r w:rsidRPr="007B45C6">
              <w:rPr>
                <w:rFonts w:eastAsia="Times New Roman" w:cs="Times New Roman"/>
                <w:lang w:eastAsia="cs-CZ"/>
              </w:rPr>
              <w:t>CEF_ RIS COMEX (SPS)</w:t>
            </w:r>
          </w:p>
        </w:tc>
        <w:tc>
          <w:tcPr>
            <w:tcW w:w="800" w:type="pct"/>
            <w:tcBorders>
              <w:top w:val="single" w:sz="4" w:space="0" w:color="7F7F7F" w:themeColor="text1" w:themeTint="80"/>
            </w:tcBorders>
            <w:shd w:val="clear" w:color="auto" w:fill="auto"/>
            <w:vAlign w:val="center"/>
          </w:tcPr>
          <w:p w:rsidR="00BB5816" w:rsidRPr="007B45C6" w:rsidRDefault="00BB5816" w:rsidP="000A05A0">
            <w:pPr>
              <w:spacing w:before="40" w:after="40" w:line="240" w:lineRule="auto"/>
              <w:jc w:val="right"/>
              <w:rPr>
                <w:rFonts w:eastAsia="Times New Roman" w:cs="Times New Roman"/>
                <w:lang w:eastAsia="cs-CZ"/>
              </w:rPr>
            </w:pPr>
            <w:r>
              <w:rPr>
                <w:rFonts w:eastAsia="Times New Roman" w:cs="Times New Roman"/>
                <w:lang w:eastAsia="cs-CZ"/>
              </w:rPr>
              <w:t>955</w:t>
            </w:r>
          </w:p>
        </w:tc>
        <w:tc>
          <w:tcPr>
            <w:tcW w:w="800" w:type="pct"/>
            <w:tcBorders>
              <w:top w:val="single" w:sz="4" w:space="0" w:color="7F7F7F" w:themeColor="text1" w:themeTint="80"/>
            </w:tcBorders>
            <w:shd w:val="clear" w:color="auto" w:fill="auto"/>
            <w:vAlign w:val="center"/>
          </w:tcPr>
          <w:p w:rsidR="00BB5816" w:rsidRPr="007B45C6" w:rsidRDefault="00BB5816" w:rsidP="000A05A0">
            <w:pPr>
              <w:spacing w:before="40" w:after="40" w:line="240" w:lineRule="auto"/>
              <w:jc w:val="right"/>
              <w:rPr>
                <w:rFonts w:eastAsia="Times New Roman" w:cs="Times New Roman"/>
                <w:lang w:eastAsia="cs-CZ"/>
              </w:rPr>
            </w:pPr>
            <w:r>
              <w:rPr>
                <w:rFonts w:eastAsia="Times New Roman" w:cs="Times New Roman"/>
                <w:lang w:eastAsia="cs-CZ"/>
              </w:rPr>
              <w:t>169</w:t>
            </w:r>
          </w:p>
        </w:tc>
        <w:tc>
          <w:tcPr>
            <w:tcW w:w="800" w:type="pct"/>
            <w:tcBorders>
              <w:top w:val="single" w:sz="4" w:space="0" w:color="7F7F7F" w:themeColor="text1" w:themeTint="80"/>
            </w:tcBorders>
            <w:shd w:val="clear" w:color="auto" w:fill="auto"/>
            <w:vAlign w:val="center"/>
          </w:tcPr>
          <w:p w:rsidR="00BB5816" w:rsidRPr="007B45C6" w:rsidRDefault="00BB5816" w:rsidP="000A05A0">
            <w:pPr>
              <w:spacing w:before="40" w:after="40" w:line="240" w:lineRule="auto"/>
              <w:jc w:val="right"/>
              <w:rPr>
                <w:rFonts w:eastAsia="Times New Roman" w:cs="Times New Roman"/>
                <w:b/>
                <w:lang w:eastAsia="cs-CZ"/>
              </w:rPr>
            </w:pPr>
            <w:r w:rsidRPr="007B45C6">
              <w:rPr>
                <w:rFonts w:eastAsia="Times New Roman" w:cs="Times New Roman"/>
                <w:b/>
                <w:lang w:eastAsia="cs-CZ"/>
              </w:rPr>
              <w:t xml:space="preserve">1 </w:t>
            </w:r>
            <w:r>
              <w:rPr>
                <w:rFonts w:eastAsia="Times New Roman" w:cs="Times New Roman"/>
                <w:b/>
                <w:lang w:eastAsia="cs-CZ"/>
              </w:rPr>
              <w:t>124</w:t>
            </w:r>
          </w:p>
        </w:tc>
      </w:tr>
      <w:tr w:rsidR="00BB5816" w:rsidRPr="007B45C6" w:rsidTr="000A05A0">
        <w:trPr>
          <w:jc w:val="center"/>
        </w:trPr>
        <w:tc>
          <w:tcPr>
            <w:tcW w:w="2600" w:type="pct"/>
            <w:tcBorders>
              <w:bottom w:val="single" w:sz="8" w:space="0" w:color="7F7F7F" w:themeColor="text1" w:themeTint="80"/>
            </w:tcBorders>
            <w:shd w:val="clear" w:color="auto" w:fill="auto"/>
          </w:tcPr>
          <w:p w:rsidR="00BB5816" w:rsidRPr="007B45C6" w:rsidRDefault="00BB5816" w:rsidP="000A05A0">
            <w:pPr>
              <w:spacing w:before="40" w:after="40" w:line="240" w:lineRule="auto"/>
              <w:rPr>
                <w:rFonts w:eastAsia="Times New Roman" w:cs="Times New Roman"/>
                <w:lang w:eastAsia="cs-CZ"/>
              </w:rPr>
            </w:pPr>
            <w:r w:rsidRPr="007B45C6">
              <w:rPr>
                <w:rFonts w:eastAsia="Times New Roman" w:cs="Times New Roman"/>
                <w:lang w:eastAsia="cs-CZ"/>
              </w:rPr>
              <w:t>CEF_ RIS COMEX  SFDI) – program 127 77</w:t>
            </w:r>
          </w:p>
        </w:tc>
        <w:tc>
          <w:tcPr>
            <w:tcW w:w="800" w:type="pct"/>
            <w:tcBorders>
              <w:bottom w:val="single" w:sz="8" w:space="0" w:color="7F7F7F" w:themeColor="text1" w:themeTint="80"/>
            </w:tcBorders>
            <w:shd w:val="clear" w:color="auto" w:fill="auto"/>
            <w:vAlign w:val="center"/>
          </w:tcPr>
          <w:p w:rsidR="00BB5816" w:rsidRPr="007B45C6" w:rsidRDefault="00BB5816" w:rsidP="000A05A0">
            <w:pPr>
              <w:spacing w:before="40" w:after="40" w:line="240" w:lineRule="auto"/>
              <w:jc w:val="right"/>
              <w:rPr>
                <w:rFonts w:eastAsia="Times New Roman" w:cs="Times New Roman"/>
                <w:lang w:eastAsia="cs-CZ"/>
              </w:rPr>
            </w:pPr>
            <w:r w:rsidRPr="007B45C6">
              <w:rPr>
                <w:rFonts w:eastAsia="Times New Roman" w:cs="Times New Roman"/>
                <w:lang w:eastAsia="cs-CZ"/>
              </w:rPr>
              <w:t>14 461</w:t>
            </w:r>
          </w:p>
        </w:tc>
        <w:tc>
          <w:tcPr>
            <w:tcW w:w="800" w:type="pct"/>
            <w:tcBorders>
              <w:bottom w:val="single" w:sz="8" w:space="0" w:color="7F7F7F" w:themeColor="text1" w:themeTint="80"/>
            </w:tcBorders>
            <w:shd w:val="clear" w:color="auto" w:fill="auto"/>
            <w:vAlign w:val="center"/>
          </w:tcPr>
          <w:p w:rsidR="00BB5816" w:rsidRPr="007B45C6" w:rsidRDefault="00BB5816" w:rsidP="000A05A0">
            <w:pPr>
              <w:spacing w:before="40" w:after="40" w:line="240" w:lineRule="auto"/>
              <w:jc w:val="right"/>
              <w:rPr>
                <w:rFonts w:eastAsia="Times New Roman" w:cs="Times New Roman"/>
                <w:lang w:eastAsia="cs-CZ"/>
              </w:rPr>
            </w:pPr>
            <w:r w:rsidRPr="007B45C6">
              <w:rPr>
                <w:rFonts w:eastAsia="Times New Roman" w:cs="Times New Roman"/>
                <w:lang w:eastAsia="cs-CZ"/>
              </w:rPr>
              <w:t>0</w:t>
            </w:r>
          </w:p>
        </w:tc>
        <w:tc>
          <w:tcPr>
            <w:tcW w:w="800" w:type="pct"/>
            <w:tcBorders>
              <w:bottom w:val="single" w:sz="8" w:space="0" w:color="7F7F7F" w:themeColor="text1" w:themeTint="80"/>
            </w:tcBorders>
            <w:shd w:val="clear" w:color="auto" w:fill="auto"/>
            <w:vAlign w:val="center"/>
          </w:tcPr>
          <w:p w:rsidR="00BB5816" w:rsidRPr="007B45C6" w:rsidRDefault="00BB5816" w:rsidP="000A05A0">
            <w:pPr>
              <w:spacing w:before="40" w:after="40" w:line="240" w:lineRule="auto"/>
              <w:jc w:val="right"/>
              <w:rPr>
                <w:rFonts w:eastAsia="Times New Roman" w:cs="Times New Roman"/>
                <w:b/>
                <w:lang w:eastAsia="cs-CZ"/>
              </w:rPr>
            </w:pPr>
            <w:r w:rsidRPr="007B45C6">
              <w:rPr>
                <w:rFonts w:eastAsia="Times New Roman" w:cs="Times New Roman"/>
                <w:b/>
                <w:lang w:eastAsia="cs-CZ"/>
              </w:rPr>
              <w:t>14 461</w:t>
            </w:r>
          </w:p>
        </w:tc>
      </w:tr>
      <w:tr w:rsidR="00BB5816" w:rsidRPr="007B45C6" w:rsidTr="000A05A0">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BB5816" w:rsidRPr="007B45C6" w:rsidRDefault="00BB5816" w:rsidP="000A05A0">
            <w:pPr>
              <w:spacing w:before="40" w:after="40" w:line="240" w:lineRule="auto"/>
              <w:rPr>
                <w:rFonts w:eastAsia="Times New Roman" w:cs="Times New Roman"/>
                <w:b/>
                <w:bCs/>
                <w:lang w:eastAsia="cs-CZ"/>
              </w:rPr>
            </w:pPr>
            <w:r w:rsidRPr="007B45C6">
              <w:rPr>
                <w:rFonts w:eastAsia="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BB5816" w:rsidRPr="007B45C6" w:rsidRDefault="00BB5816" w:rsidP="000A05A0">
            <w:pPr>
              <w:spacing w:before="40" w:after="40" w:line="240" w:lineRule="auto"/>
              <w:ind w:firstLine="539"/>
              <w:jc w:val="right"/>
              <w:rPr>
                <w:rFonts w:eastAsia="Times New Roman" w:cs="Times New Roman"/>
                <w:b/>
                <w:lang w:eastAsia="cs-CZ"/>
              </w:rPr>
            </w:pPr>
            <w:r>
              <w:rPr>
                <w:rFonts w:eastAsia="Times New Roman" w:cs="Times New Roman"/>
                <w:b/>
                <w:lang w:eastAsia="cs-CZ"/>
              </w:rPr>
              <w:t>15 416</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BB5816" w:rsidRPr="007B45C6" w:rsidRDefault="00BB5816" w:rsidP="000A05A0">
            <w:pPr>
              <w:spacing w:before="40" w:after="40" w:line="240" w:lineRule="auto"/>
              <w:ind w:firstLine="539"/>
              <w:jc w:val="right"/>
              <w:rPr>
                <w:rFonts w:eastAsia="Times New Roman" w:cs="Times New Roman"/>
                <w:b/>
                <w:lang w:eastAsia="cs-CZ"/>
              </w:rPr>
            </w:pPr>
            <w:r>
              <w:rPr>
                <w:rFonts w:eastAsia="Times New Roman" w:cs="Times New Roman"/>
                <w:b/>
                <w:lang w:eastAsia="cs-CZ"/>
              </w:rPr>
              <w:t>169</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BB5816" w:rsidRPr="007B45C6" w:rsidRDefault="00BB5816" w:rsidP="000A05A0">
            <w:pPr>
              <w:spacing w:before="40" w:after="40" w:line="240" w:lineRule="auto"/>
              <w:ind w:firstLine="539"/>
              <w:jc w:val="right"/>
              <w:rPr>
                <w:rFonts w:eastAsia="Times New Roman" w:cs="Times New Roman"/>
                <w:b/>
                <w:lang w:eastAsia="cs-CZ"/>
              </w:rPr>
            </w:pPr>
            <w:r>
              <w:rPr>
                <w:rFonts w:eastAsia="Times New Roman" w:cs="Times New Roman"/>
                <w:b/>
                <w:lang w:eastAsia="cs-CZ"/>
              </w:rPr>
              <w:t>15 585</w:t>
            </w:r>
          </w:p>
        </w:tc>
      </w:tr>
    </w:tbl>
    <w:p w:rsidR="00D4300A" w:rsidRPr="00BB5816" w:rsidRDefault="00D4300A" w:rsidP="00C601A8">
      <w:pPr>
        <w:pStyle w:val="Nadpis3"/>
      </w:pPr>
      <w:bookmarkStart w:id="118" w:name="_Toc526424711"/>
      <w:bookmarkStart w:id="119" w:name="_Toc462314411"/>
      <w:r w:rsidRPr="00BB5816">
        <w:t>Operační program Zaměstnanost</w:t>
      </w:r>
      <w:r w:rsidRPr="00BB5816">
        <w:rPr>
          <w:rFonts w:cs="Times New Roman"/>
          <w:szCs w:val="24"/>
        </w:rPr>
        <w:t xml:space="preserve"> - programové období 2014 – 2020</w:t>
      </w:r>
      <w:bookmarkEnd w:id="118"/>
    </w:p>
    <w:p w:rsidR="00BB5816" w:rsidRPr="007C34A0" w:rsidRDefault="00BB5816" w:rsidP="00BB5816">
      <w:pPr>
        <w:pStyle w:val="Styl1"/>
      </w:pPr>
      <w:r w:rsidRPr="007C34A0">
        <w:t>1. 1. 2018 byla zahájena realizace projektu „Implementace Vládní strategie pro rovnost žen a mužů a související aktivity“ registrační číslo CZ.03.1.51/0.0/0.0/15_028/0006289.</w:t>
      </w:r>
    </w:p>
    <w:p w:rsidR="00BB5816" w:rsidRPr="007C34A0" w:rsidRDefault="00BB5816" w:rsidP="00BB5816">
      <w:pPr>
        <w:pStyle w:val="Styl1"/>
      </w:pPr>
      <w:r w:rsidRPr="007C34A0">
        <w:t>Cílem projektu je analýza možností snižování rozdílů v postavení žen a mužů, naplňování Vládní strategie pro rovnost žen a mužů, Akčního plánu pro vyrovnané zastoupení žen a mužů v rozhodovacích pozicích (vč. navazující Strategie +1), implementace Metodiky pro hodnocení dopadů na rovnost žen a mužů a zpracování strategických a koncepčních dokumentů pro resort dopravy. Vládní strategie pro rovnost žen a mužů je relevantní i pro plnění horizontálního principu rovnost žen a mužů v OPD. Pro koordinaci naplňování horizontálního principu rovnost žen a mužů je důležitá také analýza dalších možností naplňování horizontálních priorit v rámci OPD 2014 - 2020.</w:t>
      </w:r>
    </w:p>
    <w:p w:rsidR="00F04969" w:rsidRDefault="00F04969" w:rsidP="00BB5816">
      <w:pPr>
        <w:pStyle w:val="Styl1"/>
      </w:pPr>
    </w:p>
    <w:p w:rsidR="00EB42A1" w:rsidRDefault="00EB42A1" w:rsidP="00BB5816">
      <w:pPr>
        <w:pStyle w:val="Styl1"/>
      </w:pPr>
    </w:p>
    <w:p w:rsidR="00BB5816" w:rsidRPr="007C34A0" w:rsidRDefault="00BB5816" w:rsidP="00EB42A1">
      <w:pPr>
        <w:pStyle w:val="Styl1"/>
        <w:spacing w:after="0"/>
      </w:pPr>
      <w:r w:rsidRPr="007C34A0">
        <w:lastRenderedPageBreak/>
        <w:t>Klíčovými aktivitami jsou:</w:t>
      </w:r>
    </w:p>
    <w:p w:rsidR="00BB5816" w:rsidRPr="007C34A0" w:rsidRDefault="00BB5816" w:rsidP="00EB42A1">
      <w:pPr>
        <w:pStyle w:val="Styl1"/>
        <w:numPr>
          <w:ilvl w:val="0"/>
          <w:numId w:val="18"/>
        </w:numPr>
        <w:tabs>
          <w:tab w:val="left" w:pos="4111"/>
        </w:tabs>
        <w:spacing w:after="0"/>
        <w:ind w:left="851" w:hanging="284"/>
      </w:pPr>
      <w:r w:rsidRPr="007C34A0">
        <w:t>Garant/</w:t>
      </w:r>
      <w:proofErr w:type="spellStart"/>
      <w:r w:rsidRPr="007C34A0">
        <w:t>ka</w:t>
      </w:r>
      <w:proofErr w:type="spellEnd"/>
      <w:r w:rsidRPr="007C34A0">
        <w:t xml:space="preserve"> Strategie rovnosti žen a mužů, Akčního plánu pro vyrovnané zastoupení žen a mužů v rozhodovacích pozicích, analýzy možností naplňování horizontálních priorit v rámci OPR Indikátory. je nezbytně nutné najít odborníky/nice, jelikož Ministerstvo dopravy v současné době nedisponuje v této oblasti dostatečnou administrativní kapacitou pro zpracování relevantních analytických a koncepčních materiálů.</w:t>
      </w:r>
    </w:p>
    <w:p w:rsidR="00BB5816" w:rsidRPr="007C34A0" w:rsidRDefault="00BB5816" w:rsidP="00EB42A1">
      <w:pPr>
        <w:pStyle w:val="Styl1"/>
        <w:numPr>
          <w:ilvl w:val="0"/>
          <w:numId w:val="18"/>
        </w:numPr>
        <w:spacing w:after="0"/>
        <w:ind w:left="851" w:hanging="284"/>
      </w:pPr>
      <w:r w:rsidRPr="007C34A0">
        <w:t>Garant/</w:t>
      </w:r>
      <w:proofErr w:type="spellStart"/>
      <w:r w:rsidRPr="007C34A0">
        <w:t>ka</w:t>
      </w:r>
      <w:proofErr w:type="spellEnd"/>
      <w:r w:rsidRPr="007C34A0">
        <w:t xml:space="preserve"> Implementace Metodiky posuzování dopadů materiálů předkládaných vládě ČR na rovnost žen a mužů a přípravy genderového auditu.</w:t>
      </w:r>
    </w:p>
    <w:p w:rsidR="00BB5816" w:rsidRPr="007C34A0" w:rsidRDefault="00BB5816" w:rsidP="00EB42A1">
      <w:pPr>
        <w:pStyle w:val="Styl1"/>
        <w:numPr>
          <w:ilvl w:val="0"/>
          <w:numId w:val="18"/>
        </w:numPr>
        <w:spacing w:after="0"/>
        <w:ind w:left="851" w:hanging="284"/>
      </w:pPr>
      <w:r w:rsidRPr="007C34A0">
        <w:t>Tvorba genderového auditu na Ministerstvu dopravy.</w:t>
      </w:r>
    </w:p>
    <w:p w:rsidR="00BB5816" w:rsidRPr="007C34A0" w:rsidRDefault="00BB5816" w:rsidP="00BB5816">
      <w:pPr>
        <w:pStyle w:val="Styl1"/>
      </w:pPr>
      <w:r>
        <w:t>Projekt bude ukončen k 31. 12. 2020.</w:t>
      </w:r>
    </w:p>
    <w:p w:rsidR="00BB5816" w:rsidRDefault="00BB5816" w:rsidP="00BB5816">
      <w:pPr>
        <w:pStyle w:val="Titulek"/>
        <w:keepNext/>
        <w:rPr>
          <w:noProof/>
        </w:rPr>
      </w:pPr>
      <w:r w:rsidRPr="00D51580">
        <w:t xml:space="preserve">Tabulka č. </w:t>
      </w:r>
      <w:r w:rsidRPr="00D51580">
        <w:rPr>
          <w:noProof/>
        </w:rPr>
        <w:fldChar w:fldCharType="begin"/>
      </w:r>
      <w:r w:rsidRPr="00D51580">
        <w:rPr>
          <w:noProof/>
        </w:rPr>
        <w:instrText xml:space="preserve"> SEQ Tabulka \* ARABIC </w:instrText>
      </w:r>
      <w:r w:rsidRPr="00D51580">
        <w:rPr>
          <w:noProof/>
        </w:rPr>
        <w:fldChar w:fldCharType="separate"/>
      </w:r>
      <w:r w:rsidR="00AF5225">
        <w:rPr>
          <w:noProof/>
        </w:rPr>
        <w:t>52</w:t>
      </w:r>
      <w:r w:rsidRPr="00D51580">
        <w:rPr>
          <w:noProof/>
        </w:rPr>
        <w:fldChar w:fldCharType="end"/>
      </w:r>
      <w:r w:rsidRPr="00D51580">
        <w:rPr>
          <w:noProof/>
        </w:rPr>
        <w:t xml:space="preserve"> </w:t>
      </w:r>
      <w:r w:rsidR="009C3C73">
        <w:rPr>
          <w:noProof/>
        </w:rPr>
        <w:t>Operační program Z</w:t>
      </w:r>
      <w:r w:rsidR="009C3C73" w:rsidRPr="00D51580">
        <w:rPr>
          <w:noProof/>
        </w:rPr>
        <w:t xml:space="preserve">aměstnanost </w:t>
      </w:r>
      <w:r w:rsidRPr="00D51580">
        <w:rPr>
          <w:noProof/>
        </w:rPr>
        <w:t>(v tis. Kč)</w:t>
      </w:r>
    </w:p>
    <w:tbl>
      <w:tblPr>
        <w:tblStyle w:val="Svtltabulkasmkou1zvraznn5"/>
        <w:tblW w:w="5023"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none" w:sz="0" w:space="0" w:color="auto"/>
          <w:insideV w:val="single" w:sz="4" w:space="0" w:color="7F7F7F" w:themeColor="text1" w:themeTint="80"/>
        </w:tblBorders>
        <w:tblLayout w:type="fixed"/>
        <w:tblLook w:val="00A0" w:firstRow="1" w:lastRow="0" w:firstColumn="1" w:lastColumn="0" w:noHBand="0" w:noVBand="0"/>
      </w:tblPr>
      <w:tblGrid>
        <w:gridCol w:w="4811"/>
        <w:gridCol w:w="1373"/>
        <w:gridCol w:w="1455"/>
        <w:gridCol w:w="1455"/>
      </w:tblGrid>
      <w:tr w:rsidR="00BB5816" w:rsidRPr="004707C9" w:rsidTr="00C601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5816" w:rsidRPr="004707C9" w:rsidRDefault="00BB5816" w:rsidP="000A05A0">
            <w:pPr>
              <w:spacing w:before="40" w:after="40"/>
              <w:rPr>
                <w:rFonts w:eastAsia="Times New Roman" w:cs="Times New Roman"/>
                <w:lang w:eastAsia="cs-CZ"/>
              </w:rPr>
            </w:pPr>
            <w:r w:rsidRPr="004707C9">
              <w:rPr>
                <w:rFonts w:eastAsia="Times New Roman" w:cs="Times New Roman"/>
                <w:lang w:eastAsia="cs-CZ"/>
              </w:rPr>
              <w:t>Název programu (projektu)</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5816" w:rsidRPr="004707C9" w:rsidRDefault="00BB5816" w:rsidP="000A05A0">
            <w:pPr>
              <w:spacing w:before="40" w:after="40"/>
              <w:ind w:firstLine="539"/>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4707C9">
              <w:rPr>
                <w:rFonts w:eastAsia="Times New Roman" w:cs="Times New Roman"/>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5816" w:rsidRPr="004707C9" w:rsidRDefault="00BB5816" w:rsidP="000A05A0">
            <w:pPr>
              <w:spacing w:before="40" w:after="40"/>
              <w:ind w:firstLine="539"/>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4707C9">
              <w:rPr>
                <w:rFonts w:eastAsia="Times New Roman" w:cs="Times New Roman"/>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5816" w:rsidRPr="004707C9" w:rsidRDefault="00BB5816" w:rsidP="000A05A0">
            <w:pPr>
              <w:spacing w:before="40" w:after="4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4707C9">
              <w:rPr>
                <w:rFonts w:eastAsia="Times New Roman" w:cs="Times New Roman"/>
                <w:lang w:eastAsia="cs-CZ"/>
              </w:rPr>
              <w:t>Celkem</w:t>
            </w:r>
          </w:p>
        </w:tc>
      </w:tr>
      <w:tr w:rsidR="00BB5816" w:rsidRPr="0001421C" w:rsidTr="00C601A8">
        <w:tc>
          <w:tcPr>
            <w:cnfStyle w:val="001000000000" w:firstRow="0" w:lastRow="0" w:firstColumn="1" w:lastColumn="0" w:oddVBand="0" w:evenVBand="0" w:oddHBand="0" w:evenHBand="0" w:firstRowFirstColumn="0" w:firstRowLastColumn="0" w:lastRowFirstColumn="0" w:lastRowLastColumn="0"/>
            <w:tcW w:w="2645" w:type="pct"/>
            <w:tcBorders>
              <w:top w:val="single" w:sz="4" w:space="0" w:color="7F7F7F" w:themeColor="text1" w:themeTint="80"/>
              <w:bottom w:val="single" w:sz="8" w:space="0" w:color="7F7F7F" w:themeColor="text1" w:themeTint="80"/>
            </w:tcBorders>
            <w:shd w:val="clear" w:color="auto" w:fill="auto"/>
          </w:tcPr>
          <w:p w:rsidR="00BB5816" w:rsidRPr="0001421C" w:rsidRDefault="00C601A8" w:rsidP="000A05A0">
            <w:pPr>
              <w:spacing w:before="40" w:after="40"/>
              <w:rPr>
                <w:rFonts w:eastAsia="Times New Roman" w:cs="Times New Roman"/>
                <w:b w:val="0"/>
                <w:color w:val="FF0000"/>
                <w:lang w:eastAsia="cs-CZ"/>
              </w:rPr>
            </w:pPr>
            <w:r>
              <w:rPr>
                <w:rFonts w:eastAsia="Times New Roman" w:cs="Times New Roman"/>
                <w:b w:val="0"/>
                <w:lang w:eastAsia="cs-CZ"/>
              </w:rPr>
              <w:t xml:space="preserve">Operační program Zaměstnanost </w:t>
            </w:r>
            <w:r w:rsidR="00BB5816" w:rsidRPr="00146357">
              <w:rPr>
                <w:rFonts w:eastAsia="Times New Roman" w:cs="Times New Roman"/>
                <w:b w:val="0"/>
                <w:lang w:eastAsia="cs-CZ"/>
              </w:rPr>
              <w:t>(ÚO MD)</w:t>
            </w:r>
          </w:p>
        </w:tc>
        <w:tc>
          <w:tcPr>
            <w:tcW w:w="755" w:type="pct"/>
            <w:tcBorders>
              <w:top w:val="single" w:sz="4" w:space="0" w:color="7F7F7F" w:themeColor="text1" w:themeTint="80"/>
              <w:bottom w:val="single" w:sz="8" w:space="0" w:color="7F7F7F" w:themeColor="text1" w:themeTint="80"/>
            </w:tcBorders>
            <w:shd w:val="clear" w:color="auto" w:fill="auto"/>
          </w:tcPr>
          <w:p w:rsidR="00BB5816" w:rsidRPr="00146357"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lang w:eastAsia="cs-CZ"/>
              </w:rPr>
            </w:pPr>
            <w:r>
              <w:rPr>
                <w:rFonts w:eastAsia="Times New Roman" w:cs="Times New Roman"/>
                <w:b/>
                <w:lang w:eastAsia="cs-CZ"/>
              </w:rPr>
              <w:t>414</w:t>
            </w:r>
          </w:p>
        </w:tc>
        <w:tc>
          <w:tcPr>
            <w:tcW w:w="800" w:type="pct"/>
            <w:tcBorders>
              <w:top w:val="single" w:sz="4" w:space="0" w:color="7F7F7F" w:themeColor="text1" w:themeTint="80"/>
              <w:bottom w:val="single" w:sz="8" w:space="0" w:color="7F7F7F" w:themeColor="text1" w:themeTint="80"/>
            </w:tcBorders>
            <w:shd w:val="clear" w:color="auto" w:fill="auto"/>
          </w:tcPr>
          <w:p w:rsidR="00BB5816" w:rsidRPr="00146357"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lang w:eastAsia="cs-CZ"/>
              </w:rPr>
            </w:pPr>
            <w:r>
              <w:rPr>
                <w:rFonts w:eastAsia="Times New Roman" w:cs="Times New Roman"/>
                <w:b/>
                <w:lang w:eastAsia="cs-CZ"/>
              </w:rPr>
              <w:t>414</w:t>
            </w:r>
          </w:p>
        </w:tc>
        <w:tc>
          <w:tcPr>
            <w:tcW w:w="800" w:type="pct"/>
            <w:tcBorders>
              <w:top w:val="single" w:sz="4" w:space="0" w:color="7F7F7F" w:themeColor="text1" w:themeTint="80"/>
              <w:bottom w:val="single" w:sz="8" w:space="0" w:color="7F7F7F" w:themeColor="text1" w:themeTint="80"/>
            </w:tcBorders>
            <w:shd w:val="clear" w:color="auto" w:fill="auto"/>
          </w:tcPr>
          <w:p w:rsidR="00BB5816" w:rsidRPr="00146357"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lang w:eastAsia="cs-CZ"/>
              </w:rPr>
            </w:pPr>
            <w:r>
              <w:rPr>
                <w:rFonts w:eastAsia="Times New Roman" w:cs="Times New Roman"/>
                <w:b/>
                <w:lang w:eastAsia="cs-CZ"/>
              </w:rPr>
              <w:t>828</w:t>
            </w:r>
          </w:p>
        </w:tc>
      </w:tr>
    </w:tbl>
    <w:p w:rsidR="00D4300A" w:rsidRPr="00BB5816" w:rsidRDefault="00D4300A" w:rsidP="00C601A8">
      <w:pPr>
        <w:pStyle w:val="Nadpis3"/>
      </w:pPr>
      <w:bookmarkStart w:id="120" w:name="_Toc526424712"/>
      <w:r w:rsidRPr="00BB5816">
        <w:t>Rozdělení prostředků EU a podílu SR dle jednotlivých programů na rok 201</w:t>
      </w:r>
      <w:bookmarkEnd w:id="117"/>
      <w:bookmarkEnd w:id="119"/>
      <w:r w:rsidR="00BB5816" w:rsidRPr="00BB5816">
        <w:t>9</w:t>
      </w:r>
      <w:bookmarkEnd w:id="120"/>
    </w:p>
    <w:p w:rsidR="00D4300A" w:rsidRPr="001C010B" w:rsidRDefault="00BB5816" w:rsidP="001C010B">
      <w:pPr>
        <w:pStyle w:val="Styl1"/>
      </w:pPr>
      <w:r w:rsidRPr="001C010B">
        <w:t>V n</w:t>
      </w:r>
      <w:r w:rsidRPr="00886175">
        <w:t>ásledující tabulce je uvedena výše prostředků podle jednotlivých zdrojů EU navrhovaných pro rok 2019 a výše prostředků určená na spolufinancování prostřednictvím kapitoly 327 MD.</w:t>
      </w:r>
    </w:p>
    <w:p w:rsidR="00BB5816" w:rsidRDefault="00BB5816" w:rsidP="00BB5816">
      <w:pPr>
        <w:pStyle w:val="Titulek"/>
        <w:keepNext/>
        <w:rPr>
          <w:noProof/>
        </w:rPr>
      </w:pPr>
      <w:r w:rsidRPr="00886175">
        <w:t xml:space="preserve">Tabulka č. </w:t>
      </w:r>
      <w:r w:rsidRPr="00886175">
        <w:rPr>
          <w:noProof/>
        </w:rPr>
        <w:fldChar w:fldCharType="begin"/>
      </w:r>
      <w:r w:rsidRPr="00886175">
        <w:rPr>
          <w:noProof/>
        </w:rPr>
        <w:instrText xml:space="preserve"> SEQ Tabulka \* ARABIC </w:instrText>
      </w:r>
      <w:r w:rsidRPr="00886175">
        <w:rPr>
          <w:noProof/>
        </w:rPr>
        <w:fldChar w:fldCharType="separate"/>
      </w:r>
      <w:r w:rsidR="00AF5225">
        <w:rPr>
          <w:noProof/>
        </w:rPr>
        <w:t>53</w:t>
      </w:r>
      <w:r w:rsidRPr="00886175">
        <w:rPr>
          <w:noProof/>
        </w:rPr>
        <w:fldChar w:fldCharType="end"/>
      </w:r>
      <w:r w:rsidRPr="00886175">
        <w:rPr>
          <w:noProof/>
        </w:rPr>
        <w:t xml:space="preserve"> Přehled celkových prostředků fondů EU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810"/>
        <w:gridCol w:w="1984"/>
        <w:gridCol w:w="2258"/>
      </w:tblGrid>
      <w:tr w:rsidR="00BB5816" w:rsidRPr="00886175" w:rsidTr="001C01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5816" w:rsidRPr="00886175" w:rsidRDefault="00BB5816" w:rsidP="000A05A0">
            <w:pPr>
              <w:spacing w:before="40" w:after="40"/>
              <w:rPr>
                <w:rFonts w:eastAsia="Times New Roman" w:cs="Times New Roman"/>
                <w:lang w:eastAsia="cs-CZ"/>
              </w:rPr>
            </w:pPr>
            <w:r w:rsidRPr="00886175">
              <w:rPr>
                <w:rFonts w:eastAsia="Times New Roman" w:cs="Times New Roman"/>
                <w:lang w:eastAsia="cs-CZ"/>
              </w:rPr>
              <w:t>Název programu</w:t>
            </w:r>
          </w:p>
        </w:tc>
        <w:tc>
          <w:tcPr>
            <w:tcW w:w="10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5816" w:rsidRPr="00886175" w:rsidRDefault="00BB5816" w:rsidP="000A05A0">
            <w:pPr>
              <w:spacing w:before="40" w:after="4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886175">
              <w:rPr>
                <w:rFonts w:eastAsia="Times New Roman" w:cs="Times New Roman"/>
                <w:lang w:eastAsia="cs-CZ"/>
              </w:rPr>
              <w:t>EU</w:t>
            </w:r>
          </w:p>
        </w:tc>
        <w:tc>
          <w:tcPr>
            <w:tcW w:w="12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BB5816" w:rsidRPr="00886175" w:rsidRDefault="00BB5816" w:rsidP="000A05A0">
            <w:pPr>
              <w:spacing w:before="40" w:after="4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886175">
              <w:rPr>
                <w:rFonts w:eastAsia="Times New Roman" w:cs="Times New Roman"/>
                <w:lang w:eastAsia="cs-CZ"/>
              </w:rPr>
              <w:t>SR</w:t>
            </w:r>
          </w:p>
        </w:tc>
      </w:tr>
      <w:tr w:rsidR="00BB5816" w:rsidRPr="0001421C" w:rsidTr="001C010B">
        <w:tc>
          <w:tcPr>
            <w:cnfStyle w:val="001000000000" w:firstRow="0" w:lastRow="0" w:firstColumn="1" w:lastColumn="0" w:oddVBand="0" w:evenVBand="0" w:oddHBand="0" w:evenHBand="0" w:firstRowFirstColumn="0" w:firstRowLastColumn="0" w:lastRowFirstColumn="0" w:lastRowLastColumn="0"/>
            <w:tcW w:w="2657" w:type="pct"/>
            <w:tcBorders>
              <w:top w:val="single" w:sz="4" w:space="0" w:color="7F7F7F" w:themeColor="text1" w:themeTint="80"/>
            </w:tcBorders>
            <w:shd w:val="clear" w:color="auto" w:fill="auto"/>
          </w:tcPr>
          <w:p w:rsidR="00BB5816" w:rsidRPr="00010C80" w:rsidRDefault="00BB5816" w:rsidP="000A05A0">
            <w:pPr>
              <w:spacing w:before="40" w:after="40"/>
              <w:rPr>
                <w:rFonts w:eastAsia="Times New Roman" w:cs="Times New Roman"/>
                <w:b w:val="0"/>
                <w:lang w:eastAsia="cs-CZ"/>
              </w:rPr>
            </w:pPr>
            <w:r w:rsidRPr="00010C80">
              <w:rPr>
                <w:rFonts w:eastAsia="Times New Roman" w:cs="Times New Roman"/>
                <w:b w:val="0"/>
                <w:lang w:eastAsia="cs-CZ"/>
              </w:rPr>
              <w:t>Operační program Doprava 2014 - 2020</w:t>
            </w:r>
          </w:p>
        </w:tc>
        <w:tc>
          <w:tcPr>
            <w:tcW w:w="1096" w:type="pct"/>
            <w:tcBorders>
              <w:top w:val="single" w:sz="4" w:space="0" w:color="7F7F7F" w:themeColor="text1" w:themeTint="80"/>
            </w:tcBorders>
            <w:shd w:val="clear" w:color="auto" w:fill="auto"/>
          </w:tcPr>
          <w:p w:rsidR="00BB5816" w:rsidRPr="0001421C"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C61075">
              <w:rPr>
                <w:rFonts w:eastAsia="Times New Roman" w:cs="Times New Roman"/>
                <w:lang w:eastAsia="cs-CZ"/>
              </w:rPr>
              <w:t>17 943 664</w:t>
            </w:r>
          </w:p>
        </w:tc>
        <w:tc>
          <w:tcPr>
            <w:tcW w:w="1247" w:type="pct"/>
            <w:tcBorders>
              <w:top w:val="single" w:sz="4" w:space="0" w:color="7F7F7F" w:themeColor="text1" w:themeTint="80"/>
            </w:tcBorders>
            <w:shd w:val="clear" w:color="auto" w:fill="auto"/>
          </w:tcPr>
          <w:p w:rsidR="00BB5816" w:rsidRPr="0001421C" w:rsidRDefault="007E0F9B"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7E0F9B">
              <w:rPr>
                <w:rFonts w:eastAsia="Times New Roman" w:cs="Times New Roman"/>
                <w:lang w:eastAsia="cs-CZ"/>
              </w:rPr>
              <w:t>10 410</w:t>
            </w:r>
          </w:p>
        </w:tc>
      </w:tr>
      <w:tr w:rsidR="00BB5816" w:rsidRPr="0001421C" w:rsidTr="001C010B">
        <w:tc>
          <w:tcPr>
            <w:cnfStyle w:val="001000000000" w:firstRow="0" w:lastRow="0" w:firstColumn="1" w:lastColumn="0" w:oddVBand="0" w:evenVBand="0" w:oddHBand="0" w:evenHBand="0" w:firstRowFirstColumn="0" w:firstRowLastColumn="0" w:lastRowFirstColumn="0" w:lastRowLastColumn="0"/>
            <w:tcW w:w="2657" w:type="pct"/>
            <w:tcBorders>
              <w:bottom w:val="single" w:sz="8" w:space="0" w:color="7F7F7F" w:themeColor="text1" w:themeTint="80"/>
            </w:tcBorders>
            <w:shd w:val="clear" w:color="auto" w:fill="auto"/>
          </w:tcPr>
          <w:p w:rsidR="00BB5816" w:rsidRPr="00010C80" w:rsidRDefault="00BB5816" w:rsidP="000A05A0">
            <w:pPr>
              <w:spacing w:before="40" w:after="40"/>
              <w:rPr>
                <w:rFonts w:eastAsia="Times New Roman" w:cs="Times New Roman"/>
                <w:b w:val="0"/>
                <w:lang w:eastAsia="cs-CZ"/>
              </w:rPr>
            </w:pPr>
            <w:r w:rsidRPr="00010C80">
              <w:rPr>
                <w:rFonts w:eastAsia="Times New Roman" w:cs="Times New Roman"/>
                <w:b w:val="0"/>
                <w:lang w:eastAsia="cs-CZ"/>
              </w:rPr>
              <w:t xml:space="preserve">Komunitární programy </w:t>
            </w:r>
          </w:p>
        </w:tc>
        <w:tc>
          <w:tcPr>
            <w:tcW w:w="1096" w:type="pct"/>
            <w:tcBorders>
              <w:bottom w:val="single" w:sz="8" w:space="0" w:color="7F7F7F" w:themeColor="text1" w:themeTint="80"/>
            </w:tcBorders>
            <w:shd w:val="clear" w:color="auto" w:fill="auto"/>
          </w:tcPr>
          <w:p w:rsidR="00BB5816" w:rsidRPr="0001421C"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C61075">
              <w:rPr>
                <w:rFonts w:eastAsia="Times New Roman" w:cs="Times New Roman"/>
                <w:lang w:eastAsia="cs-CZ"/>
              </w:rPr>
              <w:t>925 655</w:t>
            </w:r>
          </w:p>
        </w:tc>
        <w:tc>
          <w:tcPr>
            <w:tcW w:w="1247" w:type="pct"/>
            <w:tcBorders>
              <w:bottom w:val="single" w:sz="8" w:space="0" w:color="7F7F7F" w:themeColor="text1" w:themeTint="80"/>
            </w:tcBorders>
            <w:shd w:val="clear" w:color="auto" w:fill="auto"/>
          </w:tcPr>
          <w:p w:rsidR="00BB5816" w:rsidRPr="0036413E" w:rsidRDefault="007E0F9B"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Pr>
                <w:rFonts w:eastAsia="Times New Roman" w:cs="Times New Roman"/>
                <w:lang w:eastAsia="cs-CZ"/>
              </w:rPr>
              <w:t>2 223</w:t>
            </w:r>
          </w:p>
        </w:tc>
      </w:tr>
      <w:tr w:rsidR="00BB5816" w:rsidRPr="0001421C" w:rsidTr="001C010B">
        <w:tc>
          <w:tcPr>
            <w:cnfStyle w:val="001000000000" w:firstRow="0" w:lastRow="0" w:firstColumn="1" w:lastColumn="0" w:oddVBand="0" w:evenVBand="0" w:oddHBand="0" w:evenHBand="0" w:firstRowFirstColumn="0" w:firstRowLastColumn="0" w:lastRowFirstColumn="0" w:lastRowLastColumn="0"/>
            <w:tcW w:w="2657" w:type="pct"/>
            <w:tcBorders>
              <w:bottom w:val="single" w:sz="8" w:space="0" w:color="7F7F7F" w:themeColor="text1" w:themeTint="80"/>
            </w:tcBorders>
            <w:shd w:val="clear" w:color="auto" w:fill="auto"/>
          </w:tcPr>
          <w:p w:rsidR="00BB5816" w:rsidRPr="00010C80" w:rsidRDefault="00BB5816" w:rsidP="000A05A0">
            <w:pPr>
              <w:spacing w:before="40" w:after="40"/>
              <w:rPr>
                <w:rFonts w:eastAsia="Times New Roman" w:cs="Times New Roman"/>
                <w:b w:val="0"/>
                <w:lang w:eastAsia="cs-CZ"/>
              </w:rPr>
            </w:pPr>
            <w:r w:rsidRPr="00010C80">
              <w:rPr>
                <w:rFonts w:eastAsia="Times New Roman" w:cs="Times New Roman"/>
                <w:b w:val="0"/>
                <w:lang w:eastAsia="cs-CZ"/>
              </w:rPr>
              <w:t>Operační program Zaměstnanost</w:t>
            </w:r>
          </w:p>
        </w:tc>
        <w:tc>
          <w:tcPr>
            <w:tcW w:w="1096" w:type="pct"/>
            <w:tcBorders>
              <w:bottom w:val="single" w:sz="8" w:space="0" w:color="7F7F7F" w:themeColor="text1" w:themeTint="80"/>
            </w:tcBorders>
            <w:shd w:val="clear" w:color="auto" w:fill="auto"/>
          </w:tcPr>
          <w:p w:rsidR="00BB5816" w:rsidRPr="0001421C"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C61075">
              <w:rPr>
                <w:rFonts w:eastAsia="Times New Roman" w:cs="Times New Roman"/>
                <w:lang w:eastAsia="cs-CZ"/>
              </w:rPr>
              <w:t>414</w:t>
            </w:r>
          </w:p>
        </w:tc>
        <w:tc>
          <w:tcPr>
            <w:tcW w:w="1247" w:type="pct"/>
            <w:tcBorders>
              <w:bottom w:val="single" w:sz="8" w:space="0" w:color="7F7F7F" w:themeColor="text1" w:themeTint="80"/>
            </w:tcBorders>
            <w:shd w:val="clear" w:color="auto" w:fill="auto"/>
          </w:tcPr>
          <w:p w:rsidR="00BB5816" w:rsidRPr="0036413E"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6413E">
              <w:rPr>
                <w:rFonts w:eastAsia="Times New Roman" w:cs="Times New Roman"/>
                <w:lang w:eastAsia="cs-CZ"/>
              </w:rPr>
              <w:t>414</w:t>
            </w:r>
          </w:p>
        </w:tc>
      </w:tr>
      <w:tr w:rsidR="00BB5816" w:rsidRPr="0001421C" w:rsidTr="001C010B">
        <w:tc>
          <w:tcPr>
            <w:cnfStyle w:val="001000000000" w:firstRow="0" w:lastRow="0" w:firstColumn="1" w:lastColumn="0" w:oddVBand="0" w:evenVBand="0" w:oddHBand="0" w:evenHBand="0" w:firstRowFirstColumn="0" w:firstRowLastColumn="0" w:lastRowFirstColumn="0" w:lastRowLastColumn="0"/>
            <w:tcW w:w="2657" w:type="pct"/>
            <w:tcBorders>
              <w:top w:val="single" w:sz="8" w:space="0" w:color="7F7F7F" w:themeColor="text1" w:themeTint="80"/>
              <w:bottom w:val="single" w:sz="8" w:space="0" w:color="7F7F7F" w:themeColor="text1" w:themeTint="80"/>
            </w:tcBorders>
            <w:shd w:val="clear" w:color="auto" w:fill="auto"/>
          </w:tcPr>
          <w:p w:rsidR="00BB5816" w:rsidRPr="00010C80" w:rsidRDefault="00BB5816" w:rsidP="000A05A0">
            <w:pPr>
              <w:spacing w:before="40" w:after="40"/>
              <w:rPr>
                <w:rFonts w:eastAsia="Times New Roman" w:cs="Times New Roman"/>
                <w:b w:val="0"/>
                <w:lang w:eastAsia="cs-CZ"/>
              </w:rPr>
            </w:pPr>
            <w:r w:rsidRPr="00010C80">
              <w:rPr>
                <w:rFonts w:eastAsia="Times New Roman" w:cs="Times New Roman"/>
                <w:lang w:eastAsia="cs-CZ"/>
              </w:rPr>
              <w:t>CELKEM</w:t>
            </w:r>
          </w:p>
        </w:tc>
        <w:tc>
          <w:tcPr>
            <w:tcW w:w="1096" w:type="pct"/>
            <w:tcBorders>
              <w:top w:val="single" w:sz="8" w:space="0" w:color="7F7F7F" w:themeColor="text1" w:themeTint="80"/>
              <w:bottom w:val="single" w:sz="8" w:space="0" w:color="7F7F7F" w:themeColor="text1" w:themeTint="80"/>
            </w:tcBorders>
            <w:shd w:val="clear" w:color="auto" w:fill="auto"/>
          </w:tcPr>
          <w:p w:rsidR="00BB5816" w:rsidRPr="0001421C"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FF0000"/>
                <w:lang w:eastAsia="cs-CZ"/>
              </w:rPr>
            </w:pPr>
            <w:r w:rsidRPr="00010C80">
              <w:rPr>
                <w:rFonts w:eastAsia="Times New Roman" w:cs="Times New Roman"/>
                <w:b/>
                <w:lang w:eastAsia="cs-CZ"/>
              </w:rPr>
              <w:t>18 869 733</w:t>
            </w:r>
          </w:p>
        </w:tc>
        <w:tc>
          <w:tcPr>
            <w:tcW w:w="1247" w:type="pct"/>
            <w:tcBorders>
              <w:top w:val="single" w:sz="8" w:space="0" w:color="7F7F7F" w:themeColor="text1" w:themeTint="80"/>
              <w:bottom w:val="single" w:sz="8" w:space="0" w:color="7F7F7F" w:themeColor="text1" w:themeTint="80"/>
            </w:tcBorders>
            <w:shd w:val="clear" w:color="auto" w:fill="auto"/>
          </w:tcPr>
          <w:p w:rsidR="00BB5816" w:rsidRPr="0001421C" w:rsidRDefault="00BB5816" w:rsidP="000A05A0">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FF0000"/>
                <w:lang w:eastAsia="cs-CZ"/>
              </w:rPr>
            </w:pPr>
            <w:r>
              <w:rPr>
                <w:rFonts w:eastAsia="Times New Roman" w:cs="Times New Roman"/>
                <w:b/>
                <w:lang w:eastAsia="cs-CZ"/>
              </w:rPr>
              <w:t>13 047</w:t>
            </w:r>
          </w:p>
        </w:tc>
      </w:tr>
    </w:tbl>
    <w:bookmarkEnd w:id="111"/>
    <w:p w:rsidR="00BB5816" w:rsidRPr="00070A59" w:rsidRDefault="00BB5816" w:rsidP="001C010B">
      <w:pPr>
        <w:pStyle w:val="Styl1"/>
      </w:pPr>
      <w:r w:rsidRPr="00BA0105">
        <w:t xml:space="preserve">Z celkové částky prostředků EU </w:t>
      </w:r>
      <w:r w:rsidRPr="00BA0105">
        <w:rPr>
          <w:b/>
          <w:bCs/>
        </w:rPr>
        <w:t>18 869 733</w:t>
      </w:r>
      <w:r w:rsidRPr="00BA0105">
        <w:t xml:space="preserve"> </w:t>
      </w:r>
      <w:r w:rsidRPr="00BA0105">
        <w:rPr>
          <w:b/>
        </w:rPr>
        <w:t>tis. Kč</w:t>
      </w:r>
      <w:r w:rsidRPr="00BA0105">
        <w:t xml:space="preserve"> je určena částka 18 727 243 tis. Kč do jednotlivých programů programového financování Ministerstva dopravy. Prostředky ve výši </w:t>
      </w:r>
      <w:r w:rsidRPr="00070A59">
        <w:t>18 689 758 tis. Kč budou poskytnuty jako dotace Státnímu fondu dopravní infrastruktury                     na společné programy (projekty) EU a ČR.</w:t>
      </w:r>
    </w:p>
    <w:p w:rsidR="00BB5816" w:rsidRPr="00C61075" w:rsidRDefault="00BB5816" w:rsidP="001C010B">
      <w:pPr>
        <w:pStyle w:val="Styl1"/>
      </w:pPr>
      <w:r w:rsidRPr="00C61075">
        <w:t xml:space="preserve">Z celkové částky prostředků SR </w:t>
      </w:r>
      <w:r w:rsidRPr="00070A59">
        <w:rPr>
          <w:b/>
        </w:rPr>
        <w:t>13 047</w:t>
      </w:r>
      <w:r w:rsidRPr="00070A59">
        <w:t xml:space="preserve"> </w:t>
      </w:r>
      <w:r w:rsidRPr="00070A59">
        <w:rPr>
          <w:b/>
        </w:rPr>
        <w:t>tis. Kč</w:t>
      </w:r>
      <w:r w:rsidRPr="00070A59">
        <w:t xml:space="preserve"> nejsou určeny </w:t>
      </w:r>
      <w:r w:rsidRPr="00C61075">
        <w:t xml:space="preserve">žádné finanční prostředky do jednotlivých programů programového financování Ministerstva dopravy. </w:t>
      </w:r>
    </w:p>
    <w:p w:rsidR="00D4300A" w:rsidRPr="00BA1C1A" w:rsidRDefault="00D4300A" w:rsidP="00D4300A">
      <w:pPr>
        <w:keepNext/>
        <w:spacing w:before="240" w:after="120" w:line="240" w:lineRule="auto"/>
        <w:rPr>
          <w:rFonts w:eastAsia="Times New Roman" w:cs="Times New Roman"/>
          <w:b/>
          <w:bCs/>
          <w:sz w:val="20"/>
          <w:szCs w:val="20"/>
          <w:lang w:eastAsia="cs-CZ"/>
        </w:rPr>
      </w:pPr>
      <w:bookmarkStart w:id="121" w:name="_Toc526424766"/>
      <w:r w:rsidRPr="00BA1C1A">
        <w:rPr>
          <w:rFonts w:cs="Times New Roman"/>
          <w:b/>
          <w:sz w:val="20"/>
          <w:szCs w:val="20"/>
        </w:rPr>
        <w:lastRenderedPageBreak/>
        <w:t xml:space="preserve">Graf č. </w:t>
      </w:r>
      <w:r w:rsidRPr="00BA1C1A">
        <w:rPr>
          <w:rFonts w:cs="Times New Roman"/>
          <w:b/>
          <w:sz w:val="20"/>
          <w:szCs w:val="20"/>
        </w:rPr>
        <w:fldChar w:fldCharType="begin"/>
      </w:r>
      <w:r w:rsidRPr="00BA1C1A">
        <w:rPr>
          <w:rFonts w:cs="Times New Roman"/>
          <w:b/>
          <w:sz w:val="20"/>
          <w:szCs w:val="20"/>
        </w:rPr>
        <w:instrText xml:space="preserve"> SEQ Graf_č. \* ARABIC </w:instrText>
      </w:r>
      <w:r w:rsidRPr="00BA1C1A">
        <w:rPr>
          <w:rFonts w:cs="Times New Roman"/>
          <w:b/>
          <w:sz w:val="20"/>
          <w:szCs w:val="20"/>
        </w:rPr>
        <w:fldChar w:fldCharType="separate"/>
      </w:r>
      <w:r w:rsidR="00AF5225">
        <w:rPr>
          <w:rFonts w:cs="Times New Roman"/>
          <w:b/>
          <w:noProof/>
          <w:sz w:val="20"/>
          <w:szCs w:val="20"/>
        </w:rPr>
        <w:t>9</w:t>
      </w:r>
      <w:r w:rsidRPr="00BA1C1A">
        <w:rPr>
          <w:rFonts w:cs="Times New Roman"/>
          <w:b/>
          <w:sz w:val="20"/>
          <w:szCs w:val="20"/>
        </w:rPr>
        <w:fldChar w:fldCharType="end"/>
      </w:r>
      <w:r w:rsidRPr="00BA1C1A">
        <w:rPr>
          <w:rFonts w:eastAsia="Times New Roman" w:cs="Times New Roman"/>
          <w:b/>
          <w:bCs/>
          <w:sz w:val="20"/>
          <w:szCs w:val="20"/>
          <w:lang w:eastAsia="cs-CZ"/>
        </w:rPr>
        <w:t xml:space="preserve"> Rozdělení prostředků z rozpočtu EU dle programů</w:t>
      </w:r>
      <w:bookmarkEnd w:id="121"/>
    </w:p>
    <w:p w:rsidR="00D4300A" w:rsidRPr="0001421C" w:rsidRDefault="00BA1C1A" w:rsidP="00D4300A">
      <w:pPr>
        <w:spacing w:line="240" w:lineRule="auto"/>
        <w:rPr>
          <w:rFonts w:eastAsia="Times New Roman" w:cs="Times New Roman"/>
          <w:color w:val="FF0000"/>
          <w:szCs w:val="24"/>
          <w:lang w:eastAsia="cs-CZ"/>
        </w:rPr>
      </w:pPr>
      <w:r>
        <w:rPr>
          <w:noProof/>
          <w:lang w:eastAsia="cs-CZ"/>
        </w:rPr>
        <w:drawing>
          <wp:inline distT="0" distB="0" distL="0" distR="0" wp14:anchorId="6D332734" wp14:editId="6289C0D3">
            <wp:extent cx="5760720" cy="2768600"/>
            <wp:effectExtent l="0" t="0" r="11430" b="1270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4300A" w:rsidRPr="0001421C" w:rsidRDefault="00D4300A" w:rsidP="00D4300A">
      <w:pPr>
        <w:rPr>
          <w:rFonts w:eastAsia="Times New Roman" w:cs="Times New Roman"/>
          <w:color w:val="FF0000"/>
          <w:szCs w:val="24"/>
          <w:lang w:eastAsia="cs-CZ"/>
        </w:rPr>
      </w:pPr>
      <w:r w:rsidRPr="0001421C">
        <w:rPr>
          <w:rFonts w:eastAsia="Times New Roman" w:cs="Times New Roman"/>
          <w:color w:val="FF0000"/>
          <w:szCs w:val="24"/>
          <w:lang w:eastAsia="cs-CZ"/>
        </w:rPr>
        <w:br w:type="page"/>
      </w:r>
    </w:p>
    <w:p w:rsidR="00A36B40" w:rsidRPr="00B73030" w:rsidRDefault="00A36B40" w:rsidP="001C010B">
      <w:pPr>
        <w:pStyle w:val="Nadpis2"/>
      </w:pPr>
      <w:bookmarkStart w:id="122" w:name="_Toc526424713"/>
      <w:r w:rsidRPr="001C010B">
        <w:lastRenderedPageBreak/>
        <w:t>Výdaje</w:t>
      </w:r>
      <w:r w:rsidRPr="00B73030">
        <w:t xml:space="preserve"> na výzkum, vývoj a inovace</w:t>
      </w:r>
      <w:bookmarkEnd w:id="112"/>
      <w:bookmarkEnd w:id="122"/>
    </w:p>
    <w:p w:rsidR="00B73030" w:rsidRPr="00CC6CFC" w:rsidRDefault="00B73030" w:rsidP="00B73030">
      <w:pPr>
        <w:pStyle w:val="Styl1"/>
      </w:pPr>
      <w:r w:rsidRPr="00CC6CFC">
        <w:t xml:space="preserve">Pro rok 2019 jsou navrhovány výdaje na výzkum, vývoj a inovace ve výši 50 000 tis Kč (neinvestiční prostředky 42 750 tis. Kč a investiční prostředky 7 250 tis. Kč), v plné výši jde </w:t>
      </w:r>
      <w:r w:rsidRPr="00CC6CFC">
        <w:br/>
        <w:t xml:space="preserve">o institucionální podporu. V souladu s UV č. 477/2016 jsou tyto výdaje určeny pro veřejnou výzkumnou instituci Centrum dopravního výzkumu, jejímž zřizovatelem je Ministerstvo dopravy. Navrhovaná částka pro 2019 je na úrovni roku 2018 a je rozdělena na neinvestiční </w:t>
      </w:r>
      <w:r w:rsidRPr="00CC6CFC">
        <w:br/>
        <w:t xml:space="preserve">a investiční část. </w:t>
      </w:r>
    </w:p>
    <w:p w:rsidR="00B73030" w:rsidRPr="00654FEB" w:rsidRDefault="00B73030" w:rsidP="00B73030">
      <w:pPr>
        <w:pStyle w:val="Styl1"/>
        <w:rPr>
          <w:bCs/>
        </w:rPr>
      </w:pPr>
      <w:r>
        <w:t xml:space="preserve">Prostředky na výzkum, vývoj a inovace jsou poskytovány od roku 2017, </w:t>
      </w:r>
      <w:r w:rsidRPr="00F464C1">
        <w:t xml:space="preserve">v letech </w:t>
      </w:r>
      <w:r>
        <w:br/>
      </w:r>
      <w:r w:rsidRPr="00F464C1">
        <w:t xml:space="preserve">2012 - 2016 </w:t>
      </w:r>
      <w:r>
        <w:t xml:space="preserve">nebyly </w:t>
      </w:r>
      <w:r w:rsidRPr="00F464C1">
        <w:t>v kapitole 327 Ministerstvo dopravy rozpočtovány</w:t>
      </w:r>
      <w:r w:rsidRPr="00B77E56">
        <w:rPr>
          <w:color w:val="FF0000"/>
        </w:rPr>
        <w:t xml:space="preserve">. </w:t>
      </w:r>
      <w:r w:rsidRPr="00F464C1">
        <w:t xml:space="preserve">V souladu s „Reformou systému výzkumu a vývoje a inovací v České republice“, která byla schválena usnesením vlády č. 287 ze dne 26. 3. 2008, byly výdaje na výzkum a vývoj v kapitole Ministerstvo dopravy postupně snižovány s tím, že od </w:t>
      </w:r>
      <w:r>
        <w:t xml:space="preserve">roku 2012 byla podpora výzkumu </w:t>
      </w:r>
      <w:r w:rsidRPr="00F464C1">
        <w:t xml:space="preserve">a vývoje za oblast dopravy již plně v gesci Technologické agentury ČR. Veřejná výzkumná instituce Centrum dopravního výzkumu, výzkumná instituce resortu dopravy, od roku 2011 pobírala institucionální podporu od </w:t>
      </w:r>
      <w:r w:rsidRPr="00F464C1">
        <w:rPr>
          <w:bCs/>
        </w:rPr>
        <w:t>kapitoly 333 – MŠMT.</w:t>
      </w:r>
      <w:r>
        <w:rPr>
          <w:bCs/>
        </w:rPr>
        <w:t xml:space="preserve"> </w:t>
      </w:r>
    </w:p>
    <w:p w:rsidR="00A36B40" w:rsidRPr="00BA1C1A" w:rsidRDefault="00A36B40" w:rsidP="001C010B">
      <w:pPr>
        <w:pStyle w:val="Nadpis2"/>
      </w:pPr>
      <w:bookmarkStart w:id="123" w:name="_Toc462314413"/>
      <w:bookmarkStart w:id="124" w:name="_Toc526424714"/>
      <w:r w:rsidRPr="00BA1C1A">
        <w:t>Výdaje na významné veřejné zakázky</w:t>
      </w:r>
      <w:bookmarkEnd w:id="123"/>
      <w:bookmarkEnd w:id="124"/>
    </w:p>
    <w:p w:rsidR="00BA1C1A" w:rsidRPr="0043437C" w:rsidRDefault="00BA1C1A" w:rsidP="00BA1C1A">
      <w:pPr>
        <w:pStyle w:val="Styl1"/>
      </w:pPr>
      <w:r w:rsidRPr="0043437C">
        <w:t xml:space="preserve">Ministerstvo dopravy pro rok 2019 eviduje ve výdajích státního rozpočtu 4 veřejné zakázky o předpokládané hodnotě  nad 300 mil. Kč, z toho tři smlouvy jsou již podepsané </w:t>
      </w:r>
      <w:r>
        <w:br/>
      </w:r>
      <w:r w:rsidRPr="0043437C">
        <w:t>a jedna je ve fází přípravy veřejn</w:t>
      </w:r>
      <w:r>
        <w:t>é zakázky. Konkrétně se jedná o</w:t>
      </w:r>
      <w:r w:rsidRPr="0043437C">
        <w:t xml:space="preserve">: </w:t>
      </w:r>
    </w:p>
    <w:p w:rsidR="00BA1C1A" w:rsidRPr="0043437C" w:rsidRDefault="00BA1C1A" w:rsidP="001C010B">
      <w:pPr>
        <w:tabs>
          <w:tab w:val="left" w:pos="567"/>
        </w:tabs>
        <w:spacing w:before="120" w:after="240"/>
        <w:rPr>
          <w:rFonts w:eastAsia="Times New Roman" w:cs="Times New Roman"/>
          <w:b/>
          <w:szCs w:val="24"/>
          <w:lang w:eastAsia="cs-CZ"/>
        </w:rPr>
      </w:pPr>
      <w:r>
        <w:tab/>
      </w:r>
      <w:r w:rsidRPr="0043437C">
        <w:rPr>
          <w:rFonts w:eastAsia="Times New Roman" w:cs="Times New Roman"/>
          <w:b/>
          <w:szCs w:val="24"/>
          <w:lang w:eastAsia="cs-CZ"/>
        </w:rPr>
        <w:t xml:space="preserve">Smlouvy uzavřené: </w:t>
      </w:r>
    </w:p>
    <w:p w:rsidR="00BA1C1A" w:rsidRDefault="00BA1C1A" w:rsidP="00F04969">
      <w:pPr>
        <w:pStyle w:val="Styl1"/>
        <w:numPr>
          <w:ilvl w:val="0"/>
          <w:numId w:val="40"/>
        </w:numPr>
        <w:tabs>
          <w:tab w:val="clear" w:pos="720"/>
          <w:tab w:val="num" w:pos="851"/>
        </w:tabs>
        <w:spacing w:after="120"/>
        <w:ind w:left="851" w:hanging="284"/>
      </w:pPr>
      <w:r w:rsidRPr="0043437C">
        <w:t xml:space="preserve">Dodávky tabulek registračních značek </w:t>
      </w:r>
      <w:r>
        <w:t xml:space="preserve"> </w:t>
      </w:r>
    </w:p>
    <w:p w:rsidR="00BA1C1A" w:rsidRDefault="00BA1C1A" w:rsidP="00F04969">
      <w:pPr>
        <w:pStyle w:val="Styl1"/>
        <w:numPr>
          <w:ilvl w:val="0"/>
          <w:numId w:val="40"/>
        </w:numPr>
        <w:tabs>
          <w:tab w:val="clear" w:pos="720"/>
          <w:tab w:val="num" w:pos="851"/>
        </w:tabs>
        <w:spacing w:after="120"/>
        <w:ind w:left="851" w:hanging="284"/>
      </w:pPr>
      <w:r>
        <w:t>Výroba a dodávka řidičských průkazů, žádostí o udělení ŘO a vydání ŘP</w:t>
      </w:r>
    </w:p>
    <w:p w:rsidR="00BA1C1A" w:rsidRPr="0043437C" w:rsidRDefault="00BA1C1A" w:rsidP="00F04969">
      <w:pPr>
        <w:pStyle w:val="Styl1"/>
        <w:numPr>
          <w:ilvl w:val="0"/>
          <w:numId w:val="40"/>
        </w:numPr>
        <w:tabs>
          <w:tab w:val="clear" w:pos="720"/>
          <w:tab w:val="num" w:pos="851"/>
        </w:tabs>
        <w:ind w:left="851" w:hanging="284"/>
      </w:pPr>
      <w:r>
        <w:t xml:space="preserve">Poskytování služeb provozu infrastruktury pro informační systémy Ministerstva dopravy </w:t>
      </w:r>
    </w:p>
    <w:p w:rsidR="00BA1C1A" w:rsidRPr="0043437C" w:rsidRDefault="00BA1C1A" w:rsidP="004450E8">
      <w:pPr>
        <w:tabs>
          <w:tab w:val="left" w:pos="567"/>
        </w:tabs>
        <w:spacing w:after="240"/>
        <w:ind w:left="567"/>
        <w:rPr>
          <w:rFonts w:eastAsia="Times New Roman" w:cs="Times New Roman"/>
          <w:b/>
          <w:szCs w:val="24"/>
          <w:lang w:eastAsia="cs-CZ"/>
        </w:rPr>
      </w:pPr>
      <w:r>
        <w:rPr>
          <w:rFonts w:eastAsia="Times New Roman" w:cs="Times New Roman"/>
          <w:b/>
          <w:szCs w:val="24"/>
          <w:lang w:eastAsia="cs-CZ"/>
        </w:rPr>
        <w:t>Příprava veřejné zakázky</w:t>
      </w:r>
      <w:r w:rsidRPr="0043437C">
        <w:rPr>
          <w:rFonts w:eastAsia="Times New Roman" w:cs="Times New Roman"/>
          <w:b/>
          <w:szCs w:val="24"/>
          <w:lang w:eastAsia="cs-CZ"/>
        </w:rPr>
        <w:t xml:space="preserve">: </w:t>
      </w:r>
    </w:p>
    <w:p w:rsidR="00BA1C1A" w:rsidRDefault="00BA1C1A" w:rsidP="00F04969">
      <w:pPr>
        <w:pStyle w:val="Odstavecseseznamem"/>
        <w:numPr>
          <w:ilvl w:val="0"/>
          <w:numId w:val="41"/>
        </w:numPr>
        <w:spacing w:after="240"/>
        <w:ind w:left="851" w:hanging="284"/>
      </w:pPr>
      <w:r>
        <w:t xml:space="preserve">Výroba řidičských průkazu </w:t>
      </w:r>
      <w:r w:rsidRPr="0043437C">
        <w:t>(předpoklad</w:t>
      </w:r>
      <w:r>
        <w:t xml:space="preserve"> platnosti od roku 2019)</w:t>
      </w:r>
    </w:p>
    <w:p w:rsidR="00BA1C1A" w:rsidRPr="00F947B6" w:rsidRDefault="00BA1C1A" w:rsidP="00BA1C1A">
      <w:pPr>
        <w:pStyle w:val="Styl1"/>
        <w:rPr>
          <w:color w:val="FF0000"/>
        </w:rPr>
      </w:pPr>
      <w:r w:rsidRPr="004E6464">
        <w:t xml:space="preserve">Podrobné údaje </w:t>
      </w:r>
      <w:r>
        <w:t>k jednotlivým smlouvám</w:t>
      </w:r>
      <w:r w:rsidRPr="004E6464">
        <w:t xml:space="preserve"> s uvedením celkových předpokládaných výdajů, s přehledem čerpání do roku 2017 a s </w:t>
      </w:r>
      <w:r w:rsidR="006A00FF" w:rsidRPr="004E6464">
        <w:t>predikcí</w:t>
      </w:r>
      <w:r w:rsidRPr="004E6464">
        <w:t xml:space="preserve"> čerpání pro roky 2018 a dále jsou uvedené v </w:t>
      </w:r>
      <w:r w:rsidRPr="008F2721">
        <w:t>Příloze č. 10.</w:t>
      </w:r>
    </w:p>
    <w:p w:rsidR="00BD28A7" w:rsidRPr="0001421C" w:rsidRDefault="00BD28A7" w:rsidP="00902029">
      <w:pPr>
        <w:spacing w:before="240" w:line="240" w:lineRule="auto"/>
        <w:ind w:firstLine="539"/>
        <w:rPr>
          <w:rFonts w:eastAsia="Times New Roman" w:cs="Times New Roman"/>
          <w:color w:val="FF0000"/>
          <w:szCs w:val="24"/>
          <w:lang w:eastAsia="cs-CZ"/>
        </w:rPr>
      </w:pPr>
    </w:p>
    <w:sectPr w:rsidR="00BD28A7" w:rsidRPr="0001421C" w:rsidSect="001C12CE">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7A6" w:rsidRDefault="00BF77A6" w:rsidP="000E081D">
      <w:pPr>
        <w:spacing w:line="240" w:lineRule="auto"/>
      </w:pPr>
      <w:r>
        <w:separator/>
      </w:r>
    </w:p>
  </w:endnote>
  <w:endnote w:type="continuationSeparator" w:id="0">
    <w:p w:rsidR="00BF77A6" w:rsidRDefault="00BF77A6" w:rsidP="000E08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7A6" w:rsidRDefault="00BF77A6">
    <w:pPr>
      <w:pStyle w:val="Zpat"/>
      <w:jc w:val="center"/>
    </w:pPr>
  </w:p>
  <w:p w:rsidR="00BF77A6" w:rsidRDefault="00BF77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2056"/>
      <w:docPartObj>
        <w:docPartGallery w:val="Page Numbers (Bottom of Page)"/>
        <w:docPartUnique/>
      </w:docPartObj>
    </w:sdtPr>
    <w:sdtContent>
      <w:p w:rsidR="00BF77A6" w:rsidRDefault="00BF77A6">
        <w:pPr>
          <w:pStyle w:val="Zpat"/>
          <w:jc w:val="center"/>
        </w:pPr>
        <w:r>
          <w:fldChar w:fldCharType="begin"/>
        </w:r>
        <w:r>
          <w:instrText>PAGE   \* MERGEFORMAT</w:instrText>
        </w:r>
        <w:r>
          <w:fldChar w:fldCharType="separate"/>
        </w:r>
        <w:r w:rsidR="00BD5F7C">
          <w:rPr>
            <w:noProof/>
          </w:rPr>
          <w:t>60</w:t>
        </w:r>
        <w:r>
          <w:fldChar w:fldCharType="end"/>
        </w:r>
      </w:p>
    </w:sdtContent>
  </w:sdt>
  <w:p w:rsidR="00BF77A6" w:rsidRDefault="00BF77A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812810"/>
      <w:docPartObj>
        <w:docPartGallery w:val="Page Numbers (Bottom of Page)"/>
        <w:docPartUnique/>
      </w:docPartObj>
    </w:sdtPr>
    <w:sdtContent>
      <w:p w:rsidR="00BF77A6" w:rsidRDefault="00BF77A6">
        <w:pPr>
          <w:pStyle w:val="Zpat"/>
          <w:jc w:val="center"/>
        </w:pPr>
        <w:r>
          <w:fldChar w:fldCharType="begin"/>
        </w:r>
        <w:r>
          <w:instrText>PAGE   \* MERGEFORMAT</w:instrText>
        </w:r>
        <w:r>
          <w:fldChar w:fldCharType="separate"/>
        </w:r>
        <w:r w:rsidR="00BD5F7C">
          <w:rPr>
            <w:noProof/>
          </w:rPr>
          <w:t>1</w:t>
        </w:r>
        <w:r>
          <w:fldChar w:fldCharType="end"/>
        </w:r>
      </w:p>
    </w:sdtContent>
  </w:sdt>
  <w:p w:rsidR="00BF77A6" w:rsidRDefault="00BF77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7A6" w:rsidRDefault="00BF77A6" w:rsidP="000E081D">
      <w:pPr>
        <w:spacing w:line="240" w:lineRule="auto"/>
      </w:pPr>
      <w:r>
        <w:separator/>
      </w:r>
    </w:p>
  </w:footnote>
  <w:footnote w:type="continuationSeparator" w:id="0">
    <w:p w:rsidR="00BF77A6" w:rsidRDefault="00BF77A6" w:rsidP="000E08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7A6" w:rsidRDefault="00BF77A6">
    <w:pPr>
      <w:pStyle w:val="Zhlav"/>
      <w:jc w:val="center"/>
    </w:pPr>
  </w:p>
  <w:p w:rsidR="00BF77A6" w:rsidRDefault="00BF77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4DCD"/>
    <w:multiLevelType w:val="hybridMultilevel"/>
    <w:tmpl w:val="0324EC6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57CE1"/>
    <w:multiLevelType w:val="hybridMultilevel"/>
    <w:tmpl w:val="444EBBB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CE31233"/>
    <w:multiLevelType w:val="hybridMultilevel"/>
    <w:tmpl w:val="D162447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D9C492F"/>
    <w:multiLevelType w:val="hybridMultilevel"/>
    <w:tmpl w:val="B0122B66"/>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EA925D8"/>
    <w:multiLevelType w:val="hybridMultilevel"/>
    <w:tmpl w:val="E162F7C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0356925"/>
    <w:multiLevelType w:val="hybridMultilevel"/>
    <w:tmpl w:val="D61C7E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A24794"/>
    <w:multiLevelType w:val="hybridMultilevel"/>
    <w:tmpl w:val="7FC66B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pStyle w:val="OPD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785C7B"/>
    <w:multiLevelType w:val="hybridMultilevel"/>
    <w:tmpl w:val="487E8DE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3E32E35"/>
    <w:multiLevelType w:val="hybridMultilevel"/>
    <w:tmpl w:val="81D8C978"/>
    <w:lvl w:ilvl="0" w:tplc="0405000B">
      <w:start w:val="1"/>
      <w:numFmt w:val="bullet"/>
      <w:lvlText w:val=""/>
      <w:lvlJc w:val="left"/>
      <w:pPr>
        <w:ind w:left="1259" w:hanging="360"/>
      </w:pPr>
      <w:rPr>
        <w:rFonts w:ascii="Wingdings" w:hAnsi="Wingdings"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9" w15:restartNumberingAfterBreak="0">
    <w:nsid w:val="155524FB"/>
    <w:multiLevelType w:val="hybridMultilevel"/>
    <w:tmpl w:val="EACC3A5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5E23587"/>
    <w:multiLevelType w:val="hybridMultilevel"/>
    <w:tmpl w:val="87869EE2"/>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8A35B3C"/>
    <w:multiLevelType w:val="hybridMultilevel"/>
    <w:tmpl w:val="CAB4E3E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E1F412F"/>
    <w:multiLevelType w:val="hybridMultilevel"/>
    <w:tmpl w:val="11EE5474"/>
    <w:lvl w:ilvl="0" w:tplc="04050001">
      <w:start w:val="1"/>
      <w:numFmt w:val="bullet"/>
      <w:lvlText w:val=""/>
      <w:lvlJc w:val="left"/>
      <w:pPr>
        <w:tabs>
          <w:tab w:val="num" w:pos="720"/>
        </w:tabs>
        <w:ind w:left="720" w:hanging="360"/>
      </w:pPr>
      <w:rPr>
        <w:rFonts w:ascii="Symbol" w:hAnsi="Symbol"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22254A"/>
    <w:multiLevelType w:val="hybridMultilevel"/>
    <w:tmpl w:val="82DE0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262E46"/>
    <w:multiLevelType w:val="hybridMultilevel"/>
    <w:tmpl w:val="18F84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4C37BC"/>
    <w:multiLevelType w:val="hybridMultilevel"/>
    <w:tmpl w:val="59A692E2"/>
    <w:lvl w:ilvl="0" w:tplc="04050005">
      <w:start w:val="1"/>
      <w:numFmt w:val="bullet"/>
      <w:lvlText w:val=""/>
      <w:lvlJc w:val="left"/>
      <w:pPr>
        <w:tabs>
          <w:tab w:val="num" w:pos="644"/>
        </w:tabs>
        <w:ind w:left="644" w:hanging="360"/>
      </w:pPr>
      <w:rPr>
        <w:rFonts w:ascii="Wingdings" w:hAnsi="Wingdings" w:hint="default"/>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2CCC5793"/>
    <w:multiLevelType w:val="hybridMultilevel"/>
    <w:tmpl w:val="FABA615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2CED4646"/>
    <w:multiLevelType w:val="hybridMultilevel"/>
    <w:tmpl w:val="7B48F3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EC53F1"/>
    <w:multiLevelType w:val="hybridMultilevel"/>
    <w:tmpl w:val="0E2AA4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32151C7D"/>
    <w:multiLevelType w:val="hybridMultilevel"/>
    <w:tmpl w:val="1F52DDF2"/>
    <w:lvl w:ilvl="0" w:tplc="04050005">
      <w:start w:val="1"/>
      <w:numFmt w:val="bullet"/>
      <w:lvlText w:val=""/>
      <w:lvlJc w:val="left"/>
      <w:pPr>
        <w:tabs>
          <w:tab w:val="num" w:pos="720"/>
        </w:tabs>
        <w:ind w:left="720" w:hanging="360"/>
      </w:pPr>
      <w:rPr>
        <w:rFonts w:ascii="Wingdings" w:hAnsi="Wingdings"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6B01A2"/>
    <w:multiLevelType w:val="hybridMultilevel"/>
    <w:tmpl w:val="502AC61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1" w15:restartNumberingAfterBreak="0">
    <w:nsid w:val="36354032"/>
    <w:multiLevelType w:val="hybridMultilevel"/>
    <w:tmpl w:val="7084ED68"/>
    <w:lvl w:ilvl="0" w:tplc="3AC4FFA6">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5">
      <w:start w:val="1"/>
      <w:numFmt w:val="bullet"/>
      <w:lvlText w:val=""/>
      <w:lvlJc w:val="left"/>
      <w:pPr>
        <w:tabs>
          <w:tab w:val="num" w:pos="1440"/>
        </w:tabs>
        <w:ind w:left="1440" w:hanging="360"/>
      </w:pPr>
      <w:rPr>
        <w:rFonts w:ascii="Wingdings" w:hAnsi="Wingdings" w:hint="default"/>
      </w:rPr>
    </w:lvl>
    <w:lvl w:ilvl="2" w:tplc="1A4299BC">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08749C"/>
    <w:multiLevelType w:val="hybridMultilevel"/>
    <w:tmpl w:val="943A1B04"/>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388046B5"/>
    <w:multiLevelType w:val="hybridMultilevel"/>
    <w:tmpl w:val="9140B4F0"/>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39390239"/>
    <w:multiLevelType w:val="hybridMultilevel"/>
    <w:tmpl w:val="EA00AF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3A9A6152"/>
    <w:multiLevelType w:val="hybridMultilevel"/>
    <w:tmpl w:val="068A54CC"/>
    <w:lvl w:ilvl="0" w:tplc="0405000B">
      <w:start w:val="1"/>
      <w:numFmt w:val="bullet"/>
      <w:lvlText w:val=""/>
      <w:lvlJc w:val="left"/>
      <w:pPr>
        <w:ind w:left="1320" w:hanging="360"/>
      </w:pPr>
      <w:rPr>
        <w:rFonts w:ascii="Wingdings" w:hAnsi="Wingdings"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40EA1EFC"/>
    <w:multiLevelType w:val="hybridMultilevel"/>
    <w:tmpl w:val="DF507D22"/>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39331A5"/>
    <w:multiLevelType w:val="hybridMultilevel"/>
    <w:tmpl w:val="946EDE6E"/>
    <w:lvl w:ilvl="0" w:tplc="9D6E0E26">
      <w:start w:val="1"/>
      <w:numFmt w:val="decimal"/>
      <w:lvlText w:val="%1)"/>
      <w:lvlJc w:val="left"/>
      <w:pPr>
        <w:tabs>
          <w:tab w:val="num" w:pos="2327"/>
        </w:tabs>
        <w:ind w:left="2327" w:hanging="360"/>
      </w:pPr>
      <w:rPr>
        <w:rFonts w:hint="default"/>
        <w:b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4F943B2"/>
    <w:multiLevelType w:val="hybridMultilevel"/>
    <w:tmpl w:val="1818BFF8"/>
    <w:lvl w:ilvl="0" w:tplc="44B2CE02">
      <w:start w:val="1"/>
      <w:numFmt w:val="bullet"/>
      <w:pStyle w:val="KOModrky"/>
      <w:lvlText w:val=""/>
      <w:lvlJc w:val="left"/>
      <w:pPr>
        <w:tabs>
          <w:tab w:val="num" w:pos="1088"/>
        </w:tabs>
        <w:ind w:left="1088" w:hanging="227"/>
      </w:pPr>
      <w:rPr>
        <w:rFonts w:ascii="Wingdings" w:hAnsi="Wingdings" w:hint="default"/>
        <w:color w:val="auto"/>
      </w:rPr>
    </w:lvl>
    <w:lvl w:ilvl="1" w:tplc="04050003" w:tentative="1">
      <w:start w:val="1"/>
      <w:numFmt w:val="bullet"/>
      <w:lvlText w:val="o"/>
      <w:lvlJc w:val="left"/>
      <w:pPr>
        <w:tabs>
          <w:tab w:val="num" w:pos="1734"/>
        </w:tabs>
        <w:ind w:left="1734" w:hanging="360"/>
      </w:pPr>
      <w:rPr>
        <w:rFonts w:ascii="Courier New" w:hAnsi="Courier New" w:cs="Courier New" w:hint="default"/>
      </w:rPr>
    </w:lvl>
    <w:lvl w:ilvl="2" w:tplc="04050005" w:tentative="1">
      <w:start w:val="1"/>
      <w:numFmt w:val="bullet"/>
      <w:lvlText w:val=""/>
      <w:lvlJc w:val="left"/>
      <w:pPr>
        <w:tabs>
          <w:tab w:val="num" w:pos="2454"/>
        </w:tabs>
        <w:ind w:left="2454" w:hanging="360"/>
      </w:pPr>
      <w:rPr>
        <w:rFonts w:ascii="Wingdings" w:hAnsi="Wingdings" w:hint="default"/>
      </w:rPr>
    </w:lvl>
    <w:lvl w:ilvl="3" w:tplc="04050001" w:tentative="1">
      <w:start w:val="1"/>
      <w:numFmt w:val="bullet"/>
      <w:lvlText w:val=""/>
      <w:lvlJc w:val="left"/>
      <w:pPr>
        <w:tabs>
          <w:tab w:val="num" w:pos="3174"/>
        </w:tabs>
        <w:ind w:left="3174" w:hanging="360"/>
      </w:pPr>
      <w:rPr>
        <w:rFonts w:ascii="Symbol" w:hAnsi="Symbol" w:hint="default"/>
      </w:rPr>
    </w:lvl>
    <w:lvl w:ilvl="4" w:tplc="04050003" w:tentative="1">
      <w:start w:val="1"/>
      <w:numFmt w:val="bullet"/>
      <w:lvlText w:val="o"/>
      <w:lvlJc w:val="left"/>
      <w:pPr>
        <w:tabs>
          <w:tab w:val="num" w:pos="3894"/>
        </w:tabs>
        <w:ind w:left="3894" w:hanging="360"/>
      </w:pPr>
      <w:rPr>
        <w:rFonts w:ascii="Courier New" w:hAnsi="Courier New" w:cs="Courier New" w:hint="default"/>
      </w:rPr>
    </w:lvl>
    <w:lvl w:ilvl="5" w:tplc="04050005" w:tentative="1">
      <w:start w:val="1"/>
      <w:numFmt w:val="bullet"/>
      <w:lvlText w:val=""/>
      <w:lvlJc w:val="left"/>
      <w:pPr>
        <w:tabs>
          <w:tab w:val="num" w:pos="4614"/>
        </w:tabs>
        <w:ind w:left="4614" w:hanging="360"/>
      </w:pPr>
      <w:rPr>
        <w:rFonts w:ascii="Wingdings" w:hAnsi="Wingdings" w:hint="default"/>
      </w:rPr>
    </w:lvl>
    <w:lvl w:ilvl="6" w:tplc="04050001" w:tentative="1">
      <w:start w:val="1"/>
      <w:numFmt w:val="bullet"/>
      <w:lvlText w:val=""/>
      <w:lvlJc w:val="left"/>
      <w:pPr>
        <w:tabs>
          <w:tab w:val="num" w:pos="5334"/>
        </w:tabs>
        <w:ind w:left="5334" w:hanging="360"/>
      </w:pPr>
      <w:rPr>
        <w:rFonts w:ascii="Symbol" w:hAnsi="Symbol" w:hint="default"/>
      </w:rPr>
    </w:lvl>
    <w:lvl w:ilvl="7" w:tplc="04050003" w:tentative="1">
      <w:start w:val="1"/>
      <w:numFmt w:val="bullet"/>
      <w:lvlText w:val="o"/>
      <w:lvlJc w:val="left"/>
      <w:pPr>
        <w:tabs>
          <w:tab w:val="num" w:pos="6054"/>
        </w:tabs>
        <w:ind w:left="6054" w:hanging="360"/>
      </w:pPr>
      <w:rPr>
        <w:rFonts w:ascii="Courier New" w:hAnsi="Courier New" w:cs="Courier New" w:hint="default"/>
      </w:rPr>
    </w:lvl>
    <w:lvl w:ilvl="8" w:tplc="04050005" w:tentative="1">
      <w:start w:val="1"/>
      <w:numFmt w:val="bullet"/>
      <w:lvlText w:val=""/>
      <w:lvlJc w:val="left"/>
      <w:pPr>
        <w:tabs>
          <w:tab w:val="num" w:pos="6774"/>
        </w:tabs>
        <w:ind w:left="6774" w:hanging="360"/>
      </w:pPr>
      <w:rPr>
        <w:rFonts w:ascii="Wingdings" w:hAnsi="Wingdings" w:hint="default"/>
      </w:rPr>
    </w:lvl>
  </w:abstractNum>
  <w:abstractNum w:abstractNumId="29" w15:restartNumberingAfterBreak="0">
    <w:nsid w:val="45116264"/>
    <w:multiLevelType w:val="hybridMultilevel"/>
    <w:tmpl w:val="CE540650"/>
    <w:lvl w:ilvl="0" w:tplc="04050005">
      <w:start w:val="1"/>
      <w:numFmt w:val="bullet"/>
      <w:lvlText w:val=""/>
      <w:lvlJc w:val="left"/>
      <w:pPr>
        <w:ind w:left="1259" w:hanging="360"/>
      </w:pPr>
      <w:rPr>
        <w:rFonts w:ascii="Wingdings" w:hAnsi="Wingdings"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30" w15:restartNumberingAfterBreak="0">
    <w:nsid w:val="45273E93"/>
    <w:multiLevelType w:val="hybridMultilevel"/>
    <w:tmpl w:val="91AABDA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565035D"/>
    <w:multiLevelType w:val="hybridMultilevel"/>
    <w:tmpl w:val="814CADD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46614754"/>
    <w:multiLevelType w:val="hybridMultilevel"/>
    <w:tmpl w:val="356E14F8"/>
    <w:lvl w:ilvl="0" w:tplc="04050005">
      <w:start w:val="1"/>
      <w:numFmt w:val="bullet"/>
      <w:lvlText w:val=""/>
      <w:lvlJc w:val="left"/>
      <w:pPr>
        <w:ind w:left="1259" w:hanging="360"/>
      </w:pPr>
      <w:rPr>
        <w:rFonts w:ascii="Wingdings" w:hAnsi="Wingdings"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33" w15:restartNumberingAfterBreak="0">
    <w:nsid w:val="4A950CD3"/>
    <w:multiLevelType w:val="hybridMultilevel"/>
    <w:tmpl w:val="496661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B885D49"/>
    <w:multiLevelType w:val="multilevel"/>
    <w:tmpl w:val="5A0A87B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ascii="Times New Roman" w:hAnsi="Times New Roman" w:cs="Times New Roman"/>
        <w:b/>
        <w:bCs w:val="0"/>
        <w:i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3924"/>
        </w:tabs>
        <w:ind w:left="3924" w:hanging="1584"/>
      </w:pPr>
      <w:rPr>
        <w:rFonts w:hint="default"/>
      </w:rPr>
    </w:lvl>
  </w:abstractNum>
  <w:abstractNum w:abstractNumId="35" w15:restartNumberingAfterBreak="0">
    <w:nsid w:val="513A6A9B"/>
    <w:multiLevelType w:val="hybridMultilevel"/>
    <w:tmpl w:val="13784E3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2C05DD8"/>
    <w:multiLevelType w:val="hybridMultilevel"/>
    <w:tmpl w:val="E684D606"/>
    <w:lvl w:ilvl="0" w:tplc="04050005">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56CE71B8"/>
    <w:multiLevelType w:val="hybridMultilevel"/>
    <w:tmpl w:val="FA4A6D5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1A65A94"/>
    <w:multiLevelType w:val="hybridMultilevel"/>
    <w:tmpl w:val="4154B3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A755432"/>
    <w:multiLevelType w:val="hybridMultilevel"/>
    <w:tmpl w:val="30D2679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0" w15:restartNumberingAfterBreak="0">
    <w:nsid w:val="6F572B19"/>
    <w:multiLevelType w:val="multilevel"/>
    <w:tmpl w:val="4A38A2F8"/>
    <w:lvl w:ilvl="0">
      <w:start w:val="1"/>
      <w:numFmt w:val="bullet"/>
      <w:lvlText w:val=""/>
      <w:lvlJc w:val="left"/>
      <w:pPr>
        <w:tabs>
          <w:tab w:val="num" w:pos="432"/>
        </w:tabs>
        <w:ind w:left="432" w:hanging="432"/>
      </w:pPr>
      <w:rPr>
        <w:rFonts w:ascii="Wingdings" w:hAnsi="Wingding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23A6AB0"/>
    <w:multiLevelType w:val="hybridMultilevel"/>
    <w:tmpl w:val="6E3432CC"/>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72F74259"/>
    <w:multiLevelType w:val="hybridMultilevel"/>
    <w:tmpl w:val="295E4EF6"/>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35729D6"/>
    <w:multiLevelType w:val="hybridMultilevel"/>
    <w:tmpl w:val="487C2DC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15:restartNumberingAfterBreak="0">
    <w:nsid w:val="74C6153E"/>
    <w:multiLevelType w:val="hybridMultilevel"/>
    <w:tmpl w:val="47B20DDE"/>
    <w:lvl w:ilvl="0" w:tplc="04050005">
      <w:start w:val="1"/>
      <w:numFmt w:val="bullet"/>
      <w:lvlText w:val=""/>
      <w:lvlJc w:val="left"/>
      <w:pPr>
        <w:ind w:left="1259" w:hanging="360"/>
      </w:pPr>
      <w:rPr>
        <w:rFonts w:ascii="Wingdings" w:hAnsi="Wingdings"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45" w15:restartNumberingAfterBreak="0">
    <w:nsid w:val="754F2D66"/>
    <w:multiLevelType w:val="hybridMultilevel"/>
    <w:tmpl w:val="F1284E22"/>
    <w:lvl w:ilvl="0" w:tplc="E2BE3B44">
      <w:start w:val="70"/>
      <w:numFmt w:val="bullet"/>
      <w:lvlText w:val="-"/>
      <w:lvlJc w:val="left"/>
      <w:pPr>
        <w:ind w:left="712" w:hanging="360"/>
      </w:pPr>
      <w:rPr>
        <w:rFonts w:ascii="Times New Roman" w:eastAsiaTheme="minorHAnsi" w:hAnsi="Times New Roman" w:cs="Times New Roman" w:hint="default"/>
      </w:rPr>
    </w:lvl>
    <w:lvl w:ilvl="1" w:tplc="04050003" w:tentative="1">
      <w:start w:val="1"/>
      <w:numFmt w:val="bullet"/>
      <w:lvlText w:val="o"/>
      <w:lvlJc w:val="left"/>
      <w:pPr>
        <w:ind w:left="1432" w:hanging="360"/>
      </w:pPr>
      <w:rPr>
        <w:rFonts w:ascii="Courier New" w:hAnsi="Courier New" w:cs="Courier New" w:hint="default"/>
      </w:rPr>
    </w:lvl>
    <w:lvl w:ilvl="2" w:tplc="04050005" w:tentative="1">
      <w:start w:val="1"/>
      <w:numFmt w:val="bullet"/>
      <w:lvlText w:val=""/>
      <w:lvlJc w:val="left"/>
      <w:pPr>
        <w:ind w:left="2152" w:hanging="360"/>
      </w:pPr>
      <w:rPr>
        <w:rFonts w:ascii="Wingdings" w:hAnsi="Wingdings" w:hint="default"/>
      </w:rPr>
    </w:lvl>
    <w:lvl w:ilvl="3" w:tplc="04050001" w:tentative="1">
      <w:start w:val="1"/>
      <w:numFmt w:val="bullet"/>
      <w:lvlText w:val=""/>
      <w:lvlJc w:val="left"/>
      <w:pPr>
        <w:ind w:left="2872" w:hanging="360"/>
      </w:pPr>
      <w:rPr>
        <w:rFonts w:ascii="Symbol" w:hAnsi="Symbol" w:hint="default"/>
      </w:rPr>
    </w:lvl>
    <w:lvl w:ilvl="4" w:tplc="04050003" w:tentative="1">
      <w:start w:val="1"/>
      <w:numFmt w:val="bullet"/>
      <w:lvlText w:val="o"/>
      <w:lvlJc w:val="left"/>
      <w:pPr>
        <w:ind w:left="3592" w:hanging="360"/>
      </w:pPr>
      <w:rPr>
        <w:rFonts w:ascii="Courier New" w:hAnsi="Courier New" w:cs="Courier New" w:hint="default"/>
      </w:rPr>
    </w:lvl>
    <w:lvl w:ilvl="5" w:tplc="04050005" w:tentative="1">
      <w:start w:val="1"/>
      <w:numFmt w:val="bullet"/>
      <w:lvlText w:val=""/>
      <w:lvlJc w:val="left"/>
      <w:pPr>
        <w:ind w:left="4312" w:hanging="360"/>
      </w:pPr>
      <w:rPr>
        <w:rFonts w:ascii="Wingdings" w:hAnsi="Wingdings" w:hint="default"/>
      </w:rPr>
    </w:lvl>
    <w:lvl w:ilvl="6" w:tplc="04050001" w:tentative="1">
      <w:start w:val="1"/>
      <w:numFmt w:val="bullet"/>
      <w:lvlText w:val=""/>
      <w:lvlJc w:val="left"/>
      <w:pPr>
        <w:ind w:left="5032" w:hanging="360"/>
      </w:pPr>
      <w:rPr>
        <w:rFonts w:ascii="Symbol" w:hAnsi="Symbol" w:hint="default"/>
      </w:rPr>
    </w:lvl>
    <w:lvl w:ilvl="7" w:tplc="04050003" w:tentative="1">
      <w:start w:val="1"/>
      <w:numFmt w:val="bullet"/>
      <w:lvlText w:val="o"/>
      <w:lvlJc w:val="left"/>
      <w:pPr>
        <w:ind w:left="5752" w:hanging="360"/>
      </w:pPr>
      <w:rPr>
        <w:rFonts w:ascii="Courier New" w:hAnsi="Courier New" w:cs="Courier New" w:hint="default"/>
      </w:rPr>
    </w:lvl>
    <w:lvl w:ilvl="8" w:tplc="04050005" w:tentative="1">
      <w:start w:val="1"/>
      <w:numFmt w:val="bullet"/>
      <w:lvlText w:val=""/>
      <w:lvlJc w:val="left"/>
      <w:pPr>
        <w:ind w:left="6472" w:hanging="360"/>
      </w:pPr>
      <w:rPr>
        <w:rFonts w:ascii="Wingdings" w:hAnsi="Wingdings" w:hint="default"/>
      </w:rPr>
    </w:lvl>
  </w:abstractNum>
  <w:abstractNum w:abstractNumId="46" w15:restartNumberingAfterBreak="0">
    <w:nsid w:val="757D0D82"/>
    <w:multiLevelType w:val="hybridMultilevel"/>
    <w:tmpl w:val="485EAFC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47" w15:restartNumberingAfterBreak="0">
    <w:nsid w:val="77221F97"/>
    <w:multiLevelType w:val="hybridMultilevel"/>
    <w:tmpl w:val="A5DC582C"/>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78EC560C"/>
    <w:multiLevelType w:val="hybridMultilevel"/>
    <w:tmpl w:val="AEEC28D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9" w15:restartNumberingAfterBreak="0">
    <w:nsid w:val="796D2B8B"/>
    <w:multiLevelType w:val="hybridMultilevel"/>
    <w:tmpl w:val="3E7A216A"/>
    <w:lvl w:ilvl="0" w:tplc="04050005">
      <w:start w:val="1"/>
      <w:numFmt w:val="bullet"/>
      <w:lvlText w:val=""/>
      <w:lvlJc w:val="left"/>
      <w:pPr>
        <w:ind w:left="1260" w:hanging="360"/>
      </w:pPr>
      <w:rPr>
        <w:rFonts w:ascii="Wingdings" w:hAnsi="Wingdings"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0" w15:restartNumberingAfterBreak="0">
    <w:nsid w:val="7A7B2085"/>
    <w:multiLevelType w:val="hybridMultilevel"/>
    <w:tmpl w:val="BAD2A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34"/>
  </w:num>
  <w:num w:numId="3">
    <w:abstractNumId w:val="28"/>
  </w:num>
  <w:num w:numId="4">
    <w:abstractNumId w:val="15"/>
  </w:num>
  <w:num w:numId="5">
    <w:abstractNumId w:val="21"/>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2"/>
    </w:lvlOverride>
    <w:lvlOverride w:ilvl="1">
      <w:startOverride w:val="1"/>
    </w:lvlOverride>
  </w:num>
  <w:num w:numId="8">
    <w:abstractNumId w:val="17"/>
  </w:num>
  <w:num w:numId="9">
    <w:abstractNumId w:val="12"/>
  </w:num>
  <w:num w:numId="10">
    <w:abstractNumId w:val="35"/>
  </w:num>
  <w:num w:numId="11">
    <w:abstractNumId w:val="6"/>
  </w:num>
  <w:num w:numId="12">
    <w:abstractNumId w:val="25"/>
  </w:num>
  <w:num w:numId="13">
    <w:abstractNumId w:val="40"/>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0"/>
  </w:num>
  <w:num w:numId="17">
    <w:abstractNumId w:val="14"/>
  </w:num>
  <w:num w:numId="18">
    <w:abstractNumId w:val="48"/>
  </w:num>
  <w:num w:numId="19">
    <w:abstractNumId w:val="43"/>
  </w:num>
  <w:num w:numId="20">
    <w:abstractNumId w:val="5"/>
  </w:num>
  <w:num w:numId="21">
    <w:abstractNumId w:val="27"/>
  </w:num>
  <w:num w:numId="22">
    <w:abstractNumId w:val="16"/>
  </w:num>
  <w:num w:numId="23">
    <w:abstractNumId w:val="39"/>
  </w:num>
  <w:num w:numId="24">
    <w:abstractNumId w:val="4"/>
  </w:num>
  <w:num w:numId="25">
    <w:abstractNumId w:val="45"/>
  </w:num>
  <w:num w:numId="26">
    <w:abstractNumId w:val="9"/>
  </w:num>
  <w:num w:numId="27">
    <w:abstractNumId w:val="24"/>
  </w:num>
  <w:num w:numId="28">
    <w:abstractNumId w:val="41"/>
  </w:num>
  <w:num w:numId="29">
    <w:abstractNumId w:val="7"/>
  </w:num>
  <w:num w:numId="30">
    <w:abstractNumId w:val="26"/>
  </w:num>
  <w:num w:numId="31">
    <w:abstractNumId w:val="42"/>
  </w:num>
  <w:num w:numId="32">
    <w:abstractNumId w:val="10"/>
  </w:num>
  <w:num w:numId="33">
    <w:abstractNumId w:val="37"/>
  </w:num>
  <w:num w:numId="34">
    <w:abstractNumId w:val="1"/>
  </w:num>
  <w:num w:numId="35">
    <w:abstractNumId w:val="23"/>
  </w:num>
  <w:num w:numId="36">
    <w:abstractNumId w:val="47"/>
  </w:num>
  <w:num w:numId="37">
    <w:abstractNumId w:val="30"/>
  </w:num>
  <w:num w:numId="38">
    <w:abstractNumId w:val="50"/>
  </w:num>
  <w:num w:numId="39">
    <w:abstractNumId w:val="33"/>
  </w:num>
  <w:num w:numId="40">
    <w:abstractNumId w:val="0"/>
  </w:num>
  <w:num w:numId="41">
    <w:abstractNumId w:val="36"/>
  </w:num>
  <w:num w:numId="42">
    <w:abstractNumId w:val="31"/>
  </w:num>
  <w:num w:numId="43">
    <w:abstractNumId w:val="3"/>
  </w:num>
  <w:num w:numId="44">
    <w:abstractNumId w:val="29"/>
  </w:num>
  <w:num w:numId="45">
    <w:abstractNumId w:val="8"/>
  </w:num>
  <w:num w:numId="46">
    <w:abstractNumId w:val="2"/>
  </w:num>
  <w:num w:numId="47">
    <w:abstractNumId w:val="18"/>
  </w:num>
  <w:num w:numId="48">
    <w:abstractNumId w:val="11"/>
  </w:num>
  <w:num w:numId="49">
    <w:abstractNumId w:val="46"/>
  </w:num>
  <w:num w:numId="50">
    <w:abstractNumId w:val="32"/>
  </w:num>
  <w:num w:numId="51">
    <w:abstractNumId w:val="44"/>
  </w:num>
  <w:num w:numId="52">
    <w:abstractNumId w:val="38"/>
  </w:num>
  <w:num w:numId="53">
    <w:abstractNumId w:val="49"/>
  </w:num>
  <w:num w:numId="54">
    <w:abstractNumId w:val="1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CC6"/>
    <w:rsid w:val="00005868"/>
    <w:rsid w:val="0001421C"/>
    <w:rsid w:val="00017072"/>
    <w:rsid w:val="00024ED6"/>
    <w:rsid w:val="0002683A"/>
    <w:rsid w:val="0002708E"/>
    <w:rsid w:val="0003357D"/>
    <w:rsid w:val="000339E1"/>
    <w:rsid w:val="0004122C"/>
    <w:rsid w:val="0004338A"/>
    <w:rsid w:val="00066398"/>
    <w:rsid w:val="00067432"/>
    <w:rsid w:val="00072BEE"/>
    <w:rsid w:val="00073472"/>
    <w:rsid w:val="00073E09"/>
    <w:rsid w:val="00086F5F"/>
    <w:rsid w:val="000A05A0"/>
    <w:rsid w:val="000A0894"/>
    <w:rsid w:val="000B1BAA"/>
    <w:rsid w:val="000B4DF3"/>
    <w:rsid w:val="000D436D"/>
    <w:rsid w:val="000D6EF7"/>
    <w:rsid w:val="000E081D"/>
    <w:rsid w:val="000E39FE"/>
    <w:rsid w:val="001058ED"/>
    <w:rsid w:val="00105D3B"/>
    <w:rsid w:val="00110C1B"/>
    <w:rsid w:val="0011184B"/>
    <w:rsid w:val="0011239A"/>
    <w:rsid w:val="00112A4F"/>
    <w:rsid w:val="00116485"/>
    <w:rsid w:val="00117161"/>
    <w:rsid w:val="0012151B"/>
    <w:rsid w:val="001269F2"/>
    <w:rsid w:val="00143948"/>
    <w:rsid w:val="00144267"/>
    <w:rsid w:val="00144ACB"/>
    <w:rsid w:val="00146324"/>
    <w:rsid w:val="00155C42"/>
    <w:rsid w:val="00181148"/>
    <w:rsid w:val="00190492"/>
    <w:rsid w:val="00193367"/>
    <w:rsid w:val="00197FCD"/>
    <w:rsid w:val="001A613F"/>
    <w:rsid w:val="001B4751"/>
    <w:rsid w:val="001C010B"/>
    <w:rsid w:val="001C12CE"/>
    <w:rsid w:val="001D1C48"/>
    <w:rsid w:val="001E5EC4"/>
    <w:rsid w:val="001E7131"/>
    <w:rsid w:val="001F0F2A"/>
    <w:rsid w:val="001F16A2"/>
    <w:rsid w:val="00202B9D"/>
    <w:rsid w:val="002037F2"/>
    <w:rsid w:val="00205789"/>
    <w:rsid w:val="00206AD2"/>
    <w:rsid w:val="00212620"/>
    <w:rsid w:val="002134EC"/>
    <w:rsid w:val="002241F7"/>
    <w:rsid w:val="0022569D"/>
    <w:rsid w:val="0022794A"/>
    <w:rsid w:val="0023222D"/>
    <w:rsid w:val="00233298"/>
    <w:rsid w:val="00244BD2"/>
    <w:rsid w:val="00260323"/>
    <w:rsid w:val="0029029B"/>
    <w:rsid w:val="002B1243"/>
    <w:rsid w:val="002B4A5E"/>
    <w:rsid w:val="002C13D3"/>
    <w:rsid w:val="002C39E4"/>
    <w:rsid w:val="002C756F"/>
    <w:rsid w:val="002D0B03"/>
    <w:rsid w:val="002D41EF"/>
    <w:rsid w:val="002D7CC6"/>
    <w:rsid w:val="002F1811"/>
    <w:rsid w:val="002F34A8"/>
    <w:rsid w:val="002F71C7"/>
    <w:rsid w:val="002F735C"/>
    <w:rsid w:val="0030260C"/>
    <w:rsid w:val="00303D6B"/>
    <w:rsid w:val="00317FDC"/>
    <w:rsid w:val="00323319"/>
    <w:rsid w:val="0032478C"/>
    <w:rsid w:val="00335598"/>
    <w:rsid w:val="00336739"/>
    <w:rsid w:val="0034196D"/>
    <w:rsid w:val="00342CC6"/>
    <w:rsid w:val="00347E0D"/>
    <w:rsid w:val="00350724"/>
    <w:rsid w:val="0035351F"/>
    <w:rsid w:val="003575D5"/>
    <w:rsid w:val="00362D6E"/>
    <w:rsid w:val="00363483"/>
    <w:rsid w:val="00374DFB"/>
    <w:rsid w:val="00375B9B"/>
    <w:rsid w:val="003870F8"/>
    <w:rsid w:val="00387D62"/>
    <w:rsid w:val="003A08D6"/>
    <w:rsid w:val="003A13DA"/>
    <w:rsid w:val="003A20EE"/>
    <w:rsid w:val="003B3E63"/>
    <w:rsid w:val="003C011C"/>
    <w:rsid w:val="003F0052"/>
    <w:rsid w:val="003F1D77"/>
    <w:rsid w:val="003F3B96"/>
    <w:rsid w:val="00403FE2"/>
    <w:rsid w:val="00422A53"/>
    <w:rsid w:val="00422F90"/>
    <w:rsid w:val="00427E0D"/>
    <w:rsid w:val="00433023"/>
    <w:rsid w:val="00433EE9"/>
    <w:rsid w:val="00436C64"/>
    <w:rsid w:val="004371E3"/>
    <w:rsid w:val="00442E48"/>
    <w:rsid w:val="004450E8"/>
    <w:rsid w:val="00460067"/>
    <w:rsid w:val="0046074B"/>
    <w:rsid w:val="0046525A"/>
    <w:rsid w:val="004661FF"/>
    <w:rsid w:val="004672A8"/>
    <w:rsid w:val="004717A0"/>
    <w:rsid w:val="004747D3"/>
    <w:rsid w:val="004757E1"/>
    <w:rsid w:val="00482B49"/>
    <w:rsid w:val="004852F4"/>
    <w:rsid w:val="00491AE6"/>
    <w:rsid w:val="004A394F"/>
    <w:rsid w:val="004A562C"/>
    <w:rsid w:val="004C0D86"/>
    <w:rsid w:val="004C1838"/>
    <w:rsid w:val="004C2547"/>
    <w:rsid w:val="004C49D4"/>
    <w:rsid w:val="004C4BA5"/>
    <w:rsid w:val="004D2E15"/>
    <w:rsid w:val="004E21CE"/>
    <w:rsid w:val="004E2DB6"/>
    <w:rsid w:val="004F0323"/>
    <w:rsid w:val="004F2FD7"/>
    <w:rsid w:val="0052265E"/>
    <w:rsid w:val="0052402E"/>
    <w:rsid w:val="005310AB"/>
    <w:rsid w:val="0053414F"/>
    <w:rsid w:val="00535F18"/>
    <w:rsid w:val="005430F0"/>
    <w:rsid w:val="005469A7"/>
    <w:rsid w:val="00550241"/>
    <w:rsid w:val="00554D10"/>
    <w:rsid w:val="0056133A"/>
    <w:rsid w:val="00567007"/>
    <w:rsid w:val="0057092C"/>
    <w:rsid w:val="00570CCB"/>
    <w:rsid w:val="005734BF"/>
    <w:rsid w:val="0057450B"/>
    <w:rsid w:val="00581375"/>
    <w:rsid w:val="00583985"/>
    <w:rsid w:val="00592AE9"/>
    <w:rsid w:val="005B5111"/>
    <w:rsid w:val="005C480E"/>
    <w:rsid w:val="005D61F5"/>
    <w:rsid w:val="005D6C8D"/>
    <w:rsid w:val="005E324C"/>
    <w:rsid w:val="005F7C46"/>
    <w:rsid w:val="00600CFF"/>
    <w:rsid w:val="00604271"/>
    <w:rsid w:val="00611A31"/>
    <w:rsid w:val="00621FE8"/>
    <w:rsid w:val="00625FC3"/>
    <w:rsid w:val="00626359"/>
    <w:rsid w:val="0063792F"/>
    <w:rsid w:val="006465A8"/>
    <w:rsid w:val="006570BC"/>
    <w:rsid w:val="00661A18"/>
    <w:rsid w:val="00662192"/>
    <w:rsid w:val="006627F2"/>
    <w:rsid w:val="00663987"/>
    <w:rsid w:val="00670C99"/>
    <w:rsid w:val="00675DF2"/>
    <w:rsid w:val="00684281"/>
    <w:rsid w:val="00687558"/>
    <w:rsid w:val="00690D70"/>
    <w:rsid w:val="006914B8"/>
    <w:rsid w:val="006A00FF"/>
    <w:rsid w:val="006A09EA"/>
    <w:rsid w:val="006B18EF"/>
    <w:rsid w:val="006B2976"/>
    <w:rsid w:val="006C1B8B"/>
    <w:rsid w:val="006C7E5B"/>
    <w:rsid w:val="006D04FA"/>
    <w:rsid w:val="006D6099"/>
    <w:rsid w:val="006F225C"/>
    <w:rsid w:val="007047F4"/>
    <w:rsid w:val="00706451"/>
    <w:rsid w:val="00707BF8"/>
    <w:rsid w:val="00714AA8"/>
    <w:rsid w:val="0072156B"/>
    <w:rsid w:val="00723009"/>
    <w:rsid w:val="00732933"/>
    <w:rsid w:val="00740230"/>
    <w:rsid w:val="00755422"/>
    <w:rsid w:val="00762E13"/>
    <w:rsid w:val="00766267"/>
    <w:rsid w:val="00766B6E"/>
    <w:rsid w:val="00773C89"/>
    <w:rsid w:val="00791552"/>
    <w:rsid w:val="00794C0C"/>
    <w:rsid w:val="007B2F4B"/>
    <w:rsid w:val="007C243A"/>
    <w:rsid w:val="007D43D4"/>
    <w:rsid w:val="007D4648"/>
    <w:rsid w:val="007E0F9B"/>
    <w:rsid w:val="007F0228"/>
    <w:rsid w:val="007F3B9D"/>
    <w:rsid w:val="00806C96"/>
    <w:rsid w:val="00811B60"/>
    <w:rsid w:val="00814834"/>
    <w:rsid w:val="00816BE6"/>
    <w:rsid w:val="008236E8"/>
    <w:rsid w:val="00830B4E"/>
    <w:rsid w:val="008326B0"/>
    <w:rsid w:val="00835EF6"/>
    <w:rsid w:val="00836D9C"/>
    <w:rsid w:val="00842FF0"/>
    <w:rsid w:val="008511D7"/>
    <w:rsid w:val="00855CFA"/>
    <w:rsid w:val="00857587"/>
    <w:rsid w:val="00876F5F"/>
    <w:rsid w:val="00886FD2"/>
    <w:rsid w:val="00895323"/>
    <w:rsid w:val="008A1F72"/>
    <w:rsid w:val="008A2ACA"/>
    <w:rsid w:val="008B0438"/>
    <w:rsid w:val="008B33E9"/>
    <w:rsid w:val="008B3A9C"/>
    <w:rsid w:val="008B655F"/>
    <w:rsid w:val="008C15A3"/>
    <w:rsid w:val="008C15E2"/>
    <w:rsid w:val="008C24F7"/>
    <w:rsid w:val="008D4374"/>
    <w:rsid w:val="008D483B"/>
    <w:rsid w:val="008D573B"/>
    <w:rsid w:val="008D7F62"/>
    <w:rsid w:val="008E1EBC"/>
    <w:rsid w:val="008E64CB"/>
    <w:rsid w:val="008F0A56"/>
    <w:rsid w:val="008F2721"/>
    <w:rsid w:val="008F3222"/>
    <w:rsid w:val="008F7597"/>
    <w:rsid w:val="008F7D8A"/>
    <w:rsid w:val="00902029"/>
    <w:rsid w:val="00905AF1"/>
    <w:rsid w:val="00910632"/>
    <w:rsid w:val="00911825"/>
    <w:rsid w:val="00921864"/>
    <w:rsid w:val="009275E0"/>
    <w:rsid w:val="009301FC"/>
    <w:rsid w:val="00950096"/>
    <w:rsid w:val="00951FB4"/>
    <w:rsid w:val="00956FCB"/>
    <w:rsid w:val="00962597"/>
    <w:rsid w:val="00964F4F"/>
    <w:rsid w:val="0096581A"/>
    <w:rsid w:val="0096585E"/>
    <w:rsid w:val="009675A9"/>
    <w:rsid w:val="009718A8"/>
    <w:rsid w:val="009867B5"/>
    <w:rsid w:val="009A036B"/>
    <w:rsid w:val="009A55E6"/>
    <w:rsid w:val="009B54A7"/>
    <w:rsid w:val="009B5D6E"/>
    <w:rsid w:val="009C3C73"/>
    <w:rsid w:val="009D0E0C"/>
    <w:rsid w:val="009E6404"/>
    <w:rsid w:val="009E7668"/>
    <w:rsid w:val="009F7752"/>
    <w:rsid w:val="009F7B53"/>
    <w:rsid w:val="009F7BD5"/>
    <w:rsid w:val="00A063FA"/>
    <w:rsid w:val="00A07849"/>
    <w:rsid w:val="00A127D0"/>
    <w:rsid w:val="00A13925"/>
    <w:rsid w:val="00A25498"/>
    <w:rsid w:val="00A36B40"/>
    <w:rsid w:val="00A37456"/>
    <w:rsid w:val="00A434D3"/>
    <w:rsid w:val="00A55A41"/>
    <w:rsid w:val="00A66B15"/>
    <w:rsid w:val="00A73168"/>
    <w:rsid w:val="00A809AF"/>
    <w:rsid w:val="00A95104"/>
    <w:rsid w:val="00AB52D0"/>
    <w:rsid w:val="00AB78C7"/>
    <w:rsid w:val="00AC16D8"/>
    <w:rsid w:val="00AC21BD"/>
    <w:rsid w:val="00AC6E83"/>
    <w:rsid w:val="00AD15DA"/>
    <w:rsid w:val="00AD1F22"/>
    <w:rsid w:val="00AE7FAC"/>
    <w:rsid w:val="00AF5225"/>
    <w:rsid w:val="00B06578"/>
    <w:rsid w:val="00B06B95"/>
    <w:rsid w:val="00B10425"/>
    <w:rsid w:val="00B15F38"/>
    <w:rsid w:val="00B17A86"/>
    <w:rsid w:val="00B20298"/>
    <w:rsid w:val="00B246BE"/>
    <w:rsid w:val="00B2541F"/>
    <w:rsid w:val="00B27B26"/>
    <w:rsid w:val="00B36209"/>
    <w:rsid w:val="00B57FAD"/>
    <w:rsid w:val="00B63C58"/>
    <w:rsid w:val="00B72178"/>
    <w:rsid w:val="00B73030"/>
    <w:rsid w:val="00B74E3F"/>
    <w:rsid w:val="00B75E55"/>
    <w:rsid w:val="00B81A9B"/>
    <w:rsid w:val="00B94E81"/>
    <w:rsid w:val="00B97E47"/>
    <w:rsid w:val="00BA1C1A"/>
    <w:rsid w:val="00BA4EEA"/>
    <w:rsid w:val="00BB459E"/>
    <w:rsid w:val="00BB5816"/>
    <w:rsid w:val="00BB62FD"/>
    <w:rsid w:val="00BC4BFF"/>
    <w:rsid w:val="00BD28A7"/>
    <w:rsid w:val="00BD5F7C"/>
    <w:rsid w:val="00BD6919"/>
    <w:rsid w:val="00BD795D"/>
    <w:rsid w:val="00BE5DDF"/>
    <w:rsid w:val="00BF77A6"/>
    <w:rsid w:val="00C015AE"/>
    <w:rsid w:val="00C021D6"/>
    <w:rsid w:val="00C02AA9"/>
    <w:rsid w:val="00C03BEE"/>
    <w:rsid w:val="00C11B17"/>
    <w:rsid w:val="00C14965"/>
    <w:rsid w:val="00C14A62"/>
    <w:rsid w:val="00C16394"/>
    <w:rsid w:val="00C170FB"/>
    <w:rsid w:val="00C30A27"/>
    <w:rsid w:val="00C36BFF"/>
    <w:rsid w:val="00C42388"/>
    <w:rsid w:val="00C53292"/>
    <w:rsid w:val="00C601A8"/>
    <w:rsid w:val="00C66DA7"/>
    <w:rsid w:val="00C73CA7"/>
    <w:rsid w:val="00C77204"/>
    <w:rsid w:val="00C77948"/>
    <w:rsid w:val="00C81EE0"/>
    <w:rsid w:val="00C87A21"/>
    <w:rsid w:val="00C9245E"/>
    <w:rsid w:val="00CA24A2"/>
    <w:rsid w:val="00CA2C79"/>
    <w:rsid w:val="00CA4522"/>
    <w:rsid w:val="00CB07DA"/>
    <w:rsid w:val="00CB0F19"/>
    <w:rsid w:val="00CB3004"/>
    <w:rsid w:val="00CB5349"/>
    <w:rsid w:val="00CC2301"/>
    <w:rsid w:val="00CD5258"/>
    <w:rsid w:val="00CD773E"/>
    <w:rsid w:val="00CE76D0"/>
    <w:rsid w:val="00CF4767"/>
    <w:rsid w:val="00D00A45"/>
    <w:rsid w:val="00D05C1A"/>
    <w:rsid w:val="00D1308C"/>
    <w:rsid w:val="00D222B2"/>
    <w:rsid w:val="00D2318A"/>
    <w:rsid w:val="00D2637B"/>
    <w:rsid w:val="00D355B6"/>
    <w:rsid w:val="00D422A4"/>
    <w:rsid w:val="00D4300A"/>
    <w:rsid w:val="00D46822"/>
    <w:rsid w:val="00D5093B"/>
    <w:rsid w:val="00D56AEE"/>
    <w:rsid w:val="00D639E9"/>
    <w:rsid w:val="00D71937"/>
    <w:rsid w:val="00D83DEE"/>
    <w:rsid w:val="00D86297"/>
    <w:rsid w:val="00D86ED0"/>
    <w:rsid w:val="00D910C9"/>
    <w:rsid w:val="00DA42E9"/>
    <w:rsid w:val="00DA689C"/>
    <w:rsid w:val="00DB4FBF"/>
    <w:rsid w:val="00DB5031"/>
    <w:rsid w:val="00DC30CF"/>
    <w:rsid w:val="00DC5E41"/>
    <w:rsid w:val="00DE7DDE"/>
    <w:rsid w:val="00E04111"/>
    <w:rsid w:val="00E074C6"/>
    <w:rsid w:val="00E0764A"/>
    <w:rsid w:val="00E076EA"/>
    <w:rsid w:val="00E22FC8"/>
    <w:rsid w:val="00E30070"/>
    <w:rsid w:val="00E31FF7"/>
    <w:rsid w:val="00E35CFB"/>
    <w:rsid w:val="00E371D5"/>
    <w:rsid w:val="00E41381"/>
    <w:rsid w:val="00E512B2"/>
    <w:rsid w:val="00E55CA7"/>
    <w:rsid w:val="00E627F9"/>
    <w:rsid w:val="00E649A9"/>
    <w:rsid w:val="00E65B37"/>
    <w:rsid w:val="00E73036"/>
    <w:rsid w:val="00E7564D"/>
    <w:rsid w:val="00E8415D"/>
    <w:rsid w:val="00E9256D"/>
    <w:rsid w:val="00E95CB6"/>
    <w:rsid w:val="00E97481"/>
    <w:rsid w:val="00EB1236"/>
    <w:rsid w:val="00EB42A1"/>
    <w:rsid w:val="00ED1974"/>
    <w:rsid w:val="00ED7004"/>
    <w:rsid w:val="00F04969"/>
    <w:rsid w:val="00F0595B"/>
    <w:rsid w:val="00F0784A"/>
    <w:rsid w:val="00F07B29"/>
    <w:rsid w:val="00F11D45"/>
    <w:rsid w:val="00F22264"/>
    <w:rsid w:val="00F252D5"/>
    <w:rsid w:val="00F27EBE"/>
    <w:rsid w:val="00F3318F"/>
    <w:rsid w:val="00F45D1F"/>
    <w:rsid w:val="00F472F7"/>
    <w:rsid w:val="00F54BDF"/>
    <w:rsid w:val="00F57B0B"/>
    <w:rsid w:val="00F60201"/>
    <w:rsid w:val="00F624F2"/>
    <w:rsid w:val="00F6584B"/>
    <w:rsid w:val="00F65BC7"/>
    <w:rsid w:val="00F869ED"/>
    <w:rsid w:val="00F95B31"/>
    <w:rsid w:val="00F97097"/>
    <w:rsid w:val="00FA2539"/>
    <w:rsid w:val="00FA7EFE"/>
    <w:rsid w:val="00FC2BC8"/>
    <w:rsid w:val="00FD79CE"/>
    <w:rsid w:val="00FF287F"/>
    <w:rsid w:val="00FF2B4A"/>
    <w:rsid w:val="00FF62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ocId w14:val="17A4168F"/>
  <w15:chartTrackingRefBased/>
  <w15:docId w15:val="{D4F9E7A9-5D55-4CEE-BC3D-98808DB4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9E1"/>
    <w:pPr>
      <w:spacing w:after="0"/>
      <w:jc w:val="both"/>
    </w:pPr>
    <w:rPr>
      <w:rFonts w:ascii="Times New Roman" w:hAnsi="Times New Roman"/>
      <w:sz w:val="24"/>
    </w:rPr>
  </w:style>
  <w:style w:type="paragraph" w:styleId="Nadpis1">
    <w:name w:val="heading 1"/>
    <w:basedOn w:val="Normln"/>
    <w:next w:val="Normln"/>
    <w:link w:val="Nadpis1Char"/>
    <w:qFormat/>
    <w:rsid w:val="004C4BA5"/>
    <w:pPr>
      <w:keepNext/>
      <w:numPr>
        <w:numId w:val="2"/>
      </w:numPr>
      <w:overflowPunct w:val="0"/>
      <w:autoSpaceDE w:val="0"/>
      <w:autoSpaceDN w:val="0"/>
      <w:adjustRightInd w:val="0"/>
      <w:spacing w:after="240" w:line="240" w:lineRule="auto"/>
      <w:ind w:left="431" w:hanging="431"/>
      <w:outlineLvl w:val="0"/>
    </w:pPr>
    <w:rPr>
      <w:rFonts w:eastAsia="Times New Roman" w:cs="Times New Roman"/>
      <w:b/>
      <w:caps/>
      <w:sz w:val="28"/>
      <w:szCs w:val="20"/>
      <w:lang w:eastAsia="cs-CZ"/>
    </w:rPr>
  </w:style>
  <w:style w:type="paragraph" w:styleId="Nadpis2">
    <w:name w:val="heading 2"/>
    <w:basedOn w:val="Normln"/>
    <w:next w:val="Normln"/>
    <w:link w:val="Nadpis2Char"/>
    <w:qFormat/>
    <w:rsid w:val="003A20EE"/>
    <w:pPr>
      <w:keepNext/>
      <w:numPr>
        <w:ilvl w:val="1"/>
        <w:numId w:val="2"/>
      </w:numPr>
      <w:spacing w:before="240" w:after="240" w:line="240" w:lineRule="auto"/>
      <w:ind w:left="578" w:hanging="578"/>
      <w:outlineLvl w:val="1"/>
    </w:pPr>
    <w:rPr>
      <w:rFonts w:eastAsia="Times New Roman" w:cs="Arial"/>
      <w:b/>
      <w:bCs/>
      <w:iCs/>
      <w:sz w:val="26"/>
      <w:szCs w:val="28"/>
      <w:lang w:eastAsia="cs-CZ"/>
    </w:rPr>
  </w:style>
  <w:style w:type="paragraph" w:styleId="Nadpis3">
    <w:name w:val="heading 3"/>
    <w:basedOn w:val="Normln"/>
    <w:next w:val="Normln"/>
    <w:link w:val="Nadpis3Char"/>
    <w:qFormat/>
    <w:rsid w:val="007B2F4B"/>
    <w:pPr>
      <w:keepNext/>
      <w:numPr>
        <w:ilvl w:val="2"/>
        <w:numId w:val="2"/>
      </w:numPr>
      <w:spacing w:before="240" w:after="120" w:line="240" w:lineRule="auto"/>
      <w:outlineLvl w:val="2"/>
    </w:pPr>
    <w:rPr>
      <w:rFonts w:eastAsia="Times New Roman" w:cs="Arial"/>
      <w:b/>
      <w:bCs/>
      <w:szCs w:val="26"/>
      <w:lang w:eastAsia="cs-CZ"/>
    </w:rPr>
  </w:style>
  <w:style w:type="paragraph" w:styleId="Nadpis4">
    <w:name w:val="heading 4"/>
    <w:basedOn w:val="Normln"/>
    <w:next w:val="Normln"/>
    <w:link w:val="Nadpis4Char"/>
    <w:qFormat/>
    <w:rsid w:val="00F3318F"/>
    <w:pPr>
      <w:keepNext/>
      <w:numPr>
        <w:ilvl w:val="3"/>
        <w:numId w:val="2"/>
      </w:numPr>
      <w:spacing w:before="240" w:after="60" w:line="240" w:lineRule="auto"/>
      <w:outlineLvl w:val="3"/>
    </w:pPr>
    <w:rPr>
      <w:rFonts w:eastAsia="Times New Roman" w:cs="Times New Roman"/>
      <w:b/>
      <w:bCs/>
      <w:sz w:val="28"/>
      <w:szCs w:val="28"/>
      <w:lang w:eastAsia="cs-CZ"/>
    </w:rPr>
  </w:style>
  <w:style w:type="paragraph" w:styleId="Nadpis5">
    <w:name w:val="heading 5"/>
    <w:basedOn w:val="Normln"/>
    <w:next w:val="Normln"/>
    <w:link w:val="Nadpis5Char"/>
    <w:qFormat/>
    <w:rsid w:val="00F3318F"/>
    <w:pPr>
      <w:numPr>
        <w:ilvl w:val="4"/>
        <w:numId w:val="2"/>
      </w:numPr>
      <w:spacing w:before="240" w:after="60" w:line="240" w:lineRule="auto"/>
      <w:outlineLvl w:val="4"/>
    </w:pPr>
    <w:rPr>
      <w:rFonts w:eastAsia="Times New Roman" w:cs="Times New Roman"/>
      <w:b/>
      <w:bCs/>
      <w:i/>
      <w:iCs/>
      <w:sz w:val="26"/>
      <w:szCs w:val="26"/>
      <w:lang w:eastAsia="cs-CZ"/>
    </w:rPr>
  </w:style>
  <w:style w:type="paragraph" w:styleId="Nadpis6">
    <w:name w:val="heading 6"/>
    <w:basedOn w:val="Normln"/>
    <w:next w:val="Normln"/>
    <w:link w:val="Nadpis6Char"/>
    <w:qFormat/>
    <w:rsid w:val="00F3318F"/>
    <w:pPr>
      <w:numPr>
        <w:ilvl w:val="5"/>
        <w:numId w:val="2"/>
      </w:numPr>
      <w:spacing w:before="240" w:after="60" w:line="240" w:lineRule="auto"/>
      <w:outlineLvl w:val="5"/>
    </w:pPr>
    <w:rPr>
      <w:rFonts w:eastAsia="Times New Roman" w:cs="Times New Roman"/>
      <w:b/>
      <w:bCs/>
      <w:lang w:eastAsia="cs-CZ"/>
    </w:rPr>
  </w:style>
  <w:style w:type="paragraph" w:styleId="Nadpis7">
    <w:name w:val="heading 7"/>
    <w:basedOn w:val="Normln"/>
    <w:next w:val="Normln"/>
    <w:link w:val="Nadpis7Char"/>
    <w:qFormat/>
    <w:rsid w:val="00F3318F"/>
    <w:pPr>
      <w:numPr>
        <w:ilvl w:val="6"/>
        <w:numId w:val="2"/>
      </w:numPr>
      <w:spacing w:before="240" w:after="60" w:line="240" w:lineRule="auto"/>
      <w:outlineLvl w:val="6"/>
    </w:pPr>
    <w:rPr>
      <w:rFonts w:eastAsia="Times New Roman" w:cs="Times New Roman"/>
      <w:szCs w:val="24"/>
      <w:lang w:eastAsia="cs-CZ"/>
    </w:rPr>
  </w:style>
  <w:style w:type="paragraph" w:styleId="Nadpis8">
    <w:name w:val="heading 8"/>
    <w:basedOn w:val="Normln"/>
    <w:next w:val="Normln"/>
    <w:link w:val="Nadpis8Char"/>
    <w:qFormat/>
    <w:rsid w:val="00F3318F"/>
    <w:pPr>
      <w:numPr>
        <w:ilvl w:val="7"/>
        <w:numId w:val="2"/>
      </w:numPr>
      <w:spacing w:before="240" w:after="60" w:line="240" w:lineRule="auto"/>
      <w:outlineLvl w:val="7"/>
    </w:pPr>
    <w:rPr>
      <w:rFonts w:eastAsia="Times New Roman" w:cs="Times New Roman"/>
      <w:i/>
      <w:iCs/>
      <w:szCs w:val="24"/>
      <w:lang w:eastAsia="cs-CZ"/>
    </w:rPr>
  </w:style>
  <w:style w:type="paragraph" w:styleId="Nadpis9">
    <w:name w:val="heading 9"/>
    <w:basedOn w:val="Normln"/>
    <w:next w:val="Normln"/>
    <w:link w:val="Nadpis9Char"/>
    <w:qFormat/>
    <w:rsid w:val="00F3318F"/>
    <w:pPr>
      <w:numPr>
        <w:ilvl w:val="8"/>
        <w:numId w:val="2"/>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96581A"/>
    <w:pPr>
      <w:tabs>
        <w:tab w:val="left" w:pos="180"/>
        <w:tab w:val="right" w:leader="dot" w:pos="9060"/>
      </w:tabs>
      <w:spacing w:after="120" w:line="240" w:lineRule="auto"/>
      <w:jc w:val="center"/>
    </w:pPr>
    <w:rPr>
      <w:rFonts w:eastAsia="Times New Roman" w:cs="Times New Roman"/>
      <w:b/>
      <w:noProof/>
      <w:szCs w:val="24"/>
      <w:lang w:eastAsia="cs-CZ"/>
    </w:rPr>
  </w:style>
  <w:style w:type="character" w:customStyle="1" w:styleId="Nadpis1Char">
    <w:name w:val="Nadpis 1 Char"/>
    <w:basedOn w:val="Standardnpsmoodstavce"/>
    <w:link w:val="Nadpis1"/>
    <w:rsid w:val="004C4BA5"/>
    <w:rPr>
      <w:rFonts w:ascii="Times New Roman" w:eastAsia="Times New Roman" w:hAnsi="Times New Roman" w:cs="Times New Roman"/>
      <w:b/>
      <w:caps/>
      <w:sz w:val="28"/>
      <w:szCs w:val="20"/>
      <w:lang w:eastAsia="cs-CZ"/>
    </w:rPr>
  </w:style>
  <w:style w:type="character" w:customStyle="1" w:styleId="Nadpis2Char">
    <w:name w:val="Nadpis 2 Char"/>
    <w:basedOn w:val="Standardnpsmoodstavce"/>
    <w:link w:val="Nadpis2"/>
    <w:rsid w:val="003A20EE"/>
    <w:rPr>
      <w:rFonts w:ascii="Times New Roman" w:eastAsia="Times New Roman" w:hAnsi="Times New Roman" w:cs="Arial"/>
      <w:b/>
      <w:bCs/>
      <w:iCs/>
      <w:sz w:val="26"/>
      <w:szCs w:val="28"/>
      <w:lang w:eastAsia="cs-CZ"/>
    </w:rPr>
  </w:style>
  <w:style w:type="character" w:customStyle="1" w:styleId="Nadpis3Char">
    <w:name w:val="Nadpis 3 Char"/>
    <w:basedOn w:val="Standardnpsmoodstavce"/>
    <w:link w:val="Nadpis3"/>
    <w:rsid w:val="007B2F4B"/>
    <w:rPr>
      <w:rFonts w:ascii="Times New Roman" w:eastAsia="Times New Roman" w:hAnsi="Times New Roman" w:cs="Arial"/>
      <w:b/>
      <w:bCs/>
      <w:sz w:val="24"/>
      <w:szCs w:val="26"/>
      <w:lang w:eastAsia="cs-CZ"/>
    </w:rPr>
  </w:style>
  <w:style w:type="character" w:customStyle="1" w:styleId="Nadpis4Char">
    <w:name w:val="Nadpis 4 Char"/>
    <w:basedOn w:val="Standardnpsmoodstavce"/>
    <w:link w:val="Nadpis4"/>
    <w:rsid w:val="00F3318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3318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F3318F"/>
    <w:rPr>
      <w:rFonts w:ascii="Times New Roman" w:eastAsia="Times New Roman" w:hAnsi="Times New Roman" w:cs="Times New Roman"/>
      <w:b/>
      <w:bCs/>
      <w:sz w:val="24"/>
      <w:lang w:eastAsia="cs-CZ"/>
    </w:rPr>
  </w:style>
  <w:style w:type="character" w:customStyle="1" w:styleId="Nadpis7Char">
    <w:name w:val="Nadpis 7 Char"/>
    <w:basedOn w:val="Standardnpsmoodstavce"/>
    <w:link w:val="Nadpis7"/>
    <w:rsid w:val="00F3318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F3318F"/>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F3318F"/>
    <w:rPr>
      <w:rFonts w:ascii="Arial" w:eastAsia="Times New Roman" w:hAnsi="Arial" w:cs="Arial"/>
      <w:sz w:val="24"/>
      <w:lang w:eastAsia="cs-CZ"/>
    </w:rPr>
  </w:style>
  <w:style w:type="paragraph" w:styleId="Titulek">
    <w:name w:val="caption"/>
    <w:basedOn w:val="Normln"/>
    <w:next w:val="Normln"/>
    <w:qFormat/>
    <w:rsid w:val="002C756F"/>
    <w:pPr>
      <w:spacing w:before="120" w:after="120" w:line="240" w:lineRule="auto"/>
    </w:pPr>
    <w:rPr>
      <w:rFonts w:eastAsia="Times New Roman" w:cs="Times New Roman"/>
      <w:b/>
      <w:bCs/>
      <w:sz w:val="20"/>
      <w:szCs w:val="20"/>
      <w:lang w:eastAsia="cs-CZ"/>
    </w:rPr>
  </w:style>
  <w:style w:type="paragraph" w:customStyle="1" w:styleId="KOModrky">
    <w:name w:val="KOModrážky"/>
    <w:basedOn w:val="Normln"/>
    <w:rsid w:val="00F3318F"/>
    <w:pPr>
      <w:numPr>
        <w:numId w:val="3"/>
      </w:numPr>
      <w:spacing w:line="240" w:lineRule="auto"/>
    </w:pPr>
    <w:rPr>
      <w:rFonts w:eastAsia="Times New Roman" w:cs="Times New Roman"/>
      <w:szCs w:val="24"/>
      <w:lang w:eastAsia="cs-CZ"/>
    </w:rPr>
  </w:style>
  <w:style w:type="paragraph" w:customStyle="1" w:styleId="obyctext">
    <w:name w:val="obyctext"/>
    <w:basedOn w:val="Normln"/>
    <w:link w:val="obyctextChar"/>
    <w:rsid w:val="00F3318F"/>
    <w:pPr>
      <w:spacing w:before="120" w:after="80" w:line="240" w:lineRule="auto"/>
      <w:ind w:firstLine="539"/>
    </w:pPr>
    <w:rPr>
      <w:rFonts w:eastAsia="Times New Roman" w:cs="Times New Roman"/>
      <w:szCs w:val="24"/>
      <w:lang w:eastAsia="cs-CZ"/>
    </w:rPr>
  </w:style>
  <w:style w:type="character" w:customStyle="1" w:styleId="obyctextChar">
    <w:name w:val="obyctext Char"/>
    <w:link w:val="obyctext"/>
    <w:rsid w:val="00F3318F"/>
    <w:rPr>
      <w:rFonts w:ascii="Times New Roman" w:eastAsia="Times New Roman" w:hAnsi="Times New Roman" w:cs="Times New Roman"/>
      <w:sz w:val="24"/>
      <w:szCs w:val="24"/>
      <w:lang w:eastAsia="cs-CZ"/>
    </w:rPr>
  </w:style>
  <w:style w:type="paragraph" w:styleId="Zkladntext">
    <w:name w:val="Body Text"/>
    <w:basedOn w:val="Normln"/>
    <w:link w:val="ZkladntextChar"/>
    <w:rsid w:val="004371E3"/>
    <w:pPr>
      <w:spacing w:line="240" w:lineRule="auto"/>
    </w:pPr>
    <w:rPr>
      <w:rFonts w:eastAsia="Times New Roman" w:cs="Times New Roman"/>
      <w:bCs/>
      <w:iCs/>
      <w:szCs w:val="24"/>
      <w:lang w:eastAsia="cs-CZ"/>
    </w:rPr>
  </w:style>
  <w:style w:type="character" w:customStyle="1" w:styleId="ZkladntextChar">
    <w:name w:val="Základní text Char"/>
    <w:basedOn w:val="Standardnpsmoodstavce"/>
    <w:link w:val="Zkladntext"/>
    <w:rsid w:val="004371E3"/>
    <w:rPr>
      <w:rFonts w:ascii="Times New Roman" w:eastAsia="Times New Roman" w:hAnsi="Times New Roman" w:cs="Times New Roman"/>
      <w:bCs/>
      <w:iCs/>
      <w:sz w:val="24"/>
      <w:szCs w:val="24"/>
      <w:lang w:eastAsia="cs-CZ"/>
    </w:rPr>
  </w:style>
  <w:style w:type="paragraph" w:customStyle="1" w:styleId="xl54">
    <w:name w:val="xl54"/>
    <w:basedOn w:val="Normln"/>
    <w:rsid w:val="004371E3"/>
    <w:pPr>
      <w:pBdr>
        <w:left w:val="single" w:sz="4" w:space="0" w:color="auto"/>
        <w:right w:val="single" w:sz="8" w:space="0" w:color="auto"/>
      </w:pBdr>
      <w:spacing w:before="100" w:beforeAutospacing="1" w:after="100" w:afterAutospacing="1" w:line="240" w:lineRule="auto"/>
      <w:jc w:val="right"/>
    </w:pPr>
    <w:rPr>
      <w:rFonts w:eastAsia="Times New Roman" w:cs="Times New Roman"/>
      <w:szCs w:val="24"/>
      <w:lang w:eastAsia="cs-CZ"/>
    </w:rPr>
  </w:style>
  <w:style w:type="paragraph" w:customStyle="1" w:styleId="Nvod">
    <w:name w:val="Návod"/>
    <w:basedOn w:val="Normln"/>
    <w:rsid w:val="004371E3"/>
    <w:pPr>
      <w:overflowPunct w:val="0"/>
      <w:autoSpaceDE w:val="0"/>
      <w:autoSpaceDN w:val="0"/>
      <w:adjustRightInd w:val="0"/>
      <w:spacing w:line="240" w:lineRule="auto"/>
      <w:ind w:left="340" w:hanging="340"/>
    </w:pPr>
    <w:rPr>
      <w:rFonts w:eastAsia="Times New Roman" w:cs="Times New Roman"/>
      <w:szCs w:val="20"/>
      <w:lang w:eastAsia="cs-CZ"/>
    </w:rPr>
  </w:style>
  <w:style w:type="paragraph" w:customStyle="1" w:styleId="MDSR">
    <w:name w:val="MDS ČR"/>
    <w:basedOn w:val="Normln"/>
    <w:rsid w:val="00F624F2"/>
    <w:pPr>
      <w:suppressAutoHyphens/>
      <w:overflowPunct w:val="0"/>
      <w:autoSpaceDE w:val="0"/>
      <w:autoSpaceDN w:val="0"/>
      <w:adjustRightInd w:val="0"/>
      <w:spacing w:before="120" w:line="240" w:lineRule="auto"/>
      <w:ind w:firstLine="567"/>
      <w:textAlignment w:val="baseline"/>
    </w:pPr>
    <w:rPr>
      <w:rFonts w:eastAsia="Times New Roman" w:cs="Times New Roman"/>
      <w:szCs w:val="20"/>
      <w:lang w:eastAsia="cs-CZ"/>
    </w:rPr>
  </w:style>
  <w:style w:type="paragraph" w:customStyle="1" w:styleId="Style5">
    <w:name w:val="Style5"/>
    <w:basedOn w:val="Normln"/>
    <w:rsid w:val="00F624F2"/>
    <w:pPr>
      <w:widowControl w:val="0"/>
      <w:autoSpaceDE w:val="0"/>
      <w:autoSpaceDN w:val="0"/>
      <w:adjustRightInd w:val="0"/>
      <w:spacing w:line="276" w:lineRule="exact"/>
    </w:pPr>
    <w:rPr>
      <w:rFonts w:eastAsia="MS Mincho" w:cs="Times New Roman"/>
      <w:szCs w:val="24"/>
      <w:lang w:eastAsia="ja-JP"/>
    </w:rPr>
  </w:style>
  <w:style w:type="character" w:customStyle="1" w:styleId="FontStyle26">
    <w:name w:val="Font Style26"/>
    <w:rsid w:val="00F624F2"/>
    <w:rPr>
      <w:rFonts w:ascii="Times New Roman" w:hAnsi="Times New Roman" w:cs="Times New Roman" w:hint="default"/>
      <w:b/>
      <w:bCs/>
      <w:sz w:val="22"/>
      <w:szCs w:val="22"/>
    </w:rPr>
  </w:style>
  <w:style w:type="paragraph" w:styleId="Textbubliny">
    <w:name w:val="Balloon Text"/>
    <w:basedOn w:val="Normln"/>
    <w:link w:val="TextbublinyChar"/>
    <w:semiHidden/>
    <w:unhideWhenUsed/>
    <w:rsid w:val="00BD28A7"/>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BD28A7"/>
    <w:rPr>
      <w:rFonts w:ascii="Segoe UI" w:hAnsi="Segoe UI" w:cs="Segoe UI"/>
      <w:sz w:val="18"/>
      <w:szCs w:val="18"/>
    </w:rPr>
  </w:style>
  <w:style w:type="paragraph" w:styleId="Zkladntextodsazen">
    <w:name w:val="Body Text Indent"/>
    <w:basedOn w:val="Normln"/>
    <w:link w:val="ZkladntextodsazenChar"/>
    <w:unhideWhenUsed/>
    <w:rsid w:val="00BD28A7"/>
    <w:pPr>
      <w:spacing w:after="120"/>
      <w:ind w:left="283"/>
    </w:pPr>
  </w:style>
  <w:style w:type="character" w:customStyle="1" w:styleId="ZkladntextodsazenChar">
    <w:name w:val="Základní text odsazený Char"/>
    <w:basedOn w:val="Standardnpsmoodstavce"/>
    <w:link w:val="Zkladntextodsazen"/>
    <w:rsid w:val="00BD28A7"/>
  </w:style>
  <w:style w:type="paragraph" w:styleId="Zkladntextodsazen2">
    <w:name w:val="Body Text Indent 2"/>
    <w:basedOn w:val="Normln"/>
    <w:link w:val="Zkladntextodsazen2Char"/>
    <w:rsid w:val="00BD28A7"/>
    <w:pPr>
      <w:spacing w:after="120" w:line="480" w:lineRule="auto"/>
      <w:ind w:left="283"/>
    </w:pPr>
    <w:rPr>
      <w:rFonts w:eastAsia="Times New Roman" w:cs="Times New Roman"/>
      <w:szCs w:val="24"/>
      <w:lang w:eastAsia="cs-CZ"/>
    </w:rPr>
  </w:style>
  <w:style w:type="character" w:customStyle="1" w:styleId="Zkladntextodsazen2Char">
    <w:name w:val="Základní text odsazený 2 Char"/>
    <w:basedOn w:val="Standardnpsmoodstavce"/>
    <w:link w:val="Zkladntextodsazen2"/>
    <w:rsid w:val="00BD28A7"/>
    <w:rPr>
      <w:rFonts w:ascii="Times New Roman" w:eastAsia="Times New Roman" w:hAnsi="Times New Roman" w:cs="Times New Roman"/>
      <w:sz w:val="24"/>
      <w:szCs w:val="24"/>
      <w:lang w:eastAsia="cs-CZ"/>
    </w:rPr>
  </w:style>
  <w:style w:type="numbering" w:customStyle="1" w:styleId="Bezseznamu1">
    <w:name w:val="Bez seznamu1"/>
    <w:next w:val="Bezseznamu"/>
    <w:semiHidden/>
    <w:unhideWhenUsed/>
    <w:rsid w:val="00BD28A7"/>
  </w:style>
  <w:style w:type="paragraph" w:styleId="Zpat">
    <w:name w:val="footer"/>
    <w:basedOn w:val="Normln"/>
    <w:link w:val="ZpatChar"/>
    <w:rsid w:val="00BD28A7"/>
    <w:pPr>
      <w:tabs>
        <w:tab w:val="center" w:pos="4536"/>
        <w:tab w:val="right" w:pos="9072"/>
      </w:tabs>
      <w:spacing w:line="240" w:lineRule="auto"/>
    </w:pPr>
    <w:rPr>
      <w:rFonts w:eastAsia="Times New Roman" w:cs="Times New Roman"/>
      <w:szCs w:val="24"/>
      <w:lang w:eastAsia="cs-CZ"/>
    </w:rPr>
  </w:style>
  <w:style w:type="character" w:customStyle="1" w:styleId="ZpatChar">
    <w:name w:val="Zápatí Char"/>
    <w:basedOn w:val="Standardnpsmoodstavce"/>
    <w:link w:val="Zpat"/>
    <w:rsid w:val="00BD28A7"/>
    <w:rPr>
      <w:rFonts w:ascii="Times New Roman" w:eastAsia="Times New Roman" w:hAnsi="Times New Roman" w:cs="Times New Roman"/>
      <w:sz w:val="24"/>
      <w:szCs w:val="24"/>
      <w:lang w:eastAsia="cs-CZ"/>
    </w:rPr>
  </w:style>
  <w:style w:type="character" w:styleId="slostrnky">
    <w:name w:val="page number"/>
    <w:basedOn w:val="Standardnpsmoodstavce"/>
    <w:rsid w:val="00BD28A7"/>
  </w:style>
  <w:style w:type="paragraph" w:styleId="Zkladntextodsazen3">
    <w:name w:val="Body Text Indent 3"/>
    <w:basedOn w:val="Normln"/>
    <w:link w:val="Zkladntextodsazen3Char"/>
    <w:rsid w:val="00BD28A7"/>
    <w:pPr>
      <w:spacing w:after="120" w:line="240" w:lineRule="auto"/>
      <w:ind w:left="283"/>
    </w:pPr>
    <w:rPr>
      <w:rFonts w:eastAsia="Times New Roman" w:cs="Times New Roman"/>
      <w:sz w:val="16"/>
      <w:szCs w:val="16"/>
      <w:lang w:eastAsia="cs-CZ"/>
    </w:rPr>
  </w:style>
  <w:style w:type="character" w:customStyle="1" w:styleId="Zkladntextodsazen3Char">
    <w:name w:val="Základní text odsazený 3 Char"/>
    <w:basedOn w:val="Standardnpsmoodstavce"/>
    <w:link w:val="Zkladntextodsazen3"/>
    <w:rsid w:val="00BD28A7"/>
    <w:rPr>
      <w:rFonts w:ascii="Times New Roman" w:eastAsia="Times New Roman" w:hAnsi="Times New Roman" w:cs="Times New Roman"/>
      <w:sz w:val="16"/>
      <w:szCs w:val="16"/>
      <w:lang w:eastAsia="cs-CZ"/>
    </w:rPr>
  </w:style>
  <w:style w:type="paragraph" w:customStyle="1" w:styleId="xl33">
    <w:name w:val="xl33"/>
    <w:basedOn w:val="Normln"/>
    <w:rsid w:val="00BD28A7"/>
    <w:pPr>
      <w:pBdr>
        <w:left w:val="single" w:sz="8" w:space="0" w:color="auto"/>
      </w:pBdr>
      <w:spacing w:before="100" w:beforeAutospacing="1" w:after="100" w:afterAutospacing="1" w:line="240" w:lineRule="auto"/>
    </w:pPr>
    <w:rPr>
      <w:rFonts w:eastAsia="Times New Roman" w:cs="Times New Roman"/>
      <w:b/>
      <w:bCs/>
      <w:szCs w:val="24"/>
      <w:lang w:eastAsia="cs-CZ"/>
    </w:rPr>
  </w:style>
  <w:style w:type="table" w:styleId="Mkatabulky">
    <w:name w:val="Table Grid"/>
    <w:basedOn w:val="Normlntabulka"/>
    <w:rsid w:val="00BD28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BD28A7"/>
    <w:pPr>
      <w:spacing w:after="120" w:line="480" w:lineRule="auto"/>
    </w:pPr>
    <w:rPr>
      <w:rFonts w:eastAsia="Times New Roman" w:cs="Times New Roman"/>
      <w:szCs w:val="24"/>
      <w:lang w:eastAsia="cs-CZ"/>
    </w:rPr>
  </w:style>
  <w:style w:type="character" w:customStyle="1" w:styleId="Zkladntext2Char">
    <w:name w:val="Základní text 2 Char"/>
    <w:basedOn w:val="Standardnpsmoodstavce"/>
    <w:link w:val="Zkladntext2"/>
    <w:rsid w:val="00BD28A7"/>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BD28A7"/>
    <w:pPr>
      <w:spacing w:after="120" w:line="240" w:lineRule="auto"/>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BD28A7"/>
    <w:rPr>
      <w:rFonts w:ascii="Times New Roman" w:eastAsia="Times New Roman" w:hAnsi="Times New Roman" w:cs="Times New Roman"/>
      <w:sz w:val="16"/>
      <w:szCs w:val="16"/>
      <w:lang w:eastAsia="cs-CZ"/>
    </w:rPr>
  </w:style>
  <w:style w:type="paragraph" w:customStyle="1" w:styleId="Odstavec">
    <w:name w:val="Odstavec"/>
    <w:basedOn w:val="Normln"/>
    <w:rsid w:val="00BD28A7"/>
    <w:pPr>
      <w:spacing w:before="120" w:line="240" w:lineRule="auto"/>
      <w:ind w:firstLine="709"/>
    </w:pPr>
    <w:rPr>
      <w:rFonts w:eastAsia="Times New Roman" w:cs="Times New Roman"/>
      <w:bCs/>
      <w:szCs w:val="24"/>
      <w:lang w:eastAsia="cs-CZ"/>
    </w:rPr>
  </w:style>
  <w:style w:type="paragraph" w:styleId="Normlnweb">
    <w:name w:val="Normal (Web)"/>
    <w:basedOn w:val="Normln"/>
    <w:rsid w:val="00BD28A7"/>
    <w:pPr>
      <w:spacing w:before="100" w:beforeAutospacing="1" w:after="100" w:afterAutospacing="1" w:line="240" w:lineRule="atLeast"/>
    </w:pPr>
    <w:rPr>
      <w:rFonts w:ascii="Verdana" w:eastAsia="Arial Unicode MS" w:hAnsi="Verdana" w:cs="Arial Unicode MS"/>
      <w:color w:val="1A3F76"/>
      <w:sz w:val="20"/>
      <w:szCs w:val="20"/>
      <w:lang w:eastAsia="cs-CZ"/>
    </w:rPr>
  </w:style>
  <w:style w:type="paragraph" w:styleId="Zhlav">
    <w:name w:val="header"/>
    <w:basedOn w:val="Normln"/>
    <w:link w:val="ZhlavChar"/>
    <w:uiPriority w:val="99"/>
    <w:rsid w:val="00BD28A7"/>
    <w:pPr>
      <w:tabs>
        <w:tab w:val="center" w:pos="4536"/>
        <w:tab w:val="right" w:pos="9072"/>
      </w:tabs>
      <w:spacing w:line="240" w:lineRule="auto"/>
    </w:pPr>
    <w:rPr>
      <w:rFonts w:eastAsia="Times New Roman" w:cs="Times New Roman"/>
      <w:szCs w:val="24"/>
      <w:lang w:eastAsia="cs-CZ"/>
    </w:rPr>
  </w:style>
  <w:style w:type="character" w:customStyle="1" w:styleId="ZhlavChar">
    <w:name w:val="Záhlaví Char"/>
    <w:basedOn w:val="Standardnpsmoodstavce"/>
    <w:link w:val="Zhlav"/>
    <w:uiPriority w:val="99"/>
    <w:rsid w:val="00BD28A7"/>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BD28A7"/>
    <w:pPr>
      <w:tabs>
        <w:tab w:val="left" w:pos="540"/>
        <w:tab w:val="right" w:leader="dot" w:pos="9060"/>
      </w:tabs>
      <w:spacing w:line="240" w:lineRule="auto"/>
      <w:ind w:left="900" w:hanging="840"/>
    </w:pPr>
    <w:rPr>
      <w:rFonts w:eastAsia="Times New Roman" w:cs="Arial"/>
      <w:bCs/>
      <w:noProof/>
      <w:szCs w:val="24"/>
      <w:lang w:eastAsia="cs-CZ"/>
    </w:rPr>
  </w:style>
  <w:style w:type="character" w:styleId="Hypertextovodkaz">
    <w:name w:val="Hyperlink"/>
    <w:uiPriority w:val="99"/>
    <w:rsid w:val="00BD28A7"/>
    <w:rPr>
      <w:color w:val="0000FF"/>
      <w:u w:val="single"/>
    </w:rPr>
  </w:style>
  <w:style w:type="paragraph" w:styleId="Obsah3">
    <w:name w:val="toc 3"/>
    <w:basedOn w:val="Normln"/>
    <w:next w:val="Normln"/>
    <w:autoRedefine/>
    <w:uiPriority w:val="39"/>
    <w:rsid w:val="00BD28A7"/>
    <w:pPr>
      <w:tabs>
        <w:tab w:val="left" w:pos="900"/>
        <w:tab w:val="right" w:leader="dot" w:pos="9060"/>
      </w:tabs>
      <w:spacing w:line="240" w:lineRule="auto"/>
      <w:ind w:left="900" w:hanging="720"/>
    </w:pPr>
    <w:rPr>
      <w:rFonts w:eastAsia="Times New Roman" w:cs="Times New Roman"/>
      <w:szCs w:val="24"/>
      <w:lang w:eastAsia="cs-CZ"/>
    </w:rPr>
  </w:style>
  <w:style w:type="character" w:styleId="Siln">
    <w:name w:val="Strong"/>
    <w:qFormat/>
    <w:rsid w:val="00BD28A7"/>
    <w:rPr>
      <w:b/>
      <w:bCs/>
    </w:rPr>
  </w:style>
  <w:style w:type="paragraph" w:styleId="Seznamobrzk">
    <w:name w:val="table of figures"/>
    <w:aliases w:val="Seznam grafů"/>
    <w:basedOn w:val="Normln"/>
    <w:next w:val="Normln"/>
    <w:uiPriority w:val="99"/>
    <w:rsid w:val="00BD28A7"/>
    <w:pPr>
      <w:spacing w:line="240" w:lineRule="auto"/>
    </w:pPr>
    <w:rPr>
      <w:rFonts w:eastAsia="Times New Roman" w:cs="Times New Roman"/>
      <w:szCs w:val="24"/>
      <w:lang w:eastAsia="cs-CZ"/>
    </w:rPr>
  </w:style>
  <w:style w:type="paragraph" w:customStyle="1" w:styleId="ostavec">
    <w:name w:val="ostavec"/>
    <w:basedOn w:val="Normln"/>
    <w:rsid w:val="00BD28A7"/>
    <w:pPr>
      <w:spacing w:before="120" w:after="120" w:line="240" w:lineRule="auto"/>
    </w:pPr>
    <w:rPr>
      <w:rFonts w:ascii="Arial" w:eastAsia="Times New Roman" w:hAnsi="Arial" w:cs="Times New Roman"/>
      <w:color w:val="000000"/>
      <w:szCs w:val="20"/>
    </w:rPr>
  </w:style>
  <w:style w:type="character" w:styleId="Sledovanodkaz">
    <w:name w:val="FollowedHyperlink"/>
    <w:rsid w:val="00BD28A7"/>
    <w:rPr>
      <w:color w:val="800080"/>
      <w:u w:val="single"/>
    </w:rPr>
  </w:style>
  <w:style w:type="character" w:customStyle="1" w:styleId="CharChar">
    <w:name w:val="Char Char"/>
    <w:rsid w:val="00BD28A7"/>
    <w:rPr>
      <w:smallCaps/>
      <w:sz w:val="32"/>
      <w:szCs w:val="24"/>
      <w:lang w:val="cs-CZ" w:eastAsia="cs-CZ" w:bidi="ar-SA"/>
    </w:rPr>
  </w:style>
  <w:style w:type="character" w:customStyle="1" w:styleId="FontStyle27">
    <w:name w:val="Font Style27"/>
    <w:rsid w:val="00BD28A7"/>
    <w:rPr>
      <w:rFonts w:ascii="Times New Roman" w:hAnsi="Times New Roman" w:cs="Times New Roman"/>
      <w:sz w:val="22"/>
      <w:szCs w:val="22"/>
    </w:rPr>
  </w:style>
  <w:style w:type="character" w:customStyle="1" w:styleId="ardata-autor">
    <w:name w:val="ardata-autor"/>
    <w:rsid w:val="00BD28A7"/>
  </w:style>
  <w:style w:type="character" w:customStyle="1" w:styleId="apple-converted-space">
    <w:name w:val="apple-converted-space"/>
    <w:rsid w:val="00BD28A7"/>
  </w:style>
  <w:style w:type="paragraph" w:customStyle="1" w:styleId="OPDnadpis4">
    <w:name w:val="OPD nadpis4"/>
    <w:basedOn w:val="Nadpis4"/>
    <w:link w:val="OPDnadpis4Char"/>
    <w:rsid w:val="00BD28A7"/>
    <w:pPr>
      <w:numPr>
        <w:numId w:val="11"/>
      </w:numPr>
      <w:spacing w:before="0" w:after="240"/>
    </w:pPr>
    <w:rPr>
      <w:bCs w:val="0"/>
      <w:sz w:val="24"/>
      <w:szCs w:val="24"/>
      <w:lang w:eastAsia="en-US"/>
    </w:rPr>
  </w:style>
  <w:style w:type="character" w:customStyle="1" w:styleId="OPDnadpis4Char">
    <w:name w:val="OPD nadpis4 Char"/>
    <w:link w:val="OPDnadpis4"/>
    <w:locked/>
    <w:rsid w:val="00BD28A7"/>
    <w:rPr>
      <w:rFonts w:ascii="Times New Roman" w:eastAsia="Times New Roman" w:hAnsi="Times New Roman" w:cs="Times New Roman"/>
      <w:b/>
      <w:sz w:val="24"/>
      <w:szCs w:val="24"/>
    </w:rPr>
  </w:style>
  <w:style w:type="character" w:styleId="Odkaznakoment">
    <w:name w:val="annotation reference"/>
    <w:rsid w:val="00BD28A7"/>
    <w:rPr>
      <w:sz w:val="16"/>
      <w:szCs w:val="16"/>
    </w:rPr>
  </w:style>
  <w:style w:type="paragraph" w:styleId="Textkomente">
    <w:name w:val="annotation text"/>
    <w:basedOn w:val="Normln"/>
    <w:link w:val="TextkomenteChar"/>
    <w:rsid w:val="00BD28A7"/>
    <w:pPr>
      <w:spacing w:line="240" w:lineRule="auto"/>
    </w:pPr>
    <w:rPr>
      <w:rFonts w:eastAsia="Times New Roman" w:cs="Times New Roman"/>
      <w:sz w:val="20"/>
      <w:szCs w:val="20"/>
      <w:lang w:eastAsia="cs-CZ"/>
    </w:rPr>
  </w:style>
  <w:style w:type="character" w:customStyle="1" w:styleId="TextkomenteChar">
    <w:name w:val="Text komentáře Char"/>
    <w:basedOn w:val="Standardnpsmoodstavce"/>
    <w:link w:val="Textkomente"/>
    <w:rsid w:val="00BD28A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BD28A7"/>
    <w:rPr>
      <w:b/>
      <w:bCs/>
    </w:rPr>
  </w:style>
  <w:style w:type="character" w:customStyle="1" w:styleId="PedmtkomenteChar">
    <w:name w:val="Předmět komentáře Char"/>
    <w:basedOn w:val="TextkomenteChar"/>
    <w:link w:val="Pedmtkomente"/>
    <w:rsid w:val="00BD28A7"/>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BD28A7"/>
    <w:pPr>
      <w:spacing w:line="240" w:lineRule="auto"/>
      <w:ind w:left="708"/>
    </w:pPr>
    <w:rPr>
      <w:rFonts w:eastAsia="Times New Roman" w:cs="Times New Roman"/>
      <w:szCs w:val="24"/>
      <w:lang w:eastAsia="cs-CZ"/>
    </w:rPr>
  </w:style>
  <w:style w:type="table" w:styleId="Svtltabulkasmkou1zvraznn5">
    <w:name w:val="Grid Table 1 Light Accent 5"/>
    <w:basedOn w:val="Normlntabulka"/>
    <w:uiPriority w:val="46"/>
    <w:rsid w:val="00A809A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E324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2zvraznn6">
    <w:name w:val="Grid Table 2 Accent 6"/>
    <w:basedOn w:val="Normlntabulka"/>
    <w:uiPriority w:val="47"/>
    <w:rsid w:val="0052265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tltabulkasmkou1zvraznn2">
    <w:name w:val="Grid Table 1 Light Accent 2"/>
    <w:basedOn w:val="Normlntabulka"/>
    <w:uiPriority w:val="46"/>
    <w:rsid w:val="00E22FC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E22F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mkatabulky">
    <w:name w:val="Grid Table Light"/>
    <w:basedOn w:val="Normlntabulka"/>
    <w:uiPriority w:val="40"/>
    <w:rsid w:val="00704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dpisobsahu">
    <w:name w:val="TOC Heading"/>
    <w:basedOn w:val="Nadpis1"/>
    <w:next w:val="Normln"/>
    <w:uiPriority w:val="39"/>
    <w:unhideWhenUsed/>
    <w:qFormat/>
    <w:rsid w:val="00CD5258"/>
    <w:pPr>
      <w:keepLines/>
      <w:numPr>
        <w:numId w:val="0"/>
      </w:numPr>
      <w:overflowPunct/>
      <w:autoSpaceDE/>
      <w:autoSpaceDN/>
      <w:adjustRightInd/>
      <w:spacing w:before="240" w:line="259" w:lineRule="auto"/>
      <w:outlineLvl w:val="9"/>
    </w:pPr>
    <w:rPr>
      <w:rFonts w:asciiTheme="majorHAnsi" w:eastAsiaTheme="majorEastAsia" w:hAnsiTheme="majorHAnsi" w:cstheme="majorBidi"/>
      <w:b w:val="0"/>
      <w:color w:val="2E74B5" w:themeColor="accent1" w:themeShade="BF"/>
      <w:sz w:val="32"/>
      <w:szCs w:val="32"/>
    </w:rPr>
  </w:style>
  <w:style w:type="table" w:styleId="Prosttabulka2">
    <w:name w:val="Plain Table 2"/>
    <w:basedOn w:val="Normlntabulka"/>
    <w:uiPriority w:val="42"/>
    <w:rsid w:val="00D430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Znormal">
    <w:name w:val="Zúnormal"/>
    <w:basedOn w:val="Normln"/>
    <w:link w:val="ZnormalChar"/>
    <w:rsid w:val="002D41EF"/>
    <w:pPr>
      <w:spacing w:before="120" w:line="240" w:lineRule="auto"/>
      <w:ind w:firstLine="708"/>
    </w:pPr>
    <w:rPr>
      <w:rFonts w:eastAsia="Times New Roman" w:cs="Times New Roman"/>
      <w:szCs w:val="20"/>
      <w:lang w:eastAsia="cs-CZ"/>
    </w:rPr>
  </w:style>
  <w:style w:type="character" w:customStyle="1" w:styleId="ZnormalChar">
    <w:name w:val="Zúnormal Char"/>
    <w:link w:val="Znormal"/>
    <w:rsid w:val="002D41EF"/>
    <w:rPr>
      <w:rFonts w:ascii="Times New Roman" w:eastAsia="Times New Roman" w:hAnsi="Times New Roman" w:cs="Times New Roman"/>
      <w:sz w:val="24"/>
      <w:szCs w:val="20"/>
      <w:lang w:eastAsia="cs-CZ"/>
    </w:rPr>
  </w:style>
  <w:style w:type="paragraph" w:customStyle="1" w:styleId="Default">
    <w:name w:val="Default"/>
    <w:rsid w:val="00BB459E"/>
    <w:pPr>
      <w:autoSpaceDE w:val="0"/>
      <w:autoSpaceDN w:val="0"/>
      <w:adjustRightInd w:val="0"/>
      <w:spacing w:after="0" w:line="240" w:lineRule="auto"/>
    </w:pPr>
    <w:rPr>
      <w:rFonts w:ascii="Arial" w:hAnsi="Arial" w:cs="Arial"/>
      <w:color w:val="000000"/>
      <w:sz w:val="24"/>
      <w:szCs w:val="24"/>
    </w:rPr>
  </w:style>
  <w:style w:type="table" w:customStyle="1" w:styleId="Svtltabulkasmkou1zvraznn11">
    <w:name w:val="Světlá tabulka s mřížkou 1 – zvýraznění 11"/>
    <w:basedOn w:val="Normlntabulka"/>
    <w:next w:val="Svtltabulkasmkou1zvraznn1"/>
    <w:uiPriority w:val="46"/>
    <w:rsid w:val="009A036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tyl1">
    <w:name w:val="Styl1"/>
    <w:basedOn w:val="Normln"/>
    <w:qFormat/>
    <w:rsid w:val="00D00A45"/>
    <w:pPr>
      <w:spacing w:before="120" w:after="240" w:line="240" w:lineRule="auto"/>
      <w:ind w:firstLine="567"/>
    </w:pPr>
    <w:rPr>
      <w:rFonts w:eastAsia="Times New Roman" w:cs="Times New Roman"/>
      <w:iCs/>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054923">
      <w:bodyDiv w:val="1"/>
      <w:marLeft w:val="0"/>
      <w:marRight w:val="0"/>
      <w:marTop w:val="0"/>
      <w:marBottom w:val="0"/>
      <w:divBdr>
        <w:top w:val="none" w:sz="0" w:space="0" w:color="auto"/>
        <w:left w:val="none" w:sz="0" w:space="0" w:color="auto"/>
        <w:bottom w:val="none" w:sz="0" w:space="0" w:color="auto"/>
        <w:right w:val="none" w:sz="0" w:space="0" w:color="auto"/>
      </w:divBdr>
    </w:div>
    <w:div w:id="950238815">
      <w:bodyDiv w:val="1"/>
      <w:marLeft w:val="0"/>
      <w:marRight w:val="0"/>
      <w:marTop w:val="0"/>
      <w:marBottom w:val="0"/>
      <w:divBdr>
        <w:top w:val="none" w:sz="0" w:space="0" w:color="auto"/>
        <w:left w:val="none" w:sz="0" w:space="0" w:color="auto"/>
        <w:bottom w:val="none" w:sz="0" w:space="0" w:color="auto"/>
        <w:right w:val="none" w:sz="0" w:space="0" w:color="auto"/>
      </w:divBdr>
    </w:div>
    <w:div w:id="190212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3.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7.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NT.MDCR.CZ\DATAUSERS$\daniel.novak\Desktop\graf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NT.MDCR.CZ\DATAUSERS$\daniel.novak\Desktop\grafy.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NT.MDCR.CZ\DATAUSERS$\daniel.novak\Desktop\grafy.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NT.MDCR.CZ\DATAUSERS$\daniel.novak\Desktop\grafy.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315835520559931E-2"/>
          <c:y val="6.7193596998093866E-2"/>
          <c:w val="0.81685599300087486"/>
          <c:h val="0.81422924901185767"/>
        </c:manualLayout>
      </c:layout>
      <c:barChart>
        <c:barDir val="col"/>
        <c:grouping val="clustered"/>
        <c:varyColors val="0"/>
        <c:ser>
          <c:idx val="0"/>
          <c:order val="0"/>
          <c:tx>
            <c:strRef>
              <c:f>List1!$E$19</c:f>
              <c:strCache>
                <c:ptCount val="1"/>
                <c:pt idx="0">
                  <c:v>2018</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List1!$D$20:$D$21</c:f>
              <c:strCache>
                <c:ptCount val="2"/>
                <c:pt idx="0">
                  <c:v>Příjmy</c:v>
                </c:pt>
                <c:pt idx="1">
                  <c:v>Výdaje</c:v>
                </c:pt>
              </c:strCache>
            </c:strRef>
          </c:cat>
          <c:val>
            <c:numRef>
              <c:f>List1!$E$20:$E$21</c:f>
              <c:numCache>
                <c:formatCode>#,##0</c:formatCode>
                <c:ptCount val="2"/>
                <c:pt idx="0">
                  <c:v>16676665</c:v>
                </c:pt>
                <c:pt idx="1">
                  <c:v>53988011</c:v>
                </c:pt>
              </c:numCache>
            </c:numRef>
          </c:val>
          <c:extLst>
            <c:ext xmlns:c16="http://schemas.microsoft.com/office/drawing/2014/chart" uri="{C3380CC4-5D6E-409C-BE32-E72D297353CC}">
              <c16:uniqueId val="{00000000-C36A-4C78-B543-0DF87E5931E9}"/>
            </c:ext>
          </c:extLst>
        </c:ser>
        <c:ser>
          <c:idx val="1"/>
          <c:order val="1"/>
          <c:tx>
            <c:strRef>
              <c:f>List1!$F$19</c:f>
              <c:strCache>
                <c:ptCount val="1"/>
                <c:pt idx="0">
                  <c:v>2019</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List1!$D$20:$D$21</c:f>
              <c:strCache>
                <c:ptCount val="2"/>
                <c:pt idx="0">
                  <c:v>Příjmy</c:v>
                </c:pt>
                <c:pt idx="1">
                  <c:v>Výdaje</c:v>
                </c:pt>
              </c:strCache>
            </c:strRef>
          </c:cat>
          <c:val>
            <c:numRef>
              <c:f>List1!$F$20:$F$21</c:f>
              <c:numCache>
                <c:formatCode>#,##0</c:formatCode>
                <c:ptCount val="2"/>
                <c:pt idx="0">
                  <c:v>19246733</c:v>
                </c:pt>
                <c:pt idx="1">
                  <c:v>72555425</c:v>
                </c:pt>
              </c:numCache>
            </c:numRef>
          </c:val>
          <c:extLst>
            <c:ext xmlns:c16="http://schemas.microsoft.com/office/drawing/2014/chart" uri="{C3380CC4-5D6E-409C-BE32-E72D297353CC}">
              <c16:uniqueId val="{00000001-C36A-4C78-B543-0DF87E5931E9}"/>
            </c:ext>
          </c:extLst>
        </c:ser>
        <c:dLbls>
          <c:showLegendKey val="0"/>
          <c:showVal val="0"/>
          <c:showCatName val="0"/>
          <c:showSerName val="0"/>
          <c:showPercent val="0"/>
          <c:showBubbleSize val="0"/>
        </c:dLbls>
        <c:gapWidth val="267"/>
        <c:overlap val="-43"/>
        <c:axId val="226702736"/>
        <c:axId val="226701168"/>
      </c:barChart>
      <c:catAx>
        <c:axId val="22670273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226701168"/>
        <c:crosses val="autoZero"/>
        <c:auto val="1"/>
        <c:lblAlgn val="ctr"/>
        <c:lblOffset val="100"/>
        <c:tickLblSkip val="1"/>
        <c:tickMarkSkip val="1"/>
        <c:noMultiLvlLbl val="0"/>
      </c:catAx>
      <c:valAx>
        <c:axId val="226701168"/>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226702736"/>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944041994750652"/>
          <c:y val="0.47845314012554507"/>
          <c:w val="0.15000804899387576"/>
          <c:h val="8.555192958294663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6850921273031828E-2"/>
          <c:y val="3.6900369003690037E-2"/>
          <c:w val="0.82855660060320657"/>
          <c:h val="0.83394833948339486"/>
        </c:manualLayout>
      </c:layout>
      <c:barChart>
        <c:barDir val="col"/>
        <c:grouping val="clustered"/>
        <c:varyColors val="0"/>
        <c:ser>
          <c:idx val="0"/>
          <c:order val="0"/>
          <c:tx>
            <c:strRef>
              <c:f>List1!$D$42</c:f>
              <c:strCache>
                <c:ptCount val="1"/>
                <c:pt idx="0">
                  <c:v>2018</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[1]Sheet1!$B$1:$C$1</c:f>
              <c:strCache>
                <c:ptCount val="2"/>
                <c:pt idx="0">
                  <c:v>Neinvestiční přijaté transfery</c:v>
                </c:pt>
                <c:pt idx="1">
                  <c:v>Investiční přijaté transfery</c:v>
                </c:pt>
              </c:strCache>
            </c:strRef>
          </c:cat>
          <c:val>
            <c:numRef>
              <c:f>List1!$D$43:$D$44</c:f>
              <c:numCache>
                <c:formatCode>#,##0</c:formatCode>
                <c:ptCount val="2"/>
                <c:pt idx="0">
                  <c:v>213851</c:v>
                </c:pt>
                <c:pt idx="1">
                  <c:v>16203814</c:v>
                </c:pt>
              </c:numCache>
            </c:numRef>
          </c:val>
          <c:extLst>
            <c:ext xmlns:c16="http://schemas.microsoft.com/office/drawing/2014/chart" uri="{C3380CC4-5D6E-409C-BE32-E72D297353CC}">
              <c16:uniqueId val="{00000000-FAB9-4860-9610-289A4CA511D8}"/>
            </c:ext>
          </c:extLst>
        </c:ser>
        <c:ser>
          <c:idx val="1"/>
          <c:order val="1"/>
          <c:tx>
            <c:strRef>
              <c:f>List1!$E$42</c:f>
              <c:strCache>
                <c:ptCount val="1"/>
                <c:pt idx="0">
                  <c:v>2019</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[1]Sheet1!$B$1:$C$1</c:f>
              <c:strCache>
                <c:ptCount val="2"/>
                <c:pt idx="0">
                  <c:v>Neinvestiční přijaté transfery</c:v>
                </c:pt>
                <c:pt idx="1">
                  <c:v>Investiční přijaté transfery</c:v>
                </c:pt>
              </c:strCache>
            </c:strRef>
          </c:cat>
          <c:val>
            <c:numRef>
              <c:f>List1!$E$43:$E$44</c:f>
              <c:numCache>
                <c:formatCode>#,##0</c:formatCode>
                <c:ptCount val="2"/>
                <c:pt idx="0">
                  <c:v>142490</c:v>
                </c:pt>
                <c:pt idx="1">
                  <c:v>18727243</c:v>
                </c:pt>
              </c:numCache>
            </c:numRef>
          </c:val>
          <c:extLst>
            <c:ext xmlns:c16="http://schemas.microsoft.com/office/drawing/2014/chart" uri="{C3380CC4-5D6E-409C-BE32-E72D297353CC}">
              <c16:uniqueId val="{00000001-FAB9-4860-9610-289A4CA511D8}"/>
            </c:ext>
          </c:extLst>
        </c:ser>
        <c:dLbls>
          <c:dLblPos val="outEnd"/>
          <c:showLegendKey val="0"/>
          <c:showVal val="1"/>
          <c:showCatName val="0"/>
          <c:showSerName val="0"/>
          <c:showPercent val="0"/>
          <c:showBubbleSize val="0"/>
        </c:dLbls>
        <c:gapWidth val="267"/>
        <c:overlap val="-43"/>
        <c:axId val="226700776"/>
        <c:axId val="477170056"/>
      </c:barChart>
      <c:catAx>
        <c:axId val="22670077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170056"/>
        <c:crosses val="autoZero"/>
        <c:auto val="1"/>
        <c:lblAlgn val="ctr"/>
        <c:lblOffset val="100"/>
        <c:tickLblSkip val="1"/>
        <c:tickMarkSkip val="1"/>
        <c:noMultiLvlLbl val="0"/>
      </c:catAx>
      <c:valAx>
        <c:axId val="477170056"/>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226700776"/>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5277828115893939"/>
          <c:y val="0.45017737551489329"/>
          <c:w val="0.14587492608804775"/>
          <c:h val="8.007173480539132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20474985052E-2"/>
          <c:y val="3.8759744584165784E-2"/>
          <c:w val="0.82698366258337253"/>
          <c:h val="0.71317829457364346"/>
        </c:manualLayout>
      </c:layout>
      <c:barChart>
        <c:barDir val="col"/>
        <c:grouping val="clustered"/>
        <c:varyColors val="0"/>
        <c:ser>
          <c:idx val="0"/>
          <c:order val="0"/>
          <c:tx>
            <c:strRef>
              <c:f>List1!$D$64</c:f>
              <c:strCache>
                <c:ptCount val="1"/>
                <c:pt idx="0">
                  <c:v>2018</c:v>
                </c:pt>
              </c:strCache>
            </c:strRef>
          </c:tx>
          <c:spPr>
            <a:solidFill>
              <a:schemeClr val="accent1"/>
            </a:solidFill>
            <a:ln>
              <a:noFill/>
            </a:ln>
            <a:effectLst/>
          </c:spPr>
          <c:invertIfNegative val="0"/>
          <c:dLbls>
            <c:dLbl>
              <c:idx val="1"/>
              <c:layout>
                <c:manualLayout>
                  <c:x val="-1.1025358324145576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855-4448-9E09-5BE06E366629}"/>
                </c:ext>
              </c:extLst>
            </c:dLbl>
            <c:dLbl>
              <c:idx val="3"/>
              <c:layout>
                <c:manualLayout>
                  <c:x val="0"/>
                  <c:y val="1.13700966458214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2BB-4114-9836-9531B5AFE73D}"/>
                </c:ext>
              </c:extLst>
            </c:dLbl>
            <c:dLbl>
              <c:idx val="4"/>
              <c:layout>
                <c:manualLayout>
                  <c:x val="-6.615214994487321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855-4448-9E09-5BE06E36662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[1]Sheet1!$B$1:$F$1</c:f>
              <c:strCache>
                <c:ptCount val="5"/>
                <c:pt idx="0">
                  <c:v>Daňové příjmy - správní poplatky</c:v>
                </c:pt>
                <c:pt idx="1">
                  <c:v>Příjmy z pronájmu majetku</c:v>
                </c:pt>
                <c:pt idx="2">
                  <c:v>Příjmy z vlastní činnosti</c:v>
                </c:pt>
                <c:pt idx="3">
                  <c:v>Přijaté sankční platby a vratky transférů</c:v>
                </c:pt>
                <c:pt idx="4">
                  <c:v>Odvody přebytků org. s přímým vztahem</c:v>
                </c:pt>
              </c:strCache>
            </c:strRef>
          </c:cat>
          <c:val>
            <c:numRef>
              <c:f>List1!$D$65:$D$69</c:f>
              <c:numCache>
                <c:formatCode>#,##0</c:formatCode>
                <c:ptCount val="5"/>
                <c:pt idx="0">
                  <c:v>80000</c:v>
                </c:pt>
                <c:pt idx="1">
                  <c:v>34200</c:v>
                </c:pt>
                <c:pt idx="2">
                  <c:v>44085</c:v>
                </c:pt>
                <c:pt idx="3">
                  <c:v>700</c:v>
                </c:pt>
                <c:pt idx="4">
                  <c:v>100000</c:v>
                </c:pt>
              </c:numCache>
            </c:numRef>
          </c:val>
          <c:extLst>
            <c:ext xmlns:c16="http://schemas.microsoft.com/office/drawing/2014/chart" uri="{C3380CC4-5D6E-409C-BE32-E72D297353CC}">
              <c16:uniqueId val="{00000000-E855-4448-9E09-5BE06E366629}"/>
            </c:ext>
          </c:extLst>
        </c:ser>
        <c:ser>
          <c:idx val="1"/>
          <c:order val="1"/>
          <c:tx>
            <c:strRef>
              <c:f>List1!$E$64</c:f>
              <c:strCache>
                <c:ptCount val="1"/>
                <c:pt idx="0">
                  <c:v>2019</c:v>
                </c:pt>
              </c:strCache>
            </c:strRef>
          </c:tx>
          <c:spPr>
            <a:solidFill>
              <a:schemeClr val="accent2"/>
            </a:solidFill>
            <a:ln>
              <a:noFill/>
            </a:ln>
            <a:effectLst/>
          </c:spPr>
          <c:invertIfNegative val="0"/>
          <c:dLbls>
            <c:dLbl>
              <c:idx val="1"/>
              <c:layout>
                <c:manualLayout>
                  <c:x val="8.8202866593164279E-3"/>
                  <c:y val="-1.0422468190761108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855-4448-9E09-5BE06E366629}"/>
                </c:ext>
              </c:extLst>
            </c:dLbl>
            <c:dLbl>
              <c:idx val="2"/>
              <c:layout>
                <c:manualLayout>
                  <c:x val="1.3230429988974642E-2"/>
                  <c:y val="-1.0422468190761108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855-4448-9E09-5BE06E366629}"/>
                </c:ext>
              </c:extLst>
            </c:dLbl>
            <c:dLbl>
              <c:idx val="3"/>
              <c:layout>
                <c:manualLayout>
                  <c:x val="-8.0851693704735569E-17"/>
                  <c:y val="-1.13700966458214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2BB-4114-9836-9531B5AFE7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[1]Sheet1!$B$1:$F$1</c:f>
              <c:strCache>
                <c:ptCount val="5"/>
                <c:pt idx="0">
                  <c:v>Daňové příjmy - správní poplatky</c:v>
                </c:pt>
                <c:pt idx="1">
                  <c:v>Příjmy z pronájmu majetku</c:v>
                </c:pt>
                <c:pt idx="2">
                  <c:v>Příjmy z vlastní činnosti</c:v>
                </c:pt>
                <c:pt idx="3">
                  <c:v>Přijaté sankční platby a vratky transférů</c:v>
                </c:pt>
                <c:pt idx="4">
                  <c:v>Odvody přebytků org. s přímým vztahem</c:v>
                </c:pt>
              </c:strCache>
            </c:strRef>
          </c:cat>
          <c:val>
            <c:numRef>
              <c:f>List1!$E$65:$E$69</c:f>
              <c:numCache>
                <c:formatCode>#,##0</c:formatCode>
                <c:ptCount val="5"/>
                <c:pt idx="0">
                  <c:v>170000</c:v>
                </c:pt>
                <c:pt idx="1">
                  <c:v>31047</c:v>
                </c:pt>
                <c:pt idx="2">
                  <c:v>44800</c:v>
                </c:pt>
                <c:pt idx="3">
                  <c:v>1068</c:v>
                </c:pt>
                <c:pt idx="4">
                  <c:v>130000</c:v>
                </c:pt>
              </c:numCache>
            </c:numRef>
          </c:val>
          <c:extLst>
            <c:ext xmlns:c16="http://schemas.microsoft.com/office/drawing/2014/chart" uri="{C3380CC4-5D6E-409C-BE32-E72D297353CC}">
              <c16:uniqueId val="{00000001-E855-4448-9E09-5BE06E366629}"/>
            </c:ext>
          </c:extLst>
        </c:ser>
        <c:dLbls>
          <c:dLblPos val="outEnd"/>
          <c:showLegendKey val="0"/>
          <c:showVal val="1"/>
          <c:showCatName val="0"/>
          <c:showSerName val="0"/>
          <c:showPercent val="0"/>
          <c:showBubbleSize val="0"/>
        </c:dLbls>
        <c:gapWidth val="267"/>
        <c:overlap val="-43"/>
        <c:axId val="477170448"/>
        <c:axId val="477171624"/>
      </c:barChart>
      <c:catAx>
        <c:axId val="4771704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171624"/>
        <c:crosses val="autoZero"/>
        <c:auto val="1"/>
        <c:lblAlgn val="ctr"/>
        <c:lblOffset val="100"/>
        <c:tickLblSkip val="1"/>
        <c:tickMarkSkip val="1"/>
        <c:noMultiLvlLbl val="0"/>
      </c:catAx>
      <c:valAx>
        <c:axId val="477171624"/>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771704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5379246011049914"/>
          <c:y val="0.39365612880479484"/>
          <c:w val="0.14540360160957264"/>
          <c:h val="8.39558114937125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3752093802E-2"/>
          <c:y val="9.8859315589353611E-2"/>
          <c:w val="0.82939684434009175"/>
          <c:h val="0.69904219349230101"/>
        </c:manualLayout>
      </c:layout>
      <c:barChart>
        <c:barDir val="col"/>
        <c:grouping val="clustered"/>
        <c:varyColors val="0"/>
        <c:ser>
          <c:idx val="0"/>
          <c:order val="0"/>
          <c:tx>
            <c:strRef>
              <c:f>Sheet1!$A$2</c:f>
              <c:strCache>
                <c:ptCount val="1"/>
                <c:pt idx="0">
                  <c:v>2018</c:v>
                </c:pt>
              </c:strCache>
            </c:strRef>
          </c:tx>
          <c:spPr>
            <a:solidFill>
              <a:schemeClr val="accent1"/>
            </a:solidFill>
            <a:ln>
              <a:noFill/>
            </a:ln>
            <a:effectLst/>
          </c:spPr>
          <c:invertIfNegative val="0"/>
          <c:dLbls>
            <c:dLbl>
              <c:idx val="0"/>
              <c:layout>
                <c:manualLayout>
                  <c:x val="-1.1827368366433604E-2"/>
                  <c:y val="3.748139201212362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743-4709-AF52-BB77F35271B3}"/>
                </c:ext>
              </c:extLst>
            </c:dLbl>
            <c:dLbl>
              <c:idx val="1"/>
              <c:layout>
                <c:manualLayout>
                  <c:x val="-1.5588951516001814E-3"/>
                  <c:y val="-7.603985014475345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743-4709-AF52-BB77F35271B3}"/>
                </c:ext>
              </c:extLst>
            </c:dLbl>
            <c:dLbl>
              <c:idx val="2"/>
              <c:layout>
                <c:manualLayout>
                  <c:x val="-2.799552032931641E-2"/>
                  <c:y val="1.408321761440787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743-4709-AF52-BB77F35271B3}"/>
                </c:ext>
              </c:extLst>
            </c:dLbl>
            <c:dLbl>
              <c:idx val="3"/>
              <c:layout>
                <c:manualLayout>
                  <c:x val="-1.569891078277497E-2"/>
                  <c:y val="4.2928195284813465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743-4709-AF52-BB77F35271B3}"/>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Drážní a kombinovaná doprava</c:v>
                </c:pt>
                <c:pt idx="1">
                  <c:v>Pozemní komunikace</c:v>
                </c:pt>
                <c:pt idx="2">
                  <c:v>Dotace pro SFDI</c:v>
                </c:pt>
                <c:pt idx="3">
                  <c:v>Ostatní výdaje spojené s dopr.pol.státu</c:v>
                </c:pt>
              </c:strCache>
            </c:strRef>
          </c:cat>
          <c:val>
            <c:numRef>
              <c:f>Sheet1!$B$2:$E$2</c:f>
              <c:numCache>
                <c:formatCode>#,##0</c:formatCode>
                <c:ptCount val="4"/>
                <c:pt idx="0">
                  <c:v>8626565</c:v>
                </c:pt>
                <c:pt idx="1">
                  <c:v>0</c:v>
                </c:pt>
                <c:pt idx="2">
                  <c:v>40881974</c:v>
                </c:pt>
                <c:pt idx="3">
                  <c:v>4479472</c:v>
                </c:pt>
              </c:numCache>
            </c:numRef>
          </c:val>
          <c:extLst>
            <c:ext xmlns:c16="http://schemas.microsoft.com/office/drawing/2014/chart" uri="{C3380CC4-5D6E-409C-BE32-E72D297353CC}">
              <c16:uniqueId val="{00000004-8743-4709-AF52-BB77F35271B3}"/>
            </c:ext>
          </c:extLst>
        </c:ser>
        <c:ser>
          <c:idx val="1"/>
          <c:order val="1"/>
          <c:tx>
            <c:strRef>
              <c:f>Sheet1!$A$3</c:f>
              <c:strCache>
                <c:ptCount val="1"/>
                <c:pt idx="0">
                  <c:v>2019</c:v>
                </c:pt>
              </c:strCache>
            </c:strRef>
          </c:tx>
          <c:spPr>
            <a:solidFill>
              <a:schemeClr val="accent2"/>
            </a:solidFill>
            <a:ln>
              <a:noFill/>
            </a:ln>
            <a:effectLst/>
          </c:spPr>
          <c:invertIfNegative val="0"/>
          <c:dLbls>
            <c:dLbl>
              <c:idx val="0"/>
              <c:layout>
                <c:manualLayout>
                  <c:x val="1.9973104679872181E-2"/>
                  <c:y val="-1.585573664552312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743-4709-AF52-BB77F35271B3}"/>
                </c:ext>
              </c:extLst>
            </c:dLbl>
            <c:dLbl>
              <c:idx val="1"/>
              <c:layout>
                <c:manualLayout>
                  <c:x val="2.4523862898749194E-2"/>
                  <c:y val="-1.14062663832966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743-4709-AF52-BB77F35271B3}"/>
                </c:ext>
              </c:extLst>
            </c:dLbl>
            <c:dLbl>
              <c:idx val="2"/>
              <c:layout>
                <c:manualLayout>
                  <c:x val="1.5058611907448966E-2"/>
                  <c:y val="2.26611634464108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743-4709-AF52-BB77F35271B3}"/>
                </c:ext>
              </c:extLst>
            </c:dLbl>
            <c:dLbl>
              <c:idx val="3"/>
              <c:layout>
                <c:manualLayout>
                  <c:x val="1.4696952007852395E-2"/>
                  <c:y val="7.855167346875973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743-4709-AF52-BB77F35271B3}"/>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Drážní a kombinovaná doprava</c:v>
                </c:pt>
                <c:pt idx="1">
                  <c:v>Pozemní komunikace</c:v>
                </c:pt>
                <c:pt idx="2">
                  <c:v>Dotace pro SFDI</c:v>
                </c:pt>
                <c:pt idx="3">
                  <c:v>Ostatní výdaje spojené s dopr.pol.státu</c:v>
                </c:pt>
              </c:strCache>
            </c:strRef>
          </c:cat>
          <c:val>
            <c:numRef>
              <c:f>Sheet1!$B$3:$E$3</c:f>
              <c:numCache>
                <c:formatCode>#,##0</c:formatCode>
                <c:ptCount val="4"/>
                <c:pt idx="0">
                  <c:v>8269379</c:v>
                </c:pt>
                <c:pt idx="1">
                  <c:v>0</c:v>
                </c:pt>
                <c:pt idx="2">
                  <c:v>54746044</c:v>
                </c:pt>
                <c:pt idx="3">
                  <c:v>9540001</c:v>
                </c:pt>
              </c:numCache>
            </c:numRef>
          </c:val>
          <c:extLst>
            <c:ext xmlns:c16="http://schemas.microsoft.com/office/drawing/2014/chart" uri="{C3380CC4-5D6E-409C-BE32-E72D297353CC}">
              <c16:uniqueId val="{00000009-8743-4709-AF52-BB77F35271B3}"/>
            </c:ext>
          </c:extLst>
        </c:ser>
        <c:dLbls>
          <c:showLegendKey val="0"/>
          <c:showVal val="0"/>
          <c:showCatName val="0"/>
          <c:showSerName val="0"/>
          <c:showPercent val="0"/>
          <c:showBubbleSize val="0"/>
        </c:dLbls>
        <c:gapWidth val="267"/>
        <c:overlap val="-43"/>
        <c:axId val="422713248"/>
        <c:axId val="422713640"/>
      </c:barChart>
      <c:catAx>
        <c:axId val="4227132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22713640"/>
        <c:crosses val="autoZero"/>
        <c:auto val="1"/>
        <c:lblAlgn val="ctr"/>
        <c:lblOffset val="100"/>
        <c:tickLblSkip val="1"/>
        <c:tickMarkSkip val="1"/>
        <c:noMultiLvlLbl val="0"/>
      </c:catAx>
      <c:valAx>
        <c:axId val="42271364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227132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980373334716997"/>
          <c:y val="0.41927152852840144"/>
          <c:w val="0.14827813739098097"/>
          <c:h val="8.243829071927807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tx1">
          <a:lumMod val="50000"/>
          <a:lumOff val="50000"/>
        </a:schemeClr>
      </a:solid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815789473684212"/>
          <c:y val="0.21428571428571427"/>
          <c:w val="0.57072368421052633"/>
          <c:h val="0.44480519480519481"/>
        </c:manualLayout>
      </c:layout>
      <c:pie3DChart>
        <c:varyColors val="1"/>
        <c:ser>
          <c:idx val="0"/>
          <c:order val="0"/>
          <c:tx>
            <c:v>2019</c:v>
          </c:tx>
          <c:explosion val="19"/>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C05-4806-91B3-755985E5BC38}"/>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C05-4806-91B3-755985E5BC38}"/>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0C05-4806-91B3-755985E5BC38}"/>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0C05-4806-91B3-755985E5BC38}"/>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0C05-4806-91B3-755985E5BC38}"/>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0C05-4806-91B3-755985E5BC38}"/>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0C05-4806-91B3-755985E5BC38}"/>
              </c:ext>
            </c:extLst>
          </c:dPt>
          <c:dLbls>
            <c:dLbl>
              <c:idx val="0"/>
              <c:layout>
                <c:manualLayout>
                  <c:x val="3.9331366764995086E-3"/>
                  <c:y val="-7.547169811320757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0C05-4806-91B3-755985E5BC38}"/>
                </c:ext>
              </c:extLst>
            </c:dLbl>
            <c:dLbl>
              <c:idx val="1"/>
              <c:layout>
                <c:manualLayout>
                  <c:x val="0.10160414728763625"/>
                  <c:y val="-0.11797450451168169"/>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6508613506645001"/>
                      <c:h val="0.22537191076732324"/>
                    </c:manualLayout>
                  </c15:layout>
                </c:ext>
                <c:ext xmlns:c16="http://schemas.microsoft.com/office/drawing/2014/chart" uri="{C3380CC4-5D6E-409C-BE32-E72D297353CC}">
                  <c16:uniqueId val="{00000003-0C05-4806-91B3-755985E5BC38}"/>
                </c:ext>
              </c:extLst>
            </c:dLbl>
            <c:dLbl>
              <c:idx val="2"/>
              <c:layout>
                <c:manualLayout>
                  <c:x val="7.472959685349051E-2"/>
                  <c:y val="0.1425576519916141"/>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0C05-4806-91B3-755985E5BC38}"/>
                </c:ext>
              </c:extLst>
            </c:dLbl>
            <c:dLbl>
              <c:idx val="3"/>
              <c:layout>
                <c:manualLayout>
                  <c:x val="-6.2930186823992207E-2"/>
                  <c:y val="6.70859538784065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0C05-4806-91B3-755985E5BC38}"/>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0C05-4806-91B3-755985E5BC38}"/>
                </c:ext>
              </c:extLst>
            </c:dLbl>
            <c:dLbl>
              <c:idx val="5"/>
              <c:layout>
                <c:manualLayout>
                  <c:x val="-1.7699115044247805E-2"/>
                  <c:y val="-1.257861635220127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0C05-4806-91B3-755985E5BC38}"/>
                </c:ext>
              </c:extLst>
            </c:dLbl>
            <c:dLbl>
              <c:idx val="6"/>
              <c:layout>
                <c:manualLayout>
                  <c:x val="1.9665683382497579E-2"/>
                  <c:y val="-5.8700209643605873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0C05-4806-91B3-755985E5BC38}"/>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List1!$C$91:$C$97</c:f>
              <c:strCache>
                <c:ptCount val="7"/>
                <c:pt idx="0">
                  <c:v>výdaje organizačních složek státu</c:v>
                </c:pt>
                <c:pt idx="1">
                  <c:v>transfery příspěvkovým a podobným organizacím</c:v>
                </c:pt>
                <c:pt idx="2">
                  <c:v>dotace neziskovým a podobným organizacím</c:v>
                </c:pt>
                <c:pt idx="3">
                  <c:v>trasfery veřejným rozpočtům územní úrovně</c:v>
                </c:pt>
                <c:pt idx="4">
                  <c:v>dotace podnikatelským subjektům</c:v>
                </c:pt>
                <c:pt idx="5">
                  <c:v>dotace státním fondům</c:v>
                </c:pt>
                <c:pt idx="6">
                  <c:v>transfery do zahraničí</c:v>
                </c:pt>
              </c:strCache>
            </c:strRef>
          </c:cat>
          <c:val>
            <c:numRef>
              <c:f>List1!$D$91:$D$97</c:f>
              <c:numCache>
                <c:formatCode>#,##0</c:formatCode>
                <c:ptCount val="7"/>
                <c:pt idx="0">
                  <c:v>7606816</c:v>
                </c:pt>
                <c:pt idx="1">
                  <c:v>737387</c:v>
                </c:pt>
                <c:pt idx="2">
                  <c:v>9600</c:v>
                </c:pt>
                <c:pt idx="3">
                  <c:v>2894352</c:v>
                </c:pt>
                <c:pt idx="4">
                  <c:v>5468442</c:v>
                </c:pt>
                <c:pt idx="5">
                  <c:v>6056287</c:v>
                </c:pt>
                <c:pt idx="6">
                  <c:v>954275</c:v>
                </c:pt>
              </c:numCache>
            </c:numRef>
          </c:val>
          <c:extLst>
            <c:ext xmlns:c16="http://schemas.microsoft.com/office/drawing/2014/chart" uri="{C3380CC4-5D6E-409C-BE32-E72D297353CC}">
              <c16:uniqueId val="{0000000E-0C05-4806-91B3-755985E5BC38}"/>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55"/>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089070208892753"/>
          <c:y val="0.22053149606299213"/>
          <c:w val="0.44648829431438125"/>
          <c:h val="0.46086956521739131"/>
        </c:manualLayout>
      </c:layout>
      <c:pie3DChart>
        <c:varyColors val="1"/>
        <c:ser>
          <c:idx val="0"/>
          <c:order val="0"/>
          <c:tx>
            <c:strRef>
              <c:f>Sheet1!$A$2</c:f>
              <c:strCache>
                <c:ptCount val="1"/>
              </c:strCache>
            </c:strRef>
          </c:tx>
          <c:explosion val="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371-4476-965D-5F00F78B362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371-4476-965D-5F00F78B362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371-4476-965D-5F00F78B362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371-4476-965D-5F00F78B362C}"/>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371-4476-965D-5F00F78B362C}"/>
              </c:ext>
            </c:extLst>
          </c:dPt>
          <c:dLbls>
            <c:dLbl>
              <c:idx val="0"/>
              <c:layout>
                <c:manualLayout>
                  <c:x val="-3.7342119714442616E-2"/>
                  <c:y val="5.038119332556354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371-4476-965D-5F00F78B362C}"/>
                </c:ext>
              </c:extLst>
            </c:dLbl>
            <c:dLbl>
              <c:idx val="1"/>
              <c:layout>
                <c:manualLayout>
                  <c:x val="2.6143433459706426E-2"/>
                  <c:y val="-0.2309572155099122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371-4476-965D-5F00F78B362C}"/>
                </c:ext>
              </c:extLst>
            </c:dLbl>
            <c:dLbl>
              <c:idx val="2"/>
              <c:layout>
                <c:manualLayout>
                  <c:x val="4.6072539543668072E-2"/>
                  <c:y val="-7.9442540896813352E-2"/>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6209380077490313"/>
                      <c:h val="0.2349939529338107"/>
                    </c:manualLayout>
                  </c15:layout>
                </c:ext>
                <c:ext xmlns:c16="http://schemas.microsoft.com/office/drawing/2014/chart" uri="{C3380CC4-5D6E-409C-BE32-E72D297353CC}">
                  <c16:uniqueId val="{00000005-1371-4476-965D-5F00F78B362C}"/>
                </c:ext>
              </c:extLst>
            </c:dLbl>
            <c:dLbl>
              <c:idx val="3"/>
              <c:layout>
                <c:manualLayout>
                  <c:x val="-4.441111527725701E-3"/>
                  <c:y val="3.241261689996759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1371-4476-965D-5F00F78B362C}"/>
                </c:ext>
              </c:extLst>
            </c:dLbl>
            <c:dLbl>
              <c:idx val="4"/>
              <c:layout>
                <c:manualLayout>
                  <c:x val="-0.13841742004471663"/>
                  <c:y val="-2.0814908455799967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371-4476-965D-5F00F78B362C}"/>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f>Sheet1!$B$2:$F$2</c:f>
              <c:numCache>
                <c:formatCode>#,##0</c:formatCode>
                <c:ptCount val="5"/>
                <c:pt idx="0">
                  <c:v>4979727</c:v>
                </c:pt>
                <c:pt idx="1">
                  <c:v>71797</c:v>
                </c:pt>
                <c:pt idx="2">
                  <c:v>400000</c:v>
                </c:pt>
                <c:pt idx="3">
                  <c:v>12918</c:v>
                </c:pt>
                <c:pt idx="4" formatCode="General">
                  <c:v>4000</c:v>
                </c:pt>
              </c:numCache>
            </c:numRef>
          </c:val>
          <c:extLst>
            <c:ext xmlns:c16="http://schemas.microsoft.com/office/drawing/2014/chart" uri="{C3380CC4-5D6E-409C-BE32-E72D297353CC}">
              <c16:uniqueId val="{0000000A-1371-4476-965D-5F00F78B362C}"/>
            </c:ext>
          </c:extLst>
        </c:ser>
        <c:dLbls>
          <c:dLblPos val="outEnd"/>
          <c:showLegendKey val="0"/>
          <c:showVal val="0"/>
          <c:showCatName val="0"/>
          <c:showSerName val="0"/>
          <c:showPercent val="1"/>
          <c:showBubbleSize val="0"/>
          <c:showLeaderLines val="0"/>
        </c:dLbls>
        <c:extLst>
          <c:ext xmlns:c15="http://schemas.microsoft.com/office/drawing/2012/chart" uri="{02D57815-91ED-43cb-92C2-25804820EDAC}">
            <c15:filteredPieSeries>
              <c15:ser>
                <c:idx val="1"/>
                <c:order val="1"/>
                <c:tx>
                  <c:strRef>
                    <c:extLst>
                      <c:ext uri="{02D57815-91ED-43cb-92C2-25804820EDAC}">
                        <c15:formulaRef>
                          <c15:sqref>Sheet1!$A$3</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C-1371-4476-965D-5F00F78B362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E-1371-4476-965D-5F00F78B362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1371-4476-965D-5F00F78B362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2-1371-4476-965D-5F00F78B362C}"/>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4-1371-4476-965D-5F00F78B362C}"/>
                    </c:ext>
                  </c:extLst>
                </c:dPt>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C-1371-4476-965D-5F00F78B362C}"/>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E-1371-4476-965D-5F00F78B362C}"/>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0-1371-4476-965D-5F00F78B362C}"/>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2-1371-4476-965D-5F00F78B362C}"/>
                      </c:ext>
                    </c:extLst>
                  </c:dLbl>
                  <c:dLbl>
                    <c:idx val="4"/>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4-1371-4476-965D-5F00F78B362C}"/>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Sheet1!$B$1:$F$1</c15:sqref>
                        </c15:formulaRef>
                      </c:ext>
                    </c:extLst>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extLst>
                      <c:ext uri="{02D57815-91ED-43cb-92C2-25804820EDAC}">
                        <c15:formulaRef>
                          <c15:sqref>Sheet1!$B$3:$F$3</c15:sqref>
                        </c15:formulaRef>
                      </c:ext>
                    </c:extLst>
                    <c:numCache>
                      <c:formatCode>General</c:formatCode>
                      <c:ptCount val="5"/>
                    </c:numCache>
                  </c:numRef>
                </c:val>
                <c:extLst>
                  <c:ext xmlns:c16="http://schemas.microsoft.com/office/drawing/2014/chart" uri="{C3380CC4-5D6E-409C-BE32-E72D297353CC}">
                    <c16:uniqueId val="{00000015-1371-4476-965D-5F00F78B362C}"/>
                  </c:ext>
                </c:extLst>
              </c15:ser>
            </c15:filteredPieSeries>
            <c15:filteredPie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7-1371-4476-965D-5F00F78B362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9-1371-4476-965D-5F00F78B362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B-1371-4476-965D-5F00F78B362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D-1371-4476-965D-5F00F78B362C}"/>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F-1371-4476-965D-5F00F78B362C}"/>
                    </c:ext>
                  </c:extLst>
                </c:dPt>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7-1371-4476-965D-5F00F78B362C}"/>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9-1371-4476-965D-5F00F78B362C}"/>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B-1371-4476-965D-5F00F78B362C}"/>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D-1371-4476-965D-5F00F78B362C}"/>
                      </c:ext>
                    </c:extLst>
                  </c:dLbl>
                  <c:dLbl>
                    <c:idx val="4"/>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F-1371-4476-965D-5F00F78B362C}"/>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Sheet1!$B$1:$F$1</c15:sqref>
                        </c15:formulaRef>
                      </c:ext>
                    </c:extLst>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extLst xmlns:c15="http://schemas.microsoft.com/office/drawing/2012/chart">
                      <c:ext xmlns:c15="http://schemas.microsoft.com/office/drawing/2012/chart" uri="{02D57815-91ED-43cb-92C2-25804820EDAC}">
                        <c15:formulaRef>
                          <c15:sqref>Sheet1!$B$4:$F$4</c15:sqref>
                        </c15:formulaRef>
                      </c:ext>
                    </c:extLst>
                    <c:numCache>
                      <c:formatCode>General</c:formatCode>
                      <c:ptCount val="5"/>
                    </c:numCache>
                  </c:numRef>
                </c:val>
                <c:extLst xmlns:c15="http://schemas.microsoft.com/office/drawing/2012/chart">
                  <c:ext xmlns:c16="http://schemas.microsoft.com/office/drawing/2014/chart" uri="{C3380CC4-5D6E-409C-BE32-E72D297353CC}">
                    <c16:uniqueId val="{00000020-1371-4476-965D-5F00F78B362C}"/>
                  </c:ext>
                </c:extLst>
              </c15:ser>
            </c15:filteredPieSeries>
            <c15:filteredPieSeries>
              <c15:ser>
                <c:idx val="3"/>
                <c:order val="3"/>
                <c:tx>
                  <c:strRef>
                    <c:extLst xmlns:c15="http://schemas.microsoft.com/office/drawing/2012/chart">
                      <c:ext xmlns:c15="http://schemas.microsoft.com/office/drawing/2012/chart" uri="{02D57815-91ED-43cb-92C2-25804820EDAC}">
                        <c15:formulaRef>
                          <c15:sqref>Sheet1!$A$5</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2-1371-4476-965D-5F00F78B362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4-1371-4476-965D-5F00F78B362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6-1371-4476-965D-5F00F78B362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8-1371-4476-965D-5F00F78B362C}"/>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A-1371-4476-965D-5F00F78B362C}"/>
                    </c:ext>
                  </c:extLst>
                </c:dPt>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2-1371-4476-965D-5F00F78B362C}"/>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4-1371-4476-965D-5F00F78B362C}"/>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6-1371-4476-965D-5F00F78B362C}"/>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8-1371-4476-965D-5F00F78B362C}"/>
                      </c:ext>
                    </c:extLst>
                  </c:dLbl>
                  <c:dLbl>
                    <c:idx val="4"/>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A-1371-4476-965D-5F00F78B362C}"/>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Sheet1!$B$1:$F$1</c15:sqref>
                        </c15:formulaRef>
                      </c:ext>
                    </c:extLst>
                    <c:strCache>
                      <c:ptCount val="5"/>
                      <c:pt idx="0">
                        <c:v>úhrada ztráty dopravce z provozu veř. osobní drážní dopravy</c:v>
                      </c:pt>
                      <c:pt idx="1">
                        <c:v>úhrada poplatků vybíraných za LPS poskyt. ve vzdušném prostoru </c:v>
                      </c:pt>
                      <c:pt idx="2">
                        <c:v>příspěvek na dopravní cestu nehrazený ze SFDI</c:v>
                      </c:pt>
                      <c:pt idx="3">
                        <c:v>výdaje na programy spolufinancované z EU</c:v>
                      </c:pt>
                      <c:pt idx="4">
                        <c:v>programové financování</c:v>
                      </c:pt>
                    </c:strCache>
                  </c:strRef>
                </c:cat>
                <c:val>
                  <c:numRef>
                    <c:extLst xmlns:c15="http://schemas.microsoft.com/office/drawing/2012/chart">
                      <c:ext xmlns:c15="http://schemas.microsoft.com/office/drawing/2012/chart" uri="{02D57815-91ED-43cb-92C2-25804820EDAC}">
                        <c15:formulaRef>
                          <c15:sqref>Sheet1!$B$5:$F$5</c15:sqref>
                        </c15:formulaRef>
                      </c:ext>
                    </c:extLst>
                    <c:numCache>
                      <c:formatCode>General</c:formatCode>
                      <c:ptCount val="5"/>
                    </c:numCache>
                  </c:numRef>
                </c:val>
                <c:extLst xmlns:c15="http://schemas.microsoft.com/office/drawing/2012/chart">
                  <c:ext xmlns:c16="http://schemas.microsoft.com/office/drawing/2014/chart" uri="{C3380CC4-5D6E-409C-BE32-E72D297353CC}">
                    <c16:uniqueId val="{0000002B-1371-4476-965D-5F00F78B362C}"/>
                  </c:ext>
                </c:extLst>
              </c15:ser>
            </c15:filteredPieSeries>
          </c:ext>
        </c:extLst>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707482993197279E-2"/>
          <c:y val="4.5643153526970952E-2"/>
          <c:w val="0.8311076467790518"/>
          <c:h val="0.8149420167100625"/>
        </c:manualLayout>
      </c:layout>
      <c:barChart>
        <c:barDir val="col"/>
        <c:grouping val="clustered"/>
        <c:varyColors val="0"/>
        <c:ser>
          <c:idx val="0"/>
          <c:order val="0"/>
          <c:tx>
            <c:strRef>
              <c:f>Sheet1!$A$2</c:f>
              <c:strCache>
                <c:ptCount val="1"/>
                <c:pt idx="0">
                  <c:v>2018</c:v>
                </c:pt>
              </c:strCache>
            </c:strRef>
          </c:tx>
          <c:spPr>
            <a:solidFill>
              <a:schemeClr val="accent1"/>
            </a:solidFill>
            <a:ln>
              <a:noFill/>
            </a:ln>
            <a:effectLst/>
          </c:spPr>
          <c:invertIfNegative val="0"/>
          <c:dLbls>
            <c:dLbl>
              <c:idx val="0"/>
              <c:layout>
                <c:manualLayout>
                  <c:x val="-4.2702883616058058E-3"/>
                  <c:y val="6.391232968388911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DDE-4AC8-AA78-10ED8C7A5F30}"/>
                </c:ext>
              </c:extLst>
            </c:dLbl>
            <c:dLbl>
              <c:idx val="1"/>
              <c:layout>
                <c:manualLayout>
                  <c:x val="-2.6325987775018054E-3"/>
                  <c:y val="2.385837228513766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DDE-4AC8-AA78-10ED8C7A5F30}"/>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Sheet1!$B$2:$C$2</c:f>
              <c:numCache>
                <c:formatCode>#,##0</c:formatCode>
                <c:ptCount val="2"/>
                <c:pt idx="0">
                  <c:v>218352</c:v>
                </c:pt>
                <c:pt idx="1">
                  <c:v>2595650</c:v>
                </c:pt>
              </c:numCache>
            </c:numRef>
          </c:val>
          <c:extLst>
            <c:ext xmlns:c16="http://schemas.microsoft.com/office/drawing/2014/chart" uri="{C3380CC4-5D6E-409C-BE32-E72D297353CC}">
              <c16:uniqueId val="{00000002-5DDE-4AC8-AA78-10ED8C7A5F30}"/>
            </c:ext>
          </c:extLst>
        </c:ser>
        <c:ser>
          <c:idx val="1"/>
          <c:order val="1"/>
          <c:tx>
            <c:strRef>
              <c:f>Sheet1!$A$3</c:f>
              <c:strCache>
                <c:ptCount val="1"/>
                <c:pt idx="0">
                  <c:v>2019</c:v>
                </c:pt>
              </c:strCache>
            </c:strRef>
          </c:tx>
          <c:spPr>
            <a:solidFill>
              <a:schemeClr val="accent2"/>
            </a:solidFill>
            <a:ln>
              <a:noFill/>
            </a:ln>
            <a:effectLst/>
          </c:spPr>
          <c:invertIfNegative val="0"/>
          <c:dLbls>
            <c:dLbl>
              <c:idx val="0"/>
              <c:layout>
                <c:manualLayout>
                  <c:x val="1.6519579347883527E-3"/>
                  <c:y val="2.226319381487309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DDE-4AC8-AA78-10ED8C7A5F30}"/>
                </c:ext>
              </c:extLst>
            </c:dLbl>
            <c:dLbl>
              <c:idx val="1"/>
              <c:layout>
                <c:manualLayout>
                  <c:x val="6.5995525727067707E-3"/>
                  <c:y val="1.90907701867150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DDE-4AC8-AA78-10ED8C7A5F30}"/>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Sheet1!$B$3:$C$3</c:f>
              <c:numCache>
                <c:formatCode>#,##0</c:formatCode>
                <c:ptCount val="2"/>
                <c:pt idx="0">
                  <c:v>223811</c:v>
                </c:pt>
                <c:pt idx="1">
                  <c:v>2670541</c:v>
                </c:pt>
              </c:numCache>
            </c:numRef>
          </c:val>
          <c:extLst>
            <c:ext xmlns:c16="http://schemas.microsoft.com/office/drawing/2014/chart" uri="{C3380CC4-5D6E-409C-BE32-E72D297353CC}">
              <c16:uniqueId val="{00000005-5DDE-4AC8-AA78-10ED8C7A5F30}"/>
            </c:ext>
          </c:extLst>
        </c:ser>
        <c:dLbls>
          <c:showLegendKey val="0"/>
          <c:showVal val="0"/>
          <c:showCatName val="0"/>
          <c:showSerName val="0"/>
          <c:showPercent val="0"/>
          <c:showBubbleSize val="0"/>
        </c:dLbls>
        <c:gapWidth val="267"/>
        <c:overlap val="-43"/>
        <c:axId val="410611672"/>
        <c:axId val="477084872"/>
      </c:barChart>
      <c:catAx>
        <c:axId val="4106116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084872"/>
        <c:crosses val="autoZero"/>
        <c:auto val="1"/>
        <c:lblAlgn val="ctr"/>
        <c:lblOffset val="100"/>
        <c:tickLblSkip val="1"/>
        <c:tickMarkSkip val="1"/>
        <c:noMultiLvlLbl val="0"/>
      </c:catAx>
      <c:valAx>
        <c:axId val="477084872"/>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10611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283711180397747"/>
          <c:y val="0.45883071388984742"/>
          <c:w val="0.15101481442336487"/>
          <c:h val="8.96420616745615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3585113750032067E-2"/>
          <c:y val="0.19819923893596345"/>
          <c:w val="0.77542530624599548"/>
          <c:h val="0.66444229559024415"/>
        </c:manualLayout>
      </c:layout>
      <c:pie3DChart>
        <c:varyColors val="1"/>
        <c:ser>
          <c:idx val="0"/>
          <c:order val="0"/>
          <c:tx>
            <c:strRef>
              <c:f>Sheet1!$A$2</c:f>
              <c:strCache>
                <c:ptCount val="1"/>
              </c:strCache>
            </c:strRef>
          </c:tx>
          <c:explosion val="39"/>
          <c:dPt>
            <c:idx val="0"/>
            <c:bubble3D val="0"/>
            <c:spPr>
              <a:solidFill>
                <a:schemeClr val="accent2">
                  <a:lumMod val="40000"/>
                  <a:lumOff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885-40C8-B907-811B232BB9D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885-40C8-B907-811B232BB9D3}"/>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885-40C8-B907-811B232BB9D3}"/>
              </c:ext>
            </c:extLst>
          </c:dPt>
          <c:dPt>
            <c:idx val="3"/>
            <c:bubble3D val="0"/>
            <c:spPr>
              <a:solidFill>
                <a:schemeClr val="accent1">
                  <a:lumMod val="60000"/>
                  <a:lumOff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885-40C8-B907-811B232BB9D3}"/>
              </c:ext>
            </c:extLst>
          </c:dPt>
          <c:dPt>
            <c:idx val="4"/>
            <c:bubble3D val="0"/>
            <c:explosion val="25"/>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885-40C8-B907-811B232BB9D3}"/>
              </c:ext>
            </c:extLst>
          </c:dPt>
          <c:dLbls>
            <c:dLbl>
              <c:idx val="0"/>
              <c:layout>
                <c:manualLayout>
                  <c:x val="9.9973761506073025E-2"/>
                  <c:y val="0.2865091863517060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885-40C8-B907-811B232BB9D3}"/>
                </c:ext>
              </c:extLst>
            </c:dLbl>
            <c:dLbl>
              <c:idx val="1"/>
              <c:layout>
                <c:manualLayout>
                  <c:x val="-0.25624321389793708"/>
                  <c:y val="-0.1245674740484429"/>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885-40C8-B907-811B232BB9D3}"/>
                </c:ext>
              </c:extLst>
            </c:dLbl>
            <c:dLbl>
              <c:idx val="2"/>
              <c:layout>
                <c:manualLayout>
                  <c:x val="2.1715526601520088E-3"/>
                  <c:y val="-1.4859672986868319E-16"/>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885-40C8-B907-811B232BB9D3}"/>
                </c:ext>
              </c:extLst>
            </c:dLbl>
            <c:dLbl>
              <c:idx val="3"/>
              <c:delete val="1"/>
              <c:extLst>
                <c:ext xmlns:c15="http://schemas.microsoft.com/office/drawing/2012/chart" uri="{CE6537A1-D6FC-4f65-9D91-7224C49458BB}">
                  <c15:layout/>
                </c:ext>
                <c:ext xmlns:c16="http://schemas.microsoft.com/office/drawing/2014/chart" uri="{C3380CC4-5D6E-409C-BE32-E72D297353CC}">
                  <c16:uniqueId val="{00000007-1885-40C8-B907-811B232BB9D3}"/>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1885-40C8-B907-811B232BB9D3}"/>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nákupy a související výdaje organizačních složek státu</c:v>
                </c:pt>
                <c:pt idx="1">
                  <c:v>transfery příspěvkovým a podobným organizacím</c:v>
                </c:pt>
                <c:pt idx="2">
                  <c:v>transfery podnikatelským subjektům</c:v>
                </c:pt>
                <c:pt idx="4">
                  <c:v>transfery státním fondům</c:v>
                </c:pt>
              </c:strCache>
            </c:strRef>
          </c:cat>
          <c:val>
            <c:numRef>
              <c:f>Sheet1!$B$2:$F$2</c:f>
              <c:numCache>
                <c:formatCode>#,##0</c:formatCode>
                <c:ptCount val="5"/>
                <c:pt idx="0">
                  <c:v>93772</c:v>
                </c:pt>
                <c:pt idx="1">
                  <c:v>7250</c:v>
                </c:pt>
                <c:pt idx="2" formatCode="General">
                  <c:v>37485</c:v>
                </c:pt>
                <c:pt idx="4">
                  <c:v>48689758</c:v>
                </c:pt>
              </c:numCache>
            </c:numRef>
          </c:val>
          <c:extLst>
            <c:ext xmlns:c16="http://schemas.microsoft.com/office/drawing/2014/chart" uri="{C3380CC4-5D6E-409C-BE32-E72D297353CC}">
              <c16:uniqueId val="{0000000A-1885-40C8-B907-811B232BB9D3}"/>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72"/>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831624902608566"/>
          <c:y val="0.29413681875624131"/>
          <c:w val="0.71700413070256774"/>
          <c:h val="0.52358404694362704"/>
        </c:manualLayout>
      </c:layout>
      <c:pie3DChart>
        <c:varyColors val="1"/>
        <c:ser>
          <c:idx val="0"/>
          <c:order val="0"/>
          <c:tx>
            <c:v>2019</c:v>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77D-4124-BC52-B1AC8EF0641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77D-4124-BC52-B1AC8EF0641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77D-4124-BC52-B1AC8EF0641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77D-4124-BC52-B1AC8EF0641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77D-4124-BC52-B1AC8EF06415}"/>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77D-4124-BC52-B1AC8EF06415}"/>
              </c:ext>
            </c:extLst>
          </c:dPt>
          <c:dLbls>
            <c:dLbl>
              <c:idx val="0"/>
              <c:layout>
                <c:manualLayout>
                  <c:x val="-1.3227513227513227E-2"/>
                  <c:y val="-4.5871559633027734E-3"/>
                </c:manualLayout>
              </c:layout>
              <c:numFmt formatCode="0.00%" sourceLinked="0"/>
              <c:spPr>
                <a:noFill/>
                <a:ln>
                  <a:noFill/>
                </a:ln>
                <a:effectLst>
                  <a:outerShdw blurRad="50800" dist="50800" dir="5400000" algn="ctr" rotWithShape="0">
                    <a:schemeClr val="bg1"/>
                  </a:outerShdw>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77D-4124-BC52-B1AC8EF06415}"/>
                </c:ext>
              </c:extLst>
            </c:dLbl>
            <c:dLbl>
              <c:idx val="1"/>
              <c:layout>
                <c:manualLayout>
                  <c:x val="6.633499170812604E-2"/>
                  <c:y val="-1.3468013468013467E-2"/>
                </c:manualLayout>
              </c:layout>
              <c:numFmt formatCode="0.00%" sourceLinked="0"/>
              <c:spPr>
                <a:noFill/>
                <a:ln>
                  <a:noFill/>
                </a:ln>
                <a:effectLst>
                  <a:outerShdw blurRad="50800" dist="50800" dir="5400000" algn="ctr" rotWithShape="0">
                    <a:schemeClr val="bg1"/>
                  </a:outerShdw>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77D-4124-BC52-B1AC8EF06415}"/>
                </c:ext>
              </c:extLst>
            </c:dLbl>
            <c:dLbl>
              <c:idx val="2"/>
              <c:layout>
                <c:manualLayout>
                  <c:x val="-6.633499170812604E-2"/>
                  <c:y val="4.4893378226711397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9E8CB294-5EC3-4A01-89ED-285B6D0D4706}" type="CATEGORYNAME">
                      <a:rPr lang="en-US"/>
                      <a:pPr>
                        <a:defRPr>
                          <a:solidFill>
                            <a:schemeClr val="accent1"/>
                          </a:solidFill>
                        </a:defRPr>
                      </a:pPr>
                      <a:t>[NÁZEV KATEGORIE]</a:t>
                    </a:fld>
                    <a:r>
                      <a:rPr lang="en-US" baseline="0"/>
                      <a:t>
0,002%</a:t>
                    </a:r>
                  </a:p>
                </c:rich>
              </c:tx>
              <c:numFmt formatCode="0.00%" sourceLinked="0"/>
              <c:spPr>
                <a:noFill/>
                <a:ln>
                  <a:noFill/>
                </a:ln>
                <a:effectLst>
                  <a:outerShdw blurRad="50800" dist="50800" dir="5400000" algn="ctr" rotWithShape="0">
                    <a:schemeClr val="bg1"/>
                  </a:outerShdw>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177D-4124-BC52-B1AC8EF06415}"/>
                </c:ext>
              </c:extLst>
            </c:dLbl>
            <c:numFmt formatCode="0.00%" sourceLinked="0"/>
            <c:spPr>
              <a:noFill/>
              <a:ln>
                <a:noFill/>
              </a:ln>
              <a:effectLst>
                <a:outerShdw blurRad="50800" dist="50800" dir="5400000" algn="ctr" rotWithShape="0">
                  <a:schemeClr val="bg1"/>
                </a:outerShdw>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[1]Sheet1!$B$1:$D$1</c:f>
              <c:strCache>
                <c:ptCount val="3"/>
                <c:pt idx="0">
                  <c:v>OP Doprava 2014 - 2020</c:v>
                </c:pt>
                <c:pt idx="1">
                  <c:v>Komunitární programy</c:v>
                </c:pt>
                <c:pt idx="2">
                  <c:v>OP Zaměstnanost</c:v>
                </c:pt>
              </c:strCache>
            </c:strRef>
          </c:cat>
          <c:val>
            <c:numRef>
              <c:f>List1!$D$119:$D$121</c:f>
              <c:numCache>
                <c:formatCode>#,##0</c:formatCode>
                <c:ptCount val="3"/>
                <c:pt idx="0">
                  <c:v>17943664</c:v>
                </c:pt>
                <c:pt idx="1">
                  <c:v>925655</c:v>
                </c:pt>
                <c:pt idx="2" formatCode="General">
                  <c:v>414</c:v>
                </c:pt>
              </c:numCache>
            </c:numRef>
          </c:val>
          <c:extLst>
            <c:ext xmlns:c16="http://schemas.microsoft.com/office/drawing/2014/chart" uri="{C3380CC4-5D6E-409C-BE32-E72D297353CC}">
              <c16:uniqueId val="{0000000C-177D-4124-BC52-B1AC8EF06415}"/>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73C74-8CF6-47E7-8EA2-4D5CCF226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64</Pages>
  <Words>19596</Words>
  <Characters>115619</Characters>
  <Application>Microsoft Office Word</Application>
  <DocSecurity>0</DocSecurity>
  <Lines>963</Lines>
  <Paragraphs>269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MD</Company>
  <LinksUpToDate>false</LinksUpToDate>
  <CharactersWithSpaces>134946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Topenčíková Marcela Ing.</dc:creator>
  <cp:keywords/>
  <dc:description/>
  <cp:lastModifiedBy>Novák Daniel Ing.</cp:lastModifiedBy>
  <cp:revision>16</cp:revision>
  <cp:lastPrinted>2018-10-08T11:33:00Z</cp:lastPrinted>
  <dcterms:created xsi:type="dcterms:W3CDTF">2018-10-08T07:36:00Z</dcterms:created>
  <dcterms:modified xsi:type="dcterms:W3CDTF">2018-10-08T11:58:00Z</dcterms:modified>
</cp:coreProperties>
</file>