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3.xml" ContentType="application/vnd.openxmlformats-officedocument.wordprocessingml.footer+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1.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theme/themeOverride1.xml" ContentType="application/vnd.openxmlformats-officedocument.themeOverride+xml"/>
  <Override PartName="/word/charts/chart12.xml" ContentType="application/vnd.openxmlformats-officedocument.drawingml.chart+xml"/>
  <Override PartName="/word/theme/themeOverride2.xml" ContentType="application/vnd.openxmlformats-officedocument.themeOverride+xml"/>
  <Override PartName="/word/charts/chart13.xml" ContentType="application/vnd.openxmlformats-officedocument.drawingml.chart+xml"/>
  <Override PartName="/word/theme/themeOverride3.xml" ContentType="application/vnd.openxmlformats-officedocument.themeOverride+xml"/>
  <Override PartName="/word/charts/chart14.xml" ContentType="application/vnd.openxmlformats-officedocument.drawingml.chart+xml"/>
  <Override PartName="/word/theme/themeOverride4.xml" ContentType="application/vnd.openxmlformats-officedocument.themeOverride+xml"/>
  <Override PartName="/word/charts/chart15.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6.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7.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8.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9.xml" ContentType="application/vnd.openxmlformats-officedocument.drawingml.chart+xml"/>
  <Override PartName="/word/charts/style15.xml" ContentType="application/vnd.ms-office.chartstyle+xml"/>
  <Override PartName="/word/charts/colors15.xml" ContentType="application/vnd.ms-office.chartcolorstyle+xml"/>
  <Override PartName="/word/footer4.xml" ContentType="application/vnd.openxmlformats-officedocument.wordprocessingml.footer+xml"/>
  <Override PartName="/word/charts/chart20.xml" ContentType="application/vnd.openxmlformats-officedocument.drawingml.chart+xml"/>
  <Override PartName="/word/theme/themeOverride5.xml" ContentType="application/vnd.openxmlformats-officedocument.themeOverride+xml"/>
  <Override PartName="/word/charts/chart21.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22.xml" ContentType="application/vnd.openxmlformats-officedocument.drawingml.chart+xml"/>
  <Override PartName="/word/charts/style17.xml" ContentType="application/vnd.ms-office.chartstyle+xml"/>
  <Override PartName="/word/charts/colors17.xml" ContentType="application/vnd.ms-office.chartcolorstyle+xml"/>
  <Override PartName="/word/drawings/drawing2.xml" ContentType="application/vnd.openxmlformats-officedocument.drawingml.chartshapes+xml"/>
  <Override PartName="/word/charts/chart23.xml" ContentType="application/vnd.openxmlformats-officedocument.drawingml.chart+xml"/>
  <Override PartName="/word/charts/style18.xml" ContentType="application/vnd.ms-office.chartstyle+xml"/>
  <Override PartName="/word/charts/colors18.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1C3A0B" w14:textId="77777777" w:rsidR="000C2A70" w:rsidRPr="009308DF" w:rsidRDefault="001A7DBE" w:rsidP="000C2A70">
      <w:r w:rsidRPr="009308DF">
        <w:rPr>
          <w:noProof/>
        </w:rPr>
        <w:drawing>
          <wp:inline distT="0" distB="0" distL="0" distR="0" wp14:anchorId="02ECD01D" wp14:editId="51F89604">
            <wp:extent cx="2162810" cy="540385"/>
            <wp:effectExtent l="0" t="0" r="0" b="0"/>
            <wp:docPr id="4" name="obrázek 4" descr="logoMD_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MD_min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810" cy="540385"/>
                    </a:xfrm>
                    <a:prstGeom prst="rect">
                      <a:avLst/>
                    </a:prstGeom>
                    <a:noFill/>
                    <a:ln>
                      <a:noFill/>
                    </a:ln>
                  </pic:spPr>
                </pic:pic>
              </a:graphicData>
            </a:graphic>
          </wp:inline>
        </w:drawing>
      </w:r>
      <w:r w:rsidR="000C2A70" w:rsidRPr="009308DF">
        <w:t xml:space="preserve">                      </w:t>
      </w:r>
      <w:r w:rsidR="00C41195" w:rsidRPr="009308DF">
        <w:t xml:space="preserve">                           </w:t>
      </w:r>
      <w:r w:rsidR="001E7B97" w:rsidRPr="009308DF">
        <w:t>Č. j.</w:t>
      </w:r>
      <w:r w:rsidR="00C41195" w:rsidRPr="009308DF">
        <w:t xml:space="preserve">: </w:t>
      </w:r>
      <w:r w:rsidR="009308DF" w:rsidRPr="009308DF">
        <w:t>17/2020</w:t>
      </w:r>
      <w:r w:rsidR="00C41195" w:rsidRPr="009308DF">
        <w:t>-410-ROPO</w:t>
      </w:r>
    </w:p>
    <w:p w14:paraId="5CEB8146" w14:textId="77777777" w:rsidR="00C41195" w:rsidRPr="004B11AC" w:rsidRDefault="00C41195" w:rsidP="000C2A70">
      <w:pPr>
        <w:rPr>
          <w:color w:val="FF0000"/>
        </w:rPr>
      </w:pPr>
    </w:p>
    <w:p w14:paraId="51CB4CFF" w14:textId="77777777" w:rsidR="000C2A70" w:rsidRPr="004B11AC" w:rsidRDefault="000C2A70" w:rsidP="000C2A70">
      <w:pPr>
        <w:rPr>
          <w:color w:val="FF0000"/>
        </w:rPr>
      </w:pPr>
    </w:p>
    <w:p w14:paraId="7F55A20F" w14:textId="77777777" w:rsidR="000C2A70" w:rsidRPr="004B11AC" w:rsidRDefault="000C2A70" w:rsidP="000C2A70">
      <w:pPr>
        <w:rPr>
          <w:color w:val="FF0000"/>
        </w:rPr>
      </w:pPr>
    </w:p>
    <w:p w14:paraId="133707F9" w14:textId="77777777" w:rsidR="000C2A70" w:rsidRPr="004B11AC" w:rsidRDefault="000C2A70" w:rsidP="000C2A70">
      <w:pPr>
        <w:rPr>
          <w:color w:val="FF0000"/>
        </w:rPr>
      </w:pPr>
    </w:p>
    <w:p w14:paraId="41398BF0" w14:textId="77777777" w:rsidR="000C2A70" w:rsidRPr="004B11AC" w:rsidRDefault="000C2A70" w:rsidP="000C2A70">
      <w:pPr>
        <w:rPr>
          <w:color w:val="FF0000"/>
        </w:rPr>
      </w:pPr>
    </w:p>
    <w:p w14:paraId="57BA3DAB" w14:textId="77777777" w:rsidR="000C2A70" w:rsidRPr="004B11AC" w:rsidRDefault="000C2A70" w:rsidP="000C2A70">
      <w:pPr>
        <w:rPr>
          <w:color w:val="FF0000"/>
        </w:rPr>
      </w:pPr>
    </w:p>
    <w:p w14:paraId="1EDCADE7" w14:textId="77777777" w:rsidR="000C2A70" w:rsidRPr="004B11AC" w:rsidRDefault="000C2A70" w:rsidP="000C2A70">
      <w:pPr>
        <w:rPr>
          <w:color w:val="FF0000"/>
        </w:rPr>
      </w:pPr>
    </w:p>
    <w:p w14:paraId="3D12820F" w14:textId="77777777" w:rsidR="000C2A70" w:rsidRDefault="000C2A70" w:rsidP="000C2A70">
      <w:pPr>
        <w:rPr>
          <w:color w:val="FF0000"/>
        </w:rPr>
      </w:pPr>
    </w:p>
    <w:p w14:paraId="0A145803" w14:textId="77777777" w:rsidR="009E2428" w:rsidRPr="004B11AC" w:rsidRDefault="009E2428" w:rsidP="000C2A70">
      <w:pPr>
        <w:rPr>
          <w:color w:val="FF0000"/>
        </w:rPr>
      </w:pPr>
    </w:p>
    <w:p w14:paraId="49812768" w14:textId="77777777" w:rsidR="000C2A70" w:rsidRPr="004B11AC" w:rsidRDefault="000C2A70" w:rsidP="00F21CEE">
      <w:pPr>
        <w:jc w:val="center"/>
      </w:pPr>
      <w:r w:rsidRPr="004B11AC">
        <w:rPr>
          <w:b/>
          <w:sz w:val="32"/>
        </w:rPr>
        <w:t>STÁTNÍ   ZÁVĚREČNÝ   ÚČET   ZA   ROK   20</w:t>
      </w:r>
      <w:r w:rsidR="00B20406" w:rsidRPr="004B11AC">
        <w:rPr>
          <w:b/>
          <w:sz w:val="32"/>
        </w:rPr>
        <w:t>1</w:t>
      </w:r>
      <w:r w:rsidR="004B11AC" w:rsidRPr="004B11AC">
        <w:rPr>
          <w:b/>
          <w:sz w:val="32"/>
        </w:rPr>
        <w:t>9</w:t>
      </w:r>
    </w:p>
    <w:p w14:paraId="7AD1A315" w14:textId="77777777" w:rsidR="000C2A70" w:rsidRPr="004B11AC" w:rsidRDefault="000C2A70" w:rsidP="00BF70BC">
      <w:pPr>
        <w:spacing w:before="120"/>
        <w:jc w:val="center"/>
        <w:rPr>
          <w:b/>
          <w:sz w:val="28"/>
          <w:szCs w:val="28"/>
        </w:rPr>
      </w:pPr>
      <w:r w:rsidRPr="004B11AC">
        <w:rPr>
          <w:b/>
          <w:sz w:val="28"/>
          <w:szCs w:val="28"/>
        </w:rPr>
        <w:t xml:space="preserve">KAPITOLA 327  MINISTERSTVO DOPRAVY </w:t>
      </w:r>
    </w:p>
    <w:p w14:paraId="576A68D2" w14:textId="77777777" w:rsidR="000C2A70" w:rsidRPr="004B11AC" w:rsidRDefault="000C2A70" w:rsidP="000C2A70">
      <w:pPr>
        <w:jc w:val="center"/>
        <w:rPr>
          <w:color w:val="FF0000"/>
        </w:rPr>
      </w:pPr>
    </w:p>
    <w:p w14:paraId="2844146F" w14:textId="77777777" w:rsidR="00C42CE9" w:rsidRPr="004B11AC" w:rsidRDefault="001A7DBE" w:rsidP="000C2A70">
      <w:pPr>
        <w:jc w:val="center"/>
        <w:rPr>
          <w:color w:val="FF0000"/>
        </w:rPr>
      </w:pPr>
      <w:r w:rsidRPr="004B11AC">
        <w:rPr>
          <w:noProof/>
          <w:color w:val="FF0000"/>
        </w:rPr>
        <w:drawing>
          <wp:inline distT="0" distB="0" distL="0" distR="0" wp14:anchorId="489FFB1C" wp14:editId="3C7141FB">
            <wp:extent cx="2361565" cy="1487170"/>
            <wp:effectExtent l="0" t="0" r="0" b="0"/>
            <wp:docPr id="5" name="obrázek 5" descr="Bez názvu 3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ez názvu 3 kopi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1565" cy="1487170"/>
                    </a:xfrm>
                    <a:prstGeom prst="rect">
                      <a:avLst/>
                    </a:prstGeom>
                    <a:noFill/>
                    <a:ln>
                      <a:noFill/>
                    </a:ln>
                  </pic:spPr>
                </pic:pic>
              </a:graphicData>
            </a:graphic>
          </wp:inline>
        </w:drawing>
      </w:r>
    </w:p>
    <w:p w14:paraId="56D0BF7D" w14:textId="77777777" w:rsidR="000C2A70" w:rsidRPr="004B11AC" w:rsidRDefault="000C2A70" w:rsidP="000C2A70">
      <w:pPr>
        <w:rPr>
          <w:color w:val="FF0000"/>
        </w:rPr>
      </w:pPr>
    </w:p>
    <w:p w14:paraId="214EFE19" w14:textId="77777777" w:rsidR="000C2A70" w:rsidRPr="004B11AC" w:rsidRDefault="000C2A70" w:rsidP="000C2A70">
      <w:pPr>
        <w:rPr>
          <w:color w:val="FF0000"/>
        </w:rPr>
      </w:pPr>
    </w:p>
    <w:p w14:paraId="6E76B6D5" w14:textId="77777777" w:rsidR="000C2A70" w:rsidRPr="004B11AC" w:rsidRDefault="000C2A70" w:rsidP="000C2A70">
      <w:pPr>
        <w:rPr>
          <w:color w:val="FF0000"/>
        </w:rPr>
      </w:pPr>
    </w:p>
    <w:p w14:paraId="5B50FA98" w14:textId="77777777" w:rsidR="00BB6A09" w:rsidRPr="004B11AC" w:rsidRDefault="00BB6A09" w:rsidP="000C2A70">
      <w:pPr>
        <w:rPr>
          <w:color w:val="FF0000"/>
        </w:rPr>
      </w:pPr>
    </w:p>
    <w:p w14:paraId="4CAA84BE" w14:textId="77777777" w:rsidR="00BB6A09" w:rsidRPr="004B11AC" w:rsidRDefault="00BB6A09" w:rsidP="000C2A70">
      <w:pPr>
        <w:rPr>
          <w:color w:val="FF0000"/>
        </w:rPr>
      </w:pPr>
    </w:p>
    <w:p w14:paraId="44B3399A" w14:textId="77777777" w:rsidR="000C2A70" w:rsidRPr="004B11AC" w:rsidRDefault="000C2A70" w:rsidP="000C2A70">
      <w:pPr>
        <w:rPr>
          <w:color w:val="FF0000"/>
        </w:rPr>
      </w:pPr>
    </w:p>
    <w:p w14:paraId="2AB594D9" w14:textId="77777777" w:rsidR="000C2A70" w:rsidRPr="004B11AC" w:rsidRDefault="000C2A70" w:rsidP="000C2A70">
      <w:pPr>
        <w:rPr>
          <w:color w:val="FF0000"/>
          <w:sz w:val="26"/>
        </w:rPr>
      </w:pPr>
    </w:p>
    <w:tbl>
      <w:tblPr>
        <w:tblW w:w="0" w:type="auto"/>
        <w:tblCellMar>
          <w:left w:w="70" w:type="dxa"/>
          <w:right w:w="70" w:type="dxa"/>
        </w:tblCellMar>
        <w:tblLook w:val="0000" w:firstRow="0" w:lastRow="0" w:firstColumn="0" w:lastColumn="0" w:noHBand="0" w:noVBand="0"/>
      </w:tblPr>
      <w:tblGrid>
        <w:gridCol w:w="9070"/>
      </w:tblGrid>
      <w:tr w:rsidR="004B11AC" w:rsidRPr="004B11AC" w14:paraId="396DD207" w14:textId="77777777" w:rsidTr="000C2A70">
        <w:tc>
          <w:tcPr>
            <w:tcW w:w="9212" w:type="dxa"/>
          </w:tcPr>
          <w:p w14:paraId="131C22C0" w14:textId="77777777" w:rsidR="000C2A70" w:rsidRPr="004B11AC" w:rsidRDefault="000C2A70" w:rsidP="000C2A70">
            <w:pPr>
              <w:jc w:val="center"/>
              <w:rPr>
                <w:sz w:val="26"/>
              </w:rPr>
            </w:pPr>
            <w:r w:rsidRPr="004B11AC">
              <w:rPr>
                <w:sz w:val="26"/>
              </w:rPr>
              <w:t xml:space="preserve">                    </w:t>
            </w:r>
            <w:r w:rsidRPr="004B11AC">
              <w:t xml:space="preserve">              </w:t>
            </w:r>
            <w:r w:rsidRPr="004B11AC">
              <w:rPr>
                <w:sz w:val="26"/>
              </w:rPr>
              <w:t xml:space="preserve">Obsah:  </w:t>
            </w:r>
            <w:r w:rsidR="00E93211" w:rsidRPr="004B11AC">
              <w:rPr>
                <w:sz w:val="26"/>
              </w:rPr>
              <w:t xml:space="preserve"> </w:t>
            </w:r>
            <w:r w:rsidRPr="004B11AC">
              <w:rPr>
                <w:sz w:val="26"/>
              </w:rPr>
              <w:t>I. Zpráva</w:t>
            </w:r>
          </w:p>
        </w:tc>
      </w:tr>
      <w:tr w:rsidR="004B11AC" w:rsidRPr="004B11AC" w14:paraId="57E09929" w14:textId="77777777" w:rsidTr="000C2A70">
        <w:tc>
          <w:tcPr>
            <w:tcW w:w="9212" w:type="dxa"/>
          </w:tcPr>
          <w:p w14:paraId="451F2BD0" w14:textId="77777777" w:rsidR="000C2A70" w:rsidRPr="004B11AC" w:rsidRDefault="000C2A70" w:rsidP="000C2A70">
            <w:pPr>
              <w:rPr>
                <w:sz w:val="26"/>
              </w:rPr>
            </w:pPr>
            <w:r w:rsidRPr="004B11AC">
              <w:rPr>
                <w:sz w:val="26"/>
              </w:rPr>
              <w:t xml:space="preserve">                                                      </w:t>
            </w:r>
            <w:r w:rsidR="00E93211" w:rsidRPr="004B11AC">
              <w:rPr>
                <w:sz w:val="26"/>
              </w:rPr>
              <w:t xml:space="preserve">                              </w:t>
            </w:r>
            <w:r w:rsidRPr="004B11AC">
              <w:rPr>
                <w:sz w:val="26"/>
              </w:rPr>
              <w:t xml:space="preserve">II. Přílohy                             </w:t>
            </w:r>
          </w:p>
        </w:tc>
      </w:tr>
      <w:tr w:rsidR="000C2A70" w:rsidRPr="004B11AC" w14:paraId="3D2CA125" w14:textId="77777777" w:rsidTr="000C2A70">
        <w:tc>
          <w:tcPr>
            <w:tcW w:w="9212" w:type="dxa"/>
          </w:tcPr>
          <w:p w14:paraId="5E60A87D" w14:textId="77777777" w:rsidR="000C2A70" w:rsidRPr="004B11AC" w:rsidRDefault="000C2A70" w:rsidP="000C2A70">
            <w:pPr>
              <w:rPr>
                <w:sz w:val="26"/>
              </w:rPr>
            </w:pPr>
            <w:r w:rsidRPr="004B11AC">
              <w:rPr>
                <w:sz w:val="26"/>
              </w:rPr>
              <w:t xml:space="preserve">                                                     </w:t>
            </w:r>
            <w:r w:rsidR="00E93211" w:rsidRPr="004B11AC">
              <w:rPr>
                <w:sz w:val="26"/>
              </w:rPr>
              <w:t xml:space="preserve">                             </w:t>
            </w:r>
            <w:r w:rsidRPr="004B11AC">
              <w:rPr>
                <w:sz w:val="26"/>
              </w:rPr>
              <w:t xml:space="preserve"> III. Tabulková část</w:t>
            </w:r>
          </w:p>
        </w:tc>
      </w:tr>
    </w:tbl>
    <w:p w14:paraId="742EEB32" w14:textId="77777777" w:rsidR="000C2A70" w:rsidRPr="004B11AC" w:rsidRDefault="000C2A70" w:rsidP="000C2A70">
      <w:pPr>
        <w:ind w:left="6000"/>
        <w:rPr>
          <w:color w:val="FF0000"/>
          <w:sz w:val="26"/>
        </w:rPr>
      </w:pPr>
    </w:p>
    <w:p w14:paraId="4701C670" w14:textId="77777777" w:rsidR="000C2A70" w:rsidRPr="004B11AC" w:rsidRDefault="000C2A70" w:rsidP="000C2A70">
      <w:pPr>
        <w:ind w:left="6000"/>
        <w:rPr>
          <w:color w:val="FF0000"/>
        </w:rPr>
      </w:pPr>
    </w:p>
    <w:p w14:paraId="2A269878" w14:textId="77777777" w:rsidR="000C2A70" w:rsidRPr="004B11AC" w:rsidRDefault="000C2A70" w:rsidP="000C2A70">
      <w:pPr>
        <w:ind w:left="6000"/>
        <w:rPr>
          <w:color w:val="FF0000"/>
        </w:rPr>
      </w:pPr>
    </w:p>
    <w:p w14:paraId="25B40F02" w14:textId="77777777" w:rsidR="005B1C88" w:rsidRPr="004B11AC" w:rsidRDefault="005B1C88" w:rsidP="000C2A70">
      <w:pPr>
        <w:ind w:left="6000"/>
        <w:rPr>
          <w:color w:val="FF0000"/>
        </w:rPr>
      </w:pPr>
    </w:p>
    <w:p w14:paraId="07B08A49" w14:textId="77777777" w:rsidR="000C2A70" w:rsidRPr="004B11AC" w:rsidRDefault="000C2A70" w:rsidP="000C2A70">
      <w:pPr>
        <w:ind w:left="6000"/>
        <w:rPr>
          <w:color w:val="FF0000"/>
        </w:rPr>
      </w:pPr>
    </w:p>
    <w:p w14:paraId="1AB5BBBC" w14:textId="77777777" w:rsidR="000C2A70" w:rsidRPr="004B11AC" w:rsidRDefault="000C2A70" w:rsidP="000C2A70">
      <w:pPr>
        <w:ind w:left="6000"/>
        <w:rPr>
          <w:color w:val="FF0000"/>
        </w:rPr>
      </w:pPr>
    </w:p>
    <w:p w14:paraId="48EFCB07" w14:textId="77777777" w:rsidR="000C2A70" w:rsidRPr="009308DF" w:rsidRDefault="000C2A70" w:rsidP="000C2A70">
      <w:pPr>
        <w:rPr>
          <w:b/>
        </w:rPr>
      </w:pPr>
      <w:r w:rsidRPr="009308DF">
        <w:rPr>
          <w:b/>
        </w:rPr>
        <w:t xml:space="preserve">Předkládá:    </w:t>
      </w:r>
    </w:p>
    <w:p w14:paraId="324C9A12" w14:textId="77777777" w:rsidR="000C2A70" w:rsidRPr="009308DF" w:rsidRDefault="009308DF" w:rsidP="000C2A70">
      <w:r w:rsidRPr="009308DF">
        <w:t>doc. Ing. Karel Havlíček</w:t>
      </w:r>
      <w:r>
        <w:t>, Ph.</w:t>
      </w:r>
      <w:r w:rsidRPr="009308DF">
        <w:t>D., MBA</w:t>
      </w:r>
    </w:p>
    <w:p w14:paraId="2DD1E331" w14:textId="77777777" w:rsidR="00163541" w:rsidRDefault="00FE14BD" w:rsidP="000C2A70">
      <w:pPr>
        <w:ind w:left="6000" w:hanging="6000"/>
      </w:pPr>
      <w:r>
        <w:fldChar w:fldCharType="begin"/>
      </w:r>
      <w:r>
        <w:instrText xml:space="preserve"> DOCPROPERTY  "MD_minFunc" </w:instrText>
      </w:r>
      <w:r>
        <w:fldChar w:fldCharType="separate"/>
      </w:r>
      <w:r w:rsidR="00774777">
        <w:t xml:space="preserve">místopředseda vlády, </w:t>
      </w:r>
    </w:p>
    <w:p w14:paraId="40AF541D" w14:textId="77777777" w:rsidR="00163541" w:rsidRDefault="00774777" w:rsidP="000C2A70">
      <w:pPr>
        <w:ind w:left="6000" w:hanging="6000"/>
      </w:pPr>
      <w:r>
        <w:t xml:space="preserve">ministr průmyslu a obchodu </w:t>
      </w:r>
    </w:p>
    <w:p w14:paraId="3FBF65CD" w14:textId="055FA0FA" w:rsidR="000C2A70" w:rsidRPr="004B11AC" w:rsidRDefault="00774777" w:rsidP="000C2A70">
      <w:pPr>
        <w:ind w:left="6000" w:hanging="6000"/>
        <w:rPr>
          <w:color w:val="FF0000"/>
        </w:rPr>
      </w:pPr>
      <w:r>
        <w:t>ministr dopravy</w:t>
      </w:r>
      <w:r w:rsidR="00FE14BD">
        <w:fldChar w:fldCharType="end"/>
      </w:r>
    </w:p>
    <w:p w14:paraId="2CB14B55" w14:textId="77777777" w:rsidR="000C2A70" w:rsidRPr="004B11AC" w:rsidRDefault="000C2A70" w:rsidP="000C2A70">
      <w:pPr>
        <w:ind w:left="6000" w:hanging="6000"/>
        <w:rPr>
          <w:color w:val="FF0000"/>
        </w:rPr>
      </w:pPr>
    </w:p>
    <w:p w14:paraId="28A3B7E6" w14:textId="77777777" w:rsidR="000C2A70" w:rsidRPr="004B11AC" w:rsidRDefault="000C2A70" w:rsidP="000C2A70">
      <w:pPr>
        <w:ind w:left="6000" w:hanging="6000"/>
        <w:rPr>
          <w:color w:val="FF0000"/>
        </w:rPr>
      </w:pPr>
    </w:p>
    <w:p w14:paraId="2BD2B8FD" w14:textId="77777777" w:rsidR="00EB29A9" w:rsidRPr="004B11AC" w:rsidRDefault="00EB29A9" w:rsidP="000C2A70">
      <w:pPr>
        <w:ind w:left="6000" w:hanging="6000"/>
        <w:rPr>
          <w:color w:val="FF0000"/>
        </w:rPr>
      </w:pPr>
    </w:p>
    <w:p w14:paraId="4E0F91DC" w14:textId="77777777" w:rsidR="000C2A70" w:rsidRPr="009E2428" w:rsidRDefault="004B11AC" w:rsidP="000C2A70">
      <w:pPr>
        <w:ind w:left="6000" w:hanging="6000"/>
        <w:jc w:val="center"/>
      </w:pPr>
      <w:r w:rsidRPr="009E2428">
        <w:t>Březen 2020</w:t>
      </w:r>
    </w:p>
    <w:p w14:paraId="465B777E" w14:textId="77777777" w:rsidR="00C12BF8" w:rsidRPr="004B11AC" w:rsidRDefault="000C2A70" w:rsidP="0083730F">
      <w:pPr>
        <w:pStyle w:val="Obsah1"/>
        <w:rPr>
          <w:color w:val="FF0000"/>
        </w:rPr>
      </w:pPr>
      <w:r w:rsidRPr="004B11AC">
        <w:rPr>
          <w:color w:val="FF0000"/>
        </w:rPr>
        <w:lastRenderedPageBreak/>
        <w:br w:type="page"/>
      </w:r>
    </w:p>
    <w:sdt>
      <w:sdtPr>
        <w:rPr>
          <w:color w:val="FF0000"/>
        </w:rPr>
        <w:id w:val="726034988"/>
        <w:docPartObj>
          <w:docPartGallery w:val="Table of Contents"/>
          <w:docPartUnique/>
        </w:docPartObj>
      </w:sdtPr>
      <w:sdtEndPr>
        <w:rPr>
          <w:b/>
          <w:bCs/>
        </w:rPr>
      </w:sdtEndPr>
      <w:sdtContent>
        <w:p w14:paraId="3E03FD0F" w14:textId="77777777" w:rsidR="00391ADC" w:rsidRPr="0043740C" w:rsidRDefault="00391ADC" w:rsidP="00391ADC">
          <w:pPr>
            <w:tabs>
              <w:tab w:val="left" w:pos="480"/>
              <w:tab w:val="right" w:leader="dot" w:pos="9060"/>
            </w:tabs>
            <w:jc w:val="both"/>
            <w:rPr>
              <w:b/>
              <w:noProof/>
              <w:sz w:val="28"/>
              <w:szCs w:val="28"/>
            </w:rPr>
          </w:pPr>
          <w:r w:rsidRPr="0043740C">
            <w:rPr>
              <w:b/>
              <w:noProof/>
              <w:sz w:val="28"/>
              <w:szCs w:val="28"/>
            </w:rPr>
            <w:t>Obsah</w:t>
          </w:r>
        </w:p>
        <w:p w14:paraId="3A0FEB96" w14:textId="77777777" w:rsidR="00391ADC" w:rsidRPr="0043740C" w:rsidRDefault="00391ADC" w:rsidP="00391ADC">
          <w:pPr>
            <w:tabs>
              <w:tab w:val="left" w:pos="426"/>
              <w:tab w:val="right" w:leader="dot" w:pos="9070"/>
            </w:tabs>
            <w:jc w:val="both"/>
          </w:pPr>
          <w:r w:rsidRPr="0043740C">
            <w:t>I. ZPRÁVA</w:t>
          </w:r>
        </w:p>
        <w:p w14:paraId="4F857E69" w14:textId="6DE97CB5" w:rsidR="00D87338" w:rsidRDefault="00391ADC">
          <w:pPr>
            <w:pStyle w:val="Obsah1"/>
            <w:rPr>
              <w:rFonts w:asciiTheme="minorHAnsi" w:eastAsiaTheme="minorEastAsia" w:hAnsiTheme="minorHAnsi" w:cstheme="minorBidi"/>
              <w:sz w:val="22"/>
              <w:szCs w:val="22"/>
            </w:rPr>
          </w:pPr>
          <w:r w:rsidRPr="004B11AC">
            <w:rPr>
              <w:b/>
              <w:bCs/>
              <w:color w:val="FF0000"/>
            </w:rPr>
            <w:fldChar w:fldCharType="begin"/>
          </w:r>
          <w:r w:rsidRPr="004B11AC">
            <w:rPr>
              <w:b/>
              <w:bCs/>
              <w:color w:val="FF0000"/>
            </w:rPr>
            <w:instrText xml:space="preserve"> TOC \o "1-3" \h \z \u </w:instrText>
          </w:r>
          <w:r w:rsidRPr="004B11AC">
            <w:rPr>
              <w:b/>
              <w:bCs/>
              <w:color w:val="FF0000"/>
            </w:rPr>
            <w:fldChar w:fldCharType="separate"/>
          </w:r>
          <w:hyperlink w:anchor="_Toc34286447" w:history="1">
            <w:r w:rsidR="00D87338" w:rsidRPr="006C0CD6">
              <w:rPr>
                <w:rStyle w:val="Hypertextovodkaz"/>
              </w:rPr>
              <w:t>1</w:t>
            </w:r>
            <w:r w:rsidR="00D87338">
              <w:rPr>
                <w:rFonts w:asciiTheme="minorHAnsi" w:eastAsiaTheme="minorEastAsia" w:hAnsiTheme="minorHAnsi" w:cstheme="minorBidi"/>
                <w:sz w:val="22"/>
                <w:szCs w:val="22"/>
              </w:rPr>
              <w:tab/>
            </w:r>
            <w:r w:rsidR="00D87338" w:rsidRPr="006C0CD6">
              <w:rPr>
                <w:rStyle w:val="Hypertextovodkaz"/>
              </w:rPr>
              <w:t>Úvod</w:t>
            </w:r>
            <w:r w:rsidR="00D87338">
              <w:rPr>
                <w:webHidden/>
              </w:rPr>
              <w:tab/>
            </w:r>
            <w:r w:rsidR="00D87338">
              <w:rPr>
                <w:webHidden/>
              </w:rPr>
              <w:fldChar w:fldCharType="begin"/>
            </w:r>
            <w:r w:rsidR="00D87338">
              <w:rPr>
                <w:webHidden/>
              </w:rPr>
              <w:instrText xml:space="preserve"> PAGEREF _Toc34286447 \h </w:instrText>
            </w:r>
            <w:r w:rsidR="00D87338">
              <w:rPr>
                <w:webHidden/>
              </w:rPr>
            </w:r>
            <w:r w:rsidR="00D87338">
              <w:rPr>
                <w:webHidden/>
              </w:rPr>
              <w:fldChar w:fldCharType="separate"/>
            </w:r>
            <w:r w:rsidR="00DF450F">
              <w:rPr>
                <w:webHidden/>
              </w:rPr>
              <w:t>5</w:t>
            </w:r>
            <w:r w:rsidR="00D87338">
              <w:rPr>
                <w:webHidden/>
              </w:rPr>
              <w:fldChar w:fldCharType="end"/>
            </w:r>
          </w:hyperlink>
        </w:p>
        <w:p w14:paraId="4F4F56BD" w14:textId="14E7D30F" w:rsidR="00D87338" w:rsidRDefault="004B12F9">
          <w:pPr>
            <w:pStyle w:val="Obsah1"/>
            <w:rPr>
              <w:rFonts w:asciiTheme="minorHAnsi" w:eastAsiaTheme="minorEastAsia" w:hAnsiTheme="minorHAnsi" w:cstheme="minorBidi"/>
              <w:sz w:val="22"/>
              <w:szCs w:val="22"/>
            </w:rPr>
          </w:pPr>
          <w:hyperlink w:anchor="_Toc34286448" w:history="1">
            <w:r w:rsidR="00D87338" w:rsidRPr="006C0CD6">
              <w:rPr>
                <w:rStyle w:val="Hypertextovodkaz"/>
              </w:rPr>
              <w:t>2</w:t>
            </w:r>
            <w:r w:rsidR="00D87338">
              <w:rPr>
                <w:rFonts w:asciiTheme="minorHAnsi" w:eastAsiaTheme="minorEastAsia" w:hAnsiTheme="minorHAnsi" w:cstheme="minorBidi"/>
                <w:sz w:val="22"/>
                <w:szCs w:val="22"/>
              </w:rPr>
              <w:tab/>
            </w:r>
            <w:r w:rsidR="00D87338" w:rsidRPr="006C0CD6">
              <w:rPr>
                <w:rStyle w:val="Hypertextovodkaz"/>
              </w:rPr>
              <w:t>Příjmy kapitoly 327 – MD</w:t>
            </w:r>
            <w:r w:rsidR="00D87338">
              <w:rPr>
                <w:webHidden/>
              </w:rPr>
              <w:tab/>
            </w:r>
            <w:r w:rsidR="00D87338">
              <w:rPr>
                <w:webHidden/>
              </w:rPr>
              <w:fldChar w:fldCharType="begin"/>
            </w:r>
            <w:r w:rsidR="00D87338">
              <w:rPr>
                <w:webHidden/>
              </w:rPr>
              <w:instrText xml:space="preserve"> PAGEREF _Toc34286448 \h </w:instrText>
            </w:r>
            <w:r w:rsidR="00D87338">
              <w:rPr>
                <w:webHidden/>
              </w:rPr>
            </w:r>
            <w:r w:rsidR="00D87338">
              <w:rPr>
                <w:webHidden/>
              </w:rPr>
              <w:fldChar w:fldCharType="separate"/>
            </w:r>
            <w:r w:rsidR="00DF450F">
              <w:rPr>
                <w:webHidden/>
              </w:rPr>
              <w:t>7</w:t>
            </w:r>
            <w:r w:rsidR="00D87338">
              <w:rPr>
                <w:webHidden/>
              </w:rPr>
              <w:fldChar w:fldCharType="end"/>
            </w:r>
          </w:hyperlink>
        </w:p>
        <w:p w14:paraId="31BF6D46" w14:textId="25F403A9" w:rsidR="00D87338" w:rsidRDefault="004B12F9">
          <w:pPr>
            <w:pStyle w:val="Obsah2"/>
            <w:rPr>
              <w:rFonts w:asciiTheme="minorHAnsi" w:eastAsiaTheme="minorEastAsia" w:hAnsiTheme="minorHAnsi" w:cstheme="minorBidi"/>
              <w:bCs w:val="0"/>
              <w:sz w:val="22"/>
              <w:szCs w:val="22"/>
            </w:rPr>
          </w:pPr>
          <w:hyperlink w:anchor="_Toc34286449" w:history="1">
            <w:r w:rsidR="00D87338" w:rsidRPr="006C0CD6">
              <w:rPr>
                <w:rStyle w:val="Hypertextovodkaz"/>
                <w14:scene3d>
                  <w14:camera w14:prst="orthographicFront"/>
                  <w14:lightRig w14:rig="threePt" w14:dir="t">
                    <w14:rot w14:lat="0" w14:lon="0" w14:rev="0"/>
                  </w14:lightRig>
                </w14:scene3d>
              </w:rPr>
              <w:t>2.1</w:t>
            </w:r>
            <w:r w:rsidR="00D87338">
              <w:rPr>
                <w:rFonts w:asciiTheme="minorHAnsi" w:eastAsiaTheme="minorEastAsia" w:hAnsiTheme="minorHAnsi" w:cstheme="minorBidi"/>
                <w:bCs w:val="0"/>
                <w:sz w:val="22"/>
                <w:szCs w:val="22"/>
              </w:rPr>
              <w:tab/>
            </w:r>
            <w:r w:rsidR="00D87338" w:rsidRPr="006C0CD6">
              <w:rPr>
                <w:rStyle w:val="Hypertextovodkaz"/>
              </w:rPr>
              <w:t>Plnění specifických ukazatelů</w:t>
            </w:r>
            <w:r w:rsidR="00D87338">
              <w:rPr>
                <w:webHidden/>
              </w:rPr>
              <w:tab/>
            </w:r>
            <w:r w:rsidR="00D87338">
              <w:rPr>
                <w:webHidden/>
              </w:rPr>
              <w:fldChar w:fldCharType="begin"/>
            </w:r>
            <w:r w:rsidR="00D87338">
              <w:rPr>
                <w:webHidden/>
              </w:rPr>
              <w:instrText xml:space="preserve"> PAGEREF _Toc34286449 \h </w:instrText>
            </w:r>
            <w:r w:rsidR="00D87338">
              <w:rPr>
                <w:webHidden/>
              </w:rPr>
            </w:r>
            <w:r w:rsidR="00D87338">
              <w:rPr>
                <w:webHidden/>
              </w:rPr>
              <w:fldChar w:fldCharType="separate"/>
            </w:r>
            <w:r w:rsidR="00DF450F">
              <w:rPr>
                <w:webHidden/>
              </w:rPr>
              <w:t>7</w:t>
            </w:r>
            <w:r w:rsidR="00D87338">
              <w:rPr>
                <w:webHidden/>
              </w:rPr>
              <w:fldChar w:fldCharType="end"/>
            </w:r>
          </w:hyperlink>
        </w:p>
        <w:p w14:paraId="17CFDD64" w14:textId="4D25A061" w:rsidR="00D87338" w:rsidRDefault="004B12F9">
          <w:pPr>
            <w:pStyle w:val="Obsah2"/>
            <w:rPr>
              <w:rFonts w:asciiTheme="minorHAnsi" w:eastAsiaTheme="minorEastAsia" w:hAnsiTheme="minorHAnsi" w:cstheme="minorBidi"/>
              <w:bCs w:val="0"/>
              <w:sz w:val="22"/>
              <w:szCs w:val="22"/>
            </w:rPr>
          </w:pPr>
          <w:hyperlink w:anchor="_Toc34286450" w:history="1">
            <w:r w:rsidR="00D87338" w:rsidRPr="006C0CD6">
              <w:rPr>
                <w:rStyle w:val="Hypertextovodkaz"/>
                <w14:scene3d>
                  <w14:camera w14:prst="orthographicFront"/>
                  <w14:lightRig w14:rig="threePt" w14:dir="t">
                    <w14:rot w14:lat="0" w14:lon="0" w14:rev="0"/>
                  </w14:lightRig>
                </w14:scene3d>
              </w:rPr>
              <w:t>2.2</w:t>
            </w:r>
            <w:r w:rsidR="00D87338">
              <w:rPr>
                <w:rFonts w:asciiTheme="minorHAnsi" w:eastAsiaTheme="minorEastAsia" w:hAnsiTheme="minorHAnsi" w:cstheme="minorBidi"/>
                <w:bCs w:val="0"/>
                <w:sz w:val="22"/>
                <w:szCs w:val="22"/>
              </w:rPr>
              <w:tab/>
            </w:r>
            <w:r w:rsidR="00D87338" w:rsidRPr="006C0CD6">
              <w:rPr>
                <w:rStyle w:val="Hypertextovodkaz"/>
              </w:rPr>
              <w:t>Příjmy ze správních poplatků a pokut ve správním řízení</w:t>
            </w:r>
            <w:r w:rsidR="00D87338">
              <w:rPr>
                <w:webHidden/>
              </w:rPr>
              <w:tab/>
            </w:r>
            <w:r w:rsidR="00D87338">
              <w:rPr>
                <w:webHidden/>
              </w:rPr>
              <w:fldChar w:fldCharType="begin"/>
            </w:r>
            <w:r w:rsidR="00D87338">
              <w:rPr>
                <w:webHidden/>
              </w:rPr>
              <w:instrText xml:space="preserve"> PAGEREF _Toc34286450 \h </w:instrText>
            </w:r>
            <w:r w:rsidR="00D87338">
              <w:rPr>
                <w:webHidden/>
              </w:rPr>
            </w:r>
            <w:r w:rsidR="00D87338">
              <w:rPr>
                <w:webHidden/>
              </w:rPr>
              <w:fldChar w:fldCharType="separate"/>
            </w:r>
            <w:r w:rsidR="00DF450F">
              <w:rPr>
                <w:webHidden/>
              </w:rPr>
              <w:t>11</w:t>
            </w:r>
            <w:r w:rsidR="00D87338">
              <w:rPr>
                <w:webHidden/>
              </w:rPr>
              <w:fldChar w:fldCharType="end"/>
            </w:r>
          </w:hyperlink>
        </w:p>
        <w:p w14:paraId="1C6CF955" w14:textId="41BAE145" w:rsidR="00D87338" w:rsidRDefault="004B12F9">
          <w:pPr>
            <w:pStyle w:val="Obsah1"/>
            <w:rPr>
              <w:rFonts w:asciiTheme="minorHAnsi" w:eastAsiaTheme="minorEastAsia" w:hAnsiTheme="minorHAnsi" w:cstheme="minorBidi"/>
              <w:sz w:val="22"/>
              <w:szCs w:val="22"/>
            </w:rPr>
          </w:pPr>
          <w:hyperlink w:anchor="_Toc34286451" w:history="1">
            <w:r w:rsidR="00D87338" w:rsidRPr="006C0CD6">
              <w:rPr>
                <w:rStyle w:val="Hypertextovodkaz"/>
              </w:rPr>
              <w:t>3</w:t>
            </w:r>
            <w:r w:rsidR="00D87338">
              <w:rPr>
                <w:rFonts w:asciiTheme="minorHAnsi" w:eastAsiaTheme="minorEastAsia" w:hAnsiTheme="minorHAnsi" w:cstheme="minorBidi"/>
                <w:sz w:val="22"/>
                <w:szCs w:val="22"/>
              </w:rPr>
              <w:tab/>
            </w:r>
            <w:r w:rsidR="00D87338" w:rsidRPr="006C0CD6">
              <w:rPr>
                <w:rStyle w:val="Hypertextovodkaz"/>
              </w:rPr>
              <w:t>Výdaje kapitoly 327 – MD</w:t>
            </w:r>
            <w:r w:rsidR="00D87338">
              <w:rPr>
                <w:webHidden/>
              </w:rPr>
              <w:tab/>
            </w:r>
            <w:r w:rsidR="00D87338">
              <w:rPr>
                <w:webHidden/>
              </w:rPr>
              <w:fldChar w:fldCharType="begin"/>
            </w:r>
            <w:r w:rsidR="00D87338">
              <w:rPr>
                <w:webHidden/>
              </w:rPr>
              <w:instrText xml:space="preserve"> PAGEREF _Toc34286451 \h </w:instrText>
            </w:r>
            <w:r w:rsidR="00D87338">
              <w:rPr>
                <w:webHidden/>
              </w:rPr>
            </w:r>
            <w:r w:rsidR="00D87338">
              <w:rPr>
                <w:webHidden/>
              </w:rPr>
              <w:fldChar w:fldCharType="separate"/>
            </w:r>
            <w:r w:rsidR="00DF450F">
              <w:rPr>
                <w:webHidden/>
              </w:rPr>
              <w:t>14</w:t>
            </w:r>
            <w:r w:rsidR="00D87338">
              <w:rPr>
                <w:webHidden/>
              </w:rPr>
              <w:fldChar w:fldCharType="end"/>
            </w:r>
          </w:hyperlink>
        </w:p>
        <w:p w14:paraId="1BA5E79B" w14:textId="55D3179E" w:rsidR="00D87338" w:rsidRDefault="004B12F9">
          <w:pPr>
            <w:pStyle w:val="Obsah2"/>
            <w:rPr>
              <w:rFonts w:asciiTheme="minorHAnsi" w:eastAsiaTheme="minorEastAsia" w:hAnsiTheme="minorHAnsi" w:cstheme="minorBidi"/>
              <w:bCs w:val="0"/>
              <w:sz w:val="22"/>
              <w:szCs w:val="22"/>
            </w:rPr>
          </w:pPr>
          <w:hyperlink w:anchor="_Toc34286453" w:history="1">
            <w:r w:rsidR="00D87338" w:rsidRPr="006C0CD6">
              <w:rPr>
                <w:rStyle w:val="Hypertextovodkaz"/>
                <w14:scene3d>
                  <w14:camera w14:prst="orthographicFront"/>
                  <w14:lightRig w14:rig="threePt" w14:dir="t">
                    <w14:rot w14:lat="0" w14:lon="0" w14:rev="0"/>
                  </w14:lightRig>
                </w14:scene3d>
              </w:rPr>
              <w:t>3.1</w:t>
            </w:r>
            <w:r w:rsidR="00D87338">
              <w:rPr>
                <w:rFonts w:asciiTheme="minorHAnsi" w:eastAsiaTheme="minorEastAsia" w:hAnsiTheme="minorHAnsi" w:cstheme="minorBidi"/>
                <w:bCs w:val="0"/>
                <w:sz w:val="22"/>
                <w:szCs w:val="22"/>
              </w:rPr>
              <w:tab/>
            </w:r>
            <w:r w:rsidR="00D87338" w:rsidRPr="006C0CD6">
              <w:rPr>
                <w:rStyle w:val="Hypertextovodkaz"/>
              </w:rPr>
              <w:t>Plnění specifických ukazatelů</w:t>
            </w:r>
            <w:r w:rsidR="00D87338">
              <w:rPr>
                <w:webHidden/>
              </w:rPr>
              <w:tab/>
            </w:r>
            <w:r w:rsidR="00D87338">
              <w:rPr>
                <w:webHidden/>
              </w:rPr>
              <w:fldChar w:fldCharType="begin"/>
            </w:r>
            <w:r w:rsidR="00D87338">
              <w:rPr>
                <w:webHidden/>
              </w:rPr>
              <w:instrText xml:space="preserve"> PAGEREF _Toc34286453 \h </w:instrText>
            </w:r>
            <w:r w:rsidR="00D87338">
              <w:rPr>
                <w:webHidden/>
              </w:rPr>
            </w:r>
            <w:r w:rsidR="00D87338">
              <w:rPr>
                <w:webHidden/>
              </w:rPr>
              <w:fldChar w:fldCharType="separate"/>
            </w:r>
            <w:r w:rsidR="00DF450F">
              <w:rPr>
                <w:webHidden/>
              </w:rPr>
              <w:t>15</w:t>
            </w:r>
            <w:r w:rsidR="00D87338">
              <w:rPr>
                <w:webHidden/>
              </w:rPr>
              <w:fldChar w:fldCharType="end"/>
            </w:r>
          </w:hyperlink>
        </w:p>
        <w:p w14:paraId="46B2E1DA" w14:textId="482E238C" w:rsidR="00D87338" w:rsidRDefault="004B12F9">
          <w:pPr>
            <w:pStyle w:val="Obsah2"/>
            <w:rPr>
              <w:rFonts w:asciiTheme="minorHAnsi" w:eastAsiaTheme="minorEastAsia" w:hAnsiTheme="minorHAnsi" w:cstheme="minorBidi"/>
              <w:bCs w:val="0"/>
              <w:sz w:val="22"/>
              <w:szCs w:val="22"/>
            </w:rPr>
          </w:pPr>
          <w:hyperlink w:anchor="_Toc34286454" w:history="1">
            <w:r w:rsidR="00D87338" w:rsidRPr="006C0CD6">
              <w:rPr>
                <w:rStyle w:val="Hypertextovodkaz"/>
                <w14:scene3d>
                  <w14:camera w14:prst="orthographicFront"/>
                  <w14:lightRig w14:rig="threePt" w14:dir="t">
                    <w14:rot w14:lat="0" w14:lon="0" w14:rev="0"/>
                  </w14:lightRig>
                </w14:scene3d>
              </w:rPr>
              <w:t>3.2</w:t>
            </w:r>
            <w:r w:rsidR="00D87338">
              <w:rPr>
                <w:rFonts w:asciiTheme="minorHAnsi" w:eastAsiaTheme="minorEastAsia" w:hAnsiTheme="minorHAnsi" w:cstheme="minorBidi"/>
                <w:bCs w:val="0"/>
                <w:sz w:val="22"/>
                <w:szCs w:val="22"/>
              </w:rPr>
              <w:tab/>
            </w:r>
            <w:r w:rsidR="00D87338" w:rsidRPr="006C0CD6">
              <w:rPr>
                <w:rStyle w:val="Hypertextovodkaz"/>
              </w:rPr>
              <w:t>Běžné výdaje</w:t>
            </w:r>
            <w:r w:rsidR="00D87338">
              <w:rPr>
                <w:webHidden/>
              </w:rPr>
              <w:tab/>
            </w:r>
            <w:r w:rsidR="00D87338">
              <w:rPr>
                <w:webHidden/>
              </w:rPr>
              <w:fldChar w:fldCharType="begin"/>
            </w:r>
            <w:r w:rsidR="00D87338">
              <w:rPr>
                <w:webHidden/>
              </w:rPr>
              <w:instrText xml:space="preserve"> PAGEREF _Toc34286454 \h </w:instrText>
            </w:r>
            <w:r w:rsidR="00D87338">
              <w:rPr>
                <w:webHidden/>
              </w:rPr>
            </w:r>
            <w:r w:rsidR="00D87338">
              <w:rPr>
                <w:webHidden/>
              </w:rPr>
              <w:fldChar w:fldCharType="separate"/>
            </w:r>
            <w:r w:rsidR="00DF450F">
              <w:rPr>
                <w:webHidden/>
              </w:rPr>
              <w:t>20</w:t>
            </w:r>
            <w:r w:rsidR="00D87338">
              <w:rPr>
                <w:webHidden/>
              </w:rPr>
              <w:fldChar w:fldCharType="end"/>
            </w:r>
          </w:hyperlink>
        </w:p>
        <w:p w14:paraId="578F390B" w14:textId="53BB120E" w:rsidR="00D87338" w:rsidRDefault="004B12F9">
          <w:pPr>
            <w:pStyle w:val="Obsah3"/>
            <w:rPr>
              <w:rFonts w:asciiTheme="minorHAnsi" w:eastAsiaTheme="minorEastAsia" w:hAnsiTheme="minorHAnsi" w:cstheme="minorBidi"/>
              <w:sz w:val="22"/>
              <w:szCs w:val="22"/>
            </w:rPr>
          </w:pPr>
          <w:hyperlink w:anchor="_Toc34286460" w:history="1">
            <w:r w:rsidR="00D87338" w:rsidRPr="006C0CD6">
              <w:rPr>
                <w:rStyle w:val="Hypertextovodkaz"/>
              </w:rPr>
              <w:t>3.2.1</w:t>
            </w:r>
            <w:r w:rsidR="00D87338">
              <w:rPr>
                <w:rFonts w:asciiTheme="minorHAnsi" w:eastAsiaTheme="minorEastAsia" w:hAnsiTheme="minorHAnsi" w:cstheme="minorBidi"/>
                <w:sz w:val="22"/>
                <w:szCs w:val="22"/>
              </w:rPr>
              <w:tab/>
            </w:r>
            <w:r w:rsidR="00D87338" w:rsidRPr="006C0CD6">
              <w:rPr>
                <w:rStyle w:val="Hypertextovodkaz"/>
              </w:rPr>
              <w:t>Efektivnost a nákladovost hospodaření kapitoly 327-MD</w:t>
            </w:r>
            <w:r w:rsidR="00D87338">
              <w:rPr>
                <w:webHidden/>
              </w:rPr>
              <w:tab/>
            </w:r>
            <w:r w:rsidR="00D87338">
              <w:rPr>
                <w:webHidden/>
              </w:rPr>
              <w:fldChar w:fldCharType="begin"/>
            </w:r>
            <w:r w:rsidR="00D87338">
              <w:rPr>
                <w:webHidden/>
              </w:rPr>
              <w:instrText xml:space="preserve"> PAGEREF _Toc34286460 \h </w:instrText>
            </w:r>
            <w:r w:rsidR="00D87338">
              <w:rPr>
                <w:webHidden/>
              </w:rPr>
            </w:r>
            <w:r w:rsidR="00D87338">
              <w:rPr>
                <w:webHidden/>
              </w:rPr>
              <w:fldChar w:fldCharType="separate"/>
            </w:r>
            <w:r w:rsidR="00DF450F">
              <w:rPr>
                <w:webHidden/>
              </w:rPr>
              <w:t>24</w:t>
            </w:r>
            <w:r w:rsidR="00D87338">
              <w:rPr>
                <w:webHidden/>
              </w:rPr>
              <w:fldChar w:fldCharType="end"/>
            </w:r>
          </w:hyperlink>
        </w:p>
        <w:p w14:paraId="2C8C3476" w14:textId="6F340796" w:rsidR="00D87338" w:rsidRDefault="004B12F9">
          <w:pPr>
            <w:pStyle w:val="Obsah3"/>
            <w:rPr>
              <w:rFonts w:asciiTheme="minorHAnsi" w:eastAsiaTheme="minorEastAsia" w:hAnsiTheme="minorHAnsi" w:cstheme="minorBidi"/>
              <w:sz w:val="22"/>
              <w:szCs w:val="22"/>
            </w:rPr>
          </w:pPr>
          <w:hyperlink w:anchor="_Toc34286461" w:history="1">
            <w:r w:rsidR="00D87338" w:rsidRPr="006C0CD6">
              <w:rPr>
                <w:rStyle w:val="Hypertextovodkaz"/>
              </w:rPr>
              <w:t>3.2.2</w:t>
            </w:r>
            <w:r w:rsidR="00D87338">
              <w:rPr>
                <w:rFonts w:asciiTheme="minorHAnsi" w:eastAsiaTheme="minorEastAsia" w:hAnsiTheme="minorHAnsi" w:cstheme="minorBidi"/>
                <w:sz w:val="22"/>
                <w:szCs w:val="22"/>
              </w:rPr>
              <w:tab/>
            </w:r>
            <w:r w:rsidR="00D87338" w:rsidRPr="006C0CD6">
              <w:rPr>
                <w:rStyle w:val="Hypertextovodkaz"/>
              </w:rPr>
              <w:t>Běžné výdaje organizačních složek státu</w:t>
            </w:r>
            <w:r w:rsidR="00D87338">
              <w:rPr>
                <w:webHidden/>
              </w:rPr>
              <w:tab/>
            </w:r>
            <w:r w:rsidR="00D87338">
              <w:rPr>
                <w:webHidden/>
              </w:rPr>
              <w:fldChar w:fldCharType="begin"/>
            </w:r>
            <w:r w:rsidR="00D87338">
              <w:rPr>
                <w:webHidden/>
              </w:rPr>
              <w:instrText xml:space="preserve"> PAGEREF _Toc34286461 \h </w:instrText>
            </w:r>
            <w:r w:rsidR="00D87338">
              <w:rPr>
                <w:webHidden/>
              </w:rPr>
            </w:r>
            <w:r w:rsidR="00D87338">
              <w:rPr>
                <w:webHidden/>
              </w:rPr>
              <w:fldChar w:fldCharType="separate"/>
            </w:r>
            <w:r w:rsidR="00DF450F">
              <w:rPr>
                <w:webHidden/>
              </w:rPr>
              <w:t>26</w:t>
            </w:r>
            <w:r w:rsidR="00D87338">
              <w:rPr>
                <w:webHidden/>
              </w:rPr>
              <w:fldChar w:fldCharType="end"/>
            </w:r>
          </w:hyperlink>
        </w:p>
        <w:p w14:paraId="19C56810" w14:textId="2C25BB1B" w:rsidR="00D87338" w:rsidRDefault="004B12F9">
          <w:pPr>
            <w:pStyle w:val="Obsah3"/>
            <w:rPr>
              <w:rFonts w:asciiTheme="minorHAnsi" w:eastAsiaTheme="minorEastAsia" w:hAnsiTheme="minorHAnsi" w:cstheme="minorBidi"/>
              <w:sz w:val="22"/>
              <w:szCs w:val="22"/>
            </w:rPr>
          </w:pPr>
          <w:hyperlink w:anchor="_Toc34286462" w:history="1">
            <w:r w:rsidR="00D87338" w:rsidRPr="006C0CD6">
              <w:rPr>
                <w:rStyle w:val="Hypertextovodkaz"/>
              </w:rPr>
              <w:t>3.2.3</w:t>
            </w:r>
            <w:r w:rsidR="00D87338">
              <w:rPr>
                <w:rFonts w:asciiTheme="minorHAnsi" w:eastAsiaTheme="minorEastAsia" w:hAnsiTheme="minorHAnsi" w:cstheme="minorBidi"/>
                <w:sz w:val="22"/>
                <w:szCs w:val="22"/>
              </w:rPr>
              <w:tab/>
            </w:r>
            <w:r w:rsidR="00D87338" w:rsidRPr="006C0CD6">
              <w:rPr>
                <w:rStyle w:val="Hypertextovodkaz"/>
              </w:rPr>
              <w:t>Běžné výdaje zřízených příspěvkových organizací</w:t>
            </w:r>
            <w:r w:rsidR="00D87338">
              <w:rPr>
                <w:webHidden/>
              </w:rPr>
              <w:tab/>
            </w:r>
            <w:r w:rsidR="00D87338">
              <w:rPr>
                <w:webHidden/>
              </w:rPr>
              <w:fldChar w:fldCharType="begin"/>
            </w:r>
            <w:r w:rsidR="00D87338">
              <w:rPr>
                <w:webHidden/>
              </w:rPr>
              <w:instrText xml:space="preserve"> PAGEREF _Toc34286462 \h </w:instrText>
            </w:r>
            <w:r w:rsidR="00D87338">
              <w:rPr>
                <w:webHidden/>
              </w:rPr>
            </w:r>
            <w:r w:rsidR="00D87338">
              <w:rPr>
                <w:webHidden/>
              </w:rPr>
              <w:fldChar w:fldCharType="separate"/>
            </w:r>
            <w:r w:rsidR="00DF450F">
              <w:rPr>
                <w:webHidden/>
              </w:rPr>
              <w:t>35</w:t>
            </w:r>
            <w:r w:rsidR="00D87338">
              <w:rPr>
                <w:webHidden/>
              </w:rPr>
              <w:fldChar w:fldCharType="end"/>
            </w:r>
          </w:hyperlink>
        </w:p>
        <w:p w14:paraId="4535F572" w14:textId="7A99E59F" w:rsidR="00D87338" w:rsidRDefault="004B12F9">
          <w:pPr>
            <w:pStyle w:val="Obsah3"/>
            <w:rPr>
              <w:rFonts w:asciiTheme="minorHAnsi" w:eastAsiaTheme="minorEastAsia" w:hAnsiTheme="minorHAnsi" w:cstheme="minorBidi"/>
              <w:sz w:val="22"/>
              <w:szCs w:val="22"/>
            </w:rPr>
          </w:pPr>
          <w:hyperlink w:anchor="_Toc34286463" w:history="1">
            <w:r w:rsidR="00D87338" w:rsidRPr="006C0CD6">
              <w:rPr>
                <w:rStyle w:val="Hypertextovodkaz"/>
              </w:rPr>
              <w:t>3.2.4</w:t>
            </w:r>
            <w:r w:rsidR="00D87338">
              <w:rPr>
                <w:rFonts w:asciiTheme="minorHAnsi" w:eastAsiaTheme="minorEastAsia" w:hAnsiTheme="minorHAnsi" w:cstheme="minorBidi"/>
                <w:sz w:val="22"/>
                <w:szCs w:val="22"/>
              </w:rPr>
              <w:tab/>
            </w:r>
            <w:r w:rsidR="00D87338" w:rsidRPr="006C0CD6">
              <w:rPr>
                <w:rStyle w:val="Hypertextovodkaz"/>
              </w:rPr>
              <w:t>Vybrané výdaje organizačních složek státu a příspěvkových organizací</w:t>
            </w:r>
            <w:r w:rsidR="00D87338">
              <w:rPr>
                <w:webHidden/>
              </w:rPr>
              <w:tab/>
            </w:r>
            <w:r w:rsidR="00D87338">
              <w:rPr>
                <w:webHidden/>
              </w:rPr>
              <w:fldChar w:fldCharType="begin"/>
            </w:r>
            <w:r w:rsidR="00D87338">
              <w:rPr>
                <w:webHidden/>
              </w:rPr>
              <w:instrText xml:space="preserve"> PAGEREF _Toc34286463 \h </w:instrText>
            </w:r>
            <w:r w:rsidR="00D87338">
              <w:rPr>
                <w:webHidden/>
              </w:rPr>
            </w:r>
            <w:r w:rsidR="00D87338">
              <w:rPr>
                <w:webHidden/>
              </w:rPr>
              <w:fldChar w:fldCharType="separate"/>
            </w:r>
            <w:r w:rsidR="00DF450F">
              <w:rPr>
                <w:webHidden/>
              </w:rPr>
              <w:t>40</w:t>
            </w:r>
            <w:r w:rsidR="00D87338">
              <w:rPr>
                <w:webHidden/>
              </w:rPr>
              <w:fldChar w:fldCharType="end"/>
            </w:r>
          </w:hyperlink>
        </w:p>
        <w:p w14:paraId="4215E2C4" w14:textId="2AB62A4F" w:rsidR="00D87338" w:rsidRDefault="004B12F9">
          <w:pPr>
            <w:pStyle w:val="Obsah3"/>
            <w:rPr>
              <w:rFonts w:asciiTheme="minorHAnsi" w:eastAsiaTheme="minorEastAsia" w:hAnsiTheme="minorHAnsi" w:cstheme="minorBidi"/>
              <w:sz w:val="22"/>
              <w:szCs w:val="22"/>
            </w:rPr>
          </w:pPr>
          <w:hyperlink w:anchor="_Toc34286464" w:history="1">
            <w:r w:rsidR="00D87338" w:rsidRPr="006C0CD6">
              <w:rPr>
                <w:rStyle w:val="Hypertextovodkaz"/>
              </w:rPr>
              <w:t>3.2.5</w:t>
            </w:r>
            <w:r w:rsidR="00D87338">
              <w:rPr>
                <w:rFonts w:asciiTheme="minorHAnsi" w:eastAsiaTheme="minorEastAsia" w:hAnsiTheme="minorHAnsi" w:cstheme="minorBidi"/>
                <w:sz w:val="22"/>
                <w:szCs w:val="22"/>
              </w:rPr>
              <w:tab/>
            </w:r>
            <w:r w:rsidR="00D87338" w:rsidRPr="006C0CD6">
              <w:rPr>
                <w:rStyle w:val="Hypertextovodkaz"/>
              </w:rPr>
              <w:t>Mzdová politika a zaměstnanost</w:t>
            </w:r>
            <w:r w:rsidR="00D87338">
              <w:rPr>
                <w:webHidden/>
              </w:rPr>
              <w:tab/>
            </w:r>
            <w:r w:rsidR="00D87338">
              <w:rPr>
                <w:webHidden/>
              </w:rPr>
              <w:fldChar w:fldCharType="begin"/>
            </w:r>
            <w:r w:rsidR="00D87338">
              <w:rPr>
                <w:webHidden/>
              </w:rPr>
              <w:instrText xml:space="preserve"> PAGEREF _Toc34286464 \h </w:instrText>
            </w:r>
            <w:r w:rsidR="00D87338">
              <w:rPr>
                <w:webHidden/>
              </w:rPr>
            </w:r>
            <w:r w:rsidR="00D87338">
              <w:rPr>
                <w:webHidden/>
              </w:rPr>
              <w:fldChar w:fldCharType="separate"/>
            </w:r>
            <w:r w:rsidR="00DF450F">
              <w:rPr>
                <w:webHidden/>
              </w:rPr>
              <w:t>45</w:t>
            </w:r>
            <w:r w:rsidR="00D87338">
              <w:rPr>
                <w:webHidden/>
              </w:rPr>
              <w:fldChar w:fldCharType="end"/>
            </w:r>
          </w:hyperlink>
        </w:p>
        <w:p w14:paraId="5CA95690" w14:textId="77C6FADF" w:rsidR="00D87338" w:rsidRDefault="004B12F9">
          <w:pPr>
            <w:pStyle w:val="Obsah3"/>
            <w:rPr>
              <w:rFonts w:asciiTheme="minorHAnsi" w:eastAsiaTheme="minorEastAsia" w:hAnsiTheme="minorHAnsi" w:cstheme="minorBidi"/>
              <w:sz w:val="22"/>
              <w:szCs w:val="22"/>
            </w:rPr>
          </w:pPr>
          <w:hyperlink w:anchor="_Toc34286465" w:history="1">
            <w:r w:rsidR="00D87338" w:rsidRPr="006C0CD6">
              <w:rPr>
                <w:rStyle w:val="Hypertextovodkaz"/>
              </w:rPr>
              <w:t>3.2.6</w:t>
            </w:r>
            <w:r w:rsidR="00D87338">
              <w:rPr>
                <w:rFonts w:asciiTheme="minorHAnsi" w:eastAsiaTheme="minorEastAsia" w:hAnsiTheme="minorHAnsi" w:cstheme="minorBidi"/>
                <w:sz w:val="22"/>
                <w:szCs w:val="22"/>
              </w:rPr>
              <w:tab/>
            </w:r>
            <w:r w:rsidR="00D87338" w:rsidRPr="006C0CD6">
              <w:rPr>
                <w:rStyle w:val="Hypertextovodkaz"/>
              </w:rPr>
              <w:t>Neinvestiční transfery ostatním příspěvkovým a podobným organizacím</w:t>
            </w:r>
            <w:r w:rsidR="00D87338">
              <w:rPr>
                <w:webHidden/>
              </w:rPr>
              <w:tab/>
            </w:r>
            <w:r w:rsidR="00D87338">
              <w:rPr>
                <w:webHidden/>
              </w:rPr>
              <w:fldChar w:fldCharType="begin"/>
            </w:r>
            <w:r w:rsidR="00D87338">
              <w:rPr>
                <w:webHidden/>
              </w:rPr>
              <w:instrText xml:space="preserve"> PAGEREF _Toc34286465 \h </w:instrText>
            </w:r>
            <w:r w:rsidR="00D87338">
              <w:rPr>
                <w:webHidden/>
              </w:rPr>
            </w:r>
            <w:r w:rsidR="00D87338">
              <w:rPr>
                <w:webHidden/>
              </w:rPr>
              <w:fldChar w:fldCharType="separate"/>
            </w:r>
            <w:r w:rsidR="00DF450F">
              <w:rPr>
                <w:webHidden/>
              </w:rPr>
              <w:t>48</w:t>
            </w:r>
            <w:r w:rsidR="00D87338">
              <w:rPr>
                <w:webHidden/>
              </w:rPr>
              <w:fldChar w:fldCharType="end"/>
            </w:r>
          </w:hyperlink>
        </w:p>
        <w:p w14:paraId="676AB896" w14:textId="57976D9B" w:rsidR="00D87338" w:rsidRDefault="004B12F9">
          <w:pPr>
            <w:pStyle w:val="Obsah3"/>
            <w:rPr>
              <w:rFonts w:asciiTheme="minorHAnsi" w:eastAsiaTheme="minorEastAsia" w:hAnsiTheme="minorHAnsi" w:cstheme="minorBidi"/>
              <w:sz w:val="22"/>
              <w:szCs w:val="22"/>
            </w:rPr>
          </w:pPr>
          <w:hyperlink w:anchor="_Toc34286466" w:history="1">
            <w:r w:rsidR="00D87338" w:rsidRPr="006C0CD6">
              <w:rPr>
                <w:rStyle w:val="Hypertextovodkaz"/>
              </w:rPr>
              <w:t>3.2.7</w:t>
            </w:r>
            <w:r w:rsidR="00D87338">
              <w:rPr>
                <w:rFonts w:asciiTheme="minorHAnsi" w:eastAsiaTheme="minorEastAsia" w:hAnsiTheme="minorHAnsi" w:cstheme="minorBidi"/>
                <w:sz w:val="22"/>
                <w:szCs w:val="22"/>
              </w:rPr>
              <w:tab/>
            </w:r>
            <w:r w:rsidR="00D87338" w:rsidRPr="006C0CD6">
              <w:rPr>
                <w:rStyle w:val="Hypertextovodkaz"/>
              </w:rPr>
              <w:t>Neinvestiční transfery neziskovým a podobným organizacím</w:t>
            </w:r>
            <w:r w:rsidR="00D87338">
              <w:rPr>
                <w:webHidden/>
              </w:rPr>
              <w:tab/>
            </w:r>
            <w:r w:rsidR="00D87338">
              <w:rPr>
                <w:webHidden/>
              </w:rPr>
              <w:fldChar w:fldCharType="begin"/>
            </w:r>
            <w:r w:rsidR="00D87338">
              <w:rPr>
                <w:webHidden/>
              </w:rPr>
              <w:instrText xml:space="preserve"> PAGEREF _Toc34286466 \h </w:instrText>
            </w:r>
            <w:r w:rsidR="00D87338">
              <w:rPr>
                <w:webHidden/>
              </w:rPr>
            </w:r>
            <w:r w:rsidR="00D87338">
              <w:rPr>
                <w:webHidden/>
              </w:rPr>
              <w:fldChar w:fldCharType="separate"/>
            </w:r>
            <w:r w:rsidR="00DF450F">
              <w:rPr>
                <w:webHidden/>
              </w:rPr>
              <w:t>49</w:t>
            </w:r>
            <w:r w:rsidR="00D87338">
              <w:rPr>
                <w:webHidden/>
              </w:rPr>
              <w:fldChar w:fldCharType="end"/>
            </w:r>
          </w:hyperlink>
        </w:p>
        <w:p w14:paraId="04385060" w14:textId="361EC101" w:rsidR="00D87338" w:rsidRDefault="004B12F9">
          <w:pPr>
            <w:pStyle w:val="Obsah3"/>
            <w:rPr>
              <w:rFonts w:asciiTheme="minorHAnsi" w:eastAsiaTheme="minorEastAsia" w:hAnsiTheme="minorHAnsi" w:cstheme="minorBidi"/>
              <w:sz w:val="22"/>
              <w:szCs w:val="22"/>
            </w:rPr>
          </w:pPr>
          <w:hyperlink w:anchor="_Toc34286467" w:history="1">
            <w:r w:rsidR="00D87338" w:rsidRPr="006C0CD6">
              <w:rPr>
                <w:rStyle w:val="Hypertextovodkaz"/>
              </w:rPr>
              <w:t>3.2.8</w:t>
            </w:r>
            <w:r w:rsidR="00D87338">
              <w:rPr>
                <w:rFonts w:asciiTheme="minorHAnsi" w:eastAsiaTheme="minorEastAsia" w:hAnsiTheme="minorHAnsi" w:cstheme="minorBidi"/>
                <w:sz w:val="22"/>
                <w:szCs w:val="22"/>
              </w:rPr>
              <w:tab/>
            </w:r>
            <w:r w:rsidR="00D87338" w:rsidRPr="006C0CD6">
              <w:rPr>
                <w:rStyle w:val="Hypertextovodkaz"/>
              </w:rPr>
              <w:t>Neinvestiční transfery do zahraničí</w:t>
            </w:r>
            <w:r w:rsidR="00D87338">
              <w:rPr>
                <w:webHidden/>
              </w:rPr>
              <w:tab/>
            </w:r>
            <w:r w:rsidR="00D87338">
              <w:rPr>
                <w:webHidden/>
              </w:rPr>
              <w:fldChar w:fldCharType="begin"/>
            </w:r>
            <w:r w:rsidR="00D87338">
              <w:rPr>
                <w:webHidden/>
              </w:rPr>
              <w:instrText xml:space="preserve"> PAGEREF _Toc34286467 \h </w:instrText>
            </w:r>
            <w:r w:rsidR="00D87338">
              <w:rPr>
                <w:webHidden/>
              </w:rPr>
            </w:r>
            <w:r w:rsidR="00D87338">
              <w:rPr>
                <w:webHidden/>
              </w:rPr>
              <w:fldChar w:fldCharType="separate"/>
            </w:r>
            <w:r w:rsidR="00DF450F">
              <w:rPr>
                <w:webHidden/>
              </w:rPr>
              <w:t>51</w:t>
            </w:r>
            <w:r w:rsidR="00D87338">
              <w:rPr>
                <w:webHidden/>
              </w:rPr>
              <w:fldChar w:fldCharType="end"/>
            </w:r>
          </w:hyperlink>
        </w:p>
        <w:p w14:paraId="7F702C57" w14:textId="0CFD5640" w:rsidR="00D87338" w:rsidRDefault="004B12F9">
          <w:pPr>
            <w:pStyle w:val="Obsah3"/>
            <w:rPr>
              <w:rFonts w:asciiTheme="minorHAnsi" w:eastAsiaTheme="minorEastAsia" w:hAnsiTheme="minorHAnsi" w:cstheme="minorBidi"/>
              <w:sz w:val="22"/>
              <w:szCs w:val="22"/>
            </w:rPr>
          </w:pPr>
          <w:hyperlink w:anchor="_Toc34286468" w:history="1">
            <w:r w:rsidR="00D87338" w:rsidRPr="006C0CD6">
              <w:rPr>
                <w:rStyle w:val="Hypertextovodkaz"/>
              </w:rPr>
              <w:t>3.2.9</w:t>
            </w:r>
            <w:r w:rsidR="00D87338">
              <w:rPr>
                <w:rFonts w:asciiTheme="minorHAnsi" w:eastAsiaTheme="minorEastAsia" w:hAnsiTheme="minorHAnsi" w:cstheme="minorBidi"/>
                <w:sz w:val="22"/>
                <w:szCs w:val="22"/>
              </w:rPr>
              <w:tab/>
            </w:r>
            <w:r w:rsidR="00D87338" w:rsidRPr="006C0CD6">
              <w:rPr>
                <w:rStyle w:val="Hypertextovodkaz"/>
              </w:rPr>
              <w:t>Neinvestiční transfery podnikatelským subjektům</w:t>
            </w:r>
            <w:r w:rsidR="00D87338">
              <w:rPr>
                <w:webHidden/>
              </w:rPr>
              <w:tab/>
            </w:r>
            <w:r w:rsidR="00D87338">
              <w:rPr>
                <w:webHidden/>
              </w:rPr>
              <w:fldChar w:fldCharType="begin"/>
            </w:r>
            <w:r w:rsidR="00D87338">
              <w:rPr>
                <w:webHidden/>
              </w:rPr>
              <w:instrText xml:space="preserve"> PAGEREF _Toc34286468 \h </w:instrText>
            </w:r>
            <w:r w:rsidR="00D87338">
              <w:rPr>
                <w:webHidden/>
              </w:rPr>
            </w:r>
            <w:r w:rsidR="00D87338">
              <w:rPr>
                <w:webHidden/>
              </w:rPr>
              <w:fldChar w:fldCharType="separate"/>
            </w:r>
            <w:r w:rsidR="00DF450F">
              <w:rPr>
                <w:webHidden/>
              </w:rPr>
              <w:t>52</w:t>
            </w:r>
            <w:r w:rsidR="00D87338">
              <w:rPr>
                <w:webHidden/>
              </w:rPr>
              <w:fldChar w:fldCharType="end"/>
            </w:r>
          </w:hyperlink>
        </w:p>
        <w:p w14:paraId="0D621206" w14:textId="25C10376" w:rsidR="00D87338" w:rsidRDefault="004B12F9">
          <w:pPr>
            <w:pStyle w:val="Obsah3"/>
            <w:rPr>
              <w:rFonts w:asciiTheme="minorHAnsi" w:eastAsiaTheme="minorEastAsia" w:hAnsiTheme="minorHAnsi" w:cstheme="minorBidi"/>
              <w:sz w:val="22"/>
              <w:szCs w:val="22"/>
            </w:rPr>
          </w:pPr>
          <w:hyperlink w:anchor="_Toc34286469" w:history="1">
            <w:r w:rsidR="00D87338" w:rsidRPr="006C0CD6">
              <w:rPr>
                <w:rStyle w:val="Hypertextovodkaz"/>
              </w:rPr>
              <w:t>3.2.10</w:t>
            </w:r>
            <w:r w:rsidR="00D87338">
              <w:rPr>
                <w:rFonts w:asciiTheme="minorHAnsi" w:eastAsiaTheme="minorEastAsia" w:hAnsiTheme="minorHAnsi" w:cstheme="minorBidi"/>
                <w:sz w:val="22"/>
                <w:szCs w:val="22"/>
              </w:rPr>
              <w:tab/>
            </w:r>
            <w:r w:rsidR="00D87338" w:rsidRPr="006C0CD6">
              <w:rPr>
                <w:rStyle w:val="Hypertextovodkaz"/>
              </w:rPr>
              <w:t>Neinvestiční půjčené prostředky podnikatelským subjektům</w:t>
            </w:r>
            <w:r w:rsidR="00D87338">
              <w:rPr>
                <w:webHidden/>
              </w:rPr>
              <w:tab/>
            </w:r>
            <w:r w:rsidR="00D87338">
              <w:rPr>
                <w:webHidden/>
              </w:rPr>
              <w:fldChar w:fldCharType="begin"/>
            </w:r>
            <w:r w:rsidR="00D87338">
              <w:rPr>
                <w:webHidden/>
              </w:rPr>
              <w:instrText xml:space="preserve"> PAGEREF _Toc34286469 \h </w:instrText>
            </w:r>
            <w:r w:rsidR="00D87338">
              <w:rPr>
                <w:webHidden/>
              </w:rPr>
            </w:r>
            <w:r w:rsidR="00D87338">
              <w:rPr>
                <w:webHidden/>
              </w:rPr>
              <w:fldChar w:fldCharType="separate"/>
            </w:r>
            <w:r w:rsidR="00DF450F">
              <w:rPr>
                <w:webHidden/>
              </w:rPr>
              <w:t>57</w:t>
            </w:r>
            <w:r w:rsidR="00D87338">
              <w:rPr>
                <w:webHidden/>
              </w:rPr>
              <w:fldChar w:fldCharType="end"/>
            </w:r>
          </w:hyperlink>
        </w:p>
        <w:p w14:paraId="065A32F2" w14:textId="5B2F5715" w:rsidR="00D87338" w:rsidRDefault="004B12F9">
          <w:pPr>
            <w:pStyle w:val="Obsah3"/>
            <w:rPr>
              <w:rFonts w:asciiTheme="minorHAnsi" w:eastAsiaTheme="minorEastAsia" w:hAnsiTheme="minorHAnsi" w:cstheme="minorBidi"/>
              <w:sz w:val="22"/>
              <w:szCs w:val="22"/>
            </w:rPr>
          </w:pPr>
          <w:hyperlink w:anchor="_Toc34286470" w:history="1">
            <w:r w:rsidR="00D87338" w:rsidRPr="006C0CD6">
              <w:rPr>
                <w:rStyle w:val="Hypertextovodkaz"/>
              </w:rPr>
              <w:t>3.2.11</w:t>
            </w:r>
            <w:r w:rsidR="00D87338">
              <w:rPr>
                <w:rFonts w:asciiTheme="minorHAnsi" w:eastAsiaTheme="minorEastAsia" w:hAnsiTheme="minorHAnsi" w:cstheme="minorBidi"/>
                <w:sz w:val="22"/>
                <w:szCs w:val="22"/>
              </w:rPr>
              <w:tab/>
            </w:r>
            <w:r w:rsidR="00D87338" w:rsidRPr="006C0CD6">
              <w:rPr>
                <w:rStyle w:val="Hypertextovodkaz"/>
              </w:rPr>
              <w:t>Neinvestiční transfery státním fondům</w:t>
            </w:r>
            <w:r w:rsidR="00D87338">
              <w:rPr>
                <w:webHidden/>
              </w:rPr>
              <w:tab/>
            </w:r>
            <w:r w:rsidR="00D87338">
              <w:rPr>
                <w:webHidden/>
              </w:rPr>
              <w:fldChar w:fldCharType="begin"/>
            </w:r>
            <w:r w:rsidR="00D87338">
              <w:rPr>
                <w:webHidden/>
              </w:rPr>
              <w:instrText xml:space="preserve"> PAGEREF _Toc34286470 \h </w:instrText>
            </w:r>
            <w:r w:rsidR="00D87338">
              <w:rPr>
                <w:webHidden/>
              </w:rPr>
            </w:r>
            <w:r w:rsidR="00D87338">
              <w:rPr>
                <w:webHidden/>
              </w:rPr>
              <w:fldChar w:fldCharType="separate"/>
            </w:r>
            <w:r w:rsidR="00DF450F">
              <w:rPr>
                <w:webHidden/>
              </w:rPr>
              <w:t>57</w:t>
            </w:r>
            <w:r w:rsidR="00D87338">
              <w:rPr>
                <w:webHidden/>
              </w:rPr>
              <w:fldChar w:fldCharType="end"/>
            </w:r>
          </w:hyperlink>
        </w:p>
        <w:p w14:paraId="4D611B52" w14:textId="48AC8B89" w:rsidR="00D87338" w:rsidRDefault="004B12F9">
          <w:pPr>
            <w:pStyle w:val="Obsah3"/>
            <w:rPr>
              <w:rFonts w:asciiTheme="minorHAnsi" w:eastAsiaTheme="minorEastAsia" w:hAnsiTheme="minorHAnsi" w:cstheme="minorBidi"/>
              <w:sz w:val="22"/>
              <w:szCs w:val="22"/>
            </w:rPr>
          </w:pPr>
          <w:hyperlink w:anchor="_Toc34286471" w:history="1">
            <w:r w:rsidR="00D87338" w:rsidRPr="006C0CD6">
              <w:rPr>
                <w:rStyle w:val="Hypertextovodkaz"/>
              </w:rPr>
              <w:t>3.2.12</w:t>
            </w:r>
            <w:r w:rsidR="00D87338">
              <w:rPr>
                <w:rFonts w:asciiTheme="minorHAnsi" w:eastAsiaTheme="minorEastAsia" w:hAnsiTheme="minorHAnsi" w:cstheme="minorBidi"/>
                <w:sz w:val="22"/>
                <w:szCs w:val="22"/>
              </w:rPr>
              <w:tab/>
            </w:r>
            <w:r w:rsidR="00D87338" w:rsidRPr="006C0CD6">
              <w:rPr>
                <w:rStyle w:val="Hypertextovodkaz"/>
              </w:rPr>
              <w:t>Neinvestiční transfery veřejným rozpočtům územní úrovně</w:t>
            </w:r>
            <w:r w:rsidR="00D87338">
              <w:rPr>
                <w:webHidden/>
              </w:rPr>
              <w:tab/>
            </w:r>
            <w:r w:rsidR="00D87338">
              <w:rPr>
                <w:webHidden/>
              </w:rPr>
              <w:fldChar w:fldCharType="begin"/>
            </w:r>
            <w:r w:rsidR="00D87338">
              <w:rPr>
                <w:webHidden/>
              </w:rPr>
              <w:instrText xml:space="preserve"> PAGEREF _Toc34286471 \h </w:instrText>
            </w:r>
            <w:r w:rsidR="00D87338">
              <w:rPr>
                <w:webHidden/>
              </w:rPr>
            </w:r>
            <w:r w:rsidR="00D87338">
              <w:rPr>
                <w:webHidden/>
              </w:rPr>
              <w:fldChar w:fldCharType="separate"/>
            </w:r>
            <w:r w:rsidR="00DF450F">
              <w:rPr>
                <w:webHidden/>
              </w:rPr>
              <w:t>58</w:t>
            </w:r>
            <w:r w:rsidR="00D87338">
              <w:rPr>
                <w:webHidden/>
              </w:rPr>
              <w:fldChar w:fldCharType="end"/>
            </w:r>
          </w:hyperlink>
        </w:p>
        <w:p w14:paraId="2161F57A" w14:textId="11DF510E" w:rsidR="00D87338" w:rsidRDefault="004B12F9">
          <w:pPr>
            <w:pStyle w:val="Obsah2"/>
            <w:rPr>
              <w:rFonts w:asciiTheme="minorHAnsi" w:eastAsiaTheme="minorEastAsia" w:hAnsiTheme="minorHAnsi" w:cstheme="minorBidi"/>
              <w:bCs w:val="0"/>
              <w:sz w:val="22"/>
              <w:szCs w:val="22"/>
            </w:rPr>
          </w:pPr>
          <w:hyperlink w:anchor="_Toc34286472" w:history="1">
            <w:r w:rsidR="00D87338" w:rsidRPr="006C0CD6">
              <w:rPr>
                <w:rStyle w:val="Hypertextovodkaz"/>
                <w14:scene3d>
                  <w14:camera w14:prst="orthographicFront"/>
                  <w14:lightRig w14:rig="threePt" w14:dir="t">
                    <w14:rot w14:lat="0" w14:lon="0" w14:rev="0"/>
                  </w14:lightRig>
                </w14:scene3d>
              </w:rPr>
              <w:t>3.3</w:t>
            </w:r>
            <w:r w:rsidR="00D87338">
              <w:rPr>
                <w:rFonts w:asciiTheme="minorHAnsi" w:eastAsiaTheme="minorEastAsia" w:hAnsiTheme="minorHAnsi" w:cstheme="minorBidi"/>
                <w:bCs w:val="0"/>
                <w:sz w:val="22"/>
                <w:szCs w:val="22"/>
              </w:rPr>
              <w:tab/>
            </w:r>
            <w:r w:rsidR="00D87338" w:rsidRPr="006C0CD6">
              <w:rPr>
                <w:rStyle w:val="Hypertextovodkaz"/>
              </w:rPr>
              <w:t>Kapitálové výdaje</w:t>
            </w:r>
            <w:r w:rsidR="00D87338">
              <w:rPr>
                <w:webHidden/>
              </w:rPr>
              <w:tab/>
            </w:r>
            <w:r w:rsidR="00D87338">
              <w:rPr>
                <w:webHidden/>
              </w:rPr>
              <w:fldChar w:fldCharType="begin"/>
            </w:r>
            <w:r w:rsidR="00D87338">
              <w:rPr>
                <w:webHidden/>
              </w:rPr>
              <w:instrText xml:space="preserve"> PAGEREF _Toc34286472 \h </w:instrText>
            </w:r>
            <w:r w:rsidR="00D87338">
              <w:rPr>
                <w:webHidden/>
              </w:rPr>
            </w:r>
            <w:r w:rsidR="00D87338">
              <w:rPr>
                <w:webHidden/>
              </w:rPr>
              <w:fldChar w:fldCharType="separate"/>
            </w:r>
            <w:r w:rsidR="00DF450F">
              <w:rPr>
                <w:webHidden/>
              </w:rPr>
              <w:t>61</w:t>
            </w:r>
            <w:r w:rsidR="00D87338">
              <w:rPr>
                <w:webHidden/>
              </w:rPr>
              <w:fldChar w:fldCharType="end"/>
            </w:r>
          </w:hyperlink>
        </w:p>
        <w:p w14:paraId="4613173F" w14:textId="776FA0AC" w:rsidR="00D87338" w:rsidRDefault="004B12F9">
          <w:pPr>
            <w:pStyle w:val="Obsah3"/>
            <w:rPr>
              <w:rFonts w:asciiTheme="minorHAnsi" w:eastAsiaTheme="minorEastAsia" w:hAnsiTheme="minorHAnsi" w:cstheme="minorBidi"/>
              <w:sz w:val="22"/>
              <w:szCs w:val="22"/>
            </w:rPr>
          </w:pPr>
          <w:hyperlink w:anchor="_Toc34286474" w:history="1">
            <w:r w:rsidR="00D87338" w:rsidRPr="006C0CD6">
              <w:rPr>
                <w:rStyle w:val="Hypertextovodkaz"/>
              </w:rPr>
              <w:t>3.3.1</w:t>
            </w:r>
            <w:r w:rsidR="00D87338">
              <w:rPr>
                <w:rFonts w:asciiTheme="minorHAnsi" w:eastAsiaTheme="minorEastAsia" w:hAnsiTheme="minorHAnsi" w:cstheme="minorBidi"/>
                <w:sz w:val="22"/>
                <w:szCs w:val="22"/>
              </w:rPr>
              <w:tab/>
            </w:r>
            <w:r w:rsidR="00D87338" w:rsidRPr="006C0CD6">
              <w:rPr>
                <w:rStyle w:val="Hypertextovodkaz"/>
              </w:rPr>
              <w:t>Investiční nákupy a související výdaje organizačních složek státu</w:t>
            </w:r>
            <w:r w:rsidR="00D87338">
              <w:rPr>
                <w:webHidden/>
              </w:rPr>
              <w:tab/>
            </w:r>
            <w:r w:rsidR="00D87338">
              <w:rPr>
                <w:webHidden/>
              </w:rPr>
              <w:fldChar w:fldCharType="begin"/>
            </w:r>
            <w:r w:rsidR="00D87338">
              <w:rPr>
                <w:webHidden/>
              </w:rPr>
              <w:instrText xml:space="preserve"> PAGEREF _Toc34286474 \h </w:instrText>
            </w:r>
            <w:r w:rsidR="00D87338">
              <w:rPr>
                <w:webHidden/>
              </w:rPr>
            </w:r>
            <w:r w:rsidR="00D87338">
              <w:rPr>
                <w:webHidden/>
              </w:rPr>
              <w:fldChar w:fldCharType="separate"/>
            </w:r>
            <w:r w:rsidR="00DF450F">
              <w:rPr>
                <w:webHidden/>
              </w:rPr>
              <w:t>65</w:t>
            </w:r>
            <w:r w:rsidR="00D87338">
              <w:rPr>
                <w:webHidden/>
              </w:rPr>
              <w:fldChar w:fldCharType="end"/>
            </w:r>
          </w:hyperlink>
        </w:p>
        <w:p w14:paraId="656FA221" w14:textId="47C21291" w:rsidR="00D87338" w:rsidRDefault="004B12F9">
          <w:pPr>
            <w:pStyle w:val="Obsah3"/>
            <w:rPr>
              <w:rFonts w:asciiTheme="minorHAnsi" w:eastAsiaTheme="minorEastAsia" w:hAnsiTheme="minorHAnsi" w:cstheme="minorBidi"/>
              <w:sz w:val="22"/>
              <w:szCs w:val="22"/>
            </w:rPr>
          </w:pPr>
          <w:hyperlink w:anchor="_Toc34286475" w:history="1">
            <w:r w:rsidR="00D87338" w:rsidRPr="006C0CD6">
              <w:rPr>
                <w:rStyle w:val="Hypertextovodkaz"/>
              </w:rPr>
              <w:t>3.3.2</w:t>
            </w:r>
            <w:r w:rsidR="00D87338">
              <w:rPr>
                <w:rFonts w:asciiTheme="minorHAnsi" w:eastAsiaTheme="minorEastAsia" w:hAnsiTheme="minorHAnsi" w:cstheme="minorBidi"/>
                <w:sz w:val="22"/>
                <w:szCs w:val="22"/>
              </w:rPr>
              <w:tab/>
            </w:r>
            <w:r w:rsidR="00D87338" w:rsidRPr="006C0CD6">
              <w:rPr>
                <w:rStyle w:val="Hypertextovodkaz"/>
              </w:rPr>
              <w:t>Investiční transfery zřízeným příspěvkovým organizacím</w:t>
            </w:r>
            <w:r w:rsidR="00D87338">
              <w:rPr>
                <w:webHidden/>
              </w:rPr>
              <w:tab/>
            </w:r>
            <w:r w:rsidR="00D87338">
              <w:rPr>
                <w:webHidden/>
              </w:rPr>
              <w:fldChar w:fldCharType="begin"/>
            </w:r>
            <w:r w:rsidR="00D87338">
              <w:rPr>
                <w:webHidden/>
              </w:rPr>
              <w:instrText xml:space="preserve"> PAGEREF _Toc34286475 \h </w:instrText>
            </w:r>
            <w:r w:rsidR="00D87338">
              <w:rPr>
                <w:webHidden/>
              </w:rPr>
            </w:r>
            <w:r w:rsidR="00D87338">
              <w:rPr>
                <w:webHidden/>
              </w:rPr>
              <w:fldChar w:fldCharType="separate"/>
            </w:r>
            <w:r w:rsidR="00DF450F">
              <w:rPr>
                <w:webHidden/>
              </w:rPr>
              <w:t>67</w:t>
            </w:r>
            <w:r w:rsidR="00D87338">
              <w:rPr>
                <w:webHidden/>
              </w:rPr>
              <w:fldChar w:fldCharType="end"/>
            </w:r>
          </w:hyperlink>
        </w:p>
        <w:p w14:paraId="06ABA874" w14:textId="247AE954" w:rsidR="00D87338" w:rsidRDefault="004B12F9">
          <w:pPr>
            <w:pStyle w:val="Obsah3"/>
            <w:rPr>
              <w:rFonts w:asciiTheme="minorHAnsi" w:eastAsiaTheme="minorEastAsia" w:hAnsiTheme="minorHAnsi" w:cstheme="minorBidi"/>
              <w:sz w:val="22"/>
              <w:szCs w:val="22"/>
            </w:rPr>
          </w:pPr>
          <w:hyperlink w:anchor="_Toc34286476" w:history="1">
            <w:r w:rsidR="00D87338" w:rsidRPr="006C0CD6">
              <w:rPr>
                <w:rStyle w:val="Hypertextovodkaz"/>
              </w:rPr>
              <w:t>3.3.3</w:t>
            </w:r>
            <w:r w:rsidR="00D87338">
              <w:rPr>
                <w:rFonts w:asciiTheme="minorHAnsi" w:eastAsiaTheme="minorEastAsia" w:hAnsiTheme="minorHAnsi" w:cstheme="minorBidi"/>
                <w:sz w:val="22"/>
                <w:szCs w:val="22"/>
              </w:rPr>
              <w:tab/>
            </w:r>
            <w:r w:rsidR="00D87338" w:rsidRPr="006C0CD6">
              <w:rPr>
                <w:rStyle w:val="Hypertextovodkaz"/>
              </w:rPr>
              <w:t>Investiční transfery ostatním příspěvkovým a podobným organizacím</w:t>
            </w:r>
            <w:r w:rsidR="00D87338">
              <w:rPr>
                <w:webHidden/>
              </w:rPr>
              <w:tab/>
            </w:r>
            <w:r w:rsidR="00D87338">
              <w:rPr>
                <w:webHidden/>
              </w:rPr>
              <w:fldChar w:fldCharType="begin"/>
            </w:r>
            <w:r w:rsidR="00D87338">
              <w:rPr>
                <w:webHidden/>
              </w:rPr>
              <w:instrText xml:space="preserve"> PAGEREF _Toc34286476 \h </w:instrText>
            </w:r>
            <w:r w:rsidR="00D87338">
              <w:rPr>
                <w:webHidden/>
              </w:rPr>
            </w:r>
            <w:r w:rsidR="00D87338">
              <w:rPr>
                <w:webHidden/>
              </w:rPr>
              <w:fldChar w:fldCharType="separate"/>
            </w:r>
            <w:r w:rsidR="00DF450F">
              <w:rPr>
                <w:webHidden/>
              </w:rPr>
              <w:t>68</w:t>
            </w:r>
            <w:r w:rsidR="00D87338">
              <w:rPr>
                <w:webHidden/>
              </w:rPr>
              <w:fldChar w:fldCharType="end"/>
            </w:r>
          </w:hyperlink>
        </w:p>
        <w:p w14:paraId="026A232A" w14:textId="6E0354D7" w:rsidR="00D87338" w:rsidRDefault="004B12F9">
          <w:pPr>
            <w:pStyle w:val="Obsah3"/>
            <w:rPr>
              <w:rFonts w:asciiTheme="minorHAnsi" w:eastAsiaTheme="minorEastAsia" w:hAnsiTheme="minorHAnsi" w:cstheme="minorBidi"/>
              <w:sz w:val="22"/>
              <w:szCs w:val="22"/>
            </w:rPr>
          </w:pPr>
          <w:hyperlink w:anchor="_Toc34286477" w:history="1">
            <w:r w:rsidR="00D87338" w:rsidRPr="006C0CD6">
              <w:rPr>
                <w:rStyle w:val="Hypertextovodkaz"/>
              </w:rPr>
              <w:t>3.3.4</w:t>
            </w:r>
            <w:r w:rsidR="00D87338">
              <w:rPr>
                <w:rFonts w:asciiTheme="minorHAnsi" w:eastAsiaTheme="minorEastAsia" w:hAnsiTheme="minorHAnsi" w:cstheme="minorBidi"/>
                <w:sz w:val="22"/>
                <w:szCs w:val="22"/>
              </w:rPr>
              <w:tab/>
            </w:r>
            <w:r w:rsidR="00D87338" w:rsidRPr="006C0CD6">
              <w:rPr>
                <w:rStyle w:val="Hypertextovodkaz"/>
              </w:rPr>
              <w:t>Investiční transfery veřejným rozpočtům územní úrovně</w:t>
            </w:r>
            <w:r w:rsidR="00D87338">
              <w:rPr>
                <w:webHidden/>
              </w:rPr>
              <w:tab/>
            </w:r>
            <w:r w:rsidR="00D87338">
              <w:rPr>
                <w:webHidden/>
              </w:rPr>
              <w:fldChar w:fldCharType="begin"/>
            </w:r>
            <w:r w:rsidR="00D87338">
              <w:rPr>
                <w:webHidden/>
              </w:rPr>
              <w:instrText xml:space="preserve"> PAGEREF _Toc34286477 \h </w:instrText>
            </w:r>
            <w:r w:rsidR="00D87338">
              <w:rPr>
                <w:webHidden/>
              </w:rPr>
            </w:r>
            <w:r w:rsidR="00D87338">
              <w:rPr>
                <w:webHidden/>
              </w:rPr>
              <w:fldChar w:fldCharType="separate"/>
            </w:r>
            <w:r w:rsidR="00DF450F">
              <w:rPr>
                <w:webHidden/>
              </w:rPr>
              <w:t>69</w:t>
            </w:r>
            <w:r w:rsidR="00D87338">
              <w:rPr>
                <w:webHidden/>
              </w:rPr>
              <w:fldChar w:fldCharType="end"/>
            </w:r>
          </w:hyperlink>
        </w:p>
        <w:p w14:paraId="3CD3BE80" w14:textId="2F12DB81" w:rsidR="00D87338" w:rsidRDefault="004B12F9">
          <w:pPr>
            <w:pStyle w:val="Obsah3"/>
            <w:rPr>
              <w:rFonts w:asciiTheme="minorHAnsi" w:eastAsiaTheme="minorEastAsia" w:hAnsiTheme="minorHAnsi" w:cstheme="minorBidi"/>
              <w:sz w:val="22"/>
              <w:szCs w:val="22"/>
            </w:rPr>
          </w:pPr>
          <w:hyperlink w:anchor="_Toc34286478" w:history="1">
            <w:r w:rsidR="00D87338" w:rsidRPr="006C0CD6">
              <w:rPr>
                <w:rStyle w:val="Hypertextovodkaz"/>
              </w:rPr>
              <w:t>3.3.5</w:t>
            </w:r>
            <w:r w:rsidR="00D87338">
              <w:rPr>
                <w:rFonts w:asciiTheme="minorHAnsi" w:eastAsiaTheme="minorEastAsia" w:hAnsiTheme="minorHAnsi" w:cstheme="minorBidi"/>
                <w:sz w:val="22"/>
                <w:szCs w:val="22"/>
              </w:rPr>
              <w:tab/>
            </w:r>
            <w:r w:rsidR="00D87338" w:rsidRPr="006C0CD6">
              <w:rPr>
                <w:rStyle w:val="Hypertextovodkaz"/>
              </w:rPr>
              <w:t>Investiční transfery podnikatelským subjektům</w:t>
            </w:r>
            <w:r w:rsidR="00D87338">
              <w:rPr>
                <w:webHidden/>
              </w:rPr>
              <w:tab/>
            </w:r>
            <w:r w:rsidR="00D87338">
              <w:rPr>
                <w:webHidden/>
              </w:rPr>
              <w:fldChar w:fldCharType="begin"/>
            </w:r>
            <w:r w:rsidR="00D87338">
              <w:rPr>
                <w:webHidden/>
              </w:rPr>
              <w:instrText xml:space="preserve"> PAGEREF _Toc34286478 \h </w:instrText>
            </w:r>
            <w:r w:rsidR="00D87338">
              <w:rPr>
                <w:webHidden/>
              </w:rPr>
            </w:r>
            <w:r w:rsidR="00D87338">
              <w:rPr>
                <w:webHidden/>
              </w:rPr>
              <w:fldChar w:fldCharType="separate"/>
            </w:r>
            <w:r w:rsidR="00DF450F">
              <w:rPr>
                <w:webHidden/>
              </w:rPr>
              <w:t>70</w:t>
            </w:r>
            <w:r w:rsidR="00D87338">
              <w:rPr>
                <w:webHidden/>
              </w:rPr>
              <w:fldChar w:fldCharType="end"/>
            </w:r>
          </w:hyperlink>
        </w:p>
        <w:p w14:paraId="22400FD8" w14:textId="00ED6DCD" w:rsidR="00D87338" w:rsidRDefault="004B12F9">
          <w:pPr>
            <w:pStyle w:val="Obsah3"/>
            <w:rPr>
              <w:rFonts w:asciiTheme="minorHAnsi" w:eastAsiaTheme="minorEastAsia" w:hAnsiTheme="minorHAnsi" w:cstheme="minorBidi"/>
              <w:sz w:val="22"/>
              <w:szCs w:val="22"/>
            </w:rPr>
          </w:pPr>
          <w:hyperlink w:anchor="_Toc34286479" w:history="1">
            <w:r w:rsidR="00D87338" w:rsidRPr="006C0CD6">
              <w:rPr>
                <w:rStyle w:val="Hypertextovodkaz"/>
              </w:rPr>
              <w:t>3.3.6</w:t>
            </w:r>
            <w:r w:rsidR="00D87338">
              <w:rPr>
                <w:rFonts w:asciiTheme="minorHAnsi" w:eastAsiaTheme="minorEastAsia" w:hAnsiTheme="minorHAnsi" w:cstheme="minorBidi"/>
                <w:sz w:val="22"/>
                <w:szCs w:val="22"/>
              </w:rPr>
              <w:tab/>
            </w:r>
            <w:r w:rsidR="00D87338" w:rsidRPr="006C0CD6">
              <w:rPr>
                <w:rStyle w:val="Hypertextovodkaz"/>
              </w:rPr>
              <w:t>Investiční transfery státním fondům</w:t>
            </w:r>
            <w:r w:rsidR="00D87338">
              <w:rPr>
                <w:webHidden/>
              </w:rPr>
              <w:tab/>
            </w:r>
            <w:r w:rsidR="00D87338">
              <w:rPr>
                <w:webHidden/>
              </w:rPr>
              <w:fldChar w:fldCharType="begin"/>
            </w:r>
            <w:r w:rsidR="00D87338">
              <w:rPr>
                <w:webHidden/>
              </w:rPr>
              <w:instrText xml:space="preserve"> PAGEREF _Toc34286479 \h </w:instrText>
            </w:r>
            <w:r w:rsidR="00D87338">
              <w:rPr>
                <w:webHidden/>
              </w:rPr>
            </w:r>
            <w:r w:rsidR="00D87338">
              <w:rPr>
                <w:webHidden/>
              </w:rPr>
              <w:fldChar w:fldCharType="separate"/>
            </w:r>
            <w:r w:rsidR="00DF450F">
              <w:rPr>
                <w:webHidden/>
              </w:rPr>
              <w:t>71</w:t>
            </w:r>
            <w:r w:rsidR="00D87338">
              <w:rPr>
                <w:webHidden/>
              </w:rPr>
              <w:fldChar w:fldCharType="end"/>
            </w:r>
          </w:hyperlink>
        </w:p>
        <w:p w14:paraId="0EAC85B2" w14:textId="44D64344" w:rsidR="00D87338" w:rsidRDefault="004B12F9">
          <w:pPr>
            <w:pStyle w:val="Obsah3"/>
            <w:rPr>
              <w:rFonts w:asciiTheme="minorHAnsi" w:eastAsiaTheme="minorEastAsia" w:hAnsiTheme="minorHAnsi" w:cstheme="minorBidi"/>
              <w:sz w:val="22"/>
              <w:szCs w:val="22"/>
            </w:rPr>
          </w:pPr>
          <w:hyperlink w:anchor="_Toc34286480" w:history="1">
            <w:r w:rsidR="00D87338" w:rsidRPr="006C0CD6">
              <w:rPr>
                <w:rStyle w:val="Hypertextovodkaz"/>
              </w:rPr>
              <w:t>3.3.7</w:t>
            </w:r>
            <w:r w:rsidR="00D87338">
              <w:rPr>
                <w:rFonts w:asciiTheme="minorHAnsi" w:eastAsiaTheme="minorEastAsia" w:hAnsiTheme="minorHAnsi" w:cstheme="minorBidi"/>
                <w:sz w:val="22"/>
                <w:szCs w:val="22"/>
              </w:rPr>
              <w:tab/>
            </w:r>
            <w:r w:rsidR="00D87338" w:rsidRPr="006C0CD6">
              <w:rPr>
                <w:rStyle w:val="Hypertextovodkaz"/>
              </w:rPr>
              <w:t>Přehled programů zařazených v informačním systému financování programů reprodukce majetku (EDS/SMVS) – s účastí státního rozpočtu</w:t>
            </w:r>
            <w:r w:rsidR="00D87338">
              <w:rPr>
                <w:webHidden/>
              </w:rPr>
              <w:tab/>
            </w:r>
            <w:r w:rsidR="00D87338">
              <w:rPr>
                <w:webHidden/>
              </w:rPr>
              <w:fldChar w:fldCharType="begin"/>
            </w:r>
            <w:r w:rsidR="00D87338">
              <w:rPr>
                <w:webHidden/>
              </w:rPr>
              <w:instrText xml:space="preserve"> PAGEREF _Toc34286480 \h </w:instrText>
            </w:r>
            <w:r w:rsidR="00D87338">
              <w:rPr>
                <w:webHidden/>
              </w:rPr>
            </w:r>
            <w:r w:rsidR="00D87338">
              <w:rPr>
                <w:webHidden/>
              </w:rPr>
              <w:fldChar w:fldCharType="separate"/>
            </w:r>
            <w:r w:rsidR="00DF450F">
              <w:rPr>
                <w:webHidden/>
              </w:rPr>
              <w:t>73</w:t>
            </w:r>
            <w:r w:rsidR="00D87338">
              <w:rPr>
                <w:webHidden/>
              </w:rPr>
              <w:fldChar w:fldCharType="end"/>
            </w:r>
          </w:hyperlink>
        </w:p>
        <w:p w14:paraId="0B91C84C" w14:textId="14DAC839" w:rsidR="00D87338" w:rsidRDefault="004B12F9">
          <w:pPr>
            <w:pStyle w:val="Obsah2"/>
            <w:rPr>
              <w:rFonts w:asciiTheme="minorHAnsi" w:eastAsiaTheme="minorEastAsia" w:hAnsiTheme="minorHAnsi" w:cstheme="minorBidi"/>
              <w:bCs w:val="0"/>
              <w:sz w:val="22"/>
              <w:szCs w:val="22"/>
            </w:rPr>
          </w:pPr>
          <w:hyperlink w:anchor="_Toc34286481" w:history="1">
            <w:r w:rsidR="00D87338" w:rsidRPr="006C0CD6">
              <w:rPr>
                <w:rStyle w:val="Hypertextovodkaz"/>
                <w14:scene3d>
                  <w14:camera w14:prst="orthographicFront"/>
                  <w14:lightRig w14:rig="threePt" w14:dir="t">
                    <w14:rot w14:lat="0" w14:lon="0" w14:rev="0"/>
                  </w14:lightRig>
                </w14:scene3d>
              </w:rPr>
              <w:t>3.4</w:t>
            </w:r>
            <w:r w:rsidR="00D87338">
              <w:rPr>
                <w:rFonts w:asciiTheme="minorHAnsi" w:eastAsiaTheme="minorEastAsia" w:hAnsiTheme="minorHAnsi" w:cstheme="minorBidi"/>
                <w:bCs w:val="0"/>
                <w:sz w:val="22"/>
                <w:szCs w:val="22"/>
              </w:rPr>
              <w:tab/>
            </w:r>
            <w:r w:rsidR="00D87338" w:rsidRPr="006C0CD6">
              <w:rPr>
                <w:rStyle w:val="Hypertextovodkaz"/>
              </w:rPr>
              <w:t>Výdaje na Public Private Partnership</w:t>
            </w:r>
            <w:r w:rsidR="00D87338">
              <w:rPr>
                <w:webHidden/>
              </w:rPr>
              <w:tab/>
            </w:r>
            <w:r w:rsidR="00D87338">
              <w:rPr>
                <w:webHidden/>
              </w:rPr>
              <w:fldChar w:fldCharType="begin"/>
            </w:r>
            <w:r w:rsidR="00D87338">
              <w:rPr>
                <w:webHidden/>
              </w:rPr>
              <w:instrText xml:space="preserve"> PAGEREF _Toc34286481 \h </w:instrText>
            </w:r>
            <w:r w:rsidR="00D87338">
              <w:rPr>
                <w:webHidden/>
              </w:rPr>
            </w:r>
            <w:r w:rsidR="00D87338">
              <w:rPr>
                <w:webHidden/>
              </w:rPr>
              <w:fldChar w:fldCharType="separate"/>
            </w:r>
            <w:r w:rsidR="00DF450F">
              <w:rPr>
                <w:webHidden/>
              </w:rPr>
              <w:t>79</w:t>
            </w:r>
            <w:r w:rsidR="00D87338">
              <w:rPr>
                <w:webHidden/>
              </w:rPr>
              <w:fldChar w:fldCharType="end"/>
            </w:r>
          </w:hyperlink>
        </w:p>
        <w:p w14:paraId="72BDBBC9" w14:textId="3987C70E" w:rsidR="00D87338" w:rsidRDefault="004B12F9">
          <w:pPr>
            <w:pStyle w:val="Obsah2"/>
            <w:rPr>
              <w:rFonts w:asciiTheme="minorHAnsi" w:eastAsiaTheme="minorEastAsia" w:hAnsiTheme="minorHAnsi" w:cstheme="minorBidi"/>
              <w:bCs w:val="0"/>
              <w:sz w:val="22"/>
              <w:szCs w:val="22"/>
            </w:rPr>
          </w:pPr>
          <w:hyperlink w:anchor="_Toc34286482" w:history="1">
            <w:r w:rsidR="00D87338" w:rsidRPr="006C0CD6">
              <w:rPr>
                <w:rStyle w:val="Hypertextovodkaz"/>
                <w14:scene3d>
                  <w14:camera w14:prst="orthographicFront"/>
                  <w14:lightRig w14:rig="threePt" w14:dir="t">
                    <w14:rot w14:lat="0" w14:lon="0" w14:rev="0"/>
                  </w14:lightRig>
                </w14:scene3d>
              </w:rPr>
              <w:t>3.5</w:t>
            </w:r>
            <w:r w:rsidR="00D87338">
              <w:rPr>
                <w:rFonts w:asciiTheme="minorHAnsi" w:eastAsiaTheme="minorEastAsia" w:hAnsiTheme="minorHAnsi" w:cstheme="minorBidi"/>
                <w:bCs w:val="0"/>
                <w:sz w:val="22"/>
                <w:szCs w:val="22"/>
              </w:rPr>
              <w:tab/>
            </w:r>
            <w:r w:rsidR="00D87338" w:rsidRPr="006C0CD6">
              <w:rPr>
                <w:rStyle w:val="Hypertextovodkaz"/>
              </w:rPr>
              <w:t>Výdaje vyplývající z veřejných zakázek o předpokl</w:t>
            </w:r>
            <w:r w:rsidR="00A77FF4">
              <w:rPr>
                <w:rStyle w:val="Hypertextovodkaz"/>
              </w:rPr>
              <w:t>.</w:t>
            </w:r>
            <w:r w:rsidR="00D87338" w:rsidRPr="006C0CD6">
              <w:rPr>
                <w:rStyle w:val="Hypertextovodkaz"/>
              </w:rPr>
              <w:t xml:space="preserve"> hodnotě nejméně  300 mil. Kč</w:t>
            </w:r>
            <w:r w:rsidR="00D87338">
              <w:rPr>
                <w:webHidden/>
              </w:rPr>
              <w:tab/>
            </w:r>
            <w:r w:rsidR="00D87338">
              <w:rPr>
                <w:webHidden/>
              </w:rPr>
              <w:fldChar w:fldCharType="begin"/>
            </w:r>
            <w:r w:rsidR="00D87338">
              <w:rPr>
                <w:webHidden/>
              </w:rPr>
              <w:instrText xml:space="preserve"> PAGEREF _Toc34286482 \h </w:instrText>
            </w:r>
            <w:r w:rsidR="00D87338">
              <w:rPr>
                <w:webHidden/>
              </w:rPr>
            </w:r>
            <w:r w:rsidR="00D87338">
              <w:rPr>
                <w:webHidden/>
              </w:rPr>
              <w:fldChar w:fldCharType="separate"/>
            </w:r>
            <w:r w:rsidR="00DF450F">
              <w:rPr>
                <w:webHidden/>
              </w:rPr>
              <w:t>79</w:t>
            </w:r>
            <w:r w:rsidR="00D87338">
              <w:rPr>
                <w:webHidden/>
              </w:rPr>
              <w:fldChar w:fldCharType="end"/>
            </w:r>
          </w:hyperlink>
        </w:p>
        <w:p w14:paraId="73DA065A" w14:textId="0644EA7C" w:rsidR="00D87338" w:rsidRDefault="004B12F9">
          <w:pPr>
            <w:pStyle w:val="Obsah2"/>
            <w:rPr>
              <w:rFonts w:asciiTheme="minorHAnsi" w:eastAsiaTheme="minorEastAsia" w:hAnsiTheme="minorHAnsi" w:cstheme="minorBidi"/>
              <w:bCs w:val="0"/>
              <w:sz w:val="22"/>
              <w:szCs w:val="22"/>
            </w:rPr>
          </w:pPr>
          <w:hyperlink w:anchor="_Toc34286483" w:history="1">
            <w:r w:rsidR="00D87338" w:rsidRPr="006C0CD6">
              <w:rPr>
                <w:rStyle w:val="Hypertextovodkaz"/>
                <w14:scene3d>
                  <w14:camera w14:prst="orthographicFront"/>
                  <w14:lightRig w14:rig="threePt" w14:dir="t">
                    <w14:rot w14:lat="0" w14:lon="0" w14:rev="0"/>
                  </w14:lightRig>
                </w14:scene3d>
              </w:rPr>
              <w:t>3.6</w:t>
            </w:r>
            <w:r w:rsidR="00D87338">
              <w:rPr>
                <w:rFonts w:asciiTheme="minorHAnsi" w:eastAsiaTheme="minorEastAsia" w:hAnsiTheme="minorHAnsi" w:cstheme="minorBidi"/>
                <w:bCs w:val="0"/>
                <w:sz w:val="22"/>
                <w:szCs w:val="22"/>
              </w:rPr>
              <w:tab/>
            </w:r>
            <w:r w:rsidR="00D87338" w:rsidRPr="006C0CD6">
              <w:rPr>
                <w:rStyle w:val="Hypertextovodkaz"/>
              </w:rPr>
              <w:t>Majetkové účasti státu v tuzemských společnostech</w:t>
            </w:r>
            <w:r w:rsidR="00D87338">
              <w:rPr>
                <w:webHidden/>
              </w:rPr>
              <w:tab/>
            </w:r>
            <w:r w:rsidR="00D87338">
              <w:rPr>
                <w:webHidden/>
              </w:rPr>
              <w:fldChar w:fldCharType="begin"/>
            </w:r>
            <w:r w:rsidR="00D87338">
              <w:rPr>
                <w:webHidden/>
              </w:rPr>
              <w:instrText xml:space="preserve"> PAGEREF _Toc34286483 \h </w:instrText>
            </w:r>
            <w:r w:rsidR="00D87338">
              <w:rPr>
                <w:webHidden/>
              </w:rPr>
            </w:r>
            <w:r w:rsidR="00D87338">
              <w:rPr>
                <w:webHidden/>
              </w:rPr>
              <w:fldChar w:fldCharType="separate"/>
            </w:r>
            <w:r w:rsidR="00DF450F">
              <w:rPr>
                <w:webHidden/>
              </w:rPr>
              <w:t>81</w:t>
            </w:r>
            <w:r w:rsidR="00D87338">
              <w:rPr>
                <w:webHidden/>
              </w:rPr>
              <w:fldChar w:fldCharType="end"/>
            </w:r>
          </w:hyperlink>
        </w:p>
        <w:p w14:paraId="0E32A01C" w14:textId="7EC0B4B1" w:rsidR="00D87338" w:rsidRDefault="004B12F9">
          <w:pPr>
            <w:pStyle w:val="Obsah2"/>
            <w:rPr>
              <w:rFonts w:asciiTheme="minorHAnsi" w:eastAsiaTheme="minorEastAsia" w:hAnsiTheme="minorHAnsi" w:cstheme="minorBidi"/>
              <w:bCs w:val="0"/>
              <w:sz w:val="22"/>
              <w:szCs w:val="22"/>
            </w:rPr>
          </w:pPr>
          <w:hyperlink w:anchor="_Toc34286484" w:history="1">
            <w:r w:rsidR="00D87338" w:rsidRPr="006C0CD6">
              <w:rPr>
                <w:rStyle w:val="Hypertextovodkaz"/>
                <w14:scene3d>
                  <w14:camera w14:prst="orthographicFront"/>
                  <w14:lightRig w14:rig="threePt" w14:dir="t">
                    <w14:rot w14:lat="0" w14:lon="0" w14:rev="0"/>
                  </w14:lightRig>
                </w14:scene3d>
              </w:rPr>
              <w:t>3.7</w:t>
            </w:r>
            <w:r w:rsidR="00D87338">
              <w:rPr>
                <w:rFonts w:asciiTheme="minorHAnsi" w:eastAsiaTheme="minorEastAsia" w:hAnsiTheme="minorHAnsi" w:cstheme="minorBidi"/>
                <w:bCs w:val="0"/>
                <w:sz w:val="22"/>
                <w:szCs w:val="22"/>
              </w:rPr>
              <w:tab/>
            </w:r>
            <w:r w:rsidR="00D87338" w:rsidRPr="006C0CD6">
              <w:rPr>
                <w:rStyle w:val="Hypertextovodkaz"/>
              </w:rPr>
              <w:t>Likvidace státních podniků</w:t>
            </w:r>
            <w:r w:rsidR="00D87338">
              <w:rPr>
                <w:webHidden/>
              </w:rPr>
              <w:tab/>
            </w:r>
            <w:r w:rsidR="00D87338">
              <w:rPr>
                <w:webHidden/>
              </w:rPr>
              <w:fldChar w:fldCharType="begin"/>
            </w:r>
            <w:r w:rsidR="00D87338">
              <w:rPr>
                <w:webHidden/>
              </w:rPr>
              <w:instrText xml:space="preserve"> PAGEREF _Toc34286484 \h </w:instrText>
            </w:r>
            <w:r w:rsidR="00D87338">
              <w:rPr>
                <w:webHidden/>
              </w:rPr>
            </w:r>
            <w:r w:rsidR="00D87338">
              <w:rPr>
                <w:webHidden/>
              </w:rPr>
              <w:fldChar w:fldCharType="separate"/>
            </w:r>
            <w:r w:rsidR="00DF450F">
              <w:rPr>
                <w:webHidden/>
              </w:rPr>
              <w:t>82</w:t>
            </w:r>
            <w:r w:rsidR="00D87338">
              <w:rPr>
                <w:webHidden/>
              </w:rPr>
              <w:fldChar w:fldCharType="end"/>
            </w:r>
          </w:hyperlink>
        </w:p>
        <w:p w14:paraId="47351DED" w14:textId="6A9CFF1C" w:rsidR="00D87338" w:rsidRDefault="004B12F9">
          <w:pPr>
            <w:pStyle w:val="Obsah2"/>
            <w:rPr>
              <w:rFonts w:asciiTheme="minorHAnsi" w:eastAsiaTheme="minorEastAsia" w:hAnsiTheme="minorHAnsi" w:cstheme="minorBidi"/>
              <w:bCs w:val="0"/>
              <w:sz w:val="22"/>
              <w:szCs w:val="22"/>
            </w:rPr>
          </w:pPr>
          <w:hyperlink w:anchor="_Toc34286485" w:history="1">
            <w:r w:rsidR="00D87338" w:rsidRPr="006C0CD6">
              <w:rPr>
                <w:rStyle w:val="Hypertextovodkaz"/>
                <w14:scene3d>
                  <w14:camera w14:prst="orthographicFront"/>
                  <w14:lightRig w14:rig="threePt" w14:dir="t">
                    <w14:rot w14:lat="0" w14:lon="0" w14:rev="0"/>
                  </w14:lightRig>
                </w14:scene3d>
              </w:rPr>
              <w:t>3.8</w:t>
            </w:r>
            <w:r w:rsidR="00D87338">
              <w:rPr>
                <w:rFonts w:asciiTheme="minorHAnsi" w:eastAsiaTheme="minorEastAsia" w:hAnsiTheme="minorHAnsi" w:cstheme="minorBidi"/>
                <w:bCs w:val="0"/>
                <w:sz w:val="22"/>
                <w:szCs w:val="22"/>
              </w:rPr>
              <w:tab/>
            </w:r>
            <w:r w:rsidR="00D87338" w:rsidRPr="006C0CD6">
              <w:rPr>
                <w:rStyle w:val="Hypertextovodkaz"/>
              </w:rPr>
              <w:t>Bezúplatné převody majetku</w:t>
            </w:r>
            <w:r w:rsidR="00D87338">
              <w:rPr>
                <w:webHidden/>
              </w:rPr>
              <w:tab/>
            </w:r>
            <w:r w:rsidR="00D87338">
              <w:rPr>
                <w:webHidden/>
              </w:rPr>
              <w:fldChar w:fldCharType="begin"/>
            </w:r>
            <w:r w:rsidR="00D87338">
              <w:rPr>
                <w:webHidden/>
              </w:rPr>
              <w:instrText xml:space="preserve"> PAGEREF _Toc34286485 \h </w:instrText>
            </w:r>
            <w:r w:rsidR="00D87338">
              <w:rPr>
                <w:webHidden/>
              </w:rPr>
            </w:r>
            <w:r w:rsidR="00D87338">
              <w:rPr>
                <w:webHidden/>
              </w:rPr>
              <w:fldChar w:fldCharType="separate"/>
            </w:r>
            <w:r w:rsidR="00DF450F">
              <w:rPr>
                <w:webHidden/>
              </w:rPr>
              <w:t>82</w:t>
            </w:r>
            <w:r w:rsidR="00D87338">
              <w:rPr>
                <w:webHidden/>
              </w:rPr>
              <w:fldChar w:fldCharType="end"/>
            </w:r>
          </w:hyperlink>
        </w:p>
        <w:p w14:paraId="5BC9D913" w14:textId="5B817EBA" w:rsidR="00D87338" w:rsidRDefault="004B12F9">
          <w:pPr>
            <w:pStyle w:val="Obsah1"/>
            <w:rPr>
              <w:rFonts w:asciiTheme="minorHAnsi" w:eastAsiaTheme="minorEastAsia" w:hAnsiTheme="minorHAnsi" w:cstheme="minorBidi"/>
              <w:sz w:val="22"/>
              <w:szCs w:val="22"/>
            </w:rPr>
          </w:pPr>
          <w:hyperlink w:anchor="_Toc34286486" w:history="1">
            <w:r w:rsidR="00D87338" w:rsidRPr="006C0CD6">
              <w:rPr>
                <w:rStyle w:val="Hypertextovodkaz"/>
              </w:rPr>
              <w:t>4</w:t>
            </w:r>
            <w:r w:rsidR="00D87338">
              <w:rPr>
                <w:rFonts w:asciiTheme="minorHAnsi" w:eastAsiaTheme="minorEastAsia" w:hAnsiTheme="minorHAnsi" w:cstheme="minorBidi"/>
                <w:sz w:val="22"/>
                <w:szCs w:val="22"/>
              </w:rPr>
              <w:tab/>
            </w:r>
            <w:r w:rsidR="00D87338" w:rsidRPr="006C0CD6">
              <w:rPr>
                <w:rStyle w:val="Hypertextovodkaz"/>
              </w:rPr>
              <w:t>Výdaje na výzkum, vývoj a inovace</w:t>
            </w:r>
            <w:r w:rsidR="00D87338">
              <w:rPr>
                <w:webHidden/>
              </w:rPr>
              <w:tab/>
            </w:r>
            <w:r w:rsidR="00D87338">
              <w:rPr>
                <w:webHidden/>
              </w:rPr>
              <w:fldChar w:fldCharType="begin"/>
            </w:r>
            <w:r w:rsidR="00D87338">
              <w:rPr>
                <w:webHidden/>
              </w:rPr>
              <w:instrText xml:space="preserve"> PAGEREF _Toc34286486 \h </w:instrText>
            </w:r>
            <w:r w:rsidR="00D87338">
              <w:rPr>
                <w:webHidden/>
              </w:rPr>
            </w:r>
            <w:r w:rsidR="00D87338">
              <w:rPr>
                <w:webHidden/>
              </w:rPr>
              <w:fldChar w:fldCharType="separate"/>
            </w:r>
            <w:r w:rsidR="00DF450F">
              <w:rPr>
                <w:webHidden/>
              </w:rPr>
              <w:t>83</w:t>
            </w:r>
            <w:r w:rsidR="00D87338">
              <w:rPr>
                <w:webHidden/>
              </w:rPr>
              <w:fldChar w:fldCharType="end"/>
            </w:r>
          </w:hyperlink>
        </w:p>
        <w:p w14:paraId="69998EC8" w14:textId="7C992813" w:rsidR="00D87338" w:rsidRDefault="004B12F9">
          <w:pPr>
            <w:pStyle w:val="Obsah1"/>
            <w:rPr>
              <w:rFonts w:asciiTheme="minorHAnsi" w:eastAsiaTheme="minorEastAsia" w:hAnsiTheme="minorHAnsi" w:cstheme="minorBidi"/>
              <w:sz w:val="22"/>
              <w:szCs w:val="22"/>
            </w:rPr>
          </w:pPr>
          <w:hyperlink w:anchor="_Toc34286487" w:history="1">
            <w:r w:rsidR="00D87338" w:rsidRPr="006C0CD6">
              <w:rPr>
                <w:rStyle w:val="Hypertextovodkaz"/>
              </w:rPr>
              <w:t>5</w:t>
            </w:r>
            <w:r w:rsidR="00D87338">
              <w:rPr>
                <w:rFonts w:asciiTheme="minorHAnsi" w:eastAsiaTheme="minorEastAsia" w:hAnsiTheme="minorHAnsi" w:cstheme="minorBidi"/>
                <w:sz w:val="22"/>
                <w:szCs w:val="22"/>
              </w:rPr>
              <w:tab/>
            </w:r>
            <w:r w:rsidR="00D87338" w:rsidRPr="006C0CD6">
              <w:rPr>
                <w:rStyle w:val="Hypertextovodkaz"/>
              </w:rPr>
              <w:t>Čerpání finančních prostředků fondů Evropské unie</w:t>
            </w:r>
            <w:r w:rsidR="00D87338">
              <w:rPr>
                <w:webHidden/>
              </w:rPr>
              <w:tab/>
            </w:r>
            <w:r w:rsidR="00D87338">
              <w:rPr>
                <w:webHidden/>
              </w:rPr>
              <w:fldChar w:fldCharType="begin"/>
            </w:r>
            <w:r w:rsidR="00D87338">
              <w:rPr>
                <w:webHidden/>
              </w:rPr>
              <w:instrText xml:space="preserve"> PAGEREF _Toc34286487 \h </w:instrText>
            </w:r>
            <w:r w:rsidR="00D87338">
              <w:rPr>
                <w:webHidden/>
              </w:rPr>
            </w:r>
            <w:r w:rsidR="00D87338">
              <w:rPr>
                <w:webHidden/>
              </w:rPr>
              <w:fldChar w:fldCharType="separate"/>
            </w:r>
            <w:r w:rsidR="00DF450F">
              <w:rPr>
                <w:webHidden/>
              </w:rPr>
              <w:t>86</w:t>
            </w:r>
            <w:r w:rsidR="00D87338">
              <w:rPr>
                <w:webHidden/>
              </w:rPr>
              <w:fldChar w:fldCharType="end"/>
            </w:r>
          </w:hyperlink>
        </w:p>
        <w:p w14:paraId="4307898A" w14:textId="09AE7087" w:rsidR="00D87338" w:rsidRDefault="004B12F9">
          <w:pPr>
            <w:pStyle w:val="Obsah2"/>
            <w:rPr>
              <w:rFonts w:asciiTheme="minorHAnsi" w:eastAsiaTheme="minorEastAsia" w:hAnsiTheme="minorHAnsi" w:cstheme="minorBidi"/>
              <w:bCs w:val="0"/>
              <w:sz w:val="22"/>
              <w:szCs w:val="22"/>
            </w:rPr>
          </w:pPr>
          <w:hyperlink w:anchor="_Toc34286490" w:history="1">
            <w:r w:rsidR="00D87338" w:rsidRPr="006C0CD6">
              <w:rPr>
                <w:rStyle w:val="Hypertextovodkaz"/>
                <w14:scene3d>
                  <w14:camera w14:prst="orthographicFront"/>
                  <w14:lightRig w14:rig="threePt" w14:dir="t">
                    <w14:rot w14:lat="0" w14:lon="0" w14:rev="0"/>
                  </w14:lightRig>
                </w14:scene3d>
              </w:rPr>
              <w:t>5.1</w:t>
            </w:r>
            <w:r w:rsidR="00D87338">
              <w:rPr>
                <w:rFonts w:asciiTheme="minorHAnsi" w:eastAsiaTheme="minorEastAsia" w:hAnsiTheme="minorHAnsi" w:cstheme="minorBidi"/>
                <w:bCs w:val="0"/>
                <w:sz w:val="22"/>
                <w:szCs w:val="22"/>
              </w:rPr>
              <w:tab/>
            </w:r>
            <w:r w:rsidR="00D87338" w:rsidRPr="006C0CD6">
              <w:rPr>
                <w:rStyle w:val="Hypertextovodkaz"/>
              </w:rPr>
              <w:t>Operační program Infrastruktura</w:t>
            </w:r>
            <w:r w:rsidR="00D87338">
              <w:rPr>
                <w:webHidden/>
              </w:rPr>
              <w:tab/>
            </w:r>
            <w:r w:rsidR="00D87338">
              <w:rPr>
                <w:webHidden/>
              </w:rPr>
              <w:fldChar w:fldCharType="begin"/>
            </w:r>
            <w:r w:rsidR="00D87338">
              <w:rPr>
                <w:webHidden/>
              </w:rPr>
              <w:instrText xml:space="preserve"> PAGEREF _Toc34286490 \h </w:instrText>
            </w:r>
            <w:r w:rsidR="00D87338">
              <w:rPr>
                <w:webHidden/>
              </w:rPr>
            </w:r>
            <w:r w:rsidR="00D87338">
              <w:rPr>
                <w:webHidden/>
              </w:rPr>
              <w:fldChar w:fldCharType="separate"/>
            </w:r>
            <w:r w:rsidR="00DF450F">
              <w:rPr>
                <w:webHidden/>
              </w:rPr>
              <w:t>86</w:t>
            </w:r>
            <w:r w:rsidR="00D87338">
              <w:rPr>
                <w:webHidden/>
              </w:rPr>
              <w:fldChar w:fldCharType="end"/>
            </w:r>
          </w:hyperlink>
        </w:p>
        <w:p w14:paraId="133448C7" w14:textId="4A7058BD" w:rsidR="00D87338" w:rsidRDefault="004B12F9">
          <w:pPr>
            <w:pStyle w:val="Obsah2"/>
            <w:rPr>
              <w:rFonts w:asciiTheme="minorHAnsi" w:eastAsiaTheme="minorEastAsia" w:hAnsiTheme="minorHAnsi" w:cstheme="minorBidi"/>
              <w:bCs w:val="0"/>
              <w:sz w:val="22"/>
              <w:szCs w:val="22"/>
            </w:rPr>
          </w:pPr>
          <w:hyperlink w:anchor="_Toc34286491" w:history="1">
            <w:r w:rsidR="00D87338" w:rsidRPr="006C0CD6">
              <w:rPr>
                <w:rStyle w:val="Hypertextovodkaz"/>
                <w14:scene3d>
                  <w14:camera w14:prst="orthographicFront"/>
                  <w14:lightRig w14:rig="threePt" w14:dir="t">
                    <w14:rot w14:lat="0" w14:lon="0" w14:rev="0"/>
                  </w14:lightRig>
                </w14:scene3d>
              </w:rPr>
              <w:t>5.2</w:t>
            </w:r>
            <w:r w:rsidR="00D87338">
              <w:rPr>
                <w:rFonts w:asciiTheme="minorHAnsi" w:eastAsiaTheme="minorEastAsia" w:hAnsiTheme="minorHAnsi" w:cstheme="minorBidi"/>
                <w:bCs w:val="0"/>
                <w:sz w:val="22"/>
                <w:szCs w:val="22"/>
              </w:rPr>
              <w:tab/>
            </w:r>
            <w:r w:rsidR="00D87338" w:rsidRPr="006C0CD6">
              <w:rPr>
                <w:rStyle w:val="Hypertextovodkaz"/>
              </w:rPr>
              <w:t>Operační program Doprava – programové období 2014 – 2020</w:t>
            </w:r>
            <w:r w:rsidR="00D87338">
              <w:rPr>
                <w:webHidden/>
              </w:rPr>
              <w:tab/>
            </w:r>
            <w:r w:rsidR="00D87338">
              <w:rPr>
                <w:webHidden/>
              </w:rPr>
              <w:fldChar w:fldCharType="begin"/>
            </w:r>
            <w:r w:rsidR="00D87338">
              <w:rPr>
                <w:webHidden/>
              </w:rPr>
              <w:instrText xml:space="preserve"> PAGEREF _Toc34286491 \h </w:instrText>
            </w:r>
            <w:r w:rsidR="00D87338">
              <w:rPr>
                <w:webHidden/>
              </w:rPr>
            </w:r>
            <w:r w:rsidR="00D87338">
              <w:rPr>
                <w:webHidden/>
              </w:rPr>
              <w:fldChar w:fldCharType="separate"/>
            </w:r>
            <w:r w:rsidR="00DF450F">
              <w:rPr>
                <w:webHidden/>
              </w:rPr>
              <w:t>87</w:t>
            </w:r>
            <w:r w:rsidR="00D87338">
              <w:rPr>
                <w:webHidden/>
              </w:rPr>
              <w:fldChar w:fldCharType="end"/>
            </w:r>
          </w:hyperlink>
        </w:p>
        <w:p w14:paraId="57D8C55F" w14:textId="2408CECC" w:rsidR="00D87338" w:rsidRDefault="004B12F9">
          <w:pPr>
            <w:pStyle w:val="Obsah2"/>
            <w:rPr>
              <w:rFonts w:asciiTheme="minorHAnsi" w:eastAsiaTheme="minorEastAsia" w:hAnsiTheme="minorHAnsi" w:cstheme="minorBidi"/>
              <w:bCs w:val="0"/>
              <w:sz w:val="22"/>
              <w:szCs w:val="22"/>
            </w:rPr>
          </w:pPr>
          <w:hyperlink w:anchor="_Toc34286492" w:history="1">
            <w:r w:rsidR="00D87338" w:rsidRPr="006C0CD6">
              <w:rPr>
                <w:rStyle w:val="Hypertextovodkaz"/>
                <w14:scene3d>
                  <w14:camera w14:prst="orthographicFront"/>
                  <w14:lightRig w14:rig="threePt" w14:dir="t">
                    <w14:rot w14:lat="0" w14:lon="0" w14:rev="0"/>
                  </w14:lightRig>
                </w14:scene3d>
              </w:rPr>
              <w:t>5.3</w:t>
            </w:r>
            <w:r w:rsidR="00D87338">
              <w:rPr>
                <w:rFonts w:asciiTheme="minorHAnsi" w:eastAsiaTheme="minorEastAsia" w:hAnsiTheme="minorHAnsi" w:cstheme="minorBidi"/>
                <w:bCs w:val="0"/>
                <w:sz w:val="22"/>
                <w:szCs w:val="22"/>
              </w:rPr>
              <w:tab/>
            </w:r>
            <w:r w:rsidR="00D87338" w:rsidRPr="006C0CD6">
              <w:rPr>
                <w:rStyle w:val="Hypertextovodkaz"/>
              </w:rPr>
              <w:t>Operační program Zaměstnanost – programové období 2014 – 2020</w:t>
            </w:r>
            <w:r w:rsidR="00D87338">
              <w:rPr>
                <w:webHidden/>
              </w:rPr>
              <w:tab/>
            </w:r>
            <w:r w:rsidR="00D87338">
              <w:rPr>
                <w:webHidden/>
              </w:rPr>
              <w:fldChar w:fldCharType="begin"/>
            </w:r>
            <w:r w:rsidR="00D87338">
              <w:rPr>
                <w:webHidden/>
              </w:rPr>
              <w:instrText xml:space="preserve"> PAGEREF _Toc34286492 \h </w:instrText>
            </w:r>
            <w:r w:rsidR="00D87338">
              <w:rPr>
                <w:webHidden/>
              </w:rPr>
            </w:r>
            <w:r w:rsidR="00D87338">
              <w:rPr>
                <w:webHidden/>
              </w:rPr>
              <w:fldChar w:fldCharType="separate"/>
            </w:r>
            <w:r w:rsidR="00DF450F">
              <w:rPr>
                <w:webHidden/>
              </w:rPr>
              <w:t>96</w:t>
            </w:r>
            <w:r w:rsidR="00D87338">
              <w:rPr>
                <w:webHidden/>
              </w:rPr>
              <w:fldChar w:fldCharType="end"/>
            </w:r>
          </w:hyperlink>
        </w:p>
        <w:p w14:paraId="3218A780" w14:textId="68857CB3" w:rsidR="00D87338" w:rsidRDefault="004B12F9">
          <w:pPr>
            <w:pStyle w:val="Obsah2"/>
            <w:rPr>
              <w:rFonts w:asciiTheme="minorHAnsi" w:eastAsiaTheme="minorEastAsia" w:hAnsiTheme="minorHAnsi" w:cstheme="minorBidi"/>
              <w:bCs w:val="0"/>
              <w:sz w:val="22"/>
              <w:szCs w:val="22"/>
            </w:rPr>
          </w:pPr>
          <w:hyperlink w:anchor="_Toc34286493" w:history="1">
            <w:r w:rsidR="00D87338" w:rsidRPr="006C0CD6">
              <w:rPr>
                <w:rStyle w:val="Hypertextovodkaz"/>
                <w14:scene3d>
                  <w14:camera w14:prst="orthographicFront"/>
                  <w14:lightRig w14:rig="threePt" w14:dir="t">
                    <w14:rot w14:lat="0" w14:lon="0" w14:rev="0"/>
                  </w14:lightRig>
                </w14:scene3d>
              </w:rPr>
              <w:t>5.4</w:t>
            </w:r>
            <w:r w:rsidR="00D87338">
              <w:rPr>
                <w:rFonts w:asciiTheme="minorHAnsi" w:eastAsiaTheme="minorEastAsia" w:hAnsiTheme="minorHAnsi" w:cstheme="minorBidi"/>
                <w:bCs w:val="0"/>
                <w:sz w:val="22"/>
                <w:szCs w:val="22"/>
              </w:rPr>
              <w:tab/>
            </w:r>
            <w:r w:rsidR="00D87338" w:rsidRPr="006C0CD6">
              <w:rPr>
                <w:rStyle w:val="Hypertextovodkaz"/>
              </w:rPr>
              <w:t>Komunitární programy – programové období 2014 – 2020</w:t>
            </w:r>
            <w:r w:rsidR="00D87338">
              <w:rPr>
                <w:webHidden/>
              </w:rPr>
              <w:tab/>
            </w:r>
            <w:r w:rsidR="00D87338">
              <w:rPr>
                <w:webHidden/>
              </w:rPr>
              <w:fldChar w:fldCharType="begin"/>
            </w:r>
            <w:r w:rsidR="00D87338">
              <w:rPr>
                <w:webHidden/>
              </w:rPr>
              <w:instrText xml:space="preserve"> PAGEREF _Toc34286493 \h </w:instrText>
            </w:r>
            <w:r w:rsidR="00D87338">
              <w:rPr>
                <w:webHidden/>
              </w:rPr>
            </w:r>
            <w:r w:rsidR="00D87338">
              <w:rPr>
                <w:webHidden/>
              </w:rPr>
              <w:fldChar w:fldCharType="separate"/>
            </w:r>
            <w:r w:rsidR="00DF450F">
              <w:rPr>
                <w:webHidden/>
              </w:rPr>
              <w:t>97</w:t>
            </w:r>
            <w:r w:rsidR="00D87338">
              <w:rPr>
                <w:webHidden/>
              </w:rPr>
              <w:fldChar w:fldCharType="end"/>
            </w:r>
          </w:hyperlink>
        </w:p>
        <w:p w14:paraId="76DEB91B" w14:textId="7E1252ED" w:rsidR="00D87338" w:rsidRDefault="004B12F9">
          <w:pPr>
            <w:pStyle w:val="Obsah1"/>
            <w:rPr>
              <w:rFonts w:asciiTheme="minorHAnsi" w:eastAsiaTheme="minorEastAsia" w:hAnsiTheme="minorHAnsi" w:cstheme="minorBidi"/>
              <w:sz w:val="22"/>
              <w:szCs w:val="22"/>
            </w:rPr>
          </w:pPr>
          <w:hyperlink w:anchor="_Toc34286494" w:history="1">
            <w:r w:rsidR="00D87338" w:rsidRPr="006C0CD6">
              <w:rPr>
                <w:rStyle w:val="Hypertextovodkaz"/>
              </w:rPr>
              <w:t>6</w:t>
            </w:r>
            <w:r w:rsidR="00D87338">
              <w:rPr>
                <w:rFonts w:asciiTheme="minorHAnsi" w:eastAsiaTheme="minorEastAsia" w:hAnsiTheme="minorHAnsi" w:cstheme="minorBidi"/>
                <w:sz w:val="22"/>
                <w:szCs w:val="22"/>
              </w:rPr>
              <w:tab/>
            </w:r>
            <w:r w:rsidR="00D87338" w:rsidRPr="006C0CD6">
              <w:rPr>
                <w:rStyle w:val="Hypertextovodkaz"/>
              </w:rPr>
              <w:t>prostředky rezervních fondů</w:t>
            </w:r>
            <w:r w:rsidR="00D87338">
              <w:rPr>
                <w:webHidden/>
              </w:rPr>
              <w:tab/>
            </w:r>
            <w:r w:rsidR="00D87338">
              <w:rPr>
                <w:webHidden/>
              </w:rPr>
              <w:fldChar w:fldCharType="begin"/>
            </w:r>
            <w:r w:rsidR="00D87338">
              <w:rPr>
                <w:webHidden/>
              </w:rPr>
              <w:instrText xml:space="preserve"> PAGEREF _Toc34286494 \h </w:instrText>
            </w:r>
            <w:r w:rsidR="00D87338">
              <w:rPr>
                <w:webHidden/>
              </w:rPr>
            </w:r>
            <w:r w:rsidR="00D87338">
              <w:rPr>
                <w:webHidden/>
              </w:rPr>
              <w:fldChar w:fldCharType="separate"/>
            </w:r>
            <w:r w:rsidR="00DF450F">
              <w:rPr>
                <w:webHidden/>
              </w:rPr>
              <w:t>104</w:t>
            </w:r>
            <w:r w:rsidR="00D87338">
              <w:rPr>
                <w:webHidden/>
              </w:rPr>
              <w:fldChar w:fldCharType="end"/>
            </w:r>
          </w:hyperlink>
        </w:p>
        <w:p w14:paraId="59703851" w14:textId="60BB2C07" w:rsidR="00D87338" w:rsidRDefault="004B12F9">
          <w:pPr>
            <w:pStyle w:val="Obsah1"/>
            <w:rPr>
              <w:rFonts w:asciiTheme="minorHAnsi" w:eastAsiaTheme="minorEastAsia" w:hAnsiTheme="minorHAnsi" w:cstheme="minorBidi"/>
              <w:sz w:val="22"/>
              <w:szCs w:val="22"/>
            </w:rPr>
          </w:pPr>
          <w:hyperlink w:anchor="_Toc34286495" w:history="1">
            <w:r w:rsidR="00D87338" w:rsidRPr="006C0CD6">
              <w:rPr>
                <w:rStyle w:val="Hypertextovodkaz"/>
              </w:rPr>
              <w:t>7</w:t>
            </w:r>
            <w:r w:rsidR="00D87338">
              <w:rPr>
                <w:rFonts w:asciiTheme="minorHAnsi" w:eastAsiaTheme="minorEastAsia" w:hAnsiTheme="minorHAnsi" w:cstheme="minorBidi"/>
                <w:sz w:val="22"/>
                <w:szCs w:val="22"/>
              </w:rPr>
              <w:tab/>
            </w:r>
            <w:r w:rsidR="00D87338" w:rsidRPr="006C0CD6">
              <w:rPr>
                <w:rStyle w:val="Hypertextovodkaz"/>
              </w:rPr>
              <w:t>Nároky z nespotřebovaných výdajů OSS</w:t>
            </w:r>
            <w:r w:rsidR="00D87338">
              <w:rPr>
                <w:webHidden/>
              </w:rPr>
              <w:tab/>
            </w:r>
            <w:r w:rsidR="00D87338">
              <w:rPr>
                <w:webHidden/>
              </w:rPr>
              <w:fldChar w:fldCharType="begin"/>
            </w:r>
            <w:r w:rsidR="00D87338">
              <w:rPr>
                <w:webHidden/>
              </w:rPr>
              <w:instrText xml:space="preserve"> PAGEREF _Toc34286495 \h </w:instrText>
            </w:r>
            <w:r w:rsidR="00D87338">
              <w:rPr>
                <w:webHidden/>
              </w:rPr>
            </w:r>
            <w:r w:rsidR="00D87338">
              <w:rPr>
                <w:webHidden/>
              </w:rPr>
              <w:fldChar w:fldCharType="separate"/>
            </w:r>
            <w:r w:rsidR="00DF450F">
              <w:rPr>
                <w:webHidden/>
              </w:rPr>
              <w:t>105</w:t>
            </w:r>
            <w:r w:rsidR="00D87338">
              <w:rPr>
                <w:webHidden/>
              </w:rPr>
              <w:fldChar w:fldCharType="end"/>
            </w:r>
          </w:hyperlink>
        </w:p>
        <w:p w14:paraId="412D70D7" w14:textId="784A1DEA" w:rsidR="00D87338" w:rsidRDefault="004B12F9">
          <w:pPr>
            <w:pStyle w:val="Obsah1"/>
            <w:rPr>
              <w:rFonts w:asciiTheme="minorHAnsi" w:eastAsiaTheme="minorEastAsia" w:hAnsiTheme="minorHAnsi" w:cstheme="minorBidi"/>
              <w:sz w:val="22"/>
              <w:szCs w:val="22"/>
            </w:rPr>
          </w:pPr>
          <w:hyperlink w:anchor="_Toc34286496" w:history="1">
            <w:r w:rsidR="00D87338" w:rsidRPr="006C0CD6">
              <w:rPr>
                <w:rStyle w:val="Hypertextovodkaz"/>
              </w:rPr>
              <w:t>8</w:t>
            </w:r>
            <w:r w:rsidR="00D87338">
              <w:rPr>
                <w:rFonts w:asciiTheme="minorHAnsi" w:eastAsiaTheme="minorEastAsia" w:hAnsiTheme="minorHAnsi" w:cstheme="minorBidi"/>
                <w:sz w:val="22"/>
                <w:szCs w:val="22"/>
              </w:rPr>
              <w:tab/>
            </w:r>
            <w:r w:rsidR="00D87338" w:rsidRPr="006C0CD6">
              <w:rPr>
                <w:rStyle w:val="Hypertextovodkaz"/>
              </w:rPr>
              <w:t>Povolené překročení výdajů</w:t>
            </w:r>
            <w:r w:rsidR="00D87338">
              <w:rPr>
                <w:webHidden/>
              </w:rPr>
              <w:tab/>
            </w:r>
            <w:r w:rsidR="00D87338">
              <w:rPr>
                <w:webHidden/>
              </w:rPr>
              <w:fldChar w:fldCharType="begin"/>
            </w:r>
            <w:r w:rsidR="00D87338">
              <w:rPr>
                <w:webHidden/>
              </w:rPr>
              <w:instrText xml:space="preserve"> PAGEREF _Toc34286496 \h </w:instrText>
            </w:r>
            <w:r w:rsidR="00D87338">
              <w:rPr>
                <w:webHidden/>
              </w:rPr>
            </w:r>
            <w:r w:rsidR="00D87338">
              <w:rPr>
                <w:webHidden/>
              </w:rPr>
              <w:fldChar w:fldCharType="separate"/>
            </w:r>
            <w:r w:rsidR="00DF450F">
              <w:rPr>
                <w:webHidden/>
              </w:rPr>
              <w:t>110</w:t>
            </w:r>
            <w:r w:rsidR="00D87338">
              <w:rPr>
                <w:webHidden/>
              </w:rPr>
              <w:fldChar w:fldCharType="end"/>
            </w:r>
          </w:hyperlink>
        </w:p>
        <w:p w14:paraId="074EB3C9" w14:textId="6863558A" w:rsidR="00D87338" w:rsidRDefault="004B12F9">
          <w:pPr>
            <w:pStyle w:val="Obsah1"/>
            <w:rPr>
              <w:rFonts w:asciiTheme="minorHAnsi" w:eastAsiaTheme="minorEastAsia" w:hAnsiTheme="minorHAnsi" w:cstheme="minorBidi"/>
              <w:sz w:val="22"/>
              <w:szCs w:val="22"/>
            </w:rPr>
          </w:pPr>
          <w:hyperlink w:anchor="_Toc34286497" w:history="1">
            <w:r w:rsidR="00D87338" w:rsidRPr="006C0CD6">
              <w:rPr>
                <w:rStyle w:val="Hypertextovodkaz"/>
              </w:rPr>
              <w:t>9</w:t>
            </w:r>
            <w:r w:rsidR="00D87338">
              <w:rPr>
                <w:rFonts w:asciiTheme="minorHAnsi" w:eastAsiaTheme="minorEastAsia" w:hAnsiTheme="minorHAnsi" w:cstheme="minorBidi"/>
                <w:sz w:val="22"/>
                <w:szCs w:val="22"/>
              </w:rPr>
              <w:tab/>
            </w:r>
            <w:r w:rsidR="00D87338" w:rsidRPr="006C0CD6">
              <w:rPr>
                <w:rStyle w:val="Hypertextovodkaz"/>
              </w:rPr>
              <w:t>Výsledky auditů a kontrol</w:t>
            </w:r>
            <w:r w:rsidR="00D87338">
              <w:rPr>
                <w:webHidden/>
              </w:rPr>
              <w:tab/>
            </w:r>
            <w:r w:rsidR="00D87338">
              <w:rPr>
                <w:webHidden/>
              </w:rPr>
              <w:fldChar w:fldCharType="begin"/>
            </w:r>
            <w:r w:rsidR="00D87338">
              <w:rPr>
                <w:webHidden/>
              </w:rPr>
              <w:instrText xml:space="preserve"> PAGEREF _Toc34286497 \h </w:instrText>
            </w:r>
            <w:r w:rsidR="00D87338">
              <w:rPr>
                <w:webHidden/>
              </w:rPr>
            </w:r>
            <w:r w:rsidR="00D87338">
              <w:rPr>
                <w:webHidden/>
              </w:rPr>
              <w:fldChar w:fldCharType="separate"/>
            </w:r>
            <w:r w:rsidR="00DF450F">
              <w:rPr>
                <w:webHidden/>
              </w:rPr>
              <w:t>111</w:t>
            </w:r>
            <w:r w:rsidR="00D87338">
              <w:rPr>
                <w:webHidden/>
              </w:rPr>
              <w:fldChar w:fldCharType="end"/>
            </w:r>
          </w:hyperlink>
        </w:p>
        <w:p w14:paraId="7153EB07" w14:textId="2BBAD57F" w:rsidR="00D87338" w:rsidRDefault="004B12F9">
          <w:pPr>
            <w:pStyle w:val="Obsah2"/>
            <w:rPr>
              <w:rFonts w:asciiTheme="minorHAnsi" w:eastAsiaTheme="minorEastAsia" w:hAnsiTheme="minorHAnsi" w:cstheme="minorBidi"/>
              <w:bCs w:val="0"/>
              <w:sz w:val="22"/>
              <w:szCs w:val="22"/>
            </w:rPr>
          </w:pPr>
          <w:hyperlink w:anchor="_Toc34286498" w:history="1">
            <w:r w:rsidR="00D87338" w:rsidRPr="006C0CD6">
              <w:rPr>
                <w:rStyle w:val="Hypertextovodkaz"/>
                <w14:scene3d>
                  <w14:camera w14:prst="orthographicFront"/>
                  <w14:lightRig w14:rig="threePt" w14:dir="t">
                    <w14:rot w14:lat="0" w14:lon="0" w14:rev="0"/>
                  </w14:lightRig>
                </w14:scene3d>
              </w:rPr>
              <w:t>9.1</w:t>
            </w:r>
            <w:r w:rsidR="00D87338">
              <w:rPr>
                <w:rFonts w:asciiTheme="minorHAnsi" w:eastAsiaTheme="minorEastAsia" w:hAnsiTheme="minorHAnsi" w:cstheme="minorBidi"/>
                <w:bCs w:val="0"/>
                <w:sz w:val="22"/>
                <w:szCs w:val="22"/>
              </w:rPr>
              <w:tab/>
            </w:r>
            <w:r w:rsidR="00D87338" w:rsidRPr="006C0CD6">
              <w:rPr>
                <w:rStyle w:val="Hypertextovodkaz"/>
              </w:rPr>
              <w:t>Kontroly provedené Nejvyšším kontrolním úřadem</w:t>
            </w:r>
            <w:r w:rsidR="00D87338">
              <w:rPr>
                <w:webHidden/>
              </w:rPr>
              <w:tab/>
            </w:r>
            <w:r w:rsidR="00D87338">
              <w:rPr>
                <w:webHidden/>
              </w:rPr>
              <w:fldChar w:fldCharType="begin"/>
            </w:r>
            <w:r w:rsidR="00D87338">
              <w:rPr>
                <w:webHidden/>
              </w:rPr>
              <w:instrText xml:space="preserve"> PAGEREF _Toc34286498 \h </w:instrText>
            </w:r>
            <w:r w:rsidR="00D87338">
              <w:rPr>
                <w:webHidden/>
              </w:rPr>
            </w:r>
            <w:r w:rsidR="00D87338">
              <w:rPr>
                <w:webHidden/>
              </w:rPr>
              <w:fldChar w:fldCharType="separate"/>
            </w:r>
            <w:r w:rsidR="00DF450F">
              <w:rPr>
                <w:webHidden/>
              </w:rPr>
              <w:t>111</w:t>
            </w:r>
            <w:r w:rsidR="00D87338">
              <w:rPr>
                <w:webHidden/>
              </w:rPr>
              <w:fldChar w:fldCharType="end"/>
            </w:r>
          </w:hyperlink>
        </w:p>
        <w:p w14:paraId="3B6C508C" w14:textId="5CE952FD" w:rsidR="00D87338" w:rsidRDefault="004B12F9">
          <w:pPr>
            <w:pStyle w:val="Obsah3"/>
            <w:rPr>
              <w:rFonts w:asciiTheme="minorHAnsi" w:eastAsiaTheme="minorEastAsia" w:hAnsiTheme="minorHAnsi" w:cstheme="minorBidi"/>
              <w:sz w:val="22"/>
              <w:szCs w:val="22"/>
            </w:rPr>
          </w:pPr>
          <w:hyperlink w:anchor="_Toc34286506" w:history="1">
            <w:r w:rsidR="00D87338" w:rsidRPr="006C0CD6">
              <w:rPr>
                <w:rStyle w:val="Hypertextovodkaz"/>
              </w:rPr>
              <w:t>9.1.1</w:t>
            </w:r>
            <w:r w:rsidR="00D87338">
              <w:rPr>
                <w:rFonts w:asciiTheme="minorHAnsi" w:eastAsiaTheme="minorEastAsia" w:hAnsiTheme="minorHAnsi" w:cstheme="minorBidi"/>
                <w:sz w:val="22"/>
                <w:szCs w:val="22"/>
              </w:rPr>
              <w:tab/>
            </w:r>
            <w:r w:rsidR="00D87338" w:rsidRPr="006C0CD6">
              <w:rPr>
                <w:rStyle w:val="Hypertextovodkaz"/>
              </w:rPr>
              <w:t>Kontrolní akce NKÚ prováděné v roce 2019 (neukončené schválením kontrolního závěru a projednáním vládou ČR)</w:t>
            </w:r>
            <w:r w:rsidR="00D87338">
              <w:rPr>
                <w:webHidden/>
              </w:rPr>
              <w:tab/>
            </w:r>
            <w:r w:rsidR="00D87338">
              <w:rPr>
                <w:webHidden/>
              </w:rPr>
              <w:fldChar w:fldCharType="begin"/>
            </w:r>
            <w:r w:rsidR="00D87338">
              <w:rPr>
                <w:webHidden/>
              </w:rPr>
              <w:instrText xml:space="preserve"> PAGEREF _Toc34286506 \h </w:instrText>
            </w:r>
            <w:r w:rsidR="00D87338">
              <w:rPr>
                <w:webHidden/>
              </w:rPr>
            </w:r>
            <w:r w:rsidR="00D87338">
              <w:rPr>
                <w:webHidden/>
              </w:rPr>
              <w:fldChar w:fldCharType="separate"/>
            </w:r>
            <w:r w:rsidR="00DF450F">
              <w:rPr>
                <w:webHidden/>
              </w:rPr>
              <w:t>111</w:t>
            </w:r>
            <w:r w:rsidR="00D87338">
              <w:rPr>
                <w:webHidden/>
              </w:rPr>
              <w:fldChar w:fldCharType="end"/>
            </w:r>
          </w:hyperlink>
        </w:p>
        <w:p w14:paraId="455ADF01" w14:textId="69D75E71" w:rsidR="00D87338" w:rsidRDefault="004B12F9">
          <w:pPr>
            <w:pStyle w:val="Obsah3"/>
            <w:rPr>
              <w:rFonts w:asciiTheme="minorHAnsi" w:eastAsiaTheme="minorEastAsia" w:hAnsiTheme="minorHAnsi" w:cstheme="minorBidi"/>
              <w:sz w:val="22"/>
              <w:szCs w:val="22"/>
            </w:rPr>
          </w:pPr>
          <w:hyperlink w:anchor="_Toc34286507" w:history="1">
            <w:r w:rsidR="00D87338" w:rsidRPr="006C0CD6">
              <w:rPr>
                <w:rStyle w:val="Hypertextovodkaz"/>
              </w:rPr>
              <w:t>9.1.2</w:t>
            </w:r>
            <w:r w:rsidR="00D87338">
              <w:rPr>
                <w:rFonts w:asciiTheme="minorHAnsi" w:eastAsiaTheme="minorEastAsia" w:hAnsiTheme="minorHAnsi" w:cstheme="minorBidi"/>
                <w:sz w:val="22"/>
                <w:szCs w:val="22"/>
              </w:rPr>
              <w:tab/>
            </w:r>
            <w:r w:rsidR="00D87338" w:rsidRPr="006C0CD6">
              <w:rPr>
                <w:rStyle w:val="Hypertextovodkaz"/>
              </w:rPr>
              <w:t>Kontrolní akce NKÚ ukončené v roce 2019 schválením kontrolního závěru a projednáním vládou ČR</w:t>
            </w:r>
            <w:r w:rsidR="00D87338">
              <w:rPr>
                <w:webHidden/>
              </w:rPr>
              <w:tab/>
            </w:r>
            <w:r w:rsidR="00D87338">
              <w:rPr>
                <w:webHidden/>
              </w:rPr>
              <w:fldChar w:fldCharType="begin"/>
            </w:r>
            <w:r w:rsidR="00D87338">
              <w:rPr>
                <w:webHidden/>
              </w:rPr>
              <w:instrText xml:space="preserve"> PAGEREF _Toc34286507 \h </w:instrText>
            </w:r>
            <w:r w:rsidR="00D87338">
              <w:rPr>
                <w:webHidden/>
              </w:rPr>
            </w:r>
            <w:r w:rsidR="00D87338">
              <w:rPr>
                <w:webHidden/>
              </w:rPr>
              <w:fldChar w:fldCharType="separate"/>
            </w:r>
            <w:r w:rsidR="00DF450F">
              <w:rPr>
                <w:webHidden/>
              </w:rPr>
              <w:t>112</w:t>
            </w:r>
            <w:r w:rsidR="00D87338">
              <w:rPr>
                <w:webHidden/>
              </w:rPr>
              <w:fldChar w:fldCharType="end"/>
            </w:r>
          </w:hyperlink>
        </w:p>
        <w:p w14:paraId="4A2A0287" w14:textId="23456C68" w:rsidR="00D87338" w:rsidRDefault="004B12F9">
          <w:pPr>
            <w:pStyle w:val="Obsah2"/>
            <w:rPr>
              <w:rFonts w:asciiTheme="minorHAnsi" w:eastAsiaTheme="minorEastAsia" w:hAnsiTheme="minorHAnsi" w:cstheme="minorBidi"/>
              <w:bCs w:val="0"/>
              <w:sz w:val="22"/>
              <w:szCs w:val="22"/>
            </w:rPr>
          </w:pPr>
          <w:hyperlink w:anchor="_Toc34286508" w:history="1">
            <w:r w:rsidR="00D87338" w:rsidRPr="006C0CD6">
              <w:rPr>
                <w:rStyle w:val="Hypertextovodkaz"/>
                <w14:scene3d>
                  <w14:camera w14:prst="orthographicFront"/>
                  <w14:lightRig w14:rig="threePt" w14:dir="t">
                    <w14:rot w14:lat="0" w14:lon="0" w14:rev="0"/>
                  </w14:lightRig>
                </w14:scene3d>
              </w:rPr>
              <w:t>9.2</w:t>
            </w:r>
            <w:r w:rsidR="00D87338">
              <w:rPr>
                <w:rFonts w:asciiTheme="minorHAnsi" w:eastAsiaTheme="minorEastAsia" w:hAnsiTheme="minorHAnsi" w:cstheme="minorBidi"/>
                <w:bCs w:val="0"/>
                <w:sz w:val="22"/>
                <w:szCs w:val="22"/>
              </w:rPr>
              <w:tab/>
            </w:r>
            <w:r w:rsidR="00D87338" w:rsidRPr="006C0CD6">
              <w:rPr>
                <w:rStyle w:val="Hypertextovodkaz"/>
              </w:rPr>
              <w:t>Audity a kontroly provedené Odborem interního auditu a kontroly MD</w:t>
            </w:r>
            <w:r w:rsidR="00D87338">
              <w:rPr>
                <w:webHidden/>
              </w:rPr>
              <w:tab/>
            </w:r>
            <w:r w:rsidR="00D87338">
              <w:rPr>
                <w:webHidden/>
              </w:rPr>
              <w:fldChar w:fldCharType="begin"/>
            </w:r>
            <w:r w:rsidR="00D87338">
              <w:rPr>
                <w:webHidden/>
              </w:rPr>
              <w:instrText xml:space="preserve"> PAGEREF _Toc34286508 \h </w:instrText>
            </w:r>
            <w:r w:rsidR="00D87338">
              <w:rPr>
                <w:webHidden/>
              </w:rPr>
            </w:r>
            <w:r w:rsidR="00D87338">
              <w:rPr>
                <w:webHidden/>
              </w:rPr>
              <w:fldChar w:fldCharType="separate"/>
            </w:r>
            <w:r w:rsidR="00DF450F">
              <w:rPr>
                <w:webHidden/>
              </w:rPr>
              <w:t>117</w:t>
            </w:r>
            <w:r w:rsidR="00D87338">
              <w:rPr>
                <w:webHidden/>
              </w:rPr>
              <w:fldChar w:fldCharType="end"/>
            </w:r>
          </w:hyperlink>
        </w:p>
        <w:p w14:paraId="48AFD4BA" w14:textId="31D7D3F4" w:rsidR="00D87338" w:rsidRDefault="004B12F9">
          <w:pPr>
            <w:pStyle w:val="Obsah3"/>
            <w:rPr>
              <w:rFonts w:asciiTheme="minorHAnsi" w:eastAsiaTheme="minorEastAsia" w:hAnsiTheme="minorHAnsi" w:cstheme="minorBidi"/>
              <w:sz w:val="22"/>
              <w:szCs w:val="22"/>
            </w:rPr>
          </w:pPr>
          <w:hyperlink w:anchor="_Toc34286510" w:history="1">
            <w:r w:rsidR="00D87338" w:rsidRPr="006C0CD6">
              <w:rPr>
                <w:rStyle w:val="Hypertextovodkaz"/>
              </w:rPr>
              <w:t>9.2.1</w:t>
            </w:r>
            <w:r w:rsidR="00D87338">
              <w:rPr>
                <w:rFonts w:asciiTheme="minorHAnsi" w:eastAsiaTheme="minorEastAsia" w:hAnsiTheme="minorHAnsi" w:cstheme="minorBidi"/>
                <w:sz w:val="22"/>
                <w:szCs w:val="22"/>
              </w:rPr>
              <w:tab/>
            </w:r>
            <w:r w:rsidR="00D87338" w:rsidRPr="006C0CD6">
              <w:rPr>
                <w:rStyle w:val="Hypertextovodkaz"/>
              </w:rPr>
              <w:t>Interní audity</w:t>
            </w:r>
            <w:r w:rsidR="00D87338">
              <w:rPr>
                <w:webHidden/>
              </w:rPr>
              <w:tab/>
            </w:r>
            <w:r w:rsidR="00D87338">
              <w:rPr>
                <w:webHidden/>
              </w:rPr>
              <w:fldChar w:fldCharType="begin"/>
            </w:r>
            <w:r w:rsidR="00D87338">
              <w:rPr>
                <w:webHidden/>
              </w:rPr>
              <w:instrText xml:space="preserve"> PAGEREF _Toc34286510 \h </w:instrText>
            </w:r>
            <w:r w:rsidR="00D87338">
              <w:rPr>
                <w:webHidden/>
              </w:rPr>
            </w:r>
            <w:r w:rsidR="00D87338">
              <w:rPr>
                <w:webHidden/>
              </w:rPr>
              <w:fldChar w:fldCharType="separate"/>
            </w:r>
            <w:r w:rsidR="00DF450F">
              <w:rPr>
                <w:webHidden/>
              </w:rPr>
              <w:t>117</w:t>
            </w:r>
            <w:r w:rsidR="00D87338">
              <w:rPr>
                <w:webHidden/>
              </w:rPr>
              <w:fldChar w:fldCharType="end"/>
            </w:r>
          </w:hyperlink>
        </w:p>
        <w:p w14:paraId="1C80BBB0" w14:textId="37583560" w:rsidR="00D87338" w:rsidRDefault="004B12F9">
          <w:pPr>
            <w:pStyle w:val="Obsah3"/>
            <w:rPr>
              <w:rFonts w:asciiTheme="minorHAnsi" w:eastAsiaTheme="minorEastAsia" w:hAnsiTheme="minorHAnsi" w:cstheme="minorBidi"/>
              <w:sz w:val="22"/>
              <w:szCs w:val="22"/>
            </w:rPr>
          </w:pPr>
          <w:hyperlink w:anchor="_Toc34286511" w:history="1">
            <w:r w:rsidR="00D87338" w:rsidRPr="006C0CD6">
              <w:rPr>
                <w:rStyle w:val="Hypertextovodkaz"/>
              </w:rPr>
              <w:t>9.2.2</w:t>
            </w:r>
            <w:r w:rsidR="00D87338">
              <w:rPr>
                <w:rFonts w:asciiTheme="minorHAnsi" w:eastAsiaTheme="minorEastAsia" w:hAnsiTheme="minorHAnsi" w:cstheme="minorBidi"/>
                <w:sz w:val="22"/>
                <w:szCs w:val="22"/>
              </w:rPr>
              <w:tab/>
            </w:r>
            <w:r w:rsidR="00D87338" w:rsidRPr="006C0CD6">
              <w:rPr>
                <w:rStyle w:val="Hypertextovodkaz"/>
              </w:rPr>
              <w:t>Veřejnosprávní kontroly</w:t>
            </w:r>
            <w:r w:rsidR="00D87338">
              <w:rPr>
                <w:webHidden/>
              </w:rPr>
              <w:tab/>
            </w:r>
            <w:r w:rsidR="00D87338">
              <w:rPr>
                <w:webHidden/>
              </w:rPr>
              <w:fldChar w:fldCharType="begin"/>
            </w:r>
            <w:r w:rsidR="00D87338">
              <w:rPr>
                <w:webHidden/>
              </w:rPr>
              <w:instrText xml:space="preserve"> PAGEREF _Toc34286511 \h </w:instrText>
            </w:r>
            <w:r w:rsidR="00D87338">
              <w:rPr>
                <w:webHidden/>
              </w:rPr>
            </w:r>
            <w:r w:rsidR="00D87338">
              <w:rPr>
                <w:webHidden/>
              </w:rPr>
              <w:fldChar w:fldCharType="separate"/>
            </w:r>
            <w:r w:rsidR="00DF450F">
              <w:rPr>
                <w:webHidden/>
              </w:rPr>
              <w:t>119</w:t>
            </w:r>
            <w:r w:rsidR="00D87338">
              <w:rPr>
                <w:webHidden/>
              </w:rPr>
              <w:fldChar w:fldCharType="end"/>
            </w:r>
          </w:hyperlink>
        </w:p>
        <w:p w14:paraId="11AD19CB" w14:textId="1B523E6F" w:rsidR="00D87338" w:rsidRDefault="004B12F9">
          <w:pPr>
            <w:pStyle w:val="Obsah3"/>
            <w:rPr>
              <w:rFonts w:asciiTheme="minorHAnsi" w:eastAsiaTheme="minorEastAsia" w:hAnsiTheme="minorHAnsi" w:cstheme="minorBidi"/>
              <w:sz w:val="22"/>
              <w:szCs w:val="22"/>
            </w:rPr>
          </w:pPr>
          <w:hyperlink w:anchor="_Toc34286512" w:history="1">
            <w:r w:rsidR="00D87338" w:rsidRPr="006C0CD6">
              <w:rPr>
                <w:rStyle w:val="Hypertextovodkaz"/>
              </w:rPr>
              <w:t>9.2.3</w:t>
            </w:r>
            <w:r w:rsidR="00D87338">
              <w:rPr>
                <w:rFonts w:asciiTheme="minorHAnsi" w:eastAsiaTheme="minorEastAsia" w:hAnsiTheme="minorHAnsi" w:cstheme="minorBidi"/>
                <w:sz w:val="22"/>
                <w:szCs w:val="22"/>
              </w:rPr>
              <w:tab/>
            </w:r>
            <w:r w:rsidR="00D87338" w:rsidRPr="006C0CD6">
              <w:rPr>
                <w:rStyle w:val="Hypertextovodkaz"/>
              </w:rPr>
              <w:t>Kontroly výkonu státní správy u krajských úřadů</w:t>
            </w:r>
            <w:r w:rsidR="00D87338">
              <w:rPr>
                <w:webHidden/>
              </w:rPr>
              <w:tab/>
            </w:r>
            <w:r w:rsidR="00D87338">
              <w:rPr>
                <w:webHidden/>
              </w:rPr>
              <w:fldChar w:fldCharType="begin"/>
            </w:r>
            <w:r w:rsidR="00D87338">
              <w:rPr>
                <w:webHidden/>
              </w:rPr>
              <w:instrText xml:space="preserve"> PAGEREF _Toc34286512 \h </w:instrText>
            </w:r>
            <w:r w:rsidR="00D87338">
              <w:rPr>
                <w:webHidden/>
              </w:rPr>
            </w:r>
            <w:r w:rsidR="00D87338">
              <w:rPr>
                <w:webHidden/>
              </w:rPr>
              <w:fldChar w:fldCharType="separate"/>
            </w:r>
            <w:r w:rsidR="00DF450F">
              <w:rPr>
                <w:webHidden/>
              </w:rPr>
              <w:t>121</w:t>
            </w:r>
            <w:r w:rsidR="00D87338">
              <w:rPr>
                <w:webHidden/>
              </w:rPr>
              <w:fldChar w:fldCharType="end"/>
            </w:r>
          </w:hyperlink>
        </w:p>
        <w:p w14:paraId="38C345D5" w14:textId="3EA743AD" w:rsidR="00D87338" w:rsidRDefault="004B12F9">
          <w:pPr>
            <w:pStyle w:val="Obsah2"/>
            <w:rPr>
              <w:rFonts w:asciiTheme="minorHAnsi" w:eastAsiaTheme="minorEastAsia" w:hAnsiTheme="minorHAnsi" w:cstheme="minorBidi"/>
              <w:bCs w:val="0"/>
              <w:sz w:val="22"/>
              <w:szCs w:val="22"/>
            </w:rPr>
          </w:pPr>
          <w:hyperlink w:anchor="_Toc34286513" w:history="1">
            <w:r w:rsidR="00D87338" w:rsidRPr="006C0CD6">
              <w:rPr>
                <w:rStyle w:val="Hypertextovodkaz"/>
                <w14:scene3d>
                  <w14:camera w14:prst="orthographicFront"/>
                  <w14:lightRig w14:rig="threePt" w14:dir="t">
                    <w14:rot w14:lat="0" w14:lon="0" w14:rev="0"/>
                  </w14:lightRig>
                </w14:scene3d>
              </w:rPr>
              <w:t>9.3</w:t>
            </w:r>
            <w:r w:rsidR="00D87338">
              <w:rPr>
                <w:rFonts w:asciiTheme="minorHAnsi" w:eastAsiaTheme="minorEastAsia" w:hAnsiTheme="minorHAnsi" w:cstheme="minorBidi"/>
                <w:bCs w:val="0"/>
                <w:sz w:val="22"/>
                <w:szCs w:val="22"/>
              </w:rPr>
              <w:tab/>
            </w:r>
            <w:r w:rsidR="00D87338" w:rsidRPr="006C0CD6">
              <w:rPr>
                <w:rStyle w:val="Hypertextovodkaz"/>
              </w:rPr>
              <w:t>Hlášení nesrovnalostí – kontaktní bod AFCOS</w:t>
            </w:r>
            <w:r w:rsidR="00D87338">
              <w:rPr>
                <w:webHidden/>
              </w:rPr>
              <w:tab/>
            </w:r>
            <w:r w:rsidR="00D87338">
              <w:rPr>
                <w:webHidden/>
              </w:rPr>
              <w:fldChar w:fldCharType="begin"/>
            </w:r>
            <w:r w:rsidR="00D87338">
              <w:rPr>
                <w:webHidden/>
              </w:rPr>
              <w:instrText xml:space="preserve"> PAGEREF _Toc34286513 \h </w:instrText>
            </w:r>
            <w:r w:rsidR="00D87338">
              <w:rPr>
                <w:webHidden/>
              </w:rPr>
            </w:r>
            <w:r w:rsidR="00D87338">
              <w:rPr>
                <w:webHidden/>
              </w:rPr>
              <w:fldChar w:fldCharType="separate"/>
            </w:r>
            <w:r w:rsidR="00DF450F">
              <w:rPr>
                <w:webHidden/>
              </w:rPr>
              <w:t>122</w:t>
            </w:r>
            <w:r w:rsidR="00D87338">
              <w:rPr>
                <w:webHidden/>
              </w:rPr>
              <w:fldChar w:fldCharType="end"/>
            </w:r>
          </w:hyperlink>
        </w:p>
        <w:p w14:paraId="1B22DC20" w14:textId="333D3E22" w:rsidR="00391ADC" w:rsidRPr="004B11AC" w:rsidRDefault="00391ADC">
          <w:pPr>
            <w:rPr>
              <w:color w:val="FF0000"/>
            </w:rPr>
          </w:pPr>
          <w:r w:rsidRPr="004B11AC">
            <w:rPr>
              <w:b/>
              <w:bCs/>
              <w:color w:val="FF0000"/>
            </w:rPr>
            <w:fldChar w:fldCharType="end"/>
          </w:r>
        </w:p>
      </w:sdtContent>
    </w:sdt>
    <w:p w14:paraId="23636A47" w14:textId="77777777" w:rsidR="008A0AA9" w:rsidRPr="004B11AC" w:rsidRDefault="008A0AA9" w:rsidP="00366398">
      <w:pPr>
        <w:tabs>
          <w:tab w:val="left" w:pos="426"/>
          <w:tab w:val="right" w:leader="dot" w:pos="9070"/>
        </w:tabs>
        <w:jc w:val="both"/>
        <w:rPr>
          <w:color w:val="FF0000"/>
        </w:rPr>
      </w:pPr>
    </w:p>
    <w:p w14:paraId="37F0F78A" w14:textId="77777777" w:rsidR="00B104FB" w:rsidRPr="0043740C" w:rsidRDefault="00B104FB" w:rsidP="00B104FB">
      <w:pPr>
        <w:ind w:right="-142"/>
      </w:pPr>
      <w:r w:rsidRPr="0043740C">
        <w:t>SEZNAM GRAFŮ</w:t>
      </w:r>
    </w:p>
    <w:p w14:paraId="3255497E" w14:textId="77777777" w:rsidR="008068FE" w:rsidRPr="004B11AC" w:rsidRDefault="008068FE" w:rsidP="00B104FB">
      <w:pPr>
        <w:ind w:right="-142"/>
        <w:rPr>
          <w:color w:val="FF0000"/>
        </w:rPr>
      </w:pPr>
    </w:p>
    <w:p w14:paraId="2479159D" w14:textId="5B0DF6B1" w:rsidR="00FC4296" w:rsidRDefault="00AE353C">
      <w:pPr>
        <w:pStyle w:val="Seznamobrzk"/>
        <w:tabs>
          <w:tab w:val="right" w:leader="dot" w:pos="9060"/>
        </w:tabs>
        <w:rPr>
          <w:rFonts w:asciiTheme="minorHAnsi" w:eastAsiaTheme="minorEastAsia" w:hAnsiTheme="minorHAnsi" w:cstheme="minorBidi"/>
          <w:noProof/>
          <w:sz w:val="22"/>
          <w:szCs w:val="22"/>
        </w:rPr>
      </w:pPr>
      <w:r w:rsidRPr="004B11AC">
        <w:rPr>
          <w:color w:val="FF0000"/>
        </w:rPr>
        <w:fldChar w:fldCharType="begin"/>
      </w:r>
      <w:r w:rsidRPr="004B11AC">
        <w:rPr>
          <w:color w:val="FF0000"/>
        </w:rPr>
        <w:instrText xml:space="preserve"> TOC \h \z \c "Graf č." </w:instrText>
      </w:r>
      <w:r w:rsidRPr="004B11AC">
        <w:rPr>
          <w:color w:val="FF0000"/>
        </w:rPr>
        <w:fldChar w:fldCharType="separate"/>
      </w:r>
      <w:hyperlink w:anchor="_Toc34288668" w:history="1">
        <w:r w:rsidR="00FC4296" w:rsidRPr="009763B5">
          <w:rPr>
            <w:rStyle w:val="Hypertextovodkaz"/>
            <w:noProof/>
          </w:rPr>
          <w:t>Graf č. 1:</w:t>
        </w:r>
        <w:r w:rsidR="00FC4296" w:rsidRPr="009763B5">
          <w:rPr>
            <w:rStyle w:val="Hypertextovodkaz"/>
            <w:bCs/>
            <w:noProof/>
          </w:rPr>
          <w:t xml:space="preserve">  </w:t>
        </w:r>
        <w:r w:rsidR="00FC4296">
          <w:rPr>
            <w:rStyle w:val="Hypertextovodkaz"/>
            <w:bCs/>
            <w:noProof/>
          </w:rPr>
          <w:t xml:space="preserve">  </w:t>
        </w:r>
        <w:r w:rsidR="00FC4296" w:rsidRPr="009763B5">
          <w:rPr>
            <w:rStyle w:val="Hypertextovodkaz"/>
            <w:bCs/>
            <w:noProof/>
          </w:rPr>
          <w:t>Porovnání výdajů kapitoly 327-MD</w:t>
        </w:r>
        <w:r w:rsidR="00FC4296">
          <w:rPr>
            <w:noProof/>
            <w:webHidden/>
          </w:rPr>
          <w:tab/>
        </w:r>
        <w:r w:rsidR="00FC4296">
          <w:rPr>
            <w:noProof/>
            <w:webHidden/>
          </w:rPr>
          <w:fldChar w:fldCharType="begin"/>
        </w:r>
        <w:r w:rsidR="00FC4296">
          <w:rPr>
            <w:noProof/>
            <w:webHidden/>
          </w:rPr>
          <w:instrText xml:space="preserve"> PAGEREF _Toc34288668 \h </w:instrText>
        </w:r>
        <w:r w:rsidR="00FC4296">
          <w:rPr>
            <w:noProof/>
            <w:webHidden/>
          </w:rPr>
        </w:r>
        <w:r w:rsidR="00FC4296">
          <w:rPr>
            <w:noProof/>
            <w:webHidden/>
          </w:rPr>
          <w:fldChar w:fldCharType="separate"/>
        </w:r>
        <w:r w:rsidR="00DF450F">
          <w:rPr>
            <w:noProof/>
            <w:webHidden/>
          </w:rPr>
          <w:t>6</w:t>
        </w:r>
        <w:r w:rsidR="00FC4296">
          <w:rPr>
            <w:noProof/>
            <w:webHidden/>
          </w:rPr>
          <w:fldChar w:fldCharType="end"/>
        </w:r>
      </w:hyperlink>
    </w:p>
    <w:p w14:paraId="543EF79C" w14:textId="277939A6" w:rsidR="00FC4296" w:rsidRDefault="004B12F9">
      <w:pPr>
        <w:pStyle w:val="Seznamobrzk"/>
        <w:tabs>
          <w:tab w:val="right" w:leader="dot" w:pos="9060"/>
        </w:tabs>
        <w:rPr>
          <w:rFonts w:asciiTheme="minorHAnsi" w:eastAsiaTheme="minorEastAsia" w:hAnsiTheme="minorHAnsi" w:cstheme="minorBidi"/>
          <w:noProof/>
          <w:sz w:val="22"/>
          <w:szCs w:val="22"/>
        </w:rPr>
      </w:pPr>
      <w:hyperlink w:anchor="_Toc34288669" w:history="1">
        <w:r w:rsidR="00FC4296" w:rsidRPr="009763B5">
          <w:rPr>
            <w:rStyle w:val="Hypertextovodkaz"/>
            <w:noProof/>
          </w:rPr>
          <w:t>Graf č. 2</w:t>
        </w:r>
        <w:r w:rsidR="00FC4296" w:rsidRPr="009763B5">
          <w:rPr>
            <w:rStyle w:val="Hypertextovodkaz"/>
            <w:bCs/>
            <w:noProof/>
          </w:rPr>
          <w:t xml:space="preserve">:  </w:t>
        </w:r>
        <w:r w:rsidR="00FC4296">
          <w:rPr>
            <w:rStyle w:val="Hypertextovodkaz"/>
            <w:bCs/>
            <w:noProof/>
          </w:rPr>
          <w:t xml:space="preserve">  </w:t>
        </w:r>
        <w:r w:rsidR="00FC4296" w:rsidRPr="009763B5">
          <w:rPr>
            <w:rStyle w:val="Hypertextovodkaz"/>
            <w:bCs/>
            <w:noProof/>
          </w:rPr>
          <w:t>Daňové, nedaňové a kapitálové příjmy kapitoly 327-MD (v tis. Kč)</w:t>
        </w:r>
        <w:r w:rsidR="00FC4296">
          <w:rPr>
            <w:noProof/>
            <w:webHidden/>
          </w:rPr>
          <w:tab/>
        </w:r>
        <w:r w:rsidR="00FC4296">
          <w:rPr>
            <w:noProof/>
            <w:webHidden/>
          </w:rPr>
          <w:fldChar w:fldCharType="begin"/>
        </w:r>
        <w:r w:rsidR="00FC4296">
          <w:rPr>
            <w:noProof/>
            <w:webHidden/>
          </w:rPr>
          <w:instrText xml:space="preserve"> PAGEREF _Toc34288669 \h </w:instrText>
        </w:r>
        <w:r w:rsidR="00FC4296">
          <w:rPr>
            <w:noProof/>
            <w:webHidden/>
          </w:rPr>
        </w:r>
        <w:r w:rsidR="00FC4296">
          <w:rPr>
            <w:noProof/>
            <w:webHidden/>
          </w:rPr>
          <w:fldChar w:fldCharType="separate"/>
        </w:r>
        <w:r w:rsidR="00DF450F">
          <w:rPr>
            <w:noProof/>
            <w:webHidden/>
          </w:rPr>
          <w:t>10</w:t>
        </w:r>
        <w:r w:rsidR="00FC4296">
          <w:rPr>
            <w:noProof/>
            <w:webHidden/>
          </w:rPr>
          <w:fldChar w:fldCharType="end"/>
        </w:r>
      </w:hyperlink>
    </w:p>
    <w:p w14:paraId="0EADF1C5" w14:textId="1241972C" w:rsidR="00FC4296" w:rsidRDefault="004B12F9">
      <w:pPr>
        <w:pStyle w:val="Seznamobrzk"/>
        <w:tabs>
          <w:tab w:val="right" w:leader="dot" w:pos="9060"/>
        </w:tabs>
        <w:rPr>
          <w:rFonts w:asciiTheme="minorHAnsi" w:eastAsiaTheme="minorEastAsia" w:hAnsiTheme="minorHAnsi" w:cstheme="minorBidi"/>
          <w:noProof/>
          <w:sz w:val="22"/>
          <w:szCs w:val="22"/>
        </w:rPr>
      </w:pPr>
      <w:hyperlink w:anchor="_Toc34288670" w:history="1">
        <w:r w:rsidR="00FC4296" w:rsidRPr="009763B5">
          <w:rPr>
            <w:rStyle w:val="Hypertextovodkaz"/>
            <w:noProof/>
          </w:rPr>
          <w:t xml:space="preserve">Graf č. 3:  </w:t>
        </w:r>
        <w:r w:rsidR="00FC4296">
          <w:rPr>
            <w:rStyle w:val="Hypertextovodkaz"/>
            <w:noProof/>
          </w:rPr>
          <w:t xml:space="preserve">  </w:t>
        </w:r>
        <w:r w:rsidR="00FC4296" w:rsidRPr="009763B5">
          <w:rPr>
            <w:rStyle w:val="Hypertextovodkaz"/>
            <w:noProof/>
          </w:rPr>
          <w:t>Přijaté transfery kapitoly 327-MD (v tis. Kč)</w:t>
        </w:r>
        <w:r w:rsidR="00FC4296">
          <w:rPr>
            <w:noProof/>
            <w:webHidden/>
          </w:rPr>
          <w:tab/>
        </w:r>
        <w:r w:rsidR="00FC4296">
          <w:rPr>
            <w:noProof/>
            <w:webHidden/>
          </w:rPr>
          <w:fldChar w:fldCharType="begin"/>
        </w:r>
        <w:r w:rsidR="00FC4296">
          <w:rPr>
            <w:noProof/>
            <w:webHidden/>
          </w:rPr>
          <w:instrText xml:space="preserve"> PAGEREF _Toc34288670 \h </w:instrText>
        </w:r>
        <w:r w:rsidR="00FC4296">
          <w:rPr>
            <w:noProof/>
            <w:webHidden/>
          </w:rPr>
        </w:r>
        <w:r w:rsidR="00FC4296">
          <w:rPr>
            <w:noProof/>
            <w:webHidden/>
          </w:rPr>
          <w:fldChar w:fldCharType="separate"/>
        </w:r>
        <w:r w:rsidR="00DF450F">
          <w:rPr>
            <w:noProof/>
            <w:webHidden/>
          </w:rPr>
          <w:t>10</w:t>
        </w:r>
        <w:r w:rsidR="00FC4296">
          <w:rPr>
            <w:noProof/>
            <w:webHidden/>
          </w:rPr>
          <w:fldChar w:fldCharType="end"/>
        </w:r>
      </w:hyperlink>
    </w:p>
    <w:p w14:paraId="4220BABA" w14:textId="3BB5B217" w:rsidR="00FC4296" w:rsidRDefault="004B12F9">
      <w:pPr>
        <w:pStyle w:val="Seznamobrzk"/>
        <w:tabs>
          <w:tab w:val="right" w:leader="dot" w:pos="9060"/>
        </w:tabs>
        <w:rPr>
          <w:rFonts w:asciiTheme="minorHAnsi" w:eastAsiaTheme="minorEastAsia" w:hAnsiTheme="minorHAnsi" w:cstheme="minorBidi"/>
          <w:noProof/>
          <w:sz w:val="22"/>
          <w:szCs w:val="22"/>
        </w:rPr>
      </w:pPr>
      <w:hyperlink w:anchor="_Toc34288671" w:history="1">
        <w:r w:rsidR="00FC4296" w:rsidRPr="009763B5">
          <w:rPr>
            <w:rStyle w:val="Hypertextovodkaz"/>
            <w:noProof/>
          </w:rPr>
          <w:t xml:space="preserve">Graf č. 4:  </w:t>
        </w:r>
        <w:r w:rsidR="00FC4296">
          <w:rPr>
            <w:rStyle w:val="Hypertextovodkaz"/>
            <w:noProof/>
          </w:rPr>
          <w:t xml:space="preserve">  </w:t>
        </w:r>
        <w:r w:rsidR="00FC4296" w:rsidRPr="009763B5">
          <w:rPr>
            <w:rStyle w:val="Hypertextovodkaz"/>
            <w:noProof/>
          </w:rPr>
          <w:t>Správní poplatky (v tis. Kč)</w:t>
        </w:r>
        <w:r w:rsidR="00FC4296">
          <w:rPr>
            <w:noProof/>
            <w:webHidden/>
          </w:rPr>
          <w:tab/>
        </w:r>
        <w:r w:rsidR="00FC4296">
          <w:rPr>
            <w:noProof/>
            <w:webHidden/>
          </w:rPr>
          <w:fldChar w:fldCharType="begin"/>
        </w:r>
        <w:r w:rsidR="00FC4296">
          <w:rPr>
            <w:noProof/>
            <w:webHidden/>
          </w:rPr>
          <w:instrText xml:space="preserve"> PAGEREF _Toc34288671 \h </w:instrText>
        </w:r>
        <w:r w:rsidR="00FC4296">
          <w:rPr>
            <w:noProof/>
            <w:webHidden/>
          </w:rPr>
        </w:r>
        <w:r w:rsidR="00FC4296">
          <w:rPr>
            <w:noProof/>
            <w:webHidden/>
          </w:rPr>
          <w:fldChar w:fldCharType="separate"/>
        </w:r>
        <w:r w:rsidR="00DF450F">
          <w:rPr>
            <w:noProof/>
            <w:webHidden/>
          </w:rPr>
          <w:t>12</w:t>
        </w:r>
        <w:r w:rsidR="00FC4296">
          <w:rPr>
            <w:noProof/>
            <w:webHidden/>
          </w:rPr>
          <w:fldChar w:fldCharType="end"/>
        </w:r>
      </w:hyperlink>
    </w:p>
    <w:p w14:paraId="7CA85931" w14:textId="2BABD842" w:rsidR="00FC4296" w:rsidRDefault="004B12F9">
      <w:pPr>
        <w:pStyle w:val="Seznamobrzk"/>
        <w:tabs>
          <w:tab w:val="right" w:leader="dot" w:pos="9060"/>
        </w:tabs>
        <w:rPr>
          <w:rFonts w:asciiTheme="minorHAnsi" w:eastAsiaTheme="minorEastAsia" w:hAnsiTheme="minorHAnsi" w:cstheme="minorBidi"/>
          <w:noProof/>
          <w:sz w:val="22"/>
          <w:szCs w:val="22"/>
        </w:rPr>
      </w:pPr>
      <w:hyperlink w:anchor="_Toc34288672" w:history="1">
        <w:r w:rsidR="00FC4296" w:rsidRPr="009763B5">
          <w:rPr>
            <w:rStyle w:val="Hypertextovodkaz"/>
            <w:noProof/>
          </w:rPr>
          <w:t xml:space="preserve">Graf č. 5:  </w:t>
        </w:r>
        <w:r w:rsidR="00FC4296">
          <w:rPr>
            <w:rStyle w:val="Hypertextovodkaz"/>
            <w:noProof/>
          </w:rPr>
          <w:t xml:space="preserve">  </w:t>
        </w:r>
        <w:r w:rsidR="00FC4296" w:rsidRPr="009763B5">
          <w:rPr>
            <w:rStyle w:val="Hypertextovodkaz"/>
            <w:noProof/>
          </w:rPr>
          <w:t>Pokuty ve správním řízení (v tis. Kč)</w:t>
        </w:r>
        <w:r w:rsidR="00FC4296">
          <w:rPr>
            <w:noProof/>
            <w:webHidden/>
          </w:rPr>
          <w:tab/>
        </w:r>
        <w:r w:rsidR="00FC4296">
          <w:rPr>
            <w:noProof/>
            <w:webHidden/>
          </w:rPr>
          <w:fldChar w:fldCharType="begin"/>
        </w:r>
        <w:r w:rsidR="00FC4296">
          <w:rPr>
            <w:noProof/>
            <w:webHidden/>
          </w:rPr>
          <w:instrText xml:space="preserve"> PAGEREF _Toc34288672 \h </w:instrText>
        </w:r>
        <w:r w:rsidR="00FC4296">
          <w:rPr>
            <w:noProof/>
            <w:webHidden/>
          </w:rPr>
        </w:r>
        <w:r w:rsidR="00FC4296">
          <w:rPr>
            <w:noProof/>
            <w:webHidden/>
          </w:rPr>
          <w:fldChar w:fldCharType="separate"/>
        </w:r>
        <w:r w:rsidR="00DF450F">
          <w:rPr>
            <w:noProof/>
            <w:webHidden/>
          </w:rPr>
          <w:t>13</w:t>
        </w:r>
        <w:r w:rsidR="00FC4296">
          <w:rPr>
            <w:noProof/>
            <w:webHidden/>
          </w:rPr>
          <w:fldChar w:fldCharType="end"/>
        </w:r>
      </w:hyperlink>
    </w:p>
    <w:p w14:paraId="6172B505" w14:textId="1E695812" w:rsidR="00FC4296" w:rsidRDefault="004B12F9">
      <w:pPr>
        <w:pStyle w:val="Seznamobrzk"/>
        <w:tabs>
          <w:tab w:val="right" w:leader="dot" w:pos="9060"/>
        </w:tabs>
        <w:rPr>
          <w:rFonts w:asciiTheme="minorHAnsi" w:eastAsiaTheme="minorEastAsia" w:hAnsiTheme="minorHAnsi" w:cstheme="minorBidi"/>
          <w:noProof/>
          <w:sz w:val="22"/>
          <w:szCs w:val="22"/>
        </w:rPr>
      </w:pPr>
      <w:hyperlink w:anchor="_Toc34288673" w:history="1">
        <w:r w:rsidR="00FC4296" w:rsidRPr="009763B5">
          <w:rPr>
            <w:rStyle w:val="Hypertextovodkaz"/>
            <w:noProof/>
          </w:rPr>
          <w:t xml:space="preserve">Graf č. 6: </w:t>
        </w:r>
        <w:r w:rsidR="00FC4296">
          <w:rPr>
            <w:rStyle w:val="Hypertextovodkaz"/>
            <w:noProof/>
          </w:rPr>
          <w:t xml:space="preserve">   </w:t>
        </w:r>
        <w:r w:rsidR="00FC4296" w:rsidRPr="009763B5">
          <w:rPr>
            <w:rStyle w:val="Hypertextovodkaz"/>
            <w:noProof/>
          </w:rPr>
          <w:t>Specifické výdajové ukazatele kapitoly 327-MD za rok 2019</w:t>
        </w:r>
        <w:r w:rsidR="00FC4296">
          <w:rPr>
            <w:noProof/>
            <w:webHidden/>
          </w:rPr>
          <w:tab/>
        </w:r>
        <w:r w:rsidR="00FC4296">
          <w:rPr>
            <w:noProof/>
            <w:webHidden/>
          </w:rPr>
          <w:fldChar w:fldCharType="begin"/>
        </w:r>
        <w:r w:rsidR="00FC4296">
          <w:rPr>
            <w:noProof/>
            <w:webHidden/>
          </w:rPr>
          <w:instrText xml:space="preserve"> PAGEREF _Toc34288673 \h </w:instrText>
        </w:r>
        <w:r w:rsidR="00FC4296">
          <w:rPr>
            <w:noProof/>
            <w:webHidden/>
          </w:rPr>
        </w:r>
        <w:r w:rsidR="00FC4296">
          <w:rPr>
            <w:noProof/>
            <w:webHidden/>
          </w:rPr>
          <w:fldChar w:fldCharType="separate"/>
        </w:r>
        <w:r w:rsidR="00DF450F">
          <w:rPr>
            <w:noProof/>
            <w:webHidden/>
          </w:rPr>
          <w:t>19</w:t>
        </w:r>
        <w:r w:rsidR="00FC4296">
          <w:rPr>
            <w:noProof/>
            <w:webHidden/>
          </w:rPr>
          <w:fldChar w:fldCharType="end"/>
        </w:r>
      </w:hyperlink>
    </w:p>
    <w:p w14:paraId="0897635A" w14:textId="0BBBDFFC" w:rsidR="00FC4296" w:rsidRDefault="004B12F9">
      <w:pPr>
        <w:pStyle w:val="Seznamobrzk"/>
        <w:tabs>
          <w:tab w:val="right" w:leader="dot" w:pos="9060"/>
        </w:tabs>
        <w:rPr>
          <w:rFonts w:asciiTheme="minorHAnsi" w:eastAsiaTheme="minorEastAsia" w:hAnsiTheme="minorHAnsi" w:cstheme="minorBidi"/>
          <w:noProof/>
          <w:sz w:val="22"/>
          <w:szCs w:val="22"/>
        </w:rPr>
      </w:pPr>
      <w:hyperlink w:anchor="_Toc34288674" w:history="1">
        <w:r w:rsidR="00FC4296" w:rsidRPr="009763B5">
          <w:rPr>
            <w:rStyle w:val="Hypertextovodkaz"/>
            <w:noProof/>
          </w:rPr>
          <w:t xml:space="preserve">Graf č. 7:  </w:t>
        </w:r>
        <w:r w:rsidR="00FC4296">
          <w:rPr>
            <w:rStyle w:val="Hypertextovodkaz"/>
            <w:noProof/>
          </w:rPr>
          <w:t xml:space="preserve">  </w:t>
        </w:r>
        <w:r w:rsidR="00FC4296" w:rsidRPr="009763B5">
          <w:rPr>
            <w:rStyle w:val="Hypertextovodkaz"/>
            <w:noProof/>
          </w:rPr>
          <w:t>Členění běžných výdajů kapitoly 327-MD</w:t>
        </w:r>
        <w:r w:rsidR="00FC4296">
          <w:rPr>
            <w:noProof/>
            <w:webHidden/>
          </w:rPr>
          <w:tab/>
        </w:r>
        <w:r w:rsidR="00FC4296">
          <w:rPr>
            <w:noProof/>
            <w:webHidden/>
          </w:rPr>
          <w:fldChar w:fldCharType="begin"/>
        </w:r>
        <w:r w:rsidR="00FC4296">
          <w:rPr>
            <w:noProof/>
            <w:webHidden/>
          </w:rPr>
          <w:instrText xml:space="preserve"> PAGEREF _Toc34288674 \h </w:instrText>
        </w:r>
        <w:r w:rsidR="00FC4296">
          <w:rPr>
            <w:noProof/>
            <w:webHidden/>
          </w:rPr>
        </w:r>
        <w:r w:rsidR="00FC4296">
          <w:rPr>
            <w:noProof/>
            <w:webHidden/>
          </w:rPr>
          <w:fldChar w:fldCharType="separate"/>
        </w:r>
        <w:r w:rsidR="00DF450F">
          <w:rPr>
            <w:noProof/>
            <w:webHidden/>
          </w:rPr>
          <w:t>21</w:t>
        </w:r>
        <w:r w:rsidR="00FC4296">
          <w:rPr>
            <w:noProof/>
            <w:webHidden/>
          </w:rPr>
          <w:fldChar w:fldCharType="end"/>
        </w:r>
      </w:hyperlink>
    </w:p>
    <w:p w14:paraId="32CB21B4" w14:textId="46293EBB" w:rsidR="00FC4296" w:rsidRDefault="004B12F9" w:rsidP="00FC4296">
      <w:pPr>
        <w:pStyle w:val="Seznamobrzk"/>
        <w:tabs>
          <w:tab w:val="right" w:leader="dot" w:pos="9060"/>
        </w:tabs>
        <w:ind w:left="1134" w:hanging="1134"/>
        <w:rPr>
          <w:rFonts w:asciiTheme="minorHAnsi" w:eastAsiaTheme="minorEastAsia" w:hAnsiTheme="minorHAnsi" w:cstheme="minorBidi"/>
          <w:noProof/>
          <w:sz w:val="22"/>
          <w:szCs w:val="22"/>
        </w:rPr>
      </w:pPr>
      <w:hyperlink w:anchor="_Toc34288675" w:history="1">
        <w:r w:rsidR="00FC4296" w:rsidRPr="009763B5">
          <w:rPr>
            <w:rStyle w:val="Hypertextovodkaz"/>
            <w:noProof/>
          </w:rPr>
          <w:t xml:space="preserve">Graf č. 8:  </w:t>
        </w:r>
        <w:r w:rsidR="00FC4296">
          <w:rPr>
            <w:rStyle w:val="Hypertextovodkaz"/>
            <w:noProof/>
          </w:rPr>
          <w:t xml:space="preserve">  </w:t>
        </w:r>
        <w:r w:rsidR="00FC4296" w:rsidRPr="009763B5">
          <w:rPr>
            <w:rStyle w:val="Hypertextovodkaz"/>
            <w:noProof/>
          </w:rPr>
          <w:t xml:space="preserve">Přehled čerpání běžných výdajů v jednotlivých čtvrtletích v letech </w:t>
        </w:r>
        <w:r w:rsidR="00FC4296">
          <w:rPr>
            <w:rStyle w:val="Hypertextovodkaz"/>
            <w:noProof/>
          </w:rPr>
          <w:br/>
        </w:r>
        <w:r w:rsidR="00FC4296" w:rsidRPr="009763B5">
          <w:rPr>
            <w:rStyle w:val="Hypertextovodkaz"/>
            <w:noProof/>
          </w:rPr>
          <w:t>2015-2019 (v tis. Kč)</w:t>
        </w:r>
        <w:r w:rsidR="00FC4296">
          <w:rPr>
            <w:noProof/>
            <w:webHidden/>
          </w:rPr>
          <w:tab/>
        </w:r>
        <w:r w:rsidR="00FC4296">
          <w:rPr>
            <w:noProof/>
            <w:webHidden/>
          </w:rPr>
          <w:fldChar w:fldCharType="begin"/>
        </w:r>
        <w:r w:rsidR="00FC4296">
          <w:rPr>
            <w:noProof/>
            <w:webHidden/>
          </w:rPr>
          <w:instrText xml:space="preserve"> PAGEREF _Toc34288675 \h </w:instrText>
        </w:r>
        <w:r w:rsidR="00FC4296">
          <w:rPr>
            <w:noProof/>
            <w:webHidden/>
          </w:rPr>
        </w:r>
        <w:r w:rsidR="00FC4296">
          <w:rPr>
            <w:noProof/>
            <w:webHidden/>
          </w:rPr>
          <w:fldChar w:fldCharType="separate"/>
        </w:r>
        <w:r w:rsidR="00DF450F">
          <w:rPr>
            <w:noProof/>
            <w:webHidden/>
          </w:rPr>
          <w:t>24</w:t>
        </w:r>
        <w:r w:rsidR="00FC4296">
          <w:rPr>
            <w:noProof/>
            <w:webHidden/>
          </w:rPr>
          <w:fldChar w:fldCharType="end"/>
        </w:r>
      </w:hyperlink>
    </w:p>
    <w:p w14:paraId="35D8BE19" w14:textId="53D53F28" w:rsidR="00FC4296" w:rsidRDefault="004B12F9">
      <w:pPr>
        <w:pStyle w:val="Seznamobrzk"/>
        <w:tabs>
          <w:tab w:val="right" w:leader="dot" w:pos="9060"/>
        </w:tabs>
        <w:rPr>
          <w:rFonts w:asciiTheme="minorHAnsi" w:eastAsiaTheme="minorEastAsia" w:hAnsiTheme="minorHAnsi" w:cstheme="minorBidi"/>
          <w:noProof/>
          <w:sz w:val="22"/>
          <w:szCs w:val="22"/>
        </w:rPr>
      </w:pPr>
      <w:hyperlink w:anchor="_Toc34288676" w:history="1">
        <w:r w:rsidR="00FC4296" w:rsidRPr="009763B5">
          <w:rPr>
            <w:rStyle w:val="Hypertextovodkaz"/>
            <w:noProof/>
          </w:rPr>
          <w:t xml:space="preserve">Graf č. 9:  </w:t>
        </w:r>
        <w:r w:rsidR="00FC4296">
          <w:rPr>
            <w:rStyle w:val="Hypertextovodkaz"/>
            <w:noProof/>
          </w:rPr>
          <w:t xml:space="preserve">  </w:t>
        </w:r>
        <w:r w:rsidR="00FC4296" w:rsidRPr="009763B5">
          <w:rPr>
            <w:rStyle w:val="Hypertextovodkaz"/>
            <w:noProof/>
          </w:rPr>
          <w:t>Přehled běžných výdajů organizačních složek státu kapitoly 327-MD</w:t>
        </w:r>
        <w:r w:rsidR="00FC4296">
          <w:rPr>
            <w:noProof/>
            <w:webHidden/>
          </w:rPr>
          <w:tab/>
        </w:r>
        <w:r w:rsidR="00FC4296">
          <w:rPr>
            <w:noProof/>
            <w:webHidden/>
          </w:rPr>
          <w:fldChar w:fldCharType="begin"/>
        </w:r>
        <w:r w:rsidR="00FC4296">
          <w:rPr>
            <w:noProof/>
            <w:webHidden/>
          </w:rPr>
          <w:instrText xml:space="preserve"> PAGEREF _Toc34288676 \h </w:instrText>
        </w:r>
        <w:r w:rsidR="00FC4296">
          <w:rPr>
            <w:noProof/>
            <w:webHidden/>
          </w:rPr>
        </w:r>
        <w:r w:rsidR="00FC4296">
          <w:rPr>
            <w:noProof/>
            <w:webHidden/>
          </w:rPr>
          <w:fldChar w:fldCharType="separate"/>
        </w:r>
        <w:r w:rsidR="00DF450F">
          <w:rPr>
            <w:noProof/>
            <w:webHidden/>
          </w:rPr>
          <w:t>26</w:t>
        </w:r>
        <w:r w:rsidR="00FC4296">
          <w:rPr>
            <w:noProof/>
            <w:webHidden/>
          </w:rPr>
          <w:fldChar w:fldCharType="end"/>
        </w:r>
      </w:hyperlink>
    </w:p>
    <w:p w14:paraId="57019867" w14:textId="7E73CE82" w:rsidR="00FC4296" w:rsidRDefault="004B12F9">
      <w:pPr>
        <w:pStyle w:val="Seznamobrzk"/>
        <w:tabs>
          <w:tab w:val="right" w:leader="dot" w:pos="9060"/>
        </w:tabs>
        <w:rPr>
          <w:rFonts w:asciiTheme="minorHAnsi" w:eastAsiaTheme="minorEastAsia" w:hAnsiTheme="minorHAnsi" w:cstheme="minorBidi"/>
          <w:noProof/>
          <w:sz w:val="22"/>
          <w:szCs w:val="22"/>
        </w:rPr>
      </w:pPr>
      <w:hyperlink w:anchor="_Toc34288677" w:history="1">
        <w:r w:rsidR="00FC4296" w:rsidRPr="009763B5">
          <w:rPr>
            <w:rStyle w:val="Hypertextovodkaz"/>
            <w:noProof/>
          </w:rPr>
          <w:t>Graf č. 10:  Přehled běžných výdajů příspěvkových organizací poskytnutých z kapitoly</w:t>
        </w:r>
        <w:r w:rsidR="00FC4296">
          <w:rPr>
            <w:noProof/>
            <w:webHidden/>
          </w:rPr>
          <w:tab/>
        </w:r>
        <w:r w:rsidR="00FC4296">
          <w:rPr>
            <w:noProof/>
            <w:webHidden/>
          </w:rPr>
          <w:fldChar w:fldCharType="begin"/>
        </w:r>
        <w:r w:rsidR="00FC4296">
          <w:rPr>
            <w:noProof/>
            <w:webHidden/>
          </w:rPr>
          <w:instrText xml:space="preserve"> PAGEREF _Toc34288677 \h </w:instrText>
        </w:r>
        <w:r w:rsidR="00FC4296">
          <w:rPr>
            <w:noProof/>
            <w:webHidden/>
          </w:rPr>
        </w:r>
        <w:r w:rsidR="00FC4296">
          <w:rPr>
            <w:noProof/>
            <w:webHidden/>
          </w:rPr>
          <w:fldChar w:fldCharType="separate"/>
        </w:r>
        <w:r w:rsidR="00DF450F">
          <w:rPr>
            <w:noProof/>
            <w:webHidden/>
          </w:rPr>
          <w:t>36</w:t>
        </w:r>
        <w:r w:rsidR="00FC4296">
          <w:rPr>
            <w:noProof/>
            <w:webHidden/>
          </w:rPr>
          <w:fldChar w:fldCharType="end"/>
        </w:r>
      </w:hyperlink>
    </w:p>
    <w:p w14:paraId="734080A8" w14:textId="4462215C" w:rsidR="00FC4296" w:rsidRDefault="004B12F9">
      <w:pPr>
        <w:pStyle w:val="Seznamobrzk"/>
        <w:tabs>
          <w:tab w:val="right" w:leader="dot" w:pos="9060"/>
        </w:tabs>
        <w:rPr>
          <w:rFonts w:asciiTheme="minorHAnsi" w:eastAsiaTheme="minorEastAsia" w:hAnsiTheme="minorHAnsi" w:cstheme="minorBidi"/>
          <w:noProof/>
          <w:sz w:val="22"/>
          <w:szCs w:val="22"/>
        </w:rPr>
      </w:pPr>
      <w:hyperlink w:anchor="_Toc34288678" w:history="1">
        <w:r w:rsidR="00FC4296" w:rsidRPr="009763B5">
          <w:rPr>
            <w:rStyle w:val="Hypertextovodkaz"/>
            <w:noProof/>
          </w:rPr>
          <w:t>Graf č. 11:  Porovnání výdajů na zahraniční pracovní cesty kapitoly 327-MD (v tis. Kč)</w:t>
        </w:r>
        <w:r w:rsidR="00FC4296">
          <w:rPr>
            <w:noProof/>
            <w:webHidden/>
          </w:rPr>
          <w:tab/>
        </w:r>
        <w:r w:rsidR="00FC4296">
          <w:rPr>
            <w:noProof/>
            <w:webHidden/>
          </w:rPr>
          <w:fldChar w:fldCharType="begin"/>
        </w:r>
        <w:r w:rsidR="00FC4296">
          <w:rPr>
            <w:noProof/>
            <w:webHidden/>
          </w:rPr>
          <w:instrText xml:space="preserve"> PAGEREF _Toc34288678 \h </w:instrText>
        </w:r>
        <w:r w:rsidR="00FC4296">
          <w:rPr>
            <w:noProof/>
            <w:webHidden/>
          </w:rPr>
        </w:r>
        <w:r w:rsidR="00FC4296">
          <w:rPr>
            <w:noProof/>
            <w:webHidden/>
          </w:rPr>
          <w:fldChar w:fldCharType="separate"/>
        </w:r>
        <w:r w:rsidR="00DF450F">
          <w:rPr>
            <w:noProof/>
            <w:webHidden/>
          </w:rPr>
          <w:t>41</w:t>
        </w:r>
        <w:r w:rsidR="00FC4296">
          <w:rPr>
            <w:noProof/>
            <w:webHidden/>
          </w:rPr>
          <w:fldChar w:fldCharType="end"/>
        </w:r>
      </w:hyperlink>
    </w:p>
    <w:p w14:paraId="0C9493B0" w14:textId="2B089462" w:rsidR="00FC4296" w:rsidRDefault="004B12F9" w:rsidP="00FC4296">
      <w:pPr>
        <w:pStyle w:val="Seznamobrzk"/>
        <w:tabs>
          <w:tab w:val="right" w:leader="dot" w:pos="9060"/>
        </w:tabs>
        <w:ind w:left="1134" w:hanging="1134"/>
        <w:rPr>
          <w:rFonts w:asciiTheme="minorHAnsi" w:eastAsiaTheme="minorEastAsia" w:hAnsiTheme="minorHAnsi" w:cstheme="minorBidi"/>
          <w:noProof/>
          <w:sz w:val="22"/>
          <w:szCs w:val="22"/>
        </w:rPr>
      </w:pPr>
      <w:hyperlink w:anchor="_Toc34288679" w:history="1">
        <w:r w:rsidR="00FC4296" w:rsidRPr="009763B5">
          <w:rPr>
            <w:rStyle w:val="Hypertextovodkaz"/>
            <w:noProof/>
          </w:rPr>
          <w:t>Graf č. 12:  Přehled zálohových plateb na neinvestiční dodávky a práce nerealizované  k 31.12.2019</w:t>
        </w:r>
        <w:r w:rsidR="00FC4296">
          <w:rPr>
            <w:noProof/>
            <w:webHidden/>
          </w:rPr>
          <w:tab/>
        </w:r>
        <w:r w:rsidR="00FC4296">
          <w:rPr>
            <w:noProof/>
            <w:webHidden/>
          </w:rPr>
          <w:fldChar w:fldCharType="begin"/>
        </w:r>
        <w:r w:rsidR="00FC4296">
          <w:rPr>
            <w:noProof/>
            <w:webHidden/>
          </w:rPr>
          <w:instrText xml:space="preserve"> PAGEREF _Toc34288679 \h </w:instrText>
        </w:r>
        <w:r w:rsidR="00FC4296">
          <w:rPr>
            <w:noProof/>
            <w:webHidden/>
          </w:rPr>
        </w:r>
        <w:r w:rsidR="00FC4296">
          <w:rPr>
            <w:noProof/>
            <w:webHidden/>
          </w:rPr>
          <w:fldChar w:fldCharType="separate"/>
        </w:r>
        <w:r w:rsidR="00DF450F">
          <w:rPr>
            <w:noProof/>
            <w:webHidden/>
          </w:rPr>
          <w:t>42</w:t>
        </w:r>
        <w:r w:rsidR="00FC4296">
          <w:rPr>
            <w:noProof/>
            <w:webHidden/>
          </w:rPr>
          <w:fldChar w:fldCharType="end"/>
        </w:r>
      </w:hyperlink>
    </w:p>
    <w:p w14:paraId="3AF274B8" w14:textId="137230E0" w:rsidR="00FC4296" w:rsidRDefault="004B12F9">
      <w:pPr>
        <w:pStyle w:val="Seznamobrzk"/>
        <w:tabs>
          <w:tab w:val="right" w:leader="dot" w:pos="9060"/>
        </w:tabs>
        <w:rPr>
          <w:rFonts w:asciiTheme="minorHAnsi" w:eastAsiaTheme="minorEastAsia" w:hAnsiTheme="minorHAnsi" w:cstheme="minorBidi"/>
          <w:noProof/>
          <w:sz w:val="22"/>
          <w:szCs w:val="22"/>
        </w:rPr>
      </w:pPr>
      <w:hyperlink w:anchor="_Toc34288680" w:history="1">
        <w:r w:rsidR="00FC4296" w:rsidRPr="009763B5">
          <w:rPr>
            <w:rStyle w:val="Hypertextovodkaz"/>
            <w:noProof/>
          </w:rPr>
          <w:t>Graf č. 13:  Porovnání stavu pohledávek kapitoly 327-MD (v tis. Kč)</w:t>
        </w:r>
        <w:r w:rsidR="00FC4296">
          <w:rPr>
            <w:noProof/>
            <w:webHidden/>
          </w:rPr>
          <w:tab/>
        </w:r>
        <w:r w:rsidR="00FC4296">
          <w:rPr>
            <w:noProof/>
            <w:webHidden/>
          </w:rPr>
          <w:fldChar w:fldCharType="begin"/>
        </w:r>
        <w:r w:rsidR="00FC4296">
          <w:rPr>
            <w:noProof/>
            <w:webHidden/>
          </w:rPr>
          <w:instrText xml:space="preserve"> PAGEREF _Toc34288680 \h </w:instrText>
        </w:r>
        <w:r w:rsidR="00FC4296">
          <w:rPr>
            <w:noProof/>
            <w:webHidden/>
          </w:rPr>
        </w:r>
        <w:r w:rsidR="00FC4296">
          <w:rPr>
            <w:noProof/>
            <w:webHidden/>
          </w:rPr>
          <w:fldChar w:fldCharType="separate"/>
        </w:r>
        <w:r w:rsidR="00DF450F">
          <w:rPr>
            <w:noProof/>
            <w:webHidden/>
          </w:rPr>
          <w:t>43</w:t>
        </w:r>
        <w:r w:rsidR="00FC4296">
          <w:rPr>
            <w:noProof/>
            <w:webHidden/>
          </w:rPr>
          <w:fldChar w:fldCharType="end"/>
        </w:r>
      </w:hyperlink>
    </w:p>
    <w:p w14:paraId="02749003" w14:textId="3C6B0984" w:rsidR="00FC4296" w:rsidRDefault="004B12F9">
      <w:pPr>
        <w:pStyle w:val="Seznamobrzk"/>
        <w:tabs>
          <w:tab w:val="right" w:leader="dot" w:pos="9060"/>
        </w:tabs>
        <w:rPr>
          <w:rFonts w:asciiTheme="minorHAnsi" w:eastAsiaTheme="minorEastAsia" w:hAnsiTheme="minorHAnsi" w:cstheme="minorBidi"/>
          <w:noProof/>
          <w:sz w:val="22"/>
          <w:szCs w:val="22"/>
        </w:rPr>
      </w:pPr>
      <w:hyperlink w:anchor="_Toc34288681" w:history="1">
        <w:r w:rsidR="00FC4296" w:rsidRPr="009763B5">
          <w:rPr>
            <w:rStyle w:val="Hypertextovodkaz"/>
            <w:noProof/>
          </w:rPr>
          <w:t>Graf č. 14:  Porovnání stavu závazků kapitoly 327-MD (v tis. Kč)</w:t>
        </w:r>
        <w:r w:rsidR="00FC4296">
          <w:rPr>
            <w:noProof/>
            <w:webHidden/>
          </w:rPr>
          <w:tab/>
        </w:r>
        <w:r w:rsidR="00FC4296">
          <w:rPr>
            <w:noProof/>
            <w:webHidden/>
          </w:rPr>
          <w:fldChar w:fldCharType="begin"/>
        </w:r>
        <w:r w:rsidR="00FC4296">
          <w:rPr>
            <w:noProof/>
            <w:webHidden/>
          </w:rPr>
          <w:instrText xml:space="preserve"> PAGEREF _Toc34288681 \h </w:instrText>
        </w:r>
        <w:r w:rsidR="00FC4296">
          <w:rPr>
            <w:noProof/>
            <w:webHidden/>
          </w:rPr>
        </w:r>
        <w:r w:rsidR="00FC4296">
          <w:rPr>
            <w:noProof/>
            <w:webHidden/>
          </w:rPr>
          <w:fldChar w:fldCharType="separate"/>
        </w:r>
        <w:r w:rsidR="00DF450F">
          <w:rPr>
            <w:noProof/>
            <w:webHidden/>
          </w:rPr>
          <w:t>44</w:t>
        </w:r>
        <w:r w:rsidR="00FC4296">
          <w:rPr>
            <w:noProof/>
            <w:webHidden/>
          </w:rPr>
          <w:fldChar w:fldCharType="end"/>
        </w:r>
      </w:hyperlink>
    </w:p>
    <w:p w14:paraId="4CC57C69" w14:textId="799DD6CC" w:rsidR="00FC4296" w:rsidRDefault="004B12F9">
      <w:pPr>
        <w:pStyle w:val="Seznamobrzk"/>
        <w:tabs>
          <w:tab w:val="right" w:leader="dot" w:pos="9060"/>
        </w:tabs>
        <w:rPr>
          <w:rFonts w:asciiTheme="minorHAnsi" w:eastAsiaTheme="minorEastAsia" w:hAnsiTheme="minorHAnsi" w:cstheme="minorBidi"/>
          <w:noProof/>
          <w:sz w:val="22"/>
          <w:szCs w:val="22"/>
        </w:rPr>
      </w:pPr>
      <w:hyperlink w:anchor="_Toc34288682" w:history="1">
        <w:r w:rsidR="00FC4296" w:rsidRPr="009763B5">
          <w:rPr>
            <w:rStyle w:val="Hypertextovodkaz"/>
            <w:noProof/>
          </w:rPr>
          <w:t>Graf č. 15:  Neinvestiční transfery podnikatelským subjektům</w:t>
        </w:r>
        <w:r w:rsidR="00FC4296">
          <w:rPr>
            <w:noProof/>
            <w:webHidden/>
          </w:rPr>
          <w:tab/>
        </w:r>
        <w:r w:rsidR="00FC4296">
          <w:rPr>
            <w:noProof/>
            <w:webHidden/>
          </w:rPr>
          <w:fldChar w:fldCharType="begin"/>
        </w:r>
        <w:r w:rsidR="00FC4296">
          <w:rPr>
            <w:noProof/>
            <w:webHidden/>
          </w:rPr>
          <w:instrText xml:space="preserve"> PAGEREF _Toc34288682 \h </w:instrText>
        </w:r>
        <w:r w:rsidR="00FC4296">
          <w:rPr>
            <w:noProof/>
            <w:webHidden/>
          </w:rPr>
        </w:r>
        <w:r w:rsidR="00FC4296">
          <w:rPr>
            <w:noProof/>
            <w:webHidden/>
          </w:rPr>
          <w:fldChar w:fldCharType="separate"/>
        </w:r>
        <w:r w:rsidR="00DF450F">
          <w:rPr>
            <w:noProof/>
            <w:webHidden/>
          </w:rPr>
          <w:t>53</w:t>
        </w:r>
        <w:r w:rsidR="00FC4296">
          <w:rPr>
            <w:noProof/>
            <w:webHidden/>
          </w:rPr>
          <w:fldChar w:fldCharType="end"/>
        </w:r>
      </w:hyperlink>
    </w:p>
    <w:p w14:paraId="4F42A043" w14:textId="1C53838A" w:rsidR="00FC4296" w:rsidRDefault="004B12F9">
      <w:pPr>
        <w:pStyle w:val="Seznamobrzk"/>
        <w:tabs>
          <w:tab w:val="right" w:leader="dot" w:pos="9060"/>
        </w:tabs>
        <w:rPr>
          <w:rFonts w:asciiTheme="minorHAnsi" w:eastAsiaTheme="minorEastAsia" w:hAnsiTheme="minorHAnsi" w:cstheme="minorBidi"/>
          <w:noProof/>
          <w:sz w:val="22"/>
          <w:szCs w:val="22"/>
        </w:rPr>
      </w:pPr>
      <w:hyperlink w:anchor="_Toc34288683" w:history="1">
        <w:r w:rsidR="00FC4296" w:rsidRPr="009763B5">
          <w:rPr>
            <w:rStyle w:val="Hypertextovodkaz"/>
            <w:noProof/>
          </w:rPr>
          <w:t>Graf č. 16</w:t>
        </w:r>
        <w:r w:rsidR="00FC4296" w:rsidRPr="009763B5">
          <w:rPr>
            <w:rStyle w:val="Hypertextovodkaz"/>
            <w:bCs/>
            <w:noProof/>
          </w:rPr>
          <w:t>:  Rozdělení prostředků mezi jednotlivé kraje a hl. m. Prahu (tis. Kč)</w:t>
        </w:r>
        <w:r w:rsidR="00FC4296">
          <w:rPr>
            <w:noProof/>
            <w:webHidden/>
          </w:rPr>
          <w:tab/>
        </w:r>
        <w:r w:rsidR="00FC4296">
          <w:rPr>
            <w:noProof/>
            <w:webHidden/>
          </w:rPr>
          <w:fldChar w:fldCharType="begin"/>
        </w:r>
        <w:r w:rsidR="00FC4296">
          <w:rPr>
            <w:noProof/>
            <w:webHidden/>
          </w:rPr>
          <w:instrText xml:space="preserve"> PAGEREF _Toc34288683 \h </w:instrText>
        </w:r>
        <w:r w:rsidR="00FC4296">
          <w:rPr>
            <w:noProof/>
            <w:webHidden/>
          </w:rPr>
        </w:r>
        <w:r w:rsidR="00FC4296">
          <w:rPr>
            <w:noProof/>
            <w:webHidden/>
          </w:rPr>
          <w:fldChar w:fldCharType="separate"/>
        </w:r>
        <w:r w:rsidR="00DF450F">
          <w:rPr>
            <w:noProof/>
            <w:webHidden/>
          </w:rPr>
          <w:t>60</w:t>
        </w:r>
        <w:r w:rsidR="00FC4296">
          <w:rPr>
            <w:noProof/>
            <w:webHidden/>
          </w:rPr>
          <w:fldChar w:fldCharType="end"/>
        </w:r>
      </w:hyperlink>
    </w:p>
    <w:p w14:paraId="4A0B0C32" w14:textId="10D8BD79" w:rsidR="00FC4296" w:rsidRDefault="004B12F9">
      <w:pPr>
        <w:pStyle w:val="Seznamobrzk"/>
        <w:tabs>
          <w:tab w:val="right" w:leader="dot" w:pos="9060"/>
        </w:tabs>
        <w:rPr>
          <w:rFonts w:asciiTheme="minorHAnsi" w:eastAsiaTheme="minorEastAsia" w:hAnsiTheme="minorHAnsi" w:cstheme="minorBidi"/>
          <w:noProof/>
          <w:sz w:val="22"/>
          <w:szCs w:val="22"/>
        </w:rPr>
      </w:pPr>
      <w:hyperlink w:anchor="_Toc34288684" w:history="1">
        <w:r w:rsidR="00FC4296" w:rsidRPr="009763B5">
          <w:rPr>
            <w:rStyle w:val="Hypertextovodkaz"/>
            <w:noProof/>
          </w:rPr>
          <w:t>Graf č. 17:  Členění kapitálových výdajů kapitoly 327-MD</w:t>
        </w:r>
        <w:r w:rsidR="00FC4296">
          <w:rPr>
            <w:noProof/>
            <w:webHidden/>
          </w:rPr>
          <w:tab/>
        </w:r>
        <w:r w:rsidR="00FC4296">
          <w:rPr>
            <w:noProof/>
            <w:webHidden/>
          </w:rPr>
          <w:fldChar w:fldCharType="begin"/>
        </w:r>
        <w:r w:rsidR="00FC4296">
          <w:rPr>
            <w:noProof/>
            <w:webHidden/>
          </w:rPr>
          <w:instrText xml:space="preserve"> PAGEREF _Toc34288684 \h </w:instrText>
        </w:r>
        <w:r w:rsidR="00FC4296">
          <w:rPr>
            <w:noProof/>
            <w:webHidden/>
          </w:rPr>
        </w:r>
        <w:r w:rsidR="00FC4296">
          <w:rPr>
            <w:noProof/>
            <w:webHidden/>
          </w:rPr>
          <w:fldChar w:fldCharType="separate"/>
        </w:r>
        <w:r w:rsidR="00DF450F">
          <w:rPr>
            <w:noProof/>
            <w:webHidden/>
          </w:rPr>
          <w:t>62</w:t>
        </w:r>
        <w:r w:rsidR="00FC4296">
          <w:rPr>
            <w:noProof/>
            <w:webHidden/>
          </w:rPr>
          <w:fldChar w:fldCharType="end"/>
        </w:r>
      </w:hyperlink>
    </w:p>
    <w:p w14:paraId="24DFBC8C" w14:textId="47FDAD02" w:rsidR="00FC4296" w:rsidRDefault="004B12F9" w:rsidP="00FC4296">
      <w:pPr>
        <w:pStyle w:val="Seznamobrzk"/>
        <w:tabs>
          <w:tab w:val="right" w:leader="dot" w:pos="9060"/>
        </w:tabs>
        <w:ind w:left="1134" w:hanging="1134"/>
        <w:rPr>
          <w:rFonts w:asciiTheme="minorHAnsi" w:eastAsiaTheme="minorEastAsia" w:hAnsiTheme="minorHAnsi" w:cstheme="minorBidi"/>
          <w:noProof/>
          <w:sz w:val="22"/>
          <w:szCs w:val="22"/>
        </w:rPr>
      </w:pPr>
      <w:hyperlink w:anchor="_Toc34288685" w:history="1">
        <w:r w:rsidR="00FC4296" w:rsidRPr="009763B5">
          <w:rPr>
            <w:rStyle w:val="Hypertextovodkaz"/>
            <w:noProof/>
          </w:rPr>
          <w:t xml:space="preserve">Graf č. 18:  Přehled čerpání kapitálových výdajů v jednotlivých čtvrtletích v letech  </w:t>
        </w:r>
        <w:r w:rsidR="00FC4296">
          <w:rPr>
            <w:rStyle w:val="Hypertextovodkaz"/>
            <w:noProof/>
          </w:rPr>
          <w:br/>
        </w:r>
        <w:r w:rsidR="00FC4296" w:rsidRPr="009763B5">
          <w:rPr>
            <w:rStyle w:val="Hypertextovodkaz"/>
            <w:noProof/>
          </w:rPr>
          <w:t>2015-2019 (tis. Kč)</w:t>
        </w:r>
        <w:r w:rsidR="00FC4296">
          <w:rPr>
            <w:noProof/>
            <w:webHidden/>
          </w:rPr>
          <w:tab/>
        </w:r>
        <w:r w:rsidR="00FC4296">
          <w:rPr>
            <w:noProof/>
            <w:webHidden/>
          </w:rPr>
          <w:fldChar w:fldCharType="begin"/>
        </w:r>
        <w:r w:rsidR="00FC4296">
          <w:rPr>
            <w:noProof/>
            <w:webHidden/>
          </w:rPr>
          <w:instrText xml:space="preserve"> PAGEREF _Toc34288685 \h </w:instrText>
        </w:r>
        <w:r w:rsidR="00FC4296">
          <w:rPr>
            <w:noProof/>
            <w:webHidden/>
          </w:rPr>
        </w:r>
        <w:r w:rsidR="00FC4296">
          <w:rPr>
            <w:noProof/>
            <w:webHidden/>
          </w:rPr>
          <w:fldChar w:fldCharType="separate"/>
        </w:r>
        <w:r w:rsidR="00DF450F">
          <w:rPr>
            <w:noProof/>
            <w:webHidden/>
          </w:rPr>
          <w:t>65</w:t>
        </w:r>
        <w:r w:rsidR="00FC4296">
          <w:rPr>
            <w:noProof/>
            <w:webHidden/>
          </w:rPr>
          <w:fldChar w:fldCharType="end"/>
        </w:r>
      </w:hyperlink>
    </w:p>
    <w:p w14:paraId="36510D4B" w14:textId="432E5DF6" w:rsidR="00FC4296" w:rsidRDefault="004B12F9">
      <w:pPr>
        <w:pStyle w:val="Seznamobrzk"/>
        <w:tabs>
          <w:tab w:val="right" w:leader="dot" w:pos="9060"/>
        </w:tabs>
        <w:rPr>
          <w:rFonts w:asciiTheme="minorHAnsi" w:eastAsiaTheme="minorEastAsia" w:hAnsiTheme="minorHAnsi" w:cstheme="minorBidi"/>
          <w:noProof/>
          <w:sz w:val="22"/>
          <w:szCs w:val="22"/>
        </w:rPr>
      </w:pPr>
      <w:hyperlink w:anchor="_Toc34288686" w:history="1">
        <w:r w:rsidR="00FC4296" w:rsidRPr="009763B5">
          <w:rPr>
            <w:rStyle w:val="Hypertextovodkaz"/>
            <w:noProof/>
          </w:rPr>
          <w:t>Graf č. 19:  Přehled kapitálových výdajů organizačních složek státu kapitoly 327-MD</w:t>
        </w:r>
        <w:r w:rsidR="00FC4296">
          <w:rPr>
            <w:noProof/>
            <w:webHidden/>
          </w:rPr>
          <w:tab/>
        </w:r>
        <w:r w:rsidR="00FC4296">
          <w:rPr>
            <w:noProof/>
            <w:webHidden/>
          </w:rPr>
          <w:fldChar w:fldCharType="begin"/>
        </w:r>
        <w:r w:rsidR="00FC4296">
          <w:rPr>
            <w:noProof/>
            <w:webHidden/>
          </w:rPr>
          <w:instrText xml:space="preserve"> PAGEREF _Toc34288686 \h </w:instrText>
        </w:r>
        <w:r w:rsidR="00FC4296">
          <w:rPr>
            <w:noProof/>
            <w:webHidden/>
          </w:rPr>
        </w:r>
        <w:r w:rsidR="00FC4296">
          <w:rPr>
            <w:noProof/>
            <w:webHidden/>
          </w:rPr>
          <w:fldChar w:fldCharType="separate"/>
        </w:r>
        <w:r w:rsidR="00DF450F">
          <w:rPr>
            <w:noProof/>
            <w:webHidden/>
          </w:rPr>
          <w:t>66</w:t>
        </w:r>
        <w:r w:rsidR="00FC4296">
          <w:rPr>
            <w:noProof/>
            <w:webHidden/>
          </w:rPr>
          <w:fldChar w:fldCharType="end"/>
        </w:r>
      </w:hyperlink>
    </w:p>
    <w:p w14:paraId="5E77C631" w14:textId="3B191A85" w:rsidR="00FC4296" w:rsidRDefault="004B12F9">
      <w:pPr>
        <w:pStyle w:val="Seznamobrzk"/>
        <w:tabs>
          <w:tab w:val="right" w:leader="dot" w:pos="9060"/>
        </w:tabs>
        <w:rPr>
          <w:rFonts w:asciiTheme="minorHAnsi" w:eastAsiaTheme="minorEastAsia" w:hAnsiTheme="minorHAnsi" w:cstheme="minorBidi"/>
          <w:noProof/>
          <w:sz w:val="22"/>
          <w:szCs w:val="22"/>
        </w:rPr>
      </w:pPr>
      <w:hyperlink w:anchor="_Toc34288687" w:history="1">
        <w:r w:rsidR="00FC4296" w:rsidRPr="009763B5">
          <w:rPr>
            <w:rStyle w:val="Hypertextovodkaz"/>
            <w:noProof/>
          </w:rPr>
          <w:t>Graf č. 20</w:t>
        </w:r>
        <w:r w:rsidR="00FC4296" w:rsidRPr="009763B5">
          <w:rPr>
            <w:rStyle w:val="Hypertextovodkaz"/>
            <w:bCs/>
            <w:noProof/>
          </w:rPr>
          <w:t>:  Porovnání výdajů na výzkum, vývoj a inovace</w:t>
        </w:r>
        <w:r w:rsidR="00FC4296">
          <w:rPr>
            <w:noProof/>
            <w:webHidden/>
          </w:rPr>
          <w:tab/>
        </w:r>
        <w:r w:rsidR="00FC4296">
          <w:rPr>
            <w:noProof/>
            <w:webHidden/>
          </w:rPr>
          <w:fldChar w:fldCharType="begin"/>
        </w:r>
        <w:r w:rsidR="00FC4296">
          <w:rPr>
            <w:noProof/>
            <w:webHidden/>
          </w:rPr>
          <w:instrText xml:space="preserve"> PAGEREF _Toc34288687 \h </w:instrText>
        </w:r>
        <w:r w:rsidR="00FC4296">
          <w:rPr>
            <w:noProof/>
            <w:webHidden/>
          </w:rPr>
        </w:r>
        <w:r w:rsidR="00FC4296">
          <w:rPr>
            <w:noProof/>
            <w:webHidden/>
          </w:rPr>
          <w:fldChar w:fldCharType="separate"/>
        </w:r>
        <w:r w:rsidR="00DF450F">
          <w:rPr>
            <w:noProof/>
            <w:webHidden/>
          </w:rPr>
          <w:t>83</w:t>
        </w:r>
        <w:r w:rsidR="00FC4296">
          <w:rPr>
            <w:noProof/>
            <w:webHidden/>
          </w:rPr>
          <w:fldChar w:fldCharType="end"/>
        </w:r>
      </w:hyperlink>
    </w:p>
    <w:p w14:paraId="33FB3EBC" w14:textId="289B81D1" w:rsidR="00FC4296" w:rsidRDefault="004B12F9">
      <w:pPr>
        <w:pStyle w:val="Seznamobrzk"/>
        <w:tabs>
          <w:tab w:val="right" w:leader="dot" w:pos="9060"/>
        </w:tabs>
        <w:rPr>
          <w:rFonts w:asciiTheme="minorHAnsi" w:eastAsiaTheme="minorEastAsia" w:hAnsiTheme="minorHAnsi" w:cstheme="minorBidi"/>
          <w:noProof/>
          <w:sz w:val="22"/>
          <w:szCs w:val="22"/>
        </w:rPr>
      </w:pPr>
      <w:hyperlink w:anchor="_Toc34288688" w:history="1">
        <w:r w:rsidR="00FC4296" w:rsidRPr="009763B5">
          <w:rPr>
            <w:rStyle w:val="Hypertextovodkaz"/>
            <w:noProof/>
          </w:rPr>
          <w:t>Graf č. 21:  Přehled čerpání finančních prostředků fondů Evropské unie</w:t>
        </w:r>
        <w:r w:rsidR="00FC4296">
          <w:rPr>
            <w:noProof/>
            <w:webHidden/>
          </w:rPr>
          <w:tab/>
        </w:r>
        <w:r w:rsidR="00FC4296">
          <w:rPr>
            <w:noProof/>
            <w:webHidden/>
          </w:rPr>
          <w:fldChar w:fldCharType="begin"/>
        </w:r>
        <w:r w:rsidR="00FC4296">
          <w:rPr>
            <w:noProof/>
            <w:webHidden/>
          </w:rPr>
          <w:instrText xml:space="preserve"> PAGEREF _Toc34288688 \h </w:instrText>
        </w:r>
        <w:r w:rsidR="00FC4296">
          <w:rPr>
            <w:noProof/>
            <w:webHidden/>
          </w:rPr>
        </w:r>
        <w:r w:rsidR="00FC4296">
          <w:rPr>
            <w:noProof/>
            <w:webHidden/>
          </w:rPr>
          <w:fldChar w:fldCharType="separate"/>
        </w:r>
        <w:r w:rsidR="00DF450F">
          <w:rPr>
            <w:noProof/>
            <w:webHidden/>
          </w:rPr>
          <w:t>103</w:t>
        </w:r>
        <w:r w:rsidR="00FC4296">
          <w:rPr>
            <w:noProof/>
            <w:webHidden/>
          </w:rPr>
          <w:fldChar w:fldCharType="end"/>
        </w:r>
      </w:hyperlink>
    </w:p>
    <w:p w14:paraId="48A29294" w14:textId="76018EFD" w:rsidR="00FC4296" w:rsidRDefault="004B12F9">
      <w:pPr>
        <w:pStyle w:val="Seznamobrzk"/>
        <w:tabs>
          <w:tab w:val="right" w:leader="dot" w:pos="9060"/>
        </w:tabs>
        <w:rPr>
          <w:rFonts w:asciiTheme="minorHAnsi" w:eastAsiaTheme="minorEastAsia" w:hAnsiTheme="minorHAnsi" w:cstheme="minorBidi"/>
          <w:noProof/>
          <w:sz w:val="22"/>
          <w:szCs w:val="22"/>
        </w:rPr>
      </w:pPr>
      <w:hyperlink w:anchor="_Toc34288689" w:history="1">
        <w:r w:rsidR="00FC4296" w:rsidRPr="009763B5">
          <w:rPr>
            <w:rStyle w:val="Hypertextovodkaz"/>
            <w:noProof/>
          </w:rPr>
          <w:t>Graf č. 22:  Stav čerpání nároků z nespotřebovaných výdajů dle jedn</w:t>
        </w:r>
        <w:r w:rsidR="00FC4296">
          <w:rPr>
            <w:rStyle w:val="Hypertextovodkaz"/>
            <w:noProof/>
          </w:rPr>
          <w:t>.</w:t>
        </w:r>
        <w:r w:rsidR="00FC4296" w:rsidRPr="009763B5">
          <w:rPr>
            <w:rStyle w:val="Hypertextovodkaz"/>
            <w:noProof/>
          </w:rPr>
          <w:t xml:space="preserve"> OSS  (tis. Kč)</w:t>
        </w:r>
        <w:r w:rsidR="00FC4296">
          <w:rPr>
            <w:noProof/>
            <w:webHidden/>
          </w:rPr>
          <w:tab/>
        </w:r>
        <w:r w:rsidR="00FC4296">
          <w:rPr>
            <w:noProof/>
            <w:webHidden/>
          </w:rPr>
          <w:fldChar w:fldCharType="begin"/>
        </w:r>
        <w:r w:rsidR="00FC4296">
          <w:rPr>
            <w:noProof/>
            <w:webHidden/>
          </w:rPr>
          <w:instrText xml:space="preserve"> PAGEREF _Toc34288689 \h </w:instrText>
        </w:r>
        <w:r w:rsidR="00FC4296">
          <w:rPr>
            <w:noProof/>
            <w:webHidden/>
          </w:rPr>
        </w:r>
        <w:r w:rsidR="00FC4296">
          <w:rPr>
            <w:noProof/>
            <w:webHidden/>
          </w:rPr>
          <w:fldChar w:fldCharType="separate"/>
        </w:r>
        <w:r w:rsidR="00DF450F">
          <w:rPr>
            <w:noProof/>
            <w:webHidden/>
          </w:rPr>
          <w:t>107</w:t>
        </w:r>
        <w:r w:rsidR="00FC4296">
          <w:rPr>
            <w:noProof/>
            <w:webHidden/>
          </w:rPr>
          <w:fldChar w:fldCharType="end"/>
        </w:r>
      </w:hyperlink>
    </w:p>
    <w:p w14:paraId="1FDE2144" w14:textId="46ABD4B3" w:rsidR="00FC4296" w:rsidRDefault="004B12F9">
      <w:pPr>
        <w:pStyle w:val="Seznamobrzk"/>
        <w:tabs>
          <w:tab w:val="right" w:leader="dot" w:pos="9060"/>
        </w:tabs>
        <w:rPr>
          <w:rFonts w:asciiTheme="minorHAnsi" w:eastAsiaTheme="minorEastAsia" w:hAnsiTheme="minorHAnsi" w:cstheme="minorBidi"/>
          <w:noProof/>
          <w:sz w:val="22"/>
          <w:szCs w:val="22"/>
        </w:rPr>
      </w:pPr>
      <w:hyperlink w:anchor="_Toc34288690" w:history="1">
        <w:r w:rsidR="00FC4296" w:rsidRPr="009763B5">
          <w:rPr>
            <w:rStyle w:val="Hypertextovodkaz"/>
            <w:noProof/>
          </w:rPr>
          <w:t>Graf č. 23:  Čerpání nároků dle specifických ukazatelů</w:t>
        </w:r>
        <w:r w:rsidR="00FC4296">
          <w:rPr>
            <w:noProof/>
            <w:webHidden/>
          </w:rPr>
          <w:tab/>
        </w:r>
        <w:r w:rsidR="00FC4296">
          <w:rPr>
            <w:noProof/>
            <w:webHidden/>
          </w:rPr>
          <w:fldChar w:fldCharType="begin"/>
        </w:r>
        <w:r w:rsidR="00FC4296">
          <w:rPr>
            <w:noProof/>
            <w:webHidden/>
          </w:rPr>
          <w:instrText xml:space="preserve"> PAGEREF _Toc34288690 \h </w:instrText>
        </w:r>
        <w:r w:rsidR="00FC4296">
          <w:rPr>
            <w:noProof/>
            <w:webHidden/>
          </w:rPr>
        </w:r>
        <w:r w:rsidR="00FC4296">
          <w:rPr>
            <w:noProof/>
            <w:webHidden/>
          </w:rPr>
          <w:fldChar w:fldCharType="separate"/>
        </w:r>
        <w:r w:rsidR="00DF450F">
          <w:rPr>
            <w:noProof/>
            <w:webHidden/>
          </w:rPr>
          <w:t>108</w:t>
        </w:r>
        <w:r w:rsidR="00FC4296">
          <w:rPr>
            <w:noProof/>
            <w:webHidden/>
          </w:rPr>
          <w:fldChar w:fldCharType="end"/>
        </w:r>
      </w:hyperlink>
    </w:p>
    <w:p w14:paraId="70437A3C" w14:textId="569EC85A" w:rsidR="008068FE" w:rsidRPr="004B11AC" w:rsidRDefault="00AE353C" w:rsidP="00B104FB">
      <w:pPr>
        <w:ind w:right="-142"/>
        <w:rPr>
          <w:color w:val="FF0000"/>
        </w:rPr>
      </w:pPr>
      <w:r w:rsidRPr="004B11AC">
        <w:rPr>
          <w:color w:val="FF0000"/>
        </w:rPr>
        <w:fldChar w:fldCharType="end"/>
      </w:r>
    </w:p>
    <w:p w14:paraId="67B542F6" w14:textId="77777777" w:rsidR="008068FE" w:rsidRPr="004B11AC" w:rsidRDefault="008068FE" w:rsidP="00B104FB">
      <w:pPr>
        <w:ind w:right="-142"/>
        <w:rPr>
          <w:color w:val="FF0000"/>
        </w:rPr>
      </w:pPr>
    </w:p>
    <w:p w14:paraId="2FD6B840" w14:textId="77777777" w:rsidR="008068FE" w:rsidRPr="004B11AC" w:rsidRDefault="008068FE" w:rsidP="00B104FB">
      <w:pPr>
        <w:ind w:right="-142"/>
        <w:rPr>
          <w:color w:val="FF0000"/>
        </w:rPr>
      </w:pPr>
    </w:p>
    <w:p w14:paraId="5B6743C5" w14:textId="77777777" w:rsidR="008068FE" w:rsidRPr="004B11AC" w:rsidRDefault="008068FE" w:rsidP="00B104FB">
      <w:pPr>
        <w:ind w:right="-142"/>
        <w:rPr>
          <w:color w:val="FF0000"/>
        </w:rPr>
      </w:pPr>
    </w:p>
    <w:p w14:paraId="239FB236" w14:textId="77777777" w:rsidR="008068FE" w:rsidRPr="004B11AC" w:rsidRDefault="008068FE" w:rsidP="00B104FB">
      <w:pPr>
        <w:ind w:right="-142"/>
        <w:rPr>
          <w:color w:val="FF0000"/>
        </w:rPr>
      </w:pPr>
    </w:p>
    <w:p w14:paraId="40848CB2" w14:textId="77777777" w:rsidR="00A13177" w:rsidRPr="004B11AC" w:rsidRDefault="00A13177" w:rsidP="00B104FB">
      <w:pPr>
        <w:ind w:right="-142"/>
        <w:rPr>
          <w:color w:val="FF0000"/>
        </w:rPr>
        <w:sectPr w:rsidR="00A13177" w:rsidRPr="004B11AC" w:rsidSect="00A13177">
          <w:footerReference w:type="default" r:id="rId10"/>
          <w:footerReference w:type="first" r:id="rId11"/>
          <w:type w:val="continuous"/>
          <w:pgSz w:w="11906" w:h="16838"/>
          <w:pgMar w:top="1418" w:right="1418" w:bottom="1418" w:left="1418" w:header="709" w:footer="709" w:gutter="0"/>
          <w:pgNumType w:start="5"/>
          <w:cols w:space="708"/>
          <w:docGrid w:linePitch="360"/>
        </w:sectPr>
      </w:pPr>
    </w:p>
    <w:p w14:paraId="381662A7" w14:textId="77777777" w:rsidR="00EC1FE6" w:rsidRPr="00CD364F" w:rsidRDefault="00185BC4" w:rsidP="004359C1">
      <w:pPr>
        <w:pStyle w:val="Nadpis10"/>
        <w:rPr>
          <w:szCs w:val="32"/>
        </w:rPr>
      </w:pPr>
      <w:bookmarkStart w:id="0" w:name="_Toc255297629"/>
      <w:bookmarkStart w:id="1" w:name="_Toc413413648"/>
      <w:bookmarkStart w:id="2" w:name="_Toc508879831"/>
      <w:bookmarkStart w:id="3" w:name="_Toc508880107"/>
      <w:bookmarkStart w:id="4" w:name="_Toc1376801"/>
      <w:bookmarkStart w:id="5" w:name="_Toc34286447"/>
      <w:r w:rsidRPr="00CD364F">
        <w:lastRenderedPageBreak/>
        <w:t>Úvod</w:t>
      </w:r>
      <w:bookmarkEnd w:id="0"/>
      <w:bookmarkEnd w:id="1"/>
      <w:bookmarkEnd w:id="2"/>
      <w:bookmarkEnd w:id="3"/>
      <w:bookmarkEnd w:id="4"/>
      <w:bookmarkEnd w:id="5"/>
    </w:p>
    <w:p w14:paraId="4DD38047" w14:textId="77777777" w:rsidR="00CD364F" w:rsidRPr="00207124" w:rsidRDefault="00CD364F" w:rsidP="00A47767">
      <w:pPr>
        <w:pStyle w:val="KOMtext"/>
        <w:rPr>
          <w:color w:val="FF0000"/>
        </w:rPr>
      </w:pPr>
      <w:r w:rsidRPr="00E875EF">
        <w:t>Rozpočet příjmů a výdajů na rok 201</w:t>
      </w:r>
      <w:r>
        <w:t>9</w:t>
      </w:r>
      <w:r w:rsidRPr="00E875EF">
        <w:t xml:space="preserve"> byl kapitole 327 Ministerstvo dopravy stanoven zákonem </w:t>
      </w:r>
      <w:r>
        <w:t>č. 336</w:t>
      </w:r>
      <w:r w:rsidRPr="00E875EF">
        <w:t>/201</w:t>
      </w:r>
      <w:r>
        <w:t>8</w:t>
      </w:r>
      <w:r w:rsidRPr="00E875EF">
        <w:t xml:space="preserve"> Sb., o státním rozpočtu České republiky na rok 201</w:t>
      </w:r>
      <w:r>
        <w:t>9</w:t>
      </w:r>
      <w:r w:rsidRPr="00E875EF">
        <w:t>.</w:t>
      </w:r>
    </w:p>
    <w:p w14:paraId="45ECF4F1" w14:textId="77777777" w:rsidR="00A47767" w:rsidRPr="00B14575" w:rsidRDefault="00A47767" w:rsidP="00A47767">
      <w:pPr>
        <w:pStyle w:val="KOMtext"/>
      </w:pPr>
      <w:r w:rsidRPr="00B14575">
        <w:t>Ministerstvo dopravy je ústředním orgánem státní správy ve věcech dopravy a odpovídá za tvorbu a uskutečňování státní politiky v oblasti dopravy v  rozsahu své působnosti. Ze zásadních činností Ministerstva dopravy vyplývají hlavní výdajové priority, které se odvíjí od úkolů stanovených příslušnými požadavky vlády České republiky a zákonnými normami, zejména zákonem č. 77/2002 Sb., o akciové společnosti České dráhy, státní organizaci Správa železniční dopravní cesty a o změně zákona č. 266/1994 Sb., o dráhách, ve znění pozdějších předpisů, a zákona č. 77/1997 Sb., o státním podniku, ve znění pozdějších předpisů. Dále je to soubor zákonů souvisejících se zajištěním činností spojených s dopravně správními agendami.</w:t>
      </w:r>
    </w:p>
    <w:p w14:paraId="2E7D9087" w14:textId="77777777" w:rsidR="00A47767" w:rsidRPr="00B14575" w:rsidRDefault="00A47767" w:rsidP="00A47767">
      <w:pPr>
        <w:pStyle w:val="KOMtext"/>
      </w:pPr>
      <w:r w:rsidRPr="00B14575">
        <w:t>Rok 201</w:t>
      </w:r>
      <w:r>
        <w:t>9</w:t>
      </w:r>
      <w:r w:rsidRPr="00B14575">
        <w:t xml:space="preserve"> proběhl v rezortu dopravy v souladu s Programovým prohlášením vlády ČR. Tomu odpovídalo i průběžné zajišťování hlavních rozpočtových priorit, mezi které byly zařazeny:</w:t>
      </w:r>
    </w:p>
    <w:p w14:paraId="221E4FC1" w14:textId="77777777" w:rsidR="00A47767" w:rsidRPr="00B14575" w:rsidRDefault="00A47767" w:rsidP="00A47767">
      <w:pPr>
        <w:pStyle w:val="KOModrky"/>
        <w:numPr>
          <w:ilvl w:val="0"/>
          <w:numId w:val="94"/>
        </w:numPr>
        <w:spacing w:after="0"/>
        <w:ind w:left="714" w:hanging="357"/>
      </w:pPr>
      <w:r w:rsidRPr="00B14575">
        <w:t>Výdaje na financování společných programů EU a ČR;</w:t>
      </w:r>
    </w:p>
    <w:p w14:paraId="7FE6683D" w14:textId="77777777" w:rsidR="00A47767" w:rsidRPr="00B14575" w:rsidRDefault="00A47767" w:rsidP="00A47767">
      <w:pPr>
        <w:pStyle w:val="KOModrky"/>
        <w:numPr>
          <w:ilvl w:val="0"/>
          <w:numId w:val="94"/>
        </w:numPr>
        <w:spacing w:after="0"/>
        <w:ind w:left="714" w:hanging="357"/>
      </w:pPr>
      <w:r w:rsidRPr="00B14575">
        <w:t>Úhrada ztráty ze závazku veřejné služby ve veřejné drážní osobní dopravě;</w:t>
      </w:r>
    </w:p>
    <w:p w14:paraId="4539F727" w14:textId="77777777" w:rsidR="00A47767" w:rsidRPr="00B14575" w:rsidRDefault="00A47767" w:rsidP="00A47767">
      <w:pPr>
        <w:pStyle w:val="KOModrky"/>
        <w:numPr>
          <w:ilvl w:val="0"/>
          <w:numId w:val="94"/>
        </w:numPr>
        <w:spacing w:after="0"/>
        <w:ind w:left="714" w:hanging="357"/>
      </w:pPr>
      <w:r w:rsidRPr="00B14575">
        <w:t>Dotace Státnímu fondu dopravní infrastruktury;</w:t>
      </w:r>
    </w:p>
    <w:p w14:paraId="5BCB6AE8" w14:textId="77777777" w:rsidR="00A47767" w:rsidRPr="00B14575" w:rsidRDefault="00A47767" w:rsidP="00A47767">
      <w:pPr>
        <w:pStyle w:val="KOModrky"/>
        <w:numPr>
          <w:ilvl w:val="0"/>
          <w:numId w:val="94"/>
        </w:numPr>
        <w:spacing w:after="0"/>
        <w:ind w:left="714" w:hanging="357"/>
      </w:pPr>
      <w:r w:rsidRPr="00B14575">
        <w:t>Výdaje na volitelné programy ESA;</w:t>
      </w:r>
    </w:p>
    <w:p w14:paraId="25D13B05" w14:textId="77777777" w:rsidR="00A47767" w:rsidRDefault="00A47767" w:rsidP="00A47767">
      <w:pPr>
        <w:pStyle w:val="KOModrky"/>
        <w:numPr>
          <w:ilvl w:val="0"/>
          <w:numId w:val="94"/>
        </w:numPr>
        <w:spacing w:after="0"/>
        <w:ind w:left="714" w:hanging="357"/>
      </w:pPr>
      <w:r w:rsidRPr="00B14575">
        <w:t>Výdaje na financování programů reprodukce majetku;</w:t>
      </w:r>
    </w:p>
    <w:p w14:paraId="66D20881" w14:textId="3151528B" w:rsidR="00A47767" w:rsidRPr="00B14575" w:rsidRDefault="00A47767" w:rsidP="00A47767">
      <w:pPr>
        <w:pStyle w:val="KOModrky"/>
        <w:numPr>
          <w:ilvl w:val="0"/>
          <w:numId w:val="94"/>
        </w:numPr>
        <w:spacing w:after="0"/>
        <w:ind w:left="714" w:hanging="357"/>
      </w:pPr>
      <w:r>
        <w:t>Kompenzace slev jízdného;</w:t>
      </w:r>
      <w:r w:rsidR="000F7B88">
        <w:t xml:space="preserve"> </w:t>
      </w:r>
    </w:p>
    <w:p w14:paraId="229D26F7" w14:textId="77777777" w:rsidR="00A47767" w:rsidRPr="00B14575" w:rsidRDefault="00A47767" w:rsidP="00A47767">
      <w:pPr>
        <w:pStyle w:val="KOModrky"/>
        <w:numPr>
          <w:ilvl w:val="0"/>
          <w:numId w:val="94"/>
        </w:numPr>
        <w:spacing w:after="0"/>
        <w:ind w:left="714" w:hanging="357"/>
      </w:pPr>
      <w:r w:rsidRPr="00B14575">
        <w:t>Výdaje na zabezpečení činností orgánů státní správy.</w:t>
      </w:r>
    </w:p>
    <w:p w14:paraId="01EC8D01" w14:textId="77777777" w:rsidR="00A47767" w:rsidRPr="00B14575" w:rsidRDefault="00A47767" w:rsidP="00A47767">
      <w:pPr>
        <w:pStyle w:val="KOMtext"/>
      </w:pPr>
      <w:r w:rsidRPr="00B14575">
        <w:t>Ministerstvo dopravy se i nadále ve své práci opírá o vládou ČR v roce 2013 schválené dva klíčové koncepční dokumenty – „Dopravní politiku ČR pro období let 2014-2020 s výhledem do roku 2050“ schválenou usnesením vlády č. 449 ze dne 12.</w:t>
      </w:r>
      <w:r w:rsidR="001E7B97">
        <w:t xml:space="preserve"> </w:t>
      </w:r>
      <w:r w:rsidRPr="00B14575">
        <w:t>6.</w:t>
      </w:r>
      <w:r w:rsidR="001E7B97">
        <w:t xml:space="preserve"> </w:t>
      </w:r>
      <w:r w:rsidR="001E7B97" w:rsidRPr="00B14575">
        <w:t>2013 a o „Dopravní</w:t>
      </w:r>
      <w:r w:rsidRPr="00B14575">
        <w:t xml:space="preserve"> sektorové strategie, 2. fáze“ schválené dne </w:t>
      </w:r>
      <w:r w:rsidR="001E7B97" w:rsidRPr="00B14575">
        <w:t>13. 11. 2013</w:t>
      </w:r>
      <w:r w:rsidRPr="00B14575">
        <w:t xml:space="preserve"> usnesením vlády č. 850. V roce 2018 byl schválen usnesením č. 136 </w:t>
      </w:r>
      <w:r w:rsidR="001E7B97" w:rsidRPr="00B14575">
        <w:t>z</w:t>
      </w:r>
      <w:r w:rsidRPr="00B14575">
        <w:t xml:space="preserve"> 27. února materiál „Dopravní sektorové strategie – aktualizace 2017“. </w:t>
      </w:r>
      <w:r>
        <w:br/>
      </w:r>
      <w:r w:rsidRPr="00B14575">
        <w:t xml:space="preserve">V souladu s těmito platnými a aktualizovanými koncepčními dokumenty </w:t>
      </w:r>
      <w:r>
        <w:t>pokračovalo Ministerstvo dopravy</w:t>
      </w:r>
      <w:r w:rsidRPr="00B14575">
        <w:t xml:space="preserve"> i v roce 201</w:t>
      </w:r>
      <w:r>
        <w:t>9</w:t>
      </w:r>
      <w:r w:rsidRPr="00B14575">
        <w:t xml:space="preserve"> zejména prostřednictvím rezortních organizací a Státního fondu dopravní infrastruktury v </w:t>
      </w:r>
      <w:r w:rsidR="001E7B97" w:rsidRPr="00B14575">
        <w:t>přípravě, výstavbě</w:t>
      </w:r>
      <w:r w:rsidRPr="00B14575">
        <w:t xml:space="preserve">, modernizaci a opravách dálnic, silnic </w:t>
      </w:r>
      <w:r>
        <w:br/>
      </w:r>
      <w:r w:rsidRPr="00B14575">
        <w:t xml:space="preserve">I. třídy, železniční infrastruktury na síti TEN-T i mimo TEN-T, včetně menších akcí vodní infrastruktury. </w:t>
      </w:r>
    </w:p>
    <w:p w14:paraId="6AEA0679" w14:textId="3B58C1BF" w:rsidR="00A47767" w:rsidRDefault="00A47767" w:rsidP="00A47767">
      <w:pPr>
        <w:pStyle w:val="KOMtext"/>
      </w:pPr>
      <w:r w:rsidRPr="00B14575">
        <w:t>Ministerstvo dopravy v roce 201</w:t>
      </w:r>
      <w:r>
        <w:t>9</w:t>
      </w:r>
      <w:r w:rsidRPr="00B14575">
        <w:t xml:space="preserve"> nadále udrželo a i nepatrně navýšilo</w:t>
      </w:r>
      <w:r w:rsidR="001E7B97">
        <w:t xml:space="preserve"> trend v počtu připravovaných </w:t>
      </w:r>
      <w:r w:rsidRPr="00B14575">
        <w:t xml:space="preserve">dopravních staveb (cca 700 dopravních staveb v přípravě ve všech dopravních módech (dálnice, silnice, železnice, vnitrozemské vodní cesty). Do realizace se posunulo několik silničních i železničních staveb, mezi klíčové stavby dálniční, které byly zahájeny, lze zařadit další úseky modernizace dálnice D1, dálnice D3, D11 nebo D48. </w:t>
      </w:r>
      <w:r>
        <w:t>Dokončeny byly významné</w:t>
      </w:r>
      <w:r w:rsidRPr="00B14575">
        <w:t xml:space="preserve"> </w:t>
      </w:r>
      <w:r>
        <w:t>části</w:t>
      </w:r>
      <w:r w:rsidRPr="00B14575">
        <w:t xml:space="preserve"> </w:t>
      </w:r>
      <w:r>
        <w:t xml:space="preserve">dálnice D3 a D1, zprovozněné byly významné </w:t>
      </w:r>
      <w:r w:rsidRPr="00B14575">
        <w:t>obchvat</w:t>
      </w:r>
      <w:r>
        <w:t>y</w:t>
      </w:r>
      <w:r w:rsidRPr="00B14575">
        <w:t xml:space="preserve"> na silnicích I.</w:t>
      </w:r>
      <w:r>
        <w:t xml:space="preserve"> </w:t>
      </w:r>
      <w:r w:rsidRPr="00B14575">
        <w:t>třídy (např</w:t>
      </w:r>
      <w:r>
        <w:t>.</w:t>
      </w:r>
      <w:r w:rsidRPr="00B14575">
        <w:t xml:space="preserve"> </w:t>
      </w:r>
      <w:r>
        <w:t xml:space="preserve">I/11 Opava, obchvat, východní část; </w:t>
      </w:r>
      <w:r w:rsidRPr="00B14575">
        <w:t>I/16 Slaný-Velvary</w:t>
      </w:r>
      <w:r>
        <w:t>; I/15 K</w:t>
      </w:r>
      <w:r w:rsidRPr="00B14575">
        <w:t>ravaře, obchvat</w:t>
      </w:r>
      <w:r>
        <w:t xml:space="preserve">; </w:t>
      </w:r>
      <w:r w:rsidR="000D72BC">
        <w:br/>
      </w:r>
      <w:r>
        <w:t xml:space="preserve">I/53 Lechovice, </w:t>
      </w:r>
      <w:r w:rsidR="001E7B97">
        <w:t>obchvat;).</w:t>
      </w:r>
    </w:p>
    <w:p w14:paraId="570D7FBF" w14:textId="15AFAF9E" w:rsidR="00CA6C9A" w:rsidRDefault="00CA6C9A" w:rsidP="00A47767">
      <w:pPr>
        <w:pStyle w:val="KOMtext"/>
      </w:pPr>
    </w:p>
    <w:p w14:paraId="2F07491F" w14:textId="1E519ACD" w:rsidR="00A47767" w:rsidRPr="00B14575" w:rsidRDefault="00A47767" w:rsidP="00A47767">
      <w:pPr>
        <w:pStyle w:val="KOMtext"/>
      </w:pPr>
      <w:r w:rsidRPr="00B14575">
        <w:lastRenderedPageBreak/>
        <w:t>V průběhu roku 201</w:t>
      </w:r>
      <w:r>
        <w:t>9</w:t>
      </w:r>
      <w:r w:rsidRPr="00B14575">
        <w:t xml:space="preserve"> také došlo </w:t>
      </w:r>
      <w:r>
        <w:t xml:space="preserve">k dokončení zpracování studie proveditelnosti pro novou trať Praha – Beroun. Dále byl aktualizován návrh řešení pro úsek Plzeň – Domažlice – st. hr.  </w:t>
      </w:r>
      <w:r w:rsidRPr="00B14575">
        <w:t xml:space="preserve"> Pokračovala dále práce na studiích proveditelnosti rychlých železničních spojení, zejména ramene Praha</w:t>
      </w:r>
      <w:r w:rsidR="00163541">
        <w:t xml:space="preserve"> - D</w:t>
      </w:r>
      <w:r w:rsidRPr="00B14575">
        <w:t>rážďany a Praha</w:t>
      </w:r>
      <w:r w:rsidR="00163541">
        <w:t xml:space="preserve"> – B</w:t>
      </w:r>
      <w:r w:rsidRPr="00B14575">
        <w:t>rno</w:t>
      </w:r>
      <w:r w:rsidR="00163541">
        <w:t xml:space="preserve"> – B</w:t>
      </w:r>
      <w:r w:rsidRPr="00B14575">
        <w:t>řeclav</w:t>
      </w:r>
      <w:r>
        <w:t xml:space="preserve">, zahájeno bylo zpracování studie proveditelnosti pro VRT Brno – Přerov </w:t>
      </w:r>
      <w:r w:rsidR="00163541">
        <w:t>– O</w:t>
      </w:r>
      <w:r>
        <w:t>strava</w:t>
      </w:r>
      <w:r w:rsidRPr="00B14575">
        <w:t>. Byl</w:t>
      </w:r>
      <w:r>
        <w:t>y</w:t>
      </w:r>
      <w:r w:rsidRPr="00B14575">
        <w:t xml:space="preserve"> rovněž vytipovány dílčí části systému Rychlých spojení</w:t>
      </w:r>
      <w:r>
        <w:t xml:space="preserve"> (pilotní úseky)</w:t>
      </w:r>
      <w:r w:rsidRPr="00B14575">
        <w:t xml:space="preserve">, které by měly být dále připravovány ve zrychleném režimu. </w:t>
      </w:r>
      <w:r>
        <w:t>Během roku 2019 dále pokračovaly práce na modernizaci IV. tranzitního železničního koridoru v úsecích Sudoměřice – Votice a Praha Hostivař – Praha hl. n., současně pokračovaly stavební práce v dalších částech železniční sítě se zaměřením na přepravně významné úseky.</w:t>
      </w:r>
    </w:p>
    <w:p w14:paraId="458CE9BA" w14:textId="155E8569" w:rsidR="00A47767" w:rsidRPr="00B14575" w:rsidRDefault="00A47767" w:rsidP="00A47767">
      <w:pPr>
        <w:pStyle w:val="KOMtext"/>
      </w:pPr>
      <w:r w:rsidRPr="00B14575">
        <w:t>Důležitým krokem bylo rovněž dokončení studie proveditelnosti vodního koridoru Dunaj</w:t>
      </w:r>
      <w:r w:rsidR="00163541">
        <w:t xml:space="preserve"> – O</w:t>
      </w:r>
      <w:r w:rsidRPr="00B14575">
        <w:t>dra</w:t>
      </w:r>
      <w:r w:rsidR="00163541">
        <w:t xml:space="preserve"> – L</w:t>
      </w:r>
      <w:r w:rsidRPr="00B14575">
        <w:t xml:space="preserve">abe, která </w:t>
      </w:r>
      <w:r>
        <w:t>byla odeslána v listopadu 2019 na Úřad vlády ČR</w:t>
      </w:r>
      <w:r w:rsidRPr="00B14575">
        <w:t xml:space="preserve">. </w:t>
      </w:r>
    </w:p>
    <w:p w14:paraId="49EF58A4" w14:textId="77777777" w:rsidR="00A47767" w:rsidRPr="00B14575" w:rsidRDefault="00A47767" w:rsidP="00A47767">
      <w:pPr>
        <w:pStyle w:val="KOMtext"/>
      </w:pPr>
      <w:r w:rsidRPr="00B14575">
        <w:t xml:space="preserve">Pozitivního vývoje bylo dosaženo i v otázkách projektu PPP pro dálnici D4, </w:t>
      </w:r>
      <w:r>
        <w:t>kde v roce 2019 proběhla tři kola soutěžního dialogu se třemi kvalifikovanými účastníky. P</w:t>
      </w:r>
      <w:r w:rsidRPr="00B14575">
        <w:t xml:space="preserve">odařilo se rovněž získat zájemce o realizaci dobíjecích a plnících stanic </w:t>
      </w:r>
      <w:r>
        <w:t xml:space="preserve">alternativních paliv </w:t>
      </w:r>
      <w:r w:rsidRPr="00B14575">
        <w:t>na území ČR ze zdrojů OPD.</w:t>
      </w:r>
    </w:p>
    <w:p w14:paraId="7E285DC5" w14:textId="2C59AC72" w:rsidR="00A47767" w:rsidRDefault="00A47767" w:rsidP="00A47767">
      <w:pPr>
        <w:pStyle w:val="KOMtext"/>
      </w:pPr>
      <w:r w:rsidRPr="00B14575">
        <w:t xml:space="preserve">Důležitým aspektem bylo </w:t>
      </w:r>
      <w:r w:rsidR="00EB3B98">
        <w:t>taktéž</w:t>
      </w:r>
      <w:r w:rsidRPr="00B14575">
        <w:t xml:space="preserve"> schválení </w:t>
      </w:r>
      <w:r>
        <w:t xml:space="preserve">vládní </w:t>
      </w:r>
      <w:r w:rsidRPr="00B14575">
        <w:t>novely zákon</w:t>
      </w:r>
      <w:r>
        <w:t>a</w:t>
      </w:r>
      <w:r w:rsidRPr="00B14575">
        <w:t xml:space="preserve"> </w:t>
      </w:r>
      <w:r>
        <w:t xml:space="preserve">č. </w:t>
      </w:r>
      <w:r w:rsidRPr="00B14575">
        <w:t xml:space="preserve">416/2009 </w:t>
      </w:r>
      <w:r>
        <w:t xml:space="preserve">Sb. </w:t>
      </w:r>
      <w:r w:rsidRPr="00B14575">
        <w:t xml:space="preserve">o </w:t>
      </w:r>
      <w:r>
        <w:t>urychlení</w:t>
      </w:r>
      <w:r w:rsidRPr="00B14575">
        <w:t xml:space="preserve"> výstavb</w:t>
      </w:r>
      <w:r>
        <w:t>y</w:t>
      </w:r>
      <w:r w:rsidRPr="00B14575">
        <w:t xml:space="preserve"> dopravní, energetické a vodní infrastruktury, který by měl </w:t>
      </w:r>
      <w:r>
        <w:t>dále přispět k zefektivnění procesů v přípravě dopravních staveb.</w:t>
      </w:r>
    </w:p>
    <w:p w14:paraId="6DA258BB" w14:textId="77777777" w:rsidR="004D270E" w:rsidRPr="00CD364F" w:rsidRDefault="008E4377" w:rsidP="000F08DB">
      <w:pPr>
        <w:pStyle w:val="KOMtext"/>
      </w:pPr>
      <w:r w:rsidRPr="00CD364F">
        <w:rPr>
          <w:b/>
        </w:rPr>
        <w:t>Čerpání výdajů</w:t>
      </w:r>
      <w:r w:rsidRPr="00CD364F">
        <w:t xml:space="preserve"> státního rozpočtu kapitoly 327-MD </w:t>
      </w:r>
      <w:r w:rsidR="00AB3C98" w:rsidRPr="00CD364F">
        <w:t>ne</w:t>
      </w:r>
      <w:r w:rsidRPr="00CD364F">
        <w:t>bylo v roce 201</w:t>
      </w:r>
      <w:r w:rsidR="00CD364F" w:rsidRPr="00CD364F">
        <w:t>9</w:t>
      </w:r>
      <w:r w:rsidR="00AB3C98" w:rsidRPr="00CD364F">
        <w:t xml:space="preserve"> ovlivněno žádnými výjimečnými událostmi. </w:t>
      </w:r>
    </w:p>
    <w:p w14:paraId="0832FC0B" w14:textId="77777777" w:rsidR="008E4377" w:rsidRPr="000F08DB" w:rsidRDefault="008E4377" w:rsidP="000F08DB">
      <w:pPr>
        <w:pStyle w:val="KOMtext"/>
        <w:rPr>
          <w:b/>
          <w:color w:val="FF0000"/>
        </w:rPr>
      </w:pPr>
      <w:r w:rsidRPr="000F08DB">
        <w:rPr>
          <w:b/>
        </w:rPr>
        <w:t>Skutečné plnění státního rozpočtu za rok 201</w:t>
      </w:r>
      <w:r w:rsidR="00C2239A" w:rsidRPr="000F08DB">
        <w:rPr>
          <w:b/>
        </w:rPr>
        <w:t>9</w:t>
      </w:r>
      <w:r w:rsidRPr="000F08DB">
        <w:rPr>
          <w:b/>
        </w:rPr>
        <w:t xml:space="preserve"> je dáno souhrnnými ukazateli:</w:t>
      </w:r>
    </w:p>
    <w:p w14:paraId="26FBDA16" w14:textId="77777777" w:rsidR="008E4377" w:rsidRPr="00C2239A" w:rsidRDefault="008E4377" w:rsidP="00D045FA">
      <w:pPr>
        <w:pStyle w:val="Zkladntextodsazen"/>
        <w:tabs>
          <w:tab w:val="left" w:pos="5580"/>
        </w:tabs>
        <w:spacing w:before="240" w:after="0"/>
        <w:rPr>
          <w:b/>
        </w:rPr>
      </w:pPr>
      <w:r w:rsidRPr="00C2239A">
        <w:rPr>
          <w:b/>
        </w:rPr>
        <w:t>skutečné příjmy</w:t>
      </w:r>
      <w:r w:rsidRPr="00C2239A">
        <w:t xml:space="preserve">                                                    </w:t>
      </w:r>
      <w:r w:rsidR="00CB738D" w:rsidRPr="00C2239A">
        <w:t xml:space="preserve"> </w:t>
      </w:r>
      <w:r w:rsidR="00F04678" w:rsidRPr="00C2239A">
        <w:t xml:space="preserve">   </w:t>
      </w:r>
      <w:r w:rsidR="00C2239A" w:rsidRPr="00C2239A">
        <w:rPr>
          <w:b/>
        </w:rPr>
        <w:t>17 449 764</w:t>
      </w:r>
      <w:r w:rsidRPr="00C2239A">
        <w:rPr>
          <w:b/>
        </w:rPr>
        <w:t xml:space="preserve"> tis. Kč</w:t>
      </w:r>
    </w:p>
    <w:p w14:paraId="26EA384A" w14:textId="77777777" w:rsidR="00D045FA" w:rsidRPr="00C2239A" w:rsidRDefault="00EA758A" w:rsidP="00D045FA">
      <w:pPr>
        <w:pStyle w:val="Zkladntextodsazen"/>
        <w:tabs>
          <w:tab w:val="left" w:pos="5580"/>
        </w:tabs>
        <w:spacing w:before="120"/>
        <w:rPr>
          <w:i/>
        </w:rPr>
      </w:pPr>
      <w:r w:rsidRPr="00C2239A">
        <w:rPr>
          <w:i/>
        </w:rPr>
        <w:t xml:space="preserve">  </w:t>
      </w:r>
      <w:r w:rsidR="00D045FA" w:rsidRPr="00C2239A">
        <w:rPr>
          <w:i/>
        </w:rPr>
        <w:t>z toho: příjmy z rozpočtu EU                                </w:t>
      </w:r>
      <w:r w:rsidR="00F04678" w:rsidRPr="00C2239A">
        <w:rPr>
          <w:i/>
        </w:rPr>
        <w:t xml:space="preserve">   </w:t>
      </w:r>
      <w:r w:rsidR="00C2239A" w:rsidRPr="00C2239A">
        <w:rPr>
          <w:i/>
        </w:rPr>
        <w:t>16 994 281</w:t>
      </w:r>
      <w:r w:rsidR="00D045FA" w:rsidRPr="00C2239A">
        <w:rPr>
          <w:i/>
        </w:rPr>
        <w:t xml:space="preserve"> tis. Kč</w:t>
      </w:r>
    </w:p>
    <w:p w14:paraId="027E2E80" w14:textId="77777777" w:rsidR="008E4377" w:rsidRPr="00C2239A" w:rsidRDefault="008E4377" w:rsidP="00D045FA">
      <w:pPr>
        <w:pStyle w:val="Zkladntextodsazen"/>
        <w:tabs>
          <w:tab w:val="left" w:pos="5400"/>
        </w:tabs>
        <w:spacing w:before="120" w:after="0"/>
        <w:rPr>
          <w:b/>
        </w:rPr>
      </w:pPr>
      <w:r w:rsidRPr="00C2239A">
        <w:rPr>
          <w:b/>
        </w:rPr>
        <w:t>skutečné výdaje</w:t>
      </w:r>
      <w:r w:rsidRPr="00C2239A">
        <w:tab/>
      </w:r>
      <w:r w:rsidR="00BC4AB2" w:rsidRPr="00C2239A">
        <w:t xml:space="preserve"> </w:t>
      </w:r>
      <w:r w:rsidRPr="00C2239A">
        <w:t xml:space="preserve"> </w:t>
      </w:r>
      <w:r w:rsidR="00CB738D" w:rsidRPr="00C2239A">
        <w:t xml:space="preserve"> </w:t>
      </w:r>
      <w:r w:rsidR="00F04678" w:rsidRPr="00C2239A">
        <w:t xml:space="preserve">   </w:t>
      </w:r>
      <w:r w:rsidR="00C2239A" w:rsidRPr="00C2239A">
        <w:rPr>
          <w:b/>
        </w:rPr>
        <w:t>75 228 814</w:t>
      </w:r>
      <w:r w:rsidRPr="00C2239A">
        <w:rPr>
          <w:b/>
        </w:rPr>
        <w:t xml:space="preserve"> tis. Kč</w:t>
      </w:r>
    </w:p>
    <w:p w14:paraId="3DCAA025" w14:textId="77777777" w:rsidR="008E4377" w:rsidRPr="00C2239A" w:rsidRDefault="008E4377" w:rsidP="008E4377">
      <w:pPr>
        <w:pStyle w:val="Zkladntextodsazen"/>
        <w:tabs>
          <w:tab w:val="left" w:pos="5400"/>
        </w:tabs>
        <w:spacing w:before="120" w:after="0"/>
      </w:pPr>
      <w:r w:rsidRPr="00C2239A">
        <w:t>v tom: běžné výdaje</w:t>
      </w:r>
      <w:r w:rsidRPr="00C2239A">
        <w:tab/>
        <w:t xml:space="preserve"> </w:t>
      </w:r>
      <w:r w:rsidR="00BC4AB2" w:rsidRPr="00C2239A">
        <w:t xml:space="preserve"> </w:t>
      </w:r>
      <w:r w:rsidR="006D29F7" w:rsidRPr="00C2239A">
        <w:t xml:space="preserve"> </w:t>
      </w:r>
      <w:r w:rsidR="00F04678" w:rsidRPr="00C2239A">
        <w:t xml:space="preserve">   </w:t>
      </w:r>
      <w:r w:rsidR="00C2239A" w:rsidRPr="00C2239A">
        <w:t>30 434 855</w:t>
      </w:r>
      <w:r w:rsidRPr="00C2239A">
        <w:t xml:space="preserve"> tis. Kč</w:t>
      </w:r>
    </w:p>
    <w:p w14:paraId="216E7566" w14:textId="77777777" w:rsidR="008E4377" w:rsidRPr="004B11AC" w:rsidRDefault="008E4377" w:rsidP="00F04678">
      <w:pPr>
        <w:pStyle w:val="Zkladntextodsazen"/>
        <w:tabs>
          <w:tab w:val="left" w:pos="5400"/>
          <w:tab w:val="left" w:pos="5580"/>
          <w:tab w:val="left" w:pos="5760"/>
        </w:tabs>
        <w:spacing w:before="120" w:after="0"/>
        <w:rPr>
          <w:color w:val="FF0000"/>
        </w:rPr>
      </w:pPr>
      <w:r w:rsidRPr="004B11AC">
        <w:rPr>
          <w:color w:val="FF0000"/>
        </w:rPr>
        <w:t xml:space="preserve">           </w:t>
      </w:r>
      <w:r w:rsidRPr="00CD364F">
        <w:t>kapitálové výdaje</w:t>
      </w:r>
      <w:r w:rsidRPr="00CD364F">
        <w:tab/>
      </w:r>
      <w:r w:rsidR="006D29F7" w:rsidRPr="00CD364F">
        <w:t xml:space="preserve">   </w:t>
      </w:r>
      <w:r w:rsidR="00F04678" w:rsidRPr="00CD364F">
        <w:t xml:space="preserve">   </w:t>
      </w:r>
      <w:r w:rsidR="00CD364F" w:rsidRPr="00CD364F">
        <w:t>44 793 958</w:t>
      </w:r>
      <w:r w:rsidRPr="00CD364F">
        <w:t xml:space="preserve"> tis. Kč</w:t>
      </w:r>
    </w:p>
    <w:p w14:paraId="259A9F40" w14:textId="77777777" w:rsidR="00D045FA" w:rsidRPr="00CD364F" w:rsidRDefault="00EA758A" w:rsidP="00F04678">
      <w:pPr>
        <w:pStyle w:val="Zkladntextodsazen"/>
        <w:tabs>
          <w:tab w:val="left" w:pos="5580"/>
        </w:tabs>
        <w:spacing w:before="120"/>
        <w:rPr>
          <w:i/>
        </w:rPr>
      </w:pPr>
      <w:r w:rsidRPr="00CD364F">
        <w:rPr>
          <w:i/>
        </w:rPr>
        <w:t xml:space="preserve">  </w:t>
      </w:r>
      <w:r w:rsidR="00D045FA" w:rsidRPr="00CD364F">
        <w:rPr>
          <w:i/>
        </w:rPr>
        <w:t xml:space="preserve">z toho: </w:t>
      </w:r>
      <w:r w:rsidR="00F04678" w:rsidRPr="00CD364F">
        <w:rPr>
          <w:i/>
        </w:rPr>
        <w:t>výdaje spolufinancované z</w:t>
      </w:r>
      <w:r w:rsidR="00D045FA" w:rsidRPr="00CD364F">
        <w:rPr>
          <w:i/>
        </w:rPr>
        <w:t xml:space="preserve"> rozpočtu EU    </w:t>
      </w:r>
      <w:r w:rsidR="00F04678" w:rsidRPr="00CD364F">
        <w:rPr>
          <w:i/>
        </w:rPr>
        <w:t xml:space="preserve">  </w:t>
      </w:r>
      <w:r w:rsidR="00CD364F" w:rsidRPr="00CD364F">
        <w:rPr>
          <w:i/>
        </w:rPr>
        <w:t>17 745 619</w:t>
      </w:r>
      <w:r w:rsidR="00D045FA" w:rsidRPr="00CD364F">
        <w:rPr>
          <w:i/>
        </w:rPr>
        <w:t xml:space="preserve"> tis. Kč</w:t>
      </w:r>
    </w:p>
    <w:p w14:paraId="37DC21E2" w14:textId="3F43F9E9" w:rsidR="00D83BEA" w:rsidRPr="004B11AC" w:rsidRDefault="00AE353C" w:rsidP="00516B32">
      <w:pPr>
        <w:pStyle w:val="Titulek"/>
        <w:spacing w:before="240"/>
        <w:rPr>
          <w:rStyle w:val="Siln"/>
          <w:b/>
          <w:bCs w:val="0"/>
          <w:color w:val="FF0000"/>
        </w:rPr>
      </w:pPr>
      <w:bookmarkStart w:id="6" w:name="_Toc1043922"/>
      <w:bookmarkStart w:id="7" w:name="_Toc34288668"/>
      <w:r w:rsidRPr="00CD364F">
        <w:t xml:space="preserve">Graf č. </w:t>
      </w:r>
      <w:r w:rsidR="00A65941" w:rsidRPr="00CD364F">
        <w:rPr>
          <w:noProof/>
        </w:rPr>
        <w:fldChar w:fldCharType="begin"/>
      </w:r>
      <w:r w:rsidR="00A65941" w:rsidRPr="00CD364F">
        <w:rPr>
          <w:noProof/>
        </w:rPr>
        <w:instrText xml:space="preserve"> SEQ Graf_č. \* ARABIC </w:instrText>
      </w:r>
      <w:r w:rsidR="00A65941" w:rsidRPr="00CD364F">
        <w:rPr>
          <w:noProof/>
        </w:rPr>
        <w:fldChar w:fldCharType="separate"/>
      </w:r>
      <w:r w:rsidR="00DF450F">
        <w:rPr>
          <w:noProof/>
        </w:rPr>
        <w:t>1</w:t>
      </w:r>
      <w:r w:rsidR="00A65941" w:rsidRPr="00CD364F">
        <w:rPr>
          <w:noProof/>
        </w:rPr>
        <w:fldChar w:fldCharType="end"/>
      </w:r>
      <w:r w:rsidRPr="00CD364F">
        <w:t>:</w:t>
      </w:r>
      <w:r w:rsidR="00D83BEA" w:rsidRPr="00CD364F">
        <w:rPr>
          <w:rStyle w:val="Siln"/>
          <w:b/>
        </w:rPr>
        <w:t xml:space="preserve">  Porovnání výdajů kapitoly 327-MD</w:t>
      </w:r>
      <w:bookmarkEnd w:id="6"/>
      <w:bookmarkEnd w:id="7"/>
    </w:p>
    <w:p w14:paraId="130CA775" w14:textId="77777777" w:rsidR="00D83BEA" w:rsidRPr="004B11AC" w:rsidRDefault="001A7DBE" w:rsidP="00D83BEA">
      <w:pPr>
        <w:pStyle w:val="Zkladntextodsazen"/>
        <w:keepNext/>
        <w:spacing w:before="120"/>
        <w:ind w:firstLine="0"/>
        <w:jc w:val="center"/>
        <w:rPr>
          <w:color w:val="FF0000"/>
        </w:rPr>
      </w:pPr>
      <w:r w:rsidRPr="004B11AC">
        <w:rPr>
          <w:i/>
          <w:noProof/>
          <w:color w:val="FF0000"/>
        </w:rPr>
        <w:drawing>
          <wp:inline distT="0" distB="0" distL="0" distR="0" wp14:anchorId="5FFD07BC" wp14:editId="091E9111">
            <wp:extent cx="4265910" cy="1620000"/>
            <wp:effectExtent l="0" t="0" r="1905" b="0"/>
            <wp:docPr id="28" name="objekt 2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780EA80" w14:textId="77777777" w:rsidR="00D83BEA" w:rsidRPr="004B11AC" w:rsidRDefault="00D83BEA" w:rsidP="00D83BEA">
      <w:pPr>
        <w:pStyle w:val="Titulek"/>
        <w:jc w:val="center"/>
        <w:rPr>
          <w:i/>
          <w:color w:val="FF0000"/>
        </w:rPr>
        <w:sectPr w:rsidR="00D83BEA" w:rsidRPr="004B11AC" w:rsidSect="00E46053">
          <w:footerReference w:type="default" r:id="rId13"/>
          <w:pgSz w:w="11906" w:h="16838"/>
          <w:pgMar w:top="1418" w:right="1418" w:bottom="1418" w:left="1418" w:header="709" w:footer="709" w:gutter="0"/>
          <w:pgNumType w:start="5"/>
          <w:cols w:space="708"/>
          <w:docGrid w:linePitch="360"/>
        </w:sectPr>
      </w:pPr>
    </w:p>
    <w:p w14:paraId="57B116C7" w14:textId="77777777" w:rsidR="00185BC4" w:rsidRPr="008A6D1B" w:rsidRDefault="00185BC4" w:rsidP="004359C1">
      <w:pPr>
        <w:pStyle w:val="Nadpis10"/>
      </w:pPr>
      <w:bookmarkStart w:id="8" w:name="_Toc255297630"/>
      <w:bookmarkStart w:id="9" w:name="_Toc413413649"/>
      <w:bookmarkStart w:id="10" w:name="_Toc508879832"/>
      <w:bookmarkStart w:id="11" w:name="_Toc508880108"/>
      <w:bookmarkStart w:id="12" w:name="_Toc1376802"/>
      <w:bookmarkStart w:id="13" w:name="_Toc34286448"/>
      <w:r w:rsidRPr="008A6D1B">
        <w:lastRenderedPageBreak/>
        <w:t xml:space="preserve">Příjmy </w:t>
      </w:r>
      <w:r w:rsidRPr="004359C1">
        <w:t>kapitoly</w:t>
      </w:r>
      <w:r w:rsidRPr="008A6D1B">
        <w:t xml:space="preserve"> 327 – MD</w:t>
      </w:r>
      <w:bookmarkEnd w:id="8"/>
      <w:bookmarkEnd w:id="9"/>
      <w:bookmarkEnd w:id="10"/>
      <w:bookmarkEnd w:id="11"/>
      <w:bookmarkEnd w:id="12"/>
      <w:bookmarkEnd w:id="13"/>
    </w:p>
    <w:tbl>
      <w:tblPr>
        <w:tblW w:w="0" w:type="auto"/>
        <w:tblInd w:w="288" w:type="dxa"/>
        <w:tblLook w:val="01E0" w:firstRow="1" w:lastRow="1" w:firstColumn="1" w:lastColumn="1" w:noHBand="0" w:noVBand="0"/>
      </w:tblPr>
      <w:tblGrid>
        <w:gridCol w:w="6300"/>
        <w:gridCol w:w="1296"/>
        <w:gridCol w:w="910"/>
      </w:tblGrid>
      <w:tr w:rsidR="004B11AC" w:rsidRPr="004B11AC" w14:paraId="5DB267FA" w14:textId="77777777" w:rsidTr="00644A35">
        <w:tc>
          <w:tcPr>
            <w:tcW w:w="6300" w:type="dxa"/>
            <w:shd w:val="clear" w:color="auto" w:fill="auto"/>
            <w:vAlign w:val="bottom"/>
          </w:tcPr>
          <w:p w14:paraId="3FC3A7CF" w14:textId="77777777" w:rsidR="00ED458D" w:rsidRPr="008A6D1B" w:rsidRDefault="00ED458D" w:rsidP="00ED458D">
            <w:pPr>
              <w:pStyle w:val="StylStylTunZarovnatdoblokuZa6bDolevaVlevo-01"/>
              <w:spacing w:before="60" w:after="60"/>
              <w:ind w:left="170"/>
            </w:pPr>
            <w:bookmarkStart w:id="14" w:name="_Toc317489621"/>
            <w:r w:rsidRPr="008A6D1B">
              <w:t>Schválený rozpočet</w:t>
            </w:r>
          </w:p>
        </w:tc>
        <w:tc>
          <w:tcPr>
            <w:tcW w:w="0" w:type="auto"/>
            <w:shd w:val="clear" w:color="auto" w:fill="auto"/>
          </w:tcPr>
          <w:p w14:paraId="50099008" w14:textId="77777777" w:rsidR="00ED458D" w:rsidRPr="00EC6177" w:rsidRDefault="00EC6177" w:rsidP="00ED458D">
            <w:pPr>
              <w:pStyle w:val="StylZa6b"/>
              <w:spacing w:before="60" w:after="60"/>
              <w:jc w:val="right"/>
            </w:pPr>
            <w:r w:rsidRPr="00EC6177">
              <w:t>19 246 733</w:t>
            </w:r>
          </w:p>
        </w:tc>
        <w:tc>
          <w:tcPr>
            <w:tcW w:w="0" w:type="auto"/>
            <w:shd w:val="clear" w:color="auto" w:fill="auto"/>
          </w:tcPr>
          <w:p w14:paraId="19E768F6" w14:textId="77777777" w:rsidR="00ED458D" w:rsidRPr="00EC6177" w:rsidRDefault="00ED458D" w:rsidP="00ED458D">
            <w:pPr>
              <w:pStyle w:val="StylZa6b"/>
              <w:spacing w:before="60" w:after="60"/>
              <w:ind w:left="-113"/>
            </w:pPr>
            <w:r w:rsidRPr="00EC6177">
              <w:t xml:space="preserve">tis. Kč </w:t>
            </w:r>
          </w:p>
        </w:tc>
      </w:tr>
      <w:tr w:rsidR="00EC6177" w:rsidRPr="00EC6177" w14:paraId="6297AF94" w14:textId="77777777" w:rsidTr="00644A35">
        <w:tc>
          <w:tcPr>
            <w:tcW w:w="6300" w:type="dxa"/>
            <w:shd w:val="clear" w:color="auto" w:fill="auto"/>
            <w:vAlign w:val="bottom"/>
          </w:tcPr>
          <w:p w14:paraId="204BCE05" w14:textId="77777777" w:rsidR="00ED458D" w:rsidRPr="008A6D1B" w:rsidRDefault="00ED458D" w:rsidP="00ED458D">
            <w:pPr>
              <w:pStyle w:val="StylStylTunZarovnatdoblokuZa6bDolevaVlevo-01"/>
              <w:spacing w:before="60" w:after="60"/>
              <w:ind w:left="170"/>
            </w:pPr>
            <w:r w:rsidRPr="008A6D1B">
              <w:t>Upravený rozpočet</w:t>
            </w:r>
          </w:p>
        </w:tc>
        <w:tc>
          <w:tcPr>
            <w:tcW w:w="0" w:type="auto"/>
            <w:shd w:val="clear" w:color="auto" w:fill="auto"/>
          </w:tcPr>
          <w:p w14:paraId="172B5462" w14:textId="77777777" w:rsidR="00ED458D" w:rsidRPr="00EC6177" w:rsidRDefault="00EC6177" w:rsidP="00ED458D">
            <w:pPr>
              <w:pStyle w:val="StylZa6b"/>
              <w:spacing w:before="60" w:after="60"/>
              <w:jc w:val="right"/>
            </w:pPr>
            <w:r w:rsidRPr="00EC6177">
              <w:t>19 246 733</w:t>
            </w:r>
          </w:p>
        </w:tc>
        <w:tc>
          <w:tcPr>
            <w:tcW w:w="0" w:type="auto"/>
            <w:shd w:val="clear" w:color="auto" w:fill="auto"/>
          </w:tcPr>
          <w:p w14:paraId="745100C6" w14:textId="77777777" w:rsidR="00ED458D" w:rsidRPr="00EC6177" w:rsidRDefault="00ED458D" w:rsidP="00ED458D">
            <w:pPr>
              <w:pStyle w:val="StylZa6b"/>
              <w:spacing w:before="60" w:after="60"/>
              <w:ind w:left="-113"/>
            </w:pPr>
            <w:r w:rsidRPr="00EC6177">
              <w:t>tis. Kč</w:t>
            </w:r>
          </w:p>
        </w:tc>
      </w:tr>
      <w:tr w:rsidR="004B11AC" w:rsidRPr="004B11AC" w14:paraId="1DDC87A2" w14:textId="77777777" w:rsidTr="00644A35">
        <w:tc>
          <w:tcPr>
            <w:tcW w:w="6300" w:type="dxa"/>
            <w:shd w:val="clear" w:color="auto" w:fill="auto"/>
            <w:vAlign w:val="bottom"/>
          </w:tcPr>
          <w:p w14:paraId="7037A026" w14:textId="77777777" w:rsidR="00ED458D" w:rsidRPr="008A6D1B" w:rsidRDefault="00ED458D" w:rsidP="00ED458D">
            <w:pPr>
              <w:pStyle w:val="StylStylTunZarovnatdoblokuZa6bDolevaVlevo-01"/>
              <w:spacing w:before="60" w:after="60"/>
              <w:ind w:left="170"/>
            </w:pPr>
            <w:r w:rsidRPr="008A6D1B">
              <w:t>Skutečnost</w:t>
            </w:r>
          </w:p>
        </w:tc>
        <w:tc>
          <w:tcPr>
            <w:tcW w:w="0" w:type="auto"/>
            <w:shd w:val="clear" w:color="auto" w:fill="auto"/>
          </w:tcPr>
          <w:p w14:paraId="2107B46A" w14:textId="77777777" w:rsidR="00ED458D" w:rsidRPr="00EC6177" w:rsidRDefault="00EC6177" w:rsidP="00ED458D">
            <w:pPr>
              <w:pStyle w:val="StylZa6b"/>
              <w:spacing w:before="60" w:after="60"/>
              <w:jc w:val="right"/>
            </w:pPr>
            <w:r w:rsidRPr="00EC6177">
              <w:t>17 449 764</w:t>
            </w:r>
          </w:p>
        </w:tc>
        <w:tc>
          <w:tcPr>
            <w:tcW w:w="0" w:type="auto"/>
            <w:shd w:val="clear" w:color="auto" w:fill="auto"/>
          </w:tcPr>
          <w:p w14:paraId="3FA0FB7C" w14:textId="77777777" w:rsidR="00ED458D" w:rsidRPr="00EC6177" w:rsidRDefault="00ED458D" w:rsidP="00ED458D">
            <w:pPr>
              <w:pStyle w:val="StylZa6b"/>
              <w:spacing w:before="60" w:after="60"/>
              <w:ind w:left="-113"/>
            </w:pPr>
            <w:r w:rsidRPr="00EC6177">
              <w:t>tis. Kč</w:t>
            </w:r>
          </w:p>
        </w:tc>
      </w:tr>
      <w:tr w:rsidR="004B11AC" w:rsidRPr="004B11AC" w14:paraId="0A3DAD82" w14:textId="77777777" w:rsidTr="00644A35">
        <w:tc>
          <w:tcPr>
            <w:tcW w:w="6300" w:type="dxa"/>
            <w:shd w:val="clear" w:color="auto" w:fill="auto"/>
            <w:vAlign w:val="bottom"/>
          </w:tcPr>
          <w:p w14:paraId="304C258C" w14:textId="77777777" w:rsidR="00ED458D" w:rsidRPr="007D7365" w:rsidRDefault="00ED458D" w:rsidP="00ED458D">
            <w:pPr>
              <w:pStyle w:val="StylZa6b"/>
              <w:spacing w:before="60" w:after="60"/>
              <w:ind w:left="170"/>
            </w:pPr>
            <w:r w:rsidRPr="007D7365">
              <w:t xml:space="preserve">   z toho:   převody z NF a EU za projekty z roku 201</w:t>
            </w:r>
            <w:r w:rsidR="00EC3EC0" w:rsidRPr="007D7365">
              <w:t>9</w:t>
            </w:r>
          </w:p>
        </w:tc>
        <w:tc>
          <w:tcPr>
            <w:tcW w:w="0" w:type="auto"/>
            <w:shd w:val="clear" w:color="auto" w:fill="auto"/>
          </w:tcPr>
          <w:p w14:paraId="74494193" w14:textId="5BAF8689" w:rsidR="00ED458D" w:rsidRPr="007D7365" w:rsidRDefault="00EC3EC0" w:rsidP="0042349C">
            <w:pPr>
              <w:pStyle w:val="StylZa6b"/>
              <w:spacing w:before="60" w:after="60"/>
              <w:jc w:val="right"/>
              <w:rPr>
                <w:highlight w:val="yellow"/>
              </w:rPr>
            </w:pPr>
            <w:r w:rsidRPr="007D7365">
              <w:t>1</w:t>
            </w:r>
            <w:r w:rsidR="0042349C">
              <w:t>3</w:t>
            </w:r>
            <w:r w:rsidRPr="007D7365">
              <w:t> </w:t>
            </w:r>
            <w:r w:rsidR="0042349C">
              <w:t>904</w:t>
            </w:r>
            <w:r w:rsidRPr="007D7365">
              <w:t xml:space="preserve"> </w:t>
            </w:r>
            <w:r w:rsidR="0042349C">
              <w:t>600</w:t>
            </w:r>
          </w:p>
        </w:tc>
        <w:tc>
          <w:tcPr>
            <w:tcW w:w="0" w:type="auto"/>
            <w:shd w:val="clear" w:color="auto" w:fill="auto"/>
          </w:tcPr>
          <w:p w14:paraId="39659CD0" w14:textId="77777777" w:rsidR="00ED458D" w:rsidRPr="007D7365" w:rsidRDefault="00ED458D" w:rsidP="00ED458D">
            <w:pPr>
              <w:pStyle w:val="StylZa6b"/>
              <w:spacing w:before="60" w:after="60"/>
              <w:ind w:left="-113"/>
            </w:pPr>
            <w:r w:rsidRPr="007D7365">
              <w:t>tis. Kč</w:t>
            </w:r>
          </w:p>
        </w:tc>
      </w:tr>
      <w:tr w:rsidR="004B11AC" w:rsidRPr="004B11AC" w14:paraId="7EC9B578" w14:textId="77777777" w:rsidTr="00644A35">
        <w:tc>
          <w:tcPr>
            <w:tcW w:w="6300" w:type="dxa"/>
            <w:shd w:val="clear" w:color="auto" w:fill="auto"/>
            <w:vAlign w:val="bottom"/>
          </w:tcPr>
          <w:p w14:paraId="7B3614D0" w14:textId="77777777" w:rsidR="00C50CC1" w:rsidRPr="009D29A1" w:rsidRDefault="00C50CC1" w:rsidP="00C50CC1">
            <w:pPr>
              <w:pStyle w:val="StylZa6b"/>
              <w:spacing w:before="60" w:after="60"/>
              <w:ind w:left="170"/>
            </w:pPr>
            <w:r w:rsidRPr="009D29A1">
              <w:t xml:space="preserve">                 převody z NF a EU za projekty z r. </w:t>
            </w:r>
            <w:r w:rsidR="00EC3EC0" w:rsidRPr="009D29A1">
              <w:t>2018</w:t>
            </w:r>
            <w:r w:rsidRPr="009D29A1">
              <w:t xml:space="preserve"> a předch.</w:t>
            </w:r>
          </w:p>
        </w:tc>
        <w:tc>
          <w:tcPr>
            <w:tcW w:w="0" w:type="auto"/>
            <w:shd w:val="clear" w:color="auto" w:fill="auto"/>
          </w:tcPr>
          <w:p w14:paraId="64C95F6E" w14:textId="30B8303C" w:rsidR="00C50CC1" w:rsidRPr="009D29A1" w:rsidRDefault="0042349C" w:rsidP="0042349C">
            <w:pPr>
              <w:pStyle w:val="StylZa6b"/>
              <w:spacing w:before="60" w:after="60"/>
              <w:jc w:val="right"/>
            </w:pPr>
            <w:r>
              <w:t>3</w:t>
            </w:r>
            <w:r w:rsidR="009D29A1" w:rsidRPr="009D29A1">
              <w:t> </w:t>
            </w:r>
            <w:r>
              <w:t>089</w:t>
            </w:r>
            <w:r w:rsidR="009D29A1" w:rsidRPr="009D29A1">
              <w:t> </w:t>
            </w:r>
            <w:r>
              <w:t>681</w:t>
            </w:r>
          </w:p>
        </w:tc>
        <w:tc>
          <w:tcPr>
            <w:tcW w:w="0" w:type="auto"/>
            <w:shd w:val="clear" w:color="auto" w:fill="auto"/>
          </w:tcPr>
          <w:p w14:paraId="1C5EE025" w14:textId="77777777" w:rsidR="00C50CC1" w:rsidRPr="009D29A1" w:rsidRDefault="00C50CC1" w:rsidP="00C50CC1">
            <w:pPr>
              <w:pStyle w:val="StylZa6b"/>
              <w:spacing w:before="60" w:after="60"/>
              <w:ind w:left="-113"/>
            </w:pPr>
            <w:r w:rsidRPr="009D29A1">
              <w:t>tis. Kč</w:t>
            </w:r>
          </w:p>
        </w:tc>
      </w:tr>
      <w:tr w:rsidR="004B11AC" w:rsidRPr="004B11AC" w14:paraId="56233D83" w14:textId="77777777" w:rsidTr="00A51373">
        <w:tc>
          <w:tcPr>
            <w:tcW w:w="6300" w:type="dxa"/>
            <w:shd w:val="clear" w:color="auto" w:fill="auto"/>
            <w:vAlign w:val="bottom"/>
          </w:tcPr>
          <w:p w14:paraId="1B43A81E" w14:textId="77777777" w:rsidR="00C50CC1" w:rsidRPr="009D29A1" w:rsidRDefault="00C50CC1" w:rsidP="00C50CC1">
            <w:pPr>
              <w:pStyle w:val="StylZa6b"/>
              <w:spacing w:before="60" w:after="60"/>
              <w:ind w:left="170"/>
            </w:pPr>
            <w:r w:rsidRPr="009D29A1">
              <w:t xml:space="preserve">                 převody z rezervního fondu </w:t>
            </w:r>
          </w:p>
        </w:tc>
        <w:tc>
          <w:tcPr>
            <w:tcW w:w="0" w:type="auto"/>
          </w:tcPr>
          <w:p w14:paraId="0D95538E" w14:textId="77777777" w:rsidR="00C50CC1" w:rsidRPr="009D29A1" w:rsidRDefault="00EC3EC0" w:rsidP="00C50CC1">
            <w:pPr>
              <w:pStyle w:val="StylZa6b"/>
              <w:spacing w:before="60" w:after="60" w:line="256" w:lineRule="auto"/>
              <w:jc w:val="right"/>
              <w:rPr>
                <w:lang w:eastAsia="en-US"/>
              </w:rPr>
            </w:pPr>
            <w:r w:rsidRPr="009D29A1">
              <w:rPr>
                <w:lang w:eastAsia="en-US"/>
              </w:rPr>
              <w:t>141 186</w:t>
            </w:r>
          </w:p>
        </w:tc>
        <w:tc>
          <w:tcPr>
            <w:tcW w:w="0" w:type="auto"/>
          </w:tcPr>
          <w:p w14:paraId="34B31B18" w14:textId="77777777" w:rsidR="00C50CC1" w:rsidRPr="009D29A1" w:rsidRDefault="00C50CC1" w:rsidP="00C50CC1">
            <w:pPr>
              <w:pStyle w:val="StylZa6b"/>
              <w:spacing w:before="60" w:after="60" w:line="256" w:lineRule="auto"/>
              <w:ind w:left="-113"/>
              <w:rPr>
                <w:lang w:eastAsia="en-US"/>
              </w:rPr>
            </w:pPr>
            <w:r w:rsidRPr="009D29A1">
              <w:rPr>
                <w:lang w:eastAsia="en-US"/>
              </w:rPr>
              <w:t>tis. Kč</w:t>
            </w:r>
          </w:p>
        </w:tc>
      </w:tr>
      <w:tr w:rsidR="004B11AC" w:rsidRPr="004B11AC" w14:paraId="1DEFEFAC" w14:textId="77777777" w:rsidTr="00A51373">
        <w:tc>
          <w:tcPr>
            <w:tcW w:w="6300" w:type="dxa"/>
            <w:shd w:val="clear" w:color="auto" w:fill="auto"/>
            <w:vAlign w:val="bottom"/>
          </w:tcPr>
          <w:p w14:paraId="20FBA39B" w14:textId="77777777" w:rsidR="00C50CC1" w:rsidRPr="00EC3EC0" w:rsidRDefault="00C50CC1" w:rsidP="00C50CC1">
            <w:pPr>
              <w:pStyle w:val="StylZa6b"/>
              <w:spacing w:before="60" w:after="60"/>
              <w:ind w:left="170"/>
              <w:rPr>
                <w:i/>
              </w:rPr>
            </w:pPr>
            <w:r w:rsidRPr="00EC3EC0">
              <w:rPr>
                <w:i/>
              </w:rPr>
              <w:t xml:space="preserve">                      z toho: převody prostředků z EU</w:t>
            </w:r>
          </w:p>
        </w:tc>
        <w:tc>
          <w:tcPr>
            <w:tcW w:w="0" w:type="auto"/>
          </w:tcPr>
          <w:p w14:paraId="70C0430D" w14:textId="77777777" w:rsidR="00C50CC1" w:rsidRPr="00EC3EC0" w:rsidRDefault="00EC3EC0" w:rsidP="00AD624F">
            <w:pPr>
              <w:pStyle w:val="StylZa6b"/>
              <w:spacing w:before="60" w:after="60" w:line="256" w:lineRule="auto"/>
              <w:jc w:val="right"/>
              <w:rPr>
                <w:i/>
                <w:lang w:eastAsia="en-US"/>
              </w:rPr>
            </w:pPr>
            <w:r w:rsidRPr="00EC3EC0">
              <w:rPr>
                <w:i/>
                <w:lang w:eastAsia="en-US"/>
              </w:rPr>
              <w:t>137 078</w:t>
            </w:r>
          </w:p>
        </w:tc>
        <w:tc>
          <w:tcPr>
            <w:tcW w:w="0" w:type="auto"/>
          </w:tcPr>
          <w:p w14:paraId="1AD95072" w14:textId="77777777" w:rsidR="00C50CC1" w:rsidRPr="00EC3EC0" w:rsidRDefault="00C50CC1" w:rsidP="00C50CC1">
            <w:pPr>
              <w:pStyle w:val="StylZa6b"/>
              <w:spacing w:before="60" w:after="60" w:line="256" w:lineRule="auto"/>
              <w:ind w:left="-113"/>
              <w:rPr>
                <w:i/>
                <w:lang w:eastAsia="en-US"/>
              </w:rPr>
            </w:pPr>
            <w:r w:rsidRPr="00EC3EC0">
              <w:rPr>
                <w:i/>
                <w:lang w:eastAsia="en-US"/>
              </w:rPr>
              <w:t>tis. Kč</w:t>
            </w:r>
          </w:p>
        </w:tc>
      </w:tr>
      <w:tr w:rsidR="004B11AC" w:rsidRPr="004B11AC" w14:paraId="5EE7DD03" w14:textId="77777777" w:rsidTr="00A51373">
        <w:tc>
          <w:tcPr>
            <w:tcW w:w="6300" w:type="dxa"/>
            <w:shd w:val="clear" w:color="auto" w:fill="auto"/>
            <w:vAlign w:val="bottom"/>
          </w:tcPr>
          <w:p w14:paraId="18CA4D30" w14:textId="77777777" w:rsidR="00C50CC1" w:rsidRPr="00EC3EC0" w:rsidRDefault="00C50CC1" w:rsidP="00C50CC1">
            <w:pPr>
              <w:pStyle w:val="StylStylTunZarovnatdoblokuZa6bDolevaVlevo-01"/>
              <w:spacing w:before="60" w:after="60"/>
              <w:ind w:left="170"/>
            </w:pPr>
            <w:r w:rsidRPr="00EC3EC0">
              <w:t>Plnění</w:t>
            </w:r>
          </w:p>
        </w:tc>
        <w:tc>
          <w:tcPr>
            <w:tcW w:w="0" w:type="auto"/>
          </w:tcPr>
          <w:p w14:paraId="23FFEAA7" w14:textId="77777777" w:rsidR="00C50CC1" w:rsidRPr="00EC3EC0" w:rsidRDefault="00EC3EC0" w:rsidP="00C50CC1">
            <w:pPr>
              <w:pStyle w:val="StylZa6b"/>
              <w:spacing w:before="60" w:after="60" w:line="256" w:lineRule="auto"/>
              <w:jc w:val="right"/>
              <w:rPr>
                <w:lang w:eastAsia="en-US"/>
              </w:rPr>
            </w:pPr>
            <w:r w:rsidRPr="00EC3EC0">
              <w:rPr>
                <w:lang w:eastAsia="en-US"/>
              </w:rPr>
              <w:t>90,66</w:t>
            </w:r>
          </w:p>
        </w:tc>
        <w:tc>
          <w:tcPr>
            <w:tcW w:w="0" w:type="auto"/>
          </w:tcPr>
          <w:p w14:paraId="2BD9D5B2" w14:textId="77777777" w:rsidR="00C50CC1" w:rsidRPr="00EC3EC0" w:rsidRDefault="00C50CC1" w:rsidP="00C50CC1">
            <w:pPr>
              <w:pStyle w:val="StylZa6b"/>
              <w:spacing w:before="60" w:after="60" w:line="256" w:lineRule="auto"/>
              <w:ind w:left="-99"/>
              <w:rPr>
                <w:lang w:eastAsia="en-US"/>
              </w:rPr>
            </w:pPr>
            <w:r w:rsidRPr="00EC3EC0">
              <w:rPr>
                <w:lang w:eastAsia="en-US"/>
              </w:rPr>
              <w:t>%</w:t>
            </w:r>
          </w:p>
        </w:tc>
      </w:tr>
      <w:tr w:rsidR="00C50CC1" w:rsidRPr="004B11AC" w14:paraId="12777C25" w14:textId="77777777" w:rsidTr="00A51373">
        <w:tc>
          <w:tcPr>
            <w:tcW w:w="6300" w:type="dxa"/>
            <w:shd w:val="clear" w:color="auto" w:fill="auto"/>
            <w:vAlign w:val="bottom"/>
          </w:tcPr>
          <w:p w14:paraId="0016A3A5" w14:textId="77777777" w:rsidR="00C50CC1" w:rsidRPr="00EC3EC0" w:rsidRDefault="003E21DB" w:rsidP="00630E27">
            <w:pPr>
              <w:pStyle w:val="StylStylTunZarovnatdoblokuZa6bDolevaVlevo-01"/>
              <w:spacing w:before="60" w:after="60"/>
              <w:ind w:left="170"/>
              <w:rPr>
                <w:b w:val="0"/>
                <w:sz w:val="22"/>
                <w:szCs w:val="22"/>
              </w:rPr>
            </w:pPr>
            <w:r w:rsidRPr="00EC3EC0">
              <w:rPr>
                <w:b w:val="0"/>
                <w:i/>
                <w:sz w:val="22"/>
                <w:szCs w:val="22"/>
              </w:rPr>
              <w:t xml:space="preserve">Plnění bez prostř. poskytnutých </w:t>
            </w:r>
            <w:r w:rsidR="00C50CC1" w:rsidRPr="00EC3EC0">
              <w:rPr>
                <w:b w:val="0"/>
                <w:i/>
                <w:sz w:val="22"/>
                <w:szCs w:val="22"/>
              </w:rPr>
              <w:t>z EU na projekty předch. let, dle              § 25 zák. č. 218/2000 Sb., a bez převodu z rezervního fondu.</w:t>
            </w:r>
          </w:p>
        </w:tc>
        <w:tc>
          <w:tcPr>
            <w:tcW w:w="0" w:type="auto"/>
          </w:tcPr>
          <w:p w14:paraId="7F90A576" w14:textId="05AFBA90" w:rsidR="00C50CC1" w:rsidRPr="00EC3EC0" w:rsidRDefault="00EC3EC0" w:rsidP="003261CD">
            <w:pPr>
              <w:pStyle w:val="StylZa6b"/>
              <w:spacing w:before="60" w:after="60" w:line="256" w:lineRule="auto"/>
              <w:jc w:val="right"/>
              <w:rPr>
                <w:i/>
                <w:lang w:eastAsia="en-US"/>
              </w:rPr>
            </w:pPr>
            <w:r w:rsidRPr="00EC3EC0">
              <w:rPr>
                <w:i/>
                <w:lang w:eastAsia="en-US"/>
              </w:rPr>
              <w:t>7</w:t>
            </w:r>
            <w:r w:rsidR="003261CD">
              <w:rPr>
                <w:i/>
                <w:lang w:eastAsia="en-US"/>
              </w:rPr>
              <w:t>3</w:t>
            </w:r>
            <w:r w:rsidRPr="00EC3EC0">
              <w:rPr>
                <w:i/>
                <w:lang w:eastAsia="en-US"/>
              </w:rPr>
              <w:t>,</w:t>
            </w:r>
            <w:r w:rsidR="003261CD">
              <w:rPr>
                <w:i/>
                <w:lang w:eastAsia="en-US"/>
              </w:rPr>
              <w:t>88</w:t>
            </w:r>
          </w:p>
        </w:tc>
        <w:tc>
          <w:tcPr>
            <w:tcW w:w="0" w:type="auto"/>
          </w:tcPr>
          <w:p w14:paraId="6B28ACBB" w14:textId="77777777" w:rsidR="00C50CC1" w:rsidRPr="00EC3EC0" w:rsidRDefault="00C50CC1" w:rsidP="00C50CC1">
            <w:pPr>
              <w:pStyle w:val="StylZa6b"/>
              <w:spacing w:before="60" w:after="60" w:line="256" w:lineRule="auto"/>
              <w:ind w:left="-99"/>
              <w:rPr>
                <w:i/>
                <w:lang w:eastAsia="en-US"/>
              </w:rPr>
            </w:pPr>
            <w:r w:rsidRPr="00EC3EC0">
              <w:rPr>
                <w:i/>
                <w:lang w:eastAsia="en-US"/>
              </w:rPr>
              <w:t>%</w:t>
            </w:r>
          </w:p>
        </w:tc>
      </w:tr>
    </w:tbl>
    <w:p w14:paraId="0CE254D0" w14:textId="77777777" w:rsidR="004359C1" w:rsidRDefault="00EA758A" w:rsidP="000F08DB">
      <w:pPr>
        <w:pStyle w:val="KOMtext"/>
      </w:pPr>
      <w:bookmarkStart w:id="15" w:name="_Toc413413650"/>
      <w:r w:rsidRPr="00631FDC">
        <w:t xml:space="preserve">Schválený rozpočet příjmů </w:t>
      </w:r>
      <w:r w:rsidR="003F0E40" w:rsidRPr="00631FDC">
        <w:t>ne</w:t>
      </w:r>
      <w:r w:rsidRPr="00631FDC">
        <w:t>byl v průběhu roku 201</w:t>
      </w:r>
      <w:r w:rsidR="00631FDC" w:rsidRPr="00631FDC">
        <w:t>9</w:t>
      </w:r>
      <w:r w:rsidR="003F0E40" w:rsidRPr="00631FDC">
        <w:t xml:space="preserve"> upravován.</w:t>
      </w:r>
    </w:p>
    <w:p w14:paraId="61DC59F8" w14:textId="77777777" w:rsidR="00EA758A" w:rsidRPr="004359C1" w:rsidRDefault="00EA758A" w:rsidP="00BB64C4">
      <w:pPr>
        <w:pStyle w:val="Nadpis2"/>
      </w:pPr>
      <w:bookmarkStart w:id="16" w:name="_Toc508879833"/>
      <w:bookmarkStart w:id="17" w:name="_Toc508880109"/>
      <w:bookmarkStart w:id="18" w:name="_Toc1376803"/>
      <w:bookmarkStart w:id="19" w:name="_Toc34286449"/>
      <w:r w:rsidRPr="004359C1">
        <w:t>Plnění specifických ukazatelů</w:t>
      </w:r>
      <w:bookmarkEnd w:id="15"/>
      <w:bookmarkEnd w:id="16"/>
      <w:bookmarkEnd w:id="17"/>
      <w:bookmarkEnd w:id="18"/>
      <w:bookmarkEnd w:id="19"/>
      <w:r w:rsidRPr="004359C1">
        <w:t xml:space="preserve"> </w:t>
      </w:r>
    </w:p>
    <w:p w14:paraId="5D7477F4" w14:textId="77777777" w:rsidR="00EA758A" w:rsidRPr="000F08DB" w:rsidRDefault="00EA758A" w:rsidP="004359C1">
      <w:pPr>
        <w:pStyle w:val="Nadpis9"/>
        <w:rPr>
          <w:color w:val="FF0000"/>
        </w:rPr>
      </w:pPr>
      <w:r w:rsidRPr="000F08DB">
        <w:t>Specifické „příjmové“ ukazatele kapitoly 327 - MD rok 201</w:t>
      </w:r>
      <w:r w:rsidR="008A6D1B" w:rsidRPr="000F08DB">
        <w:t>9</w:t>
      </w:r>
    </w:p>
    <w:p w14:paraId="582AA4F4" w14:textId="77777777" w:rsidR="00EA758A" w:rsidRPr="008A6D1B" w:rsidRDefault="00EA758A" w:rsidP="00DB2320">
      <w:pPr>
        <w:keepNext/>
        <w:ind w:right="142"/>
        <w:jc w:val="right"/>
      </w:pPr>
      <w:r w:rsidRPr="008A6D1B">
        <w:t>v tis. Kč</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1276"/>
        <w:gridCol w:w="1276"/>
        <w:gridCol w:w="1276"/>
        <w:gridCol w:w="1275"/>
        <w:gridCol w:w="851"/>
        <w:gridCol w:w="850"/>
      </w:tblGrid>
      <w:tr w:rsidR="008A6D1B" w:rsidRPr="000D77C8" w14:paraId="51F94869" w14:textId="77777777" w:rsidTr="0087450A">
        <w:trPr>
          <w:tblHeader/>
        </w:trPr>
        <w:tc>
          <w:tcPr>
            <w:tcW w:w="2268" w:type="dxa"/>
            <w:vAlign w:val="center"/>
          </w:tcPr>
          <w:p w14:paraId="77071242" w14:textId="77777777" w:rsidR="008A6D1B" w:rsidRPr="003A3176" w:rsidRDefault="008A6D1B" w:rsidP="008A6D1B">
            <w:pPr>
              <w:jc w:val="center"/>
              <w:rPr>
                <w:sz w:val="22"/>
                <w:szCs w:val="22"/>
              </w:rPr>
            </w:pPr>
            <w:r w:rsidRPr="003A3176">
              <w:rPr>
                <w:sz w:val="22"/>
                <w:szCs w:val="22"/>
              </w:rPr>
              <w:t>Název ukazatele</w:t>
            </w:r>
          </w:p>
        </w:tc>
        <w:tc>
          <w:tcPr>
            <w:tcW w:w="1276" w:type="dxa"/>
            <w:vAlign w:val="center"/>
          </w:tcPr>
          <w:p w14:paraId="65546436" w14:textId="77777777" w:rsidR="008A6D1B" w:rsidRPr="003A3176" w:rsidRDefault="008A6D1B" w:rsidP="008A6D1B">
            <w:pPr>
              <w:jc w:val="center"/>
              <w:rPr>
                <w:sz w:val="22"/>
                <w:szCs w:val="22"/>
              </w:rPr>
            </w:pPr>
            <w:r w:rsidRPr="003A3176">
              <w:rPr>
                <w:sz w:val="22"/>
                <w:szCs w:val="22"/>
              </w:rPr>
              <w:t>Skutečnost</w:t>
            </w:r>
          </w:p>
          <w:p w14:paraId="71955DBB" w14:textId="77777777" w:rsidR="008A6D1B" w:rsidRPr="003A3176" w:rsidRDefault="008A6D1B" w:rsidP="008A6D1B">
            <w:pPr>
              <w:jc w:val="center"/>
              <w:rPr>
                <w:sz w:val="22"/>
                <w:szCs w:val="22"/>
              </w:rPr>
            </w:pPr>
            <w:r w:rsidRPr="003A3176">
              <w:rPr>
                <w:sz w:val="22"/>
                <w:szCs w:val="22"/>
              </w:rPr>
              <w:t>2018</w:t>
            </w:r>
          </w:p>
        </w:tc>
        <w:tc>
          <w:tcPr>
            <w:tcW w:w="1276" w:type="dxa"/>
            <w:vAlign w:val="center"/>
          </w:tcPr>
          <w:p w14:paraId="0A39C147" w14:textId="77777777" w:rsidR="008A6D1B" w:rsidRPr="003A3176" w:rsidRDefault="008A6D1B" w:rsidP="008A6D1B">
            <w:pPr>
              <w:jc w:val="center"/>
              <w:rPr>
                <w:sz w:val="22"/>
                <w:szCs w:val="22"/>
              </w:rPr>
            </w:pPr>
            <w:r w:rsidRPr="003A3176">
              <w:rPr>
                <w:sz w:val="22"/>
                <w:szCs w:val="22"/>
              </w:rPr>
              <w:t>Schválený rozpočet</w:t>
            </w:r>
          </w:p>
          <w:p w14:paraId="64B87B76" w14:textId="77777777" w:rsidR="008A6D1B" w:rsidRPr="003A3176" w:rsidRDefault="008A6D1B" w:rsidP="008A6D1B">
            <w:pPr>
              <w:jc w:val="center"/>
              <w:rPr>
                <w:sz w:val="22"/>
                <w:szCs w:val="22"/>
              </w:rPr>
            </w:pPr>
            <w:r w:rsidRPr="003A3176">
              <w:rPr>
                <w:sz w:val="22"/>
                <w:szCs w:val="22"/>
              </w:rPr>
              <w:t>2019</w:t>
            </w:r>
          </w:p>
        </w:tc>
        <w:tc>
          <w:tcPr>
            <w:tcW w:w="1276" w:type="dxa"/>
            <w:vAlign w:val="center"/>
          </w:tcPr>
          <w:p w14:paraId="14654053" w14:textId="77777777" w:rsidR="008A6D1B" w:rsidRPr="003A3176" w:rsidRDefault="008A6D1B" w:rsidP="008A6D1B">
            <w:pPr>
              <w:jc w:val="center"/>
              <w:rPr>
                <w:sz w:val="22"/>
                <w:szCs w:val="22"/>
              </w:rPr>
            </w:pPr>
            <w:r w:rsidRPr="003A3176">
              <w:rPr>
                <w:sz w:val="22"/>
                <w:szCs w:val="22"/>
              </w:rPr>
              <w:t>Upravený rozpočet</w:t>
            </w:r>
          </w:p>
          <w:p w14:paraId="0B617D8F" w14:textId="77777777" w:rsidR="008A6D1B" w:rsidRPr="003A3176" w:rsidRDefault="008A6D1B" w:rsidP="008A6D1B">
            <w:pPr>
              <w:jc w:val="center"/>
              <w:rPr>
                <w:sz w:val="22"/>
                <w:szCs w:val="22"/>
              </w:rPr>
            </w:pPr>
            <w:r w:rsidRPr="003A3176">
              <w:rPr>
                <w:sz w:val="22"/>
                <w:szCs w:val="22"/>
              </w:rPr>
              <w:t>2019</w:t>
            </w:r>
          </w:p>
        </w:tc>
        <w:tc>
          <w:tcPr>
            <w:tcW w:w="1275" w:type="dxa"/>
            <w:vAlign w:val="center"/>
          </w:tcPr>
          <w:p w14:paraId="361A7C6A" w14:textId="77777777" w:rsidR="008A6D1B" w:rsidRPr="003A3176" w:rsidRDefault="008A6D1B" w:rsidP="008A6D1B">
            <w:pPr>
              <w:jc w:val="center"/>
              <w:rPr>
                <w:sz w:val="22"/>
                <w:szCs w:val="22"/>
              </w:rPr>
            </w:pPr>
            <w:r w:rsidRPr="003A3176">
              <w:rPr>
                <w:sz w:val="22"/>
                <w:szCs w:val="22"/>
              </w:rPr>
              <w:t>Skutečnost  2019</w:t>
            </w:r>
          </w:p>
        </w:tc>
        <w:tc>
          <w:tcPr>
            <w:tcW w:w="851" w:type="dxa"/>
            <w:vAlign w:val="center"/>
          </w:tcPr>
          <w:p w14:paraId="3123C174" w14:textId="77777777" w:rsidR="008A6D1B" w:rsidRPr="003A3176" w:rsidRDefault="008A6D1B" w:rsidP="008A6D1B">
            <w:pPr>
              <w:jc w:val="center"/>
              <w:rPr>
                <w:sz w:val="22"/>
                <w:szCs w:val="22"/>
              </w:rPr>
            </w:pPr>
            <w:r w:rsidRPr="003A3176">
              <w:rPr>
                <w:sz w:val="22"/>
                <w:szCs w:val="22"/>
              </w:rPr>
              <w:t>Plnění</w:t>
            </w:r>
          </w:p>
          <w:p w14:paraId="43C15BE7" w14:textId="77777777" w:rsidR="008A6D1B" w:rsidRPr="003A3176" w:rsidRDefault="008A6D1B" w:rsidP="008A6D1B">
            <w:pPr>
              <w:jc w:val="center"/>
              <w:rPr>
                <w:sz w:val="22"/>
                <w:szCs w:val="22"/>
              </w:rPr>
            </w:pPr>
            <w:r w:rsidRPr="003A3176">
              <w:rPr>
                <w:sz w:val="22"/>
                <w:szCs w:val="22"/>
              </w:rPr>
              <w:t>v %</w:t>
            </w:r>
          </w:p>
        </w:tc>
        <w:tc>
          <w:tcPr>
            <w:tcW w:w="850" w:type="dxa"/>
          </w:tcPr>
          <w:p w14:paraId="6BEF81CF" w14:textId="77777777" w:rsidR="008A6D1B" w:rsidRPr="003A3176" w:rsidRDefault="008A6D1B" w:rsidP="008A6D1B">
            <w:pPr>
              <w:jc w:val="center"/>
              <w:rPr>
                <w:sz w:val="22"/>
                <w:szCs w:val="22"/>
              </w:rPr>
            </w:pPr>
            <w:r w:rsidRPr="003A3176">
              <w:rPr>
                <w:sz w:val="22"/>
                <w:szCs w:val="22"/>
              </w:rPr>
              <w:t>Index</w:t>
            </w:r>
          </w:p>
          <w:p w14:paraId="5E53DAAF" w14:textId="77777777" w:rsidR="008A6D1B" w:rsidRPr="003A3176" w:rsidRDefault="008A6D1B" w:rsidP="008A6D1B">
            <w:pPr>
              <w:jc w:val="center"/>
              <w:rPr>
                <w:sz w:val="22"/>
                <w:szCs w:val="22"/>
              </w:rPr>
            </w:pPr>
            <w:r w:rsidRPr="003A3176">
              <w:rPr>
                <w:sz w:val="22"/>
                <w:szCs w:val="22"/>
              </w:rPr>
              <w:t>19/18         (v %)</w:t>
            </w:r>
          </w:p>
        </w:tc>
      </w:tr>
      <w:tr w:rsidR="008A6D1B" w:rsidRPr="000D77C8" w14:paraId="14BEC401" w14:textId="77777777" w:rsidTr="0087450A">
        <w:trPr>
          <w:tblHeader/>
        </w:trPr>
        <w:tc>
          <w:tcPr>
            <w:tcW w:w="2268" w:type="dxa"/>
          </w:tcPr>
          <w:p w14:paraId="635BC001" w14:textId="77777777" w:rsidR="008A6D1B" w:rsidRPr="00E146E1" w:rsidRDefault="008A6D1B" w:rsidP="008A6D1B">
            <w:pPr>
              <w:rPr>
                <w:b/>
                <w:sz w:val="22"/>
                <w:szCs w:val="22"/>
              </w:rPr>
            </w:pPr>
            <w:r w:rsidRPr="00E146E1">
              <w:rPr>
                <w:b/>
                <w:sz w:val="22"/>
                <w:szCs w:val="22"/>
              </w:rPr>
              <w:t>Daňové příjmy</w:t>
            </w:r>
          </w:p>
        </w:tc>
        <w:tc>
          <w:tcPr>
            <w:tcW w:w="1276" w:type="dxa"/>
            <w:vAlign w:val="center"/>
          </w:tcPr>
          <w:p w14:paraId="51E1DABA" w14:textId="77777777" w:rsidR="008A6D1B" w:rsidRPr="000D77C8" w:rsidRDefault="008A6D1B" w:rsidP="008A6D1B">
            <w:pPr>
              <w:jc w:val="right"/>
              <w:rPr>
                <w:b/>
                <w:color w:val="FF0000"/>
                <w:sz w:val="22"/>
                <w:szCs w:val="22"/>
              </w:rPr>
            </w:pPr>
            <w:r w:rsidRPr="008262A3">
              <w:rPr>
                <w:b/>
                <w:sz w:val="22"/>
                <w:szCs w:val="22"/>
              </w:rPr>
              <w:t>185 977</w:t>
            </w:r>
          </w:p>
        </w:tc>
        <w:tc>
          <w:tcPr>
            <w:tcW w:w="1276" w:type="dxa"/>
            <w:vAlign w:val="center"/>
          </w:tcPr>
          <w:p w14:paraId="6090EEC8" w14:textId="77777777" w:rsidR="008A6D1B" w:rsidRPr="003A3176" w:rsidRDefault="008A6D1B" w:rsidP="008A6D1B">
            <w:pPr>
              <w:ind w:left="-108"/>
              <w:jc w:val="right"/>
              <w:rPr>
                <w:b/>
                <w:sz w:val="22"/>
                <w:szCs w:val="22"/>
              </w:rPr>
            </w:pPr>
            <w:r w:rsidRPr="003A3176">
              <w:rPr>
                <w:b/>
                <w:sz w:val="22"/>
                <w:szCs w:val="22"/>
              </w:rPr>
              <w:t>170 000</w:t>
            </w:r>
          </w:p>
        </w:tc>
        <w:tc>
          <w:tcPr>
            <w:tcW w:w="1276" w:type="dxa"/>
            <w:vAlign w:val="center"/>
          </w:tcPr>
          <w:p w14:paraId="332546FF" w14:textId="77777777" w:rsidR="008A6D1B" w:rsidRPr="003A3176" w:rsidRDefault="008A6D1B" w:rsidP="008A6D1B">
            <w:pPr>
              <w:ind w:left="-108"/>
              <w:jc w:val="right"/>
              <w:rPr>
                <w:b/>
                <w:sz w:val="22"/>
                <w:szCs w:val="22"/>
              </w:rPr>
            </w:pPr>
            <w:r w:rsidRPr="003A3176">
              <w:rPr>
                <w:b/>
                <w:sz w:val="22"/>
                <w:szCs w:val="22"/>
              </w:rPr>
              <w:t>170 000</w:t>
            </w:r>
          </w:p>
        </w:tc>
        <w:tc>
          <w:tcPr>
            <w:tcW w:w="1275" w:type="dxa"/>
            <w:vAlign w:val="center"/>
          </w:tcPr>
          <w:p w14:paraId="38218465" w14:textId="77777777" w:rsidR="008A6D1B" w:rsidRPr="000D77C8" w:rsidRDefault="008A6D1B" w:rsidP="008A6D1B">
            <w:pPr>
              <w:jc w:val="right"/>
              <w:rPr>
                <w:b/>
                <w:color w:val="FF0000"/>
                <w:sz w:val="22"/>
                <w:szCs w:val="22"/>
              </w:rPr>
            </w:pPr>
            <w:r w:rsidRPr="00E146E1">
              <w:rPr>
                <w:b/>
                <w:sz w:val="22"/>
                <w:szCs w:val="22"/>
              </w:rPr>
              <w:t>191 895</w:t>
            </w:r>
          </w:p>
        </w:tc>
        <w:tc>
          <w:tcPr>
            <w:tcW w:w="851" w:type="dxa"/>
            <w:vAlign w:val="center"/>
          </w:tcPr>
          <w:p w14:paraId="78E0F5C6" w14:textId="77777777" w:rsidR="008A6D1B" w:rsidRPr="000D77C8" w:rsidRDefault="008A6D1B" w:rsidP="008A6D1B">
            <w:pPr>
              <w:jc w:val="right"/>
              <w:rPr>
                <w:b/>
                <w:color w:val="FF0000"/>
                <w:sz w:val="22"/>
                <w:szCs w:val="22"/>
              </w:rPr>
            </w:pPr>
            <w:r w:rsidRPr="008262A3">
              <w:rPr>
                <w:b/>
                <w:sz w:val="22"/>
                <w:szCs w:val="22"/>
              </w:rPr>
              <w:t>112,88</w:t>
            </w:r>
          </w:p>
        </w:tc>
        <w:tc>
          <w:tcPr>
            <w:tcW w:w="850" w:type="dxa"/>
            <w:vAlign w:val="center"/>
          </w:tcPr>
          <w:p w14:paraId="69419A06" w14:textId="77777777" w:rsidR="008A6D1B" w:rsidRPr="008262A3" w:rsidRDefault="008A6D1B" w:rsidP="008A6D1B">
            <w:pPr>
              <w:jc w:val="right"/>
              <w:rPr>
                <w:b/>
                <w:sz w:val="22"/>
                <w:szCs w:val="22"/>
              </w:rPr>
            </w:pPr>
            <w:r w:rsidRPr="008262A3">
              <w:rPr>
                <w:b/>
                <w:sz w:val="22"/>
                <w:szCs w:val="22"/>
              </w:rPr>
              <w:t>103,18</w:t>
            </w:r>
          </w:p>
        </w:tc>
      </w:tr>
      <w:tr w:rsidR="008A6D1B" w:rsidRPr="000D77C8" w14:paraId="7E67A3F4" w14:textId="77777777" w:rsidTr="0087450A">
        <w:trPr>
          <w:tblHeader/>
        </w:trPr>
        <w:tc>
          <w:tcPr>
            <w:tcW w:w="2268" w:type="dxa"/>
          </w:tcPr>
          <w:p w14:paraId="75721C72" w14:textId="77777777" w:rsidR="008A6D1B" w:rsidRPr="00E146E1" w:rsidRDefault="008A6D1B" w:rsidP="008A6D1B">
            <w:pPr>
              <w:rPr>
                <w:b/>
                <w:sz w:val="22"/>
                <w:szCs w:val="22"/>
              </w:rPr>
            </w:pPr>
            <w:r w:rsidRPr="00E146E1">
              <w:rPr>
                <w:b/>
                <w:sz w:val="22"/>
                <w:szCs w:val="22"/>
              </w:rPr>
              <w:t xml:space="preserve">Nedaňové příjmy, kapitálové příjmy </w:t>
            </w:r>
            <w:r w:rsidRPr="00E146E1">
              <w:rPr>
                <w:b/>
                <w:sz w:val="22"/>
                <w:szCs w:val="22"/>
              </w:rPr>
              <w:br/>
              <w:t xml:space="preserve">a přijaté transfery celkem* </w:t>
            </w:r>
          </w:p>
        </w:tc>
        <w:tc>
          <w:tcPr>
            <w:tcW w:w="1276" w:type="dxa"/>
            <w:vAlign w:val="center"/>
          </w:tcPr>
          <w:p w14:paraId="35BA498F" w14:textId="77777777" w:rsidR="008A6D1B" w:rsidRPr="000D77C8" w:rsidRDefault="008A6D1B" w:rsidP="008A6D1B">
            <w:pPr>
              <w:jc w:val="right"/>
              <w:rPr>
                <w:b/>
                <w:color w:val="FF0000"/>
                <w:sz w:val="22"/>
                <w:szCs w:val="22"/>
              </w:rPr>
            </w:pPr>
            <w:r w:rsidRPr="008262A3">
              <w:rPr>
                <w:b/>
                <w:sz w:val="22"/>
                <w:szCs w:val="22"/>
              </w:rPr>
              <w:t>22 772 935</w:t>
            </w:r>
          </w:p>
        </w:tc>
        <w:tc>
          <w:tcPr>
            <w:tcW w:w="1276" w:type="dxa"/>
            <w:vAlign w:val="center"/>
          </w:tcPr>
          <w:p w14:paraId="46A4CE70" w14:textId="77777777" w:rsidR="008A6D1B" w:rsidRPr="000D77C8" w:rsidRDefault="008A6D1B" w:rsidP="008A6D1B">
            <w:pPr>
              <w:jc w:val="right"/>
              <w:rPr>
                <w:b/>
                <w:color w:val="FF0000"/>
                <w:sz w:val="22"/>
                <w:szCs w:val="22"/>
              </w:rPr>
            </w:pPr>
            <w:r w:rsidRPr="00E146E1">
              <w:rPr>
                <w:b/>
                <w:sz w:val="22"/>
                <w:szCs w:val="22"/>
              </w:rPr>
              <w:t>19 076 733</w:t>
            </w:r>
          </w:p>
        </w:tc>
        <w:tc>
          <w:tcPr>
            <w:tcW w:w="1276" w:type="dxa"/>
            <w:vAlign w:val="center"/>
          </w:tcPr>
          <w:p w14:paraId="3B907036" w14:textId="77777777" w:rsidR="008A6D1B" w:rsidRPr="000D77C8" w:rsidRDefault="008A6D1B" w:rsidP="008A6D1B">
            <w:pPr>
              <w:jc w:val="right"/>
              <w:rPr>
                <w:b/>
                <w:color w:val="FF0000"/>
                <w:sz w:val="22"/>
                <w:szCs w:val="22"/>
              </w:rPr>
            </w:pPr>
            <w:r w:rsidRPr="00E146E1">
              <w:rPr>
                <w:b/>
                <w:sz w:val="22"/>
                <w:szCs w:val="22"/>
              </w:rPr>
              <w:t>19 076 733</w:t>
            </w:r>
          </w:p>
        </w:tc>
        <w:tc>
          <w:tcPr>
            <w:tcW w:w="1275" w:type="dxa"/>
            <w:vAlign w:val="center"/>
          </w:tcPr>
          <w:p w14:paraId="2F2D9312" w14:textId="77777777" w:rsidR="008A6D1B" w:rsidRPr="000D77C8" w:rsidRDefault="008A6D1B" w:rsidP="008A6D1B">
            <w:pPr>
              <w:jc w:val="right"/>
              <w:rPr>
                <w:b/>
                <w:color w:val="FF0000"/>
                <w:sz w:val="22"/>
                <w:szCs w:val="22"/>
              </w:rPr>
            </w:pPr>
            <w:r w:rsidRPr="00E146E1">
              <w:rPr>
                <w:b/>
                <w:sz w:val="22"/>
                <w:szCs w:val="22"/>
              </w:rPr>
              <w:t>17 257 869</w:t>
            </w:r>
          </w:p>
        </w:tc>
        <w:tc>
          <w:tcPr>
            <w:tcW w:w="851" w:type="dxa"/>
            <w:vAlign w:val="center"/>
          </w:tcPr>
          <w:p w14:paraId="026FF003" w14:textId="77777777" w:rsidR="008A6D1B" w:rsidRPr="000D77C8" w:rsidRDefault="008A6D1B" w:rsidP="008A6D1B">
            <w:pPr>
              <w:jc w:val="right"/>
              <w:rPr>
                <w:b/>
                <w:color w:val="FF0000"/>
                <w:sz w:val="22"/>
                <w:szCs w:val="22"/>
              </w:rPr>
            </w:pPr>
            <w:r w:rsidRPr="008262A3">
              <w:rPr>
                <w:b/>
                <w:sz w:val="22"/>
                <w:szCs w:val="22"/>
              </w:rPr>
              <w:t>90,47</w:t>
            </w:r>
          </w:p>
        </w:tc>
        <w:tc>
          <w:tcPr>
            <w:tcW w:w="850" w:type="dxa"/>
            <w:vAlign w:val="center"/>
          </w:tcPr>
          <w:p w14:paraId="1B5747BB" w14:textId="77777777" w:rsidR="008A6D1B" w:rsidRPr="000D77C8" w:rsidRDefault="008A6D1B" w:rsidP="008A6D1B">
            <w:pPr>
              <w:jc w:val="right"/>
              <w:rPr>
                <w:b/>
                <w:color w:val="FF0000"/>
                <w:sz w:val="22"/>
                <w:szCs w:val="22"/>
              </w:rPr>
            </w:pPr>
            <w:r w:rsidRPr="008262A3">
              <w:rPr>
                <w:b/>
                <w:sz w:val="22"/>
                <w:szCs w:val="22"/>
              </w:rPr>
              <w:t>75,78</w:t>
            </w:r>
          </w:p>
        </w:tc>
      </w:tr>
      <w:tr w:rsidR="008A6D1B" w:rsidRPr="000D77C8" w14:paraId="0F1A6B0D" w14:textId="77777777" w:rsidTr="0087450A">
        <w:trPr>
          <w:tblHeader/>
        </w:trPr>
        <w:tc>
          <w:tcPr>
            <w:tcW w:w="2268" w:type="dxa"/>
          </w:tcPr>
          <w:p w14:paraId="6909C25F" w14:textId="77777777" w:rsidR="008A6D1B" w:rsidRPr="00E146E1" w:rsidRDefault="008A6D1B" w:rsidP="008A6D1B">
            <w:pPr>
              <w:rPr>
                <w:sz w:val="22"/>
                <w:szCs w:val="22"/>
              </w:rPr>
            </w:pPr>
            <w:r w:rsidRPr="00E146E1">
              <w:rPr>
                <w:sz w:val="22"/>
                <w:szCs w:val="22"/>
              </w:rPr>
              <w:t>v tom:</w:t>
            </w:r>
          </w:p>
        </w:tc>
        <w:tc>
          <w:tcPr>
            <w:tcW w:w="1276" w:type="dxa"/>
            <w:vAlign w:val="center"/>
          </w:tcPr>
          <w:p w14:paraId="3672A4BB" w14:textId="77777777" w:rsidR="008A6D1B" w:rsidRPr="000D77C8" w:rsidRDefault="008A6D1B" w:rsidP="008A6D1B">
            <w:pPr>
              <w:jc w:val="right"/>
              <w:rPr>
                <w:color w:val="FF0000"/>
                <w:sz w:val="22"/>
                <w:szCs w:val="22"/>
              </w:rPr>
            </w:pPr>
          </w:p>
        </w:tc>
        <w:tc>
          <w:tcPr>
            <w:tcW w:w="1276" w:type="dxa"/>
            <w:vAlign w:val="center"/>
          </w:tcPr>
          <w:p w14:paraId="67267B30" w14:textId="77777777" w:rsidR="008A6D1B" w:rsidRPr="000D77C8" w:rsidRDefault="008A6D1B" w:rsidP="008A6D1B">
            <w:pPr>
              <w:jc w:val="right"/>
              <w:rPr>
                <w:color w:val="FF0000"/>
                <w:sz w:val="22"/>
                <w:szCs w:val="22"/>
              </w:rPr>
            </w:pPr>
          </w:p>
        </w:tc>
        <w:tc>
          <w:tcPr>
            <w:tcW w:w="1276" w:type="dxa"/>
            <w:vAlign w:val="center"/>
          </w:tcPr>
          <w:p w14:paraId="4A50D7CC" w14:textId="77777777" w:rsidR="008A6D1B" w:rsidRPr="000D77C8" w:rsidRDefault="008A6D1B" w:rsidP="008A6D1B">
            <w:pPr>
              <w:jc w:val="right"/>
              <w:rPr>
                <w:color w:val="FF0000"/>
                <w:sz w:val="22"/>
                <w:szCs w:val="22"/>
              </w:rPr>
            </w:pPr>
          </w:p>
        </w:tc>
        <w:tc>
          <w:tcPr>
            <w:tcW w:w="1275" w:type="dxa"/>
            <w:vAlign w:val="center"/>
          </w:tcPr>
          <w:p w14:paraId="1A739483" w14:textId="77777777" w:rsidR="008A6D1B" w:rsidRPr="000D77C8" w:rsidRDefault="008A6D1B" w:rsidP="008A6D1B">
            <w:pPr>
              <w:jc w:val="right"/>
              <w:rPr>
                <w:color w:val="FF0000"/>
                <w:sz w:val="22"/>
                <w:szCs w:val="22"/>
              </w:rPr>
            </w:pPr>
          </w:p>
        </w:tc>
        <w:tc>
          <w:tcPr>
            <w:tcW w:w="851" w:type="dxa"/>
            <w:vAlign w:val="center"/>
          </w:tcPr>
          <w:p w14:paraId="5F15328A" w14:textId="77777777" w:rsidR="008A6D1B" w:rsidRPr="000D77C8" w:rsidRDefault="008A6D1B" w:rsidP="008A6D1B">
            <w:pPr>
              <w:jc w:val="right"/>
              <w:rPr>
                <w:color w:val="FF0000"/>
                <w:sz w:val="22"/>
                <w:szCs w:val="22"/>
              </w:rPr>
            </w:pPr>
          </w:p>
        </w:tc>
        <w:tc>
          <w:tcPr>
            <w:tcW w:w="850" w:type="dxa"/>
            <w:vAlign w:val="center"/>
          </w:tcPr>
          <w:p w14:paraId="4B40C6E0" w14:textId="77777777" w:rsidR="008A6D1B" w:rsidRPr="000D77C8" w:rsidRDefault="008A6D1B" w:rsidP="008A6D1B">
            <w:pPr>
              <w:jc w:val="right"/>
              <w:rPr>
                <w:color w:val="FF0000"/>
                <w:sz w:val="22"/>
                <w:szCs w:val="22"/>
              </w:rPr>
            </w:pPr>
          </w:p>
        </w:tc>
      </w:tr>
      <w:tr w:rsidR="008A6D1B" w:rsidRPr="000D77C8" w14:paraId="7C5FEBE5" w14:textId="77777777" w:rsidTr="0087450A">
        <w:trPr>
          <w:tblHeader/>
        </w:trPr>
        <w:tc>
          <w:tcPr>
            <w:tcW w:w="2268" w:type="dxa"/>
          </w:tcPr>
          <w:p w14:paraId="038985E0" w14:textId="77777777" w:rsidR="008A6D1B" w:rsidRPr="00E146E1" w:rsidRDefault="008A6D1B" w:rsidP="008A6D1B">
            <w:pPr>
              <w:ind w:left="180"/>
              <w:rPr>
                <w:sz w:val="22"/>
                <w:szCs w:val="22"/>
              </w:rPr>
            </w:pPr>
            <w:r w:rsidRPr="00E146E1">
              <w:rPr>
                <w:sz w:val="22"/>
                <w:szCs w:val="22"/>
              </w:rPr>
              <w:t>Příjmy z rozpočtu Evropské unie bez spol. zeměd. politiky celkem</w:t>
            </w:r>
          </w:p>
        </w:tc>
        <w:tc>
          <w:tcPr>
            <w:tcW w:w="1276" w:type="dxa"/>
            <w:vAlign w:val="center"/>
          </w:tcPr>
          <w:p w14:paraId="4DE1A609" w14:textId="77777777" w:rsidR="008A6D1B" w:rsidRPr="000D77C8" w:rsidRDefault="008A6D1B" w:rsidP="008A6D1B">
            <w:pPr>
              <w:tabs>
                <w:tab w:val="left" w:pos="702"/>
              </w:tabs>
              <w:jc w:val="right"/>
              <w:rPr>
                <w:color w:val="FF0000"/>
                <w:sz w:val="22"/>
                <w:szCs w:val="22"/>
              </w:rPr>
            </w:pPr>
            <w:r w:rsidRPr="008262A3">
              <w:rPr>
                <w:sz w:val="22"/>
                <w:szCs w:val="22"/>
              </w:rPr>
              <w:t>22 485 092</w:t>
            </w:r>
          </w:p>
        </w:tc>
        <w:tc>
          <w:tcPr>
            <w:tcW w:w="1276" w:type="dxa"/>
            <w:vAlign w:val="center"/>
          </w:tcPr>
          <w:p w14:paraId="64AB81EE" w14:textId="77777777" w:rsidR="008A6D1B" w:rsidRPr="000D77C8" w:rsidRDefault="008A6D1B" w:rsidP="008A6D1B">
            <w:pPr>
              <w:jc w:val="right"/>
              <w:rPr>
                <w:color w:val="FF0000"/>
                <w:sz w:val="22"/>
                <w:szCs w:val="22"/>
              </w:rPr>
            </w:pPr>
            <w:r w:rsidRPr="00E146E1">
              <w:rPr>
                <w:sz w:val="22"/>
                <w:szCs w:val="22"/>
              </w:rPr>
              <w:t>18 869 733</w:t>
            </w:r>
          </w:p>
        </w:tc>
        <w:tc>
          <w:tcPr>
            <w:tcW w:w="1276" w:type="dxa"/>
            <w:vAlign w:val="center"/>
          </w:tcPr>
          <w:p w14:paraId="22A47F6C" w14:textId="77777777" w:rsidR="008A6D1B" w:rsidRPr="00E146E1" w:rsidRDefault="008A6D1B" w:rsidP="008A6D1B">
            <w:pPr>
              <w:jc w:val="right"/>
              <w:rPr>
                <w:sz w:val="22"/>
                <w:szCs w:val="22"/>
              </w:rPr>
            </w:pPr>
            <w:r w:rsidRPr="00E146E1">
              <w:rPr>
                <w:sz w:val="22"/>
                <w:szCs w:val="22"/>
              </w:rPr>
              <w:t>18 869 733</w:t>
            </w:r>
          </w:p>
        </w:tc>
        <w:tc>
          <w:tcPr>
            <w:tcW w:w="1275" w:type="dxa"/>
            <w:vAlign w:val="center"/>
          </w:tcPr>
          <w:p w14:paraId="1BB924A8" w14:textId="77777777" w:rsidR="008A6D1B" w:rsidRPr="000D77C8" w:rsidRDefault="008A6D1B" w:rsidP="008A6D1B">
            <w:pPr>
              <w:tabs>
                <w:tab w:val="left" w:pos="702"/>
              </w:tabs>
              <w:jc w:val="right"/>
              <w:rPr>
                <w:color w:val="FF0000"/>
                <w:sz w:val="22"/>
                <w:szCs w:val="22"/>
              </w:rPr>
            </w:pPr>
            <w:r w:rsidRPr="00E146E1">
              <w:rPr>
                <w:sz w:val="22"/>
                <w:szCs w:val="22"/>
              </w:rPr>
              <w:t>16 994 281</w:t>
            </w:r>
          </w:p>
        </w:tc>
        <w:tc>
          <w:tcPr>
            <w:tcW w:w="851" w:type="dxa"/>
            <w:vAlign w:val="center"/>
          </w:tcPr>
          <w:p w14:paraId="28C01361" w14:textId="77777777" w:rsidR="008A6D1B" w:rsidRPr="000D77C8" w:rsidRDefault="008A6D1B" w:rsidP="008A6D1B">
            <w:pPr>
              <w:jc w:val="right"/>
              <w:rPr>
                <w:color w:val="FF0000"/>
                <w:sz w:val="22"/>
                <w:szCs w:val="22"/>
              </w:rPr>
            </w:pPr>
            <w:r w:rsidRPr="008262A3">
              <w:rPr>
                <w:sz w:val="22"/>
                <w:szCs w:val="22"/>
              </w:rPr>
              <w:t>90,06</w:t>
            </w:r>
          </w:p>
        </w:tc>
        <w:tc>
          <w:tcPr>
            <w:tcW w:w="850" w:type="dxa"/>
            <w:vAlign w:val="center"/>
          </w:tcPr>
          <w:p w14:paraId="6BB43B9D" w14:textId="77777777" w:rsidR="008A6D1B" w:rsidRPr="000D77C8" w:rsidRDefault="008A6D1B" w:rsidP="008A6D1B">
            <w:pPr>
              <w:jc w:val="right"/>
              <w:rPr>
                <w:color w:val="FF0000"/>
                <w:sz w:val="22"/>
                <w:szCs w:val="22"/>
                <w:highlight w:val="yellow"/>
              </w:rPr>
            </w:pPr>
            <w:r w:rsidRPr="008262A3">
              <w:rPr>
                <w:sz w:val="22"/>
                <w:szCs w:val="22"/>
              </w:rPr>
              <w:t>75,58</w:t>
            </w:r>
          </w:p>
        </w:tc>
      </w:tr>
      <w:tr w:rsidR="008A6D1B" w:rsidRPr="000D77C8" w14:paraId="406DA5C4" w14:textId="77777777" w:rsidTr="0087450A">
        <w:trPr>
          <w:tblHeader/>
        </w:trPr>
        <w:tc>
          <w:tcPr>
            <w:tcW w:w="2268" w:type="dxa"/>
          </w:tcPr>
          <w:p w14:paraId="06E9A5C2" w14:textId="77777777" w:rsidR="008A6D1B" w:rsidRPr="00E146E1" w:rsidRDefault="008A6D1B" w:rsidP="008A6D1B">
            <w:pPr>
              <w:ind w:left="180"/>
              <w:rPr>
                <w:sz w:val="22"/>
                <w:szCs w:val="22"/>
              </w:rPr>
            </w:pPr>
            <w:r w:rsidRPr="00E146E1">
              <w:rPr>
                <w:sz w:val="22"/>
                <w:szCs w:val="22"/>
              </w:rPr>
              <w:t xml:space="preserve">ostatní nedaňové příjmy, kap. příjmy </w:t>
            </w:r>
            <w:r w:rsidRPr="00E146E1">
              <w:rPr>
                <w:sz w:val="22"/>
                <w:szCs w:val="22"/>
              </w:rPr>
              <w:br/>
              <w:t>a přijaté transfery celkem</w:t>
            </w:r>
          </w:p>
        </w:tc>
        <w:tc>
          <w:tcPr>
            <w:tcW w:w="1276" w:type="dxa"/>
            <w:vAlign w:val="center"/>
          </w:tcPr>
          <w:p w14:paraId="4C88B6CD" w14:textId="77777777" w:rsidR="008A6D1B" w:rsidRPr="000D77C8" w:rsidRDefault="008A6D1B" w:rsidP="008A6D1B">
            <w:pPr>
              <w:jc w:val="right"/>
              <w:rPr>
                <w:color w:val="FF0000"/>
                <w:sz w:val="22"/>
                <w:szCs w:val="22"/>
              </w:rPr>
            </w:pPr>
            <w:r w:rsidRPr="008262A3">
              <w:rPr>
                <w:sz w:val="22"/>
                <w:szCs w:val="22"/>
              </w:rPr>
              <w:t>287 843</w:t>
            </w:r>
          </w:p>
        </w:tc>
        <w:tc>
          <w:tcPr>
            <w:tcW w:w="1276" w:type="dxa"/>
            <w:vAlign w:val="center"/>
          </w:tcPr>
          <w:p w14:paraId="33D9C092" w14:textId="77777777" w:rsidR="008A6D1B" w:rsidRPr="000D77C8" w:rsidRDefault="008A6D1B" w:rsidP="008A6D1B">
            <w:pPr>
              <w:jc w:val="right"/>
              <w:rPr>
                <w:color w:val="FF0000"/>
                <w:sz w:val="22"/>
                <w:szCs w:val="22"/>
              </w:rPr>
            </w:pPr>
            <w:r w:rsidRPr="00E146E1">
              <w:rPr>
                <w:sz w:val="22"/>
                <w:szCs w:val="22"/>
              </w:rPr>
              <w:t>207 000</w:t>
            </w:r>
          </w:p>
        </w:tc>
        <w:tc>
          <w:tcPr>
            <w:tcW w:w="1276" w:type="dxa"/>
            <w:vAlign w:val="center"/>
          </w:tcPr>
          <w:p w14:paraId="43BD82AC" w14:textId="77777777" w:rsidR="008A6D1B" w:rsidRPr="000D77C8" w:rsidRDefault="008A6D1B" w:rsidP="008A6D1B">
            <w:pPr>
              <w:jc w:val="right"/>
              <w:rPr>
                <w:color w:val="FF0000"/>
                <w:sz w:val="22"/>
                <w:szCs w:val="22"/>
              </w:rPr>
            </w:pPr>
            <w:r w:rsidRPr="00E146E1">
              <w:rPr>
                <w:sz w:val="22"/>
                <w:szCs w:val="22"/>
              </w:rPr>
              <w:t>207 000</w:t>
            </w:r>
          </w:p>
        </w:tc>
        <w:tc>
          <w:tcPr>
            <w:tcW w:w="1275" w:type="dxa"/>
            <w:vAlign w:val="center"/>
          </w:tcPr>
          <w:p w14:paraId="584ACDF6" w14:textId="77777777" w:rsidR="008A6D1B" w:rsidRPr="000D77C8" w:rsidRDefault="008A6D1B" w:rsidP="008A6D1B">
            <w:pPr>
              <w:jc w:val="right"/>
              <w:rPr>
                <w:color w:val="FF0000"/>
                <w:sz w:val="22"/>
                <w:szCs w:val="22"/>
              </w:rPr>
            </w:pPr>
            <w:r w:rsidRPr="00E146E1">
              <w:rPr>
                <w:sz w:val="22"/>
                <w:szCs w:val="22"/>
              </w:rPr>
              <w:t>263 588</w:t>
            </w:r>
          </w:p>
        </w:tc>
        <w:tc>
          <w:tcPr>
            <w:tcW w:w="851" w:type="dxa"/>
            <w:shd w:val="clear" w:color="auto" w:fill="auto"/>
            <w:vAlign w:val="center"/>
          </w:tcPr>
          <w:p w14:paraId="48CC292A" w14:textId="77777777" w:rsidR="008A6D1B" w:rsidRPr="000D77C8" w:rsidRDefault="008A6D1B" w:rsidP="008A6D1B">
            <w:pPr>
              <w:jc w:val="right"/>
              <w:rPr>
                <w:color w:val="FF0000"/>
                <w:sz w:val="22"/>
                <w:szCs w:val="22"/>
                <w:highlight w:val="yellow"/>
              </w:rPr>
            </w:pPr>
            <w:r w:rsidRPr="008262A3">
              <w:rPr>
                <w:sz w:val="22"/>
                <w:szCs w:val="22"/>
              </w:rPr>
              <w:t>127,34</w:t>
            </w:r>
          </w:p>
        </w:tc>
        <w:tc>
          <w:tcPr>
            <w:tcW w:w="850" w:type="dxa"/>
            <w:vAlign w:val="center"/>
          </w:tcPr>
          <w:p w14:paraId="5B53FF15" w14:textId="77777777" w:rsidR="008A6D1B" w:rsidRPr="008262A3" w:rsidRDefault="008A6D1B" w:rsidP="008A6D1B">
            <w:pPr>
              <w:jc w:val="right"/>
              <w:rPr>
                <w:sz w:val="22"/>
                <w:szCs w:val="22"/>
                <w:highlight w:val="yellow"/>
              </w:rPr>
            </w:pPr>
            <w:r w:rsidRPr="008262A3">
              <w:rPr>
                <w:sz w:val="22"/>
                <w:szCs w:val="22"/>
              </w:rPr>
              <w:t>91,57</w:t>
            </w:r>
          </w:p>
        </w:tc>
      </w:tr>
      <w:tr w:rsidR="008A6D1B" w:rsidRPr="000D77C8" w14:paraId="27C2B100" w14:textId="77777777" w:rsidTr="0087450A">
        <w:trPr>
          <w:tblHeader/>
        </w:trPr>
        <w:tc>
          <w:tcPr>
            <w:tcW w:w="2268" w:type="dxa"/>
          </w:tcPr>
          <w:p w14:paraId="497D2193" w14:textId="77777777" w:rsidR="008A6D1B" w:rsidRPr="00E146E1" w:rsidRDefault="008A6D1B" w:rsidP="008A6D1B">
            <w:pPr>
              <w:rPr>
                <w:b/>
                <w:sz w:val="22"/>
                <w:szCs w:val="22"/>
              </w:rPr>
            </w:pPr>
            <w:r w:rsidRPr="00E146E1">
              <w:rPr>
                <w:b/>
                <w:sz w:val="22"/>
                <w:szCs w:val="22"/>
              </w:rPr>
              <w:t>Příjmy kapitoly MD-327 celkem</w:t>
            </w:r>
          </w:p>
        </w:tc>
        <w:tc>
          <w:tcPr>
            <w:tcW w:w="1276" w:type="dxa"/>
            <w:vAlign w:val="center"/>
          </w:tcPr>
          <w:p w14:paraId="607DE848" w14:textId="77777777" w:rsidR="008A6D1B" w:rsidRPr="000D77C8" w:rsidRDefault="008A6D1B" w:rsidP="008A6D1B">
            <w:pPr>
              <w:jc w:val="right"/>
              <w:rPr>
                <w:b/>
                <w:color w:val="FF0000"/>
                <w:sz w:val="22"/>
                <w:szCs w:val="22"/>
              </w:rPr>
            </w:pPr>
            <w:r w:rsidRPr="008262A3">
              <w:rPr>
                <w:b/>
                <w:sz w:val="22"/>
                <w:szCs w:val="22"/>
              </w:rPr>
              <w:t>22 958 912</w:t>
            </w:r>
          </w:p>
        </w:tc>
        <w:tc>
          <w:tcPr>
            <w:tcW w:w="1276" w:type="dxa"/>
            <w:vAlign w:val="center"/>
          </w:tcPr>
          <w:p w14:paraId="5944F0DD" w14:textId="77777777" w:rsidR="008A6D1B" w:rsidRPr="000D77C8" w:rsidRDefault="008A6D1B" w:rsidP="008A6D1B">
            <w:pPr>
              <w:jc w:val="right"/>
              <w:rPr>
                <w:b/>
                <w:color w:val="FF0000"/>
                <w:sz w:val="22"/>
                <w:szCs w:val="22"/>
              </w:rPr>
            </w:pPr>
            <w:r w:rsidRPr="00E146E1">
              <w:rPr>
                <w:b/>
                <w:sz w:val="22"/>
                <w:szCs w:val="22"/>
              </w:rPr>
              <w:t>19 246 733</w:t>
            </w:r>
          </w:p>
        </w:tc>
        <w:tc>
          <w:tcPr>
            <w:tcW w:w="1276" w:type="dxa"/>
            <w:vAlign w:val="center"/>
          </w:tcPr>
          <w:p w14:paraId="44D93EE7" w14:textId="77777777" w:rsidR="008A6D1B" w:rsidRPr="000D77C8" w:rsidRDefault="008A6D1B" w:rsidP="008A6D1B">
            <w:pPr>
              <w:jc w:val="right"/>
              <w:rPr>
                <w:b/>
                <w:color w:val="FF0000"/>
                <w:sz w:val="22"/>
                <w:szCs w:val="22"/>
              </w:rPr>
            </w:pPr>
            <w:r w:rsidRPr="00E146E1">
              <w:rPr>
                <w:b/>
                <w:sz w:val="22"/>
                <w:szCs w:val="22"/>
              </w:rPr>
              <w:t>19 246 733</w:t>
            </w:r>
          </w:p>
        </w:tc>
        <w:tc>
          <w:tcPr>
            <w:tcW w:w="1275" w:type="dxa"/>
            <w:vAlign w:val="center"/>
          </w:tcPr>
          <w:p w14:paraId="5D4EFDFB" w14:textId="77777777" w:rsidR="008A6D1B" w:rsidRPr="000D77C8" w:rsidRDefault="008A6D1B" w:rsidP="008A6D1B">
            <w:pPr>
              <w:jc w:val="right"/>
              <w:rPr>
                <w:b/>
                <w:color w:val="FF0000"/>
                <w:sz w:val="22"/>
                <w:szCs w:val="22"/>
              </w:rPr>
            </w:pPr>
            <w:r w:rsidRPr="00E146E1">
              <w:rPr>
                <w:b/>
                <w:sz w:val="22"/>
                <w:szCs w:val="22"/>
              </w:rPr>
              <w:t>17 449 764</w:t>
            </w:r>
          </w:p>
        </w:tc>
        <w:tc>
          <w:tcPr>
            <w:tcW w:w="851" w:type="dxa"/>
            <w:vAlign w:val="center"/>
          </w:tcPr>
          <w:p w14:paraId="3A726CC3" w14:textId="77777777" w:rsidR="008A6D1B" w:rsidRPr="000D77C8" w:rsidRDefault="008A6D1B" w:rsidP="008A6D1B">
            <w:pPr>
              <w:jc w:val="right"/>
              <w:rPr>
                <w:b/>
                <w:color w:val="FF0000"/>
                <w:sz w:val="22"/>
                <w:szCs w:val="22"/>
              </w:rPr>
            </w:pPr>
            <w:r w:rsidRPr="008262A3">
              <w:rPr>
                <w:b/>
                <w:sz w:val="22"/>
                <w:szCs w:val="22"/>
              </w:rPr>
              <w:t>90,66</w:t>
            </w:r>
          </w:p>
        </w:tc>
        <w:tc>
          <w:tcPr>
            <w:tcW w:w="850" w:type="dxa"/>
            <w:vAlign w:val="center"/>
          </w:tcPr>
          <w:p w14:paraId="52C341DE" w14:textId="77777777" w:rsidR="008A6D1B" w:rsidRPr="008262A3" w:rsidRDefault="008A6D1B" w:rsidP="008A6D1B">
            <w:pPr>
              <w:jc w:val="right"/>
              <w:rPr>
                <w:b/>
                <w:sz w:val="22"/>
                <w:szCs w:val="22"/>
              </w:rPr>
            </w:pPr>
            <w:r w:rsidRPr="008262A3">
              <w:rPr>
                <w:b/>
                <w:sz w:val="22"/>
                <w:szCs w:val="22"/>
              </w:rPr>
              <w:t>76,00</w:t>
            </w:r>
          </w:p>
        </w:tc>
      </w:tr>
    </w:tbl>
    <w:p w14:paraId="730D0E2F" w14:textId="77777777" w:rsidR="00EA758A" w:rsidRPr="000F08DB" w:rsidRDefault="00EA758A" w:rsidP="000F08DB">
      <w:pPr>
        <w:pStyle w:val="Nadpis6"/>
      </w:pPr>
      <w:r w:rsidRPr="000F08DB">
        <w:t>Daňové příjmy</w:t>
      </w:r>
    </w:p>
    <w:p w14:paraId="56E62253" w14:textId="77777777" w:rsidR="008A6D1B" w:rsidRPr="000D77C8" w:rsidRDefault="008A6D1B" w:rsidP="008A6D1B">
      <w:pPr>
        <w:pStyle w:val="KOMtext"/>
        <w:rPr>
          <w:color w:val="FF0000"/>
        </w:rPr>
      </w:pPr>
      <w:r w:rsidRPr="00B8068E">
        <w:t xml:space="preserve">Daňové příjmy organizačních složek státu byly naplněny ve výši 191 895 tis. Kč, tj. plnění </w:t>
      </w:r>
      <w:r w:rsidRPr="00B8068E">
        <w:br/>
        <w:t>ve výši 112,88 % schváleného rozpočtu v částce 170 000 tis. Kč. Tyto příjmy jsou tvořeny pouze správními poplatky, z nichž největší podíl 165 262 tis. Kč připadá na ústřední orgán Ministerstva dopravy, dále</w:t>
      </w:r>
      <w:r w:rsidRPr="000D77C8">
        <w:rPr>
          <w:color w:val="FF0000"/>
        </w:rPr>
        <w:t xml:space="preserve"> </w:t>
      </w:r>
      <w:r w:rsidRPr="00B8068E">
        <w:t>17 343 tis. Kč přijal Úřad pro civilní letectví, 6 262 tis. Kč přijala Státní plavební správa a</w:t>
      </w:r>
      <w:r w:rsidRPr="000D77C8">
        <w:rPr>
          <w:color w:val="FF0000"/>
        </w:rPr>
        <w:t xml:space="preserve"> </w:t>
      </w:r>
      <w:r w:rsidRPr="00B8068E">
        <w:t xml:space="preserve">3 028 tis. Kč přijal Drážní úřad. </w:t>
      </w:r>
    </w:p>
    <w:p w14:paraId="55BFB0BA" w14:textId="77777777" w:rsidR="00E448E6" w:rsidRPr="004B11AC" w:rsidRDefault="00E448E6" w:rsidP="008A6D1B">
      <w:pPr>
        <w:spacing w:before="120" w:after="120"/>
        <w:jc w:val="both"/>
        <w:rPr>
          <w:i/>
          <w:color w:val="FF0000"/>
        </w:rPr>
      </w:pPr>
      <w:r w:rsidRPr="007975FE">
        <w:rPr>
          <w:i/>
        </w:rPr>
        <w:t>Plnění daňových příjmů za rok 201</w:t>
      </w:r>
      <w:r w:rsidR="007975FE" w:rsidRPr="007975FE">
        <w:rPr>
          <w:i/>
        </w:rPr>
        <w:t>9</w:t>
      </w:r>
      <w:r w:rsidRPr="007975FE">
        <w:rPr>
          <w:i/>
        </w:rPr>
        <w:t xml:space="preserve"> (</w:t>
      </w:r>
      <w:r w:rsidR="008A6D1B" w:rsidRPr="007975FE">
        <w:rPr>
          <w:i/>
        </w:rPr>
        <w:t>191 895</w:t>
      </w:r>
      <w:r w:rsidR="00105D68" w:rsidRPr="007975FE">
        <w:rPr>
          <w:i/>
        </w:rPr>
        <w:t xml:space="preserve"> tis. Kč) je oproti</w:t>
      </w:r>
      <w:r w:rsidRPr="007975FE">
        <w:rPr>
          <w:i/>
        </w:rPr>
        <w:t xml:space="preserve"> roku 201</w:t>
      </w:r>
      <w:r w:rsidR="007975FE" w:rsidRPr="007975FE">
        <w:rPr>
          <w:i/>
        </w:rPr>
        <w:t>8</w:t>
      </w:r>
      <w:r w:rsidRPr="004B11AC">
        <w:rPr>
          <w:i/>
          <w:color w:val="FF0000"/>
        </w:rPr>
        <w:t xml:space="preserve"> </w:t>
      </w:r>
      <w:r w:rsidRPr="007975FE">
        <w:rPr>
          <w:i/>
        </w:rPr>
        <w:t>(</w:t>
      </w:r>
      <w:r w:rsidR="007975FE" w:rsidRPr="007975FE">
        <w:rPr>
          <w:i/>
        </w:rPr>
        <w:t>185 977</w:t>
      </w:r>
      <w:r w:rsidR="00ED458D" w:rsidRPr="007975FE">
        <w:rPr>
          <w:i/>
        </w:rPr>
        <w:t xml:space="preserve"> </w:t>
      </w:r>
      <w:r w:rsidRPr="007975FE">
        <w:rPr>
          <w:i/>
        </w:rPr>
        <w:t xml:space="preserve">tis. Kč) vyšší o </w:t>
      </w:r>
      <w:r w:rsidR="007975FE" w:rsidRPr="007975FE">
        <w:rPr>
          <w:i/>
        </w:rPr>
        <w:t>5 918</w:t>
      </w:r>
      <w:r w:rsidRPr="007975FE">
        <w:rPr>
          <w:i/>
        </w:rPr>
        <w:t xml:space="preserve"> tis. Kč, tj. index </w:t>
      </w:r>
      <w:r w:rsidR="00105D68" w:rsidRPr="007975FE">
        <w:rPr>
          <w:i/>
        </w:rPr>
        <w:t>10</w:t>
      </w:r>
      <w:r w:rsidR="007975FE" w:rsidRPr="007975FE">
        <w:rPr>
          <w:i/>
        </w:rPr>
        <w:t>3,18</w:t>
      </w:r>
      <w:r w:rsidRPr="007975FE">
        <w:rPr>
          <w:i/>
        </w:rPr>
        <w:t xml:space="preserve"> %.</w:t>
      </w:r>
    </w:p>
    <w:p w14:paraId="35EBC2F6" w14:textId="77777777" w:rsidR="00EA758A" w:rsidRPr="007975FE" w:rsidRDefault="00EA758A" w:rsidP="000F08DB">
      <w:pPr>
        <w:pStyle w:val="Nadpis6"/>
      </w:pPr>
      <w:r w:rsidRPr="007975FE">
        <w:lastRenderedPageBreak/>
        <w:t xml:space="preserve">Nedaňové příjmy, kapitálové příjmy a přijaté transfery celkem </w:t>
      </w:r>
    </w:p>
    <w:p w14:paraId="30A326B8" w14:textId="77777777" w:rsidR="00EA758A" w:rsidRPr="007975FE" w:rsidRDefault="00EA758A" w:rsidP="00DD6BFE">
      <w:pPr>
        <w:pStyle w:val="Nadpis7"/>
        <w:ind w:hanging="430"/>
      </w:pPr>
      <w:r w:rsidRPr="007975FE">
        <w:t>Příjmy z </w:t>
      </w:r>
      <w:r w:rsidRPr="000F08DB">
        <w:t>rozpočtu</w:t>
      </w:r>
      <w:r w:rsidRPr="007975FE">
        <w:t xml:space="preserve"> Evropské unie bez společné zemědělské politiky celkem</w:t>
      </w:r>
    </w:p>
    <w:p w14:paraId="7E112207" w14:textId="2B49899F" w:rsidR="00844588" w:rsidRPr="007A0EB4" w:rsidRDefault="00844588" w:rsidP="00844588">
      <w:pPr>
        <w:pStyle w:val="KOMtext"/>
      </w:pPr>
      <w:r w:rsidRPr="00B8068E">
        <w:rPr>
          <w:b/>
          <w:bCs/>
        </w:rPr>
        <w:t>Příjmy z rozpočtu EU</w:t>
      </w:r>
      <w:r w:rsidRPr="00B8068E">
        <w:t xml:space="preserve"> (upravený rozpočet ve výši 18 869 733 tis. Kč) byly v průběhu </w:t>
      </w:r>
      <w:r w:rsidRPr="000D77C8">
        <w:rPr>
          <w:color w:val="FF0000"/>
        </w:rPr>
        <w:br/>
      </w:r>
      <w:r w:rsidRPr="00B8068E">
        <w:t>roku 2019 realizovány ve výši 16 994 281 tis. Kč, z toho příjmy z EU na projekty rozpočtované v roce 2018 a dříve</w:t>
      </w:r>
      <w:r w:rsidRPr="000D77C8">
        <w:rPr>
          <w:color w:val="FF0000"/>
        </w:rPr>
        <w:t xml:space="preserve"> </w:t>
      </w:r>
      <w:r w:rsidR="0092128C" w:rsidRPr="0092128C">
        <w:t>3 0</w:t>
      </w:r>
      <w:r w:rsidR="0092128C">
        <w:t>89 681</w:t>
      </w:r>
      <w:r>
        <w:t xml:space="preserve"> </w:t>
      </w:r>
      <w:r w:rsidRPr="007A0EB4">
        <w:t xml:space="preserve">tis. Kč </w:t>
      </w:r>
      <w:r w:rsidRPr="00B8068E">
        <w:t>a převod z rezervního fondu činí 137 078 tis. Kč,</w:t>
      </w:r>
      <w:r w:rsidRPr="000D77C8">
        <w:rPr>
          <w:color w:val="FF0000"/>
        </w:rPr>
        <w:t xml:space="preserve"> </w:t>
      </w:r>
      <w:r w:rsidRPr="007A0EB4">
        <w:t>tj. plnění ve výši 90,06 % upraveného rozpočtu (</w:t>
      </w:r>
      <w:r>
        <w:t>resp. 7</w:t>
      </w:r>
      <w:r w:rsidR="00007786">
        <w:t>2</w:t>
      </w:r>
      <w:r>
        <w:t>,</w:t>
      </w:r>
      <w:r w:rsidR="00007786">
        <w:t>96</w:t>
      </w:r>
      <w:r w:rsidRPr="007A0EB4">
        <w:t xml:space="preserve"> % upraveného rozpočtu dle § 25 </w:t>
      </w:r>
      <w:r w:rsidR="004E2AB4">
        <w:br/>
      </w:r>
      <w:r w:rsidRPr="007A0EB4">
        <w:t xml:space="preserve">zák. č. 218/2000 Sb., rozpočtová pravidla, v platném znění, kdy jsou do plnění počítány jen příjmy na projekty rozpočtované v roce 2019).  </w:t>
      </w:r>
    </w:p>
    <w:p w14:paraId="026E0E67" w14:textId="73091210" w:rsidR="0009786D" w:rsidRDefault="0009786D" w:rsidP="0009786D">
      <w:pPr>
        <w:pStyle w:val="KOMtext"/>
      </w:pPr>
      <w:r>
        <w:t xml:space="preserve">V průběhu prosince 2018 </w:t>
      </w:r>
      <w:r w:rsidRPr="00243385">
        <w:t xml:space="preserve">byla odsouhlasena kalkulace poslední tranše </w:t>
      </w:r>
      <w:r>
        <w:t>závěrečné platby</w:t>
      </w:r>
      <w:r w:rsidRPr="00243385">
        <w:t xml:space="preserve"> </w:t>
      </w:r>
      <w:r>
        <w:t xml:space="preserve">a dne 10. 9. 2019 došlo ze strany EK k oficiálnímu ukončení </w:t>
      </w:r>
      <w:r w:rsidRPr="00F439BE">
        <w:rPr>
          <w:b/>
        </w:rPr>
        <w:t>OP Infrastruktura</w:t>
      </w:r>
      <w:r>
        <w:rPr>
          <w:b/>
        </w:rPr>
        <w:t xml:space="preserve"> z programovacího období 2004-2006</w:t>
      </w:r>
      <w:r>
        <w:t xml:space="preserve">. Závěrečná platba ve výši 95 329 tis. Kč byla se splatností k 11. 12. 2019 převedena na účet kapitoly 327, čímž došlo k závěrečnému finančnímu vypořádání programu. </w:t>
      </w:r>
    </w:p>
    <w:p w14:paraId="1788E642" w14:textId="38FD3293" w:rsidR="00844588" w:rsidRPr="000D77C8" w:rsidRDefault="00844588" w:rsidP="00844588">
      <w:pPr>
        <w:pStyle w:val="KOMtext"/>
        <w:rPr>
          <w:color w:val="FF0000"/>
        </w:rPr>
      </w:pPr>
      <w:r w:rsidRPr="00C2352D">
        <w:t xml:space="preserve">Z celkových příjmů z rozpočtu EU </w:t>
      </w:r>
      <w:r w:rsidRPr="00C2352D">
        <w:rPr>
          <w:b/>
        </w:rPr>
        <w:t>příjmy z programového období 2014-2020</w:t>
      </w:r>
      <w:r w:rsidRPr="00C2352D">
        <w:t xml:space="preserve"> činí </w:t>
      </w:r>
      <w:r w:rsidRPr="00C2352D">
        <w:br/>
      </w:r>
      <w:r>
        <w:t>16 898 952</w:t>
      </w:r>
      <w:r w:rsidRPr="00C2352D">
        <w:t xml:space="preserve"> tis. Kč, v tom Operační program Doprava – Strukturální fondy </w:t>
      </w:r>
      <w:r>
        <w:t>2 065 329</w:t>
      </w:r>
      <w:r w:rsidRPr="00C2352D">
        <w:t xml:space="preserve"> tis. Kč, </w:t>
      </w:r>
      <w:r w:rsidRPr="00B47F25">
        <w:t xml:space="preserve">Operační program Doprava – Fond soudržnosti </w:t>
      </w:r>
      <w:r>
        <w:t>12 430 005</w:t>
      </w:r>
      <w:r w:rsidRPr="00B47F25">
        <w:t xml:space="preserve"> tis. Kč, komunitární programy Nástroj pro propojení Evropy 2014+ (CEF) 2 402 976 tis. Kč (z toho převod z rezervního fondu</w:t>
      </w:r>
      <w:r w:rsidRPr="000D77C8">
        <w:rPr>
          <w:color w:val="FF0000"/>
        </w:rPr>
        <w:t xml:space="preserve"> </w:t>
      </w:r>
      <w:r w:rsidR="00AD690D">
        <w:rPr>
          <w:color w:val="FF0000"/>
        </w:rPr>
        <w:br/>
      </w:r>
      <w:r w:rsidRPr="00B47F25">
        <w:t>137 078 tis. Kč), Operační program Zaměstnanost 642 tis. Kč.</w:t>
      </w:r>
    </w:p>
    <w:p w14:paraId="79F621ED" w14:textId="77777777" w:rsidR="00844588" w:rsidRPr="000D77C8" w:rsidRDefault="00844588" w:rsidP="00844588">
      <w:pPr>
        <w:pStyle w:val="KOMtext"/>
        <w:rPr>
          <w:color w:val="FF0000"/>
        </w:rPr>
      </w:pPr>
      <w:r w:rsidRPr="00044640">
        <w:t>Z celkových příjmů z rozpočtu EU činí neinvestiční přijaté transfery 151 400 tis. Kč, investiční přijaté transfery</w:t>
      </w:r>
      <w:r w:rsidRPr="000D77C8">
        <w:rPr>
          <w:color w:val="FF0000"/>
        </w:rPr>
        <w:t xml:space="preserve"> </w:t>
      </w:r>
      <w:r w:rsidRPr="00044640">
        <w:t xml:space="preserve">16 705 802 tis. Kč, převody z rezervního fondu 137 078 tis. Kč. </w:t>
      </w:r>
    </w:p>
    <w:p w14:paraId="72808AE3" w14:textId="43B3B58B" w:rsidR="00052861" w:rsidRPr="004B11AC" w:rsidRDefault="003E3B01" w:rsidP="00844588">
      <w:pPr>
        <w:pStyle w:val="KOMtext"/>
        <w:rPr>
          <w:b/>
          <w:bCs/>
          <w:iCs/>
          <w:color w:val="FF0000"/>
          <w:lang w:eastAsia="en-US"/>
        </w:rPr>
      </w:pPr>
      <w:r w:rsidRPr="003A1F3F">
        <w:rPr>
          <w:iCs/>
          <w:lang w:eastAsia="en-US"/>
        </w:rPr>
        <w:t>Ministerstvo dopravy v</w:t>
      </w:r>
      <w:r w:rsidR="003A1F3F">
        <w:rPr>
          <w:iCs/>
          <w:lang w:eastAsia="en-US"/>
        </w:rPr>
        <w:t> roce 2019</w:t>
      </w:r>
      <w:r w:rsidRPr="003A1F3F">
        <w:rPr>
          <w:iCs/>
          <w:color w:val="FF0000"/>
          <w:lang w:eastAsia="en-US"/>
        </w:rPr>
        <w:t xml:space="preserve"> </w:t>
      </w:r>
      <w:r w:rsidR="00C2239A" w:rsidRPr="00C2239A">
        <w:rPr>
          <w:iCs/>
          <w:lang w:eastAsia="en-US"/>
        </w:rPr>
        <w:t>navýšilo</w:t>
      </w:r>
      <w:r w:rsidRPr="00C2239A">
        <w:rPr>
          <w:iCs/>
          <w:lang w:eastAsia="en-US"/>
        </w:rPr>
        <w:t xml:space="preserve"> tempo čerpání prostředků a následně </w:t>
      </w:r>
      <w:r w:rsidR="006353D8" w:rsidRPr="00C2239A">
        <w:rPr>
          <w:iCs/>
          <w:lang w:eastAsia="en-US"/>
        </w:rPr>
        <w:br/>
      </w:r>
      <w:r w:rsidR="00C2239A">
        <w:rPr>
          <w:iCs/>
          <w:lang w:eastAsia="en-US"/>
        </w:rPr>
        <w:t xml:space="preserve">i </w:t>
      </w:r>
      <w:r w:rsidRPr="00866BB7">
        <w:rPr>
          <w:iCs/>
          <w:lang w:eastAsia="en-US"/>
        </w:rPr>
        <w:t>refundace příjmů z Operačního programu Doprava 2014-2020</w:t>
      </w:r>
      <w:r w:rsidR="00E52510">
        <w:rPr>
          <w:iCs/>
          <w:lang w:eastAsia="en-US"/>
        </w:rPr>
        <w:t xml:space="preserve"> o 1 579 889</w:t>
      </w:r>
      <w:r w:rsidR="006353D8" w:rsidRPr="00866BB7">
        <w:rPr>
          <w:iCs/>
          <w:lang w:eastAsia="en-US"/>
        </w:rPr>
        <w:t xml:space="preserve"> tis. Kč, </w:t>
      </w:r>
      <w:r w:rsidR="000F08DB">
        <w:rPr>
          <w:iCs/>
          <w:lang w:eastAsia="en-US"/>
        </w:rPr>
        <w:br/>
      </w:r>
      <w:r w:rsidR="00E52510">
        <w:rPr>
          <w:iCs/>
          <w:lang w:eastAsia="en-US"/>
        </w:rPr>
        <w:t>tj. index 112,23</w:t>
      </w:r>
      <w:r w:rsidR="006353D8" w:rsidRPr="00B72B41">
        <w:rPr>
          <w:iCs/>
          <w:lang w:eastAsia="en-US"/>
        </w:rPr>
        <w:t xml:space="preserve"> %</w:t>
      </w:r>
      <w:r w:rsidRPr="00B72B41">
        <w:rPr>
          <w:iCs/>
          <w:lang w:eastAsia="en-US"/>
        </w:rPr>
        <w:t>.</w:t>
      </w:r>
      <w:r w:rsidR="006353D8" w:rsidRPr="00B72B41">
        <w:rPr>
          <w:iCs/>
          <w:lang w:eastAsia="en-US"/>
        </w:rPr>
        <w:t xml:space="preserve"> </w:t>
      </w:r>
      <w:r w:rsidR="002835AE" w:rsidRPr="00866BB7">
        <w:rPr>
          <w:iCs/>
          <w:lang w:eastAsia="en-US"/>
        </w:rPr>
        <w:t xml:space="preserve">V průběhu tohoto roku byly na Platebním a certifikačním orgánu (odbor Národního fondu MF) vyžádány prostředky v souhrnné výši </w:t>
      </w:r>
      <w:r w:rsidR="00E52510">
        <w:rPr>
          <w:iCs/>
          <w:lang w:eastAsia="en-US"/>
        </w:rPr>
        <w:t>14 495 334</w:t>
      </w:r>
      <w:r w:rsidR="002835AE" w:rsidRPr="00866BB7">
        <w:rPr>
          <w:iCs/>
          <w:lang w:eastAsia="en-US"/>
        </w:rPr>
        <w:t xml:space="preserve"> tis. Kč, které byly v téže roce zpět refundovány do kapitoly MD. </w:t>
      </w:r>
      <w:r w:rsidR="00052861" w:rsidRPr="00866BB7">
        <w:rPr>
          <w:iCs/>
          <w:lang w:eastAsia="en-US"/>
        </w:rPr>
        <w:t xml:space="preserve">Celkově od </w:t>
      </w:r>
      <w:r w:rsidR="00052861" w:rsidRPr="00A47767">
        <w:rPr>
          <w:b/>
          <w:iCs/>
          <w:lang w:eastAsia="en-US"/>
        </w:rPr>
        <w:t>počátku implementace OPD</w:t>
      </w:r>
      <w:r w:rsidR="006353D8" w:rsidRPr="00A47767">
        <w:rPr>
          <w:b/>
          <w:iCs/>
          <w:lang w:eastAsia="en-US"/>
        </w:rPr>
        <w:t xml:space="preserve"> 2014–2020</w:t>
      </w:r>
      <w:r w:rsidR="006353D8" w:rsidRPr="00866BB7">
        <w:rPr>
          <w:iCs/>
          <w:lang w:eastAsia="en-US"/>
        </w:rPr>
        <w:t xml:space="preserve"> </w:t>
      </w:r>
      <w:r w:rsidR="00516B32" w:rsidRPr="00866BB7">
        <w:rPr>
          <w:iCs/>
          <w:lang w:eastAsia="en-US"/>
        </w:rPr>
        <w:br/>
      </w:r>
      <w:r w:rsidR="006353D8" w:rsidRPr="00866BB7">
        <w:rPr>
          <w:iCs/>
          <w:lang w:eastAsia="en-US"/>
        </w:rPr>
        <w:t xml:space="preserve">až do konce roku </w:t>
      </w:r>
      <w:r w:rsidR="00866BB7" w:rsidRPr="00866BB7">
        <w:rPr>
          <w:iCs/>
          <w:lang w:eastAsia="en-US"/>
        </w:rPr>
        <w:t>2019</w:t>
      </w:r>
      <w:r w:rsidR="00052861" w:rsidRPr="00866BB7">
        <w:rPr>
          <w:iCs/>
          <w:lang w:eastAsia="en-US"/>
        </w:rPr>
        <w:t xml:space="preserve"> bylo z Národn</w:t>
      </w:r>
      <w:r w:rsidR="006353D8" w:rsidRPr="00866BB7">
        <w:rPr>
          <w:iCs/>
          <w:lang w:eastAsia="en-US"/>
        </w:rPr>
        <w:t xml:space="preserve">ího fondu </w:t>
      </w:r>
      <w:r w:rsidR="00872D53" w:rsidRPr="00A47767">
        <w:rPr>
          <w:b/>
          <w:iCs/>
          <w:lang w:eastAsia="en-US"/>
        </w:rPr>
        <w:t xml:space="preserve">refundováno </w:t>
      </w:r>
      <w:r w:rsidR="00866BB7" w:rsidRPr="00A47767">
        <w:rPr>
          <w:b/>
          <w:iCs/>
          <w:lang w:eastAsia="en-US"/>
        </w:rPr>
        <w:t>47 175 141</w:t>
      </w:r>
      <w:r w:rsidR="00052861" w:rsidRPr="00A47767">
        <w:rPr>
          <w:b/>
          <w:iCs/>
          <w:lang w:eastAsia="en-US"/>
        </w:rPr>
        <w:t> tis. Kč</w:t>
      </w:r>
      <w:r w:rsidR="00052861" w:rsidRPr="00866BB7">
        <w:rPr>
          <w:iCs/>
          <w:lang w:eastAsia="en-US"/>
        </w:rPr>
        <w:t>.</w:t>
      </w:r>
      <w:r w:rsidR="00052861" w:rsidRPr="00866BB7">
        <w:rPr>
          <w:b/>
          <w:bCs/>
          <w:iCs/>
          <w:lang w:eastAsia="en-US"/>
        </w:rPr>
        <w:t xml:space="preserve"> </w:t>
      </w:r>
    </w:p>
    <w:p w14:paraId="485D282A" w14:textId="77777777" w:rsidR="00BE7982" w:rsidRPr="00C2239A" w:rsidRDefault="00052861" w:rsidP="00C2239A">
      <w:pPr>
        <w:spacing w:after="120"/>
        <w:jc w:val="both"/>
      </w:pPr>
      <w:r w:rsidRPr="00B72B41">
        <w:t>Celková výše příjmů z komunitárního programu Nástroj pro propojení Evropy 2014+ (CEF)</w:t>
      </w:r>
      <w:r w:rsidR="00B72B41">
        <w:t xml:space="preserve"> za rok 2019</w:t>
      </w:r>
      <w:r w:rsidR="00BE7982" w:rsidRPr="00B72B41">
        <w:t xml:space="preserve"> </w:t>
      </w:r>
      <w:r w:rsidR="00B72B41" w:rsidRPr="00B72B41">
        <w:t>ve výši 2 402 976</w:t>
      </w:r>
      <w:r w:rsidR="00BE7982" w:rsidRPr="00B72B41">
        <w:t xml:space="preserve"> tis. Kč</w:t>
      </w:r>
      <w:r w:rsidRPr="00B72B41">
        <w:t xml:space="preserve"> </w:t>
      </w:r>
      <w:r w:rsidR="00EC35D6" w:rsidRPr="00B72B41">
        <w:t xml:space="preserve">se zvýšila o </w:t>
      </w:r>
      <w:r w:rsidR="00B72B41" w:rsidRPr="00B72B41">
        <w:t>704 163</w:t>
      </w:r>
      <w:r w:rsidR="006353D8" w:rsidRPr="00B72B41">
        <w:t xml:space="preserve"> tis. Kč,</w:t>
      </w:r>
      <w:r w:rsidR="00BE7982" w:rsidRPr="00B72B41">
        <w:t xml:space="preserve"> tj. index </w:t>
      </w:r>
      <w:r w:rsidR="00B72B41" w:rsidRPr="00B72B41">
        <w:t>141,45</w:t>
      </w:r>
      <w:r w:rsidR="00BE7982" w:rsidRPr="00B72B41">
        <w:t xml:space="preserve"> %. </w:t>
      </w:r>
      <w:r w:rsidR="00516B32" w:rsidRPr="004B11AC">
        <w:rPr>
          <w:color w:val="FF0000"/>
        </w:rPr>
        <w:br/>
      </w:r>
      <w:r w:rsidR="00BE7982" w:rsidRPr="00C2239A">
        <w:t>U tohoto komunitárníh</w:t>
      </w:r>
      <w:r w:rsidR="00C2239A" w:rsidRPr="00C2239A">
        <w:t>o programu dochází v roce 2019</w:t>
      </w:r>
      <w:r w:rsidR="00BE7982" w:rsidRPr="00C2239A">
        <w:t xml:space="preserve"> </w:t>
      </w:r>
      <w:r w:rsidR="00C2239A">
        <w:t xml:space="preserve">rovněž </w:t>
      </w:r>
      <w:r w:rsidR="00BE7982" w:rsidRPr="00C2239A">
        <w:t>k navýšení čerpání finančních prostředků</w:t>
      </w:r>
      <w:r w:rsidR="00C2239A" w:rsidRPr="00C2239A">
        <w:t>.</w:t>
      </w:r>
    </w:p>
    <w:p w14:paraId="38DABD48" w14:textId="77777777" w:rsidR="007975FE" w:rsidRPr="00F94601" w:rsidRDefault="007975FE" w:rsidP="007975FE">
      <w:pPr>
        <w:pStyle w:val="KOMtext"/>
        <w:rPr>
          <w:i/>
        </w:rPr>
      </w:pPr>
      <w:r w:rsidRPr="00F94601">
        <w:rPr>
          <w:i/>
        </w:rPr>
        <w:t>Plnění příjmů z rozpočtu EU za rok 2019 (</w:t>
      </w:r>
      <w:r>
        <w:rPr>
          <w:i/>
        </w:rPr>
        <w:t>16 994 281</w:t>
      </w:r>
      <w:r w:rsidRPr="00F94601">
        <w:rPr>
          <w:i/>
        </w:rPr>
        <w:t xml:space="preserve"> tis. Kč) je oproti stejnému období roku 2018 (22 485 092 tis. Kč) nižší o </w:t>
      </w:r>
      <w:r>
        <w:rPr>
          <w:i/>
        </w:rPr>
        <w:t>5 490 811</w:t>
      </w:r>
      <w:r w:rsidRPr="00F94601">
        <w:rPr>
          <w:i/>
        </w:rPr>
        <w:t xml:space="preserve"> tis. Kč, tj. index </w:t>
      </w:r>
      <w:r>
        <w:rPr>
          <w:i/>
        </w:rPr>
        <w:t>75,58</w:t>
      </w:r>
      <w:r w:rsidRPr="00F94601">
        <w:rPr>
          <w:i/>
        </w:rPr>
        <w:t xml:space="preserve"> %. Důvodem vyšších příjmů z rozpočtu EU v roce 2018 oproti roku 2019 je především to, že v roce 2018, byly zaslány závěrečné platby OPD 2007-2013. </w:t>
      </w:r>
    </w:p>
    <w:p w14:paraId="3A9C4DD2" w14:textId="77777777" w:rsidR="00EA758A" w:rsidRPr="007975FE" w:rsidRDefault="00EA758A" w:rsidP="00DD6BFE">
      <w:pPr>
        <w:pStyle w:val="Nadpis7"/>
        <w:ind w:hanging="430"/>
      </w:pPr>
      <w:r w:rsidRPr="007975FE">
        <w:t>Ostatní nedaňové příjmy, kapitálové příjmy a přijaté transfery celkem</w:t>
      </w:r>
    </w:p>
    <w:p w14:paraId="196242E3" w14:textId="77777777" w:rsidR="007975FE" w:rsidRPr="000D77C8" w:rsidRDefault="007975FE" w:rsidP="007975FE">
      <w:pPr>
        <w:pStyle w:val="KOMtext"/>
        <w:rPr>
          <w:color w:val="FF0000"/>
        </w:rPr>
      </w:pPr>
      <w:r w:rsidRPr="00997C06">
        <w:rPr>
          <w:b/>
          <w:bCs/>
        </w:rPr>
        <w:t>Nedaňové příjmy organizačních složek státu</w:t>
      </w:r>
      <w:r w:rsidRPr="00997C06">
        <w:t xml:space="preserve"> rozpočtované ve výši 207 000 tis. Kč byly naplněny ve výši</w:t>
      </w:r>
      <w:r w:rsidRPr="000D77C8">
        <w:rPr>
          <w:color w:val="FF0000"/>
        </w:rPr>
        <w:t xml:space="preserve"> </w:t>
      </w:r>
      <w:r w:rsidRPr="00997C06">
        <w:t>259 263 tis. Kč, tj. plnění ve výši 125,25 %.</w:t>
      </w:r>
    </w:p>
    <w:p w14:paraId="69ACD0E2" w14:textId="77777777" w:rsidR="007975FE" w:rsidRDefault="007975FE" w:rsidP="00DD7279">
      <w:pPr>
        <w:pStyle w:val="KOMtext"/>
      </w:pPr>
      <w:r w:rsidRPr="006C0BD4">
        <w:lastRenderedPageBreak/>
        <w:t xml:space="preserve">Na plnění příjmů z vlastní činnosti, příjmů z pronájmu majetku a také nerozpočtovaných příjmů (tj. přijaté náhrady, dobropisy, vratky, pojistné náhrady atd.) ve výši 98 919 tis. Kč se podílel ústřední orgán MD objemem 43 803 tis. Kč (zejména příjmy z pronájmu ostatních nemovitostí </w:t>
      </w:r>
      <w:r w:rsidR="000F08DB">
        <w:br/>
      </w:r>
      <w:r w:rsidRPr="006C0BD4">
        <w:t xml:space="preserve">a jejich částí), Úřad pro civilní letectví částkou 44 208 tis. Kč (zejména příjmy z poskytnutých služeb), Ředitelství vodních cest ČR 9 404 tis. Kč (zejména příjmy z pronájmu majetku </w:t>
      </w:r>
      <w:r w:rsidRPr="006C0BD4">
        <w:br/>
        <w:t xml:space="preserve">a poskytování služeb), Státní plavební správa 1 308 tis. Kč (zejména nekapitálové příspěvky </w:t>
      </w:r>
      <w:r w:rsidRPr="006C0BD4">
        <w:br/>
        <w:t>a náhrady), Drážní úřad 132 tis. Kč, Drážní inspekce 34</w:t>
      </w:r>
      <w:r>
        <w:t xml:space="preserve"> tis. Kč a </w:t>
      </w:r>
      <w:r w:rsidRPr="006C0BD4">
        <w:t>Ústav pro zjišťování příčin leteckých nehod 30 tis. Kč</w:t>
      </w:r>
      <w:r>
        <w:t>.</w:t>
      </w:r>
    </w:p>
    <w:p w14:paraId="25D666D0" w14:textId="620D8B47" w:rsidR="007975FE" w:rsidRPr="009920E3" w:rsidRDefault="007975FE" w:rsidP="007975FE">
      <w:pPr>
        <w:pStyle w:val="KOMtext"/>
      </w:pPr>
      <w:r w:rsidRPr="009920E3">
        <w:t xml:space="preserve">Část nedaňových příjmů ústředního orgánu MD byla rovněž tvořena příjmem z prodeje vyřazených </w:t>
      </w:r>
      <w:r w:rsidR="002F201D">
        <w:t>registračních značek (bývalé SPZ)</w:t>
      </w:r>
      <w:r w:rsidRPr="009920E3">
        <w:t xml:space="preserve"> ve výši 2 760 tis. Kč.</w:t>
      </w:r>
    </w:p>
    <w:p w14:paraId="2D3304F1" w14:textId="7126233B" w:rsidR="00FB6864" w:rsidRPr="00997C06" w:rsidRDefault="00FB6864" w:rsidP="00FB6864">
      <w:pPr>
        <w:pStyle w:val="KOMtext"/>
      </w:pPr>
      <w:r w:rsidRPr="00997C06">
        <w:rPr>
          <w:bCs/>
        </w:rPr>
        <w:t>Ostatní odvody příspěvkových organizací</w:t>
      </w:r>
      <w:r w:rsidRPr="00997C06">
        <w:rPr>
          <w:b/>
          <w:bCs/>
        </w:rPr>
        <w:t xml:space="preserve"> </w:t>
      </w:r>
      <w:r w:rsidRPr="00997C06">
        <w:t xml:space="preserve">činily v hodnoceném období 5 818 tis. Kč </w:t>
      </w:r>
      <w:r w:rsidRPr="00BB39F1">
        <w:t>a hlavní měrou se na nich podílelo Ředitelství silnic a dálnic ČR částkou 5 815 tis. Kč za prodej</w:t>
      </w:r>
      <w:r w:rsidR="00900502">
        <w:t xml:space="preserve"> a směnu</w:t>
      </w:r>
      <w:r w:rsidRPr="00BB39F1">
        <w:t xml:space="preserve"> nemovitého majetku, dále pak </w:t>
      </w:r>
      <w:r w:rsidRPr="00997C06">
        <w:t>Centrum služeb pro silniční dopravu částkou 3 tis. Kč</w:t>
      </w:r>
      <w:r w:rsidR="00CB1771">
        <w:t>,</w:t>
      </w:r>
      <w:r w:rsidRPr="00997C06">
        <w:t xml:space="preserve"> a to za prodej tiskopisů (dopravně správní agendy); jde o nerozpočtované příjmy v rámci ústředního orgánu MD.</w:t>
      </w:r>
    </w:p>
    <w:p w14:paraId="1951610D" w14:textId="77777777" w:rsidR="00FB6864" w:rsidRPr="00997C06" w:rsidRDefault="00FB6864" w:rsidP="00FB6864">
      <w:pPr>
        <w:pStyle w:val="KOMtext"/>
      </w:pPr>
      <w:r w:rsidRPr="00997C06">
        <w:t xml:space="preserve">Ostatní odvody přebytků organizací s přímým vztahem činily v hodnoceném období </w:t>
      </w:r>
      <w:r w:rsidRPr="00997C06">
        <w:br/>
        <w:t xml:space="preserve">150 000 tis. Kč. Usnesením č. 285 ze dne 29. dubna 2019 vláda odsouhlasila převod finančních prostředků z fondu zakladatele státního podniku Řízení letového provozu ČR ve výši </w:t>
      </w:r>
      <w:r w:rsidRPr="00997C06">
        <w:br/>
        <w:t xml:space="preserve">150 000 tis. Kč do státního rozpočtu a k překročení výdajů kapitoly 327 Ministerstvo dopravy v roce 2019 o 20 000 tis. Kč; zároveň zmocnila ministra dopravy vydat rozhodnutí zakladatele </w:t>
      </w:r>
      <w:r w:rsidRPr="00997C06">
        <w:br/>
        <w:t>o převodu těchto finančních prostředků do kapitoly 327 Ministerstvo dopravy. Příjemcem prostředků je ústřední orgán MD.</w:t>
      </w:r>
    </w:p>
    <w:p w14:paraId="6204FED8" w14:textId="77777777" w:rsidR="000F414D" w:rsidRPr="001A7750" w:rsidRDefault="000F414D" w:rsidP="000F414D">
      <w:pPr>
        <w:pStyle w:val="KOMtext"/>
      </w:pPr>
      <w:r w:rsidRPr="004B059E">
        <w:t>Na přijatých sankčních platbách se podílejí</w:t>
      </w:r>
      <w:r w:rsidRPr="00181604">
        <w:rPr>
          <w:color w:val="FF0000"/>
        </w:rPr>
        <w:t xml:space="preserve"> </w:t>
      </w:r>
      <w:r w:rsidRPr="001A7750">
        <w:t xml:space="preserve">Úřad pro civilní letectví 1 324 tis. Kč, Drážní úřad </w:t>
      </w:r>
      <w:r w:rsidRPr="00181604">
        <w:rPr>
          <w:color w:val="FF0000"/>
        </w:rPr>
        <w:br/>
      </w:r>
      <w:r w:rsidRPr="001A7750">
        <w:t>123 tis. Kč a ústřední orgán MD</w:t>
      </w:r>
      <w:r>
        <w:rPr>
          <w:color w:val="FF0000"/>
        </w:rPr>
        <w:t xml:space="preserve"> </w:t>
      </w:r>
      <w:r w:rsidRPr="001A7750">
        <w:t xml:space="preserve">105 tis. Kč. Ostatní sankční platby přijal ústřední orgán MD </w:t>
      </w:r>
      <w:r w:rsidRPr="001A7750">
        <w:br/>
        <w:t>ve výši</w:t>
      </w:r>
      <w:r w:rsidRPr="00181604">
        <w:rPr>
          <w:color w:val="FF0000"/>
        </w:rPr>
        <w:t xml:space="preserve"> </w:t>
      </w:r>
      <w:r w:rsidRPr="002B62B7">
        <w:t xml:space="preserve">207 tis. Kč a </w:t>
      </w:r>
      <w:r w:rsidRPr="001A7750">
        <w:t>Ředitelství vodních cest ČR ve výši 8 tis. Kč.</w:t>
      </w:r>
    </w:p>
    <w:p w14:paraId="74B19D7A" w14:textId="77777777" w:rsidR="00FB6864" w:rsidRPr="00575BB7" w:rsidRDefault="00FB6864" w:rsidP="00FB6864">
      <w:pPr>
        <w:pStyle w:val="KOMtext"/>
      </w:pPr>
      <w:r w:rsidRPr="00575BB7">
        <w:rPr>
          <w:b/>
          <w:bCs/>
        </w:rPr>
        <w:t>Kapitálové příjmy</w:t>
      </w:r>
      <w:r w:rsidRPr="00575BB7">
        <w:t xml:space="preserve"> dosáhly za hodnocené období výše 116 tis. Kč a plně náleží Státní plavební správě</w:t>
      </w:r>
      <w:r w:rsidR="004F472D">
        <w:t xml:space="preserve"> ve výši 76 tis. Kč</w:t>
      </w:r>
      <w:r w:rsidRPr="00575BB7">
        <w:t xml:space="preserve"> a Úřadu pro civilní letectví</w:t>
      </w:r>
      <w:r w:rsidR="004F472D">
        <w:t xml:space="preserve"> ve výši 40 tis. Kč</w:t>
      </w:r>
      <w:r w:rsidRPr="00575BB7">
        <w:t xml:space="preserve"> za prodej nepotřebného </w:t>
      </w:r>
      <w:r w:rsidR="004F472D">
        <w:br/>
      </w:r>
      <w:r w:rsidRPr="00575BB7">
        <w:t>a vyřazeného majetku.</w:t>
      </w:r>
    </w:p>
    <w:p w14:paraId="5CF33892" w14:textId="77777777" w:rsidR="00DD7279" w:rsidRPr="004B11AC" w:rsidRDefault="00DD7279" w:rsidP="00DD7279">
      <w:pPr>
        <w:pStyle w:val="KOMtext"/>
        <w:rPr>
          <w:color w:val="FF0000"/>
        </w:rPr>
      </w:pPr>
      <w:r w:rsidRPr="004F472D">
        <w:rPr>
          <w:b/>
        </w:rPr>
        <w:t>Převody z ostat</w:t>
      </w:r>
      <w:r w:rsidR="004F472D" w:rsidRPr="004F472D">
        <w:rPr>
          <w:b/>
        </w:rPr>
        <w:t>ních vlastních fondů za rok 2019</w:t>
      </w:r>
      <w:r w:rsidRPr="004F472D">
        <w:rPr>
          <w:b/>
        </w:rPr>
        <w:t xml:space="preserve"> činí</w:t>
      </w:r>
      <w:r w:rsidRPr="004F472D">
        <w:t xml:space="preserve"> </w:t>
      </w:r>
      <w:r w:rsidR="004F472D" w:rsidRPr="004F472D">
        <w:t>101</w:t>
      </w:r>
      <w:r w:rsidRPr="004F472D">
        <w:t xml:space="preserve"> tis. Kč. </w:t>
      </w:r>
    </w:p>
    <w:p w14:paraId="79CE1E90" w14:textId="77777777" w:rsidR="00DD7279" w:rsidRPr="004F472D" w:rsidRDefault="00DD7279" w:rsidP="006A36E3">
      <w:pPr>
        <w:pStyle w:val="textovpole"/>
        <w:ind w:firstLine="0"/>
      </w:pPr>
      <w:r w:rsidRPr="004F472D">
        <w:rPr>
          <w:rStyle w:val="KOMtextChar"/>
          <w:b/>
        </w:rPr>
        <w:t>Převody z rezervních fondů organizačních složek státu</w:t>
      </w:r>
      <w:r w:rsidRPr="004F472D">
        <w:rPr>
          <w:rStyle w:val="KOMtextChar"/>
        </w:rPr>
        <w:t xml:space="preserve"> činí</w:t>
      </w:r>
      <w:r w:rsidRPr="004F472D">
        <w:t xml:space="preserve">: </w:t>
      </w:r>
    </w:p>
    <w:p w14:paraId="73777F3C" w14:textId="77777777" w:rsidR="004F472D" w:rsidRPr="00FE681C" w:rsidRDefault="004F472D" w:rsidP="00FE681C">
      <w:pPr>
        <w:pStyle w:val="KOMtext"/>
        <w:numPr>
          <w:ilvl w:val="0"/>
          <w:numId w:val="50"/>
        </w:numPr>
        <w:spacing w:after="0"/>
        <w:ind w:left="709" w:hanging="425"/>
        <w:rPr>
          <w:i/>
        </w:rPr>
      </w:pPr>
      <w:r w:rsidRPr="00FE681C">
        <w:rPr>
          <w:i/>
        </w:rPr>
        <w:t>137 078 tis. Kč z prostředků přijatých z rozpočtu EU – nástroj pro propojení Evropy 2014+. Tyto příjmy jsou zahrnuty v příjmech v rozpočtu EU.</w:t>
      </w:r>
    </w:p>
    <w:p w14:paraId="4A5903A1" w14:textId="77777777" w:rsidR="004F472D" w:rsidRPr="00211FE8" w:rsidRDefault="004F472D" w:rsidP="00275CE2">
      <w:pPr>
        <w:pStyle w:val="textovpole"/>
        <w:numPr>
          <w:ilvl w:val="0"/>
          <w:numId w:val="50"/>
        </w:numPr>
        <w:ind w:left="709" w:hanging="425"/>
        <w:rPr>
          <w:i/>
        </w:rPr>
      </w:pPr>
      <w:r w:rsidRPr="00211FE8">
        <w:rPr>
          <w:i/>
        </w:rPr>
        <w:t>4 107 tis. Kč z prostředků Fondu zábrany škod</w:t>
      </w:r>
    </w:p>
    <w:p w14:paraId="53ED0171" w14:textId="77777777" w:rsidR="004F472D" w:rsidRPr="000D77C8" w:rsidRDefault="004F472D" w:rsidP="004F472D">
      <w:pPr>
        <w:pStyle w:val="KOMtext"/>
        <w:rPr>
          <w:color w:val="FF0000"/>
        </w:rPr>
      </w:pPr>
      <w:r w:rsidRPr="0000276C">
        <w:t>Převody byly provedeny z rezervního fondu ústředního orgánu MD</w:t>
      </w:r>
      <w:r w:rsidRPr="00911D18">
        <w:t xml:space="preserve">. </w:t>
      </w:r>
    </w:p>
    <w:p w14:paraId="465D309B" w14:textId="77777777" w:rsidR="004F472D" w:rsidRPr="000D77C8" w:rsidRDefault="004F472D" w:rsidP="004F472D">
      <w:pPr>
        <w:pStyle w:val="KOMtext"/>
        <w:rPr>
          <w:color w:val="FF0000"/>
        </w:rPr>
      </w:pPr>
      <w:r w:rsidRPr="00882063">
        <w:t xml:space="preserve">Specifický ukazatel „Ostatní nedaňové příjmy, kapitálové příjmy a přijaté transfery celkem“ </w:t>
      </w:r>
      <w:r w:rsidRPr="00882063">
        <w:br/>
        <w:t>ve výši 263 588 tis. Kč byl splněn na 127,34 %.</w:t>
      </w:r>
    </w:p>
    <w:p w14:paraId="001E7B03" w14:textId="77777777" w:rsidR="004F472D" w:rsidRDefault="004F472D" w:rsidP="004F472D">
      <w:pPr>
        <w:pStyle w:val="KOMtext"/>
        <w:rPr>
          <w:i/>
        </w:rPr>
      </w:pPr>
      <w:r w:rsidRPr="003F136F">
        <w:rPr>
          <w:i/>
        </w:rPr>
        <w:t xml:space="preserve">Plnění ostatních nedaňových a kapitálových příjmů a přijatých transferů za rok 2019 </w:t>
      </w:r>
      <w:r w:rsidRPr="003F136F">
        <w:rPr>
          <w:i/>
        </w:rPr>
        <w:br/>
        <w:t>(263 588 tis. Kč) je oproti stejnému období rok</w:t>
      </w:r>
      <w:r w:rsidR="000F08DB">
        <w:rPr>
          <w:i/>
        </w:rPr>
        <w:t xml:space="preserve">u 2018 (287 843 tis. Kč) nižší </w:t>
      </w:r>
      <w:r w:rsidRPr="003F136F">
        <w:rPr>
          <w:i/>
        </w:rPr>
        <w:t>o</w:t>
      </w:r>
      <w:r w:rsidRPr="003F136F">
        <w:rPr>
          <w:i/>
          <w:color w:val="FF0000"/>
        </w:rPr>
        <w:t xml:space="preserve"> </w:t>
      </w:r>
      <w:r w:rsidRPr="003F136F">
        <w:rPr>
          <w:i/>
        </w:rPr>
        <w:t xml:space="preserve">24 255 tis. Kč, </w:t>
      </w:r>
      <w:r w:rsidR="000F08DB">
        <w:rPr>
          <w:i/>
        </w:rPr>
        <w:br/>
      </w:r>
      <w:r w:rsidRPr="003F136F">
        <w:rPr>
          <w:i/>
        </w:rPr>
        <w:t>tj. index 91,57 %.</w:t>
      </w:r>
    </w:p>
    <w:p w14:paraId="2C61C741" w14:textId="77777777" w:rsidR="00052861" w:rsidRPr="004F472D" w:rsidRDefault="00052861" w:rsidP="000F08DB">
      <w:pPr>
        <w:pStyle w:val="Nadpis9"/>
      </w:pPr>
      <w:r w:rsidRPr="000F08DB">
        <w:lastRenderedPageBreak/>
        <w:t>Porovnání</w:t>
      </w:r>
      <w:r w:rsidRPr="004F472D">
        <w:t xml:space="preserve"> jednotlivých dru</w:t>
      </w:r>
      <w:r w:rsidR="004F472D" w:rsidRPr="004F472D">
        <w:t>hů příjmů dosažených v roce 2019 s rokem 2018</w:t>
      </w:r>
    </w:p>
    <w:p w14:paraId="3E25E60D" w14:textId="77777777" w:rsidR="00675C21" w:rsidRPr="004F472D" w:rsidRDefault="00675C21" w:rsidP="00DB2320">
      <w:pPr>
        <w:keepNext/>
        <w:ind w:right="142"/>
        <w:jc w:val="right"/>
        <w:rPr>
          <w:b/>
        </w:rPr>
      </w:pP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F472D">
        <w:t xml:space="preserve">        v tis. Kč</w:t>
      </w:r>
    </w:p>
    <w:tbl>
      <w:tblPr>
        <w:tblW w:w="91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0"/>
        <w:gridCol w:w="1276"/>
        <w:gridCol w:w="1134"/>
        <w:gridCol w:w="1134"/>
        <w:gridCol w:w="1209"/>
        <w:gridCol w:w="776"/>
        <w:gridCol w:w="850"/>
      </w:tblGrid>
      <w:tr w:rsidR="004F472D" w:rsidRPr="000D77C8" w14:paraId="5232D6D9" w14:textId="77777777" w:rsidTr="009308DF">
        <w:trPr>
          <w:tblHeader/>
        </w:trPr>
        <w:tc>
          <w:tcPr>
            <w:tcW w:w="2760" w:type="dxa"/>
          </w:tcPr>
          <w:p w14:paraId="4EF755FE" w14:textId="77777777" w:rsidR="004F472D" w:rsidRPr="00B97064" w:rsidRDefault="004F472D" w:rsidP="009308DF">
            <w:pPr>
              <w:jc w:val="center"/>
              <w:rPr>
                <w:sz w:val="22"/>
              </w:rPr>
            </w:pPr>
            <w:bookmarkStart w:id="20" w:name="_Toc1043923"/>
          </w:p>
          <w:p w14:paraId="01AABFE1" w14:textId="77777777" w:rsidR="004F472D" w:rsidRPr="00B97064" w:rsidRDefault="004F472D" w:rsidP="009308DF">
            <w:pPr>
              <w:jc w:val="center"/>
              <w:rPr>
                <w:sz w:val="22"/>
              </w:rPr>
            </w:pPr>
            <w:r w:rsidRPr="00B97064">
              <w:rPr>
                <w:sz w:val="22"/>
              </w:rPr>
              <w:t>Ukazatel</w:t>
            </w:r>
          </w:p>
        </w:tc>
        <w:tc>
          <w:tcPr>
            <w:tcW w:w="1276" w:type="dxa"/>
            <w:vAlign w:val="center"/>
          </w:tcPr>
          <w:p w14:paraId="0E8FBC9C" w14:textId="77777777" w:rsidR="004F472D" w:rsidRPr="00B97064" w:rsidRDefault="004F472D" w:rsidP="009308DF">
            <w:pPr>
              <w:jc w:val="center"/>
              <w:rPr>
                <w:sz w:val="22"/>
              </w:rPr>
            </w:pPr>
            <w:r w:rsidRPr="00B97064">
              <w:rPr>
                <w:sz w:val="22"/>
              </w:rPr>
              <w:t>Skutečnost</w:t>
            </w:r>
          </w:p>
          <w:p w14:paraId="3B43640C" w14:textId="77777777" w:rsidR="004F472D" w:rsidRPr="00B97064" w:rsidRDefault="004F472D" w:rsidP="009308DF">
            <w:pPr>
              <w:jc w:val="center"/>
              <w:rPr>
                <w:sz w:val="22"/>
                <w:szCs w:val="22"/>
              </w:rPr>
            </w:pPr>
            <w:r w:rsidRPr="00B97064">
              <w:rPr>
                <w:sz w:val="22"/>
              </w:rPr>
              <w:t>2018</w:t>
            </w:r>
          </w:p>
        </w:tc>
        <w:tc>
          <w:tcPr>
            <w:tcW w:w="1134" w:type="dxa"/>
            <w:vAlign w:val="center"/>
          </w:tcPr>
          <w:p w14:paraId="2361F3C2" w14:textId="77777777" w:rsidR="004F472D" w:rsidRPr="00B97064" w:rsidRDefault="004F472D" w:rsidP="009308DF">
            <w:pPr>
              <w:jc w:val="center"/>
              <w:rPr>
                <w:sz w:val="22"/>
                <w:szCs w:val="22"/>
              </w:rPr>
            </w:pPr>
            <w:r w:rsidRPr="00B97064">
              <w:rPr>
                <w:sz w:val="22"/>
                <w:szCs w:val="22"/>
              </w:rPr>
              <w:t>Schválený rozpočet</w:t>
            </w:r>
          </w:p>
          <w:p w14:paraId="7FD11351" w14:textId="77777777" w:rsidR="004F472D" w:rsidRPr="00B97064" w:rsidRDefault="004F472D" w:rsidP="009308DF">
            <w:pPr>
              <w:jc w:val="center"/>
              <w:rPr>
                <w:sz w:val="22"/>
                <w:szCs w:val="22"/>
              </w:rPr>
            </w:pPr>
            <w:r w:rsidRPr="00B97064">
              <w:rPr>
                <w:sz w:val="22"/>
                <w:szCs w:val="22"/>
              </w:rPr>
              <w:t>2019</w:t>
            </w:r>
          </w:p>
        </w:tc>
        <w:tc>
          <w:tcPr>
            <w:tcW w:w="1134" w:type="dxa"/>
            <w:vAlign w:val="center"/>
          </w:tcPr>
          <w:p w14:paraId="12DF1353" w14:textId="77777777" w:rsidR="004F472D" w:rsidRPr="00B97064" w:rsidRDefault="004F472D" w:rsidP="009308DF">
            <w:pPr>
              <w:jc w:val="center"/>
              <w:rPr>
                <w:sz w:val="22"/>
                <w:szCs w:val="22"/>
              </w:rPr>
            </w:pPr>
            <w:r w:rsidRPr="00B97064">
              <w:rPr>
                <w:sz w:val="22"/>
                <w:szCs w:val="22"/>
              </w:rPr>
              <w:t>Upravený rozpočet</w:t>
            </w:r>
          </w:p>
          <w:p w14:paraId="12F5053C" w14:textId="77777777" w:rsidR="004F472D" w:rsidRPr="00B97064" w:rsidRDefault="004F472D" w:rsidP="009308DF">
            <w:pPr>
              <w:jc w:val="center"/>
              <w:rPr>
                <w:sz w:val="22"/>
                <w:szCs w:val="22"/>
              </w:rPr>
            </w:pPr>
            <w:r w:rsidRPr="00B97064">
              <w:rPr>
                <w:sz w:val="22"/>
                <w:szCs w:val="22"/>
              </w:rPr>
              <w:t>2019</w:t>
            </w:r>
          </w:p>
        </w:tc>
        <w:tc>
          <w:tcPr>
            <w:tcW w:w="1209" w:type="dxa"/>
            <w:vAlign w:val="center"/>
          </w:tcPr>
          <w:p w14:paraId="5CD69D78" w14:textId="77777777" w:rsidR="004F472D" w:rsidRPr="00B97064" w:rsidRDefault="004F472D" w:rsidP="009308DF">
            <w:pPr>
              <w:jc w:val="center"/>
              <w:rPr>
                <w:sz w:val="22"/>
                <w:szCs w:val="22"/>
              </w:rPr>
            </w:pPr>
            <w:r w:rsidRPr="00B97064">
              <w:rPr>
                <w:sz w:val="22"/>
                <w:szCs w:val="22"/>
              </w:rPr>
              <w:t>Skutečnost 2019</w:t>
            </w:r>
          </w:p>
        </w:tc>
        <w:tc>
          <w:tcPr>
            <w:tcW w:w="776" w:type="dxa"/>
            <w:vAlign w:val="center"/>
          </w:tcPr>
          <w:p w14:paraId="3063FA28" w14:textId="77777777" w:rsidR="004F472D" w:rsidRPr="00B97064" w:rsidRDefault="004F472D" w:rsidP="009308DF">
            <w:pPr>
              <w:jc w:val="center"/>
              <w:rPr>
                <w:sz w:val="22"/>
                <w:szCs w:val="22"/>
              </w:rPr>
            </w:pPr>
            <w:r w:rsidRPr="00B97064">
              <w:rPr>
                <w:sz w:val="22"/>
                <w:szCs w:val="22"/>
              </w:rPr>
              <w:t>Plnění</w:t>
            </w:r>
          </w:p>
          <w:p w14:paraId="0680AA26" w14:textId="77777777" w:rsidR="004F472D" w:rsidRPr="00B97064" w:rsidRDefault="004F472D" w:rsidP="009308DF">
            <w:pPr>
              <w:jc w:val="center"/>
              <w:rPr>
                <w:sz w:val="22"/>
                <w:szCs w:val="22"/>
              </w:rPr>
            </w:pPr>
            <w:r w:rsidRPr="00B97064">
              <w:rPr>
                <w:sz w:val="22"/>
                <w:szCs w:val="22"/>
              </w:rPr>
              <w:t>v %</w:t>
            </w:r>
          </w:p>
        </w:tc>
        <w:tc>
          <w:tcPr>
            <w:tcW w:w="850" w:type="dxa"/>
          </w:tcPr>
          <w:p w14:paraId="110C3093" w14:textId="77777777" w:rsidR="004F472D" w:rsidRPr="00B97064" w:rsidRDefault="004F472D" w:rsidP="009308DF">
            <w:pPr>
              <w:jc w:val="center"/>
              <w:rPr>
                <w:sz w:val="22"/>
              </w:rPr>
            </w:pPr>
            <w:r w:rsidRPr="00B97064">
              <w:rPr>
                <w:sz w:val="22"/>
              </w:rPr>
              <w:t>Index</w:t>
            </w:r>
          </w:p>
          <w:p w14:paraId="1BB036CB" w14:textId="77777777" w:rsidR="004F472D" w:rsidRPr="00B97064" w:rsidRDefault="004F472D" w:rsidP="009308DF">
            <w:pPr>
              <w:jc w:val="center"/>
              <w:rPr>
                <w:sz w:val="22"/>
                <w:szCs w:val="22"/>
              </w:rPr>
            </w:pPr>
            <w:r w:rsidRPr="00B97064">
              <w:rPr>
                <w:sz w:val="22"/>
              </w:rPr>
              <w:t>19/18         (v %)</w:t>
            </w:r>
          </w:p>
        </w:tc>
      </w:tr>
      <w:tr w:rsidR="004F472D" w:rsidRPr="000D77C8" w14:paraId="38C98ADE" w14:textId="77777777" w:rsidTr="009308DF">
        <w:trPr>
          <w:tblHeader/>
        </w:trPr>
        <w:tc>
          <w:tcPr>
            <w:tcW w:w="2760" w:type="dxa"/>
            <w:tcBorders>
              <w:bottom w:val="single" w:sz="4" w:space="0" w:color="auto"/>
            </w:tcBorders>
          </w:tcPr>
          <w:p w14:paraId="03691927" w14:textId="77777777" w:rsidR="004F472D" w:rsidRPr="00B97064" w:rsidRDefault="004F472D" w:rsidP="009308DF">
            <w:pPr>
              <w:jc w:val="center"/>
              <w:rPr>
                <w:sz w:val="22"/>
              </w:rPr>
            </w:pPr>
            <w:r w:rsidRPr="00B97064">
              <w:rPr>
                <w:sz w:val="22"/>
              </w:rPr>
              <w:t>a</w:t>
            </w:r>
          </w:p>
        </w:tc>
        <w:tc>
          <w:tcPr>
            <w:tcW w:w="1276" w:type="dxa"/>
            <w:tcBorders>
              <w:bottom w:val="single" w:sz="4" w:space="0" w:color="auto"/>
            </w:tcBorders>
          </w:tcPr>
          <w:p w14:paraId="71F6AA3B" w14:textId="77777777" w:rsidR="004F472D" w:rsidRPr="00B97064" w:rsidRDefault="004F472D" w:rsidP="009308DF">
            <w:pPr>
              <w:jc w:val="center"/>
              <w:rPr>
                <w:sz w:val="22"/>
              </w:rPr>
            </w:pPr>
            <w:r w:rsidRPr="00B97064">
              <w:rPr>
                <w:sz w:val="22"/>
              </w:rPr>
              <w:t>1</w:t>
            </w:r>
          </w:p>
        </w:tc>
        <w:tc>
          <w:tcPr>
            <w:tcW w:w="1134" w:type="dxa"/>
            <w:tcBorders>
              <w:bottom w:val="single" w:sz="4" w:space="0" w:color="auto"/>
            </w:tcBorders>
          </w:tcPr>
          <w:p w14:paraId="1EED9B10" w14:textId="77777777" w:rsidR="004F472D" w:rsidRPr="00B97064" w:rsidRDefault="004F472D" w:rsidP="009308DF">
            <w:pPr>
              <w:jc w:val="center"/>
              <w:rPr>
                <w:sz w:val="22"/>
              </w:rPr>
            </w:pPr>
            <w:r w:rsidRPr="00B97064">
              <w:rPr>
                <w:sz w:val="22"/>
              </w:rPr>
              <w:t>2</w:t>
            </w:r>
          </w:p>
        </w:tc>
        <w:tc>
          <w:tcPr>
            <w:tcW w:w="1134" w:type="dxa"/>
            <w:tcBorders>
              <w:bottom w:val="single" w:sz="4" w:space="0" w:color="auto"/>
            </w:tcBorders>
          </w:tcPr>
          <w:p w14:paraId="1C627195" w14:textId="77777777" w:rsidR="004F472D" w:rsidRPr="00B97064" w:rsidRDefault="004F472D" w:rsidP="009308DF">
            <w:pPr>
              <w:jc w:val="center"/>
              <w:rPr>
                <w:sz w:val="22"/>
              </w:rPr>
            </w:pPr>
            <w:r w:rsidRPr="00B97064">
              <w:rPr>
                <w:sz w:val="22"/>
              </w:rPr>
              <w:t>3</w:t>
            </w:r>
          </w:p>
        </w:tc>
        <w:tc>
          <w:tcPr>
            <w:tcW w:w="1209" w:type="dxa"/>
            <w:tcBorders>
              <w:bottom w:val="single" w:sz="4" w:space="0" w:color="auto"/>
            </w:tcBorders>
          </w:tcPr>
          <w:p w14:paraId="07AC2086" w14:textId="77777777" w:rsidR="004F472D" w:rsidRPr="00B97064" w:rsidRDefault="004F472D" w:rsidP="009308DF">
            <w:pPr>
              <w:jc w:val="center"/>
              <w:rPr>
                <w:sz w:val="22"/>
              </w:rPr>
            </w:pPr>
            <w:r w:rsidRPr="00B97064">
              <w:rPr>
                <w:sz w:val="22"/>
              </w:rPr>
              <w:t>4</w:t>
            </w:r>
          </w:p>
        </w:tc>
        <w:tc>
          <w:tcPr>
            <w:tcW w:w="776" w:type="dxa"/>
            <w:tcBorders>
              <w:bottom w:val="single" w:sz="4" w:space="0" w:color="auto"/>
            </w:tcBorders>
          </w:tcPr>
          <w:p w14:paraId="71685B6A" w14:textId="77777777" w:rsidR="004F472D" w:rsidRPr="00B97064" w:rsidRDefault="004F472D" w:rsidP="009308DF">
            <w:pPr>
              <w:jc w:val="center"/>
              <w:rPr>
                <w:sz w:val="22"/>
              </w:rPr>
            </w:pPr>
            <w:r w:rsidRPr="00B97064">
              <w:rPr>
                <w:sz w:val="22"/>
              </w:rPr>
              <w:t>5</w:t>
            </w:r>
          </w:p>
        </w:tc>
        <w:tc>
          <w:tcPr>
            <w:tcW w:w="850" w:type="dxa"/>
            <w:tcBorders>
              <w:bottom w:val="single" w:sz="4" w:space="0" w:color="auto"/>
            </w:tcBorders>
          </w:tcPr>
          <w:p w14:paraId="4B87EE30" w14:textId="77777777" w:rsidR="004F472D" w:rsidRPr="00B97064" w:rsidRDefault="004F472D" w:rsidP="009308DF">
            <w:pPr>
              <w:jc w:val="center"/>
              <w:rPr>
                <w:sz w:val="22"/>
              </w:rPr>
            </w:pPr>
            <w:r w:rsidRPr="00B97064">
              <w:rPr>
                <w:sz w:val="22"/>
              </w:rPr>
              <w:t>6</w:t>
            </w:r>
          </w:p>
        </w:tc>
      </w:tr>
      <w:tr w:rsidR="004F472D" w:rsidRPr="000D77C8" w14:paraId="62FAF733" w14:textId="77777777" w:rsidTr="009308DF">
        <w:trPr>
          <w:trHeight w:val="249"/>
          <w:tblHeader/>
        </w:trPr>
        <w:tc>
          <w:tcPr>
            <w:tcW w:w="2760" w:type="dxa"/>
            <w:tcBorders>
              <w:top w:val="single" w:sz="4" w:space="0" w:color="auto"/>
              <w:left w:val="single" w:sz="4" w:space="0" w:color="auto"/>
              <w:bottom w:val="nil"/>
              <w:right w:val="single" w:sz="4" w:space="0" w:color="auto"/>
            </w:tcBorders>
          </w:tcPr>
          <w:p w14:paraId="26E141EA" w14:textId="77777777" w:rsidR="004F472D" w:rsidRPr="009A5734" w:rsidRDefault="004F472D" w:rsidP="009308DF">
            <w:pPr>
              <w:spacing w:before="120"/>
              <w:jc w:val="both"/>
              <w:rPr>
                <w:b/>
                <w:sz w:val="22"/>
                <w:szCs w:val="22"/>
              </w:rPr>
            </w:pPr>
            <w:r w:rsidRPr="009A5734">
              <w:rPr>
                <w:b/>
                <w:sz w:val="22"/>
                <w:szCs w:val="22"/>
              </w:rPr>
              <w:t xml:space="preserve">Příjmy celkem </w:t>
            </w:r>
          </w:p>
        </w:tc>
        <w:tc>
          <w:tcPr>
            <w:tcW w:w="1276" w:type="dxa"/>
            <w:tcBorders>
              <w:top w:val="single" w:sz="4" w:space="0" w:color="auto"/>
              <w:left w:val="single" w:sz="4" w:space="0" w:color="auto"/>
              <w:bottom w:val="nil"/>
              <w:right w:val="single" w:sz="4" w:space="0" w:color="auto"/>
            </w:tcBorders>
            <w:vAlign w:val="center"/>
          </w:tcPr>
          <w:p w14:paraId="2AAA6AA0" w14:textId="77777777" w:rsidR="004F472D" w:rsidRPr="00B97064" w:rsidRDefault="004F472D" w:rsidP="009308DF">
            <w:pPr>
              <w:spacing w:before="120"/>
              <w:jc w:val="right"/>
              <w:rPr>
                <w:b/>
                <w:bCs/>
                <w:sz w:val="22"/>
                <w:szCs w:val="22"/>
              </w:rPr>
            </w:pPr>
            <w:r w:rsidRPr="00B97064">
              <w:rPr>
                <w:b/>
                <w:bCs/>
                <w:sz w:val="22"/>
                <w:szCs w:val="22"/>
              </w:rPr>
              <w:t>22 958 912</w:t>
            </w:r>
          </w:p>
        </w:tc>
        <w:tc>
          <w:tcPr>
            <w:tcW w:w="1134" w:type="dxa"/>
            <w:tcBorders>
              <w:top w:val="single" w:sz="4" w:space="0" w:color="auto"/>
              <w:left w:val="single" w:sz="4" w:space="0" w:color="auto"/>
              <w:bottom w:val="nil"/>
              <w:right w:val="single" w:sz="4" w:space="0" w:color="auto"/>
            </w:tcBorders>
            <w:vAlign w:val="center"/>
          </w:tcPr>
          <w:p w14:paraId="66C953F0" w14:textId="77777777" w:rsidR="004F472D" w:rsidRPr="000D77C8" w:rsidRDefault="004F472D" w:rsidP="009308DF">
            <w:pPr>
              <w:spacing w:before="120"/>
              <w:jc w:val="right"/>
              <w:rPr>
                <w:b/>
                <w:bCs/>
                <w:color w:val="FF0000"/>
                <w:sz w:val="22"/>
                <w:szCs w:val="22"/>
              </w:rPr>
            </w:pPr>
            <w:r w:rsidRPr="00B90705">
              <w:rPr>
                <w:b/>
                <w:bCs/>
                <w:sz w:val="22"/>
                <w:szCs w:val="22"/>
              </w:rPr>
              <w:t>19 246 733</w:t>
            </w:r>
          </w:p>
        </w:tc>
        <w:tc>
          <w:tcPr>
            <w:tcW w:w="1134" w:type="dxa"/>
            <w:tcBorders>
              <w:top w:val="single" w:sz="4" w:space="0" w:color="auto"/>
              <w:left w:val="single" w:sz="4" w:space="0" w:color="auto"/>
              <w:bottom w:val="nil"/>
              <w:right w:val="single" w:sz="4" w:space="0" w:color="auto"/>
            </w:tcBorders>
            <w:vAlign w:val="center"/>
          </w:tcPr>
          <w:p w14:paraId="54A619E5" w14:textId="77777777" w:rsidR="004F472D" w:rsidRPr="000D77C8" w:rsidRDefault="004F472D" w:rsidP="009308DF">
            <w:pPr>
              <w:spacing w:before="120"/>
              <w:jc w:val="right"/>
              <w:rPr>
                <w:b/>
                <w:bCs/>
                <w:color w:val="FF0000"/>
                <w:sz w:val="22"/>
                <w:szCs w:val="22"/>
              </w:rPr>
            </w:pPr>
            <w:r w:rsidRPr="00B90705">
              <w:rPr>
                <w:b/>
                <w:bCs/>
                <w:sz w:val="22"/>
                <w:szCs w:val="22"/>
              </w:rPr>
              <w:t>19 246 733</w:t>
            </w:r>
          </w:p>
        </w:tc>
        <w:tc>
          <w:tcPr>
            <w:tcW w:w="1209" w:type="dxa"/>
            <w:tcBorders>
              <w:top w:val="single" w:sz="4" w:space="0" w:color="auto"/>
              <w:left w:val="single" w:sz="4" w:space="0" w:color="auto"/>
              <w:bottom w:val="nil"/>
              <w:right w:val="single" w:sz="4" w:space="0" w:color="auto"/>
            </w:tcBorders>
            <w:vAlign w:val="center"/>
          </w:tcPr>
          <w:p w14:paraId="033C3BC3" w14:textId="77777777" w:rsidR="004F472D" w:rsidRPr="00B90705" w:rsidRDefault="004F472D" w:rsidP="009308DF">
            <w:pPr>
              <w:spacing w:before="120"/>
              <w:jc w:val="right"/>
              <w:rPr>
                <w:b/>
                <w:bCs/>
                <w:sz w:val="22"/>
                <w:szCs w:val="22"/>
              </w:rPr>
            </w:pPr>
            <w:r w:rsidRPr="00B90705">
              <w:rPr>
                <w:b/>
                <w:bCs/>
                <w:sz w:val="22"/>
                <w:szCs w:val="22"/>
              </w:rPr>
              <w:t>17 449 764</w:t>
            </w:r>
          </w:p>
        </w:tc>
        <w:tc>
          <w:tcPr>
            <w:tcW w:w="776" w:type="dxa"/>
            <w:tcBorders>
              <w:top w:val="single" w:sz="4" w:space="0" w:color="auto"/>
              <w:left w:val="single" w:sz="4" w:space="0" w:color="auto"/>
              <w:bottom w:val="nil"/>
              <w:right w:val="single" w:sz="4" w:space="0" w:color="auto"/>
            </w:tcBorders>
            <w:vAlign w:val="center"/>
          </w:tcPr>
          <w:p w14:paraId="38CD6BF3" w14:textId="77777777" w:rsidR="004F472D" w:rsidRPr="000D77C8" w:rsidRDefault="004F472D" w:rsidP="009308DF">
            <w:pPr>
              <w:spacing w:before="120"/>
              <w:jc w:val="right"/>
              <w:rPr>
                <w:b/>
                <w:bCs/>
                <w:color w:val="FF0000"/>
                <w:sz w:val="22"/>
                <w:szCs w:val="22"/>
              </w:rPr>
            </w:pPr>
            <w:r w:rsidRPr="00833AE7">
              <w:rPr>
                <w:b/>
                <w:bCs/>
                <w:sz w:val="22"/>
                <w:szCs w:val="22"/>
              </w:rPr>
              <w:t>90,66</w:t>
            </w:r>
          </w:p>
        </w:tc>
        <w:tc>
          <w:tcPr>
            <w:tcW w:w="850" w:type="dxa"/>
            <w:tcBorders>
              <w:top w:val="single" w:sz="4" w:space="0" w:color="auto"/>
              <w:left w:val="single" w:sz="4" w:space="0" w:color="auto"/>
              <w:bottom w:val="nil"/>
              <w:right w:val="single" w:sz="4" w:space="0" w:color="auto"/>
            </w:tcBorders>
            <w:vAlign w:val="center"/>
          </w:tcPr>
          <w:p w14:paraId="3BB32764" w14:textId="77777777" w:rsidR="004F472D" w:rsidRPr="000D77C8" w:rsidRDefault="004F472D" w:rsidP="009308DF">
            <w:pPr>
              <w:spacing w:before="120"/>
              <w:jc w:val="right"/>
              <w:rPr>
                <w:b/>
                <w:bCs/>
                <w:color w:val="FF0000"/>
                <w:sz w:val="22"/>
                <w:szCs w:val="22"/>
              </w:rPr>
            </w:pPr>
            <w:r w:rsidRPr="00833AE7">
              <w:rPr>
                <w:b/>
                <w:bCs/>
                <w:sz w:val="22"/>
                <w:szCs w:val="22"/>
              </w:rPr>
              <w:t>76,00</w:t>
            </w:r>
          </w:p>
        </w:tc>
      </w:tr>
      <w:tr w:rsidR="004F472D" w:rsidRPr="000D77C8" w14:paraId="6B92655B" w14:textId="77777777" w:rsidTr="009308DF">
        <w:trPr>
          <w:trHeight w:val="187"/>
          <w:tblHeader/>
        </w:trPr>
        <w:tc>
          <w:tcPr>
            <w:tcW w:w="2760" w:type="dxa"/>
            <w:tcBorders>
              <w:top w:val="nil"/>
              <w:left w:val="single" w:sz="4" w:space="0" w:color="auto"/>
              <w:bottom w:val="nil"/>
              <w:right w:val="single" w:sz="4" w:space="0" w:color="auto"/>
            </w:tcBorders>
          </w:tcPr>
          <w:p w14:paraId="50EA517E" w14:textId="77777777" w:rsidR="004F472D" w:rsidRPr="009A5734" w:rsidRDefault="004F472D" w:rsidP="009308DF">
            <w:pPr>
              <w:jc w:val="both"/>
              <w:rPr>
                <w:sz w:val="22"/>
                <w:szCs w:val="22"/>
              </w:rPr>
            </w:pPr>
            <w:r w:rsidRPr="009A5734">
              <w:rPr>
                <w:sz w:val="22"/>
                <w:szCs w:val="22"/>
              </w:rPr>
              <w:t>v tom:</w:t>
            </w:r>
          </w:p>
        </w:tc>
        <w:tc>
          <w:tcPr>
            <w:tcW w:w="1276" w:type="dxa"/>
            <w:tcBorders>
              <w:top w:val="nil"/>
              <w:left w:val="single" w:sz="4" w:space="0" w:color="auto"/>
              <w:bottom w:val="nil"/>
              <w:right w:val="single" w:sz="4" w:space="0" w:color="auto"/>
            </w:tcBorders>
            <w:vAlign w:val="center"/>
          </w:tcPr>
          <w:p w14:paraId="4845332D" w14:textId="77777777" w:rsidR="004F472D" w:rsidRPr="000D77C8" w:rsidRDefault="004F472D" w:rsidP="009308DF">
            <w:pPr>
              <w:jc w:val="right"/>
              <w:rPr>
                <w:color w:val="FF0000"/>
                <w:sz w:val="22"/>
                <w:szCs w:val="22"/>
              </w:rPr>
            </w:pPr>
          </w:p>
        </w:tc>
        <w:tc>
          <w:tcPr>
            <w:tcW w:w="1134" w:type="dxa"/>
            <w:tcBorders>
              <w:top w:val="nil"/>
              <w:left w:val="single" w:sz="4" w:space="0" w:color="auto"/>
              <w:bottom w:val="nil"/>
              <w:right w:val="single" w:sz="4" w:space="0" w:color="auto"/>
            </w:tcBorders>
            <w:vAlign w:val="center"/>
          </w:tcPr>
          <w:p w14:paraId="21C92E79" w14:textId="77777777" w:rsidR="004F472D" w:rsidRPr="000D77C8" w:rsidRDefault="004F472D" w:rsidP="009308DF">
            <w:pPr>
              <w:jc w:val="right"/>
              <w:rPr>
                <w:color w:val="FF0000"/>
                <w:sz w:val="22"/>
                <w:szCs w:val="22"/>
              </w:rPr>
            </w:pPr>
          </w:p>
        </w:tc>
        <w:tc>
          <w:tcPr>
            <w:tcW w:w="1134" w:type="dxa"/>
            <w:tcBorders>
              <w:top w:val="nil"/>
              <w:left w:val="single" w:sz="4" w:space="0" w:color="auto"/>
              <w:bottom w:val="nil"/>
              <w:right w:val="single" w:sz="4" w:space="0" w:color="auto"/>
            </w:tcBorders>
            <w:vAlign w:val="center"/>
          </w:tcPr>
          <w:p w14:paraId="3E08ABBA" w14:textId="77777777" w:rsidR="004F472D" w:rsidRPr="000D77C8" w:rsidRDefault="004F472D" w:rsidP="009308DF">
            <w:pPr>
              <w:jc w:val="right"/>
              <w:rPr>
                <w:color w:val="FF0000"/>
                <w:sz w:val="22"/>
                <w:szCs w:val="22"/>
              </w:rPr>
            </w:pPr>
          </w:p>
        </w:tc>
        <w:tc>
          <w:tcPr>
            <w:tcW w:w="1209" w:type="dxa"/>
            <w:tcBorders>
              <w:top w:val="nil"/>
              <w:left w:val="single" w:sz="4" w:space="0" w:color="auto"/>
              <w:bottom w:val="nil"/>
              <w:right w:val="single" w:sz="4" w:space="0" w:color="auto"/>
            </w:tcBorders>
            <w:vAlign w:val="center"/>
          </w:tcPr>
          <w:p w14:paraId="6DB0DB41" w14:textId="77777777" w:rsidR="004F472D" w:rsidRPr="000D77C8" w:rsidRDefault="004F472D" w:rsidP="009308DF">
            <w:pPr>
              <w:jc w:val="right"/>
              <w:rPr>
                <w:color w:val="FF0000"/>
                <w:sz w:val="22"/>
                <w:szCs w:val="22"/>
              </w:rPr>
            </w:pPr>
          </w:p>
        </w:tc>
        <w:tc>
          <w:tcPr>
            <w:tcW w:w="776" w:type="dxa"/>
            <w:tcBorders>
              <w:top w:val="nil"/>
              <w:left w:val="single" w:sz="4" w:space="0" w:color="auto"/>
              <w:bottom w:val="nil"/>
              <w:right w:val="single" w:sz="4" w:space="0" w:color="auto"/>
            </w:tcBorders>
            <w:vAlign w:val="center"/>
          </w:tcPr>
          <w:p w14:paraId="34D840E7" w14:textId="77777777" w:rsidR="004F472D" w:rsidRPr="000D77C8" w:rsidRDefault="004F472D" w:rsidP="009308DF">
            <w:pPr>
              <w:jc w:val="right"/>
              <w:rPr>
                <w:color w:val="FF0000"/>
                <w:sz w:val="22"/>
                <w:szCs w:val="22"/>
              </w:rPr>
            </w:pPr>
          </w:p>
        </w:tc>
        <w:tc>
          <w:tcPr>
            <w:tcW w:w="850" w:type="dxa"/>
            <w:tcBorders>
              <w:top w:val="nil"/>
              <w:left w:val="single" w:sz="4" w:space="0" w:color="auto"/>
              <w:bottom w:val="nil"/>
              <w:right w:val="single" w:sz="4" w:space="0" w:color="auto"/>
            </w:tcBorders>
            <w:vAlign w:val="center"/>
          </w:tcPr>
          <w:p w14:paraId="673EB429" w14:textId="77777777" w:rsidR="004F472D" w:rsidRPr="000D77C8" w:rsidRDefault="004F472D" w:rsidP="009308DF">
            <w:pPr>
              <w:jc w:val="right"/>
              <w:rPr>
                <w:color w:val="FF0000"/>
                <w:sz w:val="22"/>
                <w:szCs w:val="22"/>
              </w:rPr>
            </w:pPr>
          </w:p>
        </w:tc>
      </w:tr>
      <w:tr w:rsidR="004F472D" w:rsidRPr="000D77C8" w14:paraId="02D9F7F2" w14:textId="77777777" w:rsidTr="009308DF">
        <w:trPr>
          <w:trHeight w:val="187"/>
          <w:tblHeader/>
        </w:trPr>
        <w:tc>
          <w:tcPr>
            <w:tcW w:w="2760" w:type="dxa"/>
            <w:tcBorders>
              <w:top w:val="nil"/>
              <w:left w:val="single" w:sz="4" w:space="0" w:color="auto"/>
              <w:bottom w:val="nil"/>
              <w:right w:val="single" w:sz="4" w:space="0" w:color="auto"/>
            </w:tcBorders>
          </w:tcPr>
          <w:p w14:paraId="6A473371" w14:textId="77777777" w:rsidR="004F472D" w:rsidRPr="009A5734" w:rsidRDefault="004F472D" w:rsidP="009308DF">
            <w:pPr>
              <w:jc w:val="both"/>
              <w:rPr>
                <w:sz w:val="22"/>
                <w:szCs w:val="22"/>
              </w:rPr>
            </w:pPr>
            <w:r w:rsidRPr="009A5734">
              <w:rPr>
                <w:sz w:val="22"/>
                <w:szCs w:val="22"/>
              </w:rPr>
              <w:t xml:space="preserve">daňové příjmy </w:t>
            </w:r>
          </w:p>
        </w:tc>
        <w:tc>
          <w:tcPr>
            <w:tcW w:w="1276" w:type="dxa"/>
            <w:tcBorders>
              <w:top w:val="nil"/>
              <w:left w:val="single" w:sz="4" w:space="0" w:color="auto"/>
              <w:bottom w:val="nil"/>
              <w:right w:val="single" w:sz="4" w:space="0" w:color="auto"/>
            </w:tcBorders>
            <w:vAlign w:val="center"/>
          </w:tcPr>
          <w:p w14:paraId="488D58BB" w14:textId="77777777" w:rsidR="004F472D" w:rsidRPr="000D77C8" w:rsidRDefault="004F472D" w:rsidP="009308DF">
            <w:pPr>
              <w:jc w:val="right"/>
              <w:rPr>
                <w:color w:val="FF0000"/>
                <w:sz w:val="22"/>
                <w:szCs w:val="22"/>
              </w:rPr>
            </w:pPr>
            <w:r w:rsidRPr="00B97064">
              <w:rPr>
                <w:sz w:val="22"/>
                <w:szCs w:val="22"/>
              </w:rPr>
              <w:t xml:space="preserve">185 977  </w:t>
            </w:r>
          </w:p>
        </w:tc>
        <w:tc>
          <w:tcPr>
            <w:tcW w:w="1134" w:type="dxa"/>
            <w:tcBorders>
              <w:top w:val="nil"/>
              <w:left w:val="single" w:sz="4" w:space="0" w:color="auto"/>
              <w:bottom w:val="nil"/>
              <w:right w:val="single" w:sz="4" w:space="0" w:color="auto"/>
            </w:tcBorders>
            <w:vAlign w:val="center"/>
          </w:tcPr>
          <w:p w14:paraId="7191E03D" w14:textId="77777777" w:rsidR="004F472D" w:rsidRPr="009A5734" w:rsidRDefault="004F472D" w:rsidP="009308DF">
            <w:pPr>
              <w:jc w:val="right"/>
              <w:rPr>
                <w:sz w:val="22"/>
                <w:szCs w:val="22"/>
              </w:rPr>
            </w:pPr>
            <w:r w:rsidRPr="009A5734">
              <w:rPr>
                <w:sz w:val="22"/>
                <w:szCs w:val="22"/>
              </w:rPr>
              <w:t>170 000</w:t>
            </w:r>
          </w:p>
        </w:tc>
        <w:tc>
          <w:tcPr>
            <w:tcW w:w="1134" w:type="dxa"/>
            <w:tcBorders>
              <w:top w:val="nil"/>
              <w:left w:val="single" w:sz="4" w:space="0" w:color="auto"/>
              <w:bottom w:val="nil"/>
              <w:right w:val="single" w:sz="4" w:space="0" w:color="auto"/>
            </w:tcBorders>
            <w:vAlign w:val="center"/>
          </w:tcPr>
          <w:p w14:paraId="045469FE" w14:textId="77777777" w:rsidR="004F472D" w:rsidRPr="009A5734" w:rsidRDefault="004F472D" w:rsidP="009308DF">
            <w:pPr>
              <w:jc w:val="right"/>
              <w:rPr>
                <w:sz w:val="22"/>
                <w:szCs w:val="22"/>
              </w:rPr>
            </w:pPr>
            <w:r w:rsidRPr="009A5734">
              <w:rPr>
                <w:sz w:val="22"/>
                <w:szCs w:val="22"/>
              </w:rPr>
              <w:t>170 000</w:t>
            </w:r>
          </w:p>
        </w:tc>
        <w:tc>
          <w:tcPr>
            <w:tcW w:w="1209" w:type="dxa"/>
            <w:tcBorders>
              <w:top w:val="nil"/>
              <w:left w:val="single" w:sz="4" w:space="0" w:color="auto"/>
              <w:bottom w:val="nil"/>
              <w:right w:val="single" w:sz="4" w:space="0" w:color="auto"/>
            </w:tcBorders>
            <w:vAlign w:val="center"/>
          </w:tcPr>
          <w:p w14:paraId="3572E30E" w14:textId="77777777" w:rsidR="004F472D" w:rsidRPr="000D77C8" w:rsidRDefault="004F472D" w:rsidP="009308DF">
            <w:pPr>
              <w:jc w:val="right"/>
              <w:rPr>
                <w:color w:val="FF0000"/>
                <w:sz w:val="22"/>
                <w:szCs w:val="22"/>
              </w:rPr>
            </w:pPr>
            <w:r w:rsidRPr="009A5734">
              <w:rPr>
                <w:sz w:val="22"/>
                <w:szCs w:val="22"/>
              </w:rPr>
              <w:t>191 895</w:t>
            </w:r>
          </w:p>
        </w:tc>
        <w:tc>
          <w:tcPr>
            <w:tcW w:w="776" w:type="dxa"/>
            <w:tcBorders>
              <w:top w:val="nil"/>
              <w:left w:val="single" w:sz="4" w:space="0" w:color="auto"/>
              <w:bottom w:val="nil"/>
              <w:right w:val="single" w:sz="4" w:space="0" w:color="auto"/>
            </w:tcBorders>
            <w:vAlign w:val="center"/>
          </w:tcPr>
          <w:p w14:paraId="137D6941" w14:textId="77777777" w:rsidR="004F472D" w:rsidRPr="000D77C8" w:rsidRDefault="004F472D" w:rsidP="009308DF">
            <w:pPr>
              <w:jc w:val="right"/>
              <w:rPr>
                <w:color w:val="FF0000"/>
                <w:sz w:val="22"/>
                <w:szCs w:val="22"/>
              </w:rPr>
            </w:pPr>
            <w:r w:rsidRPr="00833AE7">
              <w:rPr>
                <w:sz w:val="22"/>
                <w:szCs w:val="22"/>
              </w:rPr>
              <w:t>112,88</w:t>
            </w:r>
          </w:p>
        </w:tc>
        <w:tc>
          <w:tcPr>
            <w:tcW w:w="850" w:type="dxa"/>
            <w:tcBorders>
              <w:top w:val="nil"/>
              <w:left w:val="single" w:sz="4" w:space="0" w:color="auto"/>
              <w:bottom w:val="nil"/>
              <w:right w:val="single" w:sz="4" w:space="0" w:color="auto"/>
            </w:tcBorders>
            <w:vAlign w:val="center"/>
          </w:tcPr>
          <w:p w14:paraId="4D3B9BEF" w14:textId="77777777" w:rsidR="004F472D" w:rsidRPr="000D77C8" w:rsidRDefault="004F472D" w:rsidP="009308DF">
            <w:pPr>
              <w:jc w:val="right"/>
              <w:rPr>
                <w:color w:val="FF0000"/>
                <w:sz w:val="22"/>
                <w:szCs w:val="22"/>
              </w:rPr>
            </w:pPr>
            <w:r w:rsidRPr="00833AE7">
              <w:rPr>
                <w:sz w:val="22"/>
                <w:szCs w:val="22"/>
              </w:rPr>
              <w:t>103,18</w:t>
            </w:r>
          </w:p>
        </w:tc>
      </w:tr>
      <w:tr w:rsidR="004F472D" w:rsidRPr="00833AE7" w14:paraId="7092122B" w14:textId="77777777" w:rsidTr="009308DF">
        <w:trPr>
          <w:tblHeader/>
        </w:trPr>
        <w:tc>
          <w:tcPr>
            <w:tcW w:w="2760" w:type="dxa"/>
            <w:tcBorders>
              <w:top w:val="nil"/>
              <w:left w:val="single" w:sz="4" w:space="0" w:color="auto"/>
              <w:bottom w:val="nil"/>
              <w:right w:val="single" w:sz="4" w:space="0" w:color="auto"/>
            </w:tcBorders>
          </w:tcPr>
          <w:p w14:paraId="7F09A367" w14:textId="77777777" w:rsidR="004F472D" w:rsidRPr="009A5734" w:rsidRDefault="004F472D" w:rsidP="009308DF">
            <w:pPr>
              <w:jc w:val="both"/>
              <w:rPr>
                <w:sz w:val="22"/>
                <w:szCs w:val="22"/>
              </w:rPr>
            </w:pPr>
            <w:r w:rsidRPr="009A5734">
              <w:rPr>
                <w:sz w:val="22"/>
                <w:szCs w:val="22"/>
              </w:rPr>
              <w:t xml:space="preserve">nedaňové příjmy </w:t>
            </w:r>
          </w:p>
        </w:tc>
        <w:tc>
          <w:tcPr>
            <w:tcW w:w="1276" w:type="dxa"/>
            <w:tcBorders>
              <w:top w:val="nil"/>
              <w:left w:val="single" w:sz="4" w:space="0" w:color="auto"/>
              <w:bottom w:val="nil"/>
              <w:right w:val="single" w:sz="4" w:space="0" w:color="auto"/>
            </w:tcBorders>
            <w:vAlign w:val="center"/>
          </w:tcPr>
          <w:p w14:paraId="2FCE91DE" w14:textId="77777777" w:rsidR="004F472D" w:rsidRPr="000D77C8" w:rsidRDefault="004F472D" w:rsidP="009308DF">
            <w:pPr>
              <w:jc w:val="right"/>
              <w:rPr>
                <w:color w:val="FF0000"/>
                <w:sz w:val="22"/>
                <w:szCs w:val="22"/>
              </w:rPr>
            </w:pPr>
            <w:r w:rsidRPr="009A5734">
              <w:rPr>
                <w:sz w:val="22"/>
                <w:szCs w:val="22"/>
              </w:rPr>
              <w:t>285 931</w:t>
            </w:r>
          </w:p>
        </w:tc>
        <w:tc>
          <w:tcPr>
            <w:tcW w:w="1134" w:type="dxa"/>
            <w:tcBorders>
              <w:top w:val="nil"/>
              <w:left w:val="single" w:sz="4" w:space="0" w:color="auto"/>
              <w:bottom w:val="nil"/>
              <w:right w:val="single" w:sz="4" w:space="0" w:color="auto"/>
            </w:tcBorders>
            <w:vAlign w:val="center"/>
          </w:tcPr>
          <w:p w14:paraId="22BECE56" w14:textId="77777777" w:rsidR="004F472D" w:rsidRPr="009A5734" w:rsidRDefault="004F472D" w:rsidP="009308DF">
            <w:pPr>
              <w:jc w:val="right"/>
              <w:rPr>
                <w:sz w:val="22"/>
                <w:szCs w:val="22"/>
              </w:rPr>
            </w:pPr>
            <w:r w:rsidRPr="009A5734">
              <w:rPr>
                <w:sz w:val="22"/>
                <w:szCs w:val="22"/>
              </w:rPr>
              <w:t>207 000</w:t>
            </w:r>
          </w:p>
        </w:tc>
        <w:tc>
          <w:tcPr>
            <w:tcW w:w="1134" w:type="dxa"/>
            <w:tcBorders>
              <w:top w:val="nil"/>
              <w:left w:val="single" w:sz="4" w:space="0" w:color="auto"/>
              <w:bottom w:val="nil"/>
              <w:right w:val="single" w:sz="4" w:space="0" w:color="auto"/>
            </w:tcBorders>
            <w:vAlign w:val="center"/>
          </w:tcPr>
          <w:p w14:paraId="0CFE872C" w14:textId="77777777" w:rsidR="004F472D" w:rsidRPr="009A5734" w:rsidRDefault="004F472D" w:rsidP="009308DF">
            <w:pPr>
              <w:jc w:val="right"/>
              <w:rPr>
                <w:sz w:val="22"/>
                <w:szCs w:val="22"/>
              </w:rPr>
            </w:pPr>
            <w:r w:rsidRPr="009A5734">
              <w:rPr>
                <w:sz w:val="22"/>
                <w:szCs w:val="22"/>
              </w:rPr>
              <w:t>207 000</w:t>
            </w:r>
          </w:p>
        </w:tc>
        <w:tc>
          <w:tcPr>
            <w:tcW w:w="1209" w:type="dxa"/>
            <w:tcBorders>
              <w:top w:val="nil"/>
              <w:left w:val="single" w:sz="4" w:space="0" w:color="auto"/>
              <w:bottom w:val="nil"/>
              <w:right w:val="single" w:sz="4" w:space="0" w:color="auto"/>
            </w:tcBorders>
            <w:vAlign w:val="center"/>
          </w:tcPr>
          <w:p w14:paraId="1B9452DE" w14:textId="77777777" w:rsidR="004F472D" w:rsidRPr="000D77C8" w:rsidRDefault="004F472D" w:rsidP="009308DF">
            <w:pPr>
              <w:jc w:val="right"/>
              <w:rPr>
                <w:color w:val="FF0000"/>
                <w:sz w:val="22"/>
                <w:szCs w:val="22"/>
              </w:rPr>
            </w:pPr>
            <w:r w:rsidRPr="009A5734">
              <w:rPr>
                <w:sz w:val="22"/>
                <w:szCs w:val="22"/>
              </w:rPr>
              <w:t>259 263</w:t>
            </w:r>
          </w:p>
        </w:tc>
        <w:tc>
          <w:tcPr>
            <w:tcW w:w="776" w:type="dxa"/>
            <w:tcBorders>
              <w:top w:val="nil"/>
              <w:left w:val="single" w:sz="4" w:space="0" w:color="auto"/>
              <w:bottom w:val="nil"/>
              <w:right w:val="single" w:sz="4" w:space="0" w:color="auto"/>
            </w:tcBorders>
            <w:vAlign w:val="center"/>
          </w:tcPr>
          <w:p w14:paraId="243BC4C0" w14:textId="77777777" w:rsidR="004F472D" w:rsidRPr="000D77C8" w:rsidRDefault="004F472D" w:rsidP="009308DF">
            <w:pPr>
              <w:jc w:val="right"/>
              <w:rPr>
                <w:color w:val="FF0000"/>
                <w:sz w:val="22"/>
                <w:szCs w:val="22"/>
              </w:rPr>
            </w:pPr>
            <w:r w:rsidRPr="00833AE7">
              <w:rPr>
                <w:sz w:val="22"/>
                <w:szCs w:val="22"/>
              </w:rPr>
              <w:t>125,25</w:t>
            </w:r>
          </w:p>
        </w:tc>
        <w:tc>
          <w:tcPr>
            <w:tcW w:w="850" w:type="dxa"/>
            <w:tcBorders>
              <w:top w:val="nil"/>
              <w:left w:val="single" w:sz="4" w:space="0" w:color="auto"/>
              <w:bottom w:val="nil"/>
              <w:right w:val="single" w:sz="4" w:space="0" w:color="auto"/>
            </w:tcBorders>
            <w:vAlign w:val="center"/>
          </w:tcPr>
          <w:p w14:paraId="23F7B2C6" w14:textId="77777777" w:rsidR="004F472D" w:rsidRPr="00833AE7" w:rsidRDefault="004F472D" w:rsidP="009308DF">
            <w:pPr>
              <w:jc w:val="right"/>
              <w:rPr>
                <w:sz w:val="22"/>
                <w:szCs w:val="22"/>
              </w:rPr>
            </w:pPr>
            <w:r w:rsidRPr="00833AE7">
              <w:rPr>
                <w:sz w:val="22"/>
                <w:szCs w:val="22"/>
              </w:rPr>
              <w:t>90,67</w:t>
            </w:r>
          </w:p>
        </w:tc>
      </w:tr>
      <w:tr w:rsidR="004F472D" w:rsidRPr="000D77C8" w14:paraId="79C5E411" w14:textId="77777777" w:rsidTr="009308DF">
        <w:trPr>
          <w:tblHeader/>
        </w:trPr>
        <w:tc>
          <w:tcPr>
            <w:tcW w:w="2760" w:type="dxa"/>
            <w:tcBorders>
              <w:top w:val="nil"/>
              <w:left w:val="single" w:sz="4" w:space="0" w:color="auto"/>
              <w:bottom w:val="nil"/>
              <w:right w:val="single" w:sz="4" w:space="0" w:color="auto"/>
            </w:tcBorders>
          </w:tcPr>
          <w:p w14:paraId="2ECFFD53" w14:textId="77777777" w:rsidR="004F472D" w:rsidRPr="009A5734" w:rsidRDefault="004F472D" w:rsidP="009308DF">
            <w:pPr>
              <w:jc w:val="both"/>
              <w:rPr>
                <w:sz w:val="22"/>
                <w:szCs w:val="22"/>
              </w:rPr>
            </w:pPr>
            <w:r w:rsidRPr="009A5734">
              <w:rPr>
                <w:sz w:val="22"/>
                <w:szCs w:val="22"/>
              </w:rPr>
              <w:t>kapitálové příjmy</w:t>
            </w:r>
          </w:p>
        </w:tc>
        <w:tc>
          <w:tcPr>
            <w:tcW w:w="1276" w:type="dxa"/>
            <w:tcBorders>
              <w:top w:val="nil"/>
              <w:left w:val="single" w:sz="4" w:space="0" w:color="auto"/>
              <w:bottom w:val="nil"/>
              <w:right w:val="single" w:sz="4" w:space="0" w:color="auto"/>
            </w:tcBorders>
            <w:vAlign w:val="center"/>
          </w:tcPr>
          <w:p w14:paraId="7C361CCF" w14:textId="77777777" w:rsidR="004F472D" w:rsidRPr="000D77C8" w:rsidRDefault="004F472D" w:rsidP="009308DF">
            <w:pPr>
              <w:jc w:val="right"/>
              <w:rPr>
                <w:bCs/>
                <w:color w:val="FF0000"/>
                <w:sz w:val="22"/>
                <w:szCs w:val="22"/>
              </w:rPr>
            </w:pPr>
            <w:r w:rsidRPr="009A5734">
              <w:rPr>
                <w:bCs/>
                <w:sz w:val="22"/>
                <w:szCs w:val="22"/>
              </w:rPr>
              <w:t>302</w:t>
            </w:r>
          </w:p>
        </w:tc>
        <w:tc>
          <w:tcPr>
            <w:tcW w:w="1134" w:type="dxa"/>
            <w:tcBorders>
              <w:top w:val="nil"/>
              <w:left w:val="single" w:sz="4" w:space="0" w:color="auto"/>
              <w:bottom w:val="nil"/>
              <w:right w:val="single" w:sz="4" w:space="0" w:color="auto"/>
            </w:tcBorders>
            <w:vAlign w:val="center"/>
          </w:tcPr>
          <w:p w14:paraId="42FC323A" w14:textId="77777777" w:rsidR="004F472D" w:rsidRPr="009A5734" w:rsidRDefault="004F472D" w:rsidP="009308DF">
            <w:pPr>
              <w:jc w:val="right"/>
              <w:rPr>
                <w:bCs/>
                <w:sz w:val="22"/>
                <w:szCs w:val="22"/>
              </w:rPr>
            </w:pPr>
            <w:r w:rsidRPr="009A5734">
              <w:rPr>
                <w:bCs/>
                <w:sz w:val="22"/>
                <w:szCs w:val="22"/>
              </w:rPr>
              <w:t>0</w:t>
            </w:r>
          </w:p>
        </w:tc>
        <w:tc>
          <w:tcPr>
            <w:tcW w:w="1134" w:type="dxa"/>
            <w:tcBorders>
              <w:top w:val="nil"/>
              <w:left w:val="single" w:sz="4" w:space="0" w:color="auto"/>
              <w:bottom w:val="nil"/>
              <w:right w:val="single" w:sz="4" w:space="0" w:color="auto"/>
            </w:tcBorders>
            <w:vAlign w:val="center"/>
          </w:tcPr>
          <w:p w14:paraId="601FACD1" w14:textId="77777777" w:rsidR="004F472D" w:rsidRPr="009A5734" w:rsidRDefault="004F472D" w:rsidP="009308DF">
            <w:pPr>
              <w:jc w:val="right"/>
              <w:rPr>
                <w:bCs/>
                <w:sz w:val="22"/>
                <w:szCs w:val="22"/>
              </w:rPr>
            </w:pPr>
            <w:r w:rsidRPr="009A5734">
              <w:rPr>
                <w:bCs/>
                <w:sz w:val="22"/>
                <w:szCs w:val="22"/>
              </w:rPr>
              <w:t>0</w:t>
            </w:r>
          </w:p>
        </w:tc>
        <w:tc>
          <w:tcPr>
            <w:tcW w:w="1209" w:type="dxa"/>
            <w:tcBorders>
              <w:top w:val="nil"/>
              <w:left w:val="single" w:sz="4" w:space="0" w:color="auto"/>
              <w:bottom w:val="nil"/>
              <w:right w:val="single" w:sz="4" w:space="0" w:color="auto"/>
            </w:tcBorders>
            <w:vAlign w:val="center"/>
          </w:tcPr>
          <w:p w14:paraId="3A35AE49" w14:textId="77777777" w:rsidR="004F472D" w:rsidRPr="000D77C8" w:rsidRDefault="004F472D" w:rsidP="009308DF">
            <w:pPr>
              <w:jc w:val="right"/>
              <w:rPr>
                <w:bCs/>
                <w:color w:val="FF0000"/>
                <w:sz w:val="22"/>
                <w:szCs w:val="22"/>
              </w:rPr>
            </w:pPr>
            <w:r w:rsidRPr="009A5734">
              <w:rPr>
                <w:bCs/>
                <w:sz w:val="22"/>
                <w:szCs w:val="22"/>
              </w:rPr>
              <w:t>116</w:t>
            </w:r>
          </w:p>
        </w:tc>
        <w:tc>
          <w:tcPr>
            <w:tcW w:w="776" w:type="dxa"/>
            <w:tcBorders>
              <w:top w:val="nil"/>
              <w:left w:val="single" w:sz="4" w:space="0" w:color="auto"/>
              <w:bottom w:val="nil"/>
              <w:right w:val="single" w:sz="4" w:space="0" w:color="auto"/>
            </w:tcBorders>
            <w:vAlign w:val="center"/>
          </w:tcPr>
          <w:p w14:paraId="386BF0A0" w14:textId="77777777" w:rsidR="004F472D" w:rsidRPr="00833AE7" w:rsidRDefault="004F472D" w:rsidP="009308DF">
            <w:pPr>
              <w:jc w:val="right"/>
              <w:rPr>
                <w:bCs/>
                <w:sz w:val="22"/>
                <w:szCs w:val="22"/>
              </w:rPr>
            </w:pPr>
            <w:r w:rsidRPr="00833AE7">
              <w:rPr>
                <w:bCs/>
                <w:sz w:val="22"/>
                <w:szCs w:val="22"/>
              </w:rPr>
              <w:t>x</w:t>
            </w:r>
          </w:p>
        </w:tc>
        <w:tc>
          <w:tcPr>
            <w:tcW w:w="850" w:type="dxa"/>
            <w:tcBorders>
              <w:top w:val="nil"/>
              <w:left w:val="single" w:sz="4" w:space="0" w:color="auto"/>
              <w:bottom w:val="nil"/>
              <w:right w:val="single" w:sz="4" w:space="0" w:color="auto"/>
            </w:tcBorders>
            <w:vAlign w:val="center"/>
          </w:tcPr>
          <w:p w14:paraId="1FFAF641" w14:textId="77777777" w:rsidR="004F472D" w:rsidRPr="000D77C8" w:rsidRDefault="004F472D" w:rsidP="009308DF">
            <w:pPr>
              <w:jc w:val="right"/>
              <w:rPr>
                <w:bCs/>
                <w:color w:val="FF0000"/>
                <w:sz w:val="22"/>
                <w:szCs w:val="22"/>
              </w:rPr>
            </w:pPr>
            <w:r w:rsidRPr="00833AE7">
              <w:rPr>
                <w:bCs/>
                <w:sz w:val="22"/>
                <w:szCs w:val="22"/>
              </w:rPr>
              <w:t>38,41</w:t>
            </w:r>
          </w:p>
        </w:tc>
      </w:tr>
      <w:tr w:rsidR="004F472D" w:rsidRPr="000D77C8" w14:paraId="4DF14197" w14:textId="77777777" w:rsidTr="009308DF">
        <w:trPr>
          <w:tblHeader/>
        </w:trPr>
        <w:tc>
          <w:tcPr>
            <w:tcW w:w="2760" w:type="dxa"/>
            <w:tcBorders>
              <w:top w:val="nil"/>
              <w:left w:val="single" w:sz="4" w:space="0" w:color="auto"/>
              <w:bottom w:val="nil"/>
              <w:right w:val="single" w:sz="4" w:space="0" w:color="auto"/>
            </w:tcBorders>
          </w:tcPr>
          <w:p w14:paraId="37CB52D1" w14:textId="77777777" w:rsidR="004F472D" w:rsidRPr="009A5734" w:rsidRDefault="004F472D" w:rsidP="009308DF">
            <w:pPr>
              <w:jc w:val="both"/>
              <w:rPr>
                <w:sz w:val="22"/>
                <w:szCs w:val="22"/>
              </w:rPr>
            </w:pPr>
            <w:r w:rsidRPr="009A5734">
              <w:rPr>
                <w:sz w:val="22"/>
                <w:szCs w:val="22"/>
              </w:rPr>
              <w:t>převody z ost. vlastních fondů</w:t>
            </w:r>
          </w:p>
        </w:tc>
        <w:tc>
          <w:tcPr>
            <w:tcW w:w="1276" w:type="dxa"/>
            <w:tcBorders>
              <w:top w:val="nil"/>
              <w:left w:val="single" w:sz="4" w:space="0" w:color="auto"/>
              <w:bottom w:val="nil"/>
              <w:right w:val="single" w:sz="4" w:space="0" w:color="auto"/>
            </w:tcBorders>
            <w:vAlign w:val="center"/>
          </w:tcPr>
          <w:p w14:paraId="0E34F279" w14:textId="77777777" w:rsidR="004F472D" w:rsidRPr="000D77C8" w:rsidRDefault="004F472D" w:rsidP="009308DF">
            <w:pPr>
              <w:jc w:val="right"/>
              <w:rPr>
                <w:color w:val="FF0000"/>
                <w:sz w:val="22"/>
                <w:szCs w:val="22"/>
              </w:rPr>
            </w:pPr>
            <w:r w:rsidRPr="009A5734">
              <w:rPr>
                <w:sz w:val="22"/>
                <w:szCs w:val="22"/>
              </w:rPr>
              <w:t>733</w:t>
            </w:r>
          </w:p>
        </w:tc>
        <w:tc>
          <w:tcPr>
            <w:tcW w:w="1134" w:type="dxa"/>
            <w:tcBorders>
              <w:top w:val="nil"/>
              <w:left w:val="single" w:sz="4" w:space="0" w:color="auto"/>
              <w:bottom w:val="nil"/>
              <w:right w:val="single" w:sz="4" w:space="0" w:color="auto"/>
            </w:tcBorders>
            <w:vAlign w:val="center"/>
          </w:tcPr>
          <w:p w14:paraId="2046B791" w14:textId="77777777" w:rsidR="004F472D" w:rsidRPr="009A5734" w:rsidRDefault="004F472D" w:rsidP="009308DF">
            <w:pPr>
              <w:jc w:val="right"/>
              <w:rPr>
                <w:sz w:val="22"/>
                <w:szCs w:val="22"/>
              </w:rPr>
            </w:pPr>
            <w:r w:rsidRPr="009A5734">
              <w:rPr>
                <w:sz w:val="22"/>
                <w:szCs w:val="22"/>
              </w:rPr>
              <w:t>0</w:t>
            </w:r>
          </w:p>
        </w:tc>
        <w:tc>
          <w:tcPr>
            <w:tcW w:w="1134" w:type="dxa"/>
            <w:tcBorders>
              <w:top w:val="nil"/>
              <w:left w:val="single" w:sz="4" w:space="0" w:color="auto"/>
              <w:bottom w:val="nil"/>
              <w:right w:val="single" w:sz="4" w:space="0" w:color="auto"/>
            </w:tcBorders>
            <w:vAlign w:val="center"/>
          </w:tcPr>
          <w:p w14:paraId="53FD0493" w14:textId="77777777" w:rsidR="004F472D" w:rsidRPr="009A5734" w:rsidRDefault="004F472D" w:rsidP="009308DF">
            <w:pPr>
              <w:jc w:val="right"/>
              <w:rPr>
                <w:sz w:val="22"/>
                <w:szCs w:val="22"/>
              </w:rPr>
            </w:pPr>
            <w:r w:rsidRPr="009A5734">
              <w:rPr>
                <w:sz w:val="22"/>
                <w:szCs w:val="22"/>
              </w:rPr>
              <w:t>0</w:t>
            </w:r>
          </w:p>
        </w:tc>
        <w:tc>
          <w:tcPr>
            <w:tcW w:w="1209" w:type="dxa"/>
            <w:tcBorders>
              <w:top w:val="nil"/>
              <w:left w:val="single" w:sz="4" w:space="0" w:color="auto"/>
              <w:bottom w:val="nil"/>
              <w:right w:val="single" w:sz="4" w:space="0" w:color="auto"/>
            </w:tcBorders>
            <w:vAlign w:val="center"/>
          </w:tcPr>
          <w:p w14:paraId="2CA55F82" w14:textId="77777777" w:rsidR="004F472D" w:rsidRPr="000D77C8" w:rsidRDefault="004F472D" w:rsidP="009308DF">
            <w:pPr>
              <w:jc w:val="right"/>
              <w:rPr>
                <w:color w:val="FF0000"/>
                <w:sz w:val="22"/>
                <w:szCs w:val="22"/>
              </w:rPr>
            </w:pPr>
            <w:r w:rsidRPr="009A5734">
              <w:rPr>
                <w:sz w:val="22"/>
                <w:szCs w:val="22"/>
              </w:rPr>
              <w:t>101</w:t>
            </w:r>
          </w:p>
        </w:tc>
        <w:tc>
          <w:tcPr>
            <w:tcW w:w="776" w:type="dxa"/>
            <w:tcBorders>
              <w:top w:val="nil"/>
              <w:left w:val="single" w:sz="4" w:space="0" w:color="auto"/>
              <w:bottom w:val="nil"/>
              <w:right w:val="single" w:sz="4" w:space="0" w:color="auto"/>
            </w:tcBorders>
            <w:vAlign w:val="center"/>
          </w:tcPr>
          <w:p w14:paraId="5F4DCB7A" w14:textId="77777777" w:rsidR="004F472D" w:rsidRPr="00833AE7" w:rsidRDefault="004F472D" w:rsidP="009308DF">
            <w:pPr>
              <w:jc w:val="right"/>
              <w:rPr>
                <w:sz w:val="22"/>
                <w:szCs w:val="22"/>
              </w:rPr>
            </w:pPr>
            <w:r w:rsidRPr="00833AE7">
              <w:rPr>
                <w:sz w:val="22"/>
                <w:szCs w:val="22"/>
              </w:rPr>
              <w:t>x</w:t>
            </w:r>
          </w:p>
        </w:tc>
        <w:tc>
          <w:tcPr>
            <w:tcW w:w="850" w:type="dxa"/>
            <w:tcBorders>
              <w:top w:val="nil"/>
              <w:left w:val="single" w:sz="4" w:space="0" w:color="auto"/>
              <w:bottom w:val="nil"/>
              <w:right w:val="single" w:sz="4" w:space="0" w:color="auto"/>
            </w:tcBorders>
            <w:vAlign w:val="center"/>
          </w:tcPr>
          <w:p w14:paraId="4683EB93" w14:textId="77777777" w:rsidR="004F472D" w:rsidRPr="000D77C8" w:rsidRDefault="004F472D" w:rsidP="009308DF">
            <w:pPr>
              <w:jc w:val="right"/>
              <w:rPr>
                <w:color w:val="FF0000"/>
                <w:sz w:val="22"/>
                <w:szCs w:val="22"/>
              </w:rPr>
            </w:pPr>
            <w:r w:rsidRPr="00833AE7">
              <w:rPr>
                <w:sz w:val="22"/>
                <w:szCs w:val="22"/>
              </w:rPr>
              <w:t>13,78</w:t>
            </w:r>
          </w:p>
        </w:tc>
      </w:tr>
      <w:tr w:rsidR="004F472D" w:rsidRPr="000D77C8" w14:paraId="125AF3FC" w14:textId="77777777" w:rsidTr="009308DF">
        <w:trPr>
          <w:tblHeader/>
        </w:trPr>
        <w:tc>
          <w:tcPr>
            <w:tcW w:w="2760" w:type="dxa"/>
            <w:tcBorders>
              <w:top w:val="nil"/>
              <w:left w:val="single" w:sz="4" w:space="0" w:color="auto"/>
              <w:bottom w:val="nil"/>
              <w:right w:val="single" w:sz="4" w:space="0" w:color="auto"/>
            </w:tcBorders>
          </w:tcPr>
          <w:p w14:paraId="3B6E19DE" w14:textId="77777777" w:rsidR="004F472D" w:rsidRPr="009A5734" w:rsidRDefault="004F472D" w:rsidP="009308DF">
            <w:pPr>
              <w:jc w:val="both"/>
              <w:rPr>
                <w:sz w:val="22"/>
                <w:szCs w:val="22"/>
              </w:rPr>
            </w:pPr>
            <w:r w:rsidRPr="009A5734">
              <w:rPr>
                <w:sz w:val="22"/>
                <w:szCs w:val="22"/>
              </w:rPr>
              <w:t>převody z rezervních fondů OSS (vč.prostř.EU)</w:t>
            </w:r>
          </w:p>
        </w:tc>
        <w:tc>
          <w:tcPr>
            <w:tcW w:w="1276" w:type="dxa"/>
            <w:tcBorders>
              <w:top w:val="nil"/>
              <w:left w:val="single" w:sz="4" w:space="0" w:color="auto"/>
              <w:bottom w:val="nil"/>
              <w:right w:val="single" w:sz="4" w:space="0" w:color="auto"/>
            </w:tcBorders>
            <w:vAlign w:val="center"/>
          </w:tcPr>
          <w:p w14:paraId="09E33597" w14:textId="77777777" w:rsidR="004F472D" w:rsidRPr="000D77C8" w:rsidRDefault="004F472D" w:rsidP="009308DF">
            <w:pPr>
              <w:jc w:val="right"/>
              <w:rPr>
                <w:color w:val="FF0000"/>
                <w:sz w:val="22"/>
                <w:szCs w:val="22"/>
              </w:rPr>
            </w:pPr>
            <w:r w:rsidRPr="009A5734">
              <w:rPr>
                <w:sz w:val="22"/>
                <w:szCs w:val="22"/>
              </w:rPr>
              <w:t xml:space="preserve">717 971 </w:t>
            </w:r>
          </w:p>
        </w:tc>
        <w:tc>
          <w:tcPr>
            <w:tcW w:w="1134" w:type="dxa"/>
            <w:tcBorders>
              <w:top w:val="nil"/>
              <w:left w:val="single" w:sz="4" w:space="0" w:color="auto"/>
              <w:bottom w:val="nil"/>
              <w:right w:val="single" w:sz="4" w:space="0" w:color="auto"/>
            </w:tcBorders>
            <w:vAlign w:val="center"/>
          </w:tcPr>
          <w:p w14:paraId="6C8B9075" w14:textId="77777777" w:rsidR="004F472D" w:rsidRPr="009A5734" w:rsidRDefault="004F472D" w:rsidP="009308DF">
            <w:pPr>
              <w:jc w:val="right"/>
              <w:rPr>
                <w:sz w:val="22"/>
                <w:szCs w:val="22"/>
              </w:rPr>
            </w:pPr>
            <w:r w:rsidRPr="009A5734">
              <w:rPr>
                <w:sz w:val="22"/>
                <w:szCs w:val="22"/>
              </w:rPr>
              <w:t>0</w:t>
            </w:r>
          </w:p>
        </w:tc>
        <w:tc>
          <w:tcPr>
            <w:tcW w:w="1134" w:type="dxa"/>
            <w:tcBorders>
              <w:top w:val="nil"/>
              <w:left w:val="single" w:sz="4" w:space="0" w:color="auto"/>
              <w:bottom w:val="nil"/>
              <w:right w:val="single" w:sz="4" w:space="0" w:color="auto"/>
            </w:tcBorders>
            <w:vAlign w:val="center"/>
          </w:tcPr>
          <w:p w14:paraId="4131D7F5" w14:textId="77777777" w:rsidR="004F472D" w:rsidRPr="009A5734" w:rsidRDefault="004F472D" w:rsidP="009308DF">
            <w:pPr>
              <w:jc w:val="right"/>
              <w:rPr>
                <w:sz w:val="22"/>
                <w:szCs w:val="22"/>
              </w:rPr>
            </w:pPr>
            <w:r w:rsidRPr="009A5734">
              <w:rPr>
                <w:sz w:val="22"/>
                <w:szCs w:val="22"/>
              </w:rPr>
              <w:t>0</w:t>
            </w:r>
          </w:p>
        </w:tc>
        <w:tc>
          <w:tcPr>
            <w:tcW w:w="1209" w:type="dxa"/>
            <w:tcBorders>
              <w:top w:val="nil"/>
              <w:left w:val="single" w:sz="4" w:space="0" w:color="auto"/>
              <w:bottom w:val="nil"/>
              <w:right w:val="single" w:sz="4" w:space="0" w:color="auto"/>
            </w:tcBorders>
            <w:vAlign w:val="center"/>
          </w:tcPr>
          <w:p w14:paraId="3036AACC" w14:textId="77777777" w:rsidR="004F472D" w:rsidRPr="009A5734" w:rsidRDefault="004F472D" w:rsidP="009308DF">
            <w:pPr>
              <w:jc w:val="right"/>
              <w:rPr>
                <w:sz w:val="22"/>
                <w:szCs w:val="22"/>
              </w:rPr>
            </w:pPr>
            <w:r w:rsidRPr="009A5734">
              <w:rPr>
                <w:sz w:val="22"/>
                <w:szCs w:val="22"/>
              </w:rPr>
              <w:t>141 186</w:t>
            </w:r>
          </w:p>
        </w:tc>
        <w:tc>
          <w:tcPr>
            <w:tcW w:w="776" w:type="dxa"/>
            <w:tcBorders>
              <w:top w:val="nil"/>
              <w:left w:val="single" w:sz="4" w:space="0" w:color="auto"/>
              <w:bottom w:val="nil"/>
              <w:right w:val="single" w:sz="4" w:space="0" w:color="auto"/>
            </w:tcBorders>
            <w:vAlign w:val="center"/>
          </w:tcPr>
          <w:p w14:paraId="3C4310F4" w14:textId="77777777" w:rsidR="004F472D" w:rsidRPr="00833AE7" w:rsidRDefault="004F472D" w:rsidP="009308DF">
            <w:pPr>
              <w:jc w:val="right"/>
              <w:rPr>
                <w:sz w:val="22"/>
                <w:szCs w:val="22"/>
              </w:rPr>
            </w:pPr>
            <w:r w:rsidRPr="00833AE7">
              <w:rPr>
                <w:sz w:val="22"/>
                <w:szCs w:val="22"/>
              </w:rPr>
              <w:t>x</w:t>
            </w:r>
          </w:p>
        </w:tc>
        <w:tc>
          <w:tcPr>
            <w:tcW w:w="850" w:type="dxa"/>
            <w:tcBorders>
              <w:top w:val="nil"/>
              <w:left w:val="single" w:sz="4" w:space="0" w:color="auto"/>
              <w:bottom w:val="nil"/>
              <w:right w:val="single" w:sz="4" w:space="0" w:color="auto"/>
            </w:tcBorders>
            <w:vAlign w:val="center"/>
          </w:tcPr>
          <w:p w14:paraId="73EE26FF" w14:textId="77777777" w:rsidR="004F472D" w:rsidRPr="000D77C8" w:rsidRDefault="004F472D" w:rsidP="009308DF">
            <w:pPr>
              <w:jc w:val="right"/>
              <w:rPr>
                <w:color w:val="FF0000"/>
                <w:sz w:val="22"/>
                <w:szCs w:val="22"/>
              </w:rPr>
            </w:pPr>
            <w:r w:rsidRPr="00833AE7">
              <w:rPr>
                <w:sz w:val="22"/>
                <w:szCs w:val="22"/>
              </w:rPr>
              <w:t>19,66</w:t>
            </w:r>
          </w:p>
        </w:tc>
      </w:tr>
      <w:tr w:rsidR="004F472D" w:rsidRPr="000D77C8" w14:paraId="299C58B8" w14:textId="77777777" w:rsidTr="009308DF">
        <w:trPr>
          <w:tblHeader/>
        </w:trPr>
        <w:tc>
          <w:tcPr>
            <w:tcW w:w="2760" w:type="dxa"/>
            <w:tcBorders>
              <w:top w:val="nil"/>
              <w:left w:val="single" w:sz="4" w:space="0" w:color="auto"/>
              <w:bottom w:val="nil"/>
              <w:right w:val="single" w:sz="4" w:space="0" w:color="auto"/>
            </w:tcBorders>
          </w:tcPr>
          <w:p w14:paraId="464EBB07" w14:textId="77777777" w:rsidR="004F472D" w:rsidRPr="009A5734" w:rsidRDefault="004F472D" w:rsidP="009308DF">
            <w:pPr>
              <w:jc w:val="both"/>
              <w:rPr>
                <w:sz w:val="22"/>
                <w:szCs w:val="22"/>
              </w:rPr>
            </w:pPr>
            <w:r w:rsidRPr="009A5734">
              <w:rPr>
                <w:sz w:val="22"/>
                <w:szCs w:val="22"/>
              </w:rPr>
              <w:t>neinv. převody z NF a neinv. transf. přij. z EU</w:t>
            </w:r>
          </w:p>
        </w:tc>
        <w:tc>
          <w:tcPr>
            <w:tcW w:w="1276" w:type="dxa"/>
            <w:tcBorders>
              <w:top w:val="nil"/>
              <w:left w:val="single" w:sz="4" w:space="0" w:color="auto"/>
              <w:bottom w:val="nil"/>
              <w:right w:val="single" w:sz="4" w:space="0" w:color="auto"/>
            </w:tcBorders>
            <w:vAlign w:val="center"/>
          </w:tcPr>
          <w:p w14:paraId="5569C306" w14:textId="77777777" w:rsidR="004F472D" w:rsidRPr="000D77C8" w:rsidRDefault="004F472D" w:rsidP="009308DF">
            <w:pPr>
              <w:jc w:val="right"/>
              <w:rPr>
                <w:color w:val="FF0000"/>
                <w:sz w:val="22"/>
                <w:szCs w:val="22"/>
              </w:rPr>
            </w:pPr>
            <w:r w:rsidRPr="009A5734">
              <w:rPr>
                <w:sz w:val="22"/>
                <w:szCs w:val="22"/>
              </w:rPr>
              <w:t>135 022</w:t>
            </w:r>
          </w:p>
        </w:tc>
        <w:tc>
          <w:tcPr>
            <w:tcW w:w="1134" w:type="dxa"/>
            <w:tcBorders>
              <w:top w:val="nil"/>
              <w:left w:val="single" w:sz="4" w:space="0" w:color="auto"/>
              <w:bottom w:val="nil"/>
              <w:right w:val="single" w:sz="4" w:space="0" w:color="auto"/>
            </w:tcBorders>
            <w:vAlign w:val="center"/>
          </w:tcPr>
          <w:p w14:paraId="556BA1F5" w14:textId="77777777" w:rsidR="004F472D" w:rsidRPr="000D77C8" w:rsidRDefault="004F472D" w:rsidP="009308DF">
            <w:pPr>
              <w:jc w:val="right"/>
              <w:rPr>
                <w:color w:val="FF0000"/>
                <w:sz w:val="22"/>
                <w:szCs w:val="22"/>
              </w:rPr>
            </w:pPr>
            <w:r w:rsidRPr="00B90705">
              <w:rPr>
                <w:sz w:val="22"/>
                <w:szCs w:val="22"/>
              </w:rPr>
              <w:t>142 491</w:t>
            </w:r>
          </w:p>
        </w:tc>
        <w:tc>
          <w:tcPr>
            <w:tcW w:w="1134" w:type="dxa"/>
            <w:tcBorders>
              <w:top w:val="nil"/>
              <w:left w:val="single" w:sz="4" w:space="0" w:color="auto"/>
              <w:bottom w:val="nil"/>
              <w:right w:val="single" w:sz="4" w:space="0" w:color="auto"/>
            </w:tcBorders>
            <w:vAlign w:val="center"/>
          </w:tcPr>
          <w:p w14:paraId="1D31199C" w14:textId="77777777" w:rsidR="004F472D" w:rsidRPr="000D77C8" w:rsidRDefault="004F472D" w:rsidP="009308DF">
            <w:pPr>
              <w:jc w:val="right"/>
              <w:rPr>
                <w:color w:val="FF0000"/>
                <w:sz w:val="22"/>
                <w:szCs w:val="22"/>
              </w:rPr>
            </w:pPr>
            <w:r w:rsidRPr="00B90705">
              <w:rPr>
                <w:sz w:val="22"/>
                <w:szCs w:val="22"/>
              </w:rPr>
              <w:t>143 659</w:t>
            </w:r>
          </w:p>
        </w:tc>
        <w:tc>
          <w:tcPr>
            <w:tcW w:w="1209" w:type="dxa"/>
            <w:tcBorders>
              <w:top w:val="nil"/>
              <w:left w:val="single" w:sz="4" w:space="0" w:color="auto"/>
              <w:bottom w:val="nil"/>
              <w:right w:val="single" w:sz="4" w:space="0" w:color="auto"/>
            </w:tcBorders>
            <w:vAlign w:val="center"/>
          </w:tcPr>
          <w:p w14:paraId="7FB034D5" w14:textId="77777777" w:rsidR="004F472D" w:rsidRPr="000D77C8" w:rsidRDefault="004F472D" w:rsidP="009308DF">
            <w:pPr>
              <w:jc w:val="right"/>
              <w:rPr>
                <w:color w:val="FF0000"/>
                <w:sz w:val="22"/>
                <w:szCs w:val="22"/>
              </w:rPr>
            </w:pPr>
            <w:r w:rsidRPr="00B90705">
              <w:rPr>
                <w:sz w:val="22"/>
                <w:szCs w:val="22"/>
              </w:rPr>
              <w:t>151 400</w:t>
            </w:r>
          </w:p>
        </w:tc>
        <w:tc>
          <w:tcPr>
            <w:tcW w:w="776" w:type="dxa"/>
            <w:tcBorders>
              <w:top w:val="nil"/>
              <w:left w:val="single" w:sz="4" w:space="0" w:color="auto"/>
              <w:bottom w:val="nil"/>
              <w:right w:val="single" w:sz="4" w:space="0" w:color="auto"/>
            </w:tcBorders>
            <w:vAlign w:val="center"/>
          </w:tcPr>
          <w:p w14:paraId="25E7D44E" w14:textId="77777777" w:rsidR="004F472D" w:rsidRPr="000D77C8" w:rsidRDefault="004F472D" w:rsidP="009308DF">
            <w:pPr>
              <w:jc w:val="right"/>
              <w:rPr>
                <w:color w:val="FF0000"/>
                <w:sz w:val="22"/>
                <w:szCs w:val="22"/>
              </w:rPr>
            </w:pPr>
            <w:r w:rsidRPr="00833AE7">
              <w:rPr>
                <w:sz w:val="22"/>
                <w:szCs w:val="22"/>
              </w:rPr>
              <w:t>105,39</w:t>
            </w:r>
          </w:p>
        </w:tc>
        <w:tc>
          <w:tcPr>
            <w:tcW w:w="850" w:type="dxa"/>
            <w:tcBorders>
              <w:top w:val="nil"/>
              <w:left w:val="single" w:sz="4" w:space="0" w:color="auto"/>
              <w:bottom w:val="nil"/>
              <w:right w:val="single" w:sz="4" w:space="0" w:color="auto"/>
            </w:tcBorders>
            <w:vAlign w:val="center"/>
          </w:tcPr>
          <w:p w14:paraId="49C870CE" w14:textId="77777777" w:rsidR="004F472D" w:rsidRPr="000D77C8" w:rsidRDefault="004F472D" w:rsidP="009308DF">
            <w:pPr>
              <w:jc w:val="right"/>
              <w:rPr>
                <w:color w:val="FF0000"/>
                <w:sz w:val="22"/>
                <w:szCs w:val="22"/>
              </w:rPr>
            </w:pPr>
            <w:r w:rsidRPr="00833AE7">
              <w:rPr>
                <w:sz w:val="22"/>
                <w:szCs w:val="22"/>
              </w:rPr>
              <w:t>112,13</w:t>
            </w:r>
          </w:p>
        </w:tc>
      </w:tr>
      <w:tr w:rsidR="004F472D" w:rsidRPr="000D77C8" w14:paraId="2A2CFEB2" w14:textId="77777777" w:rsidTr="009308DF">
        <w:trPr>
          <w:tblHeader/>
        </w:trPr>
        <w:tc>
          <w:tcPr>
            <w:tcW w:w="2760" w:type="dxa"/>
            <w:tcBorders>
              <w:top w:val="nil"/>
              <w:left w:val="single" w:sz="4" w:space="0" w:color="auto"/>
              <w:bottom w:val="single" w:sz="4" w:space="0" w:color="auto"/>
              <w:right w:val="single" w:sz="4" w:space="0" w:color="auto"/>
            </w:tcBorders>
          </w:tcPr>
          <w:p w14:paraId="6E044210" w14:textId="77777777" w:rsidR="004F472D" w:rsidRPr="009A5734" w:rsidRDefault="004F472D" w:rsidP="009308DF">
            <w:pPr>
              <w:jc w:val="both"/>
              <w:rPr>
                <w:sz w:val="22"/>
                <w:szCs w:val="22"/>
              </w:rPr>
            </w:pPr>
            <w:r w:rsidRPr="009A5734">
              <w:rPr>
                <w:sz w:val="22"/>
                <w:szCs w:val="22"/>
              </w:rPr>
              <w:t>investiční převody z NF a inv. transf. přij. z EU</w:t>
            </w:r>
          </w:p>
        </w:tc>
        <w:tc>
          <w:tcPr>
            <w:tcW w:w="1276" w:type="dxa"/>
            <w:tcBorders>
              <w:top w:val="nil"/>
              <w:left w:val="single" w:sz="4" w:space="0" w:color="auto"/>
              <w:bottom w:val="single" w:sz="4" w:space="0" w:color="auto"/>
              <w:right w:val="single" w:sz="4" w:space="0" w:color="auto"/>
            </w:tcBorders>
            <w:vAlign w:val="center"/>
          </w:tcPr>
          <w:p w14:paraId="34675AFF" w14:textId="77777777" w:rsidR="004F472D" w:rsidRPr="000D77C8" w:rsidRDefault="004F472D" w:rsidP="009308DF">
            <w:pPr>
              <w:jc w:val="right"/>
              <w:rPr>
                <w:color w:val="FF0000"/>
                <w:sz w:val="22"/>
                <w:szCs w:val="22"/>
              </w:rPr>
            </w:pPr>
            <w:r w:rsidRPr="009A5734">
              <w:rPr>
                <w:sz w:val="22"/>
                <w:szCs w:val="22"/>
              </w:rPr>
              <w:t>21 632 976</w:t>
            </w:r>
          </w:p>
        </w:tc>
        <w:tc>
          <w:tcPr>
            <w:tcW w:w="1134" w:type="dxa"/>
            <w:tcBorders>
              <w:top w:val="nil"/>
              <w:left w:val="single" w:sz="4" w:space="0" w:color="auto"/>
              <w:bottom w:val="single" w:sz="4" w:space="0" w:color="auto"/>
              <w:right w:val="single" w:sz="4" w:space="0" w:color="auto"/>
            </w:tcBorders>
            <w:vAlign w:val="center"/>
          </w:tcPr>
          <w:p w14:paraId="7C1AB3C9" w14:textId="77777777" w:rsidR="004F472D" w:rsidRPr="00B90705" w:rsidRDefault="004F472D" w:rsidP="009308DF">
            <w:pPr>
              <w:jc w:val="right"/>
              <w:rPr>
                <w:sz w:val="22"/>
                <w:szCs w:val="22"/>
              </w:rPr>
            </w:pPr>
            <w:r w:rsidRPr="00B90705">
              <w:rPr>
                <w:sz w:val="22"/>
                <w:szCs w:val="22"/>
              </w:rPr>
              <w:t>18 727 243</w:t>
            </w:r>
          </w:p>
        </w:tc>
        <w:tc>
          <w:tcPr>
            <w:tcW w:w="1134" w:type="dxa"/>
            <w:tcBorders>
              <w:top w:val="nil"/>
              <w:left w:val="single" w:sz="4" w:space="0" w:color="auto"/>
              <w:bottom w:val="single" w:sz="4" w:space="0" w:color="auto"/>
              <w:right w:val="single" w:sz="4" w:space="0" w:color="auto"/>
            </w:tcBorders>
            <w:vAlign w:val="center"/>
          </w:tcPr>
          <w:p w14:paraId="27702D58" w14:textId="77777777" w:rsidR="004F472D" w:rsidRPr="00B90705" w:rsidRDefault="004F472D" w:rsidP="009308DF">
            <w:pPr>
              <w:jc w:val="right"/>
              <w:rPr>
                <w:sz w:val="22"/>
                <w:szCs w:val="22"/>
              </w:rPr>
            </w:pPr>
            <w:r w:rsidRPr="00B90705">
              <w:rPr>
                <w:sz w:val="22"/>
                <w:szCs w:val="22"/>
              </w:rPr>
              <w:t xml:space="preserve">18 726 074 </w:t>
            </w:r>
          </w:p>
        </w:tc>
        <w:tc>
          <w:tcPr>
            <w:tcW w:w="1209" w:type="dxa"/>
            <w:tcBorders>
              <w:top w:val="nil"/>
              <w:left w:val="single" w:sz="4" w:space="0" w:color="auto"/>
              <w:bottom w:val="single" w:sz="4" w:space="0" w:color="auto"/>
              <w:right w:val="single" w:sz="4" w:space="0" w:color="auto"/>
            </w:tcBorders>
            <w:vAlign w:val="center"/>
          </w:tcPr>
          <w:p w14:paraId="15883E3F" w14:textId="77777777" w:rsidR="004F472D" w:rsidRPr="000D77C8" w:rsidRDefault="004F472D" w:rsidP="009308DF">
            <w:pPr>
              <w:jc w:val="right"/>
              <w:rPr>
                <w:color w:val="FF0000"/>
                <w:sz w:val="22"/>
                <w:szCs w:val="22"/>
              </w:rPr>
            </w:pPr>
            <w:r w:rsidRPr="00B90705">
              <w:rPr>
                <w:sz w:val="22"/>
                <w:szCs w:val="22"/>
              </w:rPr>
              <w:t>16 705 802</w:t>
            </w:r>
          </w:p>
        </w:tc>
        <w:tc>
          <w:tcPr>
            <w:tcW w:w="776" w:type="dxa"/>
            <w:tcBorders>
              <w:top w:val="nil"/>
              <w:left w:val="single" w:sz="4" w:space="0" w:color="auto"/>
              <w:bottom w:val="single" w:sz="4" w:space="0" w:color="auto"/>
              <w:right w:val="single" w:sz="4" w:space="0" w:color="auto"/>
            </w:tcBorders>
            <w:vAlign w:val="center"/>
          </w:tcPr>
          <w:p w14:paraId="26C8AFFC" w14:textId="77777777" w:rsidR="004F472D" w:rsidRPr="000D77C8" w:rsidRDefault="004F472D" w:rsidP="009308DF">
            <w:pPr>
              <w:jc w:val="right"/>
              <w:rPr>
                <w:color w:val="FF0000"/>
                <w:sz w:val="22"/>
                <w:szCs w:val="22"/>
              </w:rPr>
            </w:pPr>
            <w:r w:rsidRPr="00833AE7">
              <w:rPr>
                <w:sz w:val="22"/>
                <w:szCs w:val="22"/>
              </w:rPr>
              <w:t>89,21</w:t>
            </w:r>
          </w:p>
        </w:tc>
        <w:tc>
          <w:tcPr>
            <w:tcW w:w="850" w:type="dxa"/>
            <w:tcBorders>
              <w:top w:val="nil"/>
              <w:left w:val="single" w:sz="4" w:space="0" w:color="auto"/>
              <w:bottom w:val="single" w:sz="4" w:space="0" w:color="auto"/>
              <w:right w:val="single" w:sz="4" w:space="0" w:color="auto"/>
            </w:tcBorders>
            <w:vAlign w:val="center"/>
          </w:tcPr>
          <w:p w14:paraId="7C1419C1" w14:textId="77777777" w:rsidR="004F472D" w:rsidRPr="000D77C8" w:rsidRDefault="004F472D" w:rsidP="009308DF">
            <w:pPr>
              <w:jc w:val="right"/>
              <w:rPr>
                <w:color w:val="FF0000"/>
                <w:sz w:val="22"/>
                <w:szCs w:val="22"/>
              </w:rPr>
            </w:pPr>
            <w:r w:rsidRPr="00833AE7">
              <w:rPr>
                <w:sz w:val="22"/>
                <w:szCs w:val="22"/>
              </w:rPr>
              <w:t>77,22</w:t>
            </w:r>
          </w:p>
        </w:tc>
      </w:tr>
    </w:tbl>
    <w:p w14:paraId="1B33B6A0" w14:textId="1F30ABDD" w:rsidR="00D83BEA" w:rsidRPr="004F472D" w:rsidRDefault="00AE353C" w:rsidP="000A6D37">
      <w:pPr>
        <w:pStyle w:val="Titulek"/>
        <w:rPr>
          <w:rStyle w:val="Siln"/>
          <w:b/>
          <w:bCs w:val="0"/>
        </w:rPr>
      </w:pPr>
      <w:bookmarkStart w:id="21" w:name="_Toc34288669"/>
      <w:r w:rsidRPr="004F472D">
        <w:t xml:space="preserve">Graf č. </w:t>
      </w:r>
      <w:r w:rsidR="00A65941" w:rsidRPr="004F472D">
        <w:rPr>
          <w:noProof/>
        </w:rPr>
        <w:fldChar w:fldCharType="begin"/>
      </w:r>
      <w:r w:rsidR="00A65941" w:rsidRPr="004F472D">
        <w:rPr>
          <w:noProof/>
        </w:rPr>
        <w:instrText xml:space="preserve"> SEQ Graf_č. \* ARABIC </w:instrText>
      </w:r>
      <w:r w:rsidR="00A65941" w:rsidRPr="004F472D">
        <w:rPr>
          <w:noProof/>
        </w:rPr>
        <w:fldChar w:fldCharType="separate"/>
      </w:r>
      <w:r w:rsidR="00DF450F">
        <w:rPr>
          <w:noProof/>
        </w:rPr>
        <w:t>2</w:t>
      </w:r>
      <w:r w:rsidR="00A65941" w:rsidRPr="004F472D">
        <w:rPr>
          <w:noProof/>
        </w:rPr>
        <w:fldChar w:fldCharType="end"/>
      </w:r>
      <w:r w:rsidR="00D83BEA" w:rsidRPr="004F472D">
        <w:rPr>
          <w:rStyle w:val="Siln"/>
          <w:b/>
        </w:rPr>
        <w:t xml:space="preserve">:  </w:t>
      </w:r>
      <w:bookmarkEnd w:id="20"/>
      <w:r w:rsidR="00385EF2" w:rsidRPr="004F472D">
        <w:rPr>
          <w:rStyle w:val="Siln"/>
          <w:b/>
        </w:rPr>
        <w:t>Daňové, nedaňové a kapitálové příjmy kapitoly 327-MD (v tis. Kč)</w:t>
      </w:r>
      <w:bookmarkEnd w:id="21"/>
    </w:p>
    <w:bookmarkEnd w:id="14"/>
    <w:p w14:paraId="29F1E84D" w14:textId="77777777" w:rsidR="00B16E7F" w:rsidRPr="004B11AC" w:rsidRDefault="00675C21" w:rsidP="00B16E7F">
      <w:pPr>
        <w:pStyle w:val="Znormal"/>
        <w:ind w:firstLine="0"/>
        <w:rPr>
          <w:color w:val="FF0000"/>
          <w:sz w:val="2"/>
          <w:szCs w:val="2"/>
        </w:rPr>
      </w:pPr>
      <w:r w:rsidRPr="004B11AC">
        <w:rPr>
          <w:b/>
          <w:noProof/>
          <w:color w:val="FF0000"/>
        </w:rPr>
        <w:drawing>
          <wp:inline distT="0" distB="0" distL="0" distR="0" wp14:anchorId="74AFDD83" wp14:editId="19D1EE77">
            <wp:extent cx="5705475" cy="2209191"/>
            <wp:effectExtent l="0" t="0" r="0" b="635"/>
            <wp:docPr id="34" name="Graf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0699316" w14:textId="23C99374" w:rsidR="00B16E7F" w:rsidRPr="00007AD4" w:rsidRDefault="00AE353C" w:rsidP="000A6D37">
      <w:pPr>
        <w:pStyle w:val="Titulek"/>
        <w:spacing w:before="0"/>
      </w:pPr>
      <w:bookmarkStart w:id="22" w:name="_Toc317489622"/>
      <w:bookmarkStart w:id="23" w:name="_Toc34288670"/>
      <w:r w:rsidRPr="00007AD4">
        <w:t xml:space="preserve">Graf č. </w:t>
      </w:r>
      <w:r w:rsidR="00A65941" w:rsidRPr="00007AD4">
        <w:rPr>
          <w:noProof/>
        </w:rPr>
        <w:fldChar w:fldCharType="begin"/>
      </w:r>
      <w:r w:rsidR="00A65941" w:rsidRPr="00007AD4">
        <w:rPr>
          <w:noProof/>
        </w:rPr>
        <w:instrText xml:space="preserve"> SEQ Graf_č. \* ARABIC </w:instrText>
      </w:r>
      <w:r w:rsidR="00A65941" w:rsidRPr="00007AD4">
        <w:rPr>
          <w:noProof/>
        </w:rPr>
        <w:fldChar w:fldCharType="separate"/>
      </w:r>
      <w:r w:rsidR="00DF450F">
        <w:rPr>
          <w:noProof/>
        </w:rPr>
        <w:t>3</w:t>
      </w:r>
      <w:r w:rsidR="00A65941" w:rsidRPr="00007AD4">
        <w:rPr>
          <w:noProof/>
        </w:rPr>
        <w:fldChar w:fldCharType="end"/>
      </w:r>
      <w:r w:rsidR="00B16E7F" w:rsidRPr="00007AD4">
        <w:t xml:space="preserve">: </w:t>
      </w:r>
      <w:r w:rsidR="00CB0887" w:rsidRPr="00007AD4">
        <w:t xml:space="preserve"> </w:t>
      </w:r>
      <w:r w:rsidR="00B16E7F" w:rsidRPr="00007AD4">
        <w:t>Přijaté transfery kapitoly 327-MD (v tis. Kč)</w:t>
      </w:r>
      <w:bookmarkEnd w:id="22"/>
      <w:bookmarkEnd w:id="23"/>
    </w:p>
    <w:p w14:paraId="2D3C86EA" w14:textId="77777777" w:rsidR="00021280" w:rsidRPr="004B11AC" w:rsidRDefault="001A7DBE" w:rsidP="000A6D37">
      <w:pPr>
        <w:pStyle w:val="Znormal"/>
        <w:spacing w:after="240"/>
        <w:ind w:firstLine="0"/>
        <w:rPr>
          <w:color w:val="FF0000"/>
        </w:rPr>
      </w:pPr>
      <w:r w:rsidRPr="004B11AC">
        <w:rPr>
          <w:noProof/>
          <w:color w:val="FF0000"/>
        </w:rPr>
        <w:drawing>
          <wp:inline distT="0" distB="0" distL="0" distR="0" wp14:anchorId="25B61915" wp14:editId="22A5802A">
            <wp:extent cx="5780405" cy="2260397"/>
            <wp:effectExtent l="0" t="0" r="0" b="6985"/>
            <wp:docPr id="1"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6108345" w14:textId="77777777" w:rsidR="00185BC4" w:rsidRPr="00007AD4" w:rsidRDefault="00185BC4" w:rsidP="00BB64C4">
      <w:pPr>
        <w:pStyle w:val="Nadpis2"/>
      </w:pPr>
      <w:bookmarkStart w:id="24" w:name="_Toc255297631"/>
      <w:bookmarkStart w:id="25" w:name="_Toc413413651"/>
      <w:bookmarkStart w:id="26" w:name="_Toc34286450"/>
      <w:bookmarkStart w:id="27" w:name="_Toc508879834"/>
      <w:bookmarkStart w:id="28" w:name="_Toc508880110"/>
      <w:bookmarkStart w:id="29" w:name="_Toc1376804"/>
      <w:r w:rsidRPr="00007AD4">
        <w:lastRenderedPageBreak/>
        <w:t>Příjmy ze správních poplatků a pokut</w:t>
      </w:r>
      <w:bookmarkEnd w:id="24"/>
      <w:bookmarkEnd w:id="25"/>
      <w:r w:rsidR="007B514F" w:rsidRPr="00007AD4">
        <w:t xml:space="preserve"> v</w:t>
      </w:r>
      <w:r w:rsidR="006908E3" w:rsidRPr="00007AD4">
        <w:t>e</w:t>
      </w:r>
      <w:r w:rsidR="007B514F" w:rsidRPr="00007AD4">
        <w:t> </w:t>
      </w:r>
      <w:r w:rsidR="006908E3" w:rsidRPr="00007AD4">
        <w:t xml:space="preserve">správním </w:t>
      </w:r>
      <w:r w:rsidR="007B514F" w:rsidRPr="00007AD4">
        <w:t>řízení</w:t>
      </w:r>
      <w:bookmarkEnd w:id="26"/>
      <w:r w:rsidR="007B514F" w:rsidRPr="00007AD4">
        <w:t xml:space="preserve"> </w:t>
      </w:r>
      <w:bookmarkEnd w:id="27"/>
      <w:bookmarkEnd w:id="28"/>
      <w:bookmarkEnd w:id="29"/>
    </w:p>
    <w:p w14:paraId="4288B3C0" w14:textId="77777777" w:rsidR="00675C21" w:rsidRPr="00007AD4" w:rsidRDefault="00675C21" w:rsidP="000F414D">
      <w:pPr>
        <w:pStyle w:val="KOMtext"/>
      </w:pPr>
      <w:bookmarkStart w:id="30" w:name="_Toc347145511"/>
      <w:bookmarkStart w:id="31" w:name="_Toc317489623"/>
      <w:r w:rsidRPr="00007AD4">
        <w:t xml:space="preserve">Pro vybírání správních poplatků je zřízen zvláštní příjmový účet státního rozpočtu s předčíslím </w:t>
      </w:r>
      <w:r w:rsidRPr="000F414D">
        <w:t>3711</w:t>
      </w:r>
      <w:r w:rsidRPr="00007AD4">
        <w:t>, jehož zůstatek je zahrnován do příjmů kapitoly 327 – MD. Pokuty jsou vybírány na příjmový účet s předčíslím 19.</w:t>
      </w:r>
    </w:p>
    <w:p w14:paraId="1164A3BF" w14:textId="77777777" w:rsidR="000F414D" w:rsidRPr="002D09B3" w:rsidRDefault="000F414D" w:rsidP="000F414D">
      <w:pPr>
        <w:pStyle w:val="KOMtext"/>
      </w:pPr>
      <w:r w:rsidRPr="002D09B3">
        <w:t xml:space="preserve">Správní poplatky a pokuty vybíraly ústřední orgán Ministerstva dopravy a organizační složky státu, které jsou ze zákona orgány státní správy, tj. Drážní úřad, Úřad pro civilní letectví a Státní plavební správa. </w:t>
      </w:r>
    </w:p>
    <w:bookmarkEnd w:id="30"/>
    <w:p w14:paraId="5CEA8571" w14:textId="77777777" w:rsidR="000F414D" w:rsidRPr="008671A2" w:rsidRDefault="000F414D" w:rsidP="004359C1">
      <w:pPr>
        <w:pStyle w:val="Nadpis6"/>
      </w:pPr>
      <w:r w:rsidRPr="008671A2">
        <w:t>Správní poplatky</w:t>
      </w:r>
    </w:p>
    <w:tbl>
      <w:tblPr>
        <w:tblW w:w="4779" w:type="pct"/>
        <w:tblCellMar>
          <w:left w:w="70" w:type="dxa"/>
          <w:right w:w="70" w:type="dxa"/>
        </w:tblCellMar>
        <w:tblLook w:val="04A0" w:firstRow="1" w:lastRow="0" w:firstColumn="1" w:lastColumn="0" w:noHBand="0" w:noVBand="1"/>
      </w:tblPr>
      <w:tblGrid>
        <w:gridCol w:w="6305"/>
        <w:gridCol w:w="1252"/>
        <w:gridCol w:w="1251"/>
      </w:tblGrid>
      <w:tr w:rsidR="000F414D" w:rsidRPr="000D77C8" w14:paraId="3455245B" w14:textId="77777777" w:rsidTr="00D71675">
        <w:tc>
          <w:tcPr>
            <w:tcW w:w="3579" w:type="pct"/>
            <w:hideMark/>
          </w:tcPr>
          <w:p w14:paraId="2C0E1C97" w14:textId="77777777" w:rsidR="000F414D" w:rsidRPr="002D09B3" w:rsidRDefault="000F414D" w:rsidP="00D71675">
            <w:pPr>
              <w:spacing w:after="120"/>
              <w:ind w:left="-68"/>
              <w:jc w:val="both"/>
              <w:rPr>
                <w:b/>
              </w:rPr>
            </w:pPr>
            <w:r w:rsidRPr="002D09B3">
              <w:rPr>
                <w:b/>
              </w:rPr>
              <w:t>Z celkově předepsané částky k 31.</w:t>
            </w:r>
            <w:r>
              <w:rPr>
                <w:b/>
              </w:rPr>
              <w:t xml:space="preserve"> </w:t>
            </w:r>
            <w:r w:rsidRPr="002D09B3">
              <w:rPr>
                <w:b/>
              </w:rPr>
              <w:t>12. 2019</w:t>
            </w:r>
          </w:p>
        </w:tc>
        <w:tc>
          <w:tcPr>
            <w:tcW w:w="711" w:type="pct"/>
          </w:tcPr>
          <w:p w14:paraId="346B8CD8" w14:textId="77777777" w:rsidR="000F414D" w:rsidRPr="00DB28B5" w:rsidRDefault="000F414D" w:rsidP="00D71675">
            <w:pPr>
              <w:jc w:val="right"/>
              <w:rPr>
                <w:b/>
              </w:rPr>
            </w:pPr>
            <w:r w:rsidRPr="00DB28B5">
              <w:rPr>
                <w:b/>
              </w:rPr>
              <w:t>198 098</w:t>
            </w:r>
          </w:p>
        </w:tc>
        <w:tc>
          <w:tcPr>
            <w:tcW w:w="710" w:type="pct"/>
          </w:tcPr>
          <w:p w14:paraId="1D0718F5" w14:textId="77777777" w:rsidR="000F414D" w:rsidRPr="00DB28B5" w:rsidRDefault="000F414D" w:rsidP="00D71675">
            <w:pPr>
              <w:rPr>
                <w:b/>
              </w:rPr>
            </w:pPr>
            <w:r w:rsidRPr="00DB28B5">
              <w:rPr>
                <w:b/>
              </w:rPr>
              <w:t>tis. Kč</w:t>
            </w:r>
          </w:p>
        </w:tc>
      </w:tr>
      <w:tr w:rsidR="000F414D" w:rsidRPr="000D77C8" w14:paraId="5549FA57" w14:textId="77777777" w:rsidTr="00D71675">
        <w:tc>
          <w:tcPr>
            <w:tcW w:w="3579" w:type="pct"/>
            <w:hideMark/>
          </w:tcPr>
          <w:p w14:paraId="4160771F" w14:textId="77777777" w:rsidR="000F414D" w:rsidRPr="002D09B3" w:rsidRDefault="000F414D" w:rsidP="00D71675">
            <w:pPr>
              <w:spacing w:after="120"/>
              <w:ind w:left="-68"/>
              <w:jc w:val="both"/>
            </w:pPr>
            <w:r w:rsidRPr="002D09B3">
              <w:t>Bylo uhrazeno</w:t>
            </w:r>
          </w:p>
        </w:tc>
        <w:tc>
          <w:tcPr>
            <w:tcW w:w="711" w:type="pct"/>
          </w:tcPr>
          <w:p w14:paraId="2CC6C5B7" w14:textId="77777777" w:rsidR="000F414D" w:rsidRPr="00DB28B5" w:rsidRDefault="000F414D" w:rsidP="00D71675">
            <w:pPr>
              <w:jc w:val="right"/>
            </w:pPr>
            <w:r w:rsidRPr="00DB28B5">
              <w:t>199 922</w:t>
            </w:r>
          </w:p>
        </w:tc>
        <w:tc>
          <w:tcPr>
            <w:tcW w:w="710" w:type="pct"/>
          </w:tcPr>
          <w:p w14:paraId="609BD512" w14:textId="77777777" w:rsidR="000F414D" w:rsidRPr="00DB28B5" w:rsidRDefault="000F414D" w:rsidP="00D71675">
            <w:r w:rsidRPr="00DB28B5">
              <w:t>tis. Kč</w:t>
            </w:r>
          </w:p>
        </w:tc>
      </w:tr>
      <w:tr w:rsidR="000F414D" w:rsidRPr="000D77C8" w14:paraId="6F82ACB9" w14:textId="77777777" w:rsidTr="00D71675">
        <w:tc>
          <w:tcPr>
            <w:tcW w:w="3579" w:type="pct"/>
            <w:hideMark/>
          </w:tcPr>
          <w:p w14:paraId="1215BD8A" w14:textId="77777777" w:rsidR="000F414D" w:rsidRPr="002D09B3" w:rsidRDefault="000F414D" w:rsidP="00D71675">
            <w:pPr>
              <w:spacing w:after="120"/>
              <w:ind w:left="-68"/>
              <w:jc w:val="both"/>
            </w:pPr>
            <w:r w:rsidRPr="002D09B3">
              <w:t xml:space="preserve">            z toho: přeplatky </w:t>
            </w:r>
          </w:p>
        </w:tc>
        <w:tc>
          <w:tcPr>
            <w:tcW w:w="711" w:type="pct"/>
          </w:tcPr>
          <w:p w14:paraId="67151A1E" w14:textId="77777777" w:rsidR="000F414D" w:rsidRPr="00DB28B5" w:rsidRDefault="000F414D" w:rsidP="00D71675">
            <w:pPr>
              <w:jc w:val="right"/>
            </w:pPr>
            <w:r w:rsidRPr="00DB28B5">
              <w:t>1 824</w:t>
            </w:r>
          </w:p>
        </w:tc>
        <w:tc>
          <w:tcPr>
            <w:tcW w:w="710" w:type="pct"/>
          </w:tcPr>
          <w:p w14:paraId="2F97D993" w14:textId="77777777" w:rsidR="000F414D" w:rsidRPr="00DB28B5" w:rsidRDefault="000F414D" w:rsidP="00D71675">
            <w:r w:rsidRPr="00DB28B5">
              <w:t>tis. Kč</w:t>
            </w:r>
          </w:p>
        </w:tc>
      </w:tr>
      <w:tr w:rsidR="000F414D" w:rsidRPr="000D77C8" w14:paraId="1C99B259" w14:textId="77777777" w:rsidTr="00D71675">
        <w:tc>
          <w:tcPr>
            <w:tcW w:w="3579" w:type="pct"/>
            <w:hideMark/>
          </w:tcPr>
          <w:p w14:paraId="03292AA0" w14:textId="77777777" w:rsidR="000F414D" w:rsidRPr="002D09B3" w:rsidRDefault="000F414D" w:rsidP="00D71675">
            <w:pPr>
              <w:spacing w:after="120"/>
              <w:ind w:left="-68"/>
              <w:jc w:val="both"/>
              <w:rPr>
                <w:b/>
              </w:rPr>
            </w:pPr>
            <w:r w:rsidRPr="002D09B3">
              <w:rPr>
                <w:b/>
              </w:rPr>
              <w:t>v tom</w:t>
            </w:r>
            <w:r w:rsidRPr="002D09B3">
              <w:t>: na zvláštní příjmový účet 3711</w:t>
            </w:r>
            <w:r w:rsidRPr="002D09B3">
              <w:rPr>
                <w:b/>
              </w:rPr>
              <w:t xml:space="preserve">  </w:t>
            </w:r>
          </w:p>
        </w:tc>
        <w:tc>
          <w:tcPr>
            <w:tcW w:w="711" w:type="pct"/>
          </w:tcPr>
          <w:p w14:paraId="5D54E183" w14:textId="77777777" w:rsidR="000F414D" w:rsidRPr="00DB28B5" w:rsidRDefault="000F414D" w:rsidP="00D71675">
            <w:pPr>
              <w:jc w:val="right"/>
            </w:pPr>
            <w:r w:rsidRPr="00DB28B5">
              <w:t>191 930</w:t>
            </w:r>
          </w:p>
        </w:tc>
        <w:tc>
          <w:tcPr>
            <w:tcW w:w="710" w:type="pct"/>
          </w:tcPr>
          <w:p w14:paraId="1C5C50EF" w14:textId="77777777" w:rsidR="000F414D" w:rsidRPr="00DB28B5" w:rsidRDefault="000F414D" w:rsidP="00D71675">
            <w:r w:rsidRPr="00DB28B5">
              <w:t>tis. Kč</w:t>
            </w:r>
          </w:p>
        </w:tc>
      </w:tr>
      <w:tr w:rsidR="000F414D" w:rsidRPr="000D77C8" w14:paraId="0E72B788" w14:textId="77777777" w:rsidTr="00D71675">
        <w:tc>
          <w:tcPr>
            <w:tcW w:w="3579" w:type="pct"/>
            <w:hideMark/>
          </w:tcPr>
          <w:p w14:paraId="4F5BCBC9" w14:textId="77777777" w:rsidR="000F414D" w:rsidRPr="002D09B3" w:rsidRDefault="000F414D" w:rsidP="00D71675">
            <w:pPr>
              <w:spacing w:after="120"/>
              <w:ind w:left="-68"/>
              <w:jc w:val="both"/>
            </w:pPr>
            <w:r w:rsidRPr="002D09B3">
              <w:t xml:space="preserve">           </w:t>
            </w:r>
            <w:r w:rsidR="003E46B3" w:rsidRPr="002D09B3">
              <w:t>K</w:t>
            </w:r>
            <w:r w:rsidRPr="002D09B3">
              <w:t>olkem</w:t>
            </w:r>
          </w:p>
        </w:tc>
        <w:tc>
          <w:tcPr>
            <w:tcW w:w="711" w:type="pct"/>
          </w:tcPr>
          <w:p w14:paraId="0FA5B47D" w14:textId="77777777" w:rsidR="000F414D" w:rsidRPr="00DB28B5" w:rsidRDefault="000F414D" w:rsidP="00D71675">
            <w:pPr>
              <w:jc w:val="right"/>
            </w:pPr>
            <w:r w:rsidRPr="00DB28B5">
              <w:t>7 992</w:t>
            </w:r>
          </w:p>
        </w:tc>
        <w:tc>
          <w:tcPr>
            <w:tcW w:w="710" w:type="pct"/>
          </w:tcPr>
          <w:p w14:paraId="6309EA69" w14:textId="77777777" w:rsidR="000F414D" w:rsidRPr="00DB28B5" w:rsidRDefault="000F414D" w:rsidP="00D71675">
            <w:r w:rsidRPr="00DB28B5">
              <w:t>tis. Kč</w:t>
            </w:r>
          </w:p>
        </w:tc>
      </w:tr>
      <w:tr w:rsidR="000F414D" w:rsidRPr="000D77C8" w14:paraId="0B0AF5DC" w14:textId="77777777" w:rsidTr="00D71675">
        <w:tc>
          <w:tcPr>
            <w:tcW w:w="3579" w:type="pct"/>
            <w:hideMark/>
          </w:tcPr>
          <w:p w14:paraId="61F799C5" w14:textId="77777777" w:rsidR="000F414D" w:rsidRPr="002D09B3" w:rsidRDefault="000F414D" w:rsidP="00D71675">
            <w:pPr>
              <w:spacing w:after="120"/>
              <w:ind w:left="-68"/>
              <w:jc w:val="both"/>
            </w:pPr>
            <w:r w:rsidRPr="002D09B3">
              <w:t xml:space="preserve">           jinak (pokladna, FÚ)</w:t>
            </w:r>
          </w:p>
        </w:tc>
        <w:tc>
          <w:tcPr>
            <w:tcW w:w="711" w:type="pct"/>
          </w:tcPr>
          <w:p w14:paraId="72D311B3" w14:textId="77777777" w:rsidR="000F414D" w:rsidRPr="00DB28B5" w:rsidRDefault="000F414D" w:rsidP="00D71675">
            <w:pPr>
              <w:jc w:val="right"/>
            </w:pPr>
            <w:r w:rsidRPr="00DB28B5">
              <w:t>0</w:t>
            </w:r>
          </w:p>
        </w:tc>
        <w:tc>
          <w:tcPr>
            <w:tcW w:w="710" w:type="pct"/>
          </w:tcPr>
          <w:p w14:paraId="265AF8E3" w14:textId="77777777" w:rsidR="000F414D" w:rsidRPr="00DB28B5" w:rsidRDefault="000F414D" w:rsidP="00D71675">
            <w:r w:rsidRPr="00DB28B5">
              <w:t>tis. Kč</w:t>
            </w:r>
          </w:p>
        </w:tc>
      </w:tr>
      <w:tr w:rsidR="000F414D" w:rsidRPr="000D77C8" w14:paraId="265BBA2A" w14:textId="77777777" w:rsidTr="00D71675">
        <w:tc>
          <w:tcPr>
            <w:tcW w:w="3579" w:type="pct"/>
            <w:hideMark/>
          </w:tcPr>
          <w:p w14:paraId="3E86A0C9" w14:textId="77777777" w:rsidR="000F414D" w:rsidRPr="000D77C8" w:rsidRDefault="000F414D" w:rsidP="00D71675">
            <w:pPr>
              <w:spacing w:after="120"/>
              <w:ind w:left="-68"/>
              <w:jc w:val="both"/>
              <w:rPr>
                <w:b/>
                <w:color w:val="FF0000"/>
              </w:rPr>
            </w:pPr>
            <w:r w:rsidRPr="00DB28B5">
              <w:rPr>
                <w:b/>
              </w:rPr>
              <w:t>Neuhrazeno z předpisu 2019 zůstalo</w:t>
            </w:r>
          </w:p>
        </w:tc>
        <w:tc>
          <w:tcPr>
            <w:tcW w:w="711" w:type="pct"/>
          </w:tcPr>
          <w:p w14:paraId="4DD30AC6" w14:textId="77777777" w:rsidR="000F414D" w:rsidRPr="00DB28B5" w:rsidRDefault="000F414D" w:rsidP="00D71675">
            <w:pPr>
              <w:jc w:val="right"/>
              <w:rPr>
                <w:b/>
              </w:rPr>
            </w:pPr>
            <w:r w:rsidRPr="00DB28B5">
              <w:rPr>
                <w:b/>
              </w:rPr>
              <w:t>0</w:t>
            </w:r>
          </w:p>
        </w:tc>
        <w:tc>
          <w:tcPr>
            <w:tcW w:w="710" w:type="pct"/>
          </w:tcPr>
          <w:p w14:paraId="345119E8" w14:textId="77777777" w:rsidR="000F414D" w:rsidRPr="00DB28B5" w:rsidRDefault="000F414D" w:rsidP="00D71675">
            <w:pPr>
              <w:rPr>
                <w:b/>
              </w:rPr>
            </w:pPr>
            <w:r w:rsidRPr="00DB28B5">
              <w:rPr>
                <w:b/>
              </w:rPr>
              <w:t>tis. Kč</w:t>
            </w:r>
          </w:p>
        </w:tc>
      </w:tr>
      <w:tr w:rsidR="000F414D" w:rsidRPr="00A04AF0" w14:paraId="20B218B2" w14:textId="77777777" w:rsidTr="00D71675">
        <w:tc>
          <w:tcPr>
            <w:tcW w:w="3579" w:type="pct"/>
            <w:hideMark/>
          </w:tcPr>
          <w:p w14:paraId="2801B1C7" w14:textId="77777777" w:rsidR="000F414D" w:rsidRPr="000D77C8" w:rsidRDefault="000F414D" w:rsidP="00D71675">
            <w:pPr>
              <w:spacing w:after="120"/>
              <w:ind w:left="-68"/>
              <w:jc w:val="both"/>
              <w:rPr>
                <w:b/>
                <w:color w:val="FF0000"/>
              </w:rPr>
            </w:pPr>
            <w:r w:rsidRPr="00DB28B5">
              <w:rPr>
                <w:b/>
              </w:rPr>
              <w:t>Stav zvláštního příjmového účtu 3711 k 31. 12. 2019</w:t>
            </w:r>
          </w:p>
        </w:tc>
        <w:tc>
          <w:tcPr>
            <w:tcW w:w="711" w:type="pct"/>
          </w:tcPr>
          <w:p w14:paraId="640DF4EF" w14:textId="77777777" w:rsidR="000F414D" w:rsidRPr="00A04AF0" w:rsidRDefault="000F414D" w:rsidP="00D71675">
            <w:pPr>
              <w:jc w:val="right"/>
              <w:rPr>
                <w:b/>
              </w:rPr>
            </w:pPr>
            <w:r w:rsidRPr="00A04AF0">
              <w:rPr>
                <w:b/>
              </w:rPr>
              <w:t>191 895</w:t>
            </w:r>
          </w:p>
        </w:tc>
        <w:tc>
          <w:tcPr>
            <w:tcW w:w="710" w:type="pct"/>
          </w:tcPr>
          <w:p w14:paraId="067A6645" w14:textId="77777777" w:rsidR="000F414D" w:rsidRPr="00A04AF0" w:rsidRDefault="000F414D" w:rsidP="00D71675">
            <w:pPr>
              <w:rPr>
                <w:b/>
              </w:rPr>
            </w:pPr>
            <w:r w:rsidRPr="00A04AF0">
              <w:rPr>
                <w:b/>
              </w:rPr>
              <w:t>tis. Kč</w:t>
            </w:r>
          </w:p>
        </w:tc>
      </w:tr>
      <w:tr w:rsidR="000F414D" w:rsidRPr="000D77C8" w14:paraId="65BED3C9" w14:textId="77777777" w:rsidTr="00D71675">
        <w:tc>
          <w:tcPr>
            <w:tcW w:w="3579" w:type="pct"/>
            <w:hideMark/>
          </w:tcPr>
          <w:p w14:paraId="6B6A1DE8" w14:textId="77777777" w:rsidR="000F414D" w:rsidRPr="00DB28B5" w:rsidRDefault="000F414D" w:rsidP="00D71675">
            <w:pPr>
              <w:spacing w:after="120"/>
              <w:ind w:left="-68"/>
              <w:jc w:val="both"/>
            </w:pPr>
            <w:r w:rsidRPr="00DB28B5">
              <w:t>v tom: úhrada předpisu 2019</w:t>
            </w:r>
          </w:p>
        </w:tc>
        <w:tc>
          <w:tcPr>
            <w:tcW w:w="711" w:type="pct"/>
          </w:tcPr>
          <w:p w14:paraId="610A44CA" w14:textId="77777777" w:rsidR="000F414D" w:rsidRPr="00A04AF0" w:rsidRDefault="000F414D" w:rsidP="00D71675">
            <w:pPr>
              <w:jc w:val="right"/>
            </w:pPr>
            <w:r w:rsidRPr="00A04AF0">
              <w:t>191 930</w:t>
            </w:r>
          </w:p>
        </w:tc>
        <w:tc>
          <w:tcPr>
            <w:tcW w:w="710" w:type="pct"/>
          </w:tcPr>
          <w:p w14:paraId="61FDEECB" w14:textId="77777777" w:rsidR="000F414D" w:rsidRPr="00A04AF0" w:rsidRDefault="000F414D" w:rsidP="00D71675">
            <w:r w:rsidRPr="00A04AF0">
              <w:t>tis. Kč</w:t>
            </w:r>
          </w:p>
        </w:tc>
      </w:tr>
      <w:tr w:rsidR="000F414D" w:rsidRPr="000D77C8" w14:paraId="19348A59" w14:textId="77777777" w:rsidTr="00D71675">
        <w:tc>
          <w:tcPr>
            <w:tcW w:w="3579" w:type="pct"/>
            <w:hideMark/>
          </w:tcPr>
          <w:p w14:paraId="64CFB164" w14:textId="77777777" w:rsidR="000F414D" w:rsidRPr="00DB28B5" w:rsidRDefault="000F414D" w:rsidP="00D71675">
            <w:pPr>
              <w:spacing w:after="120"/>
              <w:ind w:left="-68"/>
              <w:jc w:val="both"/>
            </w:pPr>
            <w:r w:rsidRPr="00DB28B5">
              <w:t xml:space="preserve">           úhrada nedoplatku z minulých let</w:t>
            </w:r>
          </w:p>
        </w:tc>
        <w:tc>
          <w:tcPr>
            <w:tcW w:w="711" w:type="pct"/>
          </w:tcPr>
          <w:p w14:paraId="0ED52E56" w14:textId="77777777" w:rsidR="000F414D" w:rsidRPr="00A04AF0" w:rsidRDefault="000F414D" w:rsidP="00D71675">
            <w:pPr>
              <w:jc w:val="right"/>
            </w:pPr>
            <w:r w:rsidRPr="00A04AF0">
              <w:t>0</w:t>
            </w:r>
          </w:p>
        </w:tc>
        <w:tc>
          <w:tcPr>
            <w:tcW w:w="710" w:type="pct"/>
          </w:tcPr>
          <w:p w14:paraId="235F4707" w14:textId="77777777" w:rsidR="000F414D" w:rsidRPr="00A04AF0" w:rsidRDefault="000F414D" w:rsidP="00D71675">
            <w:r w:rsidRPr="00A04AF0">
              <w:t>tis. Kč</w:t>
            </w:r>
          </w:p>
        </w:tc>
      </w:tr>
      <w:tr w:rsidR="000F414D" w:rsidRPr="000D77C8" w14:paraId="77A13E75" w14:textId="77777777" w:rsidTr="00D71675">
        <w:tc>
          <w:tcPr>
            <w:tcW w:w="3579" w:type="pct"/>
            <w:hideMark/>
          </w:tcPr>
          <w:p w14:paraId="0FAC31A8" w14:textId="77777777" w:rsidR="000F414D" w:rsidRPr="00DB28B5" w:rsidRDefault="000F414D" w:rsidP="00D71675">
            <w:pPr>
              <w:spacing w:after="120"/>
              <w:ind w:left="-68"/>
              <w:jc w:val="both"/>
            </w:pPr>
            <w:r w:rsidRPr="00DB28B5">
              <w:t xml:space="preserve">           vratky plateb minulých let </w:t>
            </w:r>
          </w:p>
        </w:tc>
        <w:tc>
          <w:tcPr>
            <w:tcW w:w="711" w:type="pct"/>
          </w:tcPr>
          <w:p w14:paraId="5BF9ABC8" w14:textId="77777777" w:rsidR="000F414D" w:rsidRPr="00A04AF0" w:rsidRDefault="000F414D" w:rsidP="00D71675">
            <w:pPr>
              <w:jc w:val="right"/>
            </w:pPr>
            <w:r w:rsidRPr="00A04AF0">
              <w:t>-35</w:t>
            </w:r>
          </w:p>
        </w:tc>
        <w:tc>
          <w:tcPr>
            <w:tcW w:w="710" w:type="pct"/>
          </w:tcPr>
          <w:p w14:paraId="144008E0" w14:textId="77777777" w:rsidR="000F414D" w:rsidRPr="00A04AF0" w:rsidRDefault="000F414D" w:rsidP="00D71675">
            <w:r w:rsidRPr="00A04AF0">
              <w:t>tis. Kč</w:t>
            </w:r>
          </w:p>
        </w:tc>
      </w:tr>
      <w:tr w:rsidR="000F414D" w:rsidRPr="000D77C8" w14:paraId="2024A027" w14:textId="77777777" w:rsidTr="00D71675">
        <w:tc>
          <w:tcPr>
            <w:tcW w:w="3579" w:type="pct"/>
            <w:hideMark/>
          </w:tcPr>
          <w:p w14:paraId="7FE5FA79" w14:textId="77777777" w:rsidR="000F414D" w:rsidRPr="00DB28B5" w:rsidRDefault="000F414D" w:rsidP="00D71675">
            <w:pPr>
              <w:spacing w:after="120"/>
              <w:ind w:left="-68"/>
              <w:jc w:val="both"/>
            </w:pPr>
            <w:r w:rsidRPr="00DB28B5">
              <w:t xml:space="preserve">           mylné platby 2019 </w:t>
            </w:r>
          </w:p>
        </w:tc>
        <w:tc>
          <w:tcPr>
            <w:tcW w:w="711" w:type="pct"/>
          </w:tcPr>
          <w:p w14:paraId="34C6EA6B" w14:textId="77777777" w:rsidR="000F414D" w:rsidRPr="00A04AF0" w:rsidRDefault="000F414D" w:rsidP="00D71675">
            <w:pPr>
              <w:jc w:val="right"/>
            </w:pPr>
            <w:r w:rsidRPr="00A04AF0">
              <w:t>0</w:t>
            </w:r>
          </w:p>
        </w:tc>
        <w:tc>
          <w:tcPr>
            <w:tcW w:w="710" w:type="pct"/>
          </w:tcPr>
          <w:p w14:paraId="4E1BEB74" w14:textId="77777777" w:rsidR="000F414D" w:rsidRPr="00A04AF0" w:rsidRDefault="000F414D" w:rsidP="00D71675">
            <w:r w:rsidRPr="00A04AF0">
              <w:t>tis. Kč</w:t>
            </w:r>
          </w:p>
        </w:tc>
      </w:tr>
      <w:tr w:rsidR="000F414D" w:rsidRPr="000D77C8" w14:paraId="46CBDF14" w14:textId="77777777" w:rsidTr="00D71675">
        <w:tc>
          <w:tcPr>
            <w:tcW w:w="3579" w:type="pct"/>
            <w:hideMark/>
          </w:tcPr>
          <w:p w14:paraId="3820B7EF" w14:textId="77777777" w:rsidR="000F414D" w:rsidRPr="00DB28B5" w:rsidRDefault="000F414D" w:rsidP="00D71675">
            <w:pPr>
              <w:spacing w:after="120"/>
              <w:ind w:left="-68"/>
              <w:jc w:val="both"/>
            </w:pPr>
            <w:r w:rsidRPr="00DB28B5">
              <w:t xml:space="preserve">           kurzovní rozdíl</w:t>
            </w:r>
          </w:p>
        </w:tc>
        <w:tc>
          <w:tcPr>
            <w:tcW w:w="711" w:type="pct"/>
          </w:tcPr>
          <w:p w14:paraId="5A3D1567" w14:textId="77777777" w:rsidR="000F414D" w:rsidRPr="00A04AF0" w:rsidRDefault="000F414D" w:rsidP="00D71675">
            <w:pPr>
              <w:jc w:val="right"/>
            </w:pPr>
            <w:r w:rsidRPr="00A04AF0">
              <w:t>1</w:t>
            </w:r>
          </w:p>
        </w:tc>
        <w:tc>
          <w:tcPr>
            <w:tcW w:w="710" w:type="pct"/>
          </w:tcPr>
          <w:p w14:paraId="746AF87E" w14:textId="77777777" w:rsidR="000F414D" w:rsidRPr="00A04AF0" w:rsidRDefault="000F414D" w:rsidP="00D71675">
            <w:r w:rsidRPr="00A04AF0">
              <w:t>tis. Kč</w:t>
            </w:r>
          </w:p>
        </w:tc>
      </w:tr>
    </w:tbl>
    <w:p w14:paraId="1639CBEC" w14:textId="77777777" w:rsidR="000F414D" w:rsidRPr="00DB28B5" w:rsidRDefault="000F414D" w:rsidP="000F414D">
      <w:pPr>
        <w:pStyle w:val="KOMtext"/>
      </w:pPr>
      <w:r w:rsidRPr="00DB28B5">
        <w:t>Celkové nedoplatky k 31. 12. 2019 nejsou evidovány.</w:t>
      </w:r>
    </w:p>
    <w:p w14:paraId="4250E56A" w14:textId="77777777" w:rsidR="009A0297" w:rsidRPr="001D78A3" w:rsidRDefault="009A0297" w:rsidP="001D78A3">
      <w:pPr>
        <w:pStyle w:val="KOMtext"/>
      </w:pPr>
      <w:r w:rsidRPr="001D78A3">
        <w:t>Celkové přeplatky vzniklé na příjmovém</w:t>
      </w:r>
      <w:r w:rsidR="001D78A3">
        <w:t xml:space="preserve"> účtu 3711 dosahují k </w:t>
      </w:r>
      <w:r w:rsidR="001E7B97">
        <w:t>31. 12. 2019</w:t>
      </w:r>
      <w:r w:rsidRPr="001D78A3">
        <w:t xml:space="preserve"> </w:t>
      </w:r>
      <w:r w:rsidR="001D78A3" w:rsidRPr="001D78A3">
        <w:t>částky 4 374</w:t>
      </w:r>
      <w:r w:rsidRPr="001D78A3">
        <w:t xml:space="preserve"> tis. Kč, z toho </w:t>
      </w:r>
      <w:r w:rsidR="001D78A3" w:rsidRPr="001D78A3">
        <w:t>2 549</w:t>
      </w:r>
      <w:r w:rsidRPr="001D78A3">
        <w:t xml:space="preserve"> tis. Kč tvoří přeplatky z roku </w:t>
      </w:r>
      <w:r w:rsidR="001D78A3" w:rsidRPr="001D78A3">
        <w:t>2018</w:t>
      </w:r>
      <w:r w:rsidR="00521074" w:rsidRPr="001D78A3">
        <w:t xml:space="preserve"> a předchozích let</w:t>
      </w:r>
      <w:r w:rsidRPr="001D78A3">
        <w:t xml:space="preserve">, které vznikly u Úřadu pro civilní letectví a </w:t>
      </w:r>
      <w:r w:rsidR="001D78A3" w:rsidRPr="001D78A3">
        <w:t>1 824</w:t>
      </w:r>
      <w:r w:rsidRPr="001D78A3">
        <w:t xml:space="preserve"> tis. Kč jsou přeplatky, které vznikly u Úřadu p</w:t>
      </w:r>
      <w:r w:rsidR="004359C1">
        <w:t xml:space="preserve">ro civilní </w:t>
      </w:r>
      <w:r w:rsidR="001D78A3">
        <w:t>letectví </w:t>
      </w:r>
      <w:r w:rsidR="00774777">
        <w:br/>
      </w:r>
      <w:r w:rsidR="001D78A3">
        <w:t>k </w:t>
      </w:r>
      <w:r w:rsidR="001E7B97">
        <w:t>31. 12. 2019</w:t>
      </w:r>
      <w:r w:rsidRPr="001D78A3">
        <w:t>.</w:t>
      </w:r>
    </w:p>
    <w:p w14:paraId="347DF4B1" w14:textId="33CAE4FC" w:rsidR="00827D3E" w:rsidRPr="008671A2" w:rsidRDefault="00AE353C" w:rsidP="00AE353C">
      <w:pPr>
        <w:pStyle w:val="Titulek"/>
      </w:pPr>
      <w:bookmarkStart w:id="32" w:name="_Toc508879835"/>
      <w:bookmarkStart w:id="33" w:name="_Toc508880111"/>
      <w:bookmarkStart w:id="34" w:name="_Toc34288671"/>
      <w:r w:rsidRPr="008671A2">
        <w:lastRenderedPageBreak/>
        <w:t xml:space="preserve">Graf č. </w:t>
      </w:r>
      <w:r w:rsidR="00A65941" w:rsidRPr="008671A2">
        <w:rPr>
          <w:noProof/>
        </w:rPr>
        <w:fldChar w:fldCharType="begin"/>
      </w:r>
      <w:r w:rsidR="00A65941" w:rsidRPr="008671A2">
        <w:rPr>
          <w:noProof/>
        </w:rPr>
        <w:instrText xml:space="preserve"> SEQ Graf_č. \* ARABIC </w:instrText>
      </w:r>
      <w:r w:rsidR="00A65941" w:rsidRPr="008671A2">
        <w:rPr>
          <w:noProof/>
        </w:rPr>
        <w:fldChar w:fldCharType="separate"/>
      </w:r>
      <w:r w:rsidR="00DF450F">
        <w:rPr>
          <w:noProof/>
        </w:rPr>
        <w:t>4</w:t>
      </w:r>
      <w:r w:rsidR="00A65941" w:rsidRPr="008671A2">
        <w:rPr>
          <w:noProof/>
        </w:rPr>
        <w:fldChar w:fldCharType="end"/>
      </w:r>
      <w:r w:rsidR="00827D3E" w:rsidRPr="008671A2">
        <w:t xml:space="preserve">: </w:t>
      </w:r>
      <w:r w:rsidR="00CB0887" w:rsidRPr="008671A2">
        <w:t xml:space="preserve"> </w:t>
      </w:r>
      <w:r w:rsidR="00827D3E" w:rsidRPr="008671A2">
        <w:t>Správní poplatky (v tis. Kč)</w:t>
      </w:r>
      <w:bookmarkEnd w:id="32"/>
      <w:bookmarkEnd w:id="33"/>
      <w:bookmarkEnd w:id="34"/>
    </w:p>
    <w:p w14:paraId="5F20F454" w14:textId="77777777" w:rsidR="00895488" w:rsidRPr="004B11AC" w:rsidRDefault="00704AE6" w:rsidP="000A6D37">
      <w:pPr>
        <w:spacing w:after="240"/>
        <w:rPr>
          <w:color w:val="FF0000"/>
        </w:rPr>
      </w:pPr>
      <w:r w:rsidRPr="004B11AC">
        <w:rPr>
          <w:noProof/>
          <w:color w:val="FF0000"/>
        </w:rPr>
        <w:drawing>
          <wp:inline distT="0" distB="0" distL="0" distR="0" wp14:anchorId="01A1C381" wp14:editId="35D5E483">
            <wp:extent cx="5720080" cy="2463800"/>
            <wp:effectExtent l="0" t="0" r="0" b="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E4A260B" w14:textId="77777777" w:rsidR="009A0297" w:rsidRPr="004B11AC" w:rsidRDefault="00A03CAD" w:rsidP="004359C1">
      <w:pPr>
        <w:pStyle w:val="Nadpis6"/>
        <w:rPr>
          <w:color w:val="FF0000"/>
        </w:rPr>
      </w:pPr>
      <w:bookmarkStart w:id="35" w:name="_Toc255297632"/>
      <w:bookmarkEnd w:id="31"/>
      <w:r w:rsidRPr="008671A2">
        <w:t>Pokuty v</w:t>
      </w:r>
      <w:r w:rsidR="006908E3" w:rsidRPr="008671A2">
        <w:t>e</w:t>
      </w:r>
      <w:r w:rsidRPr="008671A2">
        <w:t> </w:t>
      </w:r>
      <w:r w:rsidR="009A0297" w:rsidRPr="008671A2">
        <w:t>správním</w:t>
      </w:r>
      <w:r w:rsidRPr="008671A2">
        <w:t xml:space="preserve"> řízení</w:t>
      </w:r>
      <w:r w:rsidR="009A0297" w:rsidRPr="008671A2">
        <w:t xml:space="preserve">     </w:t>
      </w:r>
    </w:p>
    <w:tbl>
      <w:tblPr>
        <w:tblW w:w="4674" w:type="pct"/>
        <w:tblCellMar>
          <w:left w:w="70" w:type="dxa"/>
          <w:right w:w="70" w:type="dxa"/>
        </w:tblCellMar>
        <w:tblLook w:val="04A0" w:firstRow="1" w:lastRow="0" w:firstColumn="1" w:lastColumn="0" w:noHBand="0" w:noVBand="1"/>
      </w:tblPr>
      <w:tblGrid>
        <w:gridCol w:w="5144"/>
        <w:gridCol w:w="2421"/>
        <w:gridCol w:w="1049"/>
      </w:tblGrid>
      <w:tr w:rsidR="00453D99" w:rsidRPr="000D77C8" w14:paraId="76261512" w14:textId="77777777" w:rsidTr="00D71675">
        <w:tc>
          <w:tcPr>
            <w:tcW w:w="2986" w:type="pct"/>
            <w:hideMark/>
          </w:tcPr>
          <w:p w14:paraId="4DA21A36" w14:textId="77777777" w:rsidR="00453D99" w:rsidRPr="002D09B3" w:rsidRDefault="00453D99" w:rsidP="00D71675">
            <w:pPr>
              <w:spacing w:after="120"/>
              <w:jc w:val="both"/>
              <w:rPr>
                <w:b/>
              </w:rPr>
            </w:pPr>
            <w:bookmarkStart w:id="36" w:name="_Toc508879836"/>
            <w:bookmarkStart w:id="37" w:name="_Toc508880112"/>
            <w:r w:rsidRPr="002D09B3">
              <w:rPr>
                <w:b/>
              </w:rPr>
              <w:t>Z celkově předepsané částky k 31. 12. 2019</w:t>
            </w:r>
          </w:p>
        </w:tc>
        <w:tc>
          <w:tcPr>
            <w:tcW w:w="1405" w:type="pct"/>
            <w:hideMark/>
          </w:tcPr>
          <w:p w14:paraId="5ED45585" w14:textId="77777777" w:rsidR="00453D99" w:rsidRPr="00871540" w:rsidRDefault="00453D99" w:rsidP="00D71675">
            <w:pPr>
              <w:spacing w:after="120"/>
              <w:jc w:val="right"/>
              <w:rPr>
                <w:b/>
              </w:rPr>
            </w:pPr>
            <w:r w:rsidRPr="00871540">
              <w:rPr>
                <w:b/>
              </w:rPr>
              <w:t>1 908</w:t>
            </w:r>
          </w:p>
        </w:tc>
        <w:tc>
          <w:tcPr>
            <w:tcW w:w="609" w:type="pct"/>
            <w:hideMark/>
          </w:tcPr>
          <w:p w14:paraId="12E1A93C" w14:textId="77777777" w:rsidR="00453D99" w:rsidRPr="00871540" w:rsidRDefault="00453D99" w:rsidP="00D71675">
            <w:pPr>
              <w:spacing w:after="120"/>
              <w:rPr>
                <w:b/>
              </w:rPr>
            </w:pPr>
            <w:r w:rsidRPr="00871540">
              <w:rPr>
                <w:b/>
              </w:rPr>
              <w:t>tis. Kč</w:t>
            </w:r>
          </w:p>
        </w:tc>
      </w:tr>
      <w:tr w:rsidR="00453D99" w:rsidRPr="000D77C8" w14:paraId="56A205B9" w14:textId="77777777" w:rsidTr="00D71675">
        <w:tc>
          <w:tcPr>
            <w:tcW w:w="2986" w:type="pct"/>
            <w:hideMark/>
          </w:tcPr>
          <w:p w14:paraId="2E034F2C" w14:textId="77777777" w:rsidR="00453D99" w:rsidRPr="002D09B3" w:rsidRDefault="00453D99" w:rsidP="00D71675">
            <w:pPr>
              <w:spacing w:after="120"/>
              <w:jc w:val="both"/>
              <w:rPr>
                <w:b/>
              </w:rPr>
            </w:pPr>
            <w:r w:rsidRPr="002D09B3">
              <w:rPr>
                <w:b/>
              </w:rPr>
              <w:t>Bylo uhrazeno</w:t>
            </w:r>
          </w:p>
        </w:tc>
        <w:tc>
          <w:tcPr>
            <w:tcW w:w="1405" w:type="pct"/>
            <w:hideMark/>
          </w:tcPr>
          <w:p w14:paraId="500119BC" w14:textId="77777777" w:rsidR="00453D99" w:rsidRPr="00871540" w:rsidRDefault="00453D99" w:rsidP="00D71675">
            <w:pPr>
              <w:spacing w:after="120"/>
              <w:jc w:val="right"/>
              <w:rPr>
                <w:b/>
              </w:rPr>
            </w:pPr>
            <w:r w:rsidRPr="00871540">
              <w:rPr>
                <w:b/>
              </w:rPr>
              <w:t>1 626</w:t>
            </w:r>
          </w:p>
        </w:tc>
        <w:tc>
          <w:tcPr>
            <w:tcW w:w="609" w:type="pct"/>
            <w:hideMark/>
          </w:tcPr>
          <w:p w14:paraId="55451777" w14:textId="77777777" w:rsidR="00453D99" w:rsidRPr="00871540" w:rsidRDefault="00453D99" w:rsidP="00D71675">
            <w:pPr>
              <w:spacing w:after="120"/>
              <w:rPr>
                <w:b/>
              </w:rPr>
            </w:pPr>
            <w:r w:rsidRPr="00871540">
              <w:rPr>
                <w:b/>
              </w:rPr>
              <w:t>tis. Kč</w:t>
            </w:r>
          </w:p>
        </w:tc>
      </w:tr>
      <w:tr w:rsidR="00453D99" w:rsidRPr="000D77C8" w14:paraId="077AF9FF" w14:textId="77777777" w:rsidTr="00D71675">
        <w:tc>
          <w:tcPr>
            <w:tcW w:w="2986" w:type="pct"/>
            <w:hideMark/>
          </w:tcPr>
          <w:p w14:paraId="20C26DB7" w14:textId="77777777" w:rsidR="00453D99" w:rsidRPr="002D09B3" w:rsidRDefault="00453D99" w:rsidP="00D71675">
            <w:pPr>
              <w:spacing w:after="120"/>
              <w:jc w:val="both"/>
            </w:pPr>
            <w:r w:rsidRPr="002D09B3">
              <w:tab/>
              <w:t>v tom: na příjmový účet 19</w:t>
            </w:r>
          </w:p>
        </w:tc>
        <w:tc>
          <w:tcPr>
            <w:tcW w:w="1405" w:type="pct"/>
            <w:hideMark/>
          </w:tcPr>
          <w:p w14:paraId="5DF7C159" w14:textId="77777777" w:rsidR="00453D99" w:rsidRPr="00871540" w:rsidRDefault="00453D99" w:rsidP="00D71675">
            <w:pPr>
              <w:spacing w:after="120"/>
              <w:jc w:val="right"/>
            </w:pPr>
            <w:r w:rsidRPr="00871540">
              <w:t>1 546</w:t>
            </w:r>
          </w:p>
        </w:tc>
        <w:tc>
          <w:tcPr>
            <w:tcW w:w="609" w:type="pct"/>
            <w:hideMark/>
          </w:tcPr>
          <w:p w14:paraId="04C15232" w14:textId="77777777" w:rsidR="00453D99" w:rsidRPr="00871540" w:rsidRDefault="00453D99" w:rsidP="00D71675">
            <w:pPr>
              <w:spacing w:after="120"/>
            </w:pPr>
            <w:r w:rsidRPr="00871540">
              <w:t>tis. Kč</w:t>
            </w:r>
          </w:p>
        </w:tc>
      </w:tr>
      <w:tr w:rsidR="00453D99" w:rsidRPr="000D77C8" w14:paraId="4BA8399F" w14:textId="77777777" w:rsidTr="00D71675">
        <w:tc>
          <w:tcPr>
            <w:tcW w:w="2986" w:type="pct"/>
            <w:hideMark/>
          </w:tcPr>
          <w:p w14:paraId="13D55719" w14:textId="77777777" w:rsidR="00453D99" w:rsidRPr="002D09B3" w:rsidRDefault="00453D99" w:rsidP="00D71675">
            <w:pPr>
              <w:spacing w:after="120"/>
              <w:jc w:val="both"/>
            </w:pPr>
            <w:r w:rsidRPr="002D09B3">
              <w:t xml:space="preserve">           blokově</w:t>
            </w:r>
          </w:p>
        </w:tc>
        <w:tc>
          <w:tcPr>
            <w:tcW w:w="1405" w:type="pct"/>
            <w:hideMark/>
          </w:tcPr>
          <w:p w14:paraId="7A7B1B0B" w14:textId="77777777" w:rsidR="00453D99" w:rsidRPr="00871540" w:rsidRDefault="00453D99" w:rsidP="00D71675">
            <w:pPr>
              <w:spacing w:after="120"/>
              <w:jc w:val="right"/>
            </w:pPr>
            <w:r w:rsidRPr="00871540">
              <w:t>80</w:t>
            </w:r>
          </w:p>
        </w:tc>
        <w:tc>
          <w:tcPr>
            <w:tcW w:w="609" w:type="pct"/>
            <w:hideMark/>
          </w:tcPr>
          <w:p w14:paraId="5FC96157" w14:textId="77777777" w:rsidR="00453D99" w:rsidRPr="00871540" w:rsidRDefault="00453D99" w:rsidP="00D71675">
            <w:pPr>
              <w:spacing w:after="120"/>
            </w:pPr>
            <w:r w:rsidRPr="00871540">
              <w:t>tis. Kč</w:t>
            </w:r>
          </w:p>
        </w:tc>
      </w:tr>
      <w:tr w:rsidR="00453D99" w:rsidRPr="000D77C8" w14:paraId="33FF55C0" w14:textId="77777777" w:rsidTr="00D71675">
        <w:tc>
          <w:tcPr>
            <w:tcW w:w="2986" w:type="pct"/>
            <w:hideMark/>
          </w:tcPr>
          <w:p w14:paraId="0FB75BA3" w14:textId="77777777" w:rsidR="00453D99" w:rsidRPr="002D09B3" w:rsidRDefault="00453D99" w:rsidP="00D71675">
            <w:pPr>
              <w:spacing w:after="120"/>
              <w:jc w:val="both"/>
            </w:pPr>
            <w:r w:rsidRPr="002D09B3">
              <w:t xml:space="preserve">Odpis pokut </w:t>
            </w:r>
            <w:r w:rsidR="005A2603">
              <w:t xml:space="preserve">2019 </w:t>
            </w:r>
            <w:r w:rsidRPr="002D09B3">
              <w:t>– předáno FÚ, CÚ</w:t>
            </w:r>
          </w:p>
        </w:tc>
        <w:tc>
          <w:tcPr>
            <w:tcW w:w="1405" w:type="pct"/>
            <w:hideMark/>
          </w:tcPr>
          <w:p w14:paraId="08432BA6" w14:textId="77777777" w:rsidR="00453D99" w:rsidRPr="00871540" w:rsidRDefault="00453D99" w:rsidP="00D71675">
            <w:pPr>
              <w:spacing w:after="120"/>
              <w:jc w:val="right"/>
            </w:pPr>
            <w:r w:rsidRPr="00871540">
              <w:t>81</w:t>
            </w:r>
          </w:p>
        </w:tc>
        <w:tc>
          <w:tcPr>
            <w:tcW w:w="609" w:type="pct"/>
            <w:hideMark/>
          </w:tcPr>
          <w:p w14:paraId="13EE31F6" w14:textId="77777777" w:rsidR="00453D99" w:rsidRPr="00871540" w:rsidRDefault="00453D99" w:rsidP="00D71675">
            <w:pPr>
              <w:spacing w:after="120"/>
            </w:pPr>
            <w:r w:rsidRPr="00871540">
              <w:t>tis. Kč</w:t>
            </w:r>
          </w:p>
        </w:tc>
      </w:tr>
      <w:tr w:rsidR="00453D99" w:rsidRPr="000D77C8" w14:paraId="6DB6F830" w14:textId="77777777" w:rsidTr="00D71675">
        <w:tc>
          <w:tcPr>
            <w:tcW w:w="2986" w:type="pct"/>
            <w:hideMark/>
          </w:tcPr>
          <w:p w14:paraId="6589871B" w14:textId="77777777" w:rsidR="00453D99" w:rsidRPr="002D09B3" w:rsidRDefault="00453D99" w:rsidP="00D71675">
            <w:pPr>
              <w:spacing w:after="120"/>
              <w:jc w:val="both"/>
            </w:pPr>
            <w:r w:rsidRPr="002D09B3">
              <w:t>Neuhrazeno z předpisu 2019 zůstalo</w:t>
            </w:r>
          </w:p>
        </w:tc>
        <w:tc>
          <w:tcPr>
            <w:tcW w:w="1405" w:type="pct"/>
            <w:hideMark/>
          </w:tcPr>
          <w:p w14:paraId="68110746" w14:textId="77777777" w:rsidR="00453D99" w:rsidRPr="00871540" w:rsidRDefault="00453D99" w:rsidP="00D71675">
            <w:pPr>
              <w:spacing w:after="120"/>
              <w:jc w:val="right"/>
            </w:pPr>
            <w:r w:rsidRPr="00871540">
              <w:t>202</w:t>
            </w:r>
          </w:p>
        </w:tc>
        <w:tc>
          <w:tcPr>
            <w:tcW w:w="609" w:type="pct"/>
            <w:hideMark/>
          </w:tcPr>
          <w:p w14:paraId="7050FAEB" w14:textId="77777777" w:rsidR="00453D99" w:rsidRPr="00871540" w:rsidRDefault="00453D99" w:rsidP="00D71675">
            <w:pPr>
              <w:spacing w:after="120"/>
            </w:pPr>
            <w:r w:rsidRPr="00871540">
              <w:t>tis. Kč</w:t>
            </w:r>
          </w:p>
        </w:tc>
      </w:tr>
      <w:tr w:rsidR="00453D99" w:rsidRPr="000D77C8" w14:paraId="0B4CD133" w14:textId="77777777" w:rsidTr="00D71675">
        <w:tc>
          <w:tcPr>
            <w:tcW w:w="2986" w:type="pct"/>
            <w:hideMark/>
          </w:tcPr>
          <w:p w14:paraId="1F5C3C28" w14:textId="77777777" w:rsidR="00453D99" w:rsidRPr="002D09B3" w:rsidRDefault="00453D99" w:rsidP="00D71675">
            <w:pPr>
              <w:spacing w:after="120"/>
              <w:jc w:val="both"/>
              <w:rPr>
                <w:b/>
              </w:rPr>
            </w:pPr>
            <w:r w:rsidRPr="002D09B3">
              <w:rPr>
                <w:b/>
              </w:rPr>
              <w:t>Stav účtu 19 byl k 31. 12. 2019 vykázán ve výši</w:t>
            </w:r>
          </w:p>
        </w:tc>
        <w:tc>
          <w:tcPr>
            <w:tcW w:w="1405" w:type="pct"/>
            <w:hideMark/>
          </w:tcPr>
          <w:p w14:paraId="307C819B" w14:textId="77777777" w:rsidR="00453D99" w:rsidRPr="00871540" w:rsidRDefault="00453D99" w:rsidP="00D71675">
            <w:pPr>
              <w:spacing w:after="120"/>
              <w:jc w:val="right"/>
              <w:rPr>
                <w:b/>
              </w:rPr>
            </w:pPr>
            <w:r w:rsidRPr="00871540">
              <w:rPr>
                <w:b/>
              </w:rPr>
              <w:t>1 552</w:t>
            </w:r>
          </w:p>
        </w:tc>
        <w:tc>
          <w:tcPr>
            <w:tcW w:w="609" w:type="pct"/>
            <w:hideMark/>
          </w:tcPr>
          <w:p w14:paraId="3384DE31" w14:textId="77777777" w:rsidR="00453D99" w:rsidRPr="00871540" w:rsidRDefault="00453D99" w:rsidP="00D71675">
            <w:pPr>
              <w:spacing w:after="120"/>
              <w:rPr>
                <w:b/>
              </w:rPr>
            </w:pPr>
            <w:r w:rsidRPr="00871540">
              <w:rPr>
                <w:b/>
              </w:rPr>
              <w:t>tis. Kč</w:t>
            </w:r>
          </w:p>
        </w:tc>
      </w:tr>
      <w:tr w:rsidR="00453D99" w:rsidRPr="000D77C8" w14:paraId="314AFE02" w14:textId="77777777" w:rsidTr="00D71675">
        <w:tc>
          <w:tcPr>
            <w:tcW w:w="2986" w:type="pct"/>
            <w:hideMark/>
          </w:tcPr>
          <w:p w14:paraId="1D024B60" w14:textId="77777777" w:rsidR="00453D99" w:rsidRPr="002D09B3" w:rsidRDefault="00453D99" w:rsidP="00D71675">
            <w:pPr>
              <w:spacing w:after="120"/>
              <w:jc w:val="both"/>
            </w:pPr>
            <w:r w:rsidRPr="002D09B3">
              <w:t>v tom: úhrada předpisu 2019</w:t>
            </w:r>
          </w:p>
        </w:tc>
        <w:tc>
          <w:tcPr>
            <w:tcW w:w="1405" w:type="pct"/>
            <w:hideMark/>
          </w:tcPr>
          <w:p w14:paraId="7C125E0A" w14:textId="77777777" w:rsidR="00453D99" w:rsidRPr="00871540" w:rsidRDefault="00453D99" w:rsidP="00D71675">
            <w:pPr>
              <w:spacing w:after="120"/>
              <w:jc w:val="right"/>
            </w:pPr>
            <w:r w:rsidRPr="00871540">
              <w:t>1 546</w:t>
            </w:r>
          </w:p>
        </w:tc>
        <w:tc>
          <w:tcPr>
            <w:tcW w:w="609" w:type="pct"/>
            <w:hideMark/>
          </w:tcPr>
          <w:p w14:paraId="67AEA05D" w14:textId="77777777" w:rsidR="00453D99" w:rsidRPr="00871540" w:rsidRDefault="00453D99" w:rsidP="00D71675">
            <w:pPr>
              <w:spacing w:after="120"/>
            </w:pPr>
            <w:r w:rsidRPr="00871540">
              <w:t>tis. Kč</w:t>
            </w:r>
          </w:p>
        </w:tc>
      </w:tr>
      <w:tr w:rsidR="00453D99" w:rsidRPr="000D77C8" w14:paraId="11613EB1" w14:textId="77777777" w:rsidTr="00D71675">
        <w:tc>
          <w:tcPr>
            <w:tcW w:w="2986" w:type="pct"/>
            <w:hideMark/>
          </w:tcPr>
          <w:p w14:paraId="24FF4D9F" w14:textId="77777777" w:rsidR="00453D99" w:rsidRPr="002D09B3" w:rsidRDefault="00453D99" w:rsidP="00D71675">
            <w:pPr>
              <w:spacing w:after="120"/>
              <w:jc w:val="both"/>
            </w:pPr>
            <w:r w:rsidRPr="002D09B3">
              <w:t xml:space="preserve">           úhrada nedoplatku z minulých let</w:t>
            </w:r>
          </w:p>
        </w:tc>
        <w:tc>
          <w:tcPr>
            <w:tcW w:w="1405" w:type="pct"/>
            <w:hideMark/>
          </w:tcPr>
          <w:p w14:paraId="71519DC2" w14:textId="77777777" w:rsidR="00453D99" w:rsidRPr="00871540" w:rsidRDefault="00453D99" w:rsidP="00D71675">
            <w:pPr>
              <w:spacing w:after="120"/>
              <w:jc w:val="right"/>
            </w:pPr>
            <w:r w:rsidRPr="00871540">
              <w:t>6</w:t>
            </w:r>
          </w:p>
        </w:tc>
        <w:tc>
          <w:tcPr>
            <w:tcW w:w="609" w:type="pct"/>
            <w:hideMark/>
          </w:tcPr>
          <w:p w14:paraId="631E02E0" w14:textId="77777777" w:rsidR="00453D99" w:rsidRPr="00871540" w:rsidRDefault="00453D99" w:rsidP="00D71675">
            <w:pPr>
              <w:spacing w:after="120"/>
            </w:pPr>
            <w:r w:rsidRPr="00871540">
              <w:t>tis. Kč</w:t>
            </w:r>
          </w:p>
        </w:tc>
      </w:tr>
      <w:tr w:rsidR="00453D99" w:rsidRPr="000D77C8" w14:paraId="1E9ADB10" w14:textId="77777777" w:rsidTr="00D71675">
        <w:tc>
          <w:tcPr>
            <w:tcW w:w="2986" w:type="pct"/>
            <w:hideMark/>
          </w:tcPr>
          <w:p w14:paraId="5AAED4AE" w14:textId="77777777" w:rsidR="00453D99" w:rsidRPr="002D09B3" w:rsidRDefault="00453D99" w:rsidP="00D71675">
            <w:pPr>
              <w:spacing w:after="120"/>
              <w:jc w:val="both"/>
            </w:pPr>
            <w:r w:rsidRPr="002D09B3">
              <w:t xml:space="preserve">           mylné platby</w:t>
            </w:r>
          </w:p>
        </w:tc>
        <w:tc>
          <w:tcPr>
            <w:tcW w:w="1405" w:type="pct"/>
            <w:hideMark/>
          </w:tcPr>
          <w:p w14:paraId="002202E3" w14:textId="77777777" w:rsidR="00453D99" w:rsidRPr="00871540" w:rsidRDefault="00453D99" w:rsidP="00D71675">
            <w:pPr>
              <w:spacing w:after="120"/>
              <w:jc w:val="right"/>
            </w:pPr>
            <w:r w:rsidRPr="00871540">
              <w:t>0</w:t>
            </w:r>
          </w:p>
        </w:tc>
        <w:tc>
          <w:tcPr>
            <w:tcW w:w="609" w:type="pct"/>
            <w:hideMark/>
          </w:tcPr>
          <w:p w14:paraId="33D5729E" w14:textId="77777777" w:rsidR="00453D99" w:rsidRPr="00871540" w:rsidRDefault="00453D99" w:rsidP="00D71675">
            <w:pPr>
              <w:spacing w:after="120"/>
            </w:pPr>
            <w:r w:rsidRPr="00871540">
              <w:t>tis. Kč</w:t>
            </w:r>
          </w:p>
        </w:tc>
      </w:tr>
      <w:tr w:rsidR="00453D99" w:rsidRPr="000D77C8" w14:paraId="4145EE35" w14:textId="77777777" w:rsidTr="00D71675">
        <w:trPr>
          <w:trHeight w:val="253"/>
        </w:trPr>
        <w:tc>
          <w:tcPr>
            <w:tcW w:w="2986" w:type="pct"/>
            <w:hideMark/>
          </w:tcPr>
          <w:p w14:paraId="35D2B780" w14:textId="77777777" w:rsidR="00453D99" w:rsidRPr="002D09B3" w:rsidRDefault="00453D99" w:rsidP="00D71675">
            <w:pPr>
              <w:spacing w:after="120"/>
              <w:jc w:val="both"/>
            </w:pPr>
            <w:r w:rsidRPr="002D09B3">
              <w:t xml:space="preserve">           vratky plateb minulých let</w:t>
            </w:r>
          </w:p>
        </w:tc>
        <w:tc>
          <w:tcPr>
            <w:tcW w:w="1405" w:type="pct"/>
            <w:hideMark/>
          </w:tcPr>
          <w:p w14:paraId="6FD6764D" w14:textId="77777777" w:rsidR="00453D99" w:rsidRPr="00871540" w:rsidRDefault="00453D99" w:rsidP="00D71675">
            <w:pPr>
              <w:spacing w:after="120"/>
              <w:jc w:val="right"/>
            </w:pPr>
            <w:r w:rsidRPr="00871540">
              <w:t>0</w:t>
            </w:r>
          </w:p>
        </w:tc>
        <w:tc>
          <w:tcPr>
            <w:tcW w:w="609" w:type="pct"/>
            <w:hideMark/>
          </w:tcPr>
          <w:p w14:paraId="118548C8" w14:textId="77777777" w:rsidR="00453D99" w:rsidRPr="00871540" w:rsidRDefault="00453D99" w:rsidP="00D71675">
            <w:pPr>
              <w:spacing w:after="120"/>
            </w:pPr>
            <w:r w:rsidRPr="00871540">
              <w:t>tis. Kč</w:t>
            </w:r>
          </w:p>
        </w:tc>
      </w:tr>
      <w:tr w:rsidR="00453D99" w:rsidRPr="000D77C8" w14:paraId="4A94F0DE" w14:textId="77777777" w:rsidTr="00D71675">
        <w:tc>
          <w:tcPr>
            <w:tcW w:w="2986" w:type="pct"/>
          </w:tcPr>
          <w:p w14:paraId="32D04105" w14:textId="77777777" w:rsidR="00453D99" w:rsidRPr="002D09B3" w:rsidRDefault="00453D99" w:rsidP="00D71675">
            <w:pPr>
              <w:spacing w:after="120"/>
              <w:jc w:val="both"/>
            </w:pPr>
            <w:r w:rsidRPr="002D09B3">
              <w:t xml:space="preserve">           přeplatky</w:t>
            </w:r>
          </w:p>
        </w:tc>
        <w:tc>
          <w:tcPr>
            <w:tcW w:w="1405" w:type="pct"/>
          </w:tcPr>
          <w:p w14:paraId="7A5B2784" w14:textId="77777777" w:rsidR="00453D99" w:rsidRPr="00871540" w:rsidRDefault="00453D99" w:rsidP="00D71675">
            <w:pPr>
              <w:spacing w:after="120"/>
              <w:jc w:val="right"/>
            </w:pPr>
            <w:r w:rsidRPr="00871540">
              <w:t>0</w:t>
            </w:r>
          </w:p>
        </w:tc>
        <w:tc>
          <w:tcPr>
            <w:tcW w:w="609" w:type="pct"/>
          </w:tcPr>
          <w:p w14:paraId="1607F6D4" w14:textId="77777777" w:rsidR="00453D99" w:rsidRPr="00871540" w:rsidRDefault="00453D99" w:rsidP="00D71675">
            <w:pPr>
              <w:spacing w:after="120"/>
            </w:pPr>
            <w:r w:rsidRPr="00871540">
              <w:t>tis. Kč</w:t>
            </w:r>
          </w:p>
        </w:tc>
      </w:tr>
    </w:tbl>
    <w:p w14:paraId="4EE943EC" w14:textId="63ED251F" w:rsidR="00563072" w:rsidRPr="004B11AC" w:rsidRDefault="00563072" w:rsidP="000A6D37">
      <w:pPr>
        <w:pStyle w:val="KOMtext"/>
        <w:spacing w:before="240"/>
        <w:rPr>
          <w:color w:val="FF0000"/>
        </w:rPr>
      </w:pPr>
      <w:r w:rsidRPr="00453D99">
        <w:t>Před</w:t>
      </w:r>
      <w:r w:rsidR="00453D99" w:rsidRPr="00453D99">
        <w:t>epsaná výše pokut k 31. 12. 2019</w:t>
      </w:r>
      <w:r w:rsidRPr="00453D99">
        <w:t xml:space="preserve"> činila celkově</w:t>
      </w:r>
      <w:r w:rsidR="00453D99">
        <w:rPr>
          <w:color w:val="FF0000"/>
        </w:rPr>
        <w:t xml:space="preserve"> </w:t>
      </w:r>
      <w:r w:rsidR="00453D99" w:rsidRPr="00453D99">
        <w:t>1 908</w:t>
      </w:r>
      <w:r w:rsidRPr="00453D99">
        <w:t xml:space="preserve"> tis. Kč. Z této částky bylo uhrazeno </w:t>
      </w:r>
      <w:r w:rsidR="002B49E3" w:rsidRPr="002B49E3">
        <w:t>1 626</w:t>
      </w:r>
      <w:r w:rsidRPr="002B49E3">
        <w:t xml:space="preserve"> tis. Kč, a to především formou převodu na bankovní</w:t>
      </w:r>
      <w:r w:rsidR="004359C1">
        <w:t xml:space="preserve"> účet s předčíslím 19 </w:t>
      </w:r>
      <w:r w:rsidRPr="002B49E3">
        <w:t xml:space="preserve">ve výši </w:t>
      </w:r>
      <w:r w:rsidR="004359C1">
        <w:br/>
      </w:r>
      <w:r w:rsidR="002B49E3" w:rsidRPr="002B49E3">
        <w:t>1 546</w:t>
      </w:r>
      <w:r w:rsidRPr="002B49E3">
        <w:t xml:space="preserve"> tis. Kč a blokovou pokutou </w:t>
      </w:r>
      <w:r w:rsidR="002B49E3" w:rsidRPr="002B49E3">
        <w:t>80</w:t>
      </w:r>
      <w:r w:rsidRPr="002B49E3">
        <w:t xml:space="preserve"> tis. Kč.</w:t>
      </w:r>
      <w:r w:rsidRPr="004B11AC">
        <w:rPr>
          <w:color w:val="FF0000"/>
        </w:rPr>
        <w:t xml:space="preserve"> </w:t>
      </w:r>
      <w:r w:rsidRPr="002B49E3">
        <w:t xml:space="preserve">Rovněž byly odepsány pokuty </w:t>
      </w:r>
      <w:r w:rsidR="00521074" w:rsidRPr="002B49E3">
        <w:t>Drážnímu</w:t>
      </w:r>
      <w:r w:rsidRPr="002B49E3">
        <w:t xml:space="preserve"> úřadu</w:t>
      </w:r>
      <w:r w:rsidR="00521074" w:rsidRPr="002B49E3">
        <w:t xml:space="preserve"> ve výši</w:t>
      </w:r>
      <w:r w:rsidR="002B49E3" w:rsidRPr="002B49E3">
        <w:t xml:space="preserve"> 81</w:t>
      </w:r>
      <w:r w:rsidRPr="002B49E3">
        <w:t xml:space="preserve"> tis. Kč, </w:t>
      </w:r>
      <w:r w:rsidRPr="00211FE8">
        <w:t>které byly</w:t>
      </w:r>
      <w:r w:rsidR="00521074" w:rsidRPr="00211FE8">
        <w:t xml:space="preserve"> předané f</w:t>
      </w:r>
      <w:r w:rsidRPr="00211FE8">
        <w:t xml:space="preserve">inančnímu </w:t>
      </w:r>
      <w:r w:rsidR="00521074" w:rsidRPr="00211FE8">
        <w:t>a c</w:t>
      </w:r>
      <w:r w:rsidRPr="00211FE8">
        <w:t>elnímu úřadu</w:t>
      </w:r>
      <w:r w:rsidRPr="002B49E3">
        <w:t>. Celkový nedoplatek předpisu za rok 201</w:t>
      </w:r>
      <w:r w:rsidR="002B49E3">
        <w:t>9</w:t>
      </w:r>
      <w:r w:rsidR="00521074" w:rsidRPr="002B49E3">
        <w:t xml:space="preserve"> čin</w:t>
      </w:r>
      <w:r w:rsidRPr="002B49E3">
        <w:t>í</w:t>
      </w:r>
      <w:r w:rsidR="002B49E3">
        <w:rPr>
          <w:color w:val="FF0000"/>
        </w:rPr>
        <w:t xml:space="preserve"> </w:t>
      </w:r>
      <w:r w:rsidR="002B49E3" w:rsidRPr="002B49E3">
        <w:t>202</w:t>
      </w:r>
      <w:r w:rsidR="002B49E3">
        <w:t xml:space="preserve"> tis. Kč</w:t>
      </w:r>
      <w:r w:rsidR="000647B4">
        <w:t>,</w:t>
      </w:r>
      <w:r w:rsidR="002B49E3">
        <w:t xml:space="preserve"> a to konkrétně 170 tis. Kč u Úřadu pro</w:t>
      </w:r>
      <w:r w:rsidR="00971647">
        <w:t xml:space="preserve"> civilní letectví, </w:t>
      </w:r>
      <w:r w:rsidR="00971647">
        <w:br/>
        <w:t>29 tis. Kč u Drážního úřadu a 3 tis. Kč u</w:t>
      </w:r>
      <w:r w:rsidR="002B49E3">
        <w:t xml:space="preserve"> Státní plavební správy.</w:t>
      </w:r>
    </w:p>
    <w:p w14:paraId="65DF9551" w14:textId="77777777" w:rsidR="00563072" w:rsidRPr="004B11AC" w:rsidRDefault="00563072" w:rsidP="00563072">
      <w:pPr>
        <w:pStyle w:val="KOMtext"/>
        <w:rPr>
          <w:color w:val="FF0000"/>
        </w:rPr>
      </w:pPr>
      <w:r w:rsidRPr="00C63D67">
        <w:t xml:space="preserve">Z nedoplatku pokut, který přešel z minulých let v celkové výši </w:t>
      </w:r>
      <w:r w:rsidR="00C63D67" w:rsidRPr="00C63D67">
        <w:t>59</w:t>
      </w:r>
      <w:r w:rsidR="00521074" w:rsidRPr="00C63D67">
        <w:t xml:space="preserve"> tis. Kč u</w:t>
      </w:r>
      <w:r w:rsidRPr="00C63D67">
        <w:t xml:space="preserve"> Drážního úřadu,</w:t>
      </w:r>
      <w:r w:rsidRPr="004B11AC">
        <w:rPr>
          <w:color w:val="FF0000"/>
        </w:rPr>
        <w:t xml:space="preserve"> </w:t>
      </w:r>
      <w:r w:rsidRPr="00C63D67">
        <w:t xml:space="preserve">bylo zaplaceno na bankovní účet </w:t>
      </w:r>
      <w:r w:rsidR="00C63D67" w:rsidRPr="00C63D67">
        <w:t>6</w:t>
      </w:r>
      <w:r w:rsidRPr="00C63D67">
        <w:t xml:space="preserve"> tis. Kč a</w:t>
      </w:r>
      <w:r w:rsidR="00C63D67">
        <w:t xml:space="preserve"> zbylé</w:t>
      </w:r>
      <w:r w:rsidRPr="00C63D67">
        <w:t xml:space="preserve"> přestupky v hodnotě </w:t>
      </w:r>
      <w:r w:rsidR="00C63D67" w:rsidRPr="00C63D67">
        <w:t xml:space="preserve">53 </w:t>
      </w:r>
      <w:r w:rsidRPr="00C63D67">
        <w:t>tis. Kč byly odepsány.</w:t>
      </w:r>
    </w:p>
    <w:p w14:paraId="4D70236F" w14:textId="77777777" w:rsidR="00563072" w:rsidRPr="009B0A25" w:rsidRDefault="00563072" w:rsidP="00563072">
      <w:pPr>
        <w:pStyle w:val="KOMtext"/>
      </w:pPr>
      <w:r w:rsidRPr="009B0A25">
        <w:t>Celkový stav nedoplatků pokut k 31.</w:t>
      </w:r>
      <w:r w:rsidR="009B0A25">
        <w:t xml:space="preserve"> 12. 2019</w:t>
      </w:r>
      <w:r w:rsidR="009B0A25" w:rsidRPr="009B0A25">
        <w:t xml:space="preserve"> je evidován ve výši 202</w:t>
      </w:r>
      <w:r w:rsidRPr="009B0A25">
        <w:t xml:space="preserve"> tis. Kč.</w:t>
      </w:r>
    </w:p>
    <w:p w14:paraId="620C3F73" w14:textId="66E9AE2A" w:rsidR="00827D3E" w:rsidRPr="009B0A25" w:rsidRDefault="00AE353C" w:rsidP="00AE353C">
      <w:pPr>
        <w:pStyle w:val="Titulek"/>
      </w:pPr>
      <w:bookmarkStart w:id="38" w:name="_Toc34288672"/>
      <w:r w:rsidRPr="009B0A25">
        <w:lastRenderedPageBreak/>
        <w:t xml:space="preserve">Graf č. </w:t>
      </w:r>
      <w:r w:rsidR="00A65941" w:rsidRPr="009B0A25">
        <w:rPr>
          <w:noProof/>
        </w:rPr>
        <w:fldChar w:fldCharType="begin"/>
      </w:r>
      <w:r w:rsidR="00A65941" w:rsidRPr="009B0A25">
        <w:rPr>
          <w:noProof/>
        </w:rPr>
        <w:instrText xml:space="preserve"> SEQ Graf_č. \* ARABIC </w:instrText>
      </w:r>
      <w:r w:rsidR="00A65941" w:rsidRPr="009B0A25">
        <w:rPr>
          <w:noProof/>
        </w:rPr>
        <w:fldChar w:fldCharType="separate"/>
      </w:r>
      <w:r w:rsidR="00DF450F">
        <w:rPr>
          <w:noProof/>
        </w:rPr>
        <w:t>5</w:t>
      </w:r>
      <w:r w:rsidR="00A65941" w:rsidRPr="009B0A25">
        <w:rPr>
          <w:noProof/>
        </w:rPr>
        <w:fldChar w:fldCharType="end"/>
      </w:r>
      <w:r w:rsidR="00827D3E" w:rsidRPr="009B0A25">
        <w:t xml:space="preserve">: </w:t>
      </w:r>
      <w:r w:rsidR="00CB0887" w:rsidRPr="009B0A25">
        <w:t xml:space="preserve"> </w:t>
      </w:r>
      <w:r w:rsidR="00A03CAD" w:rsidRPr="009B0A25">
        <w:t>Pokuty v</w:t>
      </w:r>
      <w:r w:rsidR="006908E3" w:rsidRPr="009B0A25">
        <w:t>e</w:t>
      </w:r>
      <w:r w:rsidR="00A03CAD" w:rsidRPr="009B0A25">
        <w:t> </w:t>
      </w:r>
      <w:r w:rsidR="00827D3E" w:rsidRPr="009B0A25">
        <w:t>správním</w:t>
      </w:r>
      <w:r w:rsidR="00A03CAD" w:rsidRPr="009B0A25">
        <w:t xml:space="preserve"> řízení</w:t>
      </w:r>
      <w:r w:rsidR="00827D3E" w:rsidRPr="009B0A25">
        <w:t xml:space="preserve"> (v tis. Kč)</w:t>
      </w:r>
      <w:bookmarkEnd w:id="36"/>
      <w:bookmarkEnd w:id="37"/>
      <w:bookmarkEnd w:id="38"/>
    </w:p>
    <w:p w14:paraId="0AEB0EB9" w14:textId="77777777" w:rsidR="008B6A80" w:rsidRPr="004B11AC" w:rsidRDefault="001A7DBE" w:rsidP="00D1290C">
      <w:pPr>
        <w:pStyle w:val="KOMtext"/>
        <w:rPr>
          <w:color w:val="FF0000"/>
        </w:rPr>
      </w:pPr>
      <w:r w:rsidRPr="004B11AC">
        <w:rPr>
          <w:noProof/>
          <w:color w:val="FF0000"/>
        </w:rPr>
        <w:drawing>
          <wp:inline distT="0" distB="0" distL="0" distR="0" wp14:anchorId="69AC355A" wp14:editId="1BE0CE52">
            <wp:extent cx="5881938" cy="2340000"/>
            <wp:effectExtent l="0" t="0" r="5080" b="3175"/>
            <wp:docPr id="7" name="objekt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6A090EB" w14:textId="77777777" w:rsidR="00185BC4" w:rsidRPr="004B11AC" w:rsidRDefault="00185BC4" w:rsidP="004359C1">
      <w:pPr>
        <w:pStyle w:val="Nadpis10"/>
        <w:rPr>
          <w:color w:val="FF0000"/>
        </w:rPr>
      </w:pPr>
      <w:bookmarkStart w:id="39" w:name="_Toc413413652"/>
      <w:bookmarkStart w:id="40" w:name="_Toc508879837"/>
      <w:bookmarkStart w:id="41" w:name="_Toc508880113"/>
      <w:bookmarkStart w:id="42" w:name="_Toc1376805"/>
      <w:bookmarkStart w:id="43" w:name="_Toc34286451"/>
      <w:r w:rsidRPr="00771FD5">
        <w:lastRenderedPageBreak/>
        <w:t>Výdaje kapitoly 327 – MD</w:t>
      </w:r>
      <w:bookmarkEnd w:id="35"/>
      <w:bookmarkEnd w:id="39"/>
      <w:bookmarkEnd w:id="40"/>
      <w:bookmarkEnd w:id="41"/>
      <w:bookmarkEnd w:id="42"/>
      <w:bookmarkEnd w:id="43"/>
    </w:p>
    <w:tbl>
      <w:tblPr>
        <w:tblW w:w="0" w:type="auto"/>
        <w:tblCellMar>
          <w:left w:w="70" w:type="dxa"/>
          <w:right w:w="70" w:type="dxa"/>
        </w:tblCellMar>
        <w:tblLook w:val="04A0" w:firstRow="1" w:lastRow="0" w:firstColumn="1" w:lastColumn="0" w:noHBand="0" w:noVBand="1"/>
      </w:tblPr>
      <w:tblGrid>
        <w:gridCol w:w="3850"/>
        <w:gridCol w:w="1440"/>
        <w:gridCol w:w="720"/>
      </w:tblGrid>
      <w:tr w:rsidR="00771FD5" w:rsidRPr="004B11AC" w14:paraId="0EB340AE" w14:textId="77777777" w:rsidTr="006B4C71">
        <w:tc>
          <w:tcPr>
            <w:tcW w:w="3850" w:type="dxa"/>
            <w:hideMark/>
          </w:tcPr>
          <w:p w14:paraId="08E46CAE" w14:textId="77777777" w:rsidR="00771FD5" w:rsidRPr="00DB7811" w:rsidRDefault="00771FD5" w:rsidP="006B4C71">
            <w:pPr>
              <w:tabs>
                <w:tab w:val="left" w:pos="545"/>
                <w:tab w:val="right" w:pos="3868"/>
              </w:tabs>
              <w:spacing w:after="120"/>
              <w:ind w:right="-159"/>
              <w:jc w:val="both"/>
              <w:rPr>
                <w:b/>
              </w:rPr>
            </w:pPr>
            <w:bookmarkStart w:id="44" w:name="_Toc255297633"/>
            <w:bookmarkStart w:id="45" w:name="_Toc413413653"/>
            <w:r w:rsidRPr="00DB7811">
              <w:rPr>
                <w:b/>
              </w:rPr>
              <w:t>Schválený rozpočet</w:t>
            </w:r>
            <w:r w:rsidRPr="00DB7811">
              <w:rPr>
                <w:b/>
              </w:rPr>
              <w:tab/>
            </w:r>
          </w:p>
        </w:tc>
        <w:tc>
          <w:tcPr>
            <w:tcW w:w="1440" w:type="dxa"/>
          </w:tcPr>
          <w:p w14:paraId="3E29F281" w14:textId="77777777" w:rsidR="00771FD5" w:rsidRPr="00DB7811" w:rsidRDefault="00771FD5" w:rsidP="006B4C71">
            <w:pPr>
              <w:spacing w:after="120"/>
              <w:jc w:val="right"/>
              <w:rPr>
                <w:bCs/>
              </w:rPr>
            </w:pPr>
            <w:r w:rsidRPr="00DB7811">
              <w:rPr>
                <w:bCs/>
              </w:rPr>
              <w:t>72 555 425</w:t>
            </w:r>
          </w:p>
        </w:tc>
        <w:tc>
          <w:tcPr>
            <w:tcW w:w="720" w:type="dxa"/>
            <w:hideMark/>
          </w:tcPr>
          <w:p w14:paraId="6A49078B" w14:textId="77777777" w:rsidR="00771FD5" w:rsidRPr="00DB7811" w:rsidRDefault="00771FD5" w:rsidP="006B4C71">
            <w:pPr>
              <w:spacing w:after="120"/>
              <w:ind w:left="-70" w:right="-158"/>
              <w:rPr>
                <w:b/>
                <w:szCs w:val="20"/>
              </w:rPr>
            </w:pPr>
            <w:r w:rsidRPr="00DB7811">
              <w:rPr>
                <w:szCs w:val="20"/>
              </w:rPr>
              <w:t xml:space="preserve">tis. Kč  </w:t>
            </w:r>
          </w:p>
        </w:tc>
      </w:tr>
      <w:tr w:rsidR="00771FD5" w:rsidRPr="004B11AC" w14:paraId="2C0A2A12" w14:textId="77777777" w:rsidTr="006B4C71">
        <w:tc>
          <w:tcPr>
            <w:tcW w:w="3850" w:type="dxa"/>
            <w:hideMark/>
          </w:tcPr>
          <w:p w14:paraId="0DC51D3E" w14:textId="77777777" w:rsidR="00771FD5" w:rsidRPr="004B11AC" w:rsidRDefault="00771FD5" w:rsidP="006B4C71">
            <w:pPr>
              <w:spacing w:after="120"/>
              <w:ind w:right="-158"/>
              <w:jc w:val="both"/>
              <w:rPr>
                <w:b/>
                <w:color w:val="FF0000"/>
              </w:rPr>
            </w:pPr>
            <w:r w:rsidRPr="00DB7811">
              <w:rPr>
                <w:b/>
              </w:rPr>
              <w:t>Upravený rozpočet</w:t>
            </w:r>
          </w:p>
        </w:tc>
        <w:tc>
          <w:tcPr>
            <w:tcW w:w="1440" w:type="dxa"/>
            <w:hideMark/>
          </w:tcPr>
          <w:p w14:paraId="5DFF98AE" w14:textId="77777777" w:rsidR="00771FD5" w:rsidRPr="00DB7811" w:rsidRDefault="00771FD5" w:rsidP="006B4C71">
            <w:pPr>
              <w:spacing w:after="120"/>
              <w:jc w:val="right"/>
              <w:rPr>
                <w:bCs/>
              </w:rPr>
            </w:pPr>
            <w:r w:rsidRPr="00DB7811">
              <w:rPr>
                <w:bCs/>
              </w:rPr>
              <w:t xml:space="preserve">76 788 699    </w:t>
            </w:r>
          </w:p>
        </w:tc>
        <w:tc>
          <w:tcPr>
            <w:tcW w:w="720" w:type="dxa"/>
            <w:hideMark/>
          </w:tcPr>
          <w:p w14:paraId="31913E27" w14:textId="77777777" w:rsidR="00771FD5" w:rsidRPr="00DB7811" w:rsidRDefault="00771FD5" w:rsidP="006B4C71">
            <w:pPr>
              <w:spacing w:after="120"/>
              <w:ind w:left="-70" w:right="-158"/>
              <w:rPr>
                <w:bCs/>
              </w:rPr>
            </w:pPr>
            <w:r w:rsidRPr="00DB7811">
              <w:t xml:space="preserve">tis. Kč  </w:t>
            </w:r>
          </w:p>
        </w:tc>
      </w:tr>
      <w:tr w:rsidR="00771FD5" w:rsidRPr="004B11AC" w14:paraId="11985BB3" w14:textId="77777777" w:rsidTr="006B4C71">
        <w:tc>
          <w:tcPr>
            <w:tcW w:w="3850" w:type="dxa"/>
            <w:hideMark/>
          </w:tcPr>
          <w:p w14:paraId="1CFCCE75" w14:textId="77777777" w:rsidR="00771FD5" w:rsidRPr="00DB7811" w:rsidRDefault="00771FD5" w:rsidP="006B4C71">
            <w:pPr>
              <w:spacing w:after="120"/>
              <w:ind w:right="-159"/>
              <w:jc w:val="both"/>
              <w:rPr>
                <w:b/>
              </w:rPr>
            </w:pPr>
            <w:r w:rsidRPr="00DB7811">
              <w:rPr>
                <w:b/>
              </w:rPr>
              <w:t>Skutečnost vč. nároků</w:t>
            </w:r>
          </w:p>
        </w:tc>
        <w:tc>
          <w:tcPr>
            <w:tcW w:w="1440" w:type="dxa"/>
            <w:hideMark/>
          </w:tcPr>
          <w:p w14:paraId="298910C8" w14:textId="77777777" w:rsidR="00771FD5" w:rsidRPr="00DB7811" w:rsidRDefault="00771FD5" w:rsidP="006B4C71">
            <w:pPr>
              <w:spacing w:after="120"/>
              <w:jc w:val="right"/>
              <w:rPr>
                <w:bCs/>
              </w:rPr>
            </w:pPr>
            <w:r w:rsidRPr="00DB7811">
              <w:rPr>
                <w:bCs/>
              </w:rPr>
              <w:t xml:space="preserve">75 228 814    </w:t>
            </w:r>
          </w:p>
        </w:tc>
        <w:tc>
          <w:tcPr>
            <w:tcW w:w="720" w:type="dxa"/>
            <w:hideMark/>
          </w:tcPr>
          <w:p w14:paraId="0A559DEE" w14:textId="77777777" w:rsidR="00771FD5" w:rsidRPr="00DB7811" w:rsidRDefault="00771FD5" w:rsidP="006B4C71">
            <w:pPr>
              <w:spacing w:after="120"/>
              <w:ind w:left="-68" w:right="-159"/>
            </w:pPr>
            <w:r w:rsidRPr="00DB7811">
              <w:t>tis. Kč</w:t>
            </w:r>
          </w:p>
        </w:tc>
      </w:tr>
      <w:tr w:rsidR="00771FD5" w:rsidRPr="004B11AC" w14:paraId="42ECB749" w14:textId="77777777" w:rsidTr="006B4C71">
        <w:tc>
          <w:tcPr>
            <w:tcW w:w="3850" w:type="dxa"/>
            <w:hideMark/>
          </w:tcPr>
          <w:p w14:paraId="1D02AA43" w14:textId="77777777" w:rsidR="00771FD5" w:rsidRPr="00A14E01" w:rsidRDefault="00771FD5" w:rsidP="006B4C71">
            <w:pPr>
              <w:spacing w:after="120"/>
              <w:ind w:right="-159"/>
              <w:jc w:val="both"/>
              <w:rPr>
                <w:b/>
              </w:rPr>
            </w:pPr>
            <w:r w:rsidRPr="00A14E01">
              <w:rPr>
                <w:b/>
              </w:rPr>
              <w:t>Plnění vč. nároků</w:t>
            </w:r>
          </w:p>
        </w:tc>
        <w:tc>
          <w:tcPr>
            <w:tcW w:w="1440" w:type="dxa"/>
            <w:hideMark/>
          </w:tcPr>
          <w:p w14:paraId="0A4A83B7" w14:textId="77777777" w:rsidR="00771FD5" w:rsidRPr="00A14E01" w:rsidRDefault="00771FD5" w:rsidP="006B4C71">
            <w:pPr>
              <w:spacing w:after="120"/>
              <w:jc w:val="right"/>
              <w:rPr>
                <w:bCs/>
              </w:rPr>
            </w:pPr>
            <w:r>
              <w:rPr>
                <w:bCs/>
              </w:rPr>
              <w:t>9</w:t>
            </w:r>
            <w:r w:rsidRPr="00A14E01">
              <w:rPr>
                <w:bCs/>
              </w:rPr>
              <w:t>7</w:t>
            </w:r>
            <w:r>
              <w:rPr>
                <w:bCs/>
              </w:rPr>
              <w:t>,9</w:t>
            </w:r>
            <w:r w:rsidRPr="00A14E01">
              <w:rPr>
                <w:bCs/>
              </w:rPr>
              <w:t xml:space="preserve">7 </w:t>
            </w:r>
          </w:p>
        </w:tc>
        <w:tc>
          <w:tcPr>
            <w:tcW w:w="720" w:type="dxa"/>
            <w:hideMark/>
          </w:tcPr>
          <w:p w14:paraId="67ABBFDF" w14:textId="77777777" w:rsidR="00771FD5" w:rsidRPr="00A14E01" w:rsidRDefault="00771FD5" w:rsidP="006B4C71">
            <w:pPr>
              <w:spacing w:after="120"/>
              <w:ind w:left="-68" w:right="-159"/>
            </w:pPr>
            <w:r w:rsidRPr="00A14E01">
              <w:t>%</w:t>
            </w:r>
          </w:p>
        </w:tc>
      </w:tr>
    </w:tbl>
    <w:p w14:paraId="0E404D3B" w14:textId="77777777" w:rsidR="00771FD5" w:rsidRPr="00935E9C" w:rsidRDefault="00771FD5" w:rsidP="006B4C71">
      <w:pPr>
        <w:pStyle w:val="KOMtext"/>
      </w:pPr>
      <w:r w:rsidRPr="00935E9C">
        <w:t xml:space="preserve">Čerpání výdajů je uvedeno včetně použití nároků z nespotřebovaných výdajů organizačních složek státu k </w:t>
      </w:r>
      <w:r w:rsidR="001E7B97" w:rsidRPr="00935E9C">
        <w:t>1. 1. 2019</w:t>
      </w:r>
      <w:r w:rsidRPr="00935E9C">
        <w:t xml:space="preserve"> (dále jen „nároky“).</w:t>
      </w:r>
    </w:p>
    <w:p w14:paraId="53DF7E83" w14:textId="539AF61F" w:rsidR="00771FD5" w:rsidRDefault="00771FD5" w:rsidP="006B4C71">
      <w:pPr>
        <w:pStyle w:val="KOMtext"/>
        <w:rPr>
          <w:color w:val="000000" w:themeColor="text1"/>
        </w:rPr>
      </w:pPr>
      <w:r w:rsidRPr="001F74A0">
        <w:t>V</w:t>
      </w:r>
      <w:r w:rsidR="00163541">
        <w:t> průběhu roku</w:t>
      </w:r>
      <w:r w:rsidRPr="001F74A0">
        <w:t xml:space="preserve"> 2019 byly výdaje navýšeny o 4 233 274 tis. Kč. Důvodem úpravy bylo:</w:t>
      </w:r>
      <w:r w:rsidRPr="004B11AC">
        <w:rPr>
          <w:color w:val="FF0000"/>
        </w:rPr>
        <w:t xml:space="preserve"> </w:t>
      </w:r>
      <w:r w:rsidRPr="00935E9C">
        <w:rPr>
          <w:color w:val="000000" w:themeColor="text1"/>
        </w:rPr>
        <w:t xml:space="preserve"> </w:t>
      </w:r>
    </w:p>
    <w:p w14:paraId="40055CA1" w14:textId="77777777" w:rsidR="006A653D" w:rsidRPr="00935E9C" w:rsidRDefault="006A653D" w:rsidP="006A653D">
      <w:pPr>
        <w:pStyle w:val="KOMtext"/>
        <w:spacing w:before="0" w:after="0"/>
        <w:rPr>
          <w:color w:val="000000" w:themeColor="text1"/>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 xml:space="preserve">                 tis. Kč</w:t>
      </w:r>
    </w:p>
    <w:tbl>
      <w:tblPr>
        <w:tblW w:w="469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29"/>
        <w:gridCol w:w="1418"/>
      </w:tblGrid>
      <w:tr w:rsidR="006A653D" w:rsidRPr="00935E9C" w14:paraId="0E0B2F08" w14:textId="77777777" w:rsidTr="00AC5B20">
        <w:trPr>
          <w:trHeight w:hRule="exact" w:val="684"/>
        </w:trPr>
        <w:tc>
          <w:tcPr>
            <w:tcW w:w="4180" w:type="pct"/>
            <w:vAlign w:val="bottom"/>
          </w:tcPr>
          <w:p w14:paraId="28BF5BB0" w14:textId="77777777" w:rsidR="006A653D" w:rsidRPr="00AC5B20" w:rsidRDefault="006A653D" w:rsidP="00AC5B20">
            <w:pPr>
              <w:pStyle w:val="Nadpis7"/>
              <w:numPr>
                <w:ilvl w:val="0"/>
                <w:numId w:val="96"/>
              </w:numPr>
              <w:spacing w:before="0"/>
              <w:rPr>
                <w:color w:val="000000" w:themeColor="text1"/>
                <w:u w:val="none"/>
              </w:rPr>
            </w:pPr>
            <w:r w:rsidRPr="00AC5B20">
              <w:rPr>
                <w:b/>
                <w:color w:val="000000" w:themeColor="text1"/>
                <w:u w:val="none"/>
              </w:rPr>
              <w:t>převod prostředků z jiných kapitol do kapitoly                                   327 Ministerstvo dopravy celkem,</w:t>
            </w:r>
            <w:r w:rsidRPr="00AC5B20">
              <w:rPr>
                <w:color w:val="000000" w:themeColor="text1"/>
                <w:u w:val="none"/>
              </w:rPr>
              <w:t xml:space="preserve"> v tom:</w:t>
            </w:r>
          </w:p>
          <w:p w14:paraId="502D488D" w14:textId="77777777" w:rsidR="006A653D" w:rsidRPr="001C16C9" w:rsidRDefault="006A653D" w:rsidP="00AC5B20">
            <w:pPr>
              <w:jc w:val="both"/>
              <w:rPr>
                <w:color w:val="000000" w:themeColor="text1"/>
              </w:rPr>
            </w:pPr>
          </w:p>
          <w:p w14:paraId="74452C5A" w14:textId="77777777" w:rsidR="006A653D" w:rsidRPr="001C16C9" w:rsidRDefault="006A653D" w:rsidP="00AC5B20">
            <w:pPr>
              <w:jc w:val="both"/>
              <w:rPr>
                <w:color w:val="000000" w:themeColor="text1"/>
              </w:rPr>
            </w:pPr>
          </w:p>
        </w:tc>
        <w:tc>
          <w:tcPr>
            <w:tcW w:w="820" w:type="pct"/>
            <w:vAlign w:val="center"/>
          </w:tcPr>
          <w:p w14:paraId="1CC35E73" w14:textId="77777777" w:rsidR="006A653D" w:rsidRPr="001C16C9" w:rsidRDefault="006A653D" w:rsidP="00B40AE4">
            <w:pPr>
              <w:spacing w:before="240"/>
              <w:jc w:val="right"/>
              <w:rPr>
                <w:b/>
                <w:color w:val="000000" w:themeColor="text1"/>
              </w:rPr>
            </w:pPr>
            <w:r w:rsidRPr="001C16C9">
              <w:rPr>
                <w:b/>
                <w:color w:val="000000" w:themeColor="text1"/>
              </w:rPr>
              <w:t>4 400 814</w:t>
            </w:r>
          </w:p>
        </w:tc>
      </w:tr>
      <w:tr w:rsidR="006A653D" w:rsidRPr="00935E9C" w14:paraId="46D420BA" w14:textId="77777777" w:rsidTr="006A653D">
        <w:trPr>
          <w:trHeight w:val="1140"/>
        </w:trPr>
        <w:tc>
          <w:tcPr>
            <w:tcW w:w="4180" w:type="pct"/>
          </w:tcPr>
          <w:p w14:paraId="5E1803CC" w14:textId="4118C606" w:rsidR="006A653D" w:rsidRPr="001C16C9" w:rsidRDefault="006A653D" w:rsidP="001B6B75">
            <w:pPr>
              <w:numPr>
                <w:ilvl w:val="0"/>
                <w:numId w:val="33"/>
              </w:numPr>
              <w:jc w:val="both"/>
              <w:rPr>
                <w:color w:val="000000" w:themeColor="text1"/>
              </w:rPr>
            </w:pPr>
            <w:r w:rsidRPr="001C16C9">
              <w:rPr>
                <w:color w:val="000000" w:themeColor="text1"/>
              </w:rPr>
              <w:t>p</w:t>
            </w:r>
            <w:r w:rsidR="001B6B75">
              <w:rPr>
                <w:color w:val="000000" w:themeColor="text1"/>
              </w:rPr>
              <w:t>řevod prostředků z kapitoly 398</w:t>
            </w:r>
            <w:r w:rsidRPr="001C16C9">
              <w:rPr>
                <w:color w:val="000000" w:themeColor="text1"/>
              </w:rPr>
              <w:t>-</w:t>
            </w:r>
            <w:r w:rsidR="001E7B97">
              <w:rPr>
                <w:color w:val="000000" w:themeColor="text1"/>
              </w:rPr>
              <w:t xml:space="preserve">VPS, Vládní rozpočtové rezervy </w:t>
            </w:r>
            <w:r w:rsidRPr="001C16C9">
              <w:rPr>
                <w:color w:val="000000" w:themeColor="text1"/>
              </w:rPr>
              <w:t xml:space="preserve">do kapitoly 327-MD na financování silnic II. a III. tříd ve vlastnictví krajů a komunikací plnících funkci nevybudovaného silničního okruhu kolem Prahy </w:t>
            </w:r>
            <w:r w:rsidRPr="001C16C9">
              <w:rPr>
                <w:color w:val="000000" w:themeColor="text1"/>
              </w:rPr>
              <w:tab/>
            </w:r>
          </w:p>
        </w:tc>
        <w:tc>
          <w:tcPr>
            <w:tcW w:w="820" w:type="pct"/>
          </w:tcPr>
          <w:p w14:paraId="5A56844C" w14:textId="77777777" w:rsidR="006A653D" w:rsidRPr="001C16C9" w:rsidRDefault="006A653D" w:rsidP="006B4C71">
            <w:pPr>
              <w:jc w:val="right"/>
              <w:rPr>
                <w:color w:val="000000" w:themeColor="text1"/>
              </w:rPr>
            </w:pPr>
          </w:p>
          <w:p w14:paraId="441E339F" w14:textId="77777777" w:rsidR="006A653D" w:rsidRPr="001C16C9" w:rsidRDefault="006A653D" w:rsidP="006B4C71">
            <w:pPr>
              <w:jc w:val="right"/>
              <w:rPr>
                <w:color w:val="000000" w:themeColor="text1"/>
              </w:rPr>
            </w:pPr>
          </w:p>
          <w:p w14:paraId="55AF36B3" w14:textId="77777777" w:rsidR="006A653D" w:rsidRPr="001C16C9" w:rsidRDefault="006A653D" w:rsidP="006B4C71">
            <w:pPr>
              <w:jc w:val="right"/>
              <w:rPr>
                <w:color w:val="000000" w:themeColor="text1"/>
              </w:rPr>
            </w:pPr>
          </w:p>
          <w:p w14:paraId="3DD245FF" w14:textId="77777777" w:rsidR="006A653D" w:rsidRPr="001C16C9" w:rsidRDefault="006A653D" w:rsidP="006B4C71">
            <w:pPr>
              <w:jc w:val="right"/>
              <w:rPr>
                <w:color w:val="000000" w:themeColor="text1"/>
              </w:rPr>
            </w:pPr>
            <w:r w:rsidRPr="001C16C9">
              <w:rPr>
                <w:color w:val="000000" w:themeColor="text1"/>
              </w:rPr>
              <w:t>1 000 000</w:t>
            </w:r>
          </w:p>
        </w:tc>
      </w:tr>
      <w:tr w:rsidR="006A653D" w:rsidRPr="00935E9C" w14:paraId="1F41EDE3" w14:textId="77777777" w:rsidTr="006A653D">
        <w:trPr>
          <w:trHeight w:val="845"/>
        </w:trPr>
        <w:tc>
          <w:tcPr>
            <w:tcW w:w="4180" w:type="pct"/>
          </w:tcPr>
          <w:p w14:paraId="52F85849" w14:textId="1EEA8C25" w:rsidR="006A653D" w:rsidRPr="001C16C9" w:rsidRDefault="006A653D" w:rsidP="001B6B75">
            <w:pPr>
              <w:numPr>
                <w:ilvl w:val="0"/>
                <w:numId w:val="33"/>
              </w:numPr>
              <w:jc w:val="both"/>
              <w:rPr>
                <w:color w:val="000000" w:themeColor="text1"/>
              </w:rPr>
            </w:pPr>
            <w:r w:rsidRPr="001C16C9">
              <w:rPr>
                <w:color w:val="000000" w:themeColor="text1"/>
              </w:rPr>
              <w:t>navýšení závazných limitů regulace zaměstnanosti u OSS DI a PO CSPSD  v souvislosti se změnou systemizace od 1.</w:t>
            </w:r>
            <w:r w:rsidR="001E7B97">
              <w:rPr>
                <w:color w:val="000000" w:themeColor="text1"/>
              </w:rPr>
              <w:t xml:space="preserve"> </w:t>
            </w:r>
            <w:r w:rsidRPr="001C16C9">
              <w:rPr>
                <w:color w:val="000000" w:themeColor="text1"/>
              </w:rPr>
              <w:t>9. 2019 převodem prostředků z kapitoly 398-VPS</w:t>
            </w:r>
          </w:p>
        </w:tc>
        <w:tc>
          <w:tcPr>
            <w:tcW w:w="820" w:type="pct"/>
          </w:tcPr>
          <w:p w14:paraId="1C5FC4C2" w14:textId="77777777" w:rsidR="006A653D" w:rsidRPr="001C16C9" w:rsidRDefault="006A653D" w:rsidP="006B4C71">
            <w:pPr>
              <w:jc w:val="right"/>
              <w:rPr>
                <w:color w:val="000000" w:themeColor="text1"/>
              </w:rPr>
            </w:pPr>
          </w:p>
          <w:p w14:paraId="210C10F5" w14:textId="77777777" w:rsidR="006A653D" w:rsidRPr="001C16C9" w:rsidRDefault="006A653D" w:rsidP="006B4C71">
            <w:pPr>
              <w:jc w:val="right"/>
              <w:rPr>
                <w:color w:val="000000" w:themeColor="text1"/>
              </w:rPr>
            </w:pPr>
          </w:p>
          <w:p w14:paraId="66F34F9B" w14:textId="77777777" w:rsidR="006A653D" w:rsidRPr="001C16C9" w:rsidRDefault="006A653D" w:rsidP="006B4C71">
            <w:pPr>
              <w:jc w:val="right"/>
              <w:rPr>
                <w:color w:val="000000" w:themeColor="text1"/>
              </w:rPr>
            </w:pPr>
            <w:r w:rsidRPr="001C16C9">
              <w:rPr>
                <w:color w:val="000000" w:themeColor="text1"/>
              </w:rPr>
              <w:t>814</w:t>
            </w:r>
          </w:p>
        </w:tc>
      </w:tr>
      <w:tr w:rsidR="006A653D" w:rsidRPr="00935E9C" w14:paraId="06BB2092" w14:textId="77777777" w:rsidTr="006A653D">
        <w:trPr>
          <w:trHeight w:val="627"/>
        </w:trPr>
        <w:tc>
          <w:tcPr>
            <w:tcW w:w="4180" w:type="pct"/>
          </w:tcPr>
          <w:p w14:paraId="3F4FEB9E" w14:textId="43584AAD" w:rsidR="006A653D" w:rsidRPr="001C16C9" w:rsidRDefault="001B6B75" w:rsidP="001B6B75">
            <w:pPr>
              <w:numPr>
                <w:ilvl w:val="0"/>
                <w:numId w:val="33"/>
              </w:numPr>
              <w:jc w:val="both"/>
              <w:rPr>
                <w:color w:val="000000" w:themeColor="text1"/>
              </w:rPr>
            </w:pPr>
            <w:r>
              <w:rPr>
                <w:color w:val="000000" w:themeColor="text1"/>
              </w:rPr>
              <w:t>převod prostředků z kap. 333-M</w:t>
            </w:r>
            <w:r w:rsidR="006A653D" w:rsidRPr="001C16C9">
              <w:rPr>
                <w:color w:val="000000" w:themeColor="text1"/>
              </w:rPr>
              <w:t xml:space="preserve">ŠMT do kap. 327-MD na kompenzace slev </w:t>
            </w:r>
            <w:r w:rsidR="000647B4">
              <w:rPr>
                <w:color w:val="000000" w:themeColor="text1"/>
              </w:rPr>
              <w:t xml:space="preserve">z jízdného </w:t>
            </w:r>
            <w:r w:rsidR="006A653D" w:rsidRPr="001C16C9">
              <w:rPr>
                <w:color w:val="000000" w:themeColor="text1"/>
              </w:rPr>
              <w:t>dopravcům</w:t>
            </w:r>
          </w:p>
        </w:tc>
        <w:tc>
          <w:tcPr>
            <w:tcW w:w="820" w:type="pct"/>
          </w:tcPr>
          <w:p w14:paraId="780ED12E" w14:textId="77777777" w:rsidR="006A653D" w:rsidRPr="001C16C9" w:rsidRDefault="006A653D" w:rsidP="006B4C71">
            <w:pPr>
              <w:jc w:val="right"/>
              <w:rPr>
                <w:color w:val="000000" w:themeColor="text1"/>
              </w:rPr>
            </w:pPr>
          </w:p>
          <w:p w14:paraId="6B7BC82C" w14:textId="77777777" w:rsidR="006A653D" w:rsidRPr="001C16C9" w:rsidRDefault="006A653D" w:rsidP="006B4C71">
            <w:pPr>
              <w:jc w:val="right"/>
              <w:rPr>
                <w:color w:val="000000" w:themeColor="text1"/>
              </w:rPr>
            </w:pPr>
            <w:r w:rsidRPr="001C16C9">
              <w:rPr>
                <w:color w:val="000000" w:themeColor="text1"/>
              </w:rPr>
              <w:t>400 000</w:t>
            </w:r>
          </w:p>
        </w:tc>
      </w:tr>
      <w:tr w:rsidR="006A653D" w:rsidRPr="00935E9C" w14:paraId="2A305060" w14:textId="77777777" w:rsidTr="006A653D">
        <w:trPr>
          <w:trHeight w:val="551"/>
        </w:trPr>
        <w:tc>
          <w:tcPr>
            <w:tcW w:w="4180" w:type="pct"/>
          </w:tcPr>
          <w:p w14:paraId="53DD39C2" w14:textId="6913C6DB" w:rsidR="006A653D" w:rsidRPr="001C16C9" w:rsidRDefault="006A653D" w:rsidP="001B6B75">
            <w:pPr>
              <w:numPr>
                <w:ilvl w:val="0"/>
                <w:numId w:val="33"/>
              </w:numPr>
              <w:jc w:val="both"/>
              <w:rPr>
                <w:color w:val="000000" w:themeColor="text1"/>
              </w:rPr>
            </w:pPr>
            <w:r w:rsidRPr="001C16C9">
              <w:rPr>
                <w:color w:val="000000" w:themeColor="text1"/>
              </w:rPr>
              <w:t>převod prostředků z kap. 398-VPS  do kap. 327-MD za účelem krytí deficitu rozpočtu SFDI</w:t>
            </w:r>
          </w:p>
        </w:tc>
        <w:tc>
          <w:tcPr>
            <w:tcW w:w="820" w:type="pct"/>
          </w:tcPr>
          <w:p w14:paraId="68FDB492" w14:textId="77777777" w:rsidR="006A653D" w:rsidRPr="001C16C9" w:rsidRDefault="006A653D" w:rsidP="006B4C71">
            <w:pPr>
              <w:jc w:val="right"/>
              <w:rPr>
                <w:color w:val="000000" w:themeColor="text1"/>
              </w:rPr>
            </w:pPr>
          </w:p>
          <w:p w14:paraId="680530DC" w14:textId="77777777" w:rsidR="006A653D" w:rsidRPr="001C16C9" w:rsidRDefault="006A653D" w:rsidP="006B4C71">
            <w:pPr>
              <w:jc w:val="right"/>
              <w:rPr>
                <w:color w:val="000000" w:themeColor="text1"/>
              </w:rPr>
            </w:pPr>
            <w:r w:rsidRPr="001C16C9">
              <w:rPr>
                <w:color w:val="000000" w:themeColor="text1"/>
              </w:rPr>
              <w:t>2 000 000</w:t>
            </w:r>
          </w:p>
        </w:tc>
      </w:tr>
      <w:tr w:rsidR="006A653D" w:rsidRPr="00935E9C" w14:paraId="6A9380ED" w14:textId="77777777" w:rsidTr="006A653D">
        <w:trPr>
          <w:trHeight w:val="616"/>
        </w:trPr>
        <w:tc>
          <w:tcPr>
            <w:tcW w:w="4180" w:type="pct"/>
          </w:tcPr>
          <w:p w14:paraId="1A882E4C" w14:textId="4FF4BF7A" w:rsidR="006A653D" w:rsidRPr="001C16C9" w:rsidRDefault="006A653D" w:rsidP="001B6B75">
            <w:pPr>
              <w:numPr>
                <w:ilvl w:val="0"/>
                <w:numId w:val="33"/>
              </w:numPr>
              <w:jc w:val="both"/>
              <w:rPr>
                <w:color w:val="000000" w:themeColor="text1"/>
              </w:rPr>
            </w:pPr>
            <w:r w:rsidRPr="001C16C9">
              <w:rPr>
                <w:color w:val="000000" w:themeColor="text1"/>
              </w:rPr>
              <w:t>převod pros</w:t>
            </w:r>
            <w:r w:rsidR="001E7B97">
              <w:rPr>
                <w:color w:val="000000" w:themeColor="text1"/>
              </w:rPr>
              <w:t>tředků z kap. 396-Státní dluh</w:t>
            </w:r>
            <w:r w:rsidRPr="001C16C9">
              <w:rPr>
                <w:color w:val="000000" w:themeColor="text1"/>
              </w:rPr>
              <w:t xml:space="preserve"> do kap. 327-MD za účelem krytí deficitu rozpočtu SFDI</w:t>
            </w:r>
          </w:p>
        </w:tc>
        <w:tc>
          <w:tcPr>
            <w:tcW w:w="820" w:type="pct"/>
          </w:tcPr>
          <w:p w14:paraId="7564CEA8" w14:textId="77777777" w:rsidR="006A653D" w:rsidRPr="001C16C9" w:rsidRDefault="006A653D" w:rsidP="006B4C71">
            <w:pPr>
              <w:jc w:val="right"/>
              <w:rPr>
                <w:color w:val="000000" w:themeColor="text1"/>
              </w:rPr>
            </w:pPr>
          </w:p>
          <w:p w14:paraId="3758F3F3" w14:textId="77777777" w:rsidR="006A653D" w:rsidRPr="001C16C9" w:rsidRDefault="006A653D" w:rsidP="006B4C71">
            <w:pPr>
              <w:jc w:val="right"/>
              <w:rPr>
                <w:color w:val="000000" w:themeColor="text1"/>
              </w:rPr>
            </w:pPr>
            <w:r w:rsidRPr="001C16C9">
              <w:rPr>
                <w:color w:val="000000" w:themeColor="text1"/>
              </w:rPr>
              <w:t>1 000 000</w:t>
            </w:r>
          </w:p>
        </w:tc>
      </w:tr>
      <w:tr w:rsidR="006A653D" w:rsidRPr="00935E9C" w14:paraId="3D0F8A02" w14:textId="77777777" w:rsidTr="001E7B97">
        <w:trPr>
          <w:trHeight w:val="595"/>
        </w:trPr>
        <w:tc>
          <w:tcPr>
            <w:tcW w:w="4180" w:type="pct"/>
            <w:tcBorders>
              <w:top w:val="single" w:sz="4" w:space="0" w:color="auto"/>
              <w:left w:val="single" w:sz="4" w:space="0" w:color="auto"/>
              <w:bottom w:val="single" w:sz="4" w:space="0" w:color="auto"/>
              <w:right w:val="single" w:sz="4" w:space="0" w:color="auto"/>
            </w:tcBorders>
          </w:tcPr>
          <w:p w14:paraId="37C5E129" w14:textId="77777777" w:rsidR="006A653D" w:rsidRPr="001C16C9" w:rsidRDefault="006A653D" w:rsidP="00275CE2">
            <w:pPr>
              <w:pStyle w:val="Odstavecseseznamem"/>
              <w:numPr>
                <w:ilvl w:val="0"/>
                <w:numId w:val="23"/>
              </w:numPr>
              <w:jc w:val="both"/>
              <w:rPr>
                <w:b/>
                <w:color w:val="000000" w:themeColor="text1"/>
              </w:rPr>
            </w:pPr>
            <w:r w:rsidRPr="001C16C9">
              <w:rPr>
                <w:b/>
                <w:color w:val="000000" w:themeColor="text1"/>
              </w:rPr>
              <w:t xml:space="preserve">převod prostředků z kapitoly 327 Ministerstvo dopravy celkem do jiných kapitol, </w:t>
            </w:r>
            <w:r w:rsidRPr="001C16C9">
              <w:rPr>
                <w:color w:val="000000" w:themeColor="text1"/>
              </w:rPr>
              <w:t>v tom:</w:t>
            </w:r>
          </w:p>
        </w:tc>
        <w:tc>
          <w:tcPr>
            <w:tcW w:w="820" w:type="pct"/>
            <w:tcBorders>
              <w:top w:val="single" w:sz="4" w:space="0" w:color="auto"/>
              <w:left w:val="single" w:sz="4" w:space="0" w:color="auto"/>
              <w:bottom w:val="single" w:sz="4" w:space="0" w:color="auto"/>
              <w:right w:val="single" w:sz="4" w:space="0" w:color="auto"/>
            </w:tcBorders>
          </w:tcPr>
          <w:p w14:paraId="3D5BAC4C" w14:textId="77777777" w:rsidR="006A653D" w:rsidRPr="001C16C9" w:rsidRDefault="006A653D" w:rsidP="006B4C71">
            <w:pPr>
              <w:jc w:val="right"/>
              <w:rPr>
                <w:color w:val="000000" w:themeColor="text1"/>
              </w:rPr>
            </w:pPr>
          </w:p>
          <w:p w14:paraId="00EDC79D" w14:textId="77777777" w:rsidR="006A653D" w:rsidRPr="00AC5B20" w:rsidRDefault="006A653D" w:rsidP="006B4C71">
            <w:pPr>
              <w:jc w:val="right"/>
              <w:rPr>
                <w:b/>
                <w:color w:val="000000" w:themeColor="text1"/>
              </w:rPr>
            </w:pPr>
            <w:r w:rsidRPr="00AC5B20">
              <w:rPr>
                <w:b/>
                <w:color w:val="000000" w:themeColor="text1"/>
              </w:rPr>
              <w:t>167 539</w:t>
            </w:r>
          </w:p>
        </w:tc>
      </w:tr>
      <w:tr w:rsidR="006A653D" w:rsidRPr="00935E9C" w14:paraId="4EDE42C3" w14:textId="77777777" w:rsidTr="001E7B97">
        <w:trPr>
          <w:trHeight w:val="1191"/>
        </w:trPr>
        <w:tc>
          <w:tcPr>
            <w:tcW w:w="4180" w:type="pct"/>
            <w:tcBorders>
              <w:top w:val="single" w:sz="4" w:space="0" w:color="auto"/>
              <w:left w:val="single" w:sz="4" w:space="0" w:color="auto"/>
              <w:bottom w:val="single" w:sz="4" w:space="0" w:color="auto"/>
              <w:right w:val="single" w:sz="4" w:space="0" w:color="auto"/>
            </w:tcBorders>
          </w:tcPr>
          <w:p w14:paraId="182E3C82" w14:textId="77777777" w:rsidR="006A653D" w:rsidRPr="001C16C9" w:rsidRDefault="006A653D" w:rsidP="00275CE2">
            <w:pPr>
              <w:numPr>
                <w:ilvl w:val="0"/>
                <w:numId w:val="33"/>
              </w:numPr>
              <w:jc w:val="both"/>
              <w:rPr>
                <w:color w:val="000000" w:themeColor="text1"/>
              </w:rPr>
            </w:pPr>
            <w:r w:rsidRPr="001C16C9">
              <w:rPr>
                <w:color w:val="000000" w:themeColor="text1"/>
              </w:rPr>
              <w:t>převod finančních</w:t>
            </w:r>
            <w:r w:rsidR="001E7B97">
              <w:rPr>
                <w:color w:val="000000" w:themeColor="text1"/>
              </w:rPr>
              <w:t xml:space="preserve"> prostředků z  kapitoly 327-MD </w:t>
            </w:r>
            <w:r w:rsidRPr="001C16C9">
              <w:rPr>
                <w:color w:val="000000" w:themeColor="text1"/>
              </w:rPr>
              <w:t>do kapito</w:t>
            </w:r>
            <w:r w:rsidR="001E7B97">
              <w:rPr>
                <w:color w:val="000000" w:themeColor="text1"/>
              </w:rPr>
              <w:t xml:space="preserve">ly </w:t>
            </w:r>
            <w:r w:rsidR="001E7B97">
              <w:rPr>
                <w:color w:val="000000" w:themeColor="text1"/>
              </w:rPr>
              <w:br/>
              <w:t xml:space="preserve">322-MPO na základě „Smlouvy </w:t>
            </w:r>
            <w:r w:rsidRPr="001C16C9">
              <w:rPr>
                <w:color w:val="000000" w:themeColor="text1"/>
              </w:rPr>
              <w:t xml:space="preserve">o spolupráci při zabezpečení činností spojených s přejímáním </w:t>
            </w:r>
            <w:r w:rsidR="001E7B97">
              <w:rPr>
                <w:color w:val="000000" w:themeColor="text1"/>
              </w:rPr>
              <w:t xml:space="preserve">technických </w:t>
            </w:r>
            <w:r w:rsidRPr="001C16C9">
              <w:rPr>
                <w:color w:val="000000" w:themeColor="text1"/>
              </w:rPr>
              <w:t>předpisů Evropské unie do systému ČSN v oboru dopravní telematiky“ (Dodatek č. 4)</w:t>
            </w:r>
          </w:p>
        </w:tc>
        <w:tc>
          <w:tcPr>
            <w:tcW w:w="820" w:type="pct"/>
            <w:tcBorders>
              <w:top w:val="single" w:sz="4" w:space="0" w:color="auto"/>
              <w:left w:val="single" w:sz="4" w:space="0" w:color="auto"/>
              <w:bottom w:val="single" w:sz="4" w:space="0" w:color="auto"/>
              <w:right w:val="single" w:sz="4" w:space="0" w:color="auto"/>
            </w:tcBorders>
          </w:tcPr>
          <w:p w14:paraId="40D3F4A2" w14:textId="77777777" w:rsidR="006A653D" w:rsidRPr="001C16C9" w:rsidRDefault="006A653D" w:rsidP="006B4C71">
            <w:pPr>
              <w:jc w:val="right"/>
              <w:rPr>
                <w:color w:val="000000" w:themeColor="text1"/>
              </w:rPr>
            </w:pPr>
          </w:p>
          <w:p w14:paraId="1E5CC78A" w14:textId="77777777" w:rsidR="006A653D" w:rsidRPr="001C16C9" w:rsidRDefault="006A653D" w:rsidP="006B4C71">
            <w:pPr>
              <w:jc w:val="right"/>
              <w:rPr>
                <w:color w:val="000000" w:themeColor="text1"/>
              </w:rPr>
            </w:pPr>
          </w:p>
          <w:p w14:paraId="685FC70E" w14:textId="77777777" w:rsidR="006A653D" w:rsidRPr="001C16C9" w:rsidRDefault="006A653D" w:rsidP="006B4C71">
            <w:pPr>
              <w:jc w:val="right"/>
              <w:rPr>
                <w:color w:val="000000" w:themeColor="text1"/>
              </w:rPr>
            </w:pPr>
          </w:p>
          <w:p w14:paraId="3D6460B1" w14:textId="77777777" w:rsidR="006A653D" w:rsidRPr="001C16C9" w:rsidRDefault="006A653D" w:rsidP="006B4C71">
            <w:pPr>
              <w:jc w:val="right"/>
              <w:rPr>
                <w:color w:val="000000" w:themeColor="text1"/>
              </w:rPr>
            </w:pPr>
            <w:r w:rsidRPr="001C16C9">
              <w:rPr>
                <w:color w:val="000000" w:themeColor="text1"/>
              </w:rPr>
              <w:t>4 000</w:t>
            </w:r>
          </w:p>
        </w:tc>
      </w:tr>
      <w:tr w:rsidR="006A653D" w:rsidRPr="00935E9C" w14:paraId="046780E0" w14:textId="77777777" w:rsidTr="006A653D">
        <w:trPr>
          <w:trHeight w:val="1291"/>
        </w:trPr>
        <w:tc>
          <w:tcPr>
            <w:tcW w:w="4180" w:type="pct"/>
            <w:tcBorders>
              <w:top w:val="single" w:sz="4" w:space="0" w:color="auto"/>
              <w:left w:val="single" w:sz="4" w:space="0" w:color="auto"/>
              <w:bottom w:val="single" w:sz="4" w:space="0" w:color="auto"/>
              <w:right w:val="single" w:sz="4" w:space="0" w:color="auto"/>
            </w:tcBorders>
          </w:tcPr>
          <w:p w14:paraId="3FB41239" w14:textId="77777777" w:rsidR="006A653D" w:rsidRPr="001C16C9" w:rsidRDefault="006A653D" w:rsidP="00275CE2">
            <w:pPr>
              <w:numPr>
                <w:ilvl w:val="0"/>
                <w:numId w:val="33"/>
              </w:numPr>
              <w:jc w:val="both"/>
              <w:rPr>
                <w:color w:val="000000" w:themeColor="text1"/>
              </w:rPr>
            </w:pPr>
            <w:r w:rsidRPr="001C16C9">
              <w:rPr>
                <w:color w:val="000000" w:themeColor="text1"/>
              </w:rPr>
              <w:t>převod finančníc</w:t>
            </w:r>
            <w:r w:rsidR="001E7B97">
              <w:rPr>
                <w:color w:val="000000" w:themeColor="text1"/>
              </w:rPr>
              <w:t xml:space="preserve">h prostředků z kapitoly 327-MD </w:t>
            </w:r>
            <w:r w:rsidRPr="001C16C9">
              <w:rPr>
                <w:color w:val="000000" w:themeColor="text1"/>
              </w:rPr>
              <w:t xml:space="preserve">do kapitoly </w:t>
            </w:r>
            <w:r w:rsidR="001E7B97">
              <w:rPr>
                <w:color w:val="000000" w:themeColor="text1"/>
              </w:rPr>
              <w:br/>
            </w:r>
            <w:r w:rsidRPr="001C16C9">
              <w:rPr>
                <w:color w:val="000000" w:themeColor="text1"/>
              </w:rPr>
              <w:t>322-MPO na základě „Smlouvy o spolupráci při zabezpečení činností spojených s přejímáním technických předpisů Evropských společenství do systému ČSN v oboru pozemních komunikací“ (Dodatek č. 7)</w:t>
            </w:r>
          </w:p>
        </w:tc>
        <w:tc>
          <w:tcPr>
            <w:tcW w:w="820" w:type="pct"/>
            <w:tcBorders>
              <w:top w:val="single" w:sz="4" w:space="0" w:color="auto"/>
              <w:left w:val="single" w:sz="4" w:space="0" w:color="auto"/>
              <w:bottom w:val="single" w:sz="4" w:space="0" w:color="auto"/>
              <w:right w:val="single" w:sz="4" w:space="0" w:color="auto"/>
            </w:tcBorders>
          </w:tcPr>
          <w:p w14:paraId="7A2BF74F" w14:textId="77777777" w:rsidR="006A653D" w:rsidRPr="001C16C9" w:rsidRDefault="006A653D" w:rsidP="006B4C71">
            <w:pPr>
              <w:jc w:val="right"/>
              <w:rPr>
                <w:color w:val="000000" w:themeColor="text1"/>
              </w:rPr>
            </w:pPr>
          </w:p>
          <w:p w14:paraId="03BB9367" w14:textId="77777777" w:rsidR="006A653D" w:rsidRPr="001C16C9" w:rsidRDefault="006A653D" w:rsidP="006B4C71">
            <w:pPr>
              <w:jc w:val="right"/>
              <w:rPr>
                <w:color w:val="000000" w:themeColor="text1"/>
              </w:rPr>
            </w:pPr>
          </w:p>
          <w:p w14:paraId="4E129A14" w14:textId="77777777" w:rsidR="006A653D" w:rsidRPr="001C16C9" w:rsidRDefault="006A653D" w:rsidP="006B4C71">
            <w:pPr>
              <w:jc w:val="right"/>
              <w:rPr>
                <w:color w:val="000000" w:themeColor="text1"/>
              </w:rPr>
            </w:pPr>
          </w:p>
          <w:p w14:paraId="3AADCBEE" w14:textId="77777777" w:rsidR="006A653D" w:rsidRPr="001C16C9" w:rsidRDefault="006A653D" w:rsidP="006B4C71">
            <w:pPr>
              <w:jc w:val="right"/>
              <w:rPr>
                <w:color w:val="000000" w:themeColor="text1"/>
              </w:rPr>
            </w:pPr>
          </w:p>
          <w:p w14:paraId="38753B0F" w14:textId="77777777" w:rsidR="006A653D" w:rsidRPr="001C16C9" w:rsidRDefault="006A653D" w:rsidP="006B4C71">
            <w:pPr>
              <w:jc w:val="right"/>
              <w:rPr>
                <w:color w:val="000000" w:themeColor="text1"/>
              </w:rPr>
            </w:pPr>
            <w:r w:rsidRPr="001C16C9">
              <w:rPr>
                <w:color w:val="000000" w:themeColor="text1"/>
              </w:rPr>
              <w:t>4 500</w:t>
            </w:r>
          </w:p>
        </w:tc>
      </w:tr>
      <w:tr w:rsidR="006A653D" w:rsidRPr="00935E9C" w14:paraId="66172841" w14:textId="77777777" w:rsidTr="001E7B97">
        <w:trPr>
          <w:trHeight w:val="1134"/>
        </w:trPr>
        <w:tc>
          <w:tcPr>
            <w:tcW w:w="4180" w:type="pct"/>
            <w:tcBorders>
              <w:top w:val="single" w:sz="4" w:space="0" w:color="auto"/>
              <w:left w:val="single" w:sz="4" w:space="0" w:color="auto"/>
              <w:bottom w:val="single" w:sz="4" w:space="0" w:color="auto"/>
              <w:right w:val="single" w:sz="4" w:space="0" w:color="auto"/>
            </w:tcBorders>
          </w:tcPr>
          <w:p w14:paraId="11C7BD5C" w14:textId="68DD1182" w:rsidR="006A653D" w:rsidRPr="001C16C9" w:rsidRDefault="006A653D" w:rsidP="001E7B97">
            <w:pPr>
              <w:numPr>
                <w:ilvl w:val="0"/>
                <w:numId w:val="33"/>
              </w:numPr>
              <w:jc w:val="both"/>
              <w:rPr>
                <w:color w:val="000000" w:themeColor="text1"/>
              </w:rPr>
            </w:pPr>
            <w:r w:rsidRPr="001C16C9">
              <w:rPr>
                <w:color w:val="000000" w:themeColor="text1"/>
              </w:rPr>
              <w:t>převod prostředků z kapitoly 3</w:t>
            </w:r>
            <w:r w:rsidR="001E7B97">
              <w:rPr>
                <w:color w:val="000000" w:themeColor="text1"/>
              </w:rPr>
              <w:t xml:space="preserve">27-MD do kapitoly 314-MV </w:t>
            </w:r>
            <w:r w:rsidRPr="001C16C9">
              <w:rPr>
                <w:color w:val="000000" w:themeColor="text1"/>
              </w:rPr>
              <w:t xml:space="preserve">na výstavbu tří dálničních oddělení Policie </w:t>
            </w:r>
            <w:r w:rsidR="001E7B97">
              <w:rPr>
                <w:color w:val="000000" w:themeColor="text1"/>
              </w:rPr>
              <w:t xml:space="preserve">ČR </w:t>
            </w:r>
            <w:r w:rsidRPr="001C16C9">
              <w:rPr>
                <w:color w:val="000000" w:themeColor="text1"/>
              </w:rPr>
              <w:t xml:space="preserve">v Jihomoravském kraji a na rekonstrukci a přístavbu dálničního oddělení Policie ČR </w:t>
            </w:r>
            <w:r w:rsidR="001B6B75">
              <w:rPr>
                <w:color w:val="000000" w:themeColor="text1"/>
              </w:rPr>
              <w:br/>
            </w:r>
            <w:r w:rsidRPr="001C16C9">
              <w:rPr>
                <w:color w:val="000000" w:themeColor="text1"/>
              </w:rPr>
              <w:t>v Kraji Vysočina</w:t>
            </w:r>
            <w:r w:rsidRPr="001C16C9">
              <w:rPr>
                <w:color w:val="000000" w:themeColor="text1"/>
              </w:rPr>
              <w:tab/>
            </w:r>
          </w:p>
        </w:tc>
        <w:tc>
          <w:tcPr>
            <w:tcW w:w="820" w:type="pct"/>
            <w:tcBorders>
              <w:top w:val="single" w:sz="4" w:space="0" w:color="auto"/>
              <w:left w:val="single" w:sz="4" w:space="0" w:color="auto"/>
              <w:bottom w:val="single" w:sz="4" w:space="0" w:color="auto"/>
              <w:right w:val="single" w:sz="4" w:space="0" w:color="auto"/>
            </w:tcBorders>
          </w:tcPr>
          <w:p w14:paraId="36B83DCD" w14:textId="77777777" w:rsidR="006A653D" w:rsidRPr="001C16C9" w:rsidRDefault="006A653D" w:rsidP="006B4C71">
            <w:pPr>
              <w:jc w:val="right"/>
              <w:rPr>
                <w:color w:val="000000" w:themeColor="text1"/>
              </w:rPr>
            </w:pPr>
          </w:p>
          <w:p w14:paraId="5527B0F8" w14:textId="77777777" w:rsidR="006A653D" w:rsidRPr="001C16C9" w:rsidRDefault="006A653D" w:rsidP="006B4C71">
            <w:pPr>
              <w:jc w:val="right"/>
              <w:rPr>
                <w:color w:val="000000" w:themeColor="text1"/>
              </w:rPr>
            </w:pPr>
          </w:p>
          <w:p w14:paraId="6EBD0F94" w14:textId="77777777" w:rsidR="006A653D" w:rsidRPr="001C16C9" w:rsidRDefault="006A653D" w:rsidP="006B4C71">
            <w:pPr>
              <w:jc w:val="right"/>
              <w:rPr>
                <w:color w:val="000000" w:themeColor="text1"/>
              </w:rPr>
            </w:pPr>
          </w:p>
          <w:p w14:paraId="660B99C6" w14:textId="77777777" w:rsidR="006A653D" w:rsidRPr="001C16C9" w:rsidRDefault="006A653D" w:rsidP="006B4C71">
            <w:pPr>
              <w:jc w:val="right"/>
              <w:rPr>
                <w:color w:val="000000" w:themeColor="text1"/>
              </w:rPr>
            </w:pPr>
            <w:r w:rsidRPr="001C16C9">
              <w:rPr>
                <w:color w:val="000000" w:themeColor="text1"/>
              </w:rPr>
              <w:t>75 000</w:t>
            </w:r>
          </w:p>
        </w:tc>
      </w:tr>
      <w:tr w:rsidR="006A653D" w:rsidRPr="00935E9C" w14:paraId="6F4975DF" w14:textId="77777777" w:rsidTr="006A653D">
        <w:trPr>
          <w:trHeight w:val="1291"/>
        </w:trPr>
        <w:tc>
          <w:tcPr>
            <w:tcW w:w="4180" w:type="pct"/>
            <w:tcBorders>
              <w:top w:val="single" w:sz="4" w:space="0" w:color="auto"/>
              <w:left w:val="single" w:sz="4" w:space="0" w:color="auto"/>
              <w:bottom w:val="single" w:sz="4" w:space="0" w:color="auto"/>
              <w:right w:val="single" w:sz="4" w:space="0" w:color="auto"/>
            </w:tcBorders>
          </w:tcPr>
          <w:p w14:paraId="217031F6" w14:textId="77777777" w:rsidR="006A653D" w:rsidRPr="001C16C9" w:rsidRDefault="006A653D" w:rsidP="00275CE2">
            <w:pPr>
              <w:numPr>
                <w:ilvl w:val="0"/>
                <w:numId w:val="33"/>
              </w:numPr>
              <w:jc w:val="both"/>
              <w:rPr>
                <w:color w:val="000000" w:themeColor="text1"/>
              </w:rPr>
            </w:pPr>
            <w:r w:rsidRPr="001C16C9">
              <w:rPr>
                <w:color w:val="000000" w:themeColor="text1"/>
              </w:rPr>
              <w:lastRenderedPageBreak/>
              <w:t>přev</w:t>
            </w:r>
            <w:r w:rsidR="001E7B97">
              <w:rPr>
                <w:color w:val="000000" w:themeColor="text1"/>
              </w:rPr>
              <w:t>od prostředků z kapitoly 327-MD</w:t>
            </w:r>
            <w:r w:rsidRPr="001C16C9">
              <w:rPr>
                <w:color w:val="000000" w:themeColor="text1"/>
              </w:rPr>
              <w:t xml:space="preserve"> do kapitoly 312-MF na základě Dodatku č. 1 k Protokolu o vzájemném přesunu rozpočtových pr</w:t>
            </w:r>
            <w:r w:rsidR="001E7B97">
              <w:rPr>
                <w:color w:val="000000" w:themeColor="text1"/>
              </w:rPr>
              <w:t>ostředků na výdaje pro rok 2018</w:t>
            </w:r>
            <w:r w:rsidRPr="001C16C9">
              <w:rPr>
                <w:color w:val="000000" w:themeColor="text1"/>
              </w:rPr>
              <w:t xml:space="preserve"> uzavřeném dne </w:t>
            </w:r>
            <w:r w:rsidR="001E7B97" w:rsidRPr="001C16C9">
              <w:rPr>
                <w:color w:val="000000" w:themeColor="text1"/>
              </w:rPr>
              <w:t>20. 5. 2019</w:t>
            </w:r>
            <w:r w:rsidRPr="001C16C9">
              <w:rPr>
                <w:color w:val="000000" w:themeColor="text1"/>
              </w:rPr>
              <w:t xml:space="preserve"> ke Smlouvě o předání majetku a o změně příslušnosti hospodařit s majetkem státu uzavřené mezi Ředitelstvím silnic a dálnic ČR a Úřadem pro zastupování státu ve věcech majetkových</w:t>
            </w:r>
          </w:p>
        </w:tc>
        <w:tc>
          <w:tcPr>
            <w:tcW w:w="820" w:type="pct"/>
            <w:tcBorders>
              <w:top w:val="single" w:sz="4" w:space="0" w:color="auto"/>
              <w:left w:val="single" w:sz="4" w:space="0" w:color="auto"/>
              <w:bottom w:val="single" w:sz="4" w:space="0" w:color="auto"/>
              <w:right w:val="single" w:sz="4" w:space="0" w:color="auto"/>
            </w:tcBorders>
          </w:tcPr>
          <w:p w14:paraId="683976DE" w14:textId="77777777" w:rsidR="006A653D" w:rsidRPr="001C16C9" w:rsidRDefault="006A653D" w:rsidP="006B4C71">
            <w:pPr>
              <w:jc w:val="right"/>
              <w:rPr>
                <w:color w:val="000000" w:themeColor="text1"/>
              </w:rPr>
            </w:pPr>
          </w:p>
          <w:p w14:paraId="7F920DF1" w14:textId="77777777" w:rsidR="006A653D" w:rsidRPr="001C16C9" w:rsidRDefault="006A653D" w:rsidP="006B4C71">
            <w:pPr>
              <w:jc w:val="right"/>
              <w:rPr>
                <w:color w:val="000000" w:themeColor="text1"/>
              </w:rPr>
            </w:pPr>
          </w:p>
          <w:p w14:paraId="212DDAF4" w14:textId="77777777" w:rsidR="006A653D" w:rsidRPr="001C16C9" w:rsidRDefault="006A653D" w:rsidP="006B4C71">
            <w:pPr>
              <w:jc w:val="right"/>
              <w:rPr>
                <w:color w:val="000000" w:themeColor="text1"/>
              </w:rPr>
            </w:pPr>
          </w:p>
          <w:p w14:paraId="7735749D" w14:textId="77777777" w:rsidR="006A653D" w:rsidRPr="001C16C9" w:rsidRDefault="006A653D" w:rsidP="006B4C71">
            <w:pPr>
              <w:jc w:val="right"/>
              <w:rPr>
                <w:color w:val="000000" w:themeColor="text1"/>
              </w:rPr>
            </w:pPr>
          </w:p>
          <w:p w14:paraId="58C7B128" w14:textId="77777777" w:rsidR="006A653D" w:rsidRPr="001C16C9" w:rsidRDefault="006A653D" w:rsidP="006B4C71">
            <w:pPr>
              <w:jc w:val="right"/>
              <w:rPr>
                <w:color w:val="000000" w:themeColor="text1"/>
              </w:rPr>
            </w:pPr>
          </w:p>
          <w:p w14:paraId="7FE42AC3" w14:textId="77777777" w:rsidR="006A653D" w:rsidRPr="001C16C9" w:rsidRDefault="006A653D" w:rsidP="006B4C71">
            <w:pPr>
              <w:jc w:val="right"/>
              <w:rPr>
                <w:color w:val="000000" w:themeColor="text1"/>
              </w:rPr>
            </w:pPr>
            <w:r w:rsidRPr="001C16C9">
              <w:rPr>
                <w:color w:val="000000" w:themeColor="text1"/>
              </w:rPr>
              <w:t>132</w:t>
            </w:r>
          </w:p>
        </w:tc>
      </w:tr>
      <w:tr w:rsidR="006A653D" w:rsidRPr="00935E9C" w14:paraId="5CD1DF0C" w14:textId="77777777" w:rsidTr="006A653D">
        <w:trPr>
          <w:trHeight w:val="1032"/>
        </w:trPr>
        <w:tc>
          <w:tcPr>
            <w:tcW w:w="4180" w:type="pct"/>
            <w:tcBorders>
              <w:top w:val="single" w:sz="4" w:space="0" w:color="auto"/>
              <w:left w:val="single" w:sz="4" w:space="0" w:color="auto"/>
              <w:bottom w:val="single" w:sz="4" w:space="0" w:color="auto"/>
              <w:right w:val="single" w:sz="4" w:space="0" w:color="auto"/>
            </w:tcBorders>
          </w:tcPr>
          <w:p w14:paraId="703BCFBD" w14:textId="77777777" w:rsidR="006A653D" w:rsidRPr="001C16C9" w:rsidRDefault="006A653D" w:rsidP="00275CE2">
            <w:pPr>
              <w:numPr>
                <w:ilvl w:val="0"/>
                <w:numId w:val="33"/>
              </w:numPr>
              <w:jc w:val="both"/>
              <w:rPr>
                <w:color w:val="000000" w:themeColor="text1"/>
              </w:rPr>
            </w:pPr>
            <w:r w:rsidRPr="001C16C9">
              <w:rPr>
                <w:color w:val="000000" w:themeColor="text1"/>
              </w:rPr>
              <w:t>převod prostředků z kapitoly 327-MD do kapitoly 334-MK               v souvislosti s převodem historických železničních kolejových vozidel a nemovitých věcí v lokalitě Masarykova nádraží Národnímu technickému muzeu</w:t>
            </w:r>
            <w:r w:rsidRPr="001C16C9">
              <w:rPr>
                <w:color w:val="000000" w:themeColor="text1"/>
              </w:rPr>
              <w:tab/>
            </w:r>
            <w:r w:rsidRPr="001C16C9">
              <w:rPr>
                <w:color w:val="000000" w:themeColor="text1"/>
              </w:rPr>
              <w:tab/>
            </w:r>
            <w:r w:rsidRPr="001C16C9">
              <w:rPr>
                <w:color w:val="000000" w:themeColor="text1"/>
              </w:rPr>
              <w:tab/>
            </w:r>
            <w:r w:rsidRPr="001C16C9">
              <w:rPr>
                <w:color w:val="000000" w:themeColor="text1"/>
              </w:rPr>
              <w:tab/>
            </w:r>
          </w:p>
        </w:tc>
        <w:tc>
          <w:tcPr>
            <w:tcW w:w="820" w:type="pct"/>
            <w:tcBorders>
              <w:top w:val="single" w:sz="4" w:space="0" w:color="auto"/>
              <w:left w:val="single" w:sz="4" w:space="0" w:color="auto"/>
              <w:bottom w:val="single" w:sz="4" w:space="0" w:color="auto"/>
              <w:right w:val="single" w:sz="4" w:space="0" w:color="auto"/>
            </w:tcBorders>
          </w:tcPr>
          <w:p w14:paraId="419D7CDF" w14:textId="77777777" w:rsidR="006A653D" w:rsidRPr="001C16C9" w:rsidRDefault="006A653D" w:rsidP="006B4C71">
            <w:pPr>
              <w:jc w:val="right"/>
              <w:rPr>
                <w:color w:val="000000" w:themeColor="text1"/>
              </w:rPr>
            </w:pPr>
          </w:p>
          <w:p w14:paraId="51CC508D" w14:textId="77777777" w:rsidR="006A653D" w:rsidRPr="001C16C9" w:rsidRDefault="006A653D" w:rsidP="006B4C71">
            <w:pPr>
              <w:jc w:val="right"/>
              <w:rPr>
                <w:color w:val="000000" w:themeColor="text1"/>
              </w:rPr>
            </w:pPr>
          </w:p>
          <w:p w14:paraId="263B0D63" w14:textId="77777777" w:rsidR="006A653D" w:rsidRPr="001C16C9" w:rsidRDefault="006A653D" w:rsidP="006B4C71">
            <w:pPr>
              <w:jc w:val="right"/>
              <w:rPr>
                <w:color w:val="000000" w:themeColor="text1"/>
              </w:rPr>
            </w:pPr>
          </w:p>
          <w:p w14:paraId="427D527A" w14:textId="77777777" w:rsidR="006A653D" w:rsidRPr="001C16C9" w:rsidRDefault="006A653D" w:rsidP="006B4C71">
            <w:pPr>
              <w:jc w:val="right"/>
              <w:rPr>
                <w:color w:val="000000" w:themeColor="text1"/>
              </w:rPr>
            </w:pPr>
            <w:r w:rsidRPr="001C16C9">
              <w:rPr>
                <w:color w:val="000000" w:themeColor="text1"/>
              </w:rPr>
              <w:t>83 500</w:t>
            </w:r>
          </w:p>
        </w:tc>
      </w:tr>
      <w:tr w:rsidR="006A653D" w:rsidRPr="00935E9C" w14:paraId="476D2156" w14:textId="77777777" w:rsidTr="006A653D">
        <w:trPr>
          <w:trHeight w:val="481"/>
        </w:trPr>
        <w:tc>
          <w:tcPr>
            <w:tcW w:w="4180" w:type="pct"/>
            <w:tcBorders>
              <w:top w:val="single" w:sz="4" w:space="0" w:color="auto"/>
              <w:left w:val="single" w:sz="4" w:space="0" w:color="auto"/>
              <w:bottom w:val="single" w:sz="4" w:space="0" w:color="auto"/>
              <w:right w:val="single" w:sz="4" w:space="0" w:color="auto"/>
            </w:tcBorders>
          </w:tcPr>
          <w:p w14:paraId="7A66A932" w14:textId="77777777" w:rsidR="006A653D" w:rsidRPr="001C16C9" w:rsidRDefault="006A653D" w:rsidP="00275CE2">
            <w:pPr>
              <w:numPr>
                <w:ilvl w:val="0"/>
                <w:numId w:val="33"/>
              </w:numPr>
              <w:jc w:val="both"/>
              <w:rPr>
                <w:color w:val="000000" w:themeColor="text1"/>
              </w:rPr>
            </w:pPr>
            <w:r w:rsidRPr="001C16C9">
              <w:rPr>
                <w:color w:val="000000" w:themeColor="text1"/>
              </w:rPr>
              <w:t>převod prostředků z kapitoly 327-MD do kap. 322-MPO na zajištění, realizaci a propagaci „CzechSpaceWeek“</w:t>
            </w:r>
          </w:p>
        </w:tc>
        <w:tc>
          <w:tcPr>
            <w:tcW w:w="820" w:type="pct"/>
            <w:tcBorders>
              <w:top w:val="single" w:sz="4" w:space="0" w:color="auto"/>
              <w:left w:val="single" w:sz="4" w:space="0" w:color="auto"/>
              <w:bottom w:val="single" w:sz="4" w:space="0" w:color="auto"/>
              <w:right w:val="single" w:sz="4" w:space="0" w:color="auto"/>
            </w:tcBorders>
          </w:tcPr>
          <w:p w14:paraId="4F75DB33" w14:textId="77777777" w:rsidR="006A653D" w:rsidRPr="001C16C9" w:rsidRDefault="006A653D" w:rsidP="006B4C71">
            <w:pPr>
              <w:jc w:val="right"/>
              <w:rPr>
                <w:color w:val="000000" w:themeColor="text1"/>
              </w:rPr>
            </w:pPr>
          </w:p>
          <w:p w14:paraId="77670D10" w14:textId="77777777" w:rsidR="006A653D" w:rsidRPr="001C16C9" w:rsidRDefault="006A653D" w:rsidP="006B4C71">
            <w:pPr>
              <w:jc w:val="right"/>
              <w:rPr>
                <w:color w:val="000000" w:themeColor="text1"/>
              </w:rPr>
            </w:pPr>
            <w:r w:rsidRPr="001C16C9">
              <w:rPr>
                <w:color w:val="000000" w:themeColor="text1"/>
              </w:rPr>
              <w:t>400</w:t>
            </w:r>
          </w:p>
        </w:tc>
      </w:tr>
      <w:tr w:rsidR="006A653D" w:rsidRPr="00935E9C" w14:paraId="14121A51" w14:textId="77777777" w:rsidTr="006A653D">
        <w:trPr>
          <w:trHeight w:val="671"/>
        </w:trPr>
        <w:tc>
          <w:tcPr>
            <w:tcW w:w="4180" w:type="pct"/>
            <w:tcBorders>
              <w:top w:val="single" w:sz="4" w:space="0" w:color="auto"/>
              <w:left w:val="single" w:sz="4" w:space="0" w:color="auto"/>
              <w:bottom w:val="single" w:sz="4" w:space="0" w:color="auto"/>
              <w:right w:val="single" w:sz="4" w:space="0" w:color="auto"/>
            </w:tcBorders>
          </w:tcPr>
          <w:p w14:paraId="40A4CA44" w14:textId="77777777" w:rsidR="006A653D" w:rsidRPr="001C16C9" w:rsidRDefault="006A653D" w:rsidP="00275CE2">
            <w:pPr>
              <w:numPr>
                <w:ilvl w:val="0"/>
                <w:numId w:val="33"/>
              </w:numPr>
              <w:jc w:val="both"/>
              <w:rPr>
                <w:color w:val="000000" w:themeColor="text1"/>
              </w:rPr>
            </w:pPr>
            <w:r w:rsidRPr="001C16C9">
              <w:rPr>
                <w:color w:val="000000" w:themeColor="text1"/>
              </w:rPr>
              <w:t>převod prostředků z kap.327-MD (Ředitelství silnic a dálnic ČR) do kap. 312-MF (Úřad pro zastupování státu ve věcech majetkových) na základě  Smlouvy o předání majetku a o změně příslušnosti hospodařit s majetkem státu</w:t>
            </w:r>
          </w:p>
        </w:tc>
        <w:tc>
          <w:tcPr>
            <w:tcW w:w="820" w:type="pct"/>
            <w:tcBorders>
              <w:top w:val="single" w:sz="4" w:space="0" w:color="auto"/>
              <w:left w:val="single" w:sz="4" w:space="0" w:color="auto"/>
              <w:bottom w:val="single" w:sz="4" w:space="0" w:color="auto"/>
              <w:right w:val="single" w:sz="4" w:space="0" w:color="auto"/>
            </w:tcBorders>
          </w:tcPr>
          <w:p w14:paraId="0CF06D5F" w14:textId="77777777" w:rsidR="006A653D" w:rsidRPr="001C16C9" w:rsidRDefault="006A653D" w:rsidP="006B4C71">
            <w:pPr>
              <w:jc w:val="right"/>
              <w:rPr>
                <w:color w:val="000000" w:themeColor="text1"/>
              </w:rPr>
            </w:pPr>
          </w:p>
          <w:p w14:paraId="7EA080BE" w14:textId="77777777" w:rsidR="006A653D" w:rsidRPr="001C16C9" w:rsidRDefault="006A653D" w:rsidP="006B4C71">
            <w:pPr>
              <w:jc w:val="right"/>
              <w:rPr>
                <w:color w:val="000000" w:themeColor="text1"/>
              </w:rPr>
            </w:pPr>
          </w:p>
          <w:p w14:paraId="6E77F1CE" w14:textId="77777777" w:rsidR="006A653D" w:rsidRPr="001C16C9" w:rsidRDefault="006A653D" w:rsidP="006B4C71">
            <w:pPr>
              <w:jc w:val="right"/>
              <w:rPr>
                <w:color w:val="000000" w:themeColor="text1"/>
              </w:rPr>
            </w:pPr>
          </w:p>
          <w:p w14:paraId="0A84648D" w14:textId="77777777" w:rsidR="006A653D" w:rsidRPr="001C16C9" w:rsidRDefault="006A653D" w:rsidP="006B4C71">
            <w:pPr>
              <w:jc w:val="right"/>
              <w:rPr>
                <w:color w:val="000000" w:themeColor="text1"/>
              </w:rPr>
            </w:pPr>
            <w:r w:rsidRPr="001C16C9">
              <w:rPr>
                <w:color w:val="000000" w:themeColor="text1"/>
              </w:rPr>
              <w:t>8</w:t>
            </w:r>
          </w:p>
        </w:tc>
      </w:tr>
    </w:tbl>
    <w:p w14:paraId="15884588" w14:textId="77777777" w:rsidR="007A4BCF" w:rsidRPr="004B11AC" w:rsidRDefault="007A4BCF" w:rsidP="00275CE2">
      <w:pPr>
        <w:pStyle w:val="Odstavecseseznamem"/>
        <w:keepNext/>
        <w:numPr>
          <w:ilvl w:val="0"/>
          <w:numId w:val="11"/>
        </w:numPr>
        <w:spacing w:after="160"/>
        <w:contextualSpacing w:val="0"/>
        <w:jc w:val="both"/>
        <w:outlineLvl w:val="1"/>
        <w:rPr>
          <w:b/>
          <w:vanish/>
          <w:color w:val="FF0000"/>
          <w:sz w:val="26"/>
        </w:rPr>
      </w:pPr>
      <w:bookmarkStart w:id="46" w:name="_Toc1144972"/>
      <w:bookmarkStart w:id="47" w:name="_Toc1145098"/>
      <w:bookmarkStart w:id="48" w:name="_Toc1145694"/>
      <w:bookmarkStart w:id="49" w:name="_Toc1376728"/>
      <w:bookmarkStart w:id="50" w:name="_Toc1376806"/>
      <w:bookmarkStart w:id="51" w:name="_Toc1377451"/>
      <w:bookmarkStart w:id="52" w:name="_Toc1473454"/>
      <w:bookmarkStart w:id="53" w:name="_Toc1491608"/>
      <w:bookmarkStart w:id="54" w:name="_Toc1491687"/>
      <w:bookmarkStart w:id="55" w:name="_Toc1561665"/>
      <w:bookmarkStart w:id="56" w:name="_Toc2756964"/>
      <w:bookmarkStart w:id="57" w:name="_Toc2786508"/>
      <w:bookmarkStart w:id="58" w:name="_Toc2789268"/>
      <w:bookmarkStart w:id="59" w:name="_Toc2789395"/>
      <w:bookmarkStart w:id="60" w:name="_Toc32587583"/>
      <w:bookmarkStart w:id="61" w:name="_Toc32587677"/>
      <w:bookmarkStart w:id="62" w:name="_Toc32935704"/>
      <w:bookmarkStart w:id="63" w:name="_Toc34204592"/>
      <w:bookmarkStart w:id="64" w:name="_Toc34286385"/>
      <w:bookmarkStart w:id="65" w:name="_Toc34286452"/>
      <w:bookmarkStart w:id="66" w:name="_Toc508879838"/>
      <w:bookmarkStart w:id="67" w:name="_Toc508880114"/>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27E03D69" w14:textId="77777777" w:rsidR="00185BC4" w:rsidRPr="004B11AC" w:rsidRDefault="00185BC4" w:rsidP="001B6B75">
      <w:pPr>
        <w:pStyle w:val="Nadpis2"/>
        <w:spacing w:before="240"/>
      </w:pPr>
      <w:bookmarkStart w:id="68" w:name="_Toc1376807"/>
      <w:bookmarkStart w:id="69" w:name="_Toc34286453"/>
      <w:r w:rsidRPr="004B11AC">
        <w:t>Plnění specifických ukazatelů</w:t>
      </w:r>
      <w:bookmarkEnd w:id="44"/>
      <w:bookmarkEnd w:id="45"/>
      <w:bookmarkEnd w:id="66"/>
      <w:bookmarkEnd w:id="67"/>
      <w:bookmarkEnd w:id="68"/>
      <w:bookmarkEnd w:id="69"/>
      <w:r w:rsidRPr="004B11AC">
        <w:t xml:space="preserve"> </w:t>
      </w:r>
    </w:p>
    <w:p w14:paraId="60A0B82A" w14:textId="77777777" w:rsidR="00DE0323" w:rsidRPr="00FD2E73" w:rsidRDefault="00DE0323" w:rsidP="004359C1">
      <w:pPr>
        <w:pStyle w:val="KOMtext"/>
      </w:pPr>
      <w:bookmarkStart w:id="70" w:name="_Toc317489625"/>
      <w:r w:rsidRPr="00FD2E73">
        <w:t>Státní rozpočet na rok 201</w:t>
      </w:r>
      <w:r>
        <w:t>9</w:t>
      </w:r>
      <w:r w:rsidRPr="00FD2E73">
        <w:t xml:space="preserve"> sestavený formou s</w:t>
      </w:r>
      <w:r w:rsidR="004359C1">
        <w:t xml:space="preserve">pecifických ukazatelů vycházel </w:t>
      </w:r>
      <w:r w:rsidRPr="00FD2E73">
        <w:t>z metodiky výdajových bloků, přičemž specifické u</w:t>
      </w:r>
      <w:r w:rsidR="004359C1">
        <w:t xml:space="preserve">kazatele byly součástí přílohy </w:t>
      </w:r>
      <w:r w:rsidRPr="00FD2E73">
        <w:t>č. 4 k zákonu o státním rozpočtu České republiky na rok 201</w:t>
      </w:r>
      <w:r>
        <w:t>9</w:t>
      </w:r>
      <w:r w:rsidRPr="00FD2E73">
        <w:t xml:space="preserve">. </w:t>
      </w:r>
    </w:p>
    <w:p w14:paraId="10C606FE" w14:textId="77777777" w:rsidR="00DE0323" w:rsidRPr="00FD2E73" w:rsidRDefault="00DE0323" w:rsidP="004359C1">
      <w:pPr>
        <w:pStyle w:val="Nadpis9"/>
      </w:pPr>
      <w:r w:rsidRPr="00FD2E73">
        <w:t>Specifické „výdajové“ ukazatele kapitoly 327 - MD rok 201</w:t>
      </w:r>
      <w:r>
        <w:t>9</w:t>
      </w:r>
    </w:p>
    <w:p w14:paraId="1806E8B0" w14:textId="77777777" w:rsidR="00DE0323" w:rsidRPr="00FD2E73" w:rsidRDefault="00DE0323" w:rsidP="00DB2320">
      <w:pPr>
        <w:keepNext/>
        <w:ind w:right="-424"/>
        <w:jc w:val="right"/>
      </w:pPr>
      <w:r w:rsidRPr="004B11AC">
        <w:rPr>
          <w:color w:val="FF0000"/>
          <w:sz w:val="22"/>
          <w:szCs w:val="22"/>
        </w:rPr>
        <w:t xml:space="preserve">  </w:t>
      </w:r>
      <w:r w:rsidRPr="004B11AC">
        <w:rPr>
          <w:color w:val="FF0000"/>
          <w:sz w:val="22"/>
          <w:szCs w:val="22"/>
        </w:rPr>
        <w:tab/>
      </w:r>
      <w:r w:rsidRPr="004B11AC">
        <w:rPr>
          <w:color w:val="FF0000"/>
          <w:sz w:val="22"/>
          <w:szCs w:val="22"/>
        </w:rPr>
        <w:tab/>
      </w:r>
      <w:r w:rsidRPr="004B11AC">
        <w:rPr>
          <w:color w:val="FF0000"/>
          <w:sz w:val="22"/>
          <w:szCs w:val="22"/>
        </w:rPr>
        <w:tab/>
      </w:r>
      <w:r w:rsidRPr="004B11AC">
        <w:rPr>
          <w:color w:val="FF0000"/>
          <w:sz w:val="22"/>
          <w:szCs w:val="22"/>
        </w:rPr>
        <w:tab/>
      </w:r>
      <w:r w:rsidRPr="004B11AC">
        <w:rPr>
          <w:color w:val="FF0000"/>
          <w:sz w:val="22"/>
          <w:szCs w:val="22"/>
        </w:rPr>
        <w:tab/>
      </w:r>
      <w:r w:rsidRPr="004B11AC">
        <w:rPr>
          <w:color w:val="FF0000"/>
          <w:sz w:val="22"/>
          <w:szCs w:val="22"/>
        </w:rPr>
        <w:tab/>
      </w:r>
      <w:r w:rsidRPr="004B11AC">
        <w:rPr>
          <w:color w:val="FF0000"/>
          <w:sz w:val="22"/>
          <w:szCs w:val="22"/>
        </w:rPr>
        <w:tab/>
      </w:r>
      <w:r w:rsidRPr="004B11AC">
        <w:rPr>
          <w:color w:val="FF0000"/>
          <w:sz w:val="22"/>
          <w:szCs w:val="22"/>
        </w:rPr>
        <w:tab/>
      </w:r>
      <w:r w:rsidRPr="004B11AC">
        <w:rPr>
          <w:color w:val="FF0000"/>
          <w:sz w:val="22"/>
          <w:szCs w:val="22"/>
        </w:rPr>
        <w:tab/>
      </w:r>
      <w:r w:rsidRPr="004B11AC">
        <w:rPr>
          <w:color w:val="FF0000"/>
          <w:sz w:val="22"/>
          <w:szCs w:val="22"/>
        </w:rPr>
        <w:tab/>
      </w:r>
      <w:r w:rsidRPr="004B11AC">
        <w:rPr>
          <w:color w:val="FF0000"/>
          <w:sz w:val="22"/>
          <w:szCs w:val="22"/>
        </w:rPr>
        <w:tab/>
      </w:r>
      <w:r w:rsidRPr="004B11AC">
        <w:rPr>
          <w:color w:val="FF0000"/>
          <w:sz w:val="22"/>
          <w:szCs w:val="22"/>
        </w:rPr>
        <w:tab/>
      </w:r>
      <w:r w:rsidRPr="00FD2E73">
        <w:rPr>
          <w:sz w:val="22"/>
          <w:szCs w:val="22"/>
        </w:rPr>
        <w:t xml:space="preserve">      </w:t>
      </w:r>
      <w:r w:rsidRPr="00FD2E73">
        <w:t xml:space="preserve">v tis. Kč </w:t>
      </w:r>
    </w:p>
    <w:tbl>
      <w:tblPr>
        <w:tblW w:w="1000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32"/>
        <w:gridCol w:w="1260"/>
        <w:gridCol w:w="1260"/>
        <w:gridCol w:w="1260"/>
        <w:gridCol w:w="1260"/>
        <w:gridCol w:w="806"/>
        <w:gridCol w:w="727"/>
      </w:tblGrid>
      <w:tr w:rsidR="00DE0323" w:rsidRPr="00FD2E73" w14:paraId="6CE9F876" w14:textId="77777777" w:rsidTr="0087450A">
        <w:trPr>
          <w:tblHeader/>
        </w:trPr>
        <w:tc>
          <w:tcPr>
            <w:tcW w:w="3432" w:type="dxa"/>
            <w:vAlign w:val="center"/>
          </w:tcPr>
          <w:p w14:paraId="5C195412" w14:textId="77777777" w:rsidR="00DE0323" w:rsidRPr="00FD2E73" w:rsidRDefault="00DE0323" w:rsidP="00DE0323">
            <w:pPr>
              <w:jc w:val="center"/>
              <w:rPr>
                <w:sz w:val="23"/>
                <w:szCs w:val="23"/>
              </w:rPr>
            </w:pPr>
            <w:r w:rsidRPr="00FD2E73">
              <w:rPr>
                <w:sz w:val="23"/>
                <w:szCs w:val="23"/>
              </w:rPr>
              <w:t>Název ukazatele</w:t>
            </w:r>
          </w:p>
        </w:tc>
        <w:tc>
          <w:tcPr>
            <w:tcW w:w="1260" w:type="dxa"/>
            <w:vAlign w:val="center"/>
          </w:tcPr>
          <w:p w14:paraId="52BB0FDA" w14:textId="77777777" w:rsidR="00DE0323" w:rsidRPr="00FD2E73" w:rsidRDefault="00DE0323" w:rsidP="00DE0323">
            <w:pPr>
              <w:jc w:val="center"/>
              <w:rPr>
                <w:sz w:val="22"/>
              </w:rPr>
            </w:pPr>
            <w:r w:rsidRPr="00FD2E73">
              <w:rPr>
                <w:sz w:val="22"/>
              </w:rPr>
              <w:t>Skutečnost</w:t>
            </w:r>
          </w:p>
          <w:p w14:paraId="6D5C0BD0" w14:textId="77777777" w:rsidR="00DE0323" w:rsidRPr="00FD2E73" w:rsidRDefault="00DE0323" w:rsidP="00DE0323">
            <w:pPr>
              <w:jc w:val="center"/>
              <w:rPr>
                <w:sz w:val="22"/>
              </w:rPr>
            </w:pPr>
            <w:r w:rsidRPr="00FD2E73">
              <w:rPr>
                <w:sz w:val="22"/>
              </w:rPr>
              <w:t>2018</w:t>
            </w:r>
          </w:p>
        </w:tc>
        <w:tc>
          <w:tcPr>
            <w:tcW w:w="1260" w:type="dxa"/>
            <w:vAlign w:val="center"/>
          </w:tcPr>
          <w:p w14:paraId="7F3E20CC" w14:textId="77777777" w:rsidR="00DE0323" w:rsidRPr="00FD2E73" w:rsidRDefault="00DE0323" w:rsidP="00DE0323">
            <w:pPr>
              <w:jc w:val="center"/>
              <w:rPr>
                <w:sz w:val="22"/>
              </w:rPr>
            </w:pPr>
            <w:r w:rsidRPr="00FD2E73">
              <w:rPr>
                <w:sz w:val="22"/>
              </w:rPr>
              <w:t>Schválený</w:t>
            </w:r>
          </w:p>
          <w:p w14:paraId="0D7D243B" w14:textId="77777777" w:rsidR="00DE0323" w:rsidRPr="00FD2E73" w:rsidRDefault="00DE0323" w:rsidP="00DE0323">
            <w:pPr>
              <w:jc w:val="center"/>
              <w:rPr>
                <w:sz w:val="22"/>
              </w:rPr>
            </w:pPr>
            <w:r w:rsidRPr="00FD2E73">
              <w:rPr>
                <w:sz w:val="22"/>
              </w:rPr>
              <w:t>rozpočet</w:t>
            </w:r>
          </w:p>
          <w:p w14:paraId="14E39120" w14:textId="77777777" w:rsidR="00DE0323" w:rsidRPr="00FD2E73" w:rsidRDefault="00DE0323" w:rsidP="00DE0323">
            <w:pPr>
              <w:jc w:val="center"/>
              <w:rPr>
                <w:sz w:val="22"/>
              </w:rPr>
            </w:pPr>
            <w:r w:rsidRPr="00FD2E73">
              <w:rPr>
                <w:sz w:val="22"/>
              </w:rPr>
              <w:t>2019</w:t>
            </w:r>
          </w:p>
        </w:tc>
        <w:tc>
          <w:tcPr>
            <w:tcW w:w="1260" w:type="dxa"/>
            <w:vAlign w:val="center"/>
          </w:tcPr>
          <w:p w14:paraId="79433A1C" w14:textId="77777777" w:rsidR="00DE0323" w:rsidRPr="00FD2E73" w:rsidRDefault="00DE0323" w:rsidP="00DE0323">
            <w:pPr>
              <w:jc w:val="center"/>
              <w:rPr>
                <w:sz w:val="22"/>
              </w:rPr>
            </w:pPr>
            <w:r w:rsidRPr="00FD2E73">
              <w:rPr>
                <w:sz w:val="22"/>
              </w:rPr>
              <w:t>Upravený</w:t>
            </w:r>
          </w:p>
          <w:p w14:paraId="23193AEF" w14:textId="77777777" w:rsidR="00DE0323" w:rsidRPr="00FD2E73" w:rsidRDefault="00DE0323" w:rsidP="00DE0323">
            <w:pPr>
              <w:jc w:val="center"/>
              <w:rPr>
                <w:sz w:val="22"/>
              </w:rPr>
            </w:pPr>
            <w:r w:rsidRPr="00FD2E73">
              <w:rPr>
                <w:sz w:val="22"/>
              </w:rPr>
              <w:t>rozpočet</w:t>
            </w:r>
          </w:p>
          <w:p w14:paraId="19F6B8EB" w14:textId="77777777" w:rsidR="00DE0323" w:rsidRPr="00FD2E73" w:rsidRDefault="00DE0323" w:rsidP="00DE0323">
            <w:pPr>
              <w:jc w:val="center"/>
              <w:rPr>
                <w:sz w:val="22"/>
              </w:rPr>
            </w:pPr>
            <w:r w:rsidRPr="00FD2E73">
              <w:rPr>
                <w:sz w:val="22"/>
              </w:rPr>
              <w:t>2019</w:t>
            </w:r>
          </w:p>
        </w:tc>
        <w:tc>
          <w:tcPr>
            <w:tcW w:w="1260" w:type="dxa"/>
            <w:vAlign w:val="center"/>
          </w:tcPr>
          <w:p w14:paraId="2920DDE6" w14:textId="77777777" w:rsidR="00DE0323" w:rsidRPr="00FD2E73" w:rsidRDefault="00DE0323" w:rsidP="00DE0323">
            <w:pPr>
              <w:jc w:val="center"/>
              <w:rPr>
                <w:sz w:val="22"/>
              </w:rPr>
            </w:pPr>
            <w:r w:rsidRPr="00FD2E73">
              <w:rPr>
                <w:sz w:val="22"/>
              </w:rPr>
              <w:t>Skutečnost</w:t>
            </w:r>
          </w:p>
          <w:p w14:paraId="6CED81D1" w14:textId="77777777" w:rsidR="00DE0323" w:rsidRPr="00FD2E73" w:rsidRDefault="00DE0323" w:rsidP="00DE0323">
            <w:pPr>
              <w:jc w:val="center"/>
              <w:rPr>
                <w:sz w:val="22"/>
              </w:rPr>
            </w:pPr>
            <w:r w:rsidRPr="00FD2E73">
              <w:rPr>
                <w:sz w:val="22"/>
              </w:rPr>
              <w:t>2019</w:t>
            </w:r>
          </w:p>
        </w:tc>
        <w:tc>
          <w:tcPr>
            <w:tcW w:w="806" w:type="dxa"/>
            <w:vAlign w:val="center"/>
          </w:tcPr>
          <w:p w14:paraId="6E9A10C8" w14:textId="77777777" w:rsidR="00DE0323" w:rsidRPr="00FD2E73" w:rsidRDefault="00DE0323" w:rsidP="00DE0323">
            <w:pPr>
              <w:jc w:val="center"/>
              <w:rPr>
                <w:sz w:val="22"/>
                <w:szCs w:val="22"/>
              </w:rPr>
            </w:pPr>
            <w:r w:rsidRPr="00FD2E73">
              <w:rPr>
                <w:sz w:val="22"/>
                <w:szCs w:val="22"/>
              </w:rPr>
              <w:t>Plnění</w:t>
            </w:r>
          </w:p>
          <w:p w14:paraId="2782AB30" w14:textId="77777777" w:rsidR="00DE0323" w:rsidRPr="00FD2E73" w:rsidRDefault="00DE0323" w:rsidP="00DE0323">
            <w:pPr>
              <w:jc w:val="center"/>
              <w:rPr>
                <w:sz w:val="22"/>
                <w:szCs w:val="22"/>
              </w:rPr>
            </w:pPr>
            <w:r w:rsidRPr="00FD2E73">
              <w:rPr>
                <w:sz w:val="22"/>
                <w:szCs w:val="22"/>
              </w:rPr>
              <w:t>v  %</w:t>
            </w:r>
          </w:p>
        </w:tc>
        <w:tc>
          <w:tcPr>
            <w:tcW w:w="727" w:type="dxa"/>
          </w:tcPr>
          <w:p w14:paraId="5AEE24E1" w14:textId="77777777" w:rsidR="00DE0323" w:rsidRPr="00FD2E73" w:rsidRDefault="00DE0323" w:rsidP="00DE0323">
            <w:pPr>
              <w:jc w:val="center"/>
              <w:rPr>
                <w:sz w:val="22"/>
                <w:szCs w:val="22"/>
              </w:rPr>
            </w:pPr>
            <w:r w:rsidRPr="00FD2E73">
              <w:rPr>
                <w:sz w:val="22"/>
                <w:szCs w:val="22"/>
              </w:rPr>
              <w:t>Index</w:t>
            </w:r>
          </w:p>
          <w:p w14:paraId="7D09C0C6" w14:textId="77777777" w:rsidR="00DE0323" w:rsidRPr="00FD2E73" w:rsidRDefault="00DE0323" w:rsidP="00DE0323">
            <w:pPr>
              <w:jc w:val="center"/>
              <w:rPr>
                <w:sz w:val="22"/>
                <w:szCs w:val="22"/>
              </w:rPr>
            </w:pPr>
            <w:r w:rsidRPr="00FD2E73">
              <w:rPr>
                <w:sz w:val="22"/>
                <w:szCs w:val="22"/>
              </w:rPr>
              <w:t>19/18</w:t>
            </w:r>
          </w:p>
          <w:p w14:paraId="7A35617D" w14:textId="77777777" w:rsidR="00DE0323" w:rsidRPr="00FD2E73" w:rsidRDefault="00DE0323" w:rsidP="00DE0323">
            <w:pPr>
              <w:jc w:val="center"/>
              <w:rPr>
                <w:sz w:val="22"/>
                <w:szCs w:val="22"/>
              </w:rPr>
            </w:pPr>
            <w:r w:rsidRPr="00FD2E73">
              <w:rPr>
                <w:sz w:val="22"/>
                <w:szCs w:val="22"/>
              </w:rPr>
              <w:t>(v %)</w:t>
            </w:r>
          </w:p>
        </w:tc>
      </w:tr>
      <w:tr w:rsidR="00DE0323" w:rsidRPr="004B11AC" w14:paraId="614088D8" w14:textId="77777777" w:rsidTr="0087450A">
        <w:trPr>
          <w:tblHeader/>
        </w:trPr>
        <w:tc>
          <w:tcPr>
            <w:tcW w:w="3432" w:type="dxa"/>
          </w:tcPr>
          <w:p w14:paraId="66EDB10A" w14:textId="77777777" w:rsidR="00DE0323" w:rsidRPr="00FD2E73" w:rsidRDefault="00DE0323" w:rsidP="00DE0323">
            <w:pPr>
              <w:rPr>
                <w:b/>
              </w:rPr>
            </w:pPr>
            <w:r w:rsidRPr="00FD2E73">
              <w:rPr>
                <w:b/>
                <w:sz w:val="22"/>
                <w:szCs w:val="22"/>
              </w:rPr>
              <w:t>Drážní a kombinovaná doprava</w:t>
            </w:r>
          </w:p>
        </w:tc>
        <w:tc>
          <w:tcPr>
            <w:tcW w:w="1260" w:type="dxa"/>
            <w:vAlign w:val="center"/>
          </w:tcPr>
          <w:p w14:paraId="47ADB54F" w14:textId="77777777" w:rsidR="00DE0323" w:rsidRPr="00FD2E73" w:rsidRDefault="00DE0323" w:rsidP="00DE0323">
            <w:pPr>
              <w:jc w:val="right"/>
              <w:rPr>
                <w:b/>
                <w:sz w:val="22"/>
                <w:szCs w:val="22"/>
              </w:rPr>
            </w:pPr>
            <w:r w:rsidRPr="00FD2E73">
              <w:rPr>
                <w:b/>
                <w:sz w:val="22"/>
                <w:szCs w:val="22"/>
              </w:rPr>
              <w:t>7 605 069</w:t>
            </w:r>
          </w:p>
        </w:tc>
        <w:tc>
          <w:tcPr>
            <w:tcW w:w="1260" w:type="dxa"/>
            <w:vAlign w:val="center"/>
          </w:tcPr>
          <w:p w14:paraId="6E116805" w14:textId="77777777" w:rsidR="00DE0323" w:rsidRPr="00FD2E73" w:rsidRDefault="00DE0323" w:rsidP="00DE0323">
            <w:pPr>
              <w:ind w:left="-108"/>
              <w:jc w:val="right"/>
              <w:rPr>
                <w:b/>
                <w:sz w:val="22"/>
                <w:szCs w:val="22"/>
              </w:rPr>
            </w:pPr>
            <w:r w:rsidRPr="00FD2E73">
              <w:rPr>
                <w:b/>
                <w:sz w:val="22"/>
                <w:szCs w:val="22"/>
              </w:rPr>
              <w:t>8 269 379</w:t>
            </w:r>
          </w:p>
        </w:tc>
        <w:tc>
          <w:tcPr>
            <w:tcW w:w="1260" w:type="dxa"/>
            <w:vAlign w:val="center"/>
          </w:tcPr>
          <w:p w14:paraId="2CD07D3B" w14:textId="77777777" w:rsidR="00DE0323" w:rsidRPr="00FD2E73" w:rsidRDefault="00DE0323" w:rsidP="00DE0323">
            <w:pPr>
              <w:ind w:left="-108"/>
              <w:jc w:val="right"/>
              <w:rPr>
                <w:b/>
                <w:sz w:val="22"/>
                <w:szCs w:val="22"/>
              </w:rPr>
            </w:pPr>
            <w:r w:rsidRPr="00FD2E73">
              <w:rPr>
                <w:b/>
                <w:sz w:val="22"/>
                <w:szCs w:val="22"/>
              </w:rPr>
              <w:t>8 110 879</w:t>
            </w:r>
          </w:p>
        </w:tc>
        <w:tc>
          <w:tcPr>
            <w:tcW w:w="1260" w:type="dxa"/>
            <w:vAlign w:val="center"/>
          </w:tcPr>
          <w:p w14:paraId="55610C2F" w14:textId="77777777" w:rsidR="00DE0323" w:rsidRPr="00FD2E73" w:rsidRDefault="00DE0323" w:rsidP="00DE0323">
            <w:pPr>
              <w:jc w:val="right"/>
              <w:rPr>
                <w:b/>
                <w:sz w:val="22"/>
                <w:szCs w:val="22"/>
              </w:rPr>
            </w:pPr>
            <w:r w:rsidRPr="00FD2E73">
              <w:rPr>
                <w:b/>
                <w:sz w:val="22"/>
                <w:szCs w:val="22"/>
              </w:rPr>
              <w:t>7 504 66</w:t>
            </w:r>
            <w:r w:rsidR="00263F4E">
              <w:rPr>
                <w:b/>
                <w:sz w:val="22"/>
                <w:szCs w:val="22"/>
              </w:rPr>
              <w:t>2</w:t>
            </w:r>
          </w:p>
        </w:tc>
        <w:tc>
          <w:tcPr>
            <w:tcW w:w="806" w:type="dxa"/>
            <w:vAlign w:val="center"/>
          </w:tcPr>
          <w:p w14:paraId="071D596B" w14:textId="77777777" w:rsidR="00DE0323" w:rsidRPr="00FD2E73" w:rsidRDefault="00DE0323" w:rsidP="00DE0323">
            <w:pPr>
              <w:jc w:val="right"/>
              <w:rPr>
                <w:b/>
                <w:sz w:val="18"/>
                <w:szCs w:val="18"/>
              </w:rPr>
            </w:pPr>
            <w:r w:rsidRPr="00FD2E73">
              <w:rPr>
                <w:b/>
                <w:sz w:val="18"/>
                <w:szCs w:val="18"/>
              </w:rPr>
              <w:t>92,53</w:t>
            </w:r>
          </w:p>
        </w:tc>
        <w:tc>
          <w:tcPr>
            <w:tcW w:w="727" w:type="dxa"/>
            <w:vAlign w:val="center"/>
          </w:tcPr>
          <w:p w14:paraId="0BFC1865" w14:textId="77777777" w:rsidR="00DE0323" w:rsidRPr="00FD2E73" w:rsidRDefault="00DE0323" w:rsidP="00DE0323">
            <w:pPr>
              <w:jc w:val="right"/>
              <w:rPr>
                <w:b/>
                <w:sz w:val="18"/>
                <w:szCs w:val="18"/>
              </w:rPr>
            </w:pPr>
            <w:r w:rsidRPr="00FD2E73">
              <w:rPr>
                <w:b/>
                <w:sz w:val="18"/>
                <w:szCs w:val="18"/>
              </w:rPr>
              <w:t>98,68</w:t>
            </w:r>
          </w:p>
        </w:tc>
      </w:tr>
      <w:tr w:rsidR="00DE0323" w:rsidRPr="004B11AC" w14:paraId="6FC7B9D2" w14:textId="77777777" w:rsidTr="0087450A">
        <w:trPr>
          <w:tblHeader/>
        </w:trPr>
        <w:tc>
          <w:tcPr>
            <w:tcW w:w="3432" w:type="dxa"/>
          </w:tcPr>
          <w:p w14:paraId="03CEC27B" w14:textId="77777777" w:rsidR="00DE0323" w:rsidRPr="00FD2E73" w:rsidRDefault="00DE0323" w:rsidP="00DE0323">
            <w:pPr>
              <w:rPr>
                <w:b/>
              </w:rPr>
            </w:pPr>
            <w:r w:rsidRPr="00FD2E73">
              <w:rPr>
                <w:b/>
                <w:sz w:val="22"/>
                <w:szCs w:val="22"/>
              </w:rPr>
              <w:t>Pozemní komunikace</w:t>
            </w:r>
          </w:p>
        </w:tc>
        <w:tc>
          <w:tcPr>
            <w:tcW w:w="1260" w:type="dxa"/>
            <w:vAlign w:val="center"/>
          </w:tcPr>
          <w:p w14:paraId="2E078D66" w14:textId="77777777" w:rsidR="00DE0323" w:rsidRPr="00FD2E73" w:rsidRDefault="00DE0323" w:rsidP="00DE0323">
            <w:pPr>
              <w:jc w:val="right"/>
              <w:rPr>
                <w:b/>
                <w:sz w:val="22"/>
                <w:szCs w:val="22"/>
              </w:rPr>
            </w:pPr>
            <w:r w:rsidRPr="00FD2E73">
              <w:rPr>
                <w:b/>
                <w:sz w:val="22"/>
                <w:szCs w:val="22"/>
              </w:rPr>
              <w:t>0</w:t>
            </w:r>
          </w:p>
        </w:tc>
        <w:tc>
          <w:tcPr>
            <w:tcW w:w="1260" w:type="dxa"/>
            <w:vAlign w:val="center"/>
          </w:tcPr>
          <w:p w14:paraId="72C85C0A" w14:textId="77777777" w:rsidR="00DE0323" w:rsidRPr="00FD2E73" w:rsidRDefault="00DE0323" w:rsidP="00DE0323">
            <w:pPr>
              <w:jc w:val="right"/>
              <w:rPr>
                <w:b/>
              </w:rPr>
            </w:pPr>
            <w:r w:rsidRPr="00FD2E73">
              <w:rPr>
                <w:b/>
                <w:sz w:val="22"/>
                <w:szCs w:val="22"/>
              </w:rPr>
              <w:t>0</w:t>
            </w:r>
          </w:p>
        </w:tc>
        <w:tc>
          <w:tcPr>
            <w:tcW w:w="1260" w:type="dxa"/>
            <w:vAlign w:val="center"/>
          </w:tcPr>
          <w:p w14:paraId="0B7FF19C" w14:textId="77777777" w:rsidR="00DE0323" w:rsidRPr="00FD2E73" w:rsidRDefault="00DE0323" w:rsidP="00DE0323">
            <w:pPr>
              <w:jc w:val="right"/>
              <w:rPr>
                <w:b/>
                <w:sz w:val="22"/>
                <w:szCs w:val="22"/>
              </w:rPr>
            </w:pPr>
            <w:r w:rsidRPr="00FD2E73">
              <w:rPr>
                <w:b/>
                <w:sz w:val="22"/>
                <w:szCs w:val="22"/>
              </w:rPr>
              <w:t>0</w:t>
            </w:r>
          </w:p>
        </w:tc>
        <w:tc>
          <w:tcPr>
            <w:tcW w:w="1260" w:type="dxa"/>
            <w:vAlign w:val="center"/>
          </w:tcPr>
          <w:p w14:paraId="46649875" w14:textId="77777777" w:rsidR="00DE0323" w:rsidRPr="00FD2E73" w:rsidRDefault="00DE0323" w:rsidP="00DE0323">
            <w:pPr>
              <w:jc w:val="right"/>
              <w:rPr>
                <w:b/>
                <w:sz w:val="22"/>
                <w:szCs w:val="22"/>
              </w:rPr>
            </w:pPr>
            <w:r w:rsidRPr="00FD2E73">
              <w:rPr>
                <w:b/>
                <w:sz w:val="22"/>
                <w:szCs w:val="22"/>
              </w:rPr>
              <w:t>0</w:t>
            </w:r>
          </w:p>
        </w:tc>
        <w:tc>
          <w:tcPr>
            <w:tcW w:w="806" w:type="dxa"/>
            <w:vAlign w:val="center"/>
          </w:tcPr>
          <w:p w14:paraId="1C398F7B" w14:textId="77777777" w:rsidR="00DE0323" w:rsidRPr="00FD2E73" w:rsidRDefault="00DE0323" w:rsidP="00DE0323">
            <w:pPr>
              <w:jc w:val="right"/>
              <w:rPr>
                <w:b/>
                <w:sz w:val="18"/>
                <w:szCs w:val="18"/>
              </w:rPr>
            </w:pPr>
            <w:r w:rsidRPr="00FD2E73">
              <w:rPr>
                <w:b/>
                <w:sz w:val="18"/>
                <w:szCs w:val="18"/>
              </w:rPr>
              <w:t>x</w:t>
            </w:r>
          </w:p>
        </w:tc>
        <w:tc>
          <w:tcPr>
            <w:tcW w:w="727" w:type="dxa"/>
            <w:vAlign w:val="center"/>
          </w:tcPr>
          <w:p w14:paraId="67422664" w14:textId="77777777" w:rsidR="00DE0323" w:rsidRPr="00FD2E73" w:rsidRDefault="00DE0323" w:rsidP="00DE0323">
            <w:pPr>
              <w:jc w:val="right"/>
              <w:rPr>
                <w:b/>
                <w:sz w:val="18"/>
                <w:szCs w:val="18"/>
              </w:rPr>
            </w:pPr>
            <w:r w:rsidRPr="00FD2E73">
              <w:rPr>
                <w:b/>
                <w:sz w:val="18"/>
                <w:szCs w:val="18"/>
              </w:rPr>
              <w:t>x</w:t>
            </w:r>
          </w:p>
        </w:tc>
      </w:tr>
      <w:tr w:rsidR="00DE0323" w:rsidRPr="004B11AC" w14:paraId="71047731" w14:textId="77777777" w:rsidTr="0087450A">
        <w:trPr>
          <w:tblHeader/>
        </w:trPr>
        <w:tc>
          <w:tcPr>
            <w:tcW w:w="3432" w:type="dxa"/>
          </w:tcPr>
          <w:p w14:paraId="5C3091EB" w14:textId="77777777" w:rsidR="00DE0323" w:rsidRPr="00FD2E73" w:rsidRDefault="00DE0323" w:rsidP="00DE0323">
            <w:pPr>
              <w:rPr>
                <w:b/>
              </w:rPr>
            </w:pPr>
            <w:r w:rsidRPr="00FD2E73">
              <w:rPr>
                <w:b/>
                <w:sz w:val="22"/>
                <w:szCs w:val="22"/>
              </w:rPr>
              <w:t>Dotace pro SFDI</w:t>
            </w:r>
          </w:p>
        </w:tc>
        <w:tc>
          <w:tcPr>
            <w:tcW w:w="1260" w:type="dxa"/>
            <w:vAlign w:val="center"/>
          </w:tcPr>
          <w:p w14:paraId="4E5ABC1D" w14:textId="77777777" w:rsidR="00DE0323" w:rsidRPr="00FD2E73" w:rsidRDefault="00DE0323" w:rsidP="00DE0323">
            <w:pPr>
              <w:jc w:val="right"/>
              <w:rPr>
                <w:b/>
                <w:sz w:val="22"/>
                <w:szCs w:val="22"/>
              </w:rPr>
            </w:pPr>
            <w:r w:rsidRPr="00FD2E73">
              <w:rPr>
                <w:b/>
                <w:sz w:val="22"/>
                <w:szCs w:val="22"/>
              </w:rPr>
              <w:t>39 157 397</w:t>
            </w:r>
          </w:p>
        </w:tc>
        <w:tc>
          <w:tcPr>
            <w:tcW w:w="1260" w:type="dxa"/>
            <w:vAlign w:val="center"/>
          </w:tcPr>
          <w:p w14:paraId="09EF72EA" w14:textId="77777777" w:rsidR="00DE0323" w:rsidRPr="00FD2E73" w:rsidRDefault="00DE0323" w:rsidP="00DE0323">
            <w:pPr>
              <w:jc w:val="right"/>
              <w:rPr>
                <w:b/>
              </w:rPr>
            </w:pPr>
            <w:r w:rsidRPr="00FD2E73">
              <w:rPr>
                <w:b/>
                <w:sz w:val="22"/>
                <w:szCs w:val="22"/>
              </w:rPr>
              <w:t>54 746 044</w:t>
            </w:r>
          </w:p>
        </w:tc>
        <w:tc>
          <w:tcPr>
            <w:tcW w:w="1260" w:type="dxa"/>
            <w:vAlign w:val="center"/>
          </w:tcPr>
          <w:p w14:paraId="42182E55" w14:textId="77777777" w:rsidR="00DE0323" w:rsidRPr="00FD2E73" w:rsidRDefault="00DE0323" w:rsidP="00DE0323">
            <w:pPr>
              <w:jc w:val="center"/>
              <w:rPr>
                <w:b/>
                <w:sz w:val="22"/>
                <w:szCs w:val="22"/>
              </w:rPr>
            </w:pPr>
            <w:r w:rsidRPr="00FD2E73">
              <w:rPr>
                <w:b/>
                <w:sz w:val="22"/>
                <w:szCs w:val="22"/>
              </w:rPr>
              <w:t>58 646 044</w:t>
            </w:r>
          </w:p>
        </w:tc>
        <w:tc>
          <w:tcPr>
            <w:tcW w:w="1260" w:type="dxa"/>
            <w:vAlign w:val="center"/>
          </w:tcPr>
          <w:p w14:paraId="34B65CFA" w14:textId="77777777" w:rsidR="00DE0323" w:rsidRPr="00FD2E73" w:rsidRDefault="00DE0323" w:rsidP="00DE0323">
            <w:pPr>
              <w:jc w:val="right"/>
              <w:rPr>
                <w:b/>
                <w:sz w:val="22"/>
                <w:szCs w:val="22"/>
              </w:rPr>
            </w:pPr>
            <w:r w:rsidRPr="00FD2E73">
              <w:rPr>
                <w:b/>
                <w:sz w:val="22"/>
                <w:szCs w:val="22"/>
              </w:rPr>
              <w:t>58 709 877</w:t>
            </w:r>
          </w:p>
        </w:tc>
        <w:tc>
          <w:tcPr>
            <w:tcW w:w="806" w:type="dxa"/>
            <w:vAlign w:val="center"/>
          </w:tcPr>
          <w:p w14:paraId="5319C473" w14:textId="77777777" w:rsidR="00DE0323" w:rsidRPr="00FD2E73" w:rsidRDefault="00DE0323" w:rsidP="00DE0323">
            <w:pPr>
              <w:jc w:val="right"/>
              <w:rPr>
                <w:b/>
                <w:sz w:val="18"/>
                <w:szCs w:val="18"/>
              </w:rPr>
            </w:pPr>
            <w:r w:rsidRPr="00FD2E73">
              <w:rPr>
                <w:b/>
                <w:sz w:val="18"/>
                <w:szCs w:val="18"/>
              </w:rPr>
              <w:t>100,11</w:t>
            </w:r>
          </w:p>
        </w:tc>
        <w:tc>
          <w:tcPr>
            <w:tcW w:w="727" w:type="dxa"/>
            <w:vAlign w:val="center"/>
          </w:tcPr>
          <w:p w14:paraId="1E92639E" w14:textId="77777777" w:rsidR="00DE0323" w:rsidRPr="00FD2E73" w:rsidRDefault="00DE0323" w:rsidP="00DE0323">
            <w:pPr>
              <w:jc w:val="right"/>
              <w:rPr>
                <w:b/>
                <w:sz w:val="18"/>
                <w:szCs w:val="18"/>
              </w:rPr>
            </w:pPr>
            <w:r w:rsidRPr="00FD2E73">
              <w:rPr>
                <w:b/>
                <w:sz w:val="18"/>
                <w:szCs w:val="18"/>
              </w:rPr>
              <w:t>149,93</w:t>
            </w:r>
          </w:p>
        </w:tc>
      </w:tr>
      <w:tr w:rsidR="00DE0323" w:rsidRPr="004B11AC" w14:paraId="207A4E2E" w14:textId="77777777" w:rsidTr="0087450A">
        <w:trPr>
          <w:tblHeader/>
        </w:trPr>
        <w:tc>
          <w:tcPr>
            <w:tcW w:w="3432" w:type="dxa"/>
          </w:tcPr>
          <w:p w14:paraId="535D87FD" w14:textId="77777777" w:rsidR="00DE0323" w:rsidRPr="00FD2E73" w:rsidRDefault="00DE0323" w:rsidP="00DE0323">
            <w:pPr>
              <w:rPr>
                <w:sz w:val="20"/>
                <w:szCs w:val="20"/>
              </w:rPr>
            </w:pPr>
            <w:r w:rsidRPr="00FD2E73">
              <w:rPr>
                <w:sz w:val="20"/>
                <w:szCs w:val="20"/>
              </w:rPr>
              <w:t>v tom: dotace pro spol. progr. EU a ČR</w:t>
            </w:r>
          </w:p>
        </w:tc>
        <w:tc>
          <w:tcPr>
            <w:tcW w:w="1260" w:type="dxa"/>
            <w:vAlign w:val="center"/>
          </w:tcPr>
          <w:p w14:paraId="4636D20C" w14:textId="77777777" w:rsidR="00DE0323" w:rsidRPr="00FD2E73" w:rsidRDefault="00DE0323" w:rsidP="00DE0323">
            <w:pPr>
              <w:jc w:val="right"/>
              <w:rPr>
                <w:sz w:val="20"/>
                <w:szCs w:val="20"/>
              </w:rPr>
            </w:pPr>
            <w:r w:rsidRPr="00FD2E73">
              <w:rPr>
                <w:sz w:val="20"/>
                <w:szCs w:val="20"/>
              </w:rPr>
              <w:t>14 095 536</w:t>
            </w:r>
          </w:p>
        </w:tc>
        <w:tc>
          <w:tcPr>
            <w:tcW w:w="1260" w:type="dxa"/>
            <w:vAlign w:val="center"/>
          </w:tcPr>
          <w:p w14:paraId="4024E7BB" w14:textId="77777777" w:rsidR="00DE0323" w:rsidRPr="00FD2E73" w:rsidRDefault="00DE0323" w:rsidP="00DE0323">
            <w:pPr>
              <w:jc w:val="right"/>
              <w:rPr>
                <w:sz w:val="20"/>
                <w:szCs w:val="20"/>
              </w:rPr>
            </w:pPr>
            <w:r w:rsidRPr="00FD2E73">
              <w:rPr>
                <w:sz w:val="20"/>
                <w:szCs w:val="20"/>
              </w:rPr>
              <w:t>18 749 713</w:t>
            </w:r>
          </w:p>
        </w:tc>
        <w:tc>
          <w:tcPr>
            <w:tcW w:w="1260" w:type="dxa"/>
            <w:vAlign w:val="center"/>
          </w:tcPr>
          <w:p w14:paraId="62DAD4D0" w14:textId="77777777" w:rsidR="00DE0323" w:rsidRPr="00FD2E73" w:rsidRDefault="00DE0323" w:rsidP="00DE0323">
            <w:pPr>
              <w:jc w:val="right"/>
              <w:rPr>
                <w:sz w:val="20"/>
                <w:szCs w:val="20"/>
              </w:rPr>
            </w:pPr>
            <w:r w:rsidRPr="00FD2E73">
              <w:rPr>
                <w:sz w:val="20"/>
                <w:szCs w:val="20"/>
              </w:rPr>
              <w:t>18 749 713</w:t>
            </w:r>
          </w:p>
        </w:tc>
        <w:tc>
          <w:tcPr>
            <w:tcW w:w="1260" w:type="dxa"/>
            <w:vAlign w:val="center"/>
          </w:tcPr>
          <w:p w14:paraId="00230E47" w14:textId="77777777" w:rsidR="00DE0323" w:rsidRPr="00FD2E73" w:rsidRDefault="00DE0323" w:rsidP="00DE0323">
            <w:pPr>
              <w:jc w:val="right"/>
              <w:rPr>
                <w:sz w:val="20"/>
                <w:szCs w:val="20"/>
              </w:rPr>
            </w:pPr>
            <w:r w:rsidRPr="00FD2E73">
              <w:rPr>
                <w:sz w:val="20"/>
                <w:szCs w:val="20"/>
              </w:rPr>
              <w:t>17 615 947</w:t>
            </w:r>
          </w:p>
        </w:tc>
        <w:tc>
          <w:tcPr>
            <w:tcW w:w="806" w:type="dxa"/>
            <w:vAlign w:val="center"/>
          </w:tcPr>
          <w:p w14:paraId="5BE75DAF" w14:textId="77777777" w:rsidR="00DE0323" w:rsidRPr="00FD2E73" w:rsidRDefault="00DE0323" w:rsidP="00DE0323">
            <w:pPr>
              <w:jc w:val="right"/>
              <w:rPr>
                <w:sz w:val="18"/>
                <w:szCs w:val="18"/>
              </w:rPr>
            </w:pPr>
            <w:r w:rsidRPr="00FD2E73">
              <w:rPr>
                <w:sz w:val="18"/>
                <w:szCs w:val="18"/>
              </w:rPr>
              <w:t>93,95</w:t>
            </w:r>
          </w:p>
        </w:tc>
        <w:tc>
          <w:tcPr>
            <w:tcW w:w="727" w:type="dxa"/>
            <w:vAlign w:val="center"/>
          </w:tcPr>
          <w:p w14:paraId="5601DCA3" w14:textId="77777777" w:rsidR="00DE0323" w:rsidRPr="00FD2E73" w:rsidRDefault="00DE0323" w:rsidP="00DE0323">
            <w:pPr>
              <w:jc w:val="right"/>
              <w:rPr>
                <w:sz w:val="18"/>
                <w:szCs w:val="18"/>
              </w:rPr>
            </w:pPr>
            <w:r w:rsidRPr="00FD2E73">
              <w:rPr>
                <w:sz w:val="18"/>
                <w:szCs w:val="18"/>
              </w:rPr>
              <w:t>124,98</w:t>
            </w:r>
          </w:p>
        </w:tc>
      </w:tr>
      <w:tr w:rsidR="00DE0323" w:rsidRPr="004B11AC" w14:paraId="5B33A30B" w14:textId="77777777" w:rsidTr="0087450A">
        <w:trPr>
          <w:tblHeader/>
        </w:trPr>
        <w:tc>
          <w:tcPr>
            <w:tcW w:w="3432" w:type="dxa"/>
          </w:tcPr>
          <w:p w14:paraId="0F1602F2" w14:textId="77777777" w:rsidR="00DE0323" w:rsidRPr="00FD2E73" w:rsidRDefault="00DE0323" w:rsidP="00DE0323">
            <w:pPr>
              <w:ind w:left="720" w:hanging="360"/>
              <w:rPr>
                <w:sz w:val="20"/>
                <w:szCs w:val="20"/>
              </w:rPr>
            </w:pPr>
            <w:r w:rsidRPr="00FD2E73">
              <w:rPr>
                <w:sz w:val="20"/>
                <w:szCs w:val="20"/>
              </w:rPr>
              <w:t xml:space="preserve">    dotace na projekty spol. z EIB</w:t>
            </w:r>
          </w:p>
        </w:tc>
        <w:tc>
          <w:tcPr>
            <w:tcW w:w="1260" w:type="dxa"/>
            <w:vAlign w:val="center"/>
          </w:tcPr>
          <w:p w14:paraId="5A7BB549" w14:textId="77777777" w:rsidR="00DE0323" w:rsidRPr="00FD2E73" w:rsidRDefault="00DE0323" w:rsidP="00DE0323">
            <w:pPr>
              <w:jc w:val="right"/>
              <w:rPr>
                <w:sz w:val="20"/>
                <w:szCs w:val="20"/>
              </w:rPr>
            </w:pPr>
            <w:r w:rsidRPr="00FD2E73">
              <w:rPr>
                <w:sz w:val="20"/>
                <w:szCs w:val="20"/>
              </w:rPr>
              <w:t>0</w:t>
            </w:r>
          </w:p>
        </w:tc>
        <w:tc>
          <w:tcPr>
            <w:tcW w:w="1260" w:type="dxa"/>
            <w:vAlign w:val="center"/>
          </w:tcPr>
          <w:p w14:paraId="56E69446" w14:textId="77777777" w:rsidR="00DE0323" w:rsidRPr="00FD2E73" w:rsidRDefault="00DE0323" w:rsidP="00DE0323">
            <w:pPr>
              <w:jc w:val="right"/>
              <w:rPr>
                <w:sz w:val="20"/>
                <w:szCs w:val="20"/>
              </w:rPr>
            </w:pPr>
            <w:r w:rsidRPr="00FD2E73">
              <w:rPr>
                <w:sz w:val="20"/>
                <w:szCs w:val="20"/>
              </w:rPr>
              <w:t>0</w:t>
            </w:r>
          </w:p>
        </w:tc>
        <w:tc>
          <w:tcPr>
            <w:tcW w:w="1260" w:type="dxa"/>
            <w:vAlign w:val="center"/>
          </w:tcPr>
          <w:p w14:paraId="66D32AB4" w14:textId="77777777" w:rsidR="00DE0323" w:rsidRPr="00FD2E73" w:rsidRDefault="00DE0323" w:rsidP="00DE0323">
            <w:pPr>
              <w:jc w:val="right"/>
              <w:rPr>
                <w:sz w:val="20"/>
                <w:szCs w:val="20"/>
              </w:rPr>
            </w:pPr>
            <w:r w:rsidRPr="00FD2E73">
              <w:rPr>
                <w:sz w:val="20"/>
                <w:szCs w:val="20"/>
              </w:rPr>
              <w:t>0</w:t>
            </w:r>
          </w:p>
        </w:tc>
        <w:tc>
          <w:tcPr>
            <w:tcW w:w="1260" w:type="dxa"/>
            <w:vAlign w:val="center"/>
          </w:tcPr>
          <w:p w14:paraId="4E1A1D19" w14:textId="77777777" w:rsidR="00DE0323" w:rsidRPr="00FD2E73" w:rsidRDefault="00DE0323" w:rsidP="00DE0323">
            <w:pPr>
              <w:jc w:val="right"/>
              <w:rPr>
                <w:sz w:val="20"/>
                <w:szCs w:val="20"/>
              </w:rPr>
            </w:pPr>
            <w:r w:rsidRPr="00FD2E73">
              <w:rPr>
                <w:sz w:val="20"/>
                <w:szCs w:val="20"/>
              </w:rPr>
              <w:t>0</w:t>
            </w:r>
          </w:p>
        </w:tc>
        <w:tc>
          <w:tcPr>
            <w:tcW w:w="806" w:type="dxa"/>
            <w:vAlign w:val="center"/>
          </w:tcPr>
          <w:p w14:paraId="5ADB1C86" w14:textId="77777777" w:rsidR="00DE0323" w:rsidRPr="00FD2E73" w:rsidRDefault="00DE0323" w:rsidP="00DE0323">
            <w:pPr>
              <w:jc w:val="right"/>
              <w:rPr>
                <w:sz w:val="18"/>
                <w:szCs w:val="18"/>
              </w:rPr>
            </w:pPr>
            <w:r w:rsidRPr="00FD2E73">
              <w:rPr>
                <w:sz w:val="18"/>
                <w:szCs w:val="18"/>
              </w:rPr>
              <w:t>x</w:t>
            </w:r>
          </w:p>
        </w:tc>
        <w:tc>
          <w:tcPr>
            <w:tcW w:w="727" w:type="dxa"/>
            <w:vAlign w:val="center"/>
          </w:tcPr>
          <w:p w14:paraId="22E235B8" w14:textId="77777777" w:rsidR="00DE0323" w:rsidRPr="00FD2E73" w:rsidRDefault="00DE0323" w:rsidP="00DE0323">
            <w:pPr>
              <w:jc w:val="right"/>
              <w:rPr>
                <w:sz w:val="18"/>
                <w:szCs w:val="18"/>
              </w:rPr>
            </w:pPr>
            <w:r w:rsidRPr="00FD2E73">
              <w:rPr>
                <w:sz w:val="18"/>
                <w:szCs w:val="18"/>
              </w:rPr>
              <w:t>x</w:t>
            </w:r>
          </w:p>
        </w:tc>
      </w:tr>
      <w:tr w:rsidR="00DE0323" w:rsidRPr="004B11AC" w14:paraId="00A7DEEF" w14:textId="77777777" w:rsidTr="0087450A">
        <w:trPr>
          <w:tblHeader/>
        </w:trPr>
        <w:tc>
          <w:tcPr>
            <w:tcW w:w="3432" w:type="dxa"/>
          </w:tcPr>
          <w:p w14:paraId="6702B69C" w14:textId="77777777" w:rsidR="00DE0323" w:rsidRPr="00FD2E73" w:rsidRDefault="00DE0323" w:rsidP="00DE0323">
            <w:pPr>
              <w:ind w:firstLine="360"/>
              <w:rPr>
                <w:sz w:val="20"/>
                <w:szCs w:val="20"/>
              </w:rPr>
            </w:pPr>
            <w:r w:rsidRPr="00FD2E73">
              <w:rPr>
                <w:sz w:val="20"/>
                <w:szCs w:val="20"/>
              </w:rPr>
              <w:t xml:space="preserve">    ostatní dotace pro SFDI</w:t>
            </w:r>
          </w:p>
        </w:tc>
        <w:tc>
          <w:tcPr>
            <w:tcW w:w="1260" w:type="dxa"/>
            <w:vAlign w:val="center"/>
          </w:tcPr>
          <w:p w14:paraId="6E2461CD" w14:textId="77777777" w:rsidR="00DE0323" w:rsidRPr="00FD2E73" w:rsidRDefault="00DE0323" w:rsidP="00DE0323">
            <w:pPr>
              <w:jc w:val="right"/>
              <w:rPr>
                <w:sz w:val="20"/>
                <w:szCs w:val="20"/>
              </w:rPr>
            </w:pPr>
            <w:r w:rsidRPr="00FD2E73">
              <w:rPr>
                <w:sz w:val="20"/>
                <w:szCs w:val="20"/>
              </w:rPr>
              <w:t>25 061 861</w:t>
            </w:r>
          </w:p>
        </w:tc>
        <w:tc>
          <w:tcPr>
            <w:tcW w:w="1260" w:type="dxa"/>
            <w:vAlign w:val="center"/>
          </w:tcPr>
          <w:p w14:paraId="04C8DB3B" w14:textId="77777777" w:rsidR="00DE0323" w:rsidRPr="00FD2E73" w:rsidRDefault="00DE0323" w:rsidP="00DE0323">
            <w:pPr>
              <w:jc w:val="right"/>
              <w:rPr>
                <w:sz w:val="20"/>
                <w:szCs w:val="20"/>
              </w:rPr>
            </w:pPr>
            <w:r w:rsidRPr="00FD2E73">
              <w:rPr>
                <w:sz w:val="20"/>
                <w:szCs w:val="20"/>
              </w:rPr>
              <w:t>35 996 331</w:t>
            </w:r>
          </w:p>
        </w:tc>
        <w:tc>
          <w:tcPr>
            <w:tcW w:w="1260" w:type="dxa"/>
            <w:vAlign w:val="center"/>
          </w:tcPr>
          <w:p w14:paraId="288F0D53" w14:textId="77777777" w:rsidR="00DE0323" w:rsidRPr="00FD2E73" w:rsidRDefault="00DE0323" w:rsidP="00DE0323">
            <w:pPr>
              <w:jc w:val="right"/>
              <w:rPr>
                <w:sz w:val="20"/>
                <w:szCs w:val="20"/>
              </w:rPr>
            </w:pPr>
            <w:r w:rsidRPr="00FD2E73">
              <w:rPr>
                <w:sz w:val="20"/>
                <w:szCs w:val="20"/>
              </w:rPr>
              <w:t>39 896 331</w:t>
            </w:r>
          </w:p>
        </w:tc>
        <w:tc>
          <w:tcPr>
            <w:tcW w:w="1260" w:type="dxa"/>
            <w:vAlign w:val="center"/>
          </w:tcPr>
          <w:p w14:paraId="12FEE70C" w14:textId="77777777" w:rsidR="00DE0323" w:rsidRPr="00FD2E73" w:rsidRDefault="00DE0323" w:rsidP="00DE0323">
            <w:pPr>
              <w:jc w:val="right"/>
              <w:rPr>
                <w:sz w:val="20"/>
                <w:szCs w:val="20"/>
              </w:rPr>
            </w:pPr>
            <w:r w:rsidRPr="00FD2E73">
              <w:rPr>
                <w:sz w:val="20"/>
                <w:szCs w:val="20"/>
              </w:rPr>
              <w:t>41 093 930</w:t>
            </w:r>
          </w:p>
        </w:tc>
        <w:tc>
          <w:tcPr>
            <w:tcW w:w="806" w:type="dxa"/>
            <w:vAlign w:val="center"/>
          </w:tcPr>
          <w:p w14:paraId="57F26C2F" w14:textId="77777777" w:rsidR="00DE0323" w:rsidRPr="00FD2E73" w:rsidRDefault="00DE0323" w:rsidP="00DE0323">
            <w:pPr>
              <w:jc w:val="right"/>
              <w:rPr>
                <w:sz w:val="18"/>
                <w:szCs w:val="18"/>
              </w:rPr>
            </w:pPr>
            <w:r w:rsidRPr="00FD2E73">
              <w:rPr>
                <w:sz w:val="18"/>
                <w:szCs w:val="18"/>
              </w:rPr>
              <w:t>103,00</w:t>
            </w:r>
          </w:p>
        </w:tc>
        <w:tc>
          <w:tcPr>
            <w:tcW w:w="727" w:type="dxa"/>
            <w:vAlign w:val="center"/>
          </w:tcPr>
          <w:p w14:paraId="0A2D2317" w14:textId="77777777" w:rsidR="00DE0323" w:rsidRPr="00FD2E73" w:rsidRDefault="00DE0323" w:rsidP="00DE0323">
            <w:pPr>
              <w:jc w:val="right"/>
              <w:rPr>
                <w:sz w:val="18"/>
                <w:szCs w:val="18"/>
              </w:rPr>
            </w:pPr>
            <w:r w:rsidRPr="00FD2E73">
              <w:rPr>
                <w:sz w:val="18"/>
                <w:szCs w:val="18"/>
              </w:rPr>
              <w:t>163,97</w:t>
            </w:r>
          </w:p>
        </w:tc>
      </w:tr>
      <w:tr w:rsidR="00DE0323" w:rsidRPr="004B11AC" w14:paraId="688AE74B" w14:textId="77777777" w:rsidTr="0087450A">
        <w:trPr>
          <w:tblHeader/>
        </w:trPr>
        <w:tc>
          <w:tcPr>
            <w:tcW w:w="3432" w:type="dxa"/>
          </w:tcPr>
          <w:p w14:paraId="4320256E" w14:textId="77777777" w:rsidR="00DE0323" w:rsidRPr="00FD2E73" w:rsidRDefault="00DE0323" w:rsidP="00DE0323">
            <w:pPr>
              <w:rPr>
                <w:b/>
              </w:rPr>
            </w:pPr>
            <w:r w:rsidRPr="00FD2E73">
              <w:rPr>
                <w:b/>
                <w:sz w:val="22"/>
                <w:szCs w:val="22"/>
              </w:rPr>
              <w:t xml:space="preserve">Ostatní výdaje spojené s dopravní politikou státu  </w:t>
            </w:r>
          </w:p>
        </w:tc>
        <w:tc>
          <w:tcPr>
            <w:tcW w:w="1260" w:type="dxa"/>
            <w:vAlign w:val="center"/>
          </w:tcPr>
          <w:p w14:paraId="4348C60D" w14:textId="77777777" w:rsidR="00DE0323" w:rsidRPr="00FD2E73" w:rsidRDefault="00DE0323" w:rsidP="00DE0323">
            <w:pPr>
              <w:jc w:val="right"/>
              <w:rPr>
                <w:b/>
                <w:sz w:val="22"/>
                <w:szCs w:val="22"/>
              </w:rPr>
            </w:pPr>
            <w:r w:rsidRPr="00FD2E73">
              <w:rPr>
                <w:b/>
                <w:sz w:val="22"/>
                <w:szCs w:val="22"/>
              </w:rPr>
              <w:t>5 173 209</w:t>
            </w:r>
          </w:p>
        </w:tc>
        <w:tc>
          <w:tcPr>
            <w:tcW w:w="1260" w:type="dxa"/>
            <w:vAlign w:val="center"/>
          </w:tcPr>
          <w:p w14:paraId="59E2C4E7" w14:textId="77777777" w:rsidR="00DE0323" w:rsidRPr="00FD2E73" w:rsidRDefault="00DE0323" w:rsidP="00DE0323">
            <w:pPr>
              <w:jc w:val="right"/>
              <w:rPr>
                <w:b/>
              </w:rPr>
            </w:pPr>
            <w:r w:rsidRPr="00FD2E73">
              <w:rPr>
                <w:b/>
                <w:sz w:val="22"/>
                <w:szCs w:val="22"/>
              </w:rPr>
              <w:t>9 540 001</w:t>
            </w:r>
          </w:p>
        </w:tc>
        <w:tc>
          <w:tcPr>
            <w:tcW w:w="1260" w:type="dxa"/>
            <w:vAlign w:val="center"/>
          </w:tcPr>
          <w:p w14:paraId="6BA8A623" w14:textId="77777777" w:rsidR="00DE0323" w:rsidRPr="00FD2E73" w:rsidRDefault="00DE0323" w:rsidP="00DE0323">
            <w:pPr>
              <w:jc w:val="right"/>
              <w:rPr>
                <w:b/>
                <w:sz w:val="22"/>
                <w:szCs w:val="22"/>
              </w:rPr>
            </w:pPr>
            <w:r w:rsidRPr="00FD2E73">
              <w:rPr>
                <w:b/>
                <w:sz w:val="22"/>
                <w:szCs w:val="22"/>
              </w:rPr>
              <w:t>10 031 776</w:t>
            </w:r>
          </w:p>
        </w:tc>
        <w:tc>
          <w:tcPr>
            <w:tcW w:w="1260" w:type="dxa"/>
            <w:vAlign w:val="center"/>
          </w:tcPr>
          <w:p w14:paraId="3FFA6CD9" w14:textId="77777777" w:rsidR="00DE0323" w:rsidRPr="00FD2E73" w:rsidRDefault="00DE0323" w:rsidP="00DE0323">
            <w:pPr>
              <w:jc w:val="right"/>
              <w:rPr>
                <w:b/>
                <w:sz w:val="22"/>
                <w:szCs w:val="22"/>
              </w:rPr>
            </w:pPr>
            <w:r w:rsidRPr="00FD2E73">
              <w:rPr>
                <w:b/>
                <w:sz w:val="22"/>
                <w:szCs w:val="22"/>
              </w:rPr>
              <w:t>9 014 275</w:t>
            </w:r>
          </w:p>
        </w:tc>
        <w:tc>
          <w:tcPr>
            <w:tcW w:w="806" w:type="dxa"/>
            <w:vAlign w:val="center"/>
          </w:tcPr>
          <w:p w14:paraId="052E9C79" w14:textId="77777777" w:rsidR="00DE0323" w:rsidRPr="00FD2E73" w:rsidRDefault="00DE0323" w:rsidP="00DE0323">
            <w:pPr>
              <w:jc w:val="right"/>
              <w:rPr>
                <w:b/>
                <w:sz w:val="18"/>
                <w:szCs w:val="18"/>
              </w:rPr>
            </w:pPr>
            <w:r w:rsidRPr="00FD2E73">
              <w:rPr>
                <w:b/>
                <w:sz w:val="18"/>
                <w:szCs w:val="18"/>
              </w:rPr>
              <w:t>89,86</w:t>
            </w:r>
          </w:p>
        </w:tc>
        <w:tc>
          <w:tcPr>
            <w:tcW w:w="727" w:type="dxa"/>
            <w:vAlign w:val="center"/>
          </w:tcPr>
          <w:p w14:paraId="6835870D" w14:textId="77777777" w:rsidR="00DE0323" w:rsidRPr="00FD2E73" w:rsidRDefault="00DE0323" w:rsidP="00DE0323">
            <w:pPr>
              <w:jc w:val="right"/>
              <w:rPr>
                <w:b/>
                <w:sz w:val="18"/>
                <w:szCs w:val="18"/>
              </w:rPr>
            </w:pPr>
            <w:r w:rsidRPr="00FD2E73">
              <w:rPr>
                <w:b/>
                <w:sz w:val="18"/>
                <w:szCs w:val="18"/>
              </w:rPr>
              <w:t>174,25</w:t>
            </w:r>
          </w:p>
        </w:tc>
      </w:tr>
      <w:tr w:rsidR="00DE0323" w:rsidRPr="004B11AC" w14:paraId="35F5D6F4" w14:textId="77777777" w:rsidTr="0087450A">
        <w:trPr>
          <w:tblHeader/>
        </w:trPr>
        <w:tc>
          <w:tcPr>
            <w:tcW w:w="3432" w:type="dxa"/>
          </w:tcPr>
          <w:p w14:paraId="33D825D4" w14:textId="77777777" w:rsidR="00DE0323" w:rsidRPr="00FD2E73" w:rsidRDefault="00DE0323" w:rsidP="00DE0323">
            <w:pPr>
              <w:rPr>
                <w:b/>
              </w:rPr>
            </w:pPr>
            <w:r w:rsidRPr="00FD2E73">
              <w:rPr>
                <w:b/>
                <w:sz w:val="22"/>
                <w:szCs w:val="22"/>
              </w:rPr>
              <w:t>Výdaje kapitoly MD 327  celkem</w:t>
            </w:r>
          </w:p>
        </w:tc>
        <w:tc>
          <w:tcPr>
            <w:tcW w:w="1260" w:type="dxa"/>
            <w:vAlign w:val="center"/>
          </w:tcPr>
          <w:p w14:paraId="062FF9FB" w14:textId="77777777" w:rsidR="00DE0323" w:rsidRPr="00FD2E73" w:rsidRDefault="00DE0323" w:rsidP="00DE0323">
            <w:pPr>
              <w:jc w:val="right"/>
              <w:rPr>
                <w:b/>
                <w:sz w:val="22"/>
                <w:szCs w:val="22"/>
              </w:rPr>
            </w:pPr>
            <w:r w:rsidRPr="00FD2E73">
              <w:rPr>
                <w:b/>
                <w:sz w:val="22"/>
                <w:szCs w:val="22"/>
              </w:rPr>
              <w:t>51 935 675</w:t>
            </w:r>
          </w:p>
        </w:tc>
        <w:tc>
          <w:tcPr>
            <w:tcW w:w="1260" w:type="dxa"/>
            <w:vAlign w:val="center"/>
          </w:tcPr>
          <w:p w14:paraId="7995BBFE" w14:textId="77777777" w:rsidR="00DE0323" w:rsidRPr="00FD2E73" w:rsidRDefault="00DE0323" w:rsidP="00DE0323">
            <w:pPr>
              <w:jc w:val="right"/>
              <w:rPr>
                <w:b/>
              </w:rPr>
            </w:pPr>
            <w:r w:rsidRPr="00FD2E73">
              <w:rPr>
                <w:b/>
                <w:sz w:val="22"/>
                <w:szCs w:val="22"/>
              </w:rPr>
              <w:t>72 555 425</w:t>
            </w:r>
          </w:p>
        </w:tc>
        <w:tc>
          <w:tcPr>
            <w:tcW w:w="1260" w:type="dxa"/>
            <w:vAlign w:val="center"/>
          </w:tcPr>
          <w:p w14:paraId="0059E6C1" w14:textId="77777777" w:rsidR="00DE0323" w:rsidRPr="00FD2E73" w:rsidRDefault="00DE0323" w:rsidP="00DE0323">
            <w:pPr>
              <w:jc w:val="right"/>
              <w:rPr>
                <w:b/>
                <w:sz w:val="22"/>
                <w:szCs w:val="22"/>
              </w:rPr>
            </w:pPr>
            <w:r w:rsidRPr="00FD2E73">
              <w:rPr>
                <w:b/>
                <w:sz w:val="22"/>
                <w:szCs w:val="22"/>
              </w:rPr>
              <w:t>76 788 699</w:t>
            </w:r>
          </w:p>
        </w:tc>
        <w:tc>
          <w:tcPr>
            <w:tcW w:w="1260" w:type="dxa"/>
            <w:vAlign w:val="center"/>
          </w:tcPr>
          <w:p w14:paraId="13F627BF" w14:textId="77777777" w:rsidR="00DE0323" w:rsidRPr="00FD2E73" w:rsidRDefault="00DE0323" w:rsidP="00DE0323">
            <w:pPr>
              <w:jc w:val="right"/>
              <w:rPr>
                <w:b/>
                <w:sz w:val="22"/>
                <w:szCs w:val="22"/>
              </w:rPr>
            </w:pPr>
            <w:r w:rsidRPr="00FD2E73">
              <w:rPr>
                <w:b/>
                <w:sz w:val="22"/>
                <w:szCs w:val="22"/>
              </w:rPr>
              <w:t>75 228 814</w:t>
            </w:r>
          </w:p>
        </w:tc>
        <w:tc>
          <w:tcPr>
            <w:tcW w:w="806" w:type="dxa"/>
            <w:vAlign w:val="center"/>
          </w:tcPr>
          <w:p w14:paraId="655F959D" w14:textId="77777777" w:rsidR="00DE0323" w:rsidRPr="00FD2E73" w:rsidRDefault="00DE0323" w:rsidP="00DE0323">
            <w:pPr>
              <w:jc w:val="right"/>
              <w:rPr>
                <w:b/>
                <w:sz w:val="18"/>
                <w:szCs w:val="18"/>
              </w:rPr>
            </w:pPr>
            <w:r w:rsidRPr="00FD2E73">
              <w:rPr>
                <w:b/>
                <w:sz w:val="18"/>
                <w:szCs w:val="18"/>
              </w:rPr>
              <w:t>97,97</w:t>
            </w:r>
          </w:p>
        </w:tc>
        <w:tc>
          <w:tcPr>
            <w:tcW w:w="727" w:type="dxa"/>
            <w:vAlign w:val="center"/>
          </w:tcPr>
          <w:p w14:paraId="1EFB9E55" w14:textId="77777777" w:rsidR="00DE0323" w:rsidRPr="00FD2E73" w:rsidRDefault="00DE0323" w:rsidP="00DE0323">
            <w:pPr>
              <w:jc w:val="right"/>
              <w:rPr>
                <w:b/>
                <w:sz w:val="18"/>
                <w:szCs w:val="18"/>
              </w:rPr>
            </w:pPr>
            <w:r w:rsidRPr="00FD2E73">
              <w:rPr>
                <w:b/>
                <w:sz w:val="18"/>
                <w:szCs w:val="18"/>
              </w:rPr>
              <w:t>144,85</w:t>
            </w:r>
          </w:p>
        </w:tc>
      </w:tr>
    </w:tbl>
    <w:p w14:paraId="334431B2" w14:textId="77777777" w:rsidR="00DE0323" w:rsidRPr="00973782" w:rsidRDefault="00DE0323" w:rsidP="004359C1">
      <w:pPr>
        <w:pStyle w:val="KOMtext"/>
      </w:pPr>
      <w:r w:rsidRPr="00973782">
        <w:t>Z přehledu plnění závazných ukazatelů kapitoly 327 – MD k </w:t>
      </w:r>
      <w:r w:rsidR="00E2031D" w:rsidRPr="00973782">
        <w:t>31. 12. 2019</w:t>
      </w:r>
      <w:r w:rsidRPr="00973782">
        <w:t xml:space="preserve"> vyplývá, že celkové výdaje byly čerpány ve výši 9</w:t>
      </w:r>
      <w:r>
        <w:t>7</w:t>
      </w:r>
      <w:r w:rsidRPr="00973782">
        <w:t>,</w:t>
      </w:r>
      <w:r>
        <w:t>97</w:t>
      </w:r>
      <w:r w:rsidRPr="00973782">
        <w:t xml:space="preserve"> %. V absolutní výši šlo o nedočerpání upraveného rozpočtu o </w:t>
      </w:r>
      <w:r>
        <w:t>1 559 885</w:t>
      </w:r>
      <w:r w:rsidRPr="00973782">
        <w:t xml:space="preserve"> tis. Kč.  </w:t>
      </w:r>
    </w:p>
    <w:p w14:paraId="5A335872" w14:textId="5198230E" w:rsidR="00DE0323" w:rsidRPr="000276E1" w:rsidRDefault="00DE0323" w:rsidP="004359C1">
      <w:pPr>
        <w:pStyle w:val="KOMtext"/>
      </w:pPr>
      <w:r w:rsidRPr="00973782">
        <w:t>V porovnání se skutečností roku 2018 došlo k </w:t>
      </w:r>
      <w:r>
        <w:t>vyššímu</w:t>
      </w:r>
      <w:r w:rsidRPr="00973782">
        <w:t xml:space="preserve"> čerpání výdajů kapitoly </w:t>
      </w:r>
      <w:r w:rsidRPr="00973782">
        <w:br/>
        <w:t xml:space="preserve">327 MD, a to o </w:t>
      </w:r>
      <w:r>
        <w:t>44</w:t>
      </w:r>
      <w:r w:rsidRPr="00973782">
        <w:t>,</w:t>
      </w:r>
      <w:r>
        <w:t>85</w:t>
      </w:r>
      <w:r w:rsidRPr="00973782">
        <w:t xml:space="preserve"> %, v absolutní výši o </w:t>
      </w:r>
      <w:r>
        <w:t>23 293 139</w:t>
      </w:r>
      <w:r w:rsidRPr="00973782">
        <w:t xml:space="preserve"> tis. Kč. </w:t>
      </w:r>
      <w:r w:rsidRPr="004017B1">
        <w:t xml:space="preserve">Důvodem bylo </w:t>
      </w:r>
      <w:r>
        <w:t xml:space="preserve">zejména </w:t>
      </w:r>
      <w:r w:rsidRPr="004017B1">
        <w:t>vyšší čerpání dotace SFDI ve výši 19 552 480</w:t>
      </w:r>
      <w:r>
        <w:t xml:space="preserve"> tis. Kč, </w:t>
      </w:r>
      <w:r w:rsidRPr="000276E1">
        <w:t>vyšší čerpání o 4 226 253 tis. Kč určené na kompenzace slev v souvislosti se zavedením nových slev z jízdného ve vlacích a autobusech pro seniory, děti, žáky a studenty</w:t>
      </w:r>
      <w:r w:rsidR="008808FA">
        <w:t>,</w:t>
      </w:r>
      <w:r w:rsidRPr="000276E1">
        <w:t xml:space="preserve"> a naopak nižší </w:t>
      </w:r>
      <w:r w:rsidR="00AC5B20" w:rsidRPr="001B6B75">
        <w:t>neinvestiční</w:t>
      </w:r>
      <w:r w:rsidR="00AC5B20">
        <w:t xml:space="preserve"> </w:t>
      </w:r>
      <w:r w:rsidRPr="000276E1">
        <w:t xml:space="preserve">příspěvek ŘSD ČR ve výši </w:t>
      </w:r>
      <w:r w:rsidR="00AC5B20">
        <w:br/>
      </w:r>
      <w:r w:rsidRPr="000276E1">
        <w:t xml:space="preserve">422 207 tis. Kč. </w:t>
      </w:r>
    </w:p>
    <w:p w14:paraId="7ED504FF" w14:textId="77777777" w:rsidR="00DE0323" w:rsidRPr="004017B1" w:rsidRDefault="00DE0323" w:rsidP="004359C1">
      <w:pPr>
        <w:pStyle w:val="Nadpis6"/>
      </w:pPr>
      <w:r w:rsidRPr="004017B1">
        <w:lastRenderedPageBreak/>
        <w:t xml:space="preserve">Drážní a kombinovaná doprava </w:t>
      </w:r>
    </w:p>
    <w:p w14:paraId="4D2DA6F1" w14:textId="77777777" w:rsidR="00DE0323" w:rsidRPr="004017B1" w:rsidRDefault="00DE0323" w:rsidP="00275CE2">
      <w:pPr>
        <w:pStyle w:val="KOMtext"/>
        <w:numPr>
          <w:ilvl w:val="0"/>
          <w:numId w:val="65"/>
        </w:numPr>
        <w:ind w:left="0" w:firstLine="284"/>
      </w:pPr>
      <w:r w:rsidRPr="004017B1">
        <w:t xml:space="preserve">Na </w:t>
      </w:r>
      <w:r w:rsidRPr="004017B1">
        <w:rPr>
          <w:u w:val="single"/>
        </w:rPr>
        <w:t>závazek veřejné služby k zabezpečení dopravních potřeb státu</w:t>
      </w:r>
      <w:r w:rsidRPr="004017B1">
        <w:t xml:space="preserve"> byly ve schváleném rozpočtu pro rok 2019 vyčleněny výdaje ve výši 4 979 727 tis. Kč, které nebyly v průběhu roku změněny. Úhrada ztráty ze závazku veřejné služby ve veřejné drážní osobní dopravě byla v roce 2019 čerpána ve výši </w:t>
      </w:r>
      <w:r w:rsidRPr="004017B1">
        <w:rPr>
          <w:b/>
          <w:bCs/>
        </w:rPr>
        <w:t xml:space="preserve">4 629 884 </w:t>
      </w:r>
      <w:r w:rsidRPr="004017B1">
        <w:rPr>
          <w:b/>
        </w:rPr>
        <w:t>tis. Kč</w:t>
      </w:r>
      <w:r w:rsidRPr="003B1B4A">
        <w:rPr>
          <w:b/>
        </w:rPr>
        <w:t>,</w:t>
      </w:r>
      <w:r w:rsidRPr="004017B1">
        <w:t xml:space="preserve"> tj. 92,97 % schváleného </w:t>
      </w:r>
      <w:r>
        <w:t xml:space="preserve">(upraveného) </w:t>
      </w:r>
      <w:r w:rsidRPr="004017B1">
        <w:t>rozpočtu</w:t>
      </w:r>
      <w:r w:rsidR="004359C1">
        <w:t xml:space="preserve">; </w:t>
      </w:r>
      <w:r w:rsidRPr="004017B1">
        <w:t xml:space="preserve">z toho: nároky 3 943 tis. Kč. </w:t>
      </w:r>
    </w:p>
    <w:p w14:paraId="6B6A5293" w14:textId="77777777" w:rsidR="00DE0323" w:rsidRPr="00DA0E69" w:rsidRDefault="00DE0323" w:rsidP="00275CE2">
      <w:pPr>
        <w:pStyle w:val="KOMtext"/>
        <w:numPr>
          <w:ilvl w:val="0"/>
          <w:numId w:val="65"/>
        </w:numPr>
        <w:ind w:left="0" w:firstLine="284"/>
      </w:pPr>
      <w:r w:rsidRPr="00DA0E69">
        <w:rPr>
          <w:u w:val="single"/>
        </w:rPr>
        <w:t xml:space="preserve">Financování dopravní obslužnosti veřejnou železniční osobní dopravou (kraje </w:t>
      </w:r>
      <w:r w:rsidRPr="00DA0E69">
        <w:rPr>
          <w:u w:val="single"/>
        </w:rPr>
        <w:br/>
        <w:t>a hl. m. Praha</w:t>
      </w:r>
      <w:r w:rsidRPr="00DA0E69">
        <w:t xml:space="preserve">) probíhalo v průběhu roku 2019 v závislosti na termínu předložení žádosti </w:t>
      </w:r>
      <w:r w:rsidRPr="00DA0E69">
        <w:br/>
        <w:t xml:space="preserve">na poskytnutí dotace ze strany krajů a hl. m. Prahy. Schválený rozpočet ve výši </w:t>
      </w:r>
      <w:r w:rsidRPr="00DA0E69">
        <w:br/>
        <w:t xml:space="preserve">2 884 352 tis. Kč zůstal po celý rok nezměněn a byl v roce 2019 vyčerpán ve výši </w:t>
      </w:r>
      <w:r w:rsidRPr="00DA0E69">
        <w:br/>
      </w:r>
      <w:r w:rsidRPr="00DA0E69">
        <w:rPr>
          <w:b/>
        </w:rPr>
        <w:t>2 868 970 tis. Kč</w:t>
      </w:r>
      <w:r w:rsidRPr="00DA0E69">
        <w:t>, tj. 99,47 % schváleného (upraveného) rozpočtu.</w:t>
      </w:r>
    </w:p>
    <w:p w14:paraId="68EEC83D" w14:textId="0718B601" w:rsidR="00DE0323" w:rsidRPr="003B1B4A" w:rsidRDefault="00DE0323" w:rsidP="00275CE2">
      <w:pPr>
        <w:pStyle w:val="KOMtext"/>
        <w:numPr>
          <w:ilvl w:val="0"/>
          <w:numId w:val="65"/>
        </w:numPr>
        <w:ind w:left="0" w:firstLine="284"/>
      </w:pPr>
      <w:r w:rsidRPr="003B1B4A">
        <w:rPr>
          <w:u w:val="single"/>
        </w:rPr>
        <w:t>Příspěvkem na dopravní cestu nehrazeným ze SFDI</w:t>
      </w:r>
      <w:r w:rsidRPr="003B1B4A">
        <w:t xml:space="preserve"> je částečně vyrovnáván rozdíl mezi tržbami a náklady souvisejícími se správou a údržbou</w:t>
      </w:r>
      <w:r w:rsidR="008808FA">
        <w:t xml:space="preserve"> železniční</w:t>
      </w:r>
      <w:r w:rsidRPr="003B1B4A">
        <w:t xml:space="preserve"> dopravní infrastruktury. Schválený rozpočet ve výši 400 000 tis. Kč byl v průběhu roku upraven na částku </w:t>
      </w:r>
      <w:r w:rsidR="00174A96">
        <w:br/>
      </w:r>
      <w:r w:rsidRPr="003B1B4A">
        <w:t>241 500 tis. Kč. Prostředky nebyly</w:t>
      </w:r>
      <w:r w:rsidR="008808FA">
        <w:t xml:space="preserve"> SŽDC</w:t>
      </w:r>
      <w:r w:rsidR="0016381E">
        <w:rPr>
          <w:rStyle w:val="Znakapoznpodarou"/>
        </w:rPr>
        <w:footnoteReference w:id="1"/>
      </w:r>
      <w:r w:rsidR="008808FA">
        <w:t>, s.o.</w:t>
      </w:r>
      <w:r w:rsidRPr="003B1B4A">
        <w:t xml:space="preserve"> čerpány. </w:t>
      </w:r>
    </w:p>
    <w:p w14:paraId="2B84A94C" w14:textId="77777777" w:rsidR="00DE0323" w:rsidRPr="0019675A" w:rsidRDefault="00DE0323" w:rsidP="00275CE2">
      <w:pPr>
        <w:pStyle w:val="KOMtext"/>
        <w:numPr>
          <w:ilvl w:val="0"/>
          <w:numId w:val="65"/>
        </w:numPr>
        <w:ind w:left="709" w:hanging="425"/>
        <w:rPr>
          <w:szCs w:val="24"/>
        </w:rPr>
      </w:pPr>
      <w:r w:rsidRPr="00FA0860">
        <w:rPr>
          <w:u w:val="single"/>
        </w:rPr>
        <w:t>Ostatní</w:t>
      </w:r>
      <w:r w:rsidRPr="00FA0860">
        <w:rPr>
          <w:szCs w:val="24"/>
          <w:u w:val="single"/>
        </w:rPr>
        <w:t xml:space="preserve"> výdaje spojené s drážní dopravou</w:t>
      </w:r>
      <w:r w:rsidRPr="0019675A">
        <w:rPr>
          <w:szCs w:val="24"/>
        </w:rPr>
        <w:t xml:space="preserve"> obsahují:</w:t>
      </w:r>
    </w:p>
    <w:p w14:paraId="1B5F99FC" w14:textId="77777777" w:rsidR="00DE0323" w:rsidRPr="0019675A" w:rsidRDefault="00DE0323" w:rsidP="0087450A">
      <w:pPr>
        <w:pStyle w:val="KOMtext"/>
      </w:pPr>
      <w:r w:rsidRPr="0019675A">
        <w:t xml:space="preserve">Schválený rozpočet ukazatele 5 300 tis. Kč nebyl v průběhu roku upravován. Celkem byl čerpáno </w:t>
      </w:r>
      <w:r w:rsidRPr="0019675A">
        <w:rPr>
          <w:b/>
        </w:rPr>
        <w:t>5 808 tis. Kč,</w:t>
      </w:r>
      <w:r w:rsidRPr="0019675A">
        <w:t xml:space="preserve"> tj. 109,58 % schváleného (upraveného) rozpočtu; z</w:t>
      </w:r>
      <w:r>
        <w:t> </w:t>
      </w:r>
      <w:r w:rsidRPr="0019675A">
        <w:t>toho</w:t>
      </w:r>
      <w:r>
        <w:t>:</w:t>
      </w:r>
      <w:r w:rsidRPr="0019675A">
        <w:t xml:space="preserve"> nároky </w:t>
      </w:r>
      <w:r w:rsidRPr="0019675A">
        <w:br/>
        <w:t xml:space="preserve">617 tis. Kč. </w:t>
      </w:r>
    </w:p>
    <w:p w14:paraId="3DA31610" w14:textId="77777777" w:rsidR="00DE0323" w:rsidRPr="00F879B6" w:rsidRDefault="00DE0323" w:rsidP="001142C5">
      <w:pPr>
        <w:pStyle w:val="KOMtext"/>
      </w:pPr>
      <w:r w:rsidRPr="00F879B6">
        <w:t xml:space="preserve">Výdaje na programy EDS/SMVS ve výši </w:t>
      </w:r>
      <w:r w:rsidRPr="00F879B6">
        <w:rPr>
          <w:b/>
        </w:rPr>
        <w:t xml:space="preserve"> 4 508 tis. Kč; </w:t>
      </w:r>
      <w:r w:rsidRPr="00F879B6">
        <w:t>z toho nároky 617 tis. Kč, v tom:</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1242"/>
        <w:gridCol w:w="1276"/>
      </w:tblGrid>
      <w:tr w:rsidR="00DE0323" w:rsidRPr="00F879B6" w14:paraId="1838450B" w14:textId="77777777" w:rsidTr="001B6B75">
        <w:trPr>
          <w:tblHeader/>
        </w:trPr>
        <w:tc>
          <w:tcPr>
            <w:tcW w:w="6408" w:type="dxa"/>
          </w:tcPr>
          <w:p w14:paraId="34924286" w14:textId="77777777" w:rsidR="00DE0323" w:rsidRPr="00F879B6" w:rsidRDefault="00DE0323" w:rsidP="00DE0323">
            <w:pPr>
              <w:tabs>
                <w:tab w:val="center" w:pos="3096"/>
              </w:tabs>
              <w:jc w:val="both"/>
              <w:rPr>
                <w:b/>
              </w:rPr>
            </w:pPr>
            <w:r w:rsidRPr="00F879B6">
              <w:rPr>
                <w:b/>
              </w:rPr>
              <w:t xml:space="preserve">Program </w:t>
            </w:r>
            <w:r w:rsidRPr="00F879B6">
              <w:t>(v tis. Kč)</w:t>
            </w:r>
            <w:r w:rsidRPr="00F879B6">
              <w:tab/>
            </w:r>
          </w:p>
        </w:tc>
        <w:tc>
          <w:tcPr>
            <w:tcW w:w="1242" w:type="dxa"/>
          </w:tcPr>
          <w:p w14:paraId="6A0ED8EE" w14:textId="77777777" w:rsidR="00DE0323" w:rsidRPr="00F879B6" w:rsidRDefault="00DE0323" w:rsidP="00DE0323">
            <w:pPr>
              <w:jc w:val="center"/>
              <w:rPr>
                <w:b/>
              </w:rPr>
            </w:pPr>
            <w:r w:rsidRPr="00F879B6">
              <w:rPr>
                <w:b/>
              </w:rPr>
              <w:t>SR</w:t>
            </w:r>
          </w:p>
        </w:tc>
        <w:tc>
          <w:tcPr>
            <w:tcW w:w="1276" w:type="dxa"/>
          </w:tcPr>
          <w:p w14:paraId="56A522E3" w14:textId="77777777" w:rsidR="00DE0323" w:rsidRPr="00F879B6" w:rsidRDefault="00DE0323" w:rsidP="00DE0323">
            <w:pPr>
              <w:jc w:val="center"/>
              <w:rPr>
                <w:b/>
              </w:rPr>
            </w:pPr>
            <w:r w:rsidRPr="00F879B6">
              <w:rPr>
                <w:b/>
              </w:rPr>
              <w:t>Fondy EU</w:t>
            </w:r>
          </w:p>
        </w:tc>
      </w:tr>
      <w:tr w:rsidR="00DE0323" w:rsidRPr="00F879B6" w14:paraId="6C70AD1B" w14:textId="77777777" w:rsidTr="001B6B75">
        <w:trPr>
          <w:tblHeader/>
        </w:trPr>
        <w:tc>
          <w:tcPr>
            <w:tcW w:w="6408" w:type="dxa"/>
          </w:tcPr>
          <w:p w14:paraId="41BD8406" w14:textId="77777777" w:rsidR="00DE0323" w:rsidRPr="00F879B6" w:rsidRDefault="00DE0323" w:rsidP="00DD6BFE">
            <w:pPr>
              <w:ind w:left="29" w:hanging="29"/>
              <w:jc w:val="both"/>
            </w:pPr>
            <w:r w:rsidRPr="00F879B6">
              <w:t>127 66 Podpora obnovy historických žel. kolejových vozidel v období 2017-2020</w:t>
            </w:r>
          </w:p>
        </w:tc>
        <w:tc>
          <w:tcPr>
            <w:tcW w:w="1242" w:type="dxa"/>
            <w:shd w:val="clear" w:color="auto" w:fill="auto"/>
          </w:tcPr>
          <w:p w14:paraId="1E7EA988" w14:textId="77777777" w:rsidR="00DE0323" w:rsidRPr="00F879B6" w:rsidRDefault="00DE0323" w:rsidP="001B6B75">
            <w:pPr>
              <w:spacing w:before="120"/>
              <w:jc w:val="center"/>
            </w:pPr>
            <w:r w:rsidRPr="00F879B6">
              <w:t>4 508</w:t>
            </w:r>
          </w:p>
        </w:tc>
        <w:tc>
          <w:tcPr>
            <w:tcW w:w="1276" w:type="dxa"/>
          </w:tcPr>
          <w:p w14:paraId="7C3A8797" w14:textId="77777777" w:rsidR="00DE0323" w:rsidRPr="00F879B6" w:rsidRDefault="00DE0323" w:rsidP="001B6B75">
            <w:pPr>
              <w:spacing w:before="120"/>
              <w:jc w:val="center"/>
            </w:pPr>
            <w:r w:rsidRPr="00F879B6">
              <w:t>0</w:t>
            </w:r>
          </w:p>
        </w:tc>
      </w:tr>
      <w:tr w:rsidR="00DE0323" w:rsidRPr="00F879B6" w14:paraId="3D495134" w14:textId="77777777" w:rsidTr="001B6B75">
        <w:trPr>
          <w:tblHeader/>
        </w:trPr>
        <w:tc>
          <w:tcPr>
            <w:tcW w:w="6408" w:type="dxa"/>
          </w:tcPr>
          <w:p w14:paraId="39ADCB63" w14:textId="77777777" w:rsidR="00DE0323" w:rsidRPr="00F879B6" w:rsidRDefault="00DE0323" w:rsidP="00DE0323">
            <w:pPr>
              <w:jc w:val="both"/>
              <w:rPr>
                <w:b/>
              </w:rPr>
            </w:pPr>
            <w:r w:rsidRPr="00F879B6">
              <w:rPr>
                <w:b/>
              </w:rPr>
              <w:t>C E L K E M</w:t>
            </w:r>
          </w:p>
        </w:tc>
        <w:tc>
          <w:tcPr>
            <w:tcW w:w="1242" w:type="dxa"/>
          </w:tcPr>
          <w:p w14:paraId="5B606211" w14:textId="77777777" w:rsidR="00DE0323" w:rsidRPr="00F879B6" w:rsidRDefault="00DE0323" w:rsidP="001B6B75">
            <w:pPr>
              <w:jc w:val="center"/>
              <w:rPr>
                <w:b/>
              </w:rPr>
            </w:pPr>
            <w:r w:rsidRPr="00F879B6">
              <w:rPr>
                <w:b/>
              </w:rPr>
              <w:t>4 508</w:t>
            </w:r>
          </w:p>
        </w:tc>
        <w:tc>
          <w:tcPr>
            <w:tcW w:w="1276" w:type="dxa"/>
          </w:tcPr>
          <w:p w14:paraId="1B9EFC7F" w14:textId="77777777" w:rsidR="00DE0323" w:rsidRPr="00F879B6" w:rsidRDefault="00DE0323" w:rsidP="001B6B75">
            <w:pPr>
              <w:jc w:val="center"/>
              <w:rPr>
                <w:b/>
              </w:rPr>
            </w:pPr>
            <w:r w:rsidRPr="00F879B6">
              <w:rPr>
                <w:b/>
              </w:rPr>
              <w:t>0</w:t>
            </w:r>
          </w:p>
        </w:tc>
      </w:tr>
    </w:tbl>
    <w:p w14:paraId="40BD1327" w14:textId="77777777" w:rsidR="00DE0323" w:rsidRPr="00F879B6" w:rsidRDefault="00DE0323" w:rsidP="001142C5">
      <w:pPr>
        <w:pStyle w:val="KOMtext"/>
      </w:pPr>
      <w:r w:rsidRPr="00F879B6">
        <w:t xml:space="preserve">Ostatní výdaje mimo programy EDS/SMVS ve výši </w:t>
      </w:r>
      <w:r w:rsidRPr="00F879B6">
        <w:rPr>
          <w:b/>
        </w:rPr>
        <w:t>1 300</w:t>
      </w:r>
      <w:r w:rsidRPr="00F879B6">
        <w:t xml:space="preserve"> </w:t>
      </w:r>
      <w:r w:rsidRPr="00F879B6">
        <w:rPr>
          <w:b/>
        </w:rPr>
        <w:t>tis. Kč</w:t>
      </w:r>
      <w:r w:rsidRPr="00F879B6">
        <w:t>, v tom:</w:t>
      </w:r>
    </w:p>
    <w:p w14:paraId="3094A226" w14:textId="0B64D74A" w:rsidR="00DE0323" w:rsidRPr="00F879B6" w:rsidRDefault="00DE0323" w:rsidP="00275CE2">
      <w:pPr>
        <w:pStyle w:val="Znormal"/>
        <w:numPr>
          <w:ilvl w:val="0"/>
          <w:numId w:val="30"/>
        </w:numPr>
        <w:tabs>
          <w:tab w:val="clear" w:pos="794"/>
          <w:tab w:val="left" w:pos="709"/>
          <w:tab w:val="left" w:pos="1276"/>
        </w:tabs>
        <w:spacing w:before="0"/>
        <w:ind w:left="851" w:hanging="567"/>
        <w:rPr>
          <w:szCs w:val="24"/>
        </w:rPr>
      </w:pPr>
      <w:r w:rsidRPr="00F879B6">
        <w:rPr>
          <w:szCs w:val="24"/>
        </w:rPr>
        <w:t>1</w:t>
      </w:r>
      <w:r w:rsidR="00F56367">
        <w:rPr>
          <w:szCs w:val="24"/>
        </w:rPr>
        <w:t xml:space="preserve"> </w:t>
      </w:r>
      <w:r w:rsidRPr="00F879B6">
        <w:rPr>
          <w:szCs w:val="24"/>
        </w:rPr>
        <w:t>300 tis. Kč na projekt Legiovlak</w:t>
      </w:r>
      <w:r>
        <w:rPr>
          <w:szCs w:val="24"/>
        </w:rPr>
        <w:t>.</w:t>
      </w:r>
    </w:p>
    <w:p w14:paraId="511D639F" w14:textId="77777777" w:rsidR="00DE0323" w:rsidRPr="00F879B6" w:rsidRDefault="00DE0323" w:rsidP="004359C1">
      <w:pPr>
        <w:pStyle w:val="Nadpis6"/>
      </w:pPr>
      <w:r w:rsidRPr="00F879B6">
        <w:t>Pozemní komunikace</w:t>
      </w:r>
    </w:p>
    <w:p w14:paraId="6F83A01A" w14:textId="77777777" w:rsidR="00DE0323" w:rsidRPr="00F879B6" w:rsidRDefault="00DE0323" w:rsidP="004359C1">
      <w:pPr>
        <w:pStyle w:val="KOMtext"/>
        <w:rPr>
          <w:lang w:eastAsia="ar-SA"/>
        </w:rPr>
      </w:pPr>
      <w:r w:rsidRPr="00F879B6">
        <w:t xml:space="preserve">Obsahem tohoto ukazatele jsou výdaje na programové financování EDS/SMVS, jejichž prostřednictvím je prováděna výstavba pozemních komunikací v České republice. Schválený rozpočet ukazatele byl 0 tis. Kč, který se během roku nezměnil. V roce 2019 nebyly v rámci tohoto ukazatele vyčerpány žádné prostředky. </w:t>
      </w:r>
    </w:p>
    <w:p w14:paraId="27A20161" w14:textId="77777777" w:rsidR="00DE0323" w:rsidRPr="00F879B6" w:rsidRDefault="00DE0323" w:rsidP="004359C1">
      <w:pPr>
        <w:pStyle w:val="Nadpis6"/>
      </w:pPr>
      <w:r w:rsidRPr="00F879B6">
        <w:t xml:space="preserve">Dotace pro Státní fond dopravní infrastruktury </w:t>
      </w:r>
    </w:p>
    <w:p w14:paraId="0D1BAA80" w14:textId="77777777" w:rsidR="00DE0323" w:rsidRPr="00F879B6" w:rsidRDefault="00DE0323" w:rsidP="00275CE2">
      <w:pPr>
        <w:pStyle w:val="KOMtext"/>
        <w:numPr>
          <w:ilvl w:val="0"/>
          <w:numId w:val="64"/>
        </w:numPr>
        <w:ind w:left="0" w:firstLine="284"/>
      </w:pPr>
      <w:r w:rsidRPr="00F879B6">
        <w:rPr>
          <w:u w:val="single"/>
        </w:rPr>
        <w:t>Dotace na společné programy (projekty) EU a ČR</w:t>
      </w:r>
      <w:r w:rsidRPr="00F879B6">
        <w:t xml:space="preserve"> zahrnuje finanční prostředky určené na projekty v rámci Operačního programu Doprava (OPD) a na projekty komunitárních programů EU. </w:t>
      </w:r>
    </w:p>
    <w:p w14:paraId="7968B62E" w14:textId="77777777" w:rsidR="00DE0323" w:rsidRPr="00233E8B" w:rsidRDefault="00DE0323" w:rsidP="0087450A">
      <w:pPr>
        <w:pStyle w:val="KOMtext"/>
      </w:pPr>
      <w:r w:rsidRPr="00233E8B">
        <w:lastRenderedPageBreak/>
        <w:t xml:space="preserve">Schválený rozpočet ukazatele 18 749 713 tis. Kč se během roku neměnil. Celkem bylo čerpáno </w:t>
      </w:r>
      <w:r w:rsidRPr="00233E8B">
        <w:rPr>
          <w:b/>
        </w:rPr>
        <w:t>17 615 947 tis. Kč</w:t>
      </w:r>
      <w:r w:rsidRPr="00233E8B">
        <w:t>, tj. 93,95 % schváleného (uprave</w:t>
      </w:r>
      <w:r w:rsidR="00DD6BFE">
        <w:t xml:space="preserve">ného) rozpočtu; z toho: nároky </w:t>
      </w:r>
      <w:r w:rsidR="0087450A">
        <w:br/>
      </w:r>
      <w:r w:rsidRPr="00233E8B">
        <w:t xml:space="preserve">7 775 754 tis. Kč, prostředky rezervního fondu </w:t>
      </w:r>
      <w:r w:rsidR="0087450A">
        <w:t xml:space="preserve">103 006 tis. Kč, prostředky EU </w:t>
      </w:r>
      <w:r w:rsidR="0087450A">
        <w:br/>
      </w:r>
      <w:r w:rsidRPr="00233E8B">
        <w:t>17 615 236 tis. Kč).</w:t>
      </w:r>
    </w:p>
    <w:p w14:paraId="41220011" w14:textId="77777777" w:rsidR="00DE0323" w:rsidRPr="009C3415" w:rsidRDefault="00DE0323" w:rsidP="0087450A">
      <w:pPr>
        <w:pStyle w:val="KOMtext"/>
      </w:pPr>
      <w:r w:rsidRPr="009C3415">
        <w:t xml:space="preserve">Výdaje na programy EDS/SMVS ve výši </w:t>
      </w:r>
      <w:r w:rsidR="00E509D9">
        <w:rPr>
          <w:b/>
        </w:rPr>
        <w:t>17 564 725</w:t>
      </w:r>
      <w:r w:rsidRPr="009C3415">
        <w:rPr>
          <w:b/>
        </w:rPr>
        <w:t xml:space="preserve"> tis. Kč </w:t>
      </w:r>
      <w:r w:rsidRPr="009C3415">
        <w:t xml:space="preserve">(z toho: nároky </w:t>
      </w:r>
      <w:r w:rsidRPr="009C3415">
        <w:br/>
        <w:t xml:space="preserve">7 725 257 </w:t>
      </w:r>
      <w:r w:rsidRPr="0087450A">
        <w:t>tis</w:t>
      </w:r>
      <w:r w:rsidRPr="009C3415">
        <w:t>. Kč, prostředky rezervního fondu 102 281 tis. Kč),</w:t>
      </w:r>
      <w:r w:rsidRPr="009C3415">
        <w:rPr>
          <w:b/>
        </w:rPr>
        <w:t xml:space="preserve"> </w:t>
      </w:r>
      <w:r w:rsidRPr="009C3415">
        <w:t>v tom:</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1242"/>
        <w:gridCol w:w="1417"/>
      </w:tblGrid>
      <w:tr w:rsidR="00DE0323" w:rsidRPr="009C3415" w14:paraId="45F12DFE" w14:textId="77777777" w:rsidTr="0087450A">
        <w:trPr>
          <w:tblHeader/>
        </w:trPr>
        <w:tc>
          <w:tcPr>
            <w:tcW w:w="6408" w:type="dxa"/>
          </w:tcPr>
          <w:p w14:paraId="506961AB" w14:textId="77777777" w:rsidR="00DE0323" w:rsidRPr="009C3415" w:rsidRDefault="00DE0323" w:rsidP="00DE0323">
            <w:pPr>
              <w:tabs>
                <w:tab w:val="center" w:pos="3096"/>
              </w:tabs>
              <w:jc w:val="both"/>
              <w:rPr>
                <w:b/>
              </w:rPr>
            </w:pPr>
            <w:r w:rsidRPr="009C3415">
              <w:rPr>
                <w:b/>
              </w:rPr>
              <w:t xml:space="preserve">Program </w:t>
            </w:r>
            <w:r w:rsidRPr="009C3415">
              <w:t>(v tis. Kč)</w:t>
            </w:r>
            <w:r w:rsidRPr="009C3415">
              <w:tab/>
            </w:r>
          </w:p>
        </w:tc>
        <w:tc>
          <w:tcPr>
            <w:tcW w:w="1242" w:type="dxa"/>
          </w:tcPr>
          <w:p w14:paraId="75D4C09F" w14:textId="77777777" w:rsidR="00DE0323" w:rsidRPr="009C3415" w:rsidRDefault="00DE0323" w:rsidP="00DE0323">
            <w:pPr>
              <w:jc w:val="center"/>
              <w:rPr>
                <w:b/>
              </w:rPr>
            </w:pPr>
            <w:r w:rsidRPr="009C3415">
              <w:rPr>
                <w:b/>
              </w:rPr>
              <w:t>SR</w:t>
            </w:r>
          </w:p>
        </w:tc>
        <w:tc>
          <w:tcPr>
            <w:tcW w:w="1417" w:type="dxa"/>
          </w:tcPr>
          <w:p w14:paraId="7DEE9C5A" w14:textId="77777777" w:rsidR="00DE0323" w:rsidRPr="009C3415" w:rsidRDefault="00DE0323" w:rsidP="00DE0323">
            <w:pPr>
              <w:jc w:val="center"/>
              <w:rPr>
                <w:b/>
              </w:rPr>
            </w:pPr>
            <w:r w:rsidRPr="009C3415">
              <w:rPr>
                <w:b/>
              </w:rPr>
              <w:t>Fondy EU</w:t>
            </w:r>
          </w:p>
        </w:tc>
      </w:tr>
      <w:tr w:rsidR="00DE0323" w:rsidRPr="009C3415" w14:paraId="2770C1C4" w14:textId="77777777" w:rsidTr="0087450A">
        <w:trPr>
          <w:tblHeader/>
        </w:trPr>
        <w:tc>
          <w:tcPr>
            <w:tcW w:w="6408" w:type="dxa"/>
          </w:tcPr>
          <w:p w14:paraId="507E4882" w14:textId="77777777" w:rsidR="00DE0323" w:rsidRPr="009C3415" w:rsidRDefault="00DE0323" w:rsidP="00DE0323">
            <w:pPr>
              <w:jc w:val="both"/>
            </w:pPr>
            <w:r w:rsidRPr="009C3415">
              <w:t>127 06 Rozvoj a obnova MTZ systému řízení MD – PO, SFDI</w:t>
            </w:r>
          </w:p>
        </w:tc>
        <w:tc>
          <w:tcPr>
            <w:tcW w:w="1242" w:type="dxa"/>
          </w:tcPr>
          <w:p w14:paraId="17B077E6" w14:textId="77777777" w:rsidR="00DE0323" w:rsidRPr="009C3415" w:rsidRDefault="00DE0323" w:rsidP="001B6B75">
            <w:pPr>
              <w:jc w:val="center"/>
            </w:pPr>
            <w:r w:rsidRPr="009C3415">
              <w:t>0</w:t>
            </w:r>
          </w:p>
        </w:tc>
        <w:tc>
          <w:tcPr>
            <w:tcW w:w="1417" w:type="dxa"/>
          </w:tcPr>
          <w:p w14:paraId="67F46FC5" w14:textId="77777777" w:rsidR="00DE0323" w:rsidRPr="009C3415" w:rsidRDefault="00DE0323" w:rsidP="001B6B75">
            <w:pPr>
              <w:jc w:val="center"/>
            </w:pPr>
            <w:r w:rsidRPr="009C3415">
              <w:t>2 660</w:t>
            </w:r>
          </w:p>
        </w:tc>
      </w:tr>
      <w:tr w:rsidR="00DE0323" w:rsidRPr="009C3415" w14:paraId="3AEA4453" w14:textId="77777777" w:rsidTr="0087450A">
        <w:trPr>
          <w:tblHeader/>
        </w:trPr>
        <w:tc>
          <w:tcPr>
            <w:tcW w:w="6408" w:type="dxa"/>
          </w:tcPr>
          <w:p w14:paraId="2BC656F1" w14:textId="77777777" w:rsidR="00DE0323" w:rsidRPr="009C3415" w:rsidRDefault="00DE0323" w:rsidP="00DE0323">
            <w:pPr>
              <w:jc w:val="both"/>
            </w:pPr>
            <w:r w:rsidRPr="009C3415">
              <w:t>127 77 Podpora financování dopravy</w:t>
            </w:r>
          </w:p>
        </w:tc>
        <w:tc>
          <w:tcPr>
            <w:tcW w:w="1242" w:type="dxa"/>
          </w:tcPr>
          <w:p w14:paraId="7302341D" w14:textId="77777777" w:rsidR="00DE0323" w:rsidRPr="009C3415" w:rsidRDefault="00DE0323" w:rsidP="001B6B75">
            <w:pPr>
              <w:jc w:val="center"/>
            </w:pPr>
            <w:r w:rsidRPr="009C3415">
              <w:t>711</w:t>
            </w:r>
          </w:p>
        </w:tc>
        <w:tc>
          <w:tcPr>
            <w:tcW w:w="1417" w:type="dxa"/>
          </w:tcPr>
          <w:p w14:paraId="36963133" w14:textId="77777777" w:rsidR="00DE0323" w:rsidRPr="009C3415" w:rsidRDefault="00DE0323" w:rsidP="001B6B75">
            <w:pPr>
              <w:jc w:val="center"/>
            </w:pPr>
            <w:r w:rsidRPr="009C3415">
              <w:t>17 561 354</w:t>
            </w:r>
          </w:p>
        </w:tc>
      </w:tr>
      <w:tr w:rsidR="00DE0323" w:rsidRPr="009C3415" w14:paraId="799F93C0" w14:textId="77777777" w:rsidTr="0087450A">
        <w:trPr>
          <w:tblHeader/>
        </w:trPr>
        <w:tc>
          <w:tcPr>
            <w:tcW w:w="6408" w:type="dxa"/>
          </w:tcPr>
          <w:p w14:paraId="484BF2FA" w14:textId="77777777" w:rsidR="00DE0323" w:rsidRPr="009C3415" w:rsidRDefault="00DE0323" w:rsidP="00DE0323">
            <w:pPr>
              <w:jc w:val="both"/>
              <w:rPr>
                <w:b/>
              </w:rPr>
            </w:pPr>
            <w:r w:rsidRPr="009C3415">
              <w:rPr>
                <w:b/>
              </w:rPr>
              <w:t>C E L K E M</w:t>
            </w:r>
          </w:p>
        </w:tc>
        <w:tc>
          <w:tcPr>
            <w:tcW w:w="1242" w:type="dxa"/>
          </w:tcPr>
          <w:p w14:paraId="24B53DF5" w14:textId="77777777" w:rsidR="00DE0323" w:rsidRPr="009C3415" w:rsidRDefault="00DE0323" w:rsidP="001B6B75">
            <w:pPr>
              <w:jc w:val="center"/>
              <w:rPr>
                <w:b/>
              </w:rPr>
            </w:pPr>
            <w:r w:rsidRPr="009C3415">
              <w:rPr>
                <w:b/>
              </w:rPr>
              <w:t>711</w:t>
            </w:r>
          </w:p>
        </w:tc>
        <w:tc>
          <w:tcPr>
            <w:tcW w:w="1417" w:type="dxa"/>
          </w:tcPr>
          <w:p w14:paraId="5816B160" w14:textId="77777777" w:rsidR="00DE0323" w:rsidRPr="009C3415" w:rsidRDefault="00DE0323" w:rsidP="001B6B75">
            <w:pPr>
              <w:jc w:val="center"/>
              <w:rPr>
                <w:b/>
              </w:rPr>
            </w:pPr>
            <w:r w:rsidRPr="009C3415">
              <w:rPr>
                <w:b/>
              </w:rPr>
              <w:t>17 564 014</w:t>
            </w:r>
          </w:p>
        </w:tc>
      </w:tr>
    </w:tbl>
    <w:p w14:paraId="79F431D2" w14:textId="77777777" w:rsidR="00DE0323" w:rsidRPr="00D07604" w:rsidRDefault="00DE0323" w:rsidP="0087450A">
      <w:pPr>
        <w:pStyle w:val="KOMtext"/>
      </w:pPr>
      <w:r w:rsidRPr="00D07604">
        <w:t xml:space="preserve">Ostatní výdaje mimo programy EDS/SMVS byly ve výši </w:t>
      </w:r>
      <w:r w:rsidRPr="00D07604">
        <w:rPr>
          <w:b/>
        </w:rPr>
        <w:t>51 222 tis. Kč</w:t>
      </w:r>
      <w:r w:rsidRPr="00D07604">
        <w:t>; z toho:</w:t>
      </w:r>
      <w:r w:rsidRPr="00D07604">
        <w:rPr>
          <w:b/>
        </w:rPr>
        <w:t xml:space="preserve"> </w:t>
      </w:r>
      <w:r w:rsidRPr="00D07604">
        <w:t xml:space="preserve">nároky </w:t>
      </w:r>
      <w:r w:rsidR="00DD6BFE">
        <w:br/>
      </w:r>
      <w:r w:rsidRPr="00D07604">
        <w:t xml:space="preserve">50 497 tis. Kč, </w:t>
      </w:r>
      <w:r w:rsidRPr="0087450A">
        <w:t>prostředky</w:t>
      </w:r>
      <w:r w:rsidRPr="00D07604">
        <w:t xml:space="preserve"> rezervního fondu 725 tis. Kč, prostředky EU 51 222 tis. Kč.</w:t>
      </w:r>
    </w:p>
    <w:p w14:paraId="282835E8" w14:textId="77777777" w:rsidR="00DE0323" w:rsidRPr="00D07604" w:rsidRDefault="00DE0323" w:rsidP="00275CE2">
      <w:pPr>
        <w:pStyle w:val="KOMtext"/>
        <w:numPr>
          <w:ilvl w:val="0"/>
          <w:numId w:val="64"/>
        </w:numPr>
        <w:ind w:left="0" w:firstLine="284"/>
      </w:pPr>
      <w:r w:rsidRPr="00D07604">
        <w:rPr>
          <w:u w:val="single"/>
        </w:rPr>
        <w:t>Dotace na projekty spolufinancované z EIB</w:t>
      </w:r>
      <w:r w:rsidRPr="00D07604">
        <w:t xml:space="preserve"> zahrnuje prostředky z úvěrů přijatých Českou republikou od EIB na financování národních podílů u projektů spolufinancovaných z OPD. V roce 2019 nebylo na tomto ukazateli rozpočtováno ani čerpáno. </w:t>
      </w:r>
    </w:p>
    <w:p w14:paraId="29A8DF6C" w14:textId="77777777" w:rsidR="00DE0323" w:rsidRPr="0094535F" w:rsidRDefault="00DE0323" w:rsidP="00275CE2">
      <w:pPr>
        <w:pStyle w:val="KOMtext"/>
        <w:numPr>
          <w:ilvl w:val="0"/>
          <w:numId w:val="64"/>
        </w:numPr>
        <w:ind w:left="0" w:firstLine="284"/>
        <w:rPr>
          <w:szCs w:val="24"/>
        </w:rPr>
      </w:pPr>
      <w:r w:rsidRPr="0094535F">
        <w:rPr>
          <w:szCs w:val="24"/>
          <w:u w:val="single"/>
        </w:rPr>
        <w:t>Ostatní dotace pro SFDI</w:t>
      </w:r>
      <w:r w:rsidRPr="0094535F">
        <w:rPr>
          <w:szCs w:val="24"/>
        </w:rPr>
        <w:t xml:space="preserve"> zahrnuje všechny prostředky, které nespadají do výše uvedených ukazatelů určených pro SFDI.</w:t>
      </w:r>
    </w:p>
    <w:p w14:paraId="4E8FF96A" w14:textId="77777777" w:rsidR="00DE0323" w:rsidRPr="0094535F" w:rsidRDefault="00DE0323" w:rsidP="0087450A">
      <w:pPr>
        <w:pStyle w:val="KOMtext"/>
      </w:pPr>
      <w:r w:rsidRPr="0094535F">
        <w:t xml:space="preserve">Největší objem finančních prostředků byl určen na </w:t>
      </w:r>
      <w:r w:rsidRPr="0094535F">
        <w:rPr>
          <w:b/>
        </w:rPr>
        <w:t>krytí deficitu příjmů SFDI</w:t>
      </w:r>
      <w:r w:rsidRPr="0094535F">
        <w:t xml:space="preserve">. Pro rok 2019 byl </w:t>
      </w:r>
      <w:r w:rsidRPr="0087450A">
        <w:t>schválený</w:t>
      </w:r>
      <w:r w:rsidRPr="0094535F">
        <w:t xml:space="preserve"> rozpočet ve výši 35 996 331 tis. Kč, který byl v průběhu roku upravován na částku 39 896 331 tis. Kč. Celkem bylo vyčerpáno </w:t>
      </w:r>
      <w:r w:rsidRPr="0094535F">
        <w:rPr>
          <w:b/>
        </w:rPr>
        <w:t>41 093 930 tis. Kč</w:t>
      </w:r>
      <w:r w:rsidRPr="0094535F">
        <w:t>, tj. 103,00 % upraveného rozpočtu; z toho nároky ve výši 6 226 766 tis. Kč.</w:t>
      </w:r>
    </w:p>
    <w:p w14:paraId="046046C8" w14:textId="77777777" w:rsidR="00DE0323" w:rsidRPr="0094535F" w:rsidRDefault="00DE0323" w:rsidP="0087450A">
      <w:pPr>
        <w:pStyle w:val="KOMtext"/>
      </w:pPr>
      <w:r w:rsidRPr="0094535F">
        <w:t xml:space="preserve">Výdaje na programy EDS/SMVS ve výši </w:t>
      </w:r>
      <w:r w:rsidRPr="0094535F">
        <w:rPr>
          <w:b/>
        </w:rPr>
        <w:t xml:space="preserve">27 180 435 tis. Kč; </w:t>
      </w:r>
      <w:r w:rsidRPr="0094535F">
        <w:t xml:space="preserve">z toho: nároky </w:t>
      </w:r>
      <w:r w:rsidRPr="0094535F">
        <w:br/>
        <w:t>3 230 </w:t>
      </w:r>
      <w:r w:rsidRPr="0087450A">
        <w:t>435</w:t>
      </w:r>
      <w:r w:rsidRPr="0094535F">
        <w:rPr>
          <w:b/>
        </w:rPr>
        <w:t xml:space="preserve"> </w:t>
      </w:r>
      <w:r w:rsidRPr="0094535F">
        <w:t>tis. Kč,</w:t>
      </w:r>
      <w:r w:rsidRPr="0094535F">
        <w:rPr>
          <w:b/>
        </w:rPr>
        <w:t xml:space="preserve"> </w:t>
      </w:r>
      <w:r w:rsidRPr="0094535F">
        <w:t>v tom:</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2"/>
        <w:gridCol w:w="1418"/>
        <w:gridCol w:w="1417"/>
      </w:tblGrid>
      <w:tr w:rsidR="00DE0323" w:rsidRPr="0094535F" w14:paraId="7E0AE2C2" w14:textId="77777777" w:rsidTr="0087450A">
        <w:trPr>
          <w:tblHeader/>
        </w:trPr>
        <w:tc>
          <w:tcPr>
            <w:tcW w:w="6232" w:type="dxa"/>
          </w:tcPr>
          <w:p w14:paraId="7C881003" w14:textId="77777777" w:rsidR="00DE0323" w:rsidRPr="0094535F" w:rsidRDefault="00DE0323" w:rsidP="00DE0323">
            <w:pPr>
              <w:tabs>
                <w:tab w:val="center" w:pos="3096"/>
              </w:tabs>
              <w:jc w:val="both"/>
              <w:rPr>
                <w:b/>
              </w:rPr>
            </w:pPr>
            <w:r w:rsidRPr="0094535F">
              <w:rPr>
                <w:b/>
              </w:rPr>
              <w:t xml:space="preserve">Program </w:t>
            </w:r>
            <w:r w:rsidRPr="0094535F">
              <w:t>(v tis. Kč)</w:t>
            </w:r>
            <w:r w:rsidRPr="0094535F">
              <w:tab/>
            </w:r>
          </w:p>
        </w:tc>
        <w:tc>
          <w:tcPr>
            <w:tcW w:w="1418" w:type="dxa"/>
          </w:tcPr>
          <w:p w14:paraId="0ADB4D7C" w14:textId="77777777" w:rsidR="00DE0323" w:rsidRPr="0094535F" w:rsidRDefault="00DE0323" w:rsidP="00DE0323">
            <w:pPr>
              <w:jc w:val="center"/>
              <w:rPr>
                <w:b/>
              </w:rPr>
            </w:pPr>
            <w:r w:rsidRPr="0094535F">
              <w:rPr>
                <w:b/>
              </w:rPr>
              <w:t>SR</w:t>
            </w:r>
          </w:p>
        </w:tc>
        <w:tc>
          <w:tcPr>
            <w:tcW w:w="1417" w:type="dxa"/>
          </w:tcPr>
          <w:p w14:paraId="1A385468" w14:textId="77777777" w:rsidR="00DE0323" w:rsidRPr="0094535F" w:rsidRDefault="00DE0323" w:rsidP="00DE0323">
            <w:pPr>
              <w:jc w:val="center"/>
              <w:rPr>
                <w:b/>
              </w:rPr>
            </w:pPr>
            <w:r w:rsidRPr="0094535F">
              <w:rPr>
                <w:b/>
              </w:rPr>
              <w:t>Fondy EU</w:t>
            </w:r>
          </w:p>
        </w:tc>
      </w:tr>
      <w:tr w:rsidR="00DE0323" w:rsidRPr="0094535F" w14:paraId="35936361" w14:textId="77777777" w:rsidTr="0087450A">
        <w:trPr>
          <w:tblHeader/>
        </w:trPr>
        <w:tc>
          <w:tcPr>
            <w:tcW w:w="6232" w:type="dxa"/>
          </w:tcPr>
          <w:p w14:paraId="02AA2989" w14:textId="77777777" w:rsidR="00DE0323" w:rsidRPr="0094535F" w:rsidRDefault="00DE0323" w:rsidP="00DE0323">
            <w:pPr>
              <w:jc w:val="both"/>
            </w:pPr>
            <w:r w:rsidRPr="0094535F">
              <w:t>127 77 Podpora financování dopravy</w:t>
            </w:r>
          </w:p>
        </w:tc>
        <w:tc>
          <w:tcPr>
            <w:tcW w:w="1418" w:type="dxa"/>
          </w:tcPr>
          <w:p w14:paraId="55082663" w14:textId="77777777" w:rsidR="00DE0323" w:rsidRPr="0094535F" w:rsidRDefault="00DE0323" w:rsidP="001B6B75">
            <w:pPr>
              <w:jc w:val="center"/>
            </w:pPr>
            <w:r w:rsidRPr="0094535F">
              <w:t>27 180 435</w:t>
            </w:r>
          </w:p>
        </w:tc>
        <w:tc>
          <w:tcPr>
            <w:tcW w:w="1417" w:type="dxa"/>
          </w:tcPr>
          <w:p w14:paraId="34B597F5" w14:textId="77777777" w:rsidR="00DE0323" w:rsidRPr="0094535F" w:rsidRDefault="00DE0323" w:rsidP="001B6B75">
            <w:pPr>
              <w:jc w:val="center"/>
            </w:pPr>
            <w:r w:rsidRPr="0094535F">
              <w:t>0</w:t>
            </w:r>
          </w:p>
        </w:tc>
      </w:tr>
      <w:tr w:rsidR="00DE0323" w:rsidRPr="0094535F" w14:paraId="68143158" w14:textId="77777777" w:rsidTr="0087450A">
        <w:trPr>
          <w:tblHeader/>
        </w:trPr>
        <w:tc>
          <w:tcPr>
            <w:tcW w:w="6232" w:type="dxa"/>
          </w:tcPr>
          <w:p w14:paraId="72583DC0" w14:textId="77777777" w:rsidR="00DE0323" w:rsidRPr="0094535F" w:rsidRDefault="00DE0323" w:rsidP="00DE0323">
            <w:pPr>
              <w:jc w:val="both"/>
              <w:rPr>
                <w:b/>
              </w:rPr>
            </w:pPr>
            <w:r w:rsidRPr="0094535F">
              <w:rPr>
                <w:b/>
              </w:rPr>
              <w:t>C E L K E M</w:t>
            </w:r>
          </w:p>
        </w:tc>
        <w:tc>
          <w:tcPr>
            <w:tcW w:w="1418" w:type="dxa"/>
          </w:tcPr>
          <w:p w14:paraId="3E45F3D3" w14:textId="77777777" w:rsidR="00DE0323" w:rsidRPr="0094535F" w:rsidRDefault="00DE0323" w:rsidP="001B6B75">
            <w:pPr>
              <w:jc w:val="center"/>
              <w:rPr>
                <w:b/>
              </w:rPr>
            </w:pPr>
            <w:r w:rsidRPr="0094535F">
              <w:rPr>
                <w:b/>
              </w:rPr>
              <w:t>27 180 435</w:t>
            </w:r>
          </w:p>
        </w:tc>
        <w:tc>
          <w:tcPr>
            <w:tcW w:w="1417" w:type="dxa"/>
          </w:tcPr>
          <w:p w14:paraId="1CA7AFE9" w14:textId="77777777" w:rsidR="00DE0323" w:rsidRPr="0094535F" w:rsidRDefault="00DE0323" w:rsidP="001B6B75">
            <w:pPr>
              <w:jc w:val="center"/>
              <w:rPr>
                <w:b/>
              </w:rPr>
            </w:pPr>
            <w:r w:rsidRPr="0094535F">
              <w:rPr>
                <w:b/>
              </w:rPr>
              <w:t>0</w:t>
            </w:r>
          </w:p>
        </w:tc>
      </w:tr>
    </w:tbl>
    <w:p w14:paraId="69B5E38B" w14:textId="77777777" w:rsidR="00DE0323" w:rsidRPr="0094535F" w:rsidRDefault="00DE0323" w:rsidP="0087450A">
      <w:pPr>
        <w:pStyle w:val="KOMtext"/>
      </w:pPr>
      <w:r w:rsidRPr="0094535F">
        <w:t xml:space="preserve">Ostatní </w:t>
      </w:r>
      <w:r w:rsidRPr="0087450A">
        <w:t>výdaje</w:t>
      </w:r>
      <w:r w:rsidRPr="0094535F">
        <w:t xml:space="preserve"> mimo programy EDS/SMVS ve výši </w:t>
      </w:r>
      <w:r w:rsidRPr="0094535F">
        <w:rPr>
          <w:b/>
        </w:rPr>
        <w:t xml:space="preserve">13 913 495 tis. Kč; </w:t>
      </w:r>
      <w:r w:rsidRPr="0094535F">
        <w:t xml:space="preserve">z toho nároky </w:t>
      </w:r>
      <w:r w:rsidR="00DD6BFE">
        <w:br/>
      </w:r>
      <w:r w:rsidRPr="0094535F">
        <w:t>2 996 331 tis. Kč.</w:t>
      </w:r>
    </w:p>
    <w:p w14:paraId="01E73EE4" w14:textId="1A19BDFF" w:rsidR="00DE0323" w:rsidRPr="00A904BE" w:rsidRDefault="00DE0323" w:rsidP="0087450A">
      <w:pPr>
        <w:pStyle w:val="KOMtext"/>
      </w:pPr>
      <w:r w:rsidRPr="00A904BE">
        <w:t xml:space="preserve">V rámci ukazatele „Ostatní dotace pro SFDI“ byly vyčerpány prostředky na financování </w:t>
      </w:r>
      <w:r w:rsidR="0039416C">
        <w:br/>
      </w:r>
      <w:r w:rsidRPr="00A904BE">
        <w:t xml:space="preserve">silnic II. a III. třídy ve výši </w:t>
      </w:r>
      <w:r w:rsidR="00625E42">
        <w:t>946 350</w:t>
      </w:r>
      <w:r w:rsidRPr="00A904BE">
        <w:t xml:space="preserve"> tis. Kč a na vyrovnání deficitu příjmů a výdajů </w:t>
      </w:r>
      <w:r w:rsidRPr="0087450A">
        <w:t>rozpočtů</w:t>
      </w:r>
      <w:r w:rsidRPr="00A904BE">
        <w:t xml:space="preserve"> SFDI ve výši </w:t>
      </w:r>
      <w:r w:rsidR="00625E42">
        <w:t>40 </w:t>
      </w:r>
      <w:r w:rsidR="003B2605">
        <w:t>1</w:t>
      </w:r>
      <w:r w:rsidR="00625E42">
        <w:t>47 580</w:t>
      </w:r>
      <w:r w:rsidRPr="00A904BE">
        <w:t xml:space="preserve"> tis. Kč.</w:t>
      </w:r>
    </w:p>
    <w:p w14:paraId="1F6459D1" w14:textId="77777777" w:rsidR="00DE0323" w:rsidRPr="0094535F" w:rsidRDefault="00DE0323" w:rsidP="00DD6BFE">
      <w:pPr>
        <w:pStyle w:val="Nadpis6"/>
      </w:pPr>
      <w:r w:rsidRPr="0094535F">
        <w:t>Ostatní výdaje spojené s dopravní politikou státu</w:t>
      </w:r>
    </w:p>
    <w:p w14:paraId="67D6681D" w14:textId="77777777" w:rsidR="00DE0323" w:rsidRPr="009A63C1" w:rsidRDefault="00DE0323" w:rsidP="00DD6BFE">
      <w:pPr>
        <w:pStyle w:val="KOMtext"/>
      </w:pPr>
      <w:bookmarkStart w:id="71" w:name="_Toc508879839"/>
      <w:bookmarkStart w:id="72" w:name="_Toc508880115"/>
      <w:r w:rsidRPr="0094535F">
        <w:t>Tento specifický výdajový ukazatel představuje</w:t>
      </w:r>
      <w:r w:rsidR="00DD6BFE">
        <w:t xml:space="preserve"> výdaje napříč celou kapitolou </w:t>
      </w:r>
      <w:r w:rsidRPr="0094535F">
        <w:t xml:space="preserve">327 Ministerstvo dopravy, které nespadají do předešlých ukazatelů. Schválený rozpočet </w:t>
      </w:r>
      <w:r w:rsidRPr="009A63C1">
        <w:t xml:space="preserve">ukazatele </w:t>
      </w:r>
      <w:r w:rsidR="0087450A">
        <w:br/>
      </w:r>
      <w:r w:rsidRPr="009A63C1">
        <w:t>9 540 001 tis. Kč se v průběhu roku navýšil na 10 031 776 tis. Kč. Navýšení bylo</w:t>
      </w:r>
      <w:r w:rsidRPr="004B11AC">
        <w:rPr>
          <w:color w:val="FF0000"/>
        </w:rPr>
        <w:t xml:space="preserve"> </w:t>
      </w:r>
      <w:r w:rsidRPr="000276E1">
        <w:t xml:space="preserve">způsobeno zejména posílením rozpočtu o 400 000 tis. Kč určené na dokrytí slev z jízdného ve vlacích </w:t>
      </w:r>
      <w:r w:rsidR="0087450A">
        <w:br/>
      </w:r>
      <w:r w:rsidRPr="000276E1">
        <w:t xml:space="preserve">a autobusech pro seniory, děti, žáky a studenty. </w:t>
      </w:r>
      <w:r w:rsidRPr="009A63C1">
        <w:t xml:space="preserve">V rámci souhrnného ukazatele byly celkem čerpané finanční prostředky ve výši </w:t>
      </w:r>
      <w:r w:rsidRPr="009A63C1">
        <w:rPr>
          <w:b/>
        </w:rPr>
        <w:t>9 014 275 tis. Kč</w:t>
      </w:r>
      <w:r w:rsidRPr="009A63C1">
        <w:t>, tj. 8</w:t>
      </w:r>
      <w:r>
        <w:t>9</w:t>
      </w:r>
      <w:r w:rsidRPr="009A63C1">
        <w:t>,</w:t>
      </w:r>
      <w:r>
        <w:t>8</w:t>
      </w:r>
      <w:r w:rsidRPr="009A63C1">
        <w:t xml:space="preserve">6 % upraveného rozpočtu; z toho: prostředky EU 130 383 tis. Kč, nároky 252 802 tis. Kč, prostředky rezervního fondu </w:t>
      </w:r>
      <w:r w:rsidR="0087450A">
        <w:br/>
      </w:r>
      <w:r w:rsidRPr="009A63C1">
        <w:t xml:space="preserve">38 180 tis. Kč, </w:t>
      </w:r>
      <w:r>
        <w:t>prostředky fondu zakladatele</w:t>
      </w:r>
      <w:r w:rsidRPr="009A63C1">
        <w:rPr>
          <w:color w:val="FF0000"/>
        </w:rPr>
        <w:t xml:space="preserve"> </w:t>
      </w:r>
      <w:r w:rsidRPr="009A63C1">
        <w:t>4 114 tis. Kč</w:t>
      </w:r>
      <w:r>
        <w:t xml:space="preserve">. </w:t>
      </w:r>
    </w:p>
    <w:p w14:paraId="2765126E" w14:textId="77777777" w:rsidR="00DE0323" w:rsidRPr="00C747A5" w:rsidRDefault="00DE0323" w:rsidP="00275CE2">
      <w:pPr>
        <w:pStyle w:val="Nadpis7"/>
        <w:numPr>
          <w:ilvl w:val="0"/>
          <w:numId w:val="66"/>
        </w:numPr>
        <w:ind w:hanging="436"/>
      </w:pPr>
      <w:r w:rsidRPr="00C747A5">
        <w:lastRenderedPageBreak/>
        <w:t>Další výdaje spojené s dopravní politikou státu</w:t>
      </w:r>
    </w:p>
    <w:p w14:paraId="6B80BD08" w14:textId="751AD7CE" w:rsidR="00DE0323" w:rsidRPr="00C747A5" w:rsidRDefault="00DE0323" w:rsidP="00DD6BFE">
      <w:pPr>
        <w:pStyle w:val="KOMtext"/>
        <w:rPr>
          <w:u w:val="single"/>
        </w:rPr>
      </w:pPr>
      <w:r w:rsidRPr="00C747A5">
        <w:t xml:space="preserve">Schválený rozpočet dílčího ukazatele ve výši 8 607 526 tis. Kč byl v průběhu roku navýšen </w:t>
      </w:r>
      <w:r w:rsidR="006E3A48">
        <w:br/>
      </w:r>
      <w:r w:rsidRPr="00C747A5">
        <w:t xml:space="preserve">o 492 062 tis. Kč na 9 099 588 tis. Kč, což představuje kombinaci zejména zvyšujících </w:t>
      </w:r>
      <w:r w:rsidR="006E3A48">
        <w:br/>
      </w:r>
      <w:r w:rsidRPr="00C747A5">
        <w:t xml:space="preserve">a snižujících úprav ukazatele. Čerpání činilo </w:t>
      </w:r>
      <w:r w:rsidRPr="00C747A5">
        <w:rPr>
          <w:b/>
        </w:rPr>
        <w:t>8 086 984 tis. Kč</w:t>
      </w:r>
      <w:r w:rsidRPr="00C747A5">
        <w:t xml:space="preserve">, tj. 88,87 % upraveného ukazatele; z toho: nároky 252 454 tis. Kč, prostředky EU 130 383 tis. Kč, prostředky rezervního fondu </w:t>
      </w:r>
      <w:r w:rsidRPr="00C747A5">
        <w:br/>
        <w:t>38 180 tis. Kč</w:t>
      </w:r>
      <w:r>
        <w:t>, prostředky fondu zakladatele 4 114 tis. Kč</w:t>
      </w:r>
      <w:r w:rsidRPr="00C747A5">
        <w:t xml:space="preserve">. </w:t>
      </w:r>
    </w:p>
    <w:p w14:paraId="44E0C927" w14:textId="77777777" w:rsidR="00DE0323" w:rsidRPr="00C72066" w:rsidRDefault="00DE0323" w:rsidP="0087450A">
      <w:pPr>
        <w:pStyle w:val="KOMtext"/>
      </w:pPr>
      <w:r w:rsidRPr="00C72066">
        <w:t>Jsou zde zahrnuty výdaje mimo programové financování EDS</w:t>
      </w:r>
      <w:r w:rsidR="0087450A">
        <w:t xml:space="preserve">/SMVS ve výši </w:t>
      </w:r>
      <w:r w:rsidRPr="00C72066">
        <w:rPr>
          <w:b/>
        </w:rPr>
        <w:t xml:space="preserve">7 972 532 tis. Kč, </w:t>
      </w:r>
      <w:r w:rsidRPr="00C72066">
        <w:t>z toho:</w:t>
      </w:r>
      <w:r w:rsidRPr="00C72066">
        <w:rPr>
          <w:b/>
        </w:rPr>
        <w:t xml:space="preserve"> </w:t>
      </w:r>
      <w:r w:rsidRPr="00C72066">
        <w:t>nároky 214 808 tis. Kč, prostředky EU 129 160 tis. Kč,</w:t>
      </w:r>
      <w:r w:rsidR="0087450A">
        <w:t xml:space="preserve"> prostředky rezervního fondu </w:t>
      </w:r>
      <w:r w:rsidR="0087450A">
        <w:br/>
        <w:t xml:space="preserve">36 </w:t>
      </w:r>
      <w:r w:rsidRPr="00C72066">
        <w:t>702 tis. Kč, prostředky fondu zakladatele 4 114 tis. Kč:</w:t>
      </w:r>
    </w:p>
    <w:p w14:paraId="7E91B0B6" w14:textId="7A0D7EB0" w:rsidR="00DE0323" w:rsidRPr="00301279" w:rsidRDefault="00DE0323" w:rsidP="0087450A">
      <w:pPr>
        <w:numPr>
          <w:ilvl w:val="0"/>
          <w:numId w:val="3"/>
        </w:numPr>
        <w:tabs>
          <w:tab w:val="clear" w:pos="1634"/>
          <w:tab w:val="num" w:pos="769"/>
        </w:tabs>
        <w:spacing w:before="120" w:after="60"/>
        <w:ind w:left="709" w:hanging="425"/>
        <w:jc w:val="both"/>
      </w:pPr>
      <w:r w:rsidRPr="00301279">
        <w:rPr>
          <w:b/>
        </w:rPr>
        <w:t>výdaje Ústředního orgánu</w:t>
      </w:r>
      <w:r w:rsidRPr="00301279">
        <w:t xml:space="preserve"> (</w:t>
      </w:r>
      <w:r>
        <w:t>6</w:t>
      </w:r>
      <w:r w:rsidRPr="00301279">
        <w:t> </w:t>
      </w:r>
      <w:r w:rsidR="00941963">
        <w:t>7</w:t>
      </w:r>
      <w:r>
        <w:t>06</w:t>
      </w:r>
      <w:r w:rsidRPr="00301279">
        <w:t xml:space="preserve"> </w:t>
      </w:r>
      <w:r w:rsidR="00371956">
        <w:t>861</w:t>
      </w:r>
      <w:r w:rsidRPr="00301279">
        <w:t xml:space="preserve"> tis. Kč,</w:t>
      </w:r>
      <w:r w:rsidR="007B1F67">
        <w:t xml:space="preserve"> z toho</w:t>
      </w:r>
      <w:r>
        <w:t xml:space="preserve"> čerpání ve výši 5 761 452 tis. Kč </w:t>
      </w:r>
      <w:r w:rsidR="007B1F67">
        <w:t xml:space="preserve">se </w:t>
      </w:r>
      <w:r>
        <w:t xml:space="preserve">týkalo </w:t>
      </w:r>
      <w:r w:rsidRPr="00F2757D">
        <w:t>kompenzace ztráty dopravců ve veřejné osobní dopravě vznikající přiznáváním státem nařízených slev z jízdného</w:t>
      </w:r>
      <w:r w:rsidRPr="00F2757D">
        <w:rPr>
          <w:i/>
        </w:rPr>
        <w:t xml:space="preserve"> </w:t>
      </w:r>
      <w:r w:rsidR="00E2031D">
        <w:rPr>
          <w:i/>
        </w:rPr>
        <w:t>z toho: nároky 164 820 tis. Kč,</w:t>
      </w:r>
      <w:r w:rsidRPr="00301279">
        <w:rPr>
          <w:i/>
        </w:rPr>
        <w:t xml:space="preserve"> prostředky EU </w:t>
      </w:r>
      <w:r w:rsidR="007B1F67">
        <w:rPr>
          <w:i/>
        </w:rPr>
        <w:br/>
      </w:r>
      <w:r w:rsidRPr="00301279">
        <w:rPr>
          <w:i/>
        </w:rPr>
        <w:t>89 613 tis. Kč, prostředky rezervního fondu 3 775 tis. Kč, prostředky fondu zakladatele 4 114 tis. Kč</w:t>
      </w:r>
      <w:r w:rsidRPr="00301279">
        <w:t xml:space="preserve">);  </w:t>
      </w:r>
    </w:p>
    <w:p w14:paraId="36352443" w14:textId="77777777" w:rsidR="00DE0323" w:rsidRPr="0041307B" w:rsidRDefault="00DE0323" w:rsidP="0087450A">
      <w:pPr>
        <w:numPr>
          <w:ilvl w:val="0"/>
          <w:numId w:val="3"/>
        </w:numPr>
        <w:tabs>
          <w:tab w:val="clear" w:pos="1634"/>
          <w:tab w:val="num" w:pos="769"/>
        </w:tabs>
        <w:spacing w:after="60"/>
        <w:ind w:left="709" w:hanging="425"/>
        <w:jc w:val="both"/>
      </w:pPr>
      <w:r w:rsidRPr="0041307B">
        <w:rPr>
          <w:b/>
        </w:rPr>
        <w:t>výdaje ostatních organizačních složek státu:</w:t>
      </w:r>
      <w:r w:rsidRPr="0041307B">
        <w:t xml:space="preserve"> </w:t>
      </w:r>
    </w:p>
    <w:p w14:paraId="2FBCF8C8" w14:textId="77777777" w:rsidR="00DE0323" w:rsidRPr="0041307B" w:rsidRDefault="00DE0323" w:rsidP="00275CE2">
      <w:pPr>
        <w:numPr>
          <w:ilvl w:val="0"/>
          <w:numId w:val="40"/>
        </w:numPr>
        <w:spacing w:after="60"/>
        <w:ind w:left="993" w:hanging="284"/>
        <w:jc w:val="both"/>
      </w:pPr>
      <w:r w:rsidRPr="0041307B">
        <w:t xml:space="preserve">Úřad pro civilní letectví (182 292 tis. Kč, </w:t>
      </w:r>
      <w:r w:rsidRPr="0041307B">
        <w:rPr>
          <w:i/>
        </w:rPr>
        <w:t>z toho nároky 21 855 tis. Kč</w:t>
      </w:r>
      <w:r w:rsidRPr="0041307B">
        <w:t xml:space="preserve">), </w:t>
      </w:r>
    </w:p>
    <w:p w14:paraId="7FA0CD58" w14:textId="77777777" w:rsidR="00DE0323" w:rsidRPr="00DB0A76" w:rsidRDefault="00DE0323" w:rsidP="00275CE2">
      <w:pPr>
        <w:numPr>
          <w:ilvl w:val="0"/>
          <w:numId w:val="40"/>
        </w:numPr>
        <w:spacing w:after="60"/>
        <w:ind w:left="993" w:hanging="284"/>
        <w:jc w:val="both"/>
      </w:pPr>
      <w:r w:rsidRPr="00DB0A76">
        <w:t xml:space="preserve">Státní plavební správa (71 376 tis. Kč, </w:t>
      </w:r>
      <w:r w:rsidRPr="00DB0A76">
        <w:rPr>
          <w:i/>
        </w:rPr>
        <w:t xml:space="preserve">z toho: nároky 3 101 tis. Kč, prostředky EU </w:t>
      </w:r>
      <w:r w:rsidR="000D72BC">
        <w:rPr>
          <w:i/>
        </w:rPr>
        <w:br/>
      </w:r>
      <w:r w:rsidRPr="00DB0A76">
        <w:rPr>
          <w:i/>
        </w:rPr>
        <w:t>1 132 tis. Kč</w:t>
      </w:r>
      <w:r w:rsidRPr="00DB0A76">
        <w:t xml:space="preserve">), </w:t>
      </w:r>
    </w:p>
    <w:p w14:paraId="56F2AE1E" w14:textId="77777777" w:rsidR="00DE0323" w:rsidRPr="0021156D" w:rsidRDefault="00DE0323" w:rsidP="00275CE2">
      <w:pPr>
        <w:numPr>
          <w:ilvl w:val="0"/>
          <w:numId w:val="41"/>
        </w:numPr>
        <w:spacing w:after="60"/>
        <w:ind w:left="993" w:hanging="284"/>
        <w:jc w:val="both"/>
      </w:pPr>
      <w:r w:rsidRPr="0021156D">
        <w:t xml:space="preserve">Drážní úřad (102 001 tis. Kč, </w:t>
      </w:r>
      <w:r w:rsidRPr="0021156D">
        <w:rPr>
          <w:i/>
        </w:rPr>
        <w:t>z toho nároky 3 459 tis. Kč</w:t>
      </w:r>
      <w:r w:rsidRPr="0021156D">
        <w:t xml:space="preserve">), </w:t>
      </w:r>
    </w:p>
    <w:p w14:paraId="370E8632" w14:textId="77777777" w:rsidR="00DE0323" w:rsidRPr="0021156D" w:rsidRDefault="00DE0323" w:rsidP="00275CE2">
      <w:pPr>
        <w:numPr>
          <w:ilvl w:val="0"/>
          <w:numId w:val="41"/>
        </w:numPr>
        <w:spacing w:after="60"/>
        <w:ind w:left="993" w:hanging="284"/>
        <w:jc w:val="both"/>
      </w:pPr>
      <w:r w:rsidRPr="0021156D">
        <w:t xml:space="preserve">Drážní inspekce (37 858 tis. Kč, </w:t>
      </w:r>
      <w:r w:rsidRPr="0021156D">
        <w:rPr>
          <w:i/>
        </w:rPr>
        <w:t>z toho nároky 178 tis. Kč</w:t>
      </w:r>
      <w:r w:rsidRPr="0021156D">
        <w:t xml:space="preserve">), </w:t>
      </w:r>
    </w:p>
    <w:p w14:paraId="433F0913" w14:textId="77777777" w:rsidR="00DE0323" w:rsidRPr="006B186B" w:rsidRDefault="00DE0323" w:rsidP="00275CE2">
      <w:pPr>
        <w:numPr>
          <w:ilvl w:val="0"/>
          <w:numId w:val="41"/>
        </w:numPr>
        <w:spacing w:after="60"/>
        <w:ind w:left="993" w:hanging="284"/>
        <w:jc w:val="both"/>
        <w:rPr>
          <w:i/>
        </w:rPr>
      </w:pPr>
      <w:r w:rsidRPr="006B186B">
        <w:t xml:space="preserve">Ředitelství vodních cest ČR (42 468 tis. Kč, </w:t>
      </w:r>
      <w:r w:rsidRPr="006B186B">
        <w:rPr>
          <w:i/>
        </w:rPr>
        <w:t>z toho nároky 6 213 tis. Kč</w:t>
      </w:r>
      <w:r w:rsidRPr="006B186B">
        <w:t>),</w:t>
      </w:r>
      <w:r w:rsidRPr="006B186B">
        <w:rPr>
          <w:i/>
        </w:rPr>
        <w:t xml:space="preserve"> </w:t>
      </w:r>
    </w:p>
    <w:p w14:paraId="644C00BB" w14:textId="77777777" w:rsidR="00DE0323" w:rsidRPr="006B186B" w:rsidRDefault="00DE0323" w:rsidP="00275CE2">
      <w:pPr>
        <w:numPr>
          <w:ilvl w:val="0"/>
          <w:numId w:val="41"/>
        </w:numPr>
        <w:spacing w:after="60"/>
        <w:ind w:left="993" w:hanging="284"/>
        <w:jc w:val="both"/>
      </w:pPr>
      <w:r w:rsidRPr="006B186B">
        <w:t xml:space="preserve">Ústav pro odborné zjišťování příčin leteckých nehod (17 681 tis. Kč, </w:t>
      </w:r>
      <w:r w:rsidRPr="006B186B">
        <w:rPr>
          <w:i/>
        </w:rPr>
        <w:t xml:space="preserve">z toho nároky </w:t>
      </w:r>
      <w:r w:rsidR="000D72BC">
        <w:rPr>
          <w:i/>
        </w:rPr>
        <w:br/>
      </w:r>
      <w:r w:rsidRPr="006B186B">
        <w:rPr>
          <w:i/>
        </w:rPr>
        <w:t>1 066 tis. Kč</w:t>
      </w:r>
      <w:r w:rsidRPr="006B186B">
        <w:t>);</w:t>
      </w:r>
    </w:p>
    <w:p w14:paraId="52C4F62D" w14:textId="77777777" w:rsidR="00DE0323" w:rsidRPr="0093031E" w:rsidRDefault="00DE0323" w:rsidP="0087450A">
      <w:pPr>
        <w:numPr>
          <w:ilvl w:val="0"/>
          <w:numId w:val="3"/>
        </w:numPr>
        <w:tabs>
          <w:tab w:val="clear" w:pos="1634"/>
          <w:tab w:val="num" w:pos="709"/>
        </w:tabs>
        <w:spacing w:after="60"/>
        <w:ind w:left="709" w:hanging="425"/>
        <w:jc w:val="both"/>
      </w:pPr>
      <w:r w:rsidRPr="0093031E">
        <w:rPr>
          <w:b/>
        </w:rPr>
        <w:t>výdaje příspěvkových organizací:</w:t>
      </w:r>
      <w:r w:rsidRPr="0093031E">
        <w:t xml:space="preserve"> Centrum služeb pro silniční dopravu </w:t>
      </w:r>
      <w:r w:rsidRPr="0093031E">
        <w:br/>
        <w:t>(101 618 tis. Kč), Ředitelství silnic a dálnic ČR (395 680 tis. Kč);</w:t>
      </w:r>
    </w:p>
    <w:p w14:paraId="6924F9EE" w14:textId="77777777" w:rsidR="00DE0323" w:rsidRPr="00C63CF8" w:rsidRDefault="00DE0323" w:rsidP="0087450A">
      <w:pPr>
        <w:numPr>
          <w:ilvl w:val="0"/>
          <w:numId w:val="3"/>
        </w:numPr>
        <w:tabs>
          <w:tab w:val="clear" w:pos="1634"/>
          <w:tab w:val="num" w:pos="709"/>
        </w:tabs>
        <w:spacing w:after="60"/>
        <w:ind w:left="709" w:hanging="425"/>
        <w:jc w:val="both"/>
      </w:pPr>
      <w:r w:rsidRPr="00C63CF8">
        <w:rPr>
          <w:b/>
        </w:rPr>
        <w:t>veřejn</w:t>
      </w:r>
      <w:r>
        <w:rPr>
          <w:b/>
        </w:rPr>
        <w:t>é</w:t>
      </w:r>
      <w:r w:rsidRPr="00C63CF8">
        <w:rPr>
          <w:b/>
        </w:rPr>
        <w:t xml:space="preserve"> výzkum</w:t>
      </w:r>
      <w:r>
        <w:rPr>
          <w:b/>
        </w:rPr>
        <w:t>né</w:t>
      </w:r>
      <w:r w:rsidRPr="00C63CF8">
        <w:rPr>
          <w:b/>
        </w:rPr>
        <w:t xml:space="preserve"> instituce, vysoké školy:</w:t>
      </w:r>
      <w:r w:rsidR="00CF6EC7">
        <w:t xml:space="preserve"> (95 166</w:t>
      </w:r>
      <w:r w:rsidRPr="00C63CF8">
        <w:t xml:space="preserve"> tis. Kč, </w:t>
      </w:r>
      <w:r w:rsidRPr="00C63CF8">
        <w:rPr>
          <w:i/>
        </w:rPr>
        <w:t>z toho: nároky 3 466 tis. Kč, prostředky EU 5 254 tis. Kč, prostředky rezervního fondu 1 788 tis. Kč</w:t>
      </w:r>
      <w:r w:rsidRPr="00C63CF8">
        <w:t>);</w:t>
      </w:r>
    </w:p>
    <w:p w14:paraId="4A951AA5" w14:textId="77777777" w:rsidR="00DE0323" w:rsidRPr="00873E18" w:rsidRDefault="00DE0323" w:rsidP="0087450A">
      <w:pPr>
        <w:numPr>
          <w:ilvl w:val="0"/>
          <w:numId w:val="3"/>
        </w:numPr>
        <w:tabs>
          <w:tab w:val="clear" w:pos="1634"/>
          <w:tab w:val="num" w:pos="709"/>
        </w:tabs>
        <w:spacing w:after="60"/>
        <w:ind w:left="709" w:hanging="425"/>
        <w:jc w:val="both"/>
      </w:pPr>
      <w:r w:rsidRPr="00873E18">
        <w:rPr>
          <w:b/>
        </w:rPr>
        <w:t>dotace spolkům</w:t>
      </w:r>
      <w:r w:rsidRPr="00873E18">
        <w:t xml:space="preserve"> (8 300 tis. Kč);</w:t>
      </w:r>
    </w:p>
    <w:p w14:paraId="552BF718" w14:textId="77777777" w:rsidR="00DE0323" w:rsidRPr="00873E18" w:rsidRDefault="00DE0323" w:rsidP="0087450A">
      <w:pPr>
        <w:numPr>
          <w:ilvl w:val="0"/>
          <w:numId w:val="3"/>
        </w:numPr>
        <w:tabs>
          <w:tab w:val="clear" w:pos="1634"/>
          <w:tab w:val="num" w:pos="709"/>
        </w:tabs>
        <w:spacing w:after="60"/>
        <w:ind w:left="709" w:hanging="425"/>
        <w:jc w:val="both"/>
      </w:pPr>
      <w:r w:rsidRPr="00873E18">
        <w:rPr>
          <w:b/>
        </w:rPr>
        <w:t xml:space="preserve">transfery poskytované podnikatelským subjektům: </w:t>
      </w:r>
      <w:r w:rsidRPr="00873E18">
        <w:t xml:space="preserve">(84 987 tis. Kč, </w:t>
      </w:r>
      <w:r w:rsidRPr="00873E18">
        <w:rPr>
          <w:i/>
        </w:rPr>
        <w:t>z toho: prostředky EU 33 161 tis. Kč, prostředky rezervního fondu 31 139 tis. Kč</w:t>
      </w:r>
      <w:r w:rsidRPr="00873E18">
        <w:t>);</w:t>
      </w:r>
    </w:p>
    <w:p w14:paraId="12B334AE" w14:textId="7174DB9B" w:rsidR="00DE0323" w:rsidRDefault="00DE0323" w:rsidP="0087450A">
      <w:pPr>
        <w:numPr>
          <w:ilvl w:val="0"/>
          <w:numId w:val="3"/>
        </w:numPr>
        <w:tabs>
          <w:tab w:val="clear" w:pos="1634"/>
          <w:tab w:val="num" w:pos="709"/>
        </w:tabs>
        <w:spacing w:after="60"/>
        <w:ind w:left="709" w:hanging="425"/>
        <w:jc w:val="both"/>
      </w:pPr>
      <w:r w:rsidRPr="00B314CC">
        <w:rPr>
          <w:b/>
        </w:rPr>
        <w:t>transfery půjčené podnikatelským subjektům:</w:t>
      </w:r>
      <w:r w:rsidRPr="00B314CC">
        <w:t xml:space="preserve"> (10 650 tis. Kč, </w:t>
      </w:r>
      <w:r>
        <w:t>z toho</w:t>
      </w:r>
      <w:r w:rsidRPr="00B314CC">
        <w:t xml:space="preserve">: nároky </w:t>
      </w:r>
      <w:r w:rsidR="000D72BC">
        <w:br/>
      </w:r>
      <w:r w:rsidRPr="00B314CC">
        <w:t>10 650 tis. Kč);</w:t>
      </w:r>
    </w:p>
    <w:p w14:paraId="2B19C012" w14:textId="58AFD56F" w:rsidR="00941963" w:rsidRPr="00B314CC" w:rsidRDefault="00941963" w:rsidP="0087450A">
      <w:pPr>
        <w:numPr>
          <w:ilvl w:val="0"/>
          <w:numId w:val="3"/>
        </w:numPr>
        <w:tabs>
          <w:tab w:val="clear" w:pos="1634"/>
          <w:tab w:val="num" w:pos="709"/>
        </w:tabs>
        <w:spacing w:after="60"/>
        <w:ind w:left="709" w:hanging="425"/>
        <w:jc w:val="both"/>
      </w:pPr>
      <w:r>
        <w:rPr>
          <w:b/>
        </w:rPr>
        <w:t>transfery územním rozpočtům:</w:t>
      </w:r>
      <w:r>
        <w:t xml:space="preserve"> (100 000 tis. Kč);</w:t>
      </w:r>
    </w:p>
    <w:p w14:paraId="7FF8AC55" w14:textId="77777777" w:rsidR="00DE0323" w:rsidRPr="00B314CC" w:rsidRDefault="00DE0323" w:rsidP="0087450A">
      <w:pPr>
        <w:numPr>
          <w:ilvl w:val="0"/>
          <w:numId w:val="3"/>
        </w:numPr>
        <w:tabs>
          <w:tab w:val="clear" w:pos="1634"/>
          <w:tab w:val="num" w:pos="709"/>
        </w:tabs>
        <w:spacing w:after="60"/>
        <w:ind w:left="709" w:hanging="425"/>
        <w:jc w:val="both"/>
      </w:pPr>
      <w:r w:rsidRPr="00B314CC">
        <w:rPr>
          <w:b/>
        </w:rPr>
        <w:t>transfery do zahraničí</w:t>
      </w:r>
      <w:r w:rsidRPr="00B314CC">
        <w:t xml:space="preserve"> (15 594 </w:t>
      </w:r>
      <w:r>
        <w:t>tis. Kč).</w:t>
      </w:r>
    </w:p>
    <w:p w14:paraId="12B8424D" w14:textId="77777777" w:rsidR="00815EEB" w:rsidRDefault="00815EEB" w:rsidP="0087450A">
      <w:pPr>
        <w:pStyle w:val="KOMtext"/>
      </w:pPr>
    </w:p>
    <w:p w14:paraId="531C855A" w14:textId="77777777" w:rsidR="00815EEB" w:rsidRDefault="00815EEB" w:rsidP="0087450A">
      <w:pPr>
        <w:pStyle w:val="KOMtext"/>
      </w:pPr>
    </w:p>
    <w:p w14:paraId="27B04DE0" w14:textId="77777777" w:rsidR="00815EEB" w:rsidRDefault="00815EEB" w:rsidP="0087450A">
      <w:pPr>
        <w:pStyle w:val="KOMtext"/>
      </w:pPr>
    </w:p>
    <w:p w14:paraId="789F0CF3" w14:textId="77777777" w:rsidR="00815EEB" w:rsidRDefault="00815EEB" w:rsidP="0087450A">
      <w:pPr>
        <w:pStyle w:val="KOMtext"/>
      </w:pPr>
    </w:p>
    <w:p w14:paraId="5682FA82" w14:textId="77777777" w:rsidR="00815EEB" w:rsidRDefault="00815EEB" w:rsidP="0087450A">
      <w:pPr>
        <w:pStyle w:val="KOMtext"/>
      </w:pPr>
    </w:p>
    <w:p w14:paraId="204C8A41" w14:textId="77777777" w:rsidR="00815EEB" w:rsidRDefault="00815EEB" w:rsidP="0087450A">
      <w:pPr>
        <w:pStyle w:val="KOMtext"/>
      </w:pPr>
    </w:p>
    <w:p w14:paraId="01F830C5" w14:textId="6B25B2E2" w:rsidR="00DE0323" w:rsidRPr="001251B3" w:rsidRDefault="00DE0323" w:rsidP="0087450A">
      <w:pPr>
        <w:pStyle w:val="KOMtext"/>
      </w:pPr>
      <w:r w:rsidRPr="001251B3">
        <w:lastRenderedPageBreak/>
        <w:t>Jsou zde zahrnuty výdaje programovéh</w:t>
      </w:r>
      <w:r w:rsidR="0087450A">
        <w:t xml:space="preserve">o financování EDS/SMVS ve výši </w:t>
      </w:r>
      <w:r w:rsidRPr="001251B3">
        <w:rPr>
          <w:b/>
        </w:rPr>
        <w:t>1</w:t>
      </w:r>
      <w:r>
        <w:rPr>
          <w:b/>
        </w:rPr>
        <w:t>14</w:t>
      </w:r>
      <w:r w:rsidRPr="001251B3">
        <w:rPr>
          <w:b/>
        </w:rPr>
        <w:t xml:space="preserve"> </w:t>
      </w:r>
      <w:r w:rsidR="00B47B96">
        <w:rPr>
          <w:b/>
        </w:rPr>
        <w:t>452</w:t>
      </w:r>
      <w:r w:rsidRPr="001251B3">
        <w:rPr>
          <w:b/>
        </w:rPr>
        <w:t xml:space="preserve"> tis. Kč, </w:t>
      </w:r>
      <w:r w:rsidR="00941963">
        <w:t>z toho: nároky 37</w:t>
      </w:r>
      <w:r w:rsidRPr="001251B3">
        <w:t> </w:t>
      </w:r>
      <w:r w:rsidR="00941963">
        <w:t>646</w:t>
      </w:r>
      <w:r w:rsidRPr="001251B3">
        <w:t xml:space="preserve"> tis. Kč, prostředky EU 1 223 tis. Kč, prostředky rezervního fondu 1 478 tis. Kč:</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8"/>
        <w:gridCol w:w="1275"/>
        <w:gridCol w:w="1276"/>
      </w:tblGrid>
      <w:tr w:rsidR="00DE0323" w:rsidRPr="004B11AC" w14:paraId="63C7722E" w14:textId="77777777" w:rsidTr="00121BA0">
        <w:trPr>
          <w:tblHeader/>
        </w:trPr>
        <w:tc>
          <w:tcPr>
            <w:tcW w:w="6658" w:type="dxa"/>
          </w:tcPr>
          <w:p w14:paraId="29739AA8" w14:textId="77777777" w:rsidR="00DE0323" w:rsidRPr="001251B3" w:rsidRDefault="00DE0323" w:rsidP="00DE0323">
            <w:pPr>
              <w:jc w:val="both"/>
              <w:rPr>
                <w:b/>
              </w:rPr>
            </w:pPr>
            <w:r w:rsidRPr="001251B3">
              <w:rPr>
                <w:b/>
              </w:rPr>
              <w:t xml:space="preserve">Program </w:t>
            </w:r>
            <w:r w:rsidRPr="001251B3">
              <w:t>(v tis. Kč)</w:t>
            </w:r>
          </w:p>
        </w:tc>
        <w:tc>
          <w:tcPr>
            <w:tcW w:w="1275" w:type="dxa"/>
          </w:tcPr>
          <w:p w14:paraId="5300F580" w14:textId="77777777" w:rsidR="00DE0323" w:rsidRPr="001251B3" w:rsidRDefault="00DE0323" w:rsidP="00DE0323">
            <w:pPr>
              <w:jc w:val="center"/>
              <w:rPr>
                <w:b/>
              </w:rPr>
            </w:pPr>
            <w:r w:rsidRPr="001251B3">
              <w:rPr>
                <w:b/>
              </w:rPr>
              <w:t>SR</w:t>
            </w:r>
          </w:p>
        </w:tc>
        <w:tc>
          <w:tcPr>
            <w:tcW w:w="1276" w:type="dxa"/>
          </w:tcPr>
          <w:p w14:paraId="66D71181" w14:textId="77777777" w:rsidR="00DE0323" w:rsidRPr="001251B3" w:rsidRDefault="00DE0323" w:rsidP="00DE0323">
            <w:pPr>
              <w:jc w:val="center"/>
              <w:rPr>
                <w:b/>
              </w:rPr>
            </w:pPr>
            <w:r w:rsidRPr="001251B3">
              <w:rPr>
                <w:b/>
              </w:rPr>
              <w:t>Fondy EU</w:t>
            </w:r>
          </w:p>
        </w:tc>
      </w:tr>
      <w:tr w:rsidR="00DE0323" w:rsidRPr="004B11AC" w14:paraId="40FADB38" w14:textId="77777777" w:rsidTr="00121BA0">
        <w:trPr>
          <w:tblHeader/>
        </w:trPr>
        <w:tc>
          <w:tcPr>
            <w:tcW w:w="6658" w:type="dxa"/>
          </w:tcPr>
          <w:p w14:paraId="75743343" w14:textId="77777777" w:rsidR="00DE0323" w:rsidRPr="001251B3" w:rsidRDefault="00DE0323" w:rsidP="00DE0323">
            <w:pPr>
              <w:jc w:val="both"/>
            </w:pPr>
            <w:r w:rsidRPr="001251B3">
              <w:t>127 01 Rozvoj a obnova MTZ systému řízení MD – OSS</w:t>
            </w:r>
          </w:p>
        </w:tc>
        <w:tc>
          <w:tcPr>
            <w:tcW w:w="1275" w:type="dxa"/>
          </w:tcPr>
          <w:p w14:paraId="05DF8868" w14:textId="77777777" w:rsidR="00DE0323" w:rsidRPr="001251B3" w:rsidRDefault="00DE0323" w:rsidP="00964F48">
            <w:pPr>
              <w:jc w:val="center"/>
            </w:pPr>
            <w:r w:rsidRPr="001251B3">
              <w:t>3 76</w:t>
            </w:r>
            <w:r w:rsidR="0019771B">
              <w:t>2</w:t>
            </w:r>
          </w:p>
        </w:tc>
        <w:tc>
          <w:tcPr>
            <w:tcW w:w="1276" w:type="dxa"/>
          </w:tcPr>
          <w:p w14:paraId="6B80A305" w14:textId="77777777" w:rsidR="00DE0323" w:rsidRPr="001251B3" w:rsidRDefault="00DE0323" w:rsidP="00964F48">
            <w:pPr>
              <w:jc w:val="center"/>
            </w:pPr>
            <w:r w:rsidRPr="001251B3">
              <w:t>0</w:t>
            </w:r>
          </w:p>
        </w:tc>
      </w:tr>
      <w:tr w:rsidR="00DE0323" w:rsidRPr="004B11AC" w14:paraId="66A89E9F" w14:textId="77777777" w:rsidTr="00121BA0">
        <w:trPr>
          <w:tblHeader/>
        </w:trPr>
        <w:tc>
          <w:tcPr>
            <w:tcW w:w="6658" w:type="dxa"/>
          </w:tcPr>
          <w:p w14:paraId="72B8DC77" w14:textId="77777777" w:rsidR="00DE0323" w:rsidRPr="001251B3" w:rsidRDefault="00DE0323" w:rsidP="00DE0323">
            <w:pPr>
              <w:jc w:val="both"/>
              <w:rPr>
                <w:i/>
              </w:rPr>
            </w:pPr>
            <w:r w:rsidRPr="001251B3">
              <w:rPr>
                <w:i/>
              </w:rPr>
              <w:t>v tom:  Ústřední orgán</w:t>
            </w:r>
          </w:p>
        </w:tc>
        <w:tc>
          <w:tcPr>
            <w:tcW w:w="1275" w:type="dxa"/>
          </w:tcPr>
          <w:p w14:paraId="38EEBB5D" w14:textId="77777777" w:rsidR="00DE0323" w:rsidRPr="001251B3" w:rsidRDefault="00DE0323" w:rsidP="00964F48">
            <w:pPr>
              <w:jc w:val="center"/>
              <w:rPr>
                <w:i/>
              </w:rPr>
            </w:pPr>
            <w:r w:rsidRPr="001251B3">
              <w:rPr>
                <w:i/>
              </w:rPr>
              <w:t>3 76</w:t>
            </w:r>
            <w:r w:rsidR="0019771B">
              <w:rPr>
                <w:i/>
              </w:rPr>
              <w:t>2</w:t>
            </w:r>
          </w:p>
        </w:tc>
        <w:tc>
          <w:tcPr>
            <w:tcW w:w="1276" w:type="dxa"/>
          </w:tcPr>
          <w:p w14:paraId="3996BB9F" w14:textId="77777777" w:rsidR="00DE0323" w:rsidRPr="001251B3" w:rsidRDefault="00DE0323" w:rsidP="00964F48">
            <w:pPr>
              <w:jc w:val="center"/>
              <w:rPr>
                <w:i/>
              </w:rPr>
            </w:pPr>
            <w:r w:rsidRPr="001251B3">
              <w:rPr>
                <w:i/>
              </w:rPr>
              <w:t>0</w:t>
            </w:r>
          </w:p>
        </w:tc>
      </w:tr>
      <w:tr w:rsidR="00DE0323" w:rsidRPr="004B11AC" w14:paraId="4A34D563" w14:textId="77777777" w:rsidTr="00121BA0">
        <w:trPr>
          <w:tblHeader/>
        </w:trPr>
        <w:tc>
          <w:tcPr>
            <w:tcW w:w="6658" w:type="dxa"/>
          </w:tcPr>
          <w:p w14:paraId="6DDA2E1F" w14:textId="77777777" w:rsidR="00DE0323" w:rsidRPr="00B77AF7" w:rsidRDefault="00DE0323" w:rsidP="00DE0323">
            <w:pPr>
              <w:jc w:val="both"/>
              <w:rPr>
                <w:i/>
              </w:rPr>
            </w:pPr>
            <w:r w:rsidRPr="00B77AF7">
              <w:t>127 03 Rozvoj a obnova MTZ systému řízení MD - OSS</w:t>
            </w:r>
          </w:p>
        </w:tc>
        <w:tc>
          <w:tcPr>
            <w:tcW w:w="1275" w:type="dxa"/>
          </w:tcPr>
          <w:p w14:paraId="66285ED5" w14:textId="77777777" w:rsidR="00DE0323" w:rsidRPr="00B77AF7" w:rsidRDefault="00DE0323" w:rsidP="00964F48">
            <w:pPr>
              <w:jc w:val="center"/>
            </w:pPr>
            <w:r w:rsidRPr="00B77AF7">
              <w:t>109 466</w:t>
            </w:r>
          </w:p>
        </w:tc>
        <w:tc>
          <w:tcPr>
            <w:tcW w:w="1276" w:type="dxa"/>
          </w:tcPr>
          <w:p w14:paraId="35CB1015" w14:textId="77777777" w:rsidR="00DE0323" w:rsidRPr="00B77AF7" w:rsidRDefault="00DE0323" w:rsidP="00964F48">
            <w:pPr>
              <w:jc w:val="center"/>
            </w:pPr>
            <w:r w:rsidRPr="00B77AF7">
              <w:t>78</w:t>
            </w:r>
          </w:p>
        </w:tc>
      </w:tr>
      <w:tr w:rsidR="00DE0323" w:rsidRPr="004B11AC" w14:paraId="6B8D6DD1" w14:textId="77777777" w:rsidTr="00121BA0">
        <w:trPr>
          <w:tblHeader/>
        </w:trPr>
        <w:tc>
          <w:tcPr>
            <w:tcW w:w="6658" w:type="dxa"/>
          </w:tcPr>
          <w:p w14:paraId="67EB160C" w14:textId="77777777" w:rsidR="00DE0323" w:rsidRPr="00F06E49" w:rsidRDefault="00DE0323" w:rsidP="00DE0323">
            <w:pPr>
              <w:jc w:val="both"/>
            </w:pPr>
            <w:r w:rsidRPr="00F06E49">
              <w:rPr>
                <w:i/>
              </w:rPr>
              <w:t>v tom:  Ústřední orgán</w:t>
            </w:r>
          </w:p>
        </w:tc>
        <w:tc>
          <w:tcPr>
            <w:tcW w:w="1275" w:type="dxa"/>
          </w:tcPr>
          <w:p w14:paraId="40B9B775" w14:textId="77777777" w:rsidR="00DE0323" w:rsidRPr="00F06E49" w:rsidRDefault="00DE0323" w:rsidP="00964F48">
            <w:pPr>
              <w:jc w:val="center"/>
              <w:rPr>
                <w:i/>
              </w:rPr>
            </w:pPr>
            <w:r w:rsidRPr="00F06E49">
              <w:rPr>
                <w:i/>
              </w:rPr>
              <w:t>95 576</w:t>
            </w:r>
          </w:p>
        </w:tc>
        <w:tc>
          <w:tcPr>
            <w:tcW w:w="1276" w:type="dxa"/>
          </w:tcPr>
          <w:p w14:paraId="2FBFC8F7" w14:textId="77777777" w:rsidR="00DE0323" w:rsidRPr="00F06E49" w:rsidRDefault="00DE0323" w:rsidP="00964F48">
            <w:pPr>
              <w:jc w:val="center"/>
            </w:pPr>
            <w:r w:rsidRPr="00F06E49">
              <w:t>78</w:t>
            </w:r>
          </w:p>
        </w:tc>
      </w:tr>
      <w:tr w:rsidR="00DE0323" w:rsidRPr="004B11AC" w14:paraId="43F7D2D0" w14:textId="77777777" w:rsidTr="00121BA0">
        <w:trPr>
          <w:tblHeader/>
        </w:trPr>
        <w:tc>
          <w:tcPr>
            <w:tcW w:w="6658" w:type="dxa"/>
          </w:tcPr>
          <w:p w14:paraId="2BBACCB5" w14:textId="77777777" w:rsidR="00DE0323" w:rsidRPr="00F06E49" w:rsidRDefault="00DE0323" w:rsidP="00DE0323">
            <w:pPr>
              <w:jc w:val="both"/>
              <w:rPr>
                <w:i/>
              </w:rPr>
            </w:pPr>
            <w:r w:rsidRPr="00F06E49">
              <w:rPr>
                <w:i/>
              </w:rPr>
              <w:t xml:space="preserve">            Úřad pro civilní letectví</w:t>
            </w:r>
          </w:p>
        </w:tc>
        <w:tc>
          <w:tcPr>
            <w:tcW w:w="1275" w:type="dxa"/>
          </w:tcPr>
          <w:p w14:paraId="384C173E" w14:textId="77777777" w:rsidR="00DE0323" w:rsidRPr="00F06E49" w:rsidRDefault="00DE0323" w:rsidP="00964F48">
            <w:pPr>
              <w:jc w:val="center"/>
              <w:rPr>
                <w:i/>
              </w:rPr>
            </w:pPr>
            <w:r w:rsidRPr="00F06E49">
              <w:rPr>
                <w:i/>
              </w:rPr>
              <w:t>3 629</w:t>
            </w:r>
          </w:p>
        </w:tc>
        <w:tc>
          <w:tcPr>
            <w:tcW w:w="1276" w:type="dxa"/>
          </w:tcPr>
          <w:p w14:paraId="5A24770B" w14:textId="77777777" w:rsidR="00DE0323" w:rsidRPr="00F06E49" w:rsidRDefault="00DE0323" w:rsidP="00964F48">
            <w:pPr>
              <w:jc w:val="center"/>
              <w:rPr>
                <w:i/>
              </w:rPr>
            </w:pPr>
            <w:r w:rsidRPr="00F06E49">
              <w:rPr>
                <w:i/>
              </w:rPr>
              <w:t>0</w:t>
            </w:r>
          </w:p>
        </w:tc>
      </w:tr>
      <w:tr w:rsidR="00DE0323" w:rsidRPr="004B11AC" w14:paraId="688D277C" w14:textId="77777777" w:rsidTr="00121BA0">
        <w:trPr>
          <w:tblHeader/>
        </w:trPr>
        <w:tc>
          <w:tcPr>
            <w:tcW w:w="6658" w:type="dxa"/>
          </w:tcPr>
          <w:p w14:paraId="155F4C08" w14:textId="77777777" w:rsidR="00DE0323" w:rsidRPr="008E5E89" w:rsidRDefault="00DE0323" w:rsidP="00DE0323">
            <w:pPr>
              <w:jc w:val="both"/>
              <w:rPr>
                <w:i/>
              </w:rPr>
            </w:pPr>
            <w:r w:rsidRPr="008E5E89">
              <w:rPr>
                <w:i/>
              </w:rPr>
              <w:t xml:space="preserve">            Státní plavební správa</w:t>
            </w:r>
          </w:p>
        </w:tc>
        <w:tc>
          <w:tcPr>
            <w:tcW w:w="1275" w:type="dxa"/>
          </w:tcPr>
          <w:p w14:paraId="03F499EA" w14:textId="77777777" w:rsidR="00DE0323" w:rsidRPr="008E5E89" w:rsidRDefault="00DE0323" w:rsidP="00964F48">
            <w:pPr>
              <w:jc w:val="center"/>
              <w:rPr>
                <w:i/>
              </w:rPr>
            </w:pPr>
            <w:r w:rsidRPr="008E5E89">
              <w:rPr>
                <w:i/>
              </w:rPr>
              <w:t>7 246</w:t>
            </w:r>
          </w:p>
        </w:tc>
        <w:tc>
          <w:tcPr>
            <w:tcW w:w="1276" w:type="dxa"/>
          </w:tcPr>
          <w:p w14:paraId="59C152AA" w14:textId="77777777" w:rsidR="00DE0323" w:rsidRPr="008E5E89" w:rsidRDefault="00DE0323" w:rsidP="00964F48">
            <w:pPr>
              <w:jc w:val="center"/>
              <w:rPr>
                <w:i/>
              </w:rPr>
            </w:pPr>
            <w:r w:rsidRPr="008E5E89">
              <w:rPr>
                <w:i/>
              </w:rPr>
              <w:t>0</w:t>
            </w:r>
          </w:p>
        </w:tc>
      </w:tr>
      <w:tr w:rsidR="00DE0323" w:rsidRPr="004B11AC" w14:paraId="05011452" w14:textId="77777777" w:rsidTr="00121BA0">
        <w:trPr>
          <w:tblHeader/>
        </w:trPr>
        <w:tc>
          <w:tcPr>
            <w:tcW w:w="6658" w:type="dxa"/>
          </w:tcPr>
          <w:p w14:paraId="0A30B730" w14:textId="77777777" w:rsidR="00DE0323" w:rsidRPr="00BC7E97" w:rsidRDefault="00DE0323" w:rsidP="00DE0323">
            <w:pPr>
              <w:jc w:val="both"/>
              <w:rPr>
                <w:i/>
              </w:rPr>
            </w:pPr>
            <w:r w:rsidRPr="00BC7E97">
              <w:rPr>
                <w:i/>
              </w:rPr>
              <w:t xml:space="preserve">            Drážní úřad</w:t>
            </w:r>
          </w:p>
        </w:tc>
        <w:tc>
          <w:tcPr>
            <w:tcW w:w="1275" w:type="dxa"/>
          </w:tcPr>
          <w:p w14:paraId="09F05893" w14:textId="77777777" w:rsidR="00DE0323" w:rsidRPr="00BC7E97" w:rsidRDefault="00DE0323" w:rsidP="00964F48">
            <w:pPr>
              <w:jc w:val="center"/>
              <w:rPr>
                <w:i/>
              </w:rPr>
            </w:pPr>
            <w:r w:rsidRPr="00BC7E97">
              <w:rPr>
                <w:i/>
              </w:rPr>
              <w:t>95</w:t>
            </w:r>
          </w:p>
        </w:tc>
        <w:tc>
          <w:tcPr>
            <w:tcW w:w="1276" w:type="dxa"/>
          </w:tcPr>
          <w:p w14:paraId="6482B25A" w14:textId="77777777" w:rsidR="00DE0323" w:rsidRPr="00BC7E97" w:rsidRDefault="00DE0323" w:rsidP="00964F48">
            <w:pPr>
              <w:jc w:val="center"/>
              <w:rPr>
                <w:i/>
              </w:rPr>
            </w:pPr>
            <w:r w:rsidRPr="00BC7E97">
              <w:rPr>
                <w:i/>
              </w:rPr>
              <w:t>0</w:t>
            </w:r>
          </w:p>
        </w:tc>
      </w:tr>
      <w:tr w:rsidR="00DE0323" w:rsidRPr="004B11AC" w14:paraId="20DAF6F6" w14:textId="77777777" w:rsidTr="00121BA0">
        <w:trPr>
          <w:tblHeader/>
        </w:trPr>
        <w:tc>
          <w:tcPr>
            <w:tcW w:w="6658" w:type="dxa"/>
          </w:tcPr>
          <w:p w14:paraId="1575374D" w14:textId="77777777" w:rsidR="00DE0323" w:rsidRPr="00B77AF7" w:rsidRDefault="00DE0323" w:rsidP="00DE0323">
            <w:pPr>
              <w:jc w:val="both"/>
              <w:rPr>
                <w:i/>
              </w:rPr>
            </w:pPr>
            <w:r w:rsidRPr="00B77AF7">
              <w:rPr>
                <w:i/>
              </w:rPr>
              <w:t xml:space="preserve">            Drážní inspekce</w:t>
            </w:r>
          </w:p>
        </w:tc>
        <w:tc>
          <w:tcPr>
            <w:tcW w:w="1275" w:type="dxa"/>
          </w:tcPr>
          <w:p w14:paraId="4CD75093" w14:textId="77777777" w:rsidR="00DE0323" w:rsidRPr="00B77AF7" w:rsidRDefault="00DE0323" w:rsidP="00964F48">
            <w:pPr>
              <w:jc w:val="center"/>
              <w:rPr>
                <w:i/>
              </w:rPr>
            </w:pPr>
            <w:r w:rsidRPr="00B77AF7">
              <w:rPr>
                <w:i/>
              </w:rPr>
              <w:t>1 935</w:t>
            </w:r>
          </w:p>
        </w:tc>
        <w:tc>
          <w:tcPr>
            <w:tcW w:w="1276" w:type="dxa"/>
          </w:tcPr>
          <w:p w14:paraId="7B3AFBCE" w14:textId="77777777" w:rsidR="00DE0323" w:rsidRPr="00B77AF7" w:rsidRDefault="00DE0323" w:rsidP="00964F48">
            <w:pPr>
              <w:jc w:val="center"/>
              <w:rPr>
                <w:i/>
              </w:rPr>
            </w:pPr>
            <w:r w:rsidRPr="00B77AF7">
              <w:rPr>
                <w:i/>
              </w:rPr>
              <w:t>0</w:t>
            </w:r>
          </w:p>
        </w:tc>
      </w:tr>
      <w:tr w:rsidR="00DE0323" w:rsidRPr="004B11AC" w14:paraId="55D9FD6A" w14:textId="77777777" w:rsidTr="00121BA0">
        <w:trPr>
          <w:tblHeader/>
        </w:trPr>
        <w:tc>
          <w:tcPr>
            <w:tcW w:w="6658" w:type="dxa"/>
          </w:tcPr>
          <w:p w14:paraId="0B410F37" w14:textId="77777777" w:rsidR="00DE0323" w:rsidRPr="00B77AF7" w:rsidRDefault="00DE0323" w:rsidP="00DE0323">
            <w:pPr>
              <w:jc w:val="both"/>
              <w:rPr>
                <w:i/>
              </w:rPr>
            </w:pPr>
            <w:r w:rsidRPr="00B77AF7">
              <w:rPr>
                <w:i/>
              </w:rPr>
              <w:t xml:space="preserve">            Ředitelství vodních cest ČR</w:t>
            </w:r>
          </w:p>
        </w:tc>
        <w:tc>
          <w:tcPr>
            <w:tcW w:w="1275" w:type="dxa"/>
          </w:tcPr>
          <w:p w14:paraId="59F16E45" w14:textId="77777777" w:rsidR="00DE0323" w:rsidRPr="00B77AF7" w:rsidRDefault="00DE0323" w:rsidP="00964F48">
            <w:pPr>
              <w:jc w:val="center"/>
              <w:rPr>
                <w:i/>
              </w:rPr>
            </w:pPr>
            <w:r w:rsidRPr="00B77AF7">
              <w:rPr>
                <w:i/>
              </w:rPr>
              <w:t>580</w:t>
            </w:r>
          </w:p>
        </w:tc>
        <w:tc>
          <w:tcPr>
            <w:tcW w:w="1276" w:type="dxa"/>
          </w:tcPr>
          <w:p w14:paraId="1E203D3D" w14:textId="77777777" w:rsidR="00DE0323" w:rsidRPr="00B77AF7" w:rsidRDefault="00DE0323" w:rsidP="00964F48">
            <w:pPr>
              <w:jc w:val="center"/>
              <w:rPr>
                <w:i/>
              </w:rPr>
            </w:pPr>
            <w:r w:rsidRPr="00B77AF7">
              <w:rPr>
                <w:i/>
              </w:rPr>
              <w:t>0</w:t>
            </w:r>
          </w:p>
        </w:tc>
      </w:tr>
      <w:tr w:rsidR="00DE0323" w:rsidRPr="004B11AC" w14:paraId="7E6C3BE7" w14:textId="77777777" w:rsidTr="00121BA0">
        <w:trPr>
          <w:tblHeader/>
        </w:trPr>
        <w:tc>
          <w:tcPr>
            <w:tcW w:w="6658" w:type="dxa"/>
          </w:tcPr>
          <w:p w14:paraId="26DBA473" w14:textId="77777777" w:rsidR="00DE0323" w:rsidRPr="00B77AF7" w:rsidRDefault="00DE0323" w:rsidP="00DE0323">
            <w:pPr>
              <w:jc w:val="both"/>
              <w:rPr>
                <w:i/>
              </w:rPr>
            </w:pPr>
            <w:r w:rsidRPr="00B77AF7">
              <w:rPr>
                <w:i/>
              </w:rPr>
              <w:t xml:space="preserve">            Ústav pro odborné zjišťování příčin leteckých nehod</w:t>
            </w:r>
          </w:p>
        </w:tc>
        <w:tc>
          <w:tcPr>
            <w:tcW w:w="1275" w:type="dxa"/>
          </w:tcPr>
          <w:p w14:paraId="53409A8E" w14:textId="77777777" w:rsidR="00DE0323" w:rsidRPr="00B77AF7" w:rsidRDefault="00DE0323" w:rsidP="00964F48">
            <w:pPr>
              <w:jc w:val="center"/>
              <w:rPr>
                <w:i/>
              </w:rPr>
            </w:pPr>
            <w:r w:rsidRPr="00B77AF7">
              <w:rPr>
                <w:i/>
              </w:rPr>
              <w:t>40</w:t>
            </w:r>
            <w:r w:rsidR="0019771B">
              <w:rPr>
                <w:i/>
              </w:rPr>
              <w:t>6</w:t>
            </w:r>
          </w:p>
        </w:tc>
        <w:tc>
          <w:tcPr>
            <w:tcW w:w="1276" w:type="dxa"/>
          </w:tcPr>
          <w:p w14:paraId="70761E10" w14:textId="77777777" w:rsidR="00DE0323" w:rsidRPr="00B77AF7" w:rsidRDefault="00DE0323" w:rsidP="00964F48">
            <w:pPr>
              <w:jc w:val="center"/>
              <w:rPr>
                <w:i/>
              </w:rPr>
            </w:pPr>
            <w:r w:rsidRPr="00B77AF7">
              <w:rPr>
                <w:i/>
              </w:rPr>
              <w:t>0</w:t>
            </w:r>
          </w:p>
        </w:tc>
      </w:tr>
      <w:tr w:rsidR="00DE0323" w:rsidRPr="004B11AC" w14:paraId="29058386" w14:textId="77777777" w:rsidTr="00121BA0">
        <w:trPr>
          <w:tblHeader/>
        </w:trPr>
        <w:tc>
          <w:tcPr>
            <w:tcW w:w="6658" w:type="dxa"/>
          </w:tcPr>
          <w:p w14:paraId="194302EF" w14:textId="77777777" w:rsidR="00DE0323" w:rsidRPr="00B77AF7" w:rsidRDefault="00DE0323" w:rsidP="00DE0323">
            <w:pPr>
              <w:jc w:val="both"/>
            </w:pPr>
            <w:r w:rsidRPr="00B77AF7">
              <w:t>127 77 Podpora financování dopravy</w:t>
            </w:r>
          </w:p>
        </w:tc>
        <w:tc>
          <w:tcPr>
            <w:tcW w:w="1275" w:type="dxa"/>
          </w:tcPr>
          <w:p w14:paraId="3AD44199" w14:textId="77777777" w:rsidR="00DE0323" w:rsidRPr="00B77AF7" w:rsidRDefault="00DE0323" w:rsidP="00964F48">
            <w:pPr>
              <w:jc w:val="center"/>
            </w:pPr>
            <w:r w:rsidRPr="00B77AF7">
              <w:t>0</w:t>
            </w:r>
          </w:p>
        </w:tc>
        <w:tc>
          <w:tcPr>
            <w:tcW w:w="1276" w:type="dxa"/>
          </w:tcPr>
          <w:p w14:paraId="7BE55BF3" w14:textId="77777777" w:rsidR="00DE0323" w:rsidRPr="00B77AF7" w:rsidRDefault="00DE0323" w:rsidP="00964F48">
            <w:pPr>
              <w:jc w:val="center"/>
            </w:pPr>
            <w:r w:rsidRPr="00B77AF7">
              <w:t>1 145</w:t>
            </w:r>
          </w:p>
        </w:tc>
      </w:tr>
      <w:tr w:rsidR="00DE0323" w:rsidRPr="004B11AC" w14:paraId="420A04C4" w14:textId="77777777" w:rsidTr="00121BA0">
        <w:trPr>
          <w:tblHeader/>
        </w:trPr>
        <w:tc>
          <w:tcPr>
            <w:tcW w:w="6658" w:type="dxa"/>
          </w:tcPr>
          <w:p w14:paraId="5393641A" w14:textId="77777777" w:rsidR="00DE0323" w:rsidRPr="00225D76" w:rsidRDefault="00DE0323" w:rsidP="00DE0323">
            <w:pPr>
              <w:jc w:val="both"/>
            </w:pPr>
            <w:r w:rsidRPr="00225D76">
              <w:rPr>
                <w:b/>
              </w:rPr>
              <w:t>C E L K E M</w:t>
            </w:r>
          </w:p>
        </w:tc>
        <w:tc>
          <w:tcPr>
            <w:tcW w:w="1275" w:type="dxa"/>
          </w:tcPr>
          <w:p w14:paraId="58740AAB" w14:textId="77777777" w:rsidR="00DE0323" w:rsidRPr="00225D76" w:rsidRDefault="00DE0323" w:rsidP="00964F48">
            <w:pPr>
              <w:jc w:val="center"/>
              <w:rPr>
                <w:b/>
              </w:rPr>
            </w:pPr>
            <w:r w:rsidRPr="00225D76">
              <w:rPr>
                <w:b/>
              </w:rPr>
              <w:t>113 22</w:t>
            </w:r>
            <w:r w:rsidR="00224996">
              <w:rPr>
                <w:b/>
              </w:rPr>
              <w:t>9</w:t>
            </w:r>
          </w:p>
        </w:tc>
        <w:tc>
          <w:tcPr>
            <w:tcW w:w="1276" w:type="dxa"/>
          </w:tcPr>
          <w:p w14:paraId="76CA1810" w14:textId="77777777" w:rsidR="00DE0323" w:rsidRPr="00225D76" w:rsidRDefault="00DE0323" w:rsidP="00964F48">
            <w:pPr>
              <w:jc w:val="center"/>
              <w:rPr>
                <w:b/>
              </w:rPr>
            </w:pPr>
            <w:r w:rsidRPr="00225D76">
              <w:rPr>
                <w:b/>
              </w:rPr>
              <w:t>1 223</w:t>
            </w:r>
          </w:p>
        </w:tc>
      </w:tr>
    </w:tbl>
    <w:p w14:paraId="15659CDC" w14:textId="77777777" w:rsidR="00DE0323" w:rsidRPr="009A63C1" w:rsidRDefault="00DE0323" w:rsidP="00121BA0">
      <w:pPr>
        <w:pStyle w:val="Nadpis7"/>
      </w:pPr>
      <w:r w:rsidRPr="009A63C1">
        <w:t xml:space="preserve">Výdaje spojené s kosmickými aktivitami  </w:t>
      </w:r>
    </w:p>
    <w:p w14:paraId="763F6C99" w14:textId="35B01872" w:rsidR="00DE0323" w:rsidRPr="009A63C1" w:rsidRDefault="00DE0323" w:rsidP="00121BA0">
      <w:pPr>
        <w:pStyle w:val="KOMtext"/>
      </w:pPr>
      <w:r w:rsidRPr="009A63C1">
        <w:t xml:space="preserve">Jedná se o výdaje spojené s kosmickými aktivitami, které rezort dopravy v rámci České republiky koordinuje. Schválený rozpočet dílčího ukazatele ve výši 932 475 tis. Kč byl v průběhu roku snížen na částku 932 187 tis. Kč. Celkem bylo čerpáno </w:t>
      </w:r>
      <w:r w:rsidRPr="009A63C1">
        <w:rPr>
          <w:b/>
        </w:rPr>
        <w:t>927 291 tis. Kč</w:t>
      </w:r>
      <w:r w:rsidR="00121BA0">
        <w:t xml:space="preserve">, </w:t>
      </w:r>
      <w:r w:rsidRPr="009A63C1">
        <w:t xml:space="preserve">tj. 99,47 % upraveného rozpočtu, z toho: nároky 348 tis. Kč. Nejvyšší částku čerpání tvořil neinvestiční transfer do zahraničí, a to na volitelné programy Evropské kosmické agentury (ESA) ve výši </w:t>
      </w:r>
      <w:r w:rsidR="001142C5">
        <w:br/>
      </w:r>
      <w:r w:rsidRPr="009A63C1">
        <w:t>92</w:t>
      </w:r>
      <w:r w:rsidR="001B52D2">
        <w:t>6</w:t>
      </w:r>
      <w:r w:rsidRPr="009A63C1">
        <w:t xml:space="preserve"> 253 tis. Kč</w:t>
      </w:r>
      <w:r w:rsidR="00B23766">
        <w:t xml:space="preserve"> (podrobné informace viz</w:t>
      </w:r>
      <w:r w:rsidR="001B52D2">
        <w:t xml:space="preserve"> kapitola 3.2.8)</w:t>
      </w:r>
      <w:r w:rsidRPr="009A63C1">
        <w:t>.</w:t>
      </w:r>
    </w:p>
    <w:p w14:paraId="7A363120" w14:textId="77777777" w:rsidR="00DE0323" w:rsidRPr="009A63C1" w:rsidRDefault="00DE0323" w:rsidP="00121BA0">
      <w:pPr>
        <w:pStyle w:val="KOMtext"/>
      </w:pPr>
      <w:r w:rsidRPr="009A63C1">
        <w:t>Jsou zde zahrnuty výdaje mimo programov</w:t>
      </w:r>
      <w:r w:rsidR="00121BA0">
        <w:t xml:space="preserve">é financování EDS/SMVS ve výši </w:t>
      </w:r>
      <w:r w:rsidR="00827AF0">
        <w:rPr>
          <w:b/>
        </w:rPr>
        <w:t>926 943</w:t>
      </w:r>
      <w:r w:rsidRPr="009A63C1">
        <w:rPr>
          <w:b/>
        </w:rPr>
        <w:t xml:space="preserve"> tis. Kč.</w:t>
      </w:r>
    </w:p>
    <w:p w14:paraId="0C078919" w14:textId="24001F09" w:rsidR="00DE0323" w:rsidRPr="009A63C1" w:rsidRDefault="00DE0323" w:rsidP="00121BA0">
      <w:pPr>
        <w:pStyle w:val="KOMtext"/>
      </w:pPr>
      <w:r w:rsidRPr="009A63C1">
        <w:t xml:space="preserve">Výdaje na programy EDS/SMVS </w:t>
      </w:r>
      <w:r w:rsidR="002347A5">
        <w:t xml:space="preserve">jsou </w:t>
      </w:r>
      <w:r w:rsidRPr="009A63C1">
        <w:t xml:space="preserve">ve výši </w:t>
      </w:r>
      <w:r w:rsidRPr="009A63C1">
        <w:rPr>
          <w:b/>
        </w:rPr>
        <w:t xml:space="preserve">348 tis. Kč, </w:t>
      </w:r>
      <w:r w:rsidRPr="009A63C1">
        <w:t>v plné výši se jednalo o nároky,</w:t>
      </w:r>
      <w:r w:rsidRPr="009A63C1">
        <w:rPr>
          <w:b/>
        </w:rPr>
        <w:t xml:space="preserve"> </w:t>
      </w:r>
      <w:r w:rsidRPr="009A63C1">
        <w:rPr>
          <w:b/>
        </w:rPr>
        <w:br/>
      </w:r>
      <w:r w:rsidRPr="009A63C1">
        <w:t>v tom:</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6"/>
        <w:gridCol w:w="1134"/>
        <w:gridCol w:w="1417"/>
      </w:tblGrid>
      <w:tr w:rsidR="00DE0323" w:rsidRPr="009A63C1" w14:paraId="78E1047D" w14:textId="77777777" w:rsidTr="00121BA0">
        <w:trPr>
          <w:tblHeader/>
        </w:trPr>
        <w:tc>
          <w:tcPr>
            <w:tcW w:w="6516" w:type="dxa"/>
          </w:tcPr>
          <w:p w14:paraId="182329EC" w14:textId="77777777" w:rsidR="00DE0323" w:rsidRPr="009A63C1" w:rsidRDefault="00DE0323" w:rsidP="00DE0323">
            <w:pPr>
              <w:tabs>
                <w:tab w:val="center" w:pos="3096"/>
              </w:tabs>
              <w:jc w:val="both"/>
              <w:rPr>
                <w:b/>
              </w:rPr>
            </w:pPr>
            <w:r w:rsidRPr="009A63C1">
              <w:rPr>
                <w:b/>
              </w:rPr>
              <w:t xml:space="preserve">Program </w:t>
            </w:r>
            <w:r w:rsidRPr="009A63C1">
              <w:t>(v tis. Kč)</w:t>
            </w:r>
            <w:r w:rsidRPr="009A63C1">
              <w:tab/>
            </w:r>
          </w:p>
        </w:tc>
        <w:tc>
          <w:tcPr>
            <w:tcW w:w="1134" w:type="dxa"/>
          </w:tcPr>
          <w:p w14:paraId="180C1229" w14:textId="77777777" w:rsidR="00DE0323" w:rsidRPr="009A63C1" w:rsidRDefault="00DE0323" w:rsidP="00DE0323">
            <w:pPr>
              <w:jc w:val="center"/>
              <w:rPr>
                <w:b/>
              </w:rPr>
            </w:pPr>
            <w:r w:rsidRPr="009A63C1">
              <w:rPr>
                <w:b/>
              </w:rPr>
              <w:t>SR</w:t>
            </w:r>
          </w:p>
        </w:tc>
        <w:tc>
          <w:tcPr>
            <w:tcW w:w="1417" w:type="dxa"/>
          </w:tcPr>
          <w:p w14:paraId="2221770D" w14:textId="77777777" w:rsidR="00DE0323" w:rsidRPr="009A63C1" w:rsidRDefault="00DE0323" w:rsidP="00DE0323">
            <w:pPr>
              <w:jc w:val="center"/>
              <w:rPr>
                <w:b/>
              </w:rPr>
            </w:pPr>
            <w:r w:rsidRPr="009A63C1">
              <w:rPr>
                <w:b/>
              </w:rPr>
              <w:t>Fondy EU</w:t>
            </w:r>
          </w:p>
        </w:tc>
      </w:tr>
      <w:tr w:rsidR="00DE0323" w:rsidRPr="009A63C1" w14:paraId="729D36E4" w14:textId="77777777" w:rsidTr="00121BA0">
        <w:trPr>
          <w:tblHeader/>
        </w:trPr>
        <w:tc>
          <w:tcPr>
            <w:tcW w:w="6516" w:type="dxa"/>
          </w:tcPr>
          <w:p w14:paraId="6B761649" w14:textId="77777777" w:rsidR="00DE0323" w:rsidRPr="009A63C1" w:rsidRDefault="00DE0323" w:rsidP="00DE0323">
            <w:pPr>
              <w:jc w:val="both"/>
            </w:pPr>
            <w:r w:rsidRPr="009A63C1">
              <w:t>127 03 Rozvoj a obnova MTZ řízení MD - OSS</w:t>
            </w:r>
          </w:p>
        </w:tc>
        <w:tc>
          <w:tcPr>
            <w:tcW w:w="1134" w:type="dxa"/>
          </w:tcPr>
          <w:p w14:paraId="2C41D77F" w14:textId="77777777" w:rsidR="00DE0323" w:rsidRPr="009A63C1" w:rsidRDefault="00DE0323" w:rsidP="00964F48">
            <w:pPr>
              <w:jc w:val="center"/>
            </w:pPr>
            <w:r w:rsidRPr="009A63C1">
              <w:t>348</w:t>
            </w:r>
          </w:p>
        </w:tc>
        <w:tc>
          <w:tcPr>
            <w:tcW w:w="1417" w:type="dxa"/>
          </w:tcPr>
          <w:p w14:paraId="74F4E90B" w14:textId="77777777" w:rsidR="00DE0323" w:rsidRPr="009A63C1" w:rsidRDefault="00DE0323" w:rsidP="00964F48">
            <w:pPr>
              <w:jc w:val="center"/>
            </w:pPr>
            <w:r w:rsidRPr="009A63C1">
              <w:t>0</w:t>
            </w:r>
          </w:p>
        </w:tc>
      </w:tr>
      <w:tr w:rsidR="00DE0323" w:rsidRPr="009A63C1" w14:paraId="2DE2A53B" w14:textId="77777777" w:rsidTr="00121BA0">
        <w:trPr>
          <w:tblHeader/>
        </w:trPr>
        <w:tc>
          <w:tcPr>
            <w:tcW w:w="6516" w:type="dxa"/>
          </w:tcPr>
          <w:p w14:paraId="144FB840" w14:textId="77777777" w:rsidR="00DE0323" w:rsidRPr="009A63C1" w:rsidRDefault="00DE0323" w:rsidP="00DE0323">
            <w:pPr>
              <w:jc w:val="both"/>
              <w:rPr>
                <w:b/>
              </w:rPr>
            </w:pPr>
            <w:r w:rsidRPr="009A63C1">
              <w:rPr>
                <w:b/>
              </w:rPr>
              <w:t>C E L K E M</w:t>
            </w:r>
          </w:p>
        </w:tc>
        <w:tc>
          <w:tcPr>
            <w:tcW w:w="1134" w:type="dxa"/>
          </w:tcPr>
          <w:p w14:paraId="515C269F" w14:textId="77777777" w:rsidR="00DE0323" w:rsidRPr="009A63C1" w:rsidRDefault="00DE0323" w:rsidP="00964F48">
            <w:pPr>
              <w:jc w:val="center"/>
              <w:rPr>
                <w:b/>
              </w:rPr>
            </w:pPr>
            <w:r w:rsidRPr="009A63C1">
              <w:rPr>
                <w:b/>
              </w:rPr>
              <w:t>348</w:t>
            </w:r>
          </w:p>
        </w:tc>
        <w:tc>
          <w:tcPr>
            <w:tcW w:w="1417" w:type="dxa"/>
          </w:tcPr>
          <w:p w14:paraId="57428484" w14:textId="77777777" w:rsidR="00DE0323" w:rsidRPr="009A63C1" w:rsidRDefault="00DE0323" w:rsidP="00964F48">
            <w:pPr>
              <w:jc w:val="center"/>
              <w:rPr>
                <w:b/>
              </w:rPr>
            </w:pPr>
            <w:r w:rsidRPr="009A63C1">
              <w:rPr>
                <w:b/>
              </w:rPr>
              <w:t>0</w:t>
            </w:r>
          </w:p>
        </w:tc>
      </w:tr>
    </w:tbl>
    <w:p w14:paraId="6AE983C6" w14:textId="77777777" w:rsidR="00DE0323" w:rsidRPr="009A63C1" w:rsidRDefault="00DE0323" w:rsidP="00121BA0">
      <w:pPr>
        <w:pStyle w:val="KOMtext"/>
      </w:pPr>
      <w:r w:rsidRPr="009A63C1">
        <w:t>Jednotlivé programy EDS/SMVS jsou detailně popsány v kapitole 3.3.7</w:t>
      </w:r>
    </w:p>
    <w:p w14:paraId="1B713DBD" w14:textId="7455B9BE" w:rsidR="00DE0323" w:rsidRPr="00AF38A0" w:rsidRDefault="00DE0323" w:rsidP="00DE0323">
      <w:pPr>
        <w:pStyle w:val="Titulek"/>
      </w:pPr>
      <w:bookmarkStart w:id="73" w:name="_Toc34288673"/>
      <w:r w:rsidRPr="00AF38A0">
        <w:t xml:space="preserve">Graf č. </w:t>
      </w:r>
      <w:r w:rsidRPr="00AF38A0">
        <w:rPr>
          <w:noProof/>
        </w:rPr>
        <w:fldChar w:fldCharType="begin"/>
      </w:r>
      <w:r w:rsidRPr="00AF38A0">
        <w:rPr>
          <w:noProof/>
        </w:rPr>
        <w:instrText xml:space="preserve"> SEQ Graf_č. \* ARABIC </w:instrText>
      </w:r>
      <w:r w:rsidRPr="00AF38A0">
        <w:rPr>
          <w:noProof/>
        </w:rPr>
        <w:fldChar w:fldCharType="separate"/>
      </w:r>
      <w:r w:rsidR="00DF450F">
        <w:rPr>
          <w:noProof/>
        </w:rPr>
        <w:t>6</w:t>
      </w:r>
      <w:r w:rsidRPr="00AF38A0">
        <w:rPr>
          <w:noProof/>
        </w:rPr>
        <w:fldChar w:fldCharType="end"/>
      </w:r>
      <w:r w:rsidRPr="00AF38A0">
        <w:t>: Specifické výdajové ukazatele kapitoly 327-MD za rok 201</w:t>
      </w:r>
      <w:bookmarkEnd w:id="70"/>
      <w:bookmarkEnd w:id="71"/>
      <w:bookmarkEnd w:id="72"/>
      <w:r w:rsidRPr="00AF38A0">
        <w:t>9</w:t>
      </w:r>
      <w:bookmarkEnd w:id="73"/>
    </w:p>
    <w:p w14:paraId="625A4A68" w14:textId="77777777" w:rsidR="00DE0323" w:rsidRPr="004B11AC" w:rsidRDefault="00DE0323" w:rsidP="00DE0323">
      <w:pPr>
        <w:pStyle w:val="Znormal"/>
        <w:ind w:firstLine="0"/>
        <w:jc w:val="center"/>
        <w:rPr>
          <w:i/>
          <w:color w:val="FF0000"/>
          <w:szCs w:val="24"/>
        </w:rPr>
      </w:pPr>
      <w:r w:rsidRPr="004B11AC">
        <w:rPr>
          <w:i/>
          <w:noProof/>
          <w:color w:val="FF0000"/>
          <w:szCs w:val="24"/>
        </w:rPr>
        <w:drawing>
          <wp:inline distT="0" distB="0" distL="0" distR="0" wp14:anchorId="07D4FA82" wp14:editId="109AFB76">
            <wp:extent cx="5486400" cy="1620000"/>
            <wp:effectExtent l="0" t="0" r="0" b="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CE57450" w14:textId="77777777" w:rsidR="00DE0323" w:rsidRPr="004B11AC" w:rsidRDefault="00DE0323" w:rsidP="00DE0323">
      <w:pPr>
        <w:rPr>
          <w:i/>
          <w:color w:val="FF0000"/>
        </w:rPr>
      </w:pPr>
      <w:r w:rsidRPr="004B11AC">
        <w:rPr>
          <w:i/>
          <w:color w:val="FF0000"/>
        </w:rPr>
        <w:br w:type="page"/>
      </w:r>
    </w:p>
    <w:p w14:paraId="49ABF68E" w14:textId="77777777" w:rsidR="00CB0887" w:rsidRPr="00633088" w:rsidRDefault="009C1DC5" w:rsidP="00633088">
      <w:pPr>
        <w:pStyle w:val="Nadpis2"/>
      </w:pPr>
      <w:bookmarkStart w:id="74" w:name="_Toc255297634"/>
      <w:bookmarkStart w:id="75" w:name="_Toc413413654"/>
      <w:bookmarkStart w:id="76" w:name="_Toc508879840"/>
      <w:bookmarkStart w:id="77" w:name="_Toc508880116"/>
      <w:bookmarkStart w:id="78" w:name="_Toc1376808"/>
      <w:bookmarkStart w:id="79" w:name="_Toc34286454"/>
      <w:r w:rsidRPr="006B4C71">
        <w:lastRenderedPageBreak/>
        <w:t>Běžné výdaj</w:t>
      </w:r>
      <w:bookmarkStart w:id="80" w:name="_Toc317489626"/>
      <w:bookmarkStart w:id="81" w:name="_Toc508879841"/>
      <w:bookmarkStart w:id="82" w:name="_Toc508880117"/>
      <w:bookmarkEnd w:id="74"/>
      <w:bookmarkEnd w:id="75"/>
      <w:bookmarkEnd w:id="76"/>
      <w:bookmarkEnd w:id="77"/>
      <w:r w:rsidR="00EA66D0" w:rsidRPr="006B4C71">
        <w:t>e</w:t>
      </w:r>
      <w:bookmarkEnd w:id="78"/>
      <w:bookmarkEnd w:id="79"/>
    </w:p>
    <w:tbl>
      <w:tblPr>
        <w:tblpPr w:leftFromText="141" w:rightFromText="141" w:vertAnchor="text" w:horzAnchor="margin" w:tblpXSpec="center" w:tblpY="536"/>
        <w:tblW w:w="981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3546"/>
        <w:gridCol w:w="1274"/>
        <w:gridCol w:w="1134"/>
        <w:gridCol w:w="1134"/>
        <w:gridCol w:w="1134"/>
        <w:gridCol w:w="779"/>
        <w:gridCol w:w="800"/>
        <w:gridCol w:w="9"/>
      </w:tblGrid>
      <w:tr w:rsidR="006B4C71" w:rsidRPr="005F7128" w14:paraId="5F7E1996" w14:textId="77777777" w:rsidTr="006B4C71">
        <w:trPr>
          <w:trHeight w:val="180"/>
        </w:trPr>
        <w:tc>
          <w:tcPr>
            <w:tcW w:w="9810" w:type="dxa"/>
            <w:gridSpan w:val="8"/>
            <w:tcBorders>
              <w:top w:val="nil"/>
              <w:left w:val="nil"/>
              <w:bottom w:val="single" w:sz="12" w:space="0" w:color="auto"/>
              <w:right w:val="nil"/>
            </w:tcBorders>
            <w:vAlign w:val="center"/>
          </w:tcPr>
          <w:p w14:paraId="651E8917" w14:textId="77777777" w:rsidR="006B4C71" w:rsidRPr="005F7128" w:rsidRDefault="006B4C71" w:rsidP="006B4C71">
            <w:pPr>
              <w:jc w:val="right"/>
              <w:rPr>
                <w:color w:val="000000" w:themeColor="text1"/>
              </w:rPr>
            </w:pPr>
            <w:r w:rsidRPr="005F7128">
              <w:rPr>
                <w:color w:val="000000" w:themeColor="text1"/>
              </w:rPr>
              <w:t>v tis. Kč</w:t>
            </w:r>
          </w:p>
        </w:tc>
      </w:tr>
      <w:tr w:rsidR="006B4C71" w:rsidRPr="004B11AC" w14:paraId="4BD1BF08" w14:textId="77777777" w:rsidTr="006B4C71">
        <w:trPr>
          <w:gridAfter w:val="1"/>
          <w:wAfter w:w="9" w:type="dxa"/>
          <w:trHeight w:val="516"/>
        </w:trPr>
        <w:tc>
          <w:tcPr>
            <w:tcW w:w="3546" w:type="dxa"/>
            <w:vMerge w:val="restart"/>
            <w:tcBorders>
              <w:top w:val="single" w:sz="12" w:space="0" w:color="auto"/>
            </w:tcBorders>
            <w:vAlign w:val="center"/>
          </w:tcPr>
          <w:p w14:paraId="03A86E5B" w14:textId="77777777" w:rsidR="006B4C71" w:rsidRPr="005F7128" w:rsidRDefault="006B4C71" w:rsidP="006B4C71">
            <w:pPr>
              <w:jc w:val="center"/>
              <w:rPr>
                <w:color w:val="000000" w:themeColor="text1"/>
                <w:sz w:val="22"/>
              </w:rPr>
            </w:pPr>
            <w:r w:rsidRPr="005F7128">
              <w:rPr>
                <w:color w:val="000000" w:themeColor="text1"/>
                <w:sz w:val="22"/>
              </w:rPr>
              <w:t>Ukazatel</w:t>
            </w:r>
          </w:p>
        </w:tc>
        <w:tc>
          <w:tcPr>
            <w:tcW w:w="1274" w:type="dxa"/>
            <w:vMerge w:val="restart"/>
            <w:tcBorders>
              <w:top w:val="single" w:sz="12" w:space="0" w:color="auto"/>
            </w:tcBorders>
            <w:vAlign w:val="center"/>
          </w:tcPr>
          <w:p w14:paraId="6F9E4AE2" w14:textId="77777777" w:rsidR="006B4C71" w:rsidRPr="005F7128" w:rsidRDefault="006B4C71" w:rsidP="006B4C71">
            <w:pPr>
              <w:jc w:val="center"/>
              <w:rPr>
                <w:color w:val="000000" w:themeColor="text1"/>
                <w:sz w:val="22"/>
              </w:rPr>
            </w:pPr>
            <w:r w:rsidRPr="005F7128">
              <w:rPr>
                <w:color w:val="000000" w:themeColor="text1"/>
                <w:sz w:val="22"/>
              </w:rPr>
              <w:t>Skutečnost</w:t>
            </w:r>
          </w:p>
          <w:p w14:paraId="26ABB84A" w14:textId="77777777" w:rsidR="006B4C71" w:rsidRPr="005F7128" w:rsidRDefault="006B4C71" w:rsidP="006B4C71">
            <w:pPr>
              <w:jc w:val="center"/>
              <w:rPr>
                <w:color w:val="000000" w:themeColor="text1"/>
                <w:sz w:val="22"/>
              </w:rPr>
            </w:pPr>
            <w:r w:rsidRPr="005F7128">
              <w:rPr>
                <w:color w:val="000000" w:themeColor="text1"/>
                <w:sz w:val="22"/>
              </w:rPr>
              <w:t>2018</w:t>
            </w:r>
          </w:p>
        </w:tc>
        <w:tc>
          <w:tcPr>
            <w:tcW w:w="2268" w:type="dxa"/>
            <w:gridSpan w:val="2"/>
            <w:tcBorders>
              <w:top w:val="single" w:sz="12" w:space="0" w:color="auto"/>
            </w:tcBorders>
            <w:vAlign w:val="center"/>
          </w:tcPr>
          <w:p w14:paraId="24C9AFD9" w14:textId="77777777" w:rsidR="006B4C71" w:rsidRPr="005F7128" w:rsidRDefault="006B4C71" w:rsidP="006B4C71">
            <w:pPr>
              <w:jc w:val="center"/>
              <w:rPr>
                <w:color w:val="000000" w:themeColor="text1"/>
                <w:sz w:val="22"/>
              </w:rPr>
            </w:pPr>
            <w:r w:rsidRPr="005F7128">
              <w:rPr>
                <w:color w:val="000000" w:themeColor="text1"/>
                <w:sz w:val="22"/>
              </w:rPr>
              <w:t>Rozpočet 2019</w:t>
            </w:r>
          </w:p>
        </w:tc>
        <w:tc>
          <w:tcPr>
            <w:tcW w:w="1134" w:type="dxa"/>
            <w:vMerge w:val="restart"/>
            <w:tcBorders>
              <w:top w:val="single" w:sz="12" w:space="0" w:color="auto"/>
            </w:tcBorders>
          </w:tcPr>
          <w:p w14:paraId="686BDDD0" w14:textId="77777777" w:rsidR="006B4C71" w:rsidRPr="005F7128" w:rsidRDefault="006B4C71" w:rsidP="006B4C71">
            <w:pPr>
              <w:jc w:val="center"/>
              <w:rPr>
                <w:color w:val="000000" w:themeColor="text1"/>
                <w:sz w:val="22"/>
              </w:rPr>
            </w:pPr>
          </w:p>
          <w:p w14:paraId="0D29676E" w14:textId="77777777" w:rsidR="006B4C71" w:rsidRPr="005F7128" w:rsidRDefault="006B4C71" w:rsidP="006B4C71">
            <w:pPr>
              <w:jc w:val="center"/>
              <w:rPr>
                <w:color w:val="000000" w:themeColor="text1"/>
                <w:sz w:val="22"/>
              </w:rPr>
            </w:pPr>
            <w:r w:rsidRPr="005F7128">
              <w:rPr>
                <w:color w:val="000000" w:themeColor="text1"/>
                <w:sz w:val="22"/>
              </w:rPr>
              <w:t>Skutečnost</w:t>
            </w:r>
          </w:p>
          <w:p w14:paraId="0871ABE6" w14:textId="77777777" w:rsidR="006B4C71" w:rsidRPr="005F7128" w:rsidRDefault="006B4C71" w:rsidP="006B4C71">
            <w:pPr>
              <w:jc w:val="center"/>
              <w:rPr>
                <w:color w:val="000000" w:themeColor="text1"/>
                <w:sz w:val="22"/>
              </w:rPr>
            </w:pPr>
            <w:r w:rsidRPr="005F7128">
              <w:rPr>
                <w:color w:val="000000" w:themeColor="text1"/>
                <w:sz w:val="22"/>
              </w:rPr>
              <w:t>2019</w:t>
            </w:r>
          </w:p>
        </w:tc>
        <w:tc>
          <w:tcPr>
            <w:tcW w:w="779" w:type="dxa"/>
            <w:tcBorders>
              <w:top w:val="single" w:sz="12" w:space="0" w:color="auto"/>
            </w:tcBorders>
            <w:vAlign w:val="center"/>
          </w:tcPr>
          <w:p w14:paraId="0BDC4E3B" w14:textId="77777777" w:rsidR="006B4C71" w:rsidRPr="005F7128" w:rsidRDefault="006B4C71" w:rsidP="006B4C71">
            <w:pPr>
              <w:jc w:val="center"/>
              <w:rPr>
                <w:color w:val="000000" w:themeColor="text1"/>
                <w:sz w:val="22"/>
              </w:rPr>
            </w:pPr>
            <w:r w:rsidRPr="005F7128">
              <w:rPr>
                <w:color w:val="000000" w:themeColor="text1"/>
                <w:sz w:val="22"/>
              </w:rPr>
              <w:t>%</w:t>
            </w:r>
          </w:p>
        </w:tc>
        <w:tc>
          <w:tcPr>
            <w:tcW w:w="800" w:type="dxa"/>
            <w:tcBorders>
              <w:top w:val="single" w:sz="12" w:space="0" w:color="auto"/>
            </w:tcBorders>
            <w:vAlign w:val="center"/>
          </w:tcPr>
          <w:p w14:paraId="1DB1DF57" w14:textId="77777777" w:rsidR="006B4C71" w:rsidRPr="005F7128" w:rsidRDefault="006B4C71" w:rsidP="006B4C71">
            <w:pPr>
              <w:jc w:val="center"/>
              <w:rPr>
                <w:color w:val="000000" w:themeColor="text1"/>
                <w:sz w:val="22"/>
              </w:rPr>
            </w:pPr>
            <w:r w:rsidRPr="005F7128">
              <w:rPr>
                <w:color w:val="000000" w:themeColor="text1"/>
                <w:sz w:val="22"/>
              </w:rPr>
              <w:t>Index</w:t>
            </w:r>
          </w:p>
        </w:tc>
      </w:tr>
      <w:tr w:rsidR="006B4C71" w:rsidRPr="004B11AC" w14:paraId="45376846" w14:textId="77777777" w:rsidTr="006B4C71">
        <w:trPr>
          <w:gridAfter w:val="1"/>
          <w:wAfter w:w="9" w:type="dxa"/>
        </w:trPr>
        <w:tc>
          <w:tcPr>
            <w:tcW w:w="3546" w:type="dxa"/>
            <w:vMerge/>
            <w:tcBorders>
              <w:bottom w:val="single" w:sz="12" w:space="0" w:color="auto"/>
            </w:tcBorders>
          </w:tcPr>
          <w:p w14:paraId="489A791C" w14:textId="77777777" w:rsidR="006B4C71" w:rsidRPr="005F7128" w:rsidRDefault="006B4C71" w:rsidP="006B4C71">
            <w:pPr>
              <w:jc w:val="center"/>
              <w:rPr>
                <w:color w:val="000000" w:themeColor="text1"/>
                <w:sz w:val="22"/>
              </w:rPr>
            </w:pPr>
          </w:p>
        </w:tc>
        <w:tc>
          <w:tcPr>
            <w:tcW w:w="1274" w:type="dxa"/>
            <w:vMerge/>
            <w:tcBorders>
              <w:bottom w:val="single" w:sz="12" w:space="0" w:color="auto"/>
            </w:tcBorders>
          </w:tcPr>
          <w:p w14:paraId="692513E4" w14:textId="77777777" w:rsidR="006B4C71" w:rsidRPr="005F7128" w:rsidRDefault="006B4C71" w:rsidP="006B4C71">
            <w:pPr>
              <w:jc w:val="center"/>
              <w:rPr>
                <w:color w:val="000000" w:themeColor="text1"/>
                <w:sz w:val="22"/>
              </w:rPr>
            </w:pPr>
          </w:p>
        </w:tc>
        <w:tc>
          <w:tcPr>
            <w:tcW w:w="1134" w:type="dxa"/>
            <w:tcBorders>
              <w:bottom w:val="single" w:sz="12" w:space="0" w:color="auto"/>
            </w:tcBorders>
            <w:vAlign w:val="center"/>
          </w:tcPr>
          <w:p w14:paraId="4E79012C" w14:textId="77777777" w:rsidR="006B4C71" w:rsidRPr="005F7128" w:rsidRDefault="006B4C71" w:rsidP="006B4C71">
            <w:pPr>
              <w:jc w:val="center"/>
              <w:rPr>
                <w:color w:val="000000" w:themeColor="text1"/>
                <w:sz w:val="22"/>
              </w:rPr>
            </w:pPr>
            <w:r w:rsidRPr="005F7128">
              <w:rPr>
                <w:color w:val="000000" w:themeColor="text1"/>
                <w:sz w:val="22"/>
              </w:rPr>
              <w:t>Schválený</w:t>
            </w:r>
          </w:p>
        </w:tc>
        <w:tc>
          <w:tcPr>
            <w:tcW w:w="1134" w:type="dxa"/>
            <w:tcBorders>
              <w:bottom w:val="single" w:sz="12" w:space="0" w:color="auto"/>
            </w:tcBorders>
            <w:vAlign w:val="center"/>
          </w:tcPr>
          <w:p w14:paraId="132ECBAE" w14:textId="77777777" w:rsidR="006B4C71" w:rsidRPr="005F7128" w:rsidRDefault="006B4C71" w:rsidP="006B4C71">
            <w:pPr>
              <w:jc w:val="center"/>
              <w:rPr>
                <w:color w:val="000000" w:themeColor="text1"/>
                <w:sz w:val="22"/>
              </w:rPr>
            </w:pPr>
            <w:r w:rsidRPr="005F7128">
              <w:rPr>
                <w:color w:val="000000" w:themeColor="text1"/>
                <w:sz w:val="22"/>
              </w:rPr>
              <w:t>po</w:t>
            </w:r>
          </w:p>
          <w:p w14:paraId="05488BC3" w14:textId="77777777" w:rsidR="006B4C71" w:rsidRPr="005F7128" w:rsidRDefault="006B4C71" w:rsidP="006B4C71">
            <w:pPr>
              <w:jc w:val="center"/>
              <w:rPr>
                <w:color w:val="000000" w:themeColor="text1"/>
                <w:sz w:val="22"/>
              </w:rPr>
            </w:pPr>
            <w:r w:rsidRPr="005F7128">
              <w:rPr>
                <w:color w:val="000000" w:themeColor="text1"/>
                <w:sz w:val="22"/>
              </w:rPr>
              <w:t>změnách</w:t>
            </w:r>
          </w:p>
        </w:tc>
        <w:tc>
          <w:tcPr>
            <w:tcW w:w="1134" w:type="dxa"/>
            <w:vMerge/>
            <w:tcBorders>
              <w:bottom w:val="single" w:sz="12" w:space="0" w:color="auto"/>
            </w:tcBorders>
          </w:tcPr>
          <w:p w14:paraId="4B265822" w14:textId="77777777" w:rsidR="006B4C71" w:rsidRPr="005F7128" w:rsidRDefault="006B4C71" w:rsidP="006B4C71">
            <w:pPr>
              <w:jc w:val="center"/>
              <w:rPr>
                <w:color w:val="000000" w:themeColor="text1"/>
                <w:sz w:val="22"/>
              </w:rPr>
            </w:pPr>
          </w:p>
        </w:tc>
        <w:tc>
          <w:tcPr>
            <w:tcW w:w="779" w:type="dxa"/>
            <w:tcBorders>
              <w:bottom w:val="single" w:sz="12" w:space="0" w:color="auto"/>
            </w:tcBorders>
            <w:vAlign w:val="center"/>
          </w:tcPr>
          <w:p w14:paraId="190FF535" w14:textId="77777777" w:rsidR="006B4C71" w:rsidRPr="005F7128" w:rsidRDefault="006B4C71" w:rsidP="006B4C71">
            <w:pPr>
              <w:jc w:val="center"/>
              <w:rPr>
                <w:color w:val="000000" w:themeColor="text1"/>
                <w:sz w:val="22"/>
              </w:rPr>
            </w:pPr>
            <w:r w:rsidRPr="005F7128">
              <w:rPr>
                <w:color w:val="000000" w:themeColor="text1"/>
                <w:sz w:val="22"/>
              </w:rPr>
              <w:t>plnění</w:t>
            </w:r>
          </w:p>
        </w:tc>
        <w:tc>
          <w:tcPr>
            <w:tcW w:w="800" w:type="dxa"/>
            <w:tcBorders>
              <w:bottom w:val="single" w:sz="12" w:space="0" w:color="auto"/>
            </w:tcBorders>
            <w:vAlign w:val="center"/>
          </w:tcPr>
          <w:p w14:paraId="143EB877" w14:textId="77777777" w:rsidR="006B4C71" w:rsidRPr="005F7128" w:rsidRDefault="006B4C71" w:rsidP="006B4C71">
            <w:pPr>
              <w:jc w:val="center"/>
              <w:rPr>
                <w:color w:val="000000" w:themeColor="text1"/>
                <w:sz w:val="22"/>
              </w:rPr>
            </w:pPr>
            <w:r w:rsidRPr="005F7128">
              <w:rPr>
                <w:color w:val="000000" w:themeColor="text1"/>
                <w:sz w:val="22"/>
              </w:rPr>
              <w:t>19/18   %</w:t>
            </w:r>
          </w:p>
        </w:tc>
      </w:tr>
      <w:tr w:rsidR="006B4C71" w:rsidRPr="004B11AC" w14:paraId="125C1752" w14:textId="77777777" w:rsidTr="006B4C71">
        <w:trPr>
          <w:gridAfter w:val="1"/>
          <w:wAfter w:w="9" w:type="dxa"/>
          <w:trHeight w:val="761"/>
        </w:trPr>
        <w:tc>
          <w:tcPr>
            <w:tcW w:w="3546" w:type="dxa"/>
            <w:tcBorders>
              <w:top w:val="single" w:sz="12" w:space="0" w:color="auto"/>
              <w:bottom w:val="nil"/>
            </w:tcBorders>
          </w:tcPr>
          <w:p w14:paraId="79A8245C" w14:textId="77777777" w:rsidR="006B4C71" w:rsidRPr="005F7128" w:rsidRDefault="006B4C71" w:rsidP="006B4C71">
            <w:pPr>
              <w:jc w:val="both"/>
              <w:rPr>
                <w:b/>
                <w:color w:val="000000" w:themeColor="text1"/>
                <w:sz w:val="20"/>
              </w:rPr>
            </w:pPr>
            <w:r w:rsidRPr="005F7128">
              <w:rPr>
                <w:b/>
                <w:color w:val="000000" w:themeColor="text1"/>
                <w:sz w:val="20"/>
              </w:rPr>
              <w:t xml:space="preserve">Běžné výdaje organizačních složek </w:t>
            </w:r>
          </w:p>
          <w:p w14:paraId="4287E2F2" w14:textId="77777777" w:rsidR="006B4C71" w:rsidRPr="005F7128" w:rsidRDefault="006B4C71" w:rsidP="006B4C71">
            <w:pPr>
              <w:jc w:val="both"/>
              <w:rPr>
                <w:b/>
                <w:color w:val="000000" w:themeColor="text1"/>
                <w:sz w:val="20"/>
              </w:rPr>
            </w:pPr>
            <w:r w:rsidRPr="005F7128">
              <w:rPr>
                <w:b/>
                <w:color w:val="000000" w:themeColor="text1"/>
                <w:sz w:val="20"/>
              </w:rPr>
              <w:t>státu bez podsesk. 521,522,531,532,</w:t>
            </w:r>
          </w:p>
          <w:p w14:paraId="721A2BC3" w14:textId="77777777" w:rsidR="006B4C71" w:rsidRPr="005F7128" w:rsidRDefault="006B4C71" w:rsidP="006B4C71">
            <w:pPr>
              <w:jc w:val="both"/>
              <w:rPr>
                <w:color w:val="000000" w:themeColor="text1"/>
                <w:sz w:val="20"/>
              </w:rPr>
            </w:pPr>
            <w:r w:rsidRPr="005F7128">
              <w:rPr>
                <w:b/>
                <w:color w:val="000000" w:themeColor="text1"/>
                <w:sz w:val="20"/>
              </w:rPr>
              <w:t>533,551,553,554,561 a položky 5193 v tom:</w:t>
            </w:r>
          </w:p>
        </w:tc>
        <w:tc>
          <w:tcPr>
            <w:tcW w:w="1274" w:type="dxa"/>
            <w:tcBorders>
              <w:top w:val="nil"/>
              <w:bottom w:val="nil"/>
            </w:tcBorders>
          </w:tcPr>
          <w:p w14:paraId="710DCD79" w14:textId="77777777" w:rsidR="006B4C71" w:rsidRPr="005F7128" w:rsidRDefault="006B4C71" w:rsidP="006B4C71">
            <w:pPr>
              <w:jc w:val="right"/>
              <w:rPr>
                <w:b/>
                <w:color w:val="000000" w:themeColor="text1"/>
                <w:sz w:val="20"/>
              </w:rPr>
            </w:pPr>
          </w:p>
          <w:p w14:paraId="3990A20E" w14:textId="77777777" w:rsidR="006B4C71" w:rsidRPr="005F7128" w:rsidRDefault="006B4C71" w:rsidP="006B4C71">
            <w:pPr>
              <w:jc w:val="right"/>
              <w:rPr>
                <w:b/>
                <w:color w:val="000000" w:themeColor="text1"/>
                <w:sz w:val="20"/>
              </w:rPr>
            </w:pPr>
          </w:p>
          <w:p w14:paraId="7CA5B9BD" w14:textId="77777777" w:rsidR="006B4C71" w:rsidRPr="005F7128" w:rsidRDefault="006B4C71" w:rsidP="006B4C71">
            <w:pPr>
              <w:jc w:val="right"/>
              <w:rPr>
                <w:b/>
                <w:color w:val="000000" w:themeColor="text1"/>
                <w:sz w:val="20"/>
              </w:rPr>
            </w:pPr>
            <w:r w:rsidRPr="005F7128">
              <w:rPr>
                <w:b/>
                <w:color w:val="000000" w:themeColor="text1"/>
                <w:sz w:val="20"/>
              </w:rPr>
              <w:t>2 919 439</w:t>
            </w:r>
          </w:p>
        </w:tc>
        <w:tc>
          <w:tcPr>
            <w:tcW w:w="1134" w:type="dxa"/>
            <w:tcBorders>
              <w:top w:val="nil"/>
              <w:bottom w:val="nil"/>
            </w:tcBorders>
          </w:tcPr>
          <w:p w14:paraId="7CD392E0" w14:textId="77777777" w:rsidR="006B4C71" w:rsidRPr="005110D0" w:rsidRDefault="006B4C71" w:rsidP="006B4C71">
            <w:pPr>
              <w:jc w:val="right"/>
              <w:rPr>
                <w:b/>
                <w:bCs/>
                <w:color w:val="000000" w:themeColor="text1"/>
                <w:sz w:val="20"/>
              </w:rPr>
            </w:pPr>
          </w:p>
          <w:p w14:paraId="5BB68818" w14:textId="77777777" w:rsidR="006B4C71" w:rsidRPr="005110D0" w:rsidRDefault="006B4C71" w:rsidP="006B4C71">
            <w:pPr>
              <w:jc w:val="right"/>
              <w:rPr>
                <w:b/>
                <w:bCs/>
                <w:color w:val="000000" w:themeColor="text1"/>
                <w:sz w:val="20"/>
              </w:rPr>
            </w:pPr>
          </w:p>
          <w:p w14:paraId="048FF024" w14:textId="77777777" w:rsidR="006B4C71" w:rsidRPr="005110D0" w:rsidRDefault="006B4C71" w:rsidP="006B4C71">
            <w:pPr>
              <w:jc w:val="right"/>
              <w:rPr>
                <w:b/>
                <w:bCs/>
                <w:color w:val="000000" w:themeColor="text1"/>
                <w:sz w:val="20"/>
              </w:rPr>
            </w:pPr>
            <w:r>
              <w:rPr>
                <w:b/>
                <w:bCs/>
                <w:color w:val="000000" w:themeColor="text1"/>
                <w:sz w:val="20"/>
              </w:rPr>
              <w:t>7</w:t>
            </w:r>
            <w:r w:rsidRPr="005110D0">
              <w:rPr>
                <w:b/>
                <w:bCs/>
                <w:color w:val="000000" w:themeColor="text1"/>
                <w:sz w:val="20"/>
              </w:rPr>
              <w:t> 606 816</w:t>
            </w:r>
          </w:p>
          <w:p w14:paraId="20FC4C61" w14:textId="77777777" w:rsidR="006B4C71" w:rsidRPr="005110D0" w:rsidRDefault="006B4C71" w:rsidP="006B4C71">
            <w:pPr>
              <w:jc w:val="right"/>
              <w:rPr>
                <w:b/>
                <w:bCs/>
                <w:color w:val="000000" w:themeColor="text1"/>
                <w:sz w:val="20"/>
              </w:rPr>
            </w:pPr>
          </w:p>
        </w:tc>
        <w:tc>
          <w:tcPr>
            <w:tcW w:w="1134" w:type="dxa"/>
            <w:tcBorders>
              <w:top w:val="nil"/>
              <w:bottom w:val="nil"/>
            </w:tcBorders>
          </w:tcPr>
          <w:p w14:paraId="0A0ADAAA" w14:textId="77777777" w:rsidR="006B4C71" w:rsidRPr="005110D0" w:rsidRDefault="006B4C71" w:rsidP="006B4C71">
            <w:pPr>
              <w:jc w:val="right"/>
              <w:rPr>
                <w:b/>
                <w:color w:val="000000" w:themeColor="text1"/>
                <w:sz w:val="20"/>
              </w:rPr>
            </w:pPr>
          </w:p>
          <w:p w14:paraId="5D7372CA" w14:textId="77777777" w:rsidR="006B4C71" w:rsidRPr="005110D0" w:rsidRDefault="006B4C71" w:rsidP="006B4C71">
            <w:pPr>
              <w:jc w:val="right"/>
              <w:rPr>
                <w:b/>
                <w:color w:val="000000" w:themeColor="text1"/>
                <w:sz w:val="20"/>
              </w:rPr>
            </w:pPr>
          </w:p>
          <w:p w14:paraId="310790B7" w14:textId="77777777" w:rsidR="006B4C71" w:rsidRPr="005110D0" w:rsidRDefault="006B4C71" w:rsidP="006B4C71">
            <w:pPr>
              <w:jc w:val="right"/>
              <w:rPr>
                <w:b/>
                <w:color w:val="000000" w:themeColor="text1"/>
                <w:sz w:val="20"/>
              </w:rPr>
            </w:pPr>
            <w:r w:rsidRPr="005110D0">
              <w:rPr>
                <w:b/>
                <w:color w:val="000000" w:themeColor="text1"/>
                <w:sz w:val="20"/>
              </w:rPr>
              <w:t>8 004 089</w:t>
            </w:r>
          </w:p>
          <w:p w14:paraId="0A479473" w14:textId="77777777" w:rsidR="006B4C71" w:rsidRPr="005110D0" w:rsidRDefault="006B4C71" w:rsidP="006B4C71">
            <w:pPr>
              <w:jc w:val="right"/>
              <w:rPr>
                <w:b/>
                <w:color w:val="000000" w:themeColor="text1"/>
                <w:sz w:val="20"/>
              </w:rPr>
            </w:pPr>
          </w:p>
        </w:tc>
        <w:tc>
          <w:tcPr>
            <w:tcW w:w="1134" w:type="dxa"/>
            <w:tcBorders>
              <w:top w:val="nil"/>
              <w:bottom w:val="nil"/>
            </w:tcBorders>
          </w:tcPr>
          <w:p w14:paraId="7716BCB1" w14:textId="77777777" w:rsidR="006B4C71" w:rsidRPr="005110D0" w:rsidRDefault="006B4C71" w:rsidP="006B4C71">
            <w:pPr>
              <w:jc w:val="right"/>
              <w:rPr>
                <w:b/>
                <w:color w:val="000000" w:themeColor="text1"/>
                <w:sz w:val="20"/>
              </w:rPr>
            </w:pPr>
          </w:p>
          <w:p w14:paraId="3E51C5FE" w14:textId="77777777" w:rsidR="006B4C71" w:rsidRPr="005110D0" w:rsidRDefault="006B4C71" w:rsidP="006B4C71">
            <w:pPr>
              <w:jc w:val="right"/>
              <w:rPr>
                <w:b/>
                <w:color w:val="000000" w:themeColor="text1"/>
                <w:sz w:val="20"/>
              </w:rPr>
            </w:pPr>
          </w:p>
          <w:p w14:paraId="62256621" w14:textId="77777777" w:rsidR="006B4C71" w:rsidRPr="005110D0" w:rsidRDefault="006B4C71" w:rsidP="006B4C71">
            <w:pPr>
              <w:jc w:val="right"/>
              <w:rPr>
                <w:b/>
                <w:color w:val="000000" w:themeColor="text1"/>
                <w:sz w:val="20"/>
              </w:rPr>
            </w:pPr>
            <w:r w:rsidRPr="005110D0">
              <w:rPr>
                <w:b/>
                <w:color w:val="000000" w:themeColor="text1"/>
                <w:sz w:val="20"/>
              </w:rPr>
              <w:t>7 232 112</w:t>
            </w:r>
          </w:p>
        </w:tc>
        <w:tc>
          <w:tcPr>
            <w:tcW w:w="779" w:type="dxa"/>
            <w:tcBorders>
              <w:top w:val="nil"/>
              <w:bottom w:val="nil"/>
            </w:tcBorders>
          </w:tcPr>
          <w:p w14:paraId="4FCBFD6B" w14:textId="77777777" w:rsidR="006B4C71" w:rsidRPr="004B11AC" w:rsidRDefault="006B4C71" w:rsidP="006B4C71">
            <w:pPr>
              <w:jc w:val="right"/>
              <w:rPr>
                <w:color w:val="FF0000"/>
                <w:sz w:val="20"/>
              </w:rPr>
            </w:pPr>
          </w:p>
          <w:p w14:paraId="5FC5CE42" w14:textId="77777777" w:rsidR="006B4C71" w:rsidRPr="004B11AC" w:rsidRDefault="006B4C71" w:rsidP="006B4C71">
            <w:pPr>
              <w:jc w:val="right"/>
              <w:rPr>
                <w:color w:val="FF0000"/>
                <w:sz w:val="20"/>
              </w:rPr>
            </w:pPr>
          </w:p>
          <w:p w14:paraId="42869264" w14:textId="77777777" w:rsidR="006B4C71" w:rsidRPr="004B11AC" w:rsidRDefault="006B4C71" w:rsidP="006B4C71">
            <w:pPr>
              <w:jc w:val="right"/>
              <w:rPr>
                <w:b/>
                <w:color w:val="FF0000"/>
                <w:sz w:val="20"/>
              </w:rPr>
            </w:pPr>
            <w:r w:rsidRPr="00CB01D9">
              <w:rPr>
                <w:b/>
                <w:sz w:val="20"/>
              </w:rPr>
              <w:t>90,36</w:t>
            </w:r>
          </w:p>
        </w:tc>
        <w:tc>
          <w:tcPr>
            <w:tcW w:w="800" w:type="dxa"/>
            <w:tcBorders>
              <w:top w:val="nil"/>
              <w:bottom w:val="nil"/>
            </w:tcBorders>
          </w:tcPr>
          <w:p w14:paraId="3FAAED0E" w14:textId="77777777" w:rsidR="006B4C71" w:rsidRPr="004B11AC" w:rsidRDefault="006B4C71" w:rsidP="006B4C71">
            <w:pPr>
              <w:jc w:val="right"/>
              <w:rPr>
                <w:color w:val="FF0000"/>
                <w:sz w:val="20"/>
              </w:rPr>
            </w:pPr>
          </w:p>
          <w:p w14:paraId="1B550D0D" w14:textId="77777777" w:rsidR="006B4C71" w:rsidRPr="004B11AC" w:rsidRDefault="006B4C71" w:rsidP="006B4C71">
            <w:pPr>
              <w:jc w:val="right"/>
              <w:rPr>
                <w:color w:val="FF0000"/>
                <w:sz w:val="20"/>
              </w:rPr>
            </w:pPr>
          </w:p>
          <w:p w14:paraId="28E272D5" w14:textId="77777777" w:rsidR="006B4C71" w:rsidRPr="004B11AC" w:rsidRDefault="006B4C71" w:rsidP="006B4C71">
            <w:pPr>
              <w:jc w:val="right"/>
              <w:rPr>
                <w:b/>
                <w:color w:val="FF0000"/>
                <w:sz w:val="20"/>
              </w:rPr>
            </w:pPr>
            <w:r w:rsidRPr="00C22195">
              <w:rPr>
                <w:b/>
                <w:color w:val="000000" w:themeColor="text1"/>
                <w:sz w:val="20"/>
              </w:rPr>
              <w:t>247,72</w:t>
            </w:r>
          </w:p>
        </w:tc>
      </w:tr>
      <w:tr w:rsidR="006B4C71" w:rsidRPr="004B11AC" w14:paraId="1020AE5C" w14:textId="77777777" w:rsidTr="006B4C71">
        <w:trPr>
          <w:gridAfter w:val="1"/>
          <w:wAfter w:w="9" w:type="dxa"/>
          <w:trHeight w:val="685"/>
        </w:trPr>
        <w:tc>
          <w:tcPr>
            <w:tcW w:w="3546" w:type="dxa"/>
            <w:tcBorders>
              <w:top w:val="nil"/>
              <w:bottom w:val="nil"/>
            </w:tcBorders>
          </w:tcPr>
          <w:p w14:paraId="71F75245" w14:textId="77777777" w:rsidR="006B4C71" w:rsidRPr="005F7128" w:rsidRDefault="006B4C71" w:rsidP="006B4C71">
            <w:pPr>
              <w:jc w:val="both"/>
              <w:rPr>
                <w:color w:val="000000" w:themeColor="text1"/>
                <w:sz w:val="20"/>
              </w:rPr>
            </w:pPr>
            <w:r w:rsidRPr="005F7128">
              <w:rPr>
                <w:color w:val="000000" w:themeColor="text1"/>
                <w:sz w:val="20"/>
              </w:rPr>
              <w:t>platy zaměstnanců a ostatní platby</w:t>
            </w:r>
          </w:p>
          <w:p w14:paraId="381C04B9" w14:textId="77777777" w:rsidR="006B4C71" w:rsidRPr="005F7128" w:rsidRDefault="006B4C71" w:rsidP="006B4C71">
            <w:pPr>
              <w:jc w:val="both"/>
              <w:rPr>
                <w:color w:val="000000" w:themeColor="text1"/>
                <w:sz w:val="20"/>
              </w:rPr>
            </w:pPr>
            <w:r w:rsidRPr="005F7128">
              <w:rPr>
                <w:color w:val="000000" w:themeColor="text1"/>
                <w:sz w:val="20"/>
              </w:rPr>
              <w:t>za provedenou práci</w:t>
            </w:r>
          </w:p>
          <w:p w14:paraId="25EDF72A" w14:textId="77777777" w:rsidR="006B4C71" w:rsidRPr="005F7128" w:rsidRDefault="00E2031D" w:rsidP="006B4C71">
            <w:pPr>
              <w:jc w:val="both"/>
              <w:rPr>
                <w:color w:val="000000" w:themeColor="text1"/>
                <w:sz w:val="20"/>
              </w:rPr>
            </w:pPr>
            <w:r>
              <w:rPr>
                <w:color w:val="000000" w:themeColor="text1"/>
                <w:sz w:val="20"/>
              </w:rPr>
              <w:t xml:space="preserve">         z toho:</w:t>
            </w:r>
            <w:r w:rsidR="006B4C71" w:rsidRPr="005F7128">
              <w:rPr>
                <w:color w:val="000000" w:themeColor="text1"/>
                <w:sz w:val="20"/>
              </w:rPr>
              <w:t xml:space="preserve"> prostředky EU</w:t>
            </w:r>
          </w:p>
        </w:tc>
        <w:tc>
          <w:tcPr>
            <w:tcW w:w="1274" w:type="dxa"/>
            <w:tcBorders>
              <w:top w:val="nil"/>
              <w:bottom w:val="nil"/>
            </w:tcBorders>
          </w:tcPr>
          <w:p w14:paraId="352FC473" w14:textId="77777777" w:rsidR="006B4C71" w:rsidRPr="005F7128" w:rsidRDefault="006B4C71" w:rsidP="006B4C71">
            <w:pPr>
              <w:jc w:val="right"/>
              <w:rPr>
                <w:color w:val="000000" w:themeColor="text1"/>
                <w:sz w:val="20"/>
              </w:rPr>
            </w:pPr>
          </w:p>
          <w:p w14:paraId="0490407B" w14:textId="77777777" w:rsidR="006B4C71" w:rsidRPr="005F7128" w:rsidRDefault="006B4C71" w:rsidP="006B4C71">
            <w:pPr>
              <w:jc w:val="right"/>
              <w:rPr>
                <w:color w:val="000000" w:themeColor="text1"/>
                <w:sz w:val="20"/>
              </w:rPr>
            </w:pPr>
            <w:r w:rsidRPr="005F7128">
              <w:rPr>
                <w:color w:val="000000" w:themeColor="text1"/>
                <w:sz w:val="20"/>
              </w:rPr>
              <w:t>519 551</w:t>
            </w:r>
          </w:p>
          <w:p w14:paraId="2D0653D9" w14:textId="77777777" w:rsidR="006B4C71" w:rsidRPr="005F7128" w:rsidRDefault="006B4C71" w:rsidP="006B4C71">
            <w:pPr>
              <w:jc w:val="right"/>
              <w:rPr>
                <w:color w:val="000000" w:themeColor="text1"/>
                <w:sz w:val="20"/>
              </w:rPr>
            </w:pPr>
            <w:r w:rsidRPr="005F7128">
              <w:rPr>
                <w:color w:val="000000" w:themeColor="text1"/>
                <w:sz w:val="20"/>
              </w:rPr>
              <w:t>60 474</w:t>
            </w:r>
          </w:p>
        </w:tc>
        <w:tc>
          <w:tcPr>
            <w:tcW w:w="1134" w:type="dxa"/>
            <w:tcBorders>
              <w:top w:val="nil"/>
              <w:bottom w:val="nil"/>
            </w:tcBorders>
          </w:tcPr>
          <w:p w14:paraId="66CB8944" w14:textId="77777777" w:rsidR="006B4C71" w:rsidRPr="004B11AC" w:rsidRDefault="006B4C71" w:rsidP="006B4C71">
            <w:pPr>
              <w:jc w:val="right"/>
              <w:rPr>
                <w:color w:val="FF0000"/>
                <w:sz w:val="20"/>
              </w:rPr>
            </w:pPr>
          </w:p>
          <w:p w14:paraId="295DE2F3" w14:textId="77777777" w:rsidR="006B4C71" w:rsidRPr="00721F96" w:rsidRDefault="006B4C71" w:rsidP="006B4C71">
            <w:pPr>
              <w:jc w:val="right"/>
              <w:rPr>
                <w:color w:val="000000" w:themeColor="text1"/>
                <w:sz w:val="20"/>
              </w:rPr>
            </w:pPr>
            <w:r w:rsidRPr="00721F96">
              <w:rPr>
                <w:color w:val="000000" w:themeColor="text1"/>
                <w:sz w:val="20"/>
              </w:rPr>
              <w:t>530 166</w:t>
            </w:r>
          </w:p>
          <w:p w14:paraId="11D857AD" w14:textId="77777777" w:rsidR="006B4C71" w:rsidRPr="004B11AC" w:rsidRDefault="006B4C71" w:rsidP="006B4C71">
            <w:pPr>
              <w:jc w:val="right"/>
              <w:rPr>
                <w:color w:val="FF0000"/>
                <w:sz w:val="20"/>
              </w:rPr>
            </w:pPr>
            <w:r w:rsidRPr="00E67F99">
              <w:rPr>
                <w:color w:val="000000" w:themeColor="text1"/>
                <w:sz w:val="20"/>
              </w:rPr>
              <w:t>46 799</w:t>
            </w:r>
          </w:p>
        </w:tc>
        <w:tc>
          <w:tcPr>
            <w:tcW w:w="1134" w:type="dxa"/>
            <w:tcBorders>
              <w:top w:val="nil"/>
              <w:bottom w:val="nil"/>
            </w:tcBorders>
          </w:tcPr>
          <w:p w14:paraId="33A841B2" w14:textId="77777777" w:rsidR="006B4C71" w:rsidRPr="004B11AC" w:rsidRDefault="006B4C71" w:rsidP="006B4C71">
            <w:pPr>
              <w:jc w:val="right"/>
              <w:rPr>
                <w:color w:val="FF0000"/>
                <w:sz w:val="20"/>
                <w:szCs w:val="20"/>
              </w:rPr>
            </w:pPr>
          </w:p>
          <w:p w14:paraId="58ED05D5" w14:textId="77777777" w:rsidR="006B4C71" w:rsidRPr="00721F96" w:rsidRDefault="006B4C71" w:rsidP="006B4C71">
            <w:pPr>
              <w:jc w:val="right"/>
              <w:rPr>
                <w:color w:val="000000" w:themeColor="text1"/>
                <w:sz w:val="20"/>
                <w:szCs w:val="20"/>
              </w:rPr>
            </w:pPr>
            <w:r w:rsidRPr="00721F96">
              <w:rPr>
                <w:color w:val="000000" w:themeColor="text1"/>
                <w:sz w:val="20"/>
                <w:szCs w:val="20"/>
              </w:rPr>
              <w:t>530 661</w:t>
            </w:r>
          </w:p>
          <w:p w14:paraId="180590C0" w14:textId="77777777" w:rsidR="006B4C71" w:rsidRPr="004B11AC" w:rsidRDefault="006B4C71" w:rsidP="006B4C71">
            <w:pPr>
              <w:jc w:val="right"/>
              <w:rPr>
                <w:color w:val="FF0000"/>
                <w:sz w:val="20"/>
                <w:szCs w:val="20"/>
              </w:rPr>
            </w:pPr>
            <w:r w:rsidRPr="00E67F99">
              <w:rPr>
                <w:color w:val="000000" w:themeColor="text1"/>
                <w:sz w:val="20"/>
                <w:szCs w:val="20"/>
              </w:rPr>
              <w:t>46 799</w:t>
            </w:r>
          </w:p>
        </w:tc>
        <w:tc>
          <w:tcPr>
            <w:tcW w:w="1134" w:type="dxa"/>
            <w:tcBorders>
              <w:top w:val="nil"/>
              <w:bottom w:val="nil"/>
            </w:tcBorders>
          </w:tcPr>
          <w:p w14:paraId="288EDD75" w14:textId="77777777" w:rsidR="006B4C71" w:rsidRPr="004B11AC" w:rsidRDefault="006B4C71" w:rsidP="006B4C71">
            <w:pPr>
              <w:jc w:val="right"/>
              <w:rPr>
                <w:color w:val="FF0000"/>
                <w:sz w:val="20"/>
              </w:rPr>
            </w:pPr>
          </w:p>
          <w:p w14:paraId="0BD2A4D4" w14:textId="77777777" w:rsidR="006B4C71" w:rsidRPr="00721F96" w:rsidRDefault="006B4C71" w:rsidP="006B4C71">
            <w:pPr>
              <w:jc w:val="right"/>
              <w:rPr>
                <w:color w:val="000000" w:themeColor="text1"/>
                <w:sz w:val="20"/>
              </w:rPr>
            </w:pPr>
            <w:r w:rsidRPr="00721F96">
              <w:rPr>
                <w:color w:val="000000" w:themeColor="text1"/>
                <w:sz w:val="20"/>
              </w:rPr>
              <w:t>549 791</w:t>
            </w:r>
          </w:p>
          <w:p w14:paraId="2B0A0BE5" w14:textId="77777777" w:rsidR="006B4C71" w:rsidRPr="004B11AC" w:rsidRDefault="006B4C71" w:rsidP="006B4C71">
            <w:pPr>
              <w:jc w:val="right"/>
              <w:rPr>
                <w:color w:val="FF0000"/>
                <w:sz w:val="20"/>
              </w:rPr>
            </w:pPr>
            <w:r w:rsidRPr="00E67F99">
              <w:rPr>
                <w:color w:val="000000" w:themeColor="text1"/>
                <w:sz w:val="20"/>
              </w:rPr>
              <w:t>58 895</w:t>
            </w:r>
          </w:p>
        </w:tc>
        <w:tc>
          <w:tcPr>
            <w:tcW w:w="779" w:type="dxa"/>
            <w:tcBorders>
              <w:top w:val="nil"/>
              <w:bottom w:val="nil"/>
            </w:tcBorders>
          </w:tcPr>
          <w:p w14:paraId="3B77107B" w14:textId="77777777" w:rsidR="006B4C71" w:rsidRPr="004B11AC" w:rsidRDefault="006B4C71" w:rsidP="006B4C71">
            <w:pPr>
              <w:jc w:val="right"/>
              <w:rPr>
                <w:color w:val="FF0000"/>
                <w:sz w:val="20"/>
              </w:rPr>
            </w:pPr>
          </w:p>
          <w:p w14:paraId="61C012AD" w14:textId="77777777" w:rsidR="006B4C71" w:rsidRPr="00CB01D9" w:rsidRDefault="006B4C71" w:rsidP="006B4C71">
            <w:pPr>
              <w:jc w:val="right"/>
              <w:rPr>
                <w:sz w:val="20"/>
              </w:rPr>
            </w:pPr>
            <w:r w:rsidRPr="00CB01D9">
              <w:rPr>
                <w:sz w:val="20"/>
              </w:rPr>
              <w:t>103,60</w:t>
            </w:r>
          </w:p>
          <w:p w14:paraId="20996871" w14:textId="77777777" w:rsidR="006B4C71" w:rsidRPr="004B11AC" w:rsidRDefault="006B4C71" w:rsidP="006B4C71">
            <w:pPr>
              <w:jc w:val="right"/>
              <w:rPr>
                <w:color w:val="FF0000"/>
                <w:sz w:val="20"/>
              </w:rPr>
            </w:pPr>
            <w:r w:rsidRPr="00CB01D9">
              <w:rPr>
                <w:sz w:val="20"/>
              </w:rPr>
              <w:t>125,85</w:t>
            </w:r>
          </w:p>
        </w:tc>
        <w:tc>
          <w:tcPr>
            <w:tcW w:w="800" w:type="dxa"/>
            <w:tcBorders>
              <w:top w:val="nil"/>
              <w:bottom w:val="nil"/>
            </w:tcBorders>
          </w:tcPr>
          <w:p w14:paraId="3848789D" w14:textId="77777777" w:rsidR="006B4C71" w:rsidRPr="004B11AC" w:rsidRDefault="006B4C71" w:rsidP="006B4C71">
            <w:pPr>
              <w:jc w:val="right"/>
              <w:rPr>
                <w:color w:val="FF0000"/>
                <w:sz w:val="20"/>
              </w:rPr>
            </w:pPr>
          </w:p>
          <w:p w14:paraId="4F47F667" w14:textId="77777777" w:rsidR="006B4C71" w:rsidRPr="00C22195" w:rsidRDefault="006B4C71" w:rsidP="006B4C71">
            <w:pPr>
              <w:jc w:val="right"/>
              <w:rPr>
                <w:color w:val="000000" w:themeColor="text1"/>
                <w:sz w:val="20"/>
              </w:rPr>
            </w:pPr>
            <w:r w:rsidRPr="00C22195">
              <w:rPr>
                <w:color w:val="000000" w:themeColor="text1"/>
                <w:sz w:val="20"/>
              </w:rPr>
              <w:t>105,82</w:t>
            </w:r>
          </w:p>
          <w:p w14:paraId="16C49F51" w14:textId="77777777" w:rsidR="006B4C71" w:rsidRPr="004B11AC" w:rsidRDefault="006B4C71" w:rsidP="006B4C71">
            <w:pPr>
              <w:jc w:val="right"/>
              <w:rPr>
                <w:color w:val="FF0000"/>
                <w:sz w:val="20"/>
              </w:rPr>
            </w:pPr>
            <w:r w:rsidRPr="00C22195">
              <w:rPr>
                <w:color w:val="000000" w:themeColor="text1"/>
                <w:sz w:val="20"/>
              </w:rPr>
              <w:t>97,39</w:t>
            </w:r>
          </w:p>
        </w:tc>
      </w:tr>
      <w:tr w:rsidR="006B4C71" w:rsidRPr="004B11AC" w14:paraId="10EFE668" w14:textId="77777777" w:rsidTr="006B4C71">
        <w:trPr>
          <w:gridAfter w:val="1"/>
          <w:wAfter w:w="9" w:type="dxa"/>
          <w:trHeight w:val="471"/>
        </w:trPr>
        <w:tc>
          <w:tcPr>
            <w:tcW w:w="3546" w:type="dxa"/>
            <w:tcBorders>
              <w:top w:val="nil"/>
              <w:bottom w:val="nil"/>
            </w:tcBorders>
          </w:tcPr>
          <w:p w14:paraId="50CDC148" w14:textId="77777777" w:rsidR="006B4C71" w:rsidRPr="005F7128" w:rsidRDefault="006B4C71" w:rsidP="006B4C71">
            <w:pPr>
              <w:rPr>
                <w:color w:val="000000" w:themeColor="text1"/>
                <w:sz w:val="20"/>
              </w:rPr>
            </w:pPr>
            <w:r w:rsidRPr="005F7128">
              <w:rPr>
                <w:color w:val="000000" w:themeColor="text1"/>
                <w:sz w:val="20"/>
              </w:rPr>
              <w:t>povinné pojistné placené zaměstnavatel.</w:t>
            </w:r>
          </w:p>
          <w:p w14:paraId="007CDA66" w14:textId="77777777" w:rsidR="006B4C71" w:rsidRPr="005F7128" w:rsidRDefault="006B4C71" w:rsidP="006B4C71">
            <w:pPr>
              <w:jc w:val="both"/>
              <w:rPr>
                <w:color w:val="000000" w:themeColor="text1"/>
                <w:sz w:val="20"/>
              </w:rPr>
            </w:pPr>
            <w:r w:rsidRPr="005F7128">
              <w:rPr>
                <w:color w:val="000000" w:themeColor="text1"/>
                <w:sz w:val="20"/>
              </w:rPr>
              <w:t xml:space="preserve">         z toho: prostředky EU</w:t>
            </w:r>
          </w:p>
        </w:tc>
        <w:tc>
          <w:tcPr>
            <w:tcW w:w="1274" w:type="dxa"/>
            <w:tcBorders>
              <w:top w:val="nil"/>
              <w:bottom w:val="nil"/>
            </w:tcBorders>
          </w:tcPr>
          <w:p w14:paraId="50D33C77" w14:textId="77777777" w:rsidR="006B4C71" w:rsidRPr="005F7128" w:rsidRDefault="006B4C71" w:rsidP="006B4C71">
            <w:pPr>
              <w:jc w:val="right"/>
              <w:rPr>
                <w:color w:val="000000" w:themeColor="text1"/>
                <w:sz w:val="20"/>
              </w:rPr>
            </w:pPr>
            <w:r w:rsidRPr="005F7128">
              <w:rPr>
                <w:color w:val="000000" w:themeColor="text1"/>
                <w:sz w:val="20"/>
              </w:rPr>
              <w:t>175 794</w:t>
            </w:r>
          </w:p>
          <w:p w14:paraId="52C39106" w14:textId="77777777" w:rsidR="006B4C71" w:rsidRPr="005F7128" w:rsidRDefault="006B4C71" w:rsidP="006B4C71">
            <w:pPr>
              <w:jc w:val="right"/>
              <w:rPr>
                <w:color w:val="000000" w:themeColor="text1"/>
                <w:sz w:val="20"/>
              </w:rPr>
            </w:pPr>
            <w:r w:rsidRPr="005F7128">
              <w:rPr>
                <w:color w:val="000000" w:themeColor="text1"/>
                <w:sz w:val="20"/>
              </w:rPr>
              <w:t>20 380</w:t>
            </w:r>
          </w:p>
        </w:tc>
        <w:tc>
          <w:tcPr>
            <w:tcW w:w="1134" w:type="dxa"/>
            <w:tcBorders>
              <w:top w:val="nil"/>
              <w:bottom w:val="nil"/>
            </w:tcBorders>
          </w:tcPr>
          <w:p w14:paraId="339F78C9" w14:textId="77777777" w:rsidR="006B4C71" w:rsidRPr="00DA6732" w:rsidRDefault="006B4C71" w:rsidP="006B4C71">
            <w:pPr>
              <w:jc w:val="right"/>
              <w:rPr>
                <w:color w:val="000000" w:themeColor="text1"/>
                <w:sz w:val="20"/>
              </w:rPr>
            </w:pPr>
            <w:r w:rsidRPr="00DA6732">
              <w:rPr>
                <w:color w:val="000000" w:themeColor="text1"/>
                <w:sz w:val="20"/>
              </w:rPr>
              <w:t>180 256</w:t>
            </w:r>
          </w:p>
          <w:p w14:paraId="07E97630" w14:textId="77777777" w:rsidR="006B4C71" w:rsidRPr="004B11AC" w:rsidRDefault="006B4C71" w:rsidP="006B4C71">
            <w:pPr>
              <w:jc w:val="right"/>
              <w:rPr>
                <w:color w:val="FF0000"/>
                <w:sz w:val="20"/>
              </w:rPr>
            </w:pPr>
            <w:r w:rsidRPr="00BD65A6">
              <w:rPr>
                <w:color w:val="000000" w:themeColor="text1"/>
                <w:sz w:val="20"/>
              </w:rPr>
              <w:t>15 912</w:t>
            </w:r>
          </w:p>
        </w:tc>
        <w:tc>
          <w:tcPr>
            <w:tcW w:w="1134" w:type="dxa"/>
            <w:tcBorders>
              <w:top w:val="nil"/>
              <w:bottom w:val="nil"/>
            </w:tcBorders>
          </w:tcPr>
          <w:p w14:paraId="2267C7A3" w14:textId="77777777" w:rsidR="006B4C71" w:rsidRPr="00DA6732" w:rsidRDefault="006B4C71" w:rsidP="006B4C71">
            <w:pPr>
              <w:jc w:val="right"/>
              <w:rPr>
                <w:color w:val="000000" w:themeColor="text1"/>
                <w:sz w:val="20"/>
              </w:rPr>
            </w:pPr>
            <w:r w:rsidRPr="00DA6732">
              <w:rPr>
                <w:color w:val="000000" w:themeColor="text1"/>
                <w:sz w:val="20"/>
              </w:rPr>
              <w:t>180 256</w:t>
            </w:r>
          </w:p>
          <w:p w14:paraId="02627489" w14:textId="77777777" w:rsidR="006B4C71" w:rsidRPr="004B11AC" w:rsidRDefault="006B4C71" w:rsidP="006B4C71">
            <w:pPr>
              <w:jc w:val="right"/>
              <w:rPr>
                <w:color w:val="FF0000"/>
                <w:sz w:val="20"/>
              </w:rPr>
            </w:pPr>
            <w:r w:rsidRPr="00BD65A6">
              <w:rPr>
                <w:color w:val="000000" w:themeColor="text1"/>
                <w:sz w:val="20"/>
              </w:rPr>
              <w:t>15 912</w:t>
            </w:r>
          </w:p>
        </w:tc>
        <w:tc>
          <w:tcPr>
            <w:tcW w:w="1134" w:type="dxa"/>
            <w:tcBorders>
              <w:top w:val="nil"/>
              <w:bottom w:val="nil"/>
            </w:tcBorders>
          </w:tcPr>
          <w:p w14:paraId="161D67B7" w14:textId="77777777" w:rsidR="006B4C71" w:rsidRPr="00DA6732" w:rsidRDefault="006B4C71" w:rsidP="006B4C71">
            <w:pPr>
              <w:jc w:val="right"/>
              <w:rPr>
                <w:color w:val="000000" w:themeColor="text1"/>
                <w:sz w:val="20"/>
              </w:rPr>
            </w:pPr>
            <w:r w:rsidRPr="00DA6732">
              <w:rPr>
                <w:color w:val="000000" w:themeColor="text1"/>
                <w:sz w:val="20"/>
              </w:rPr>
              <w:t>185 592</w:t>
            </w:r>
          </w:p>
          <w:p w14:paraId="012096F4" w14:textId="77777777" w:rsidR="006B4C71" w:rsidRPr="004B11AC" w:rsidRDefault="006B4C71" w:rsidP="006B4C71">
            <w:pPr>
              <w:jc w:val="right"/>
              <w:rPr>
                <w:color w:val="FF0000"/>
                <w:sz w:val="20"/>
              </w:rPr>
            </w:pPr>
            <w:r w:rsidRPr="00BD65A6">
              <w:rPr>
                <w:color w:val="000000" w:themeColor="text1"/>
                <w:sz w:val="20"/>
              </w:rPr>
              <w:t>19 849</w:t>
            </w:r>
          </w:p>
        </w:tc>
        <w:tc>
          <w:tcPr>
            <w:tcW w:w="779" w:type="dxa"/>
            <w:tcBorders>
              <w:top w:val="nil"/>
              <w:bottom w:val="nil"/>
            </w:tcBorders>
          </w:tcPr>
          <w:p w14:paraId="5A4BACFC" w14:textId="77777777" w:rsidR="006B4C71" w:rsidRPr="002F28E0" w:rsidRDefault="006B4C71" w:rsidP="006B4C71">
            <w:pPr>
              <w:jc w:val="right"/>
              <w:rPr>
                <w:sz w:val="20"/>
              </w:rPr>
            </w:pPr>
            <w:r w:rsidRPr="002F28E0">
              <w:rPr>
                <w:sz w:val="20"/>
              </w:rPr>
              <w:t>102,96</w:t>
            </w:r>
          </w:p>
          <w:p w14:paraId="24382F0B" w14:textId="77777777" w:rsidR="006B4C71" w:rsidRPr="004B11AC" w:rsidRDefault="006B4C71" w:rsidP="006B4C71">
            <w:pPr>
              <w:jc w:val="right"/>
              <w:rPr>
                <w:color w:val="FF0000"/>
                <w:sz w:val="20"/>
              </w:rPr>
            </w:pPr>
            <w:r w:rsidRPr="002F28E0">
              <w:rPr>
                <w:sz w:val="20"/>
              </w:rPr>
              <w:t>124,74</w:t>
            </w:r>
          </w:p>
        </w:tc>
        <w:tc>
          <w:tcPr>
            <w:tcW w:w="800" w:type="dxa"/>
            <w:tcBorders>
              <w:top w:val="nil"/>
              <w:bottom w:val="nil"/>
            </w:tcBorders>
          </w:tcPr>
          <w:p w14:paraId="1A7182BA" w14:textId="77777777" w:rsidR="006B4C71" w:rsidRPr="00C22195" w:rsidRDefault="006B4C71" w:rsidP="006B4C71">
            <w:pPr>
              <w:jc w:val="right"/>
              <w:rPr>
                <w:color w:val="000000" w:themeColor="text1"/>
                <w:sz w:val="20"/>
              </w:rPr>
            </w:pPr>
            <w:r w:rsidRPr="00C22195">
              <w:rPr>
                <w:color w:val="000000" w:themeColor="text1"/>
                <w:sz w:val="20"/>
              </w:rPr>
              <w:t>105,57</w:t>
            </w:r>
          </w:p>
          <w:p w14:paraId="0FB0E939" w14:textId="77777777" w:rsidR="006B4C71" w:rsidRPr="004B11AC" w:rsidRDefault="006B4C71" w:rsidP="006B4C71">
            <w:pPr>
              <w:jc w:val="right"/>
              <w:rPr>
                <w:color w:val="FF0000"/>
                <w:sz w:val="20"/>
              </w:rPr>
            </w:pPr>
            <w:r w:rsidRPr="00C22195">
              <w:rPr>
                <w:color w:val="000000" w:themeColor="text1"/>
                <w:sz w:val="20"/>
              </w:rPr>
              <w:t>97,39</w:t>
            </w:r>
          </w:p>
        </w:tc>
      </w:tr>
      <w:tr w:rsidR="006B4C71" w:rsidRPr="004B11AC" w14:paraId="1BCACDE7" w14:textId="77777777" w:rsidTr="006B4C71">
        <w:trPr>
          <w:gridAfter w:val="1"/>
          <w:wAfter w:w="9" w:type="dxa"/>
        </w:trPr>
        <w:tc>
          <w:tcPr>
            <w:tcW w:w="3546" w:type="dxa"/>
            <w:tcBorders>
              <w:top w:val="nil"/>
              <w:bottom w:val="nil"/>
            </w:tcBorders>
          </w:tcPr>
          <w:p w14:paraId="5E66EE2F" w14:textId="77777777" w:rsidR="006B4C71" w:rsidRPr="005F7128" w:rsidRDefault="006B4C71" w:rsidP="006B4C71">
            <w:pPr>
              <w:jc w:val="both"/>
              <w:rPr>
                <w:color w:val="000000" w:themeColor="text1"/>
                <w:sz w:val="20"/>
              </w:rPr>
            </w:pPr>
            <w:r w:rsidRPr="005F7128">
              <w:rPr>
                <w:color w:val="000000" w:themeColor="text1"/>
                <w:sz w:val="20"/>
              </w:rPr>
              <w:t>převod FKSP</w:t>
            </w:r>
          </w:p>
          <w:p w14:paraId="2DCC6913" w14:textId="77777777" w:rsidR="006B4C71" w:rsidRPr="005F7128" w:rsidRDefault="006B4C71" w:rsidP="006B4C71">
            <w:pPr>
              <w:jc w:val="both"/>
              <w:rPr>
                <w:color w:val="000000" w:themeColor="text1"/>
                <w:sz w:val="20"/>
              </w:rPr>
            </w:pPr>
            <w:r w:rsidRPr="005F7128">
              <w:rPr>
                <w:color w:val="000000" w:themeColor="text1"/>
                <w:sz w:val="20"/>
              </w:rPr>
              <w:t xml:space="preserve">         z toho: prostředky EU</w:t>
            </w:r>
          </w:p>
        </w:tc>
        <w:tc>
          <w:tcPr>
            <w:tcW w:w="1274" w:type="dxa"/>
            <w:tcBorders>
              <w:top w:val="nil"/>
              <w:bottom w:val="nil"/>
            </w:tcBorders>
          </w:tcPr>
          <w:p w14:paraId="15E7DC3D" w14:textId="77777777" w:rsidR="006B4C71" w:rsidRPr="005F7128" w:rsidRDefault="006B4C71" w:rsidP="006B4C71">
            <w:pPr>
              <w:jc w:val="right"/>
              <w:rPr>
                <w:color w:val="000000" w:themeColor="text1"/>
                <w:sz w:val="20"/>
              </w:rPr>
            </w:pPr>
            <w:r w:rsidRPr="005F7128">
              <w:rPr>
                <w:color w:val="000000" w:themeColor="text1"/>
                <w:sz w:val="20"/>
              </w:rPr>
              <w:t>10 206</w:t>
            </w:r>
          </w:p>
          <w:p w14:paraId="7AF8DDEF" w14:textId="77777777" w:rsidR="006B4C71" w:rsidRPr="005F7128" w:rsidRDefault="006B4C71" w:rsidP="006B4C71">
            <w:pPr>
              <w:jc w:val="right"/>
              <w:rPr>
                <w:color w:val="000000" w:themeColor="text1"/>
                <w:sz w:val="20"/>
              </w:rPr>
            </w:pPr>
            <w:r w:rsidRPr="005F7128">
              <w:rPr>
                <w:color w:val="000000" w:themeColor="text1"/>
                <w:sz w:val="20"/>
              </w:rPr>
              <w:t>1 138</w:t>
            </w:r>
          </w:p>
        </w:tc>
        <w:tc>
          <w:tcPr>
            <w:tcW w:w="1134" w:type="dxa"/>
            <w:tcBorders>
              <w:top w:val="nil"/>
              <w:bottom w:val="nil"/>
            </w:tcBorders>
          </w:tcPr>
          <w:p w14:paraId="3867087E" w14:textId="77777777" w:rsidR="006B4C71" w:rsidRPr="00634425" w:rsidRDefault="006B4C71" w:rsidP="006B4C71">
            <w:pPr>
              <w:jc w:val="right"/>
              <w:rPr>
                <w:color w:val="000000" w:themeColor="text1"/>
                <w:sz w:val="20"/>
              </w:rPr>
            </w:pPr>
            <w:r w:rsidRPr="00634425">
              <w:rPr>
                <w:color w:val="000000" w:themeColor="text1"/>
                <w:sz w:val="20"/>
              </w:rPr>
              <w:t>10 293</w:t>
            </w:r>
          </w:p>
          <w:p w14:paraId="63BDAE8D" w14:textId="77777777" w:rsidR="006B4C71" w:rsidRPr="00634425" w:rsidRDefault="006B4C71" w:rsidP="006B4C71">
            <w:pPr>
              <w:jc w:val="right"/>
              <w:rPr>
                <w:color w:val="000000" w:themeColor="text1"/>
                <w:sz w:val="20"/>
              </w:rPr>
            </w:pPr>
            <w:r w:rsidRPr="00634425">
              <w:rPr>
                <w:color w:val="000000" w:themeColor="text1"/>
                <w:sz w:val="20"/>
              </w:rPr>
              <w:t>810</w:t>
            </w:r>
          </w:p>
        </w:tc>
        <w:tc>
          <w:tcPr>
            <w:tcW w:w="1134" w:type="dxa"/>
            <w:tcBorders>
              <w:top w:val="nil"/>
              <w:bottom w:val="nil"/>
            </w:tcBorders>
          </w:tcPr>
          <w:p w14:paraId="7EDE3CD2" w14:textId="77777777" w:rsidR="006B4C71" w:rsidRPr="00634425" w:rsidRDefault="006B4C71" w:rsidP="006B4C71">
            <w:pPr>
              <w:jc w:val="right"/>
              <w:rPr>
                <w:color w:val="000000" w:themeColor="text1"/>
                <w:sz w:val="20"/>
              </w:rPr>
            </w:pPr>
            <w:r w:rsidRPr="00634425">
              <w:rPr>
                <w:color w:val="000000" w:themeColor="text1"/>
                <w:sz w:val="20"/>
              </w:rPr>
              <w:t>10 293</w:t>
            </w:r>
          </w:p>
          <w:p w14:paraId="2ED0502E" w14:textId="77777777" w:rsidR="006B4C71" w:rsidRPr="00634425" w:rsidRDefault="006B4C71" w:rsidP="006B4C71">
            <w:pPr>
              <w:jc w:val="right"/>
              <w:rPr>
                <w:color w:val="000000" w:themeColor="text1"/>
                <w:sz w:val="20"/>
              </w:rPr>
            </w:pPr>
            <w:r w:rsidRPr="00634425">
              <w:rPr>
                <w:color w:val="000000" w:themeColor="text1"/>
                <w:sz w:val="20"/>
              </w:rPr>
              <w:t>810</w:t>
            </w:r>
          </w:p>
        </w:tc>
        <w:tc>
          <w:tcPr>
            <w:tcW w:w="1134" w:type="dxa"/>
            <w:tcBorders>
              <w:top w:val="nil"/>
              <w:bottom w:val="nil"/>
            </w:tcBorders>
          </w:tcPr>
          <w:p w14:paraId="08A0D359" w14:textId="77777777" w:rsidR="006B4C71" w:rsidRPr="00634425" w:rsidRDefault="006B4C71" w:rsidP="006B4C71">
            <w:pPr>
              <w:jc w:val="right"/>
              <w:rPr>
                <w:color w:val="000000" w:themeColor="text1"/>
                <w:sz w:val="20"/>
              </w:rPr>
            </w:pPr>
            <w:r w:rsidRPr="00634425">
              <w:rPr>
                <w:color w:val="000000" w:themeColor="text1"/>
                <w:sz w:val="20"/>
              </w:rPr>
              <w:t>10 772</w:t>
            </w:r>
          </w:p>
          <w:p w14:paraId="1CD8C09F" w14:textId="77777777" w:rsidR="006B4C71" w:rsidRPr="004B11AC" w:rsidRDefault="006B4C71" w:rsidP="006B4C71">
            <w:pPr>
              <w:jc w:val="right"/>
              <w:rPr>
                <w:color w:val="FF0000"/>
                <w:sz w:val="20"/>
              </w:rPr>
            </w:pPr>
            <w:r w:rsidRPr="00634425">
              <w:rPr>
                <w:color w:val="000000" w:themeColor="text1"/>
                <w:sz w:val="20"/>
              </w:rPr>
              <w:t>1 097</w:t>
            </w:r>
          </w:p>
        </w:tc>
        <w:tc>
          <w:tcPr>
            <w:tcW w:w="779" w:type="dxa"/>
            <w:tcBorders>
              <w:top w:val="nil"/>
              <w:bottom w:val="nil"/>
            </w:tcBorders>
          </w:tcPr>
          <w:p w14:paraId="42624B95" w14:textId="77777777" w:rsidR="006B4C71" w:rsidRPr="002F28E0" w:rsidRDefault="006B4C71" w:rsidP="006B4C71">
            <w:pPr>
              <w:jc w:val="right"/>
              <w:rPr>
                <w:sz w:val="20"/>
              </w:rPr>
            </w:pPr>
            <w:r w:rsidRPr="002F28E0">
              <w:rPr>
                <w:sz w:val="20"/>
              </w:rPr>
              <w:t>104,65</w:t>
            </w:r>
          </w:p>
          <w:p w14:paraId="4FFA7955" w14:textId="77777777" w:rsidR="006B4C71" w:rsidRPr="004B11AC" w:rsidRDefault="006B4C71" w:rsidP="006B4C71">
            <w:pPr>
              <w:jc w:val="right"/>
              <w:rPr>
                <w:color w:val="FF0000"/>
                <w:sz w:val="20"/>
              </w:rPr>
            </w:pPr>
            <w:r w:rsidRPr="002F28E0">
              <w:rPr>
                <w:sz w:val="20"/>
              </w:rPr>
              <w:t>135,43</w:t>
            </w:r>
          </w:p>
        </w:tc>
        <w:tc>
          <w:tcPr>
            <w:tcW w:w="800" w:type="dxa"/>
            <w:tcBorders>
              <w:top w:val="nil"/>
              <w:bottom w:val="nil"/>
            </w:tcBorders>
          </w:tcPr>
          <w:p w14:paraId="570D826D" w14:textId="77777777" w:rsidR="006B4C71" w:rsidRPr="00C22195" w:rsidRDefault="006B4C71" w:rsidP="006B4C71">
            <w:pPr>
              <w:jc w:val="right"/>
              <w:rPr>
                <w:color w:val="000000" w:themeColor="text1"/>
                <w:sz w:val="20"/>
              </w:rPr>
            </w:pPr>
            <w:r w:rsidRPr="00C22195">
              <w:rPr>
                <w:color w:val="000000" w:themeColor="text1"/>
                <w:sz w:val="20"/>
              </w:rPr>
              <w:t>105,55</w:t>
            </w:r>
          </w:p>
          <w:p w14:paraId="3C51738D" w14:textId="77777777" w:rsidR="006B4C71" w:rsidRPr="00C22195" w:rsidRDefault="006B4C71" w:rsidP="006B4C71">
            <w:pPr>
              <w:jc w:val="right"/>
              <w:rPr>
                <w:color w:val="000000" w:themeColor="text1"/>
                <w:sz w:val="20"/>
              </w:rPr>
            </w:pPr>
            <w:r w:rsidRPr="00C22195">
              <w:rPr>
                <w:color w:val="000000" w:themeColor="text1"/>
                <w:sz w:val="20"/>
              </w:rPr>
              <w:t>96,40</w:t>
            </w:r>
          </w:p>
        </w:tc>
      </w:tr>
      <w:tr w:rsidR="006B4C71" w:rsidRPr="004B11AC" w14:paraId="67F2610E" w14:textId="77777777" w:rsidTr="006B4C71">
        <w:trPr>
          <w:gridAfter w:val="1"/>
          <w:wAfter w:w="9" w:type="dxa"/>
        </w:trPr>
        <w:tc>
          <w:tcPr>
            <w:tcW w:w="3546" w:type="dxa"/>
            <w:tcBorders>
              <w:top w:val="nil"/>
              <w:bottom w:val="nil"/>
            </w:tcBorders>
          </w:tcPr>
          <w:p w14:paraId="4E49DD0D" w14:textId="77777777" w:rsidR="006B4C71" w:rsidRPr="005F7128" w:rsidRDefault="006B4C71" w:rsidP="006B4C71">
            <w:pPr>
              <w:jc w:val="both"/>
              <w:rPr>
                <w:color w:val="000000" w:themeColor="text1"/>
                <w:sz w:val="20"/>
              </w:rPr>
            </w:pPr>
            <w:r w:rsidRPr="005F7128">
              <w:rPr>
                <w:color w:val="000000" w:themeColor="text1"/>
                <w:sz w:val="20"/>
              </w:rPr>
              <w:t>ostatní neinvestiční výdaje</w:t>
            </w:r>
          </w:p>
        </w:tc>
        <w:tc>
          <w:tcPr>
            <w:tcW w:w="1274" w:type="dxa"/>
            <w:tcBorders>
              <w:top w:val="nil"/>
              <w:bottom w:val="nil"/>
            </w:tcBorders>
          </w:tcPr>
          <w:p w14:paraId="02B2162A" w14:textId="77777777" w:rsidR="006B4C71" w:rsidRPr="005F7128" w:rsidRDefault="006B4C71" w:rsidP="006B4C71">
            <w:pPr>
              <w:jc w:val="right"/>
              <w:rPr>
                <w:color w:val="000000" w:themeColor="text1"/>
                <w:sz w:val="20"/>
              </w:rPr>
            </w:pPr>
            <w:r w:rsidRPr="005F7128">
              <w:rPr>
                <w:color w:val="000000" w:themeColor="text1"/>
                <w:sz w:val="20"/>
              </w:rPr>
              <w:t xml:space="preserve">2 213 889 </w:t>
            </w:r>
          </w:p>
        </w:tc>
        <w:tc>
          <w:tcPr>
            <w:tcW w:w="1134" w:type="dxa"/>
            <w:tcBorders>
              <w:top w:val="nil"/>
              <w:bottom w:val="nil"/>
            </w:tcBorders>
          </w:tcPr>
          <w:p w14:paraId="050905F4" w14:textId="77777777" w:rsidR="006B4C71" w:rsidRPr="009112E1" w:rsidRDefault="006B4C71" w:rsidP="006B4C71">
            <w:pPr>
              <w:jc w:val="right"/>
              <w:rPr>
                <w:color w:val="000000" w:themeColor="text1"/>
                <w:sz w:val="20"/>
              </w:rPr>
            </w:pPr>
            <w:r w:rsidRPr="009112E1">
              <w:rPr>
                <w:color w:val="000000" w:themeColor="text1"/>
                <w:sz w:val="20"/>
              </w:rPr>
              <w:t>6 886 101</w:t>
            </w:r>
          </w:p>
        </w:tc>
        <w:tc>
          <w:tcPr>
            <w:tcW w:w="1134" w:type="dxa"/>
            <w:tcBorders>
              <w:top w:val="nil"/>
              <w:bottom w:val="nil"/>
            </w:tcBorders>
          </w:tcPr>
          <w:p w14:paraId="46361A10" w14:textId="77777777" w:rsidR="006B4C71" w:rsidRPr="009112E1" w:rsidRDefault="006B4C71" w:rsidP="006B4C71">
            <w:pPr>
              <w:jc w:val="right"/>
              <w:rPr>
                <w:color w:val="000000" w:themeColor="text1"/>
                <w:sz w:val="20"/>
              </w:rPr>
            </w:pPr>
            <w:r w:rsidRPr="009112E1">
              <w:rPr>
                <w:color w:val="000000" w:themeColor="text1"/>
                <w:sz w:val="20"/>
              </w:rPr>
              <w:t xml:space="preserve">7 282 879 </w:t>
            </w:r>
          </w:p>
        </w:tc>
        <w:tc>
          <w:tcPr>
            <w:tcW w:w="1134" w:type="dxa"/>
            <w:tcBorders>
              <w:top w:val="nil"/>
              <w:bottom w:val="nil"/>
            </w:tcBorders>
          </w:tcPr>
          <w:p w14:paraId="2492C008" w14:textId="77777777" w:rsidR="006B4C71" w:rsidRPr="009112E1" w:rsidRDefault="006B4C71" w:rsidP="006B4C71">
            <w:pPr>
              <w:jc w:val="right"/>
              <w:rPr>
                <w:color w:val="000000" w:themeColor="text1"/>
                <w:sz w:val="20"/>
              </w:rPr>
            </w:pPr>
            <w:r w:rsidRPr="009112E1">
              <w:rPr>
                <w:color w:val="000000" w:themeColor="text1"/>
                <w:sz w:val="20"/>
              </w:rPr>
              <w:t xml:space="preserve">6 485 958 </w:t>
            </w:r>
          </w:p>
        </w:tc>
        <w:tc>
          <w:tcPr>
            <w:tcW w:w="779" w:type="dxa"/>
            <w:tcBorders>
              <w:top w:val="nil"/>
              <w:bottom w:val="nil"/>
            </w:tcBorders>
          </w:tcPr>
          <w:p w14:paraId="2CDDB080" w14:textId="77777777" w:rsidR="006B4C71" w:rsidRPr="004B11AC" w:rsidRDefault="006B4C71" w:rsidP="006B4C71">
            <w:pPr>
              <w:jc w:val="right"/>
              <w:rPr>
                <w:color w:val="FF0000"/>
                <w:sz w:val="20"/>
              </w:rPr>
            </w:pPr>
            <w:r w:rsidRPr="00A90800">
              <w:rPr>
                <w:sz w:val="20"/>
              </w:rPr>
              <w:t>89,06</w:t>
            </w:r>
          </w:p>
        </w:tc>
        <w:tc>
          <w:tcPr>
            <w:tcW w:w="800" w:type="dxa"/>
            <w:tcBorders>
              <w:top w:val="nil"/>
              <w:bottom w:val="nil"/>
            </w:tcBorders>
          </w:tcPr>
          <w:p w14:paraId="4FC8DDD0" w14:textId="77777777" w:rsidR="006B4C71" w:rsidRPr="00C22195" w:rsidRDefault="006B4C71" w:rsidP="006B4C71">
            <w:pPr>
              <w:jc w:val="right"/>
              <w:rPr>
                <w:color w:val="000000" w:themeColor="text1"/>
                <w:sz w:val="20"/>
              </w:rPr>
            </w:pPr>
            <w:r w:rsidRPr="00C22195">
              <w:rPr>
                <w:color w:val="000000" w:themeColor="text1"/>
                <w:sz w:val="20"/>
              </w:rPr>
              <w:t>292,97</w:t>
            </w:r>
          </w:p>
        </w:tc>
      </w:tr>
      <w:tr w:rsidR="006B4C71" w:rsidRPr="004B11AC" w14:paraId="2CBF7EDD" w14:textId="77777777" w:rsidTr="006B4C71">
        <w:trPr>
          <w:gridAfter w:val="1"/>
          <w:wAfter w:w="9" w:type="dxa"/>
        </w:trPr>
        <w:tc>
          <w:tcPr>
            <w:tcW w:w="3546" w:type="dxa"/>
            <w:tcBorders>
              <w:top w:val="nil"/>
              <w:bottom w:val="nil"/>
            </w:tcBorders>
          </w:tcPr>
          <w:p w14:paraId="588256E3" w14:textId="77777777" w:rsidR="006B4C71" w:rsidRPr="005F7128" w:rsidRDefault="00E2031D" w:rsidP="006B4C71">
            <w:pPr>
              <w:jc w:val="both"/>
              <w:rPr>
                <w:color w:val="000000" w:themeColor="text1"/>
                <w:sz w:val="20"/>
              </w:rPr>
            </w:pPr>
            <w:r>
              <w:rPr>
                <w:color w:val="000000" w:themeColor="text1"/>
                <w:sz w:val="20"/>
              </w:rPr>
              <w:t xml:space="preserve">         z toho</w:t>
            </w:r>
            <w:r w:rsidR="006B4C71" w:rsidRPr="005F7128">
              <w:rPr>
                <w:color w:val="000000" w:themeColor="text1"/>
                <w:sz w:val="20"/>
              </w:rPr>
              <w:t>: program. fin. (EDS/SMVS)</w:t>
            </w:r>
          </w:p>
        </w:tc>
        <w:tc>
          <w:tcPr>
            <w:tcW w:w="1274" w:type="dxa"/>
            <w:tcBorders>
              <w:top w:val="nil"/>
              <w:bottom w:val="nil"/>
            </w:tcBorders>
          </w:tcPr>
          <w:p w14:paraId="1B4C2586" w14:textId="77777777" w:rsidR="006B4C71" w:rsidRPr="005F7128" w:rsidRDefault="006B4C71" w:rsidP="006B4C71">
            <w:pPr>
              <w:jc w:val="right"/>
              <w:rPr>
                <w:color w:val="000000" w:themeColor="text1"/>
                <w:sz w:val="20"/>
              </w:rPr>
            </w:pPr>
            <w:r w:rsidRPr="005F7128">
              <w:rPr>
                <w:color w:val="000000" w:themeColor="text1"/>
                <w:sz w:val="20"/>
              </w:rPr>
              <w:t>110 267</w:t>
            </w:r>
          </w:p>
        </w:tc>
        <w:tc>
          <w:tcPr>
            <w:tcW w:w="1134" w:type="dxa"/>
            <w:tcBorders>
              <w:top w:val="nil"/>
              <w:bottom w:val="nil"/>
            </w:tcBorders>
          </w:tcPr>
          <w:p w14:paraId="53483E1A" w14:textId="77777777" w:rsidR="006B4C71" w:rsidRPr="004B11AC" w:rsidRDefault="006B4C71" w:rsidP="006B4C71">
            <w:pPr>
              <w:jc w:val="right"/>
              <w:rPr>
                <w:color w:val="FF0000"/>
                <w:sz w:val="20"/>
              </w:rPr>
            </w:pPr>
            <w:r w:rsidRPr="009112E1">
              <w:rPr>
                <w:color w:val="000000" w:themeColor="text1"/>
                <w:sz w:val="20"/>
              </w:rPr>
              <w:t>74 026</w:t>
            </w:r>
          </w:p>
        </w:tc>
        <w:tc>
          <w:tcPr>
            <w:tcW w:w="1134" w:type="dxa"/>
            <w:tcBorders>
              <w:top w:val="nil"/>
              <w:bottom w:val="nil"/>
            </w:tcBorders>
          </w:tcPr>
          <w:p w14:paraId="15833CAC" w14:textId="77777777" w:rsidR="006B4C71" w:rsidRPr="004B11AC" w:rsidRDefault="006B4C71" w:rsidP="006B4C71">
            <w:pPr>
              <w:jc w:val="right"/>
              <w:rPr>
                <w:color w:val="FF0000"/>
                <w:sz w:val="20"/>
              </w:rPr>
            </w:pPr>
            <w:r w:rsidRPr="009112E1">
              <w:rPr>
                <w:color w:val="000000" w:themeColor="text1"/>
                <w:sz w:val="20"/>
              </w:rPr>
              <w:t xml:space="preserve">      78 934</w:t>
            </w:r>
          </w:p>
        </w:tc>
        <w:tc>
          <w:tcPr>
            <w:tcW w:w="1134" w:type="dxa"/>
            <w:tcBorders>
              <w:top w:val="nil"/>
              <w:bottom w:val="nil"/>
            </w:tcBorders>
          </w:tcPr>
          <w:p w14:paraId="66BB4210" w14:textId="77777777" w:rsidR="006B4C71" w:rsidRPr="004B11AC" w:rsidRDefault="006B4C71" w:rsidP="006B4C71">
            <w:pPr>
              <w:jc w:val="right"/>
              <w:rPr>
                <w:color w:val="FF0000"/>
                <w:sz w:val="20"/>
              </w:rPr>
            </w:pPr>
            <w:r w:rsidRPr="009112E1">
              <w:rPr>
                <w:color w:val="000000" w:themeColor="text1"/>
                <w:sz w:val="20"/>
              </w:rPr>
              <w:t>71 015</w:t>
            </w:r>
          </w:p>
        </w:tc>
        <w:tc>
          <w:tcPr>
            <w:tcW w:w="779" w:type="dxa"/>
            <w:tcBorders>
              <w:top w:val="nil"/>
              <w:bottom w:val="nil"/>
            </w:tcBorders>
          </w:tcPr>
          <w:p w14:paraId="38E246C4" w14:textId="77777777" w:rsidR="006B4C71" w:rsidRPr="00A90800" w:rsidRDefault="006B4C71" w:rsidP="006B4C71">
            <w:pPr>
              <w:jc w:val="right"/>
              <w:rPr>
                <w:sz w:val="20"/>
                <w:szCs w:val="20"/>
              </w:rPr>
            </w:pPr>
            <w:r w:rsidRPr="00A90800">
              <w:rPr>
                <w:sz w:val="20"/>
              </w:rPr>
              <w:t>89,97</w:t>
            </w:r>
          </w:p>
        </w:tc>
        <w:tc>
          <w:tcPr>
            <w:tcW w:w="800" w:type="dxa"/>
            <w:tcBorders>
              <w:top w:val="nil"/>
              <w:bottom w:val="nil"/>
            </w:tcBorders>
          </w:tcPr>
          <w:p w14:paraId="5BC196B5" w14:textId="77777777" w:rsidR="006B4C71" w:rsidRPr="004B11AC" w:rsidRDefault="006B4C71" w:rsidP="006B4C71">
            <w:pPr>
              <w:jc w:val="right"/>
              <w:rPr>
                <w:color w:val="FF0000"/>
                <w:sz w:val="20"/>
              </w:rPr>
            </w:pPr>
            <w:r w:rsidRPr="00C22195">
              <w:rPr>
                <w:color w:val="000000" w:themeColor="text1"/>
                <w:sz w:val="20"/>
              </w:rPr>
              <w:t>64,40</w:t>
            </w:r>
          </w:p>
        </w:tc>
      </w:tr>
      <w:tr w:rsidR="006B4C71" w:rsidRPr="004B11AC" w14:paraId="7A3BDF5A" w14:textId="77777777" w:rsidTr="006B4C71">
        <w:trPr>
          <w:gridAfter w:val="1"/>
          <w:wAfter w:w="9" w:type="dxa"/>
        </w:trPr>
        <w:tc>
          <w:tcPr>
            <w:tcW w:w="3546" w:type="dxa"/>
            <w:tcBorders>
              <w:top w:val="nil"/>
            </w:tcBorders>
          </w:tcPr>
          <w:p w14:paraId="4972A759" w14:textId="77777777" w:rsidR="006B4C71" w:rsidRPr="005F7128" w:rsidRDefault="006B4C71" w:rsidP="006B4C71">
            <w:pPr>
              <w:jc w:val="both"/>
              <w:rPr>
                <w:color w:val="000000" w:themeColor="text1"/>
                <w:sz w:val="20"/>
                <w:szCs w:val="20"/>
              </w:rPr>
            </w:pPr>
            <w:r w:rsidRPr="005F7128">
              <w:rPr>
                <w:color w:val="000000" w:themeColor="text1"/>
                <w:sz w:val="20"/>
                <w:szCs w:val="20"/>
              </w:rPr>
              <w:t xml:space="preserve">                      výzkum, vývoj a inovace</w:t>
            </w:r>
          </w:p>
          <w:p w14:paraId="4E8ACA9D" w14:textId="77777777" w:rsidR="006B4C71" w:rsidRPr="005F7128" w:rsidRDefault="006B4C71" w:rsidP="006B4C71">
            <w:pPr>
              <w:jc w:val="both"/>
              <w:rPr>
                <w:color w:val="000000" w:themeColor="text1"/>
                <w:sz w:val="20"/>
                <w:szCs w:val="20"/>
              </w:rPr>
            </w:pPr>
            <w:r w:rsidRPr="005F7128">
              <w:rPr>
                <w:color w:val="000000" w:themeColor="text1"/>
                <w:sz w:val="20"/>
                <w:szCs w:val="20"/>
              </w:rPr>
              <w:t xml:space="preserve">                      prostředky EU</w:t>
            </w:r>
          </w:p>
        </w:tc>
        <w:tc>
          <w:tcPr>
            <w:tcW w:w="1274" w:type="dxa"/>
            <w:tcBorders>
              <w:top w:val="nil"/>
            </w:tcBorders>
          </w:tcPr>
          <w:p w14:paraId="3D8BB53D" w14:textId="77777777" w:rsidR="006B4C71" w:rsidRPr="005F7128" w:rsidRDefault="006B4C71" w:rsidP="006B4C71">
            <w:pPr>
              <w:jc w:val="right"/>
              <w:rPr>
                <w:color w:val="000000" w:themeColor="text1"/>
                <w:sz w:val="20"/>
              </w:rPr>
            </w:pPr>
            <w:r w:rsidRPr="005F7128">
              <w:rPr>
                <w:color w:val="000000" w:themeColor="text1"/>
                <w:sz w:val="20"/>
              </w:rPr>
              <w:t>26</w:t>
            </w:r>
          </w:p>
          <w:p w14:paraId="33B4B496" w14:textId="77777777" w:rsidR="006B4C71" w:rsidRPr="005F7128" w:rsidRDefault="006B4C71" w:rsidP="006B4C71">
            <w:pPr>
              <w:jc w:val="right"/>
              <w:rPr>
                <w:color w:val="000000" w:themeColor="text1"/>
                <w:sz w:val="20"/>
              </w:rPr>
            </w:pPr>
            <w:r w:rsidRPr="005F7128">
              <w:rPr>
                <w:color w:val="000000" w:themeColor="text1"/>
                <w:sz w:val="20"/>
              </w:rPr>
              <w:t>7 852</w:t>
            </w:r>
          </w:p>
        </w:tc>
        <w:tc>
          <w:tcPr>
            <w:tcW w:w="1134" w:type="dxa"/>
            <w:tcBorders>
              <w:top w:val="nil"/>
            </w:tcBorders>
          </w:tcPr>
          <w:p w14:paraId="3680A6A6" w14:textId="77777777" w:rsidR="006B4C71" w:rsidRPr="008103CB" w:rsidRDefault="006B4C71" w:rsidP="006B4C71">
            <w:pPr>
              <w:jc w:val="right"/>
              <w:rPr>
                <w:color w:val="000000" w:themeColor="text1"/>
                <w:sz w:val="20"/>
              </w:rPr>
            </w:pPr>
            <w:r w:rsidRPr="008103CB">
              <w:rPr>
                <w:color w:val="000000" w:themeColor="text1"/>
                <w:sz w:val="20"/>
              </w:rPr>
              <w:t>0</w:t>
            </w:r>
          </w:p>
          <w:p w14:paraId="00860513" w14:textId="77777777" w:rsidR="006B4C71" w:rsidRPr="004B11AC" w:rsidRDefault="006B4C71" w:rsidP="006B4C71">
            <w:pPr>
              <w:jc w:val="right"/>
              <w:rPr>
                <w:color w:val="FF0000"/>
                <w:sz w:val="20"/>
              </w:rPr>
            </w:pPr>
            <w:r w:rsidRPr="009112E1">
              <w:rPr>
                <w:color w:val="000000" w:themeColor="text1"/>
                <w:sz w:val="20"/>
              </w:rPr>
              <w:t>6 096</w:t>
            </w:r>
          </w:p>
        </w:tc>
        <w:tc>
          <w:tcPr>
            <w:tcW w:w="1134" w:type="dxa"/>
            <w:tcBorders>
              <w:top w:val="nil"/>
            </w:tcBorders>
          </w:tcPr>
          <w:p w14:paraId="307D6A6B" w14:textId="77777777" w:rsidR="006B4C71" w:rsidRPr="008103CB" w:rsidRDefault="006B4C71" w:rsidP="006B4C71">
            <w:pPr>
              <w:jc w:val="right"/>
              <w:rPr>
                <w:color w:val="000000" w:themeColor="text1"/>
                <w:sz w:val="20"/>
              </w:rPr>
            </w:pPr>
            <w:r w:rsidRPr="008103CB">
              <w:rPr>
                <w:color w:val="000000" w:themeColor="text1"/>
                <w:sz w:val="20"/>
              </w:rPr>
              <w:t>0</w:t>
            </w:r>
          </w:p>
          <w:p w14:paraId="56684D68" w14:textId="77777777" w:rsidR="006B4C71" w:rsidRPr="004B11AC" w:rsidRDefault="006B4C71" w:rsidP="006B4C71">
            <w:pPr>
              <w:jc w:val="right"/>
              <w:rPr>
                <w:color w:val="FF0000"/>
                <w:sz w:val="20"/>
              </w:rPr>
            </w:pPr>
            <w:r w:rsidRPr="009112E1">
              <w:rPr>
                <w:color w:val="000000" w:themeColor="text1"/>
                <w:sz w:val="20"/>
              </w:rPr>
              <w:t>6 096</w:t>
            </w:r>
          </w:p>
        </w:tc>
        <w:tc>
          <w:tcPr>
            <w:tcW w:w="1134" w:type="dxa"/>
            <w:tcBorders>
              <w:top w:val="nil"/>
            </w:tcBorders>
          </w:tcPr>
          <w:p w14:paraId="7A6E7F82" w14:textId="77777777" w:rsidR="006B4C71" w:rsidRPr="008103CB" w:rsidRDefault="006B4C71" w:rsidP="006B4C71">
            <w:pPr>
              <w:jc w:val="right"/>
              <w:rPr>
                <w:color w:val="000000" w:themeColor="text1"/>
                <w:sz w:val="20"/>
              </w:rPr>
            </w:pPr>
            <w:r w:rsidRPr="008103CB">
              <w:rPr>
                <w:color w:val="000000" w:themeColor="text1"/>
                <w:sz w:val="20"/>
              </w:rPr>
              <w:t>13</w:t>
            </w:r>
          </w:p>
          <w:p w14:paraId="7C1E95F5" w14:textId="77777777" w:rsidR="006B4C71" w:rsidRPr="004B11AC" w:rsidRDefault="006B4C71" w:rsidP="006B4C71">
            <w:pPr>
              <w:jc w:val="right"/>
              <w:rPr>
                <w:color w:val="FF0000"/>
                <w:sz w:val="20"/>
              </w:rPr>
            </w:pPr>
            <w:r w:rsidRPr="009112E1">
              <w:rPr>
                <w:color w:val="000000" w:themeColor="text1"/>
                <w:sz w:val="20"/>
              </w:rPr>
              <w:t>10 911</w:t>
            </w:r>
          </w:p>
        </w:tc>
        <w:tc>
          <w:tcPr>
            <w:tcW w:w="779" w:type="dxa"/>
            <w:tcBorders>
              <w:top w:val="nil"/>
            </w:tcBorders>
          </w:tcPr>
          <w:p w14:paraId="3C6BE266" w14:textId="77777777" w:rsidR="006B4C71" w:rsidRPr="00A90800" w:rsidRDefault="006B4C71" w:rsidP="006B4C71">
            <w:pPr>
              <w:jc w:val="right"/>
              <w:rPr>
                <w:sz w:val="20"/>
              </w:rPr>
            </w:pPr>
            <w:r w:rsidRPr="00A90800">
              <w:rPr>
                <w:sz w:val="20"/>
              </w:rPr>
              <w:t>x</w:t>
            </w:r>
          </w:p>
          <w:p w14:paraId="11D9296A" w14:textId="77777777" w:rsidR="006B4C71" w:rsidRPr="00A90800" w:rsidRDefault="006B4C71" w:rsidP="006B4C71">
            <w:pPr>
              <w:jc w:val="right"/>
              <w:rPr>
                <w:sz w:val="20"/>
                <w:szCs w:val="20"/>
              </w:rPr>
            </w:pPr>
            <w:r w:rsidRPr="00A90800">
              <w:rPr>
                <w:sz w:val="20"/>
              </w:rPr>
              <w:t>178,99</w:t>
            </w:r>
          </w:p>
        </w:tc>
        <w:tc>
          <w:tcPr>
            <w:tcW w:w="800" w:type="dxa"/>
            <w:tcBorders>
              <w:top w:val="nil"/>
            </w:tcBorders>
          </w:tcPr>
          <w:p w14:paraId="5316907D" w14:textId="77777777" w:rsidR="006B4C71" w:rsidRPr="00C22195" w:rsidRDefault="006B4C71" w:rsidP="006B4C71">
            <w:pPr>
              <w:jc w:val="right"/>
              <w:rPr>
                <w:color w:val="000000" w:themeColor="text1"/>
                <w:sz w:val="20"/>
              </w:rPr>
            </w:pPr>
            <w:r w:rsidRPr="00C22195">
              <w:rPr>
                <w:color w:val="000000" w:themeColor="text1"/>
                <w:sz w:val="20"/>
              </w:rPr>
              <w:t>50,00</w:t>
            </w:r>
          </w:p>
          <w:p w14:paraId="23B1E21B" w14:textId="77777777" w:rsidR="006B4C71" w:rsidRPr="004B11AC" w:rsidRDefault="006B4C71" w:rsidP="006B4C71">
            <w:pPr>
              <w:jc w:val="right"/>
              <w:rPr>
                <w:color w:val="FF0000"/>
                <w:sz w:val="20"/>
              </w:rPr>
            </w:pPr>
            <w:r w:rsidRPr="00C22195">
              <w:rPr>
                <w:color w:val="000000" w:themeColor="text1"/>
                <w:sz w:val="20"/>
              </w:rPr>
              <w:t>138,96</w:t>
            </w:r>
          </w:p>
        </w:tc>
      </w:tr>
      <w:tr w:rsidR="006B4C71" w:rsidRPr="004B11AC" w14:paraId="1CE71EB4" w14:textId="77777777" w:rsidTr="006B4C71">
        <w:trPr>
          <w:gridAfter w:val="1"/>
          <w:wAfter w:w="9" w:type="dxa"/>
          <w:trHeight w:val="854"/>
        </w:trPr>
        <w:tc>
          <w:tcPr>
            <w:tcW w:w="3546" w:type="dxa"/>
          </w:tcPr>
          <w:p w14:paraId="65F46CB7" w14:textId="77777777" w:rsidR="006B4C71" w:rsidRPr="005F7128" w:rsidRDefault="006B4C71" w:rsidP="006B4C71">
            <w:pPr>
              <w:jc w:val="both"/>
              <w:rPr>
                <w:b/>
                <w:bCs/>
                <w:color w:val="000000" w:themeColor="text1"/>
                <w:sz w:val="20"/>
              </w:rPr>
            </w:pPr>
            <w:r w:rsidRPr="005F7128">
              <w:rPr>
                <w:b/>
                <w:bCs/>
                <w:color w:val="000000" w:themeColor="text1"/>
                <w:sz w:val="20"/>
              </w:rPr>
              <w:t>Neinvestiční transfery příspěvkovým a</w:t>
            </w:r>
          </w:p>
          <w:p w14:paraId="6CFB8D68" w14:textId="77777777" w:rsidR="006B4C71" w:rsidRPr="005F7128" w:rsidRDefault="006B4C71" w:rsidP="006B4C71">
            <w:pPr>
              <w:jc w:val="both"/>
              <w:rPr>
                <w:color w:val="000000" w:themeColor="text1"/>
                <w:sz w:val="20"/>
              </w:rPr>
            </w:pPr>
            <w:r w:rsidRPr="005F7128">
              <w:rPr>
                <w:b/>
                <w:bCs/>
                <w:color w:val="000000" w:themeColor="text1"/>
                <w:sz w:val="20"/>
              </w:rPr>
              <w:t>podob. org.</w:t>
            </w:r>
            <w:r w:rsidRPr="005F7128">
              <w:rPr>
                <w:color w:val="000000" w:themeColor="text1"/>
                <w:sz w:val="20"/>
              </w:rPr>
              <w:t xml:space="preserve"> (podsesk.  pol. 533)</w:t>
            </w:r>
          </w:p>
          <w:p w14:paraId="096CC253" w14:textId="77777777" w:rsidR="006B4C71" w:rsidRPr="005F7128" w:rsidRDefault="00E2031D" w:rsidP="006B4C71">
            <w:pPr>
              <w:jc w:val="both"/>
              <w:rPr>
                <w:color w:val="000000" w:themeColor="text1"/>
                <w:sz w:val="20"/>
              </w:rPr>
            </w:pPr>
            <w:r>
              <w:rPr>
                <w:color w:val="000000" w:themeColor="text1"/>
                <w:sz w:val="20"/>
              </w:rPr>
              <w:t xml:space="preserve">         z toho</w:t>
            </w:r>
            <w:r w:rsidR="006B4C71" w:rsidRPr="005F7128">
              <w:rPr>
                <w:color w:val="000000" w:themeColor="text1"/>
                <w:sz w:val="20"/>
              </w:rPr>
              <w:t>: program. fin. (EDS/SMVS)</w:t>
            </w:r>
          </w:p>
          <w:p w14:paraId="2C67A13A" w14:textId="77777777" w:rsidR="006B4C71" w:rsidRPr="005F7128" w:rsidRDefault="006B4C71" w:rsidP="006B4C71">
            <w:pPr>
              <w:jc w:val="both"/>
              <w:rPr>
                <w:color w:val="000000" w:themeColor="text1"/>
                <w:sz w:val="20"/>
              </w:rPr>
            </w:pPr>
            <w:r w:rsidRPr="005F7128">
              <w:rPr>
                <w:color w:val="000000" w:themeColor="text1"/>
                <w:sz w:val="20"/>
              </w:rPr>
              <w:t xml:space="preserve">                      výzkum, vývoj a inovace</w:t>
            </w:r>
          </w:p>
          <w:p w14:paraId="1EA0F4F4" w14:textId="77777777" w:rsidR="006B4C71" w:rsidRPr="005F7128" w:rsidRDefault="006B4C71" w:rsidP="006B4C71">
            <w:pPr>
              <w:jc w:val="both"/>
              <w:rPr>
                <w:color w:val="000000" w:themeColor="text1"/>
                <w:sz w:val="20"/>
              </w:rPr>
            </w:pPr>
            <w:r w:rsidRPr="005F7128">
              <w:rPr>
                <w:color w:val="000000" w:themeColor="text1"/>
                <w:sz w:val="20"/>
              </w:rPr>
              <w:t xml:space="preserve">                      prostředky EU</w:t>
            </w:r>
          </w:p>
        </w:tc>
        <w:tc>
          <w:tcPr>
            <w:tcW w:w="1274" w:type="dxa"/>
          </w:tcPr>
          <w:p w14:paraId="1FE2080A" w14:textId="77777777" w:rsidR="006B4C71" w:rsidRPr="005F7128" w:rsidRDefault="006B4C71" w:rsidP="006B4C71">
            <w:pPr>
              <w:jc w:val="right"/>
              <w:rPr>
                <w:color w:val="000000" w:themeColor="text1"/>
                <w:sz w:val="20"/>
              </w:rPr>
            </w:pPr>
          </w:p>
          <w:p w14:paraId="3D5B217A" w14:textId="77777777" w:rsidR="006B4C71" w:rsidRPr="005F7128" w:rsidRDefault="006B4C71" w:rsidP="006B4C71">
            <w:pPr>
              <w:jc w:val="right"/>
              <w:rPr>
                <w:b/>
                <w:color w:val="000000" w:themeColor="text1"/>
                <w:sz w:val="20"/>
              </w:rPr>
            </w:pPr>
            <w:r w:rsidRPr="005F7128">
              <w:rPr>
                <w:b/>
                <w:color w:val="000000" w:themeColor="text1"/>
                <w:sz w:val="20"/>
              </w:rPr>
              <w:t>995 028</w:t>
            </w:r>
          </w:p>
          <w:p w14:paraId="6C2027D9" w14:textId="77777777" w:rsidR="006B4C71" w:rsidRPr="005F7128" w:rsidRDefault="006B4C71" w:rsidP="006B4C71">
            <w:pPr>
              <w:jc w:val="right"/>
              <w:rPr>
                <w:color w:val="000000" w:themeColor="text1"/>
                <w:sz w:val="20"/>
              </w:rPr>
            </w:pPr>
            <w:r w:rsidRPr="005F7128">
              <w:rPr>
                <w:color w:val="000000" w:themeColor="text1"/>
                <w:sz w:val="20"/>
              </w:rPr>
              <w:t>0</w:t>
            </w:r>
          </w:p>
          <w:p w14:paraId="28A5AA91" w14:textId="77777777" w:rsidR="006B4C71" w:rsidRPr="005F7128" w:rsidRDefault="006B4C71" w:rsidP="006B4C71">
            <w:pPr>
              <w:jc w:val="right"/>
              <w:rPr>
                <w:color w:val="000000" w:themeColor="text1"/>
                <w:sz w:val="20"/>
              </w:rPr>
            </w:pPr>
            <w:r w:rsidRPr="005F7128">
              <w:rPr>
                <w:color w:val="000000" w:themeColor="text1"/>
                <w:sz w:val="20"/>
              </w:rPr>
              <w:t>42 451</w:t>
            </w:r>
          </w:p>
          <w:p w14:paraId="768D4487" w14:textId="77777777" w:rsidR="006B4C71" w:rsidRPr="005F7128" w:rsidRDefault="006B4C71" w:rsidP="006B4C71">
            <w:pPr>
              <w:jc w:val="right"/>
              <w:rPr>
                <w:color w:val="000000" w:themeColor="text1"/>
                <w:sz w:val="20"/>
              </w:rPr>
            </w:pPr>
            <w:r w:rsidRPr="005F7128">
              <w:rPr>
                <w:color w:val="000000" w:themeColor="text1"/>
                <w:sz w:val="20"/>
              </w:rPr>
              <w:t>3 805</w:t>
            </w:r>
          </w:p>
        </w:tc>
        <w:tc>
          <w:tcPr>
            <w:tcW w:w="1134" w:type="dxa"/>
          </w:tcPr>
          <w:p w14:paraId="248AF6AA" w14:textId="77777777" w:rsidR="006B4C71" w:rsidRPr="00AC033E" w:rsidRDefault="006B4C71" w:rsidP="006B4C71">
            <w:pPr>
              <w:jc w:val="right"/>
              <w:rPr>
                <w:color w:val="000000" w:themeColor="text1"/>
                <w:sz w:val="20"/>
              </w:rPr>
            </w:pPr>
          </w:p>
          <w:p w14:paraId="0225A8E9" w14:textId="77777777" w:rsidR="006B4C71" w:rsidRPr="00AC033E" w:rsidRDefault="006B4C71" w:rsidP="006B4C71">
            <w:pPr>
              <w:jc w:val="right"/>
              <w:rPr>
                <w:b/>
                <w:color w:val="000000" w:themeColor="text1"/>
                <w:sz w:val="20"/>
              </w:rPr>
            </w:pPr>
            <w:r w:rsidRPr="00AC033E">
              <w:rPr>
                <w:b/>
                <w:color w:val="000000" w:themeColor="text1"/>
                <w:sz w:val="20"/>
              </w:rPr>
              <w:t>737 387</w:t>
            </w:r>
          </w:p>
          <w:p w14:paraId="79CD9B41" w14:textId="77777777" w:rsidR="006B4C71" w:rsidRPr="00AC033E" w:rsidRDefault="006B4C71" w:rsidP="006B4C71">
            <w:pPr>
              <w:jc w:val="right"/>
              <w:rPr>
                <w:color w:val="000000" w:themeColor="text1"/>
                <w:sz w:val="20"/>
              </w:rPr>
            </w:pPr>
            <w:r w:rsidRPr="00AC033E">
              <w:rPr>
                <w:color w:val="000000" w:themeColor="text1"/>
                <w:sz w:val="20"/>
              </w:rPr>
              <w:t>0</w:t>
            </w:r>
          </w:p>
          <w:p w14:paraId="5FC9F7B0" w14:textId="77777777" w:rsidR="006B4C71" w:rsidRPr="00AC033E" w:rsidRDefault="006B4C71" w:rsidP="006B4C71">
            <w:pPr>
              <w:jc w:val="right"/>
              <w:rPr>
                <w:color w:val="000000" w:themeColor="text1"/>
                <w:sz w:val="20"/>
              </w:rPr>
            </w:pPr>
            <w:r w:rsidRPr="00AC033E">
              <w:rPr>
                <w:color w:val="000000" w:themeColor="text1"/>
                <w:sz w:val="20"/>
              </w:rPr>
              <w:t>42 750</w:t>
            </w:r>
          </w:p>
          <w:p w14:paraId="622FFB12" w14:textId="77777777" w:rsidR="006B4C71" w:rsidRPr="00AC033E" w:rsidRDefault="006B4C71" w:rsidP="006B4C71">
            <w:pPr>
              <w:jc w:val="right"/>
              <w:rPr>
                <w:color w:val="000000" w:themeColor="text1"/>
                <w:sz w:val="20"/>
              </w:rPr>
            </w:pPr>
            <w:r w:rsidRPr="00AC033E">
              <w:rPr>
                <w:color w:val="000000" w:themeColor="text1"/>
                <w:sz w:val="20"/>
              </w:rPr>
              <w:t>0</w:t>
            </w:r>
          </w:p>
        </w:tc>
        <w:tc>
          <w:tcPr>
            <w:tcW w:w="1134" w:type="dxa"/>
          </w:tcPr>
          <w:p w14:paraId="65BFBD19" w14:textId="77777777" w:rsidR="006B4C71" w:rsidRPr="00AC033E" w:rsidRDefault="006B4C71" w:rsidP="006B4C71">
            <w:pPr>
              <w:jc w:val="right"/>
              <w:rPr>
                <w:color w:val="000000" w:themeColor="text1"/>
                <w:sz w:val="20"/>
              </w:rPr>
            </w:pPr>
          </w:p>
          <w:p w14:paraId="07C666F0" w14:textId="77777777" w:rsidR="006B4C71" w:rsidRPr="00AC033E" w:rsidRDefault="006B4C71" w:rsidP="006B4C71">
            <w:pPr>
              <w:jc w:val="right"/>
              <w:rPr>
                <w:b/>
                <w:color w:val="000000" w:themeColor="text1"/>
                <w:sz w:val="20"/>
              </w:rPr>
            </w:pPr>
            <w:r w:rsidRPr="00AC033E">
              <w:rPr>
                <w:b/>
                <w:color w:val="000000" w:themeColor="text1"/>
                <w:sz w:val="20"/>
              </w:rPr>
              <w:t>737 728</w:t>
            </w:r>
          </w:p>
          <w:p w14:paraId="6167CC84" w14:textId="77777777" w:rsidR="006B4C71" w:rsidRPr="00AC033E" w:rsidRDefault="006B4C71" w:rsidP="006B4C71">
            <w:pPr>
              <w:jc w:val="right"/>
              <w:rPr>
                <w:color w:val="000000" w:themeColor="text1"/>
                <w:sz w:val="20"/>
              </w:rPr>
            </w:pPr>
            <w:r w:rsidRPr="00AC033E">
              <w:rPr>
                <w:color w:val="000000" w:themeColor="text1"/>
                <w:sz w:val="20"/>
              </w:rPr>
              <w:t>0</w:t>
            </w:r>
          </w:p>
          <w:p w14:paraId="661DE128" w14:textId="77777777" w:rsidR="006B4C71" w:rsidRPr="00AC033E" w:rsidRDefault="006B4C71" w:rsidP="006B4C71">
            <w:pPr>
              <w:jc w:val="right"/>
              <w:rPr>
                <w:color w:val="000000" w:themeColor="text1"/>
                <w:sz w:val="20"/>
              </w:rPr>
            </w:pPr>
            <w:r w:rsidRPr="00AC033E">
              <w:rPr>
                <w:color w:val="000000" w:themeColor="text1"/>
                <w:sz w:val="20"/>
              </w:rPr>
              <w:t>42 750</w:t>
            </w:r>
          </w:p>
          <w:p w14:paraId="2353A961" w14:textId="77777777" w:rsidR="006B4C71" w:rsidRPr="00AC033E" w:rsidRDefault="006B4C71" w:rsidP="006B4C71">
            <w:pPr>
              <w:jc w:val="right"/>
              <w:rPr>
                <w:color w:val="000000" w:themeColor="text1"/>
                <w:sz w:val="20"/>
              </w:rPr>
            </w:pPr>
            <w:r w:rsidRPr="00AC033E">
              <w:rPr>
                <w:color w:val="000000" w:themeColor="text1"/>
                <w:sz w:val="20"/>
              </w:rPr>
              <w:t>0</w:t>
            </w:r>
          </w:p>
        </w:tc>
        <w:tc>
          <w:tcPr>
            <w:tcW w:w="1134" w:type="dxa"/>
          </w:tcPr>
          <w:p w14:paraId="5B95ACA7" w14:textId="77777777" w:rsidR="006B4C71" w:rsidRPr="00AC033E" w:rsidRDefault="006B4C71" w:rsidP="006B4C71">
            <w:pPr>
              <w:jc w:val="right"/>
              <w:rPr>
                <w:color w:val="000000" w:themeColor="text1"/>
                <w:sz w:val="20"/>
              </w:rPr>
            </w:pPr>
          </w:p>
          <w:p w14:paraId="180D6846" w14:textId="77777777" w:rsidR="006B4C71" w:rsidRPr="00AC033E" w:rsidRDefault="006B4C71" w:rsidP="006B4C71">
            <w:pPr>
              <w:jc w:val="right"/>
              <w:rPr>
                <w:b/>
                <w:color w:val="000000" w:themeColor="text1"/>
                <w:sz w:val="20"/>
              </w:rPr>
            </w:pPr>
            <w:r w:rsidRPr="00AC033E">
              <w:rPr>
                <w:b/>
                <w:color w:val="000000" w:themeColor="text1"/>
                <w:sz w:val="20"/>
              </w:rPr>
              <w:t>585 214</w:t>
            </w:r>
          </w:p>
          <w:p w14:paraId="55660498" w14:textId="77777777" w:rsidR="006B4C71" w:rsidRPr="00AC033E" w:rsidRDefault="006B4C71" w:rsidP="006B4C71">
            <w:pPr>
              <w:jc w:val="right"/>
              <w:rPr>
                <w:color w:val="000000" w:themeColor="text1"/>
                <w:sz w:val="20"/>
              </w:rPr>
            </w:pPr>
            <w:r w:rsidRPr="00AC033E">
              <w:rPr>
                <w:color w:val="000000" w:themeColor="text1"/>
                <w:sz w:val="20"/>
              </w:rPr>
              <w:t>0</w:t>
            </w:r>
          </w:p>
          <w:p w14:paraId="45CB19C7" w14:textId="77777777" w:rsidR="006B4C71" w:rsidRPr="00AC033E" w:rsidRDefault="006B4C71" w:rsidP="006B4C71">
            <w:pPr>
              <w:jc w:val="right"/>
              <w:rPr>
                <w:color w:val="000000" w:themeColor="text1"/>
                <w:sz w:val="20"/>
              </w:rPr>
            </w:pPr>
            <w:r w:rsidRPr="00AC033E">
              <w:rPr>
                <w:color w:val="000000" w:themeColor="text1"/>
                <w:sz w:val="20"/>
              </w:rPr>
              <w:t>42 750</w:t>
            </w:r>
          </w:p>
          <w:p w14:paraId="1BA8C9FA" w14:textId="77777777" w:rsidR="006B4C71" w:rsidRPr="00AC033E" w:rsidRDefault="006B4C71" w:rsidP="006B4C71">
            <w:pPr>
              <w:jc w:val="right"/>
              <w:rPr>
                <w:color w:val="000000" w:themeColor="text1"/>
                <w:sz w:val="20"/>
              </w:rPr>
            </w:pPr>
            <w:r w:rsidRPr="00AC033E">
              <w:rPr>
                <w:color w:val="000000" w:themeColor="text1"/>
                <w:sz w:val="20"/>
              </w:rPr>
              <w:t>5 254</w:t>
            </w:r>
          </w:p>
        </w:tc>
        <w:tc>
          <w:tcPr>
            <w:tcW w:w="779" w:type="dxa"/>
          </w:tcPr>
          <w:p w14:paraId="355937C4" w14:textId="77777777" w:rsidR="006B4C71" w:rsidRPr="004B11AC" w:rsidRDefault="006B4C71" w:rsidP="006B4C71">
            <w:pPr>
              <w:jc w:val="right"/>
              <w:rPr>
                <w:color w:val="FF0000"/>
                <w:sz w:val="20"/>
              </w:rPr>
            </w:pPr>
          </w:p>
          <w:p w14:paraId="3ABD19AB" w14:textId="77777777" w:rsidR="006B4C71" w:rsidRPr="00A90800" w:rsidRDefault="006B4C71" w:rsidP="006B4C71">
            <w:pPr>
              <w:jc w:val="right"/>
              <w:rPr>
                <w:b/>
                <w:sz w:val="20"/>
              </w:rPr>
            </w:pPr>
            <w:r>
              <w:rPr>
                <w:b/>
                <w:color w:val="FF0000"/>
                <w:sz w:val="20"/>
              </w:rPr>
              <w:t xml:space="preserve"> </w:t>
            </w:r>
            <w:r w:rsidRPr="00A90800">
              <w:rPr>
                <w:b/>
                <w:sz w:val="20"/>
              </w:rPr>
              <w:t>79,33</w:t>
            </w:r>
          </w:p>
          <w:p w14:paraId="038E8932" w14:textId="77777777" w:rsidR="006B4C71" w:rsidRPr="00A90800" w:rsidRDefault="006B4C71" w:rsidP="006B4C71">
            <w:pPr>
              <w:jc w:val="right"/>
              <w:rPr>
                <w:sz w:val="20"/>
              </w:rPr>
            </w:pPr>
            <w:r w:rsidRPr="00A90800">
              <w:rPr>
                <w:sz w:val="20"/>
              </w:rPr>
              <w:t>x</w:t>
            </w:r>
          </w:p>
          <w:p w14:paraId="0E31EF00" w14:textId="77777777" w:rsidR="006B4C71" w:rsidRPr="00A90800" w:rsidRDefault="006B4C71" w:rsidP="006B4C71">
            <w:pPr>
              <w:jc w:val="right"/>
              <w:rPr>
                <w:sz w:val="20"/>
              </w:rPr>
            </w:pPr>
            <w:r w:rsidRPr="00A90800">
              <w:rPr>
                <w:sz w:val="20"/>
              </w:rPr>
              <w:t>100,00</w:t>
            </w:r>
          </w:p>
          <w:p w14:paraId="2CAA9071" w14:textId="77777777" w:rsidR="006B4C71" w:rsidRPr="004B11AC" w:rsidRDefault="006B4C71" w:rsidP="006B4C71">
            <w:pPr>
              <w:jc w:val="right"/>
              <w:rPr>
                <w:color w:val="FF0000"/>
                <w:sz w:val="20"/>
              </w:rPr>
            </w:pPr>
            <w:r w:rsidRPr="00A90800">
              <w:rPr>
                <w:sz w:val="20"/>
              </w:rPr>
              <w:t xml:space="preserve">x          </w:t>
            </w:r>
          </w:p>
        </w:tc>
        <w:tc>
          <w:tcPr>
            <w:tcW w:w="800" w:type="dxa"/>
          </w:tcPr>
          <w:p w14:paraId="267416CB" w14:textId="77777777" w:rsidR="006B4C71" w:rsidRPr="005A6A13" w:rsidRDefault="006B4C71" w:rsidP="006B4C71">
            <w:pPr>
              <w:jc w:val="right"/>
              <w:rPr>
                <w:color w:val="000000" w:themeColor="text1"/>
                <w:sz w:val="20"/>
              </w:rPr>
            </w:pPr>
          </w:p>
          <w:p w14:paraId="4E9B381F" w14:textId="77777777" w:rsidR="006B4C71" w:rsidRPr="005A6A13" w:rsidRDefault="006B4C71" w:rsidP="006B4C71">
            <w:pPr>
              <w:jc w:val="right"/>
              <w:rPr>
                <w:b/>
                <w:color w:val="000000" w:themeColor="text1"/>
                <w:sz w:val="20"/>
              </w:rPr>
            </w:pPr>
            <w:r w:rsidRPr="005A6A13">
              <w:rPr>
                <w:b/>
                <w:color w:val="000000" w:themeColor="text1"/>
                <w:sz w:val="20"/>
              </w:rPr>
              <w:t>58,81</w:t>
            </w:r>
          </w:p>
          <w:p w14:paraId="33C4D6F4" w14:textId="77777777" w:rsidR="006B4C71" w:rsidRPr="005A6A13" w:rsidRDefault="006B4C71" w:rsidP="006B4C71">
            <w:pPr>
              <w:jc w:val="right"/>
              <w:rPr>
                <w:color w:val="000000" w:themeColor="text1"/>
                <w:sz w:val="20"/>
              </w:rPr>
            </w:pPr>
            <w:r w:rsidRPr="005A6A13">
              <w:rPr>
                <w:color w:val="000000" w:themeColor="text1"/>
                <w:sz w:val="20"/>
              </w:rPr>
              <w:t>x</w:t>
            </w:r>
          </w:p>
          <w:p w14:paraId="21771261" w14:textId="77777777" w:rsidR="006B4C71" w:rsidRPr="005A6A13" w:rsidRDefault="006B4C71" w:rsidP="006B4C71">
            <w:pPr>
              <w:jc w:val="right"/>
              <w:rPr>
                <w:color w:val="000000" w:themeColor="text1"/>
                <w:sz w:val="20"/>
              </w:rPr>
            </w:pPr>
            <w:r w:rsidRPr="005A6A13">
              <w:rPr>
                <w:color w:val="000000" w:themeColor="text1"/>
                <w:sz w:val="20"/>
              </w:rPr>
              <w:t>100,70</w:t>
            </w:r>
          </w:p>
          <w:p w14:paraId="7008CE81" w14:textId="77777777" w:rsidR="006B4C71" w:rsidRPr="005A6A13" w:rsidRDefault="006B4C71" w:rsidP="006B4C71">
            <w:pPr>
              <w:jc w:val="right"/>
              <w:rPr>
                <w:color w:val="000000" w:themeColor="text1"/>
                <w:sz w:val="20"/>
              </w:rPr>
            </w:pPr>
            <w:r>
              <w:rPr>
                <w:color w:val="000000" w:themeColor="text1"/>
                <w:sz w:val="20"/>
              </w:rPr>
              <w:t>138,08</w:t>
            </w:r>
            <w:r w:rsidRPr="005A6A13">
              <w:rPr>
                <w:color w:val="000000" w:themeColor="text1"/>
                <w:sz w:val="20"/>
              </w:rPr>
              <w:t xml:space="preserve">             </w:t>
            </w:r>
          </w:p>
        </w:tc>
      </w:tr>
      <w:tr w:rsidR="006B4C71" w:rsidRPr="004B11AC" w14:paraId="068201D7" w14:textId="77777777" w:rsidTr="006B4C71">
        <w:trPr>
          <w:gridAfter w:val="1"/>
          <w:wAfter w:w="9" w:type="dxa"/>
        </w:trPr>
        <w:tc>
          <w:tcPr>
            <w:tcW w:w="3546" w:type="dxa"/>
          </w:tcPr>
          <w:p w14:paraId="6991B256" w14:textId="77777777" w:rsidR="006B4C71" w:rsidRPr="005F7128" w:rsidRDefault="006B4C71" w:rsidP="006B4C71">
            <w:pPr>
              <w:jc w:val="both"/>
              <w:rPr>
                <w:b/>
                <w:bCs/>
                <w:color w:val="000000" w:themeColor="text1"/>
                <w:sz w:val="20"/>
              </w:rPr>
            </w:pPr>
            <w:r w:rsidRPr="005F7128">
              <w:rPr>
                <w:b/>
                <w:bCs/>
                <w:color w:val="000000" w:themeColor="text1"/>
                <w:sz w:val="20"/>
              </w:rPr>
              <w:t xml:space="preserve">Neinvestiční dotace neziskovým </w:t>
            </w:r>
          </w:p>
          <w:p w14:paraId="15736A02" w14:textId="77777777" w:rsidR="006B4C71" w:rsidRPr="005F7128" w:rsidRDefault="006B4C71" w:rsidP="006B4C71">
            <w:pPr>
              <w:jc w:val="both"/>
              <w:rPr>
                <w:color w:val="000000" w:themeColor="text1"/>
                <w:sz w:val="20"/>
              </w:rPr>
            </w:pPr>
            <w:r w:rsidRPr="005F7128">
              <w:rPr>
                <w:b/>
                <w:bCs/>
                <w:color w:val="000000" w:themeColor="text1"/>
                <w:sz w:val="20"/>
              </w:rPr>
              <w:t xml:space="preserve">a podob. org. </w:t>
            </w:r>
            <w:r w:rsidRPr="005F7128">
              <w:rPr>
                <w:color w:val="000000" w:themeColor="text1"/>
                <w:sz w:val="20"/>
              </w:rPr>
              <w:t>(podsesk. pol. 522)</w:t>
            </w:r>
          </w:p>
          <w:p w14:paraId="07B67D43" w14:textId="77777777" w:rsidR="006B4C71" w:rsidRPr="005F7128" w:rsidRDefault="006B4C71" w:rsidP="006B4C71">
            <w:pPr>
              <w:jc w:val="both"/>
              <w:rPr>
                <w:color w:val="000000" w:themeColor="text1"/>
                <w:sz w:val="20"/>
              </w:rPr>
            </w:pPr>
            <w:r w:rsidRPr="005F7128">
              <w:rPr>
                <w:color w:val="000000" w:themeColor="text1"/>
                <w:sz w:val="20"/>
              </w:rPr>
              <w:t xml:space="preserve">           z toho: program. fin. (EDS/SMVS)</w:t>
            </w:r>
          </w:p>
          <w:p w14:paraId="7EF01F18" w14:textId="77777777" w:rsidR="006B4C71" w:rsidRPr="005F7128" w:rsidRDefault="006B4C71" w:rsidP="006B4C71">
            <w:pPr>
              <w:jc w:val="both"/>
              <w:rPr>
                <w:color w:val="000000" w:themeColor="text1"/>
                <w:sz w:val="20"/>
              </w:rPr>
            </w:pPr>
            <w:r w:rsidRPr="005F7128">
              <w:rPr>
                <w:color w:val="000000" w:themeColor="text1"/>
                <w:sz w:val="20"/>
              </w:rPr>
              <w:t xml:space="preserve">                       prostředky EU</w:t>
            </w:r>
          </w:p>
        </w:tc>
        <w:tc>
          <w:tcPr>
            <w:tcW w:w="1274" w:type="dxa"/>
          </w:tcPr>
          <w:p w14:paraId="5CE5DEEB" w14:textId="77777777" w:rsidR="006B4C71" w:rsidRPr="005F7128" w:rsidRDefault="006B4C71" w:rsidP="006B4C71">
            <w:pPr>
              <w:jc w:val="right"/>
              <w:rPr>
                <w:bCs/>
                <w:color w:val="000000" w:themeColor="text1"/>
                <w:sz w:val="20"/>
              </w:rPr>
            </w:pPr>
          </w:p>
          <w:p w14:paraId="79A5B94E" w14:textId="77777777" w:rsidR="006B4C71" w:rsidRPr="005F7128" w:rsidRDefault="006B4C71" w:rsidP="006B4C71">
            <w:pPr>
              <w:jc w:val="right"/>
              <w:rPr>
                <w:b/>
                <w:color w:val="000000" w:themeColor="text1"/>
                <w:sz w:val="20"/>
              </w:rPr>
            </w:pPr>
            <w:r w:rsidRPr="005F7128">
              <w:rPr>
                <w:b/>
                <w:color w:val="000000" w:themeColor="text1"/>
                <w:sz w:val="20"/>
              </w:rPr>
              <w:t>9 473</w:t>
            </w:r>
          </w:p>
          <w:p w14:paraId="65C2E0AA" w14:textId="77777777" w:rsidR="006B4C71" w:rsidRPr="005F7128" w:rsidRDefault="006B4C71" w:rsidP="006B4C71">
            <w:pPr>
              <w:jc w:val="right"/>
              <w:rPr>
                <w:color w:val="000000" w:themeColor="text1"/>
                <w:sz w:val="20"/>
              </w:rPr>
            </w:pPr>
            <w:r w:rsidRPr="005F7128">
              <w:rPr>
                <w:color w:val="000000" w:themeColor="text1"/>
                <w:sz w:val="20"/>
              </w:rPr>
              <w:t>823</w:t>
            </w:r>
          </w:p>
          <w:p w14:paraId="0031D95D" w14:textId="77777777" w:rsidR="006B4C71" w:rsidRPr="005F7128" w:rsidRDefault="006B4C71" w:rsidP="006B4C71">
            <w:pPr>
              <w:jc w:val="right"/>
              <w:rPr>
                <w:bCs/>
                <w:color w:val="000000" w:themeColor="text1"/>
                <w:sz w:val="20"/>
              </w:rPr>
            </w:pPr>
            <w:r w:rsidRPr="005F7128">
              <w:rPr>
                <w:color w:val="000000" w:themeColor="text1"/>
                <w:sz w:val="20"/>
              </w:rPr>
              <w:t>0</w:t>
            </w:r>
          </w:p>
        </w:tc>
        <w:tc>
          <w:tcPr>
            <w:tcW w:w="1134" w:type="dxa"/>
          </w:tcPr>
          <w:p w14:paraId="136C8514" w14:textId="77777777" w:rsidR="006B4C71" w:rsidRPr="00837C72" w:rsidRDefault="006B4C71" w:rsidP="006B4C71">
            <w:pPr>
              <w:jc w:val="right"/>
              <w:rPr>
                <w:color w:val="000000" w:themeColor="text1"/>
                <w:sz w:val="20"/>
              </w:rPr>
            </w:pPr>
          </w:p>
          <w:p w14:paraId="4539FDE6" w14:textId="77777777" w:rsidR="006B4C71" w:rsidRPr="00837C72" w:rsidRDefault="006B4C71" w:rsidP="006B4C71">
            <w:pPr>
              <w:jc w:val="right"/>
              <w:rPr>
                <w:b/>
                <w:color w:val="000000" w:themeColor="text1"/>
                <w:sz w:val="20"/>
              </w:rPr>
            </w:pPr>
            <w:r w:rsidRPr="00837C72">
              <w:rPr>
                <w:b/>
                <w:color w:val="000000" w:themeColor="text1"/>
                <w:sz w:val="20"/>
              </w:rPr>
              <w:t>9 600</w:t>
            </w:r>
          </w:p>
          <w:p w14:paraId="5CCE3A26" w14:textId="77777777" w:rsidR="006B4C71" w:rsidRPr="00837C72" w:rsidRDefault="006B4C71" w:rsidP="006B4C71">
            <w:pPr>
              <w:jc w:val="right"/>
              <w:rPr>
                <w:color w:val="000000" w:themeColor="text1"/>
                <w:sz w:val="20"/>
              </w:rPr>
            </w:pPr>
            <w:r w:rsidRPr="00837C72">
              <w:rPr>
                <w:color w:val="000000" w:themeColor="text1"/>
                <w:sz w:val="20"/>
              </w:rPr>
              <w:t>0</w:t>
            </w:r>
          </w:p>
          <w:p w14:paraId="6E99AECD" w14:textId="77777777" w:rsidR="006B4C71" w:rsidRPr="00837C72" w:rsidRDefault="006B4C71" w:rsidP="006B4C71">
            <w:pPr>
              <w:jc w:val="right"/>
              <w:rPr>
                <w:color w:val="000000" w:themeColor="text1"/>
                <w:sz w:val="20"/>
              </w:rPr>
            </w:pPr>
            <w:r w:rsidRPr="00837C72">
              <w:rPr>
                <w:color w:val="000000" w:themeColor="text1"/>
                <w:sz w:val="20"/>
              </w:rPr>
              <w:t>0</w:t>
            </w:r>
          </w:p>
        </w:tc>
        <w:tc>
          <w:tcPr>
            <w:tcW w:w="1134" w:type="dxa"/>
          </w:tcPr>
          <w:p w14:paraId="18D3D700" w14:textId="77777777" w:rsidR="006B4C71" w:rsidRPr="00837C72" w:rsidRDefault="006B4C71" w:rsidP="006B4C71">
            <w:pPr>
              <w:jc w:val="right"/>
              <w:rPr>
                <w:color w:val="000000" w:themeColor="text1"/>
                <w:sz w:val="20"/>
              </w:rPr>
            </w:pPr>
          </w:p>
          <w:p w14:paraId="11EBDD77" w14:textId="77777777" w:rsidR="006B4C71" w:rsidRPr="00837C72" w:rsidRDefault="006B4C71" w:rsidP="006B4C71">
            <w:pPr>
              <w:jc w:val="right"/>
              <w:rPr>
                <w:b/>
                <w:color w:val="000000" w:themeColor="text1"/>
                <w:sz w:val="20"/>
              </w:rPr>
            </w:pPr>
            <w:r w:rsidRPr="00837C72">
              <w:rPr>
                <w:b/>
                <w:color w:val="000000" w:themeColor="text1"/>
                <w:sz w:val="20"/>
              </w:rPr>
              <w:t>11 845</w:t>
            </w:r>
          </w:p>
          <w:p w14:paraId="209BD621" w14:textId="77777777" w:rsidR="006B4C71" w:rsidRPr="00837C72" w:rsidRDefault="006B4C71" w:rsidP="006B4C71">
            <w:pPr>
              <w:jc w:val="right"/>
              <w:rPr>
                <w:color w:val="000000" w:themeColor="text1"/>
                <w:sz w:val="20"/>
              </w:rPr>
            </w:pPr>
            <w:r w:rsidRPr="00837C72">
              <w:rPr>
                <w:color w:val="000000" w:themeColor="text1"/>
                <w:sz w:val="20"/>
              </w:rPr>
              <w:t>2 245</w:t>
            </w:r>
          </w:p>
          <w:p w14:paraId="157276CC" w14:textId="77777777" w:rsidR="006B4C71" w:rsidRPr="00837C72" w:rsidRDefault="006B4C71" w:rsidP="006B4C71">
            <w:pPr>
              <w:jc w:val="right"/>
              <w:rPr>
                <w:color w:val="000000" w:themeColor="text1"/>
                <w:sz w:val="20"/>
              </w:rPr>
            </w:pPr>
            <w:r w:rsidRPr="00837C72">
              <w:rPr>
                <w:color w:val="000000" w:themeColor="text1"/>
                <w:sz w:val="20"/>
              </w:rPr>
              <w:t>0</w:t>
            </w:r>
          </w:p>
        </w:tc>
        <w:tc>
          <w:tcPr>
            <w:tcW w:w="1134" w:type="dxa"/>
          </w:tcPr>
          <w:p w14:paraId="63443C89" w14:textId="77777777" w:rsidR="006B4C71" w:rsidRPr="00837C72" w:rsidRDefault="006B4C71" w:rsidP="006B4C71">
            <w:pPr>
              <w:jc w:val="right"/>
              <w:rPr>
                <w:bCs/>
                <w:color w:val="000000" w:themeColor="text1"/>
                <w:sz w:val="20"/>
              </w:rPr>
            </w:pPr>
          </w:p>
          <w:p w14:paraId="4BD33819" w14:textId="77777777" w:rsidR="006B4C71" w:rsidRPr="00837C72" w:rsidRDefault="006B4C71" w:rsidP="006B4C71">
            <w:pPr>
              <w:jc w:val="right"/>
              <w:rPr>
                <w:b/>
                <w:color w:val="000000" w:themeColor="text1"/>
                <w:sz w:val="20"/>
              </w:rPr>
            </w:pPr>
            <w:r w:rsidRPr="00837C72">
              <w:rPr>
                <w:b/>
                <w:color w:val="000000" w:themeColor="text1"/>
                <w:sz w:val="20"/>
              </w:rPr>
              <w:t>12 462</w:t>
            </w:r>
          </w:p>
          <w:p w14:paraId="011BF93E" w14:textId="77777777" w:rsidR="006B4C71" w:rsidRPr="00837C72" w:rsidRDefault="006B4C71" w:rsidP="006B4C71">
            <w:pPr>
              <w:jc w:val="right"/>
              <w:rPr>
                <w:color w:val="000000" w:themeColor="text1"/>
                <w:sz w:val="20"/>
              </w:rPr>
            </w:pPr>
            <w:r w:rsidRPr="00837C72">
              <w:rPr>
                <w:color w:val="000000" w:themeColor="text1"/>
                <w:sz w:val="20"/>
              </w:rPr>
              <w:t>2 862</w:t>
            </w:r>
          </w:p>
          <w:p w14:paraId="2935710E" w14:textId="77777777" w:rsidR="006B4C71" w:rsidRPr="00837C72" w:rsidRDefault="006B4C71" w:rsidP="006B4C71">
            <w:pPr>
              <w:jc w:val="right"/>
              <w:rPr>
                <w:bCs/>
                <w:color w:val="000000" w:themeColor="text1"/>
                <w:sz w:val="20"/>
              </w:rPr>
            </w:pPr>
            <w:r w:rsidRPr="00837C72">
              <w:rPr>
                <w:color w:val="000000" w:themeColor="text1"/>
                <w:sz w:val="20"/>
              </w:rPr>
              <w:t>0</w:t>
            </w:r>
          </w:p>
        </w:tc>
        <w:tc>
          <w:tcPr>
            <w:tcW w:w="779" w:type="dxa"/>
          </w:tcPr>
          <w:p w14:paraId="023EDC0A" w14:textId="77777777" w:rsidR="006B4C71" w:rsidRPr="005147AC" w:rsidRDefault="006B4C71" w:rsidP="006B4C71">
            <w:pPr>
              <w:jc w:val="right"/>
              <w:rPr>
                <w:sz w:val="20"/>
              </w:rPr>
            </w:pPr>
          </w:p>
          <w:p w14:paraId="408C2238" w14:textId="77777777" w:rsidR="006B4C71" w:rsidRPr="005147AC" w:rsidRDefault="006B4C71" w:rsidP="006B4C71">
            <w:pPr>
              <w:jc w:val="right"/>
              <w:rPr>
                <w:b/>
                <w:sz w:val="20"/>
              </w:rPr>
            </w:pPr>
            <w:r w:rsidRPr="005147AC">
              <w:rPr>
                <w:b/>
                <w:sz w:val="20"/>
              </w:rPr>
              <w:t>105,21</w:t>
            </w:r>
          </w:p>
          <w:p w14:paraId="5B09917A" w14:textId="77777777" w:rsidR="006B4C71" w:rsidRPr="005147AC" w:rsidRDefault="006B4C71" w:rsidP="006B4C71">
            <w:pPr>
              <w:jc w:val="right"/>
              <w:rPr>
                <w:sz w:val="20"/>
              </w:rPr>
            </w:pPr>
            <w:r w:rsidRPr="005147AC">
              <w:rPr>
                <w:sz w:val="20"/>
              </w:rPr>
              <w:t>127,48</w:t>
            </w:r>
          </w:p>
          <w:p w14:paraId="191EE74A" w14:textId="77777777" w:rsidR="006B4C71" w:rsidRPr="005147AC" w:rsidRDefault="006B4C71" w:rsidP="006B4C71">
            <w:pPr>
              <w:jc w:val="right"/>
              <w:rPr>
                <w:bCs/>
                <w:sz w:val="20"/>
              </w:rPr>
            </w:pPr>
            <w:r w:rsidRPr="005147AC">
              <w:rPr>
                <w:sz w:val="20"/>
              </w:rPr>
              <w:t>x</w:t>
            </w:r>
          </w:p>
        </w:tc>
        <w:tc>
          <w:tcPr>
            <w:tcW w:w="800" w:type="dxa"/>
          </w:tcPr>
          <w:p w14:paraId="519BBFEC" w14:textId="77777777" w:rsidR="006B4C71" w:rsidRPr="004B11AC" w:rsidRDefault="006B4C71" w:rsidP="006B4C71">
            <w:pPr>
              <w:jc w:val="right"/>
              <w:rPr>
                <w:color w:val="FF0000"/>
                <w:sz w:val="20"/>
              </w:rPr>
            </w:pPr>
          </w:p>
          <w:p w14:paraId="5F1EA9DB" w14:textId="77777777" w:rsidR="006B4C71" w:rsidRPr="00127B06" w:rsidRDefault="006B4C71" w:rsidP="006B4C71">
            <w:pPr>
              <w:jc w:val="right"/>
              <w:rPr>
                <w:b/>
                <w:color w:val="000000" w:themeColor="text1"/>
                <w:sz w:val="20"/>
              </w:rPr>
            </w:pPr>
            <w:r w:rsidRPr="00127B06">
              <w:rPr>
                <w:b/>
                <w:color w:val="000000" w:themeColor="text1"/>
                <w:sz w:val="20"/>
              </w:rPr>
              <w:t>131,55</w:t>
            </w:r>
          </w:p>
          <w:p w14:paraId="366730B1" w14:textId="77777777" w:rsidR="006B4C71" w:rsidRPr="00127B06" w:rsidRDefault="006B4C71" w:rsidP="006B4C71">
            <w:pPr>
              <w:jc w:val="right"/>
              <w:rPr>
                <w:color w:val="000000" w:themeColor="text1"/>
                <w:sz w:val="20"/>
              </w:rPr>
            </w:pPr>
            <w:r w:rsidRPr="00127B06">
              <w:rPr>
                <w:color w:val="000000" w:themeColor="text1"/>
                <w:sz w:val="20"/>
              </w:rPr>
              <w:t>347,75</w:t>
            </w:r>
          </w:p>
          <w:p w14:paraId="2FC3D2FD" w14:textId="77777777" w:rsidR="006B4C71" w:rsidRPr="004B11AC" w:rsidRDefault="006B4C71" w:rsidP="006B4C71">
            <w:pPr>
              <w:jc w:val="right"/>
              <w:rPr>
                <w:bCs/>
                <w:color w:val="FF0000"/>
                <w:sz w:val="20"/>
              </w:rPr>
            </w:pPr>
            <w:r w:rsidRPr="00127B06">
              <w:rPr>
                <w:color w:val="000000" w:themeColor="text1"/>
                <w:sz w:val="20"/>
              </w:rPr>
              <w:t>x</w:t>
            </w:r>
          </w:p>
        </w:tc>
      </w:tr>
      <w:tr w:rsidR="006B4C71" w:rsidRPr="004B11AC" w14:paraId="2E4B80A7" w14:textId="77777777" w:rsidTr="006B4C71">
        <w:trPr>
          <w:gridAfter w:val="1"/>
          <w:wAfter w:w="9" w:type="dxa"/>
        </w:trPr>
        <w:tc>
          <w:tcPr>
            <w:tcW w:w="3546" w:type="dxa"/>
          </w:tcPr>
          <w:p w14:paraId="448D44FC" w14:textId="77777777" w:rsidR="006B4C71" w:rsidRPr="005F7128" w:rsidRDefault="006B4C71" w:rsidP="006B4C71">
            <w:pPr>
              <w:rPr>
                <w:color w:val="000000" w:themeColor="text1"/>
                <w:sz w:val="20"/>
              </w:rPr>
            </w:pPr>
            <w:r w:rsidRPr="005F7128">
              <w:rPr>
                <w:b/>
                <w:bCs/>
                <w:color w:val="000000" w:themeColor="text1"/>
                <w:sz w:val="20"/>
              </w:rPr>
              <w:t xml:space="preserve">Neinvestiční transfery veřejným                        rozpočtům  územní   úrovně                                                </w:t>
            </w:r>
            <w:r w:rsidRPr="005F7128">
              <w:rPr>
                <w:color w:val="000000" w:themeColor="text1"/>
                <w:sz w:val="20"/>
              </w:rPr>
              <w:t>(podsesk. po. 532)</w:t>
            </w:r>
          </w:p>
          <w:p w14:paraId="7A9C5401" w14:textId="77777777" w:rsidR="006B4C71" w:rsidRPr="005F7128" w:rsidRDefault="006B4C71" w:rsidP="006B4C71">
            <w:pPr>
              <w:jc w:val="both"/>
              <w:rPr>
                <w:color w:val="000000" w:themeColor="text1"/>
                <w:sz w:val="20"/>
              </w:rPr>
            </w:pPr>
            <w:r w:rsidRPr="005F7128">
              <w:rPr>
                <w:color w:val="000000" w:themeColor="text1"/>
                <w:sz w:val="20"/>
              </w:rPr>
              <w:t xml:space="preserve">          z toho: program. fin. (EDS/SMVS)</w:t>
            </w:r>
          </w:p>
          <w:p w14:paraId="5A4FB01C" w14:textId="77777777" w:rsidR="006B4C71" w:rsidRPr="005F7128" w:rsidRDefault="006B4C71" w:rsidP="006B4C71">
            <w:pPr>
              <w:tabs>
                <w:tab w:val="left" w:pos="540"/>
              </w:tabs>
              <w:jc w:val="both"/>
              <w:rPr>
                <w:color w:val="000000" w:themeColor="text1"/>
                <w:sz w:val="20"/>
              </w:rPr>
            </w:pPr>
            <w:r w:rsidRPr="005F7128">
              <w:rPr>
                <w:color w:val="000000" w:themeColor="text1"/>
                <w:sz w:val="20"/>
              </w:rPr>
              <w:t xml:space="preserve">                      prostředky EU</w:t>
            </w:r>
          </w:p>
        </w:tc>
        <w:tc>
          <w:tcPr>
            <w:tcW w:w="1274" w:type="dxa"/>
          </w:tcPr>
          <w:p w14:paraId="3E2404DA" w14:textId="77777777" w:rsidR="006B4C71" w:rsidRPr="005F7128" w:rsidRDefault="006B4C71" w:rsidP="006B4C71">
            <w:pPr>
              <w:jc w:val="right"/>
              <w:rPr>
                <w:b/>
                <w:color w:val="000000" w:themeColor="text1"/>
                <w:sz w:val="20"/>
              </w:rPr>
            </w:pPr>
          </w:p>
          <w:p w14:paraId="06DB0181" w14:textId="77777777" w:rsidR="006B4C71" w:rsidRPr="005F7128" w:rsidRDefault="006B4C71" w:rsidP="006B4C71">
            <w:pPr>
              <w:jc w:val="right"/>
              <w:rPr>
                <w:b/>
                <w:color w:val="000000" w:themeColor="text1"/>
                <w:sz w:val="20"/>
              </w:rPr>
            </w:pPr>
          </w:p>
          <w:p w14:paraId="1AD57155" w14:textId="77777777" w:rsidR="006B4C71" w:rsidRPr="005F7128" w:rsidRDefault="006B4C71" w:rsidP="006B4C71">
            <w:pPr>
              <w:jc w:val="right"/>
              <w:rPr>
                <w:b/>
                <w:color w:val="000000" w:themeColor="text1"/>
                <w:sz w:val="20"/>
              </w:rPr>
            </w:pPr>
            <w:r w:rsidRPr="005F7128">
              <w:rPr>
                <w:b/>
                <w:color w:val="000000" w:themeColor="text1"/>
                <w:sz w:val="20"/>
              </w:rPr>
              <w:t xml:space="preserve">2 799 115 </w:t>
            </w:r>
          </w:p>
          <w:p w14:paraId="09697797" w14:textId="77777777" w:rsidR="006B4C71" w:rsidRPr="005F7128" w:rsidRDefault="006B4C71" w:rsidP="006B4C71">
            <w:pPr>
              <w:jc w:val="right"/>
              <w:rPr>
                <w:color w:val="000000" w:themeColor="text1"/>
                <w:sz w:val="20"/>
              </w:rPr>
            </w:pPr>
            <w:r w:rsidRPr="005F7128">
              <w:rPr>
                <w:color w:val="000000" w:themeColor="text1"/>
                <w:sz w:val="20"/>
              </w:rPr>
              <w:t>0</w:t>
            </w:r>
          </w:p>
          <w:p w14:paraId="2E1D87B1" w14:textId="77777777" w:rsidR="006B4C71" w:rsidRPr="005F7128" w:rsidRDefault="006B4C71" w:rsidP="006B4C71">
            <w:pPr>
              <w:jc w:val="right"/>
              <w:rPr>
                <w:color w:val="000000" w:themeColor="text1"/>
                <w:sz w:val="20"/>
              </w:rPr>
            </w:pPr>
            <w:r w:rsidRPr="005F7128">
              <w:rPr>
                <w:color w:val="000000" w:themeColor="text1"/>
                <w:sz w:val="20"/>
              </w:rPr>
              <w:t>0</w:t>
            </w:r>
          </w:p>
        </w:tc>
        <w:tc>
          <w:tcPr>
            <w:tcW w:w="1134" w:type="dxa"/>
          </w:tcPr>
          <w:p w14:paraId="3DEB4EBE" w14:textId="77777777" w:rsidR="006B4C71" w:rsidRPr="004B11AC" w:rsidRDefault="006B4C71" w:rsidP="006B4C71">
            <w:pPr>
              <w:jc w:val="right"/>
              <w:rPr>
                <w:color w:val="FF0000"/>
                <w:sz w:val="20"/>
              </w:rPr>
            </w:pPr>
          </w:p>
          <w:p w14:paraId="0738A6C5" w14:textId="77777777" w:rsidR="006B4C71" w:rsidRPr="004B11AC" w:rsidRDefault="006B4C71" w:rsidP="006B4C71">
            <w:pPr>
              <w:jc w:val="right"/>
              <w:rPr>
                <w:color w:val="FF0000"/>
                <w:sz w:val="20"/>
              </w:rPr>
            </w:pPr>
          </w:p>
          <w:p w14:paraId="23627B95" w14:textId="77777777" w:rsidR="006B4C71" w:rsidRPr="002771A1" w:rsidRDefault="006B4C71" w:rsidP="006B4C71">
            <w:pPr>
              <w:jc w:val="right"/>
              <w:rPr>
                <w:b/>
                <w:color w:val="000000" w:themeColor="text1"/>
                <w:sz w:val="20"/>
              </w:rPr>
            </w:pPr>
            <w:r w:rsidRPr="002771A1">
              <w:rPr>
                <w:b/>
                <w:color w:val="000000" w:themeColor="text1"/>
                <w:sz w:val="20"/>
              </w:rPr>
              <w:t xml:space="preserve">2 894 352 </w:t>
            </w:r>
          </w:p>
          <w:p w14:paraId="142BB675" w14:textId="77777777" w:rsidR="006B4C71" w:rsidRPr="002771A1" w:rsidRDefault="006B4C71" w:rsidP="006B4C71">
            <w:pPr>
              <w:jc w:val="right"/>
              <w:rPr>
                <w:color w:val="000000" w:themeColor="text1"/>
                <w:sz w:val="20"/>
              </w:rPr>
            </w:pPr>
            <w:r w:rsidRPr="002771A1">
              <w:rPr>
                <w:color w:val="000000" w:themeColor="text1"/>
                <w:sz w:val="20"/>
              </w:rPr>
              <w:t>0</w:t>
            </w:r>
          </w:p>
          <w:p w14:paraId="6C036A3D" w14:textId="77777777" w:rsidR="006B4C71" w:rsidRPr="004B11AC" w:rsidRDefault="006B4C71" w:rsidP="006B4C71">
            <w:pPr>
              <w:jc w:val="right"/>
              <w:rPr>
                <w:color w:val="FF0000"/>
                <w:sz w:val="20"/>
              </w:rPr>
            </w:pPr>
            <w:r w:rsidRPr="002771A1">
              <w:rPr>
                <w:color w:val="000000" w:themeColor="text1"/>
                <w:sz w:val="20"/>
              </w:rPr>
              <w:t xml:space="preserve">        0</w:t>
            </w:r>
          </w:p>
        </w:tc>
        <w:tc>
          <w:tcPr>
            <w:tcW w:w="1134" w:type="dxa"/>
          </w:tcPr>
          <w:p w14:paraId="5A0F87CA" w14:textId="77777777" w:rsidR="006B4C71" w:rsidRPr="004B11AC" w:rsidRDefault="006B4C71" w:rsidP="006B4C71">
            <w:pPr>
              <w:jc w:val="right"/>
              <w:rPr>
                <w:color w:val="FF0000"/>
                <w:sz w:val="20"/>
              </w:rPr>
            </w:pPr>
          </w:p>
          <w:p w14:paraId="20D9444D" w14:textId="77777777" w:rsidR="006B4C71" w:rsidRPr="004B11AC" w:rsidRDefault="006B4C71" w:rsidP="006B4C71">
            <w:pPr>
              <w:jc w:val="right"/>
              <w:rPr>
                <w:color w:val="FF0000"/>
                <w:sz w:val="20"/>
              </w:rPr>
            </w:pPr>
          </w:p>
          <w:p w14:paraId="4A1DF160" w14:textId="77777777" w:rsidR="006B4C71" w:rsidRPr="002771A1" w:rsidRDefault="006B4C71" w:rsidP="006B4C71">
            <w:pPr>
              <w:jc w:val="right"/>
              <w:rPr>
                <w:b/>
                <w:color w:val="000000" w:themeColor="text1"/>
                <w:sz w:val="20"/>
              </w:rPr>
            </w:pPr>
            <w:r w:rsidRPr="002771A1">
              <w:rPr>
                <w:b/>
                <w:color w:val="000000" w:themeColor="text1"/>
                <w:sz w:val="20"/>
              </w:rPr>
              <w:t>2 994 352</w:t>
            </w:r>
          </w:p>
          <w:p w14:paraId="79C1BA93" w14:textId="77777777" w:rsidR="006B4C71" w:rsidRPr="002771A1" w:rsidRDefault="006B4C71" w:rsidP="006B4C71">
            <w:pPr>
              <w:jc w:val="right"/>
              <w:rPr>
                <w:color w:val="000000" w:themeColor="text1"/>
                <w:sz w:val="20"/>
              </w:rPr>
            </w:pPr>
            <w:r w:rsidRPr="002771A1">
              <w:rPr>
                <w:color w:val="000000" w:themeColor="text1"/>
                <w:sz w:val="20"/>
              </w:rPr>
              <w:t>0</w:t>
            </w:r>
          </w:p>
          <w:p w14:paraId="181F9D47" w14:textId="77777777" w:rsidR="006B4C71" w:rsidRPr="004B11AC" w:rsidRDefault="006B4C71" w:rsidP="006B4C71">
            <w:pPr>
              <w:jc w:val="right"/>
              <w:rPr>
                <w:color w:val="FF0000"/>
                <w:sz w:val="20"/>
              </w:rPr>
            </w:pPr>
            <w:r w:rsidRPr="002771A1">
              <w:rPr>
                <w:color w:val="000000" w:themeColor="text1"/>
                <w:sz w:val="20"/>
              </w:rPr>
              <w:t>0</w:t>
            </w:r>
          </w:p>
        </w:tc>
        <w:tc>
          <w:tcPr>
            <w:tcW w:w="1134" w:type="dxa"/>
          </w:tcPr>
          <w:p w14:paraId="0FE17AA6" w14:textId="77777777" w:rsidR="006B4C71" w:rsidRPr="004B11AC" w:rsidRDefault="006B4C71" w:rsidP="006B4C71">
            <w:pPr>
              <w:jc w:val="right"/>
              <w:rPr>
                <w:b/>
                <w:color w:val="FF0000"/>
                <w:sz w:val="20"/>
              </w:rPr>
            </w:pPr>
          </w:p>
          <w:p w14:paraId="582ADB37" w14:textId="77777777" w:rsidR="006B4C71" w:rsidRPr="004B11AC" w:rsidRDefault="006B4C71" w:rsidP="006B4C71">
            <w:pPr>
              <w:jc w:val="right"/>
              <w:rPr>
                <w:b/>
                <w:color w:val="FF0000"/>
                <w:sz w:val="20"/>
              </w:rPr>
            </w:pPr>
          </w:p>
          <w:p w14:paraId="7F28AD8F" w14:textId="77777777" w:rsidR="006B4C71" w:rsidRPr="00D2549D" w:rsidRDefault="006B4C71" w:rsidP="006B4C71">
            <w:pPr>
              <w:jc w:val="right"/>
              <w:rPr>
                <w:b/>
                <w:color w:val="000000" w:themeColor="text1"/>
                <w:sz w:val="20"/>
              </w:rPr>
            </w:pPr>
            <w:r w:rsidRPr="00D2549D">
              <w:rPr>
                <w:b/>
                <w:color w:val="000000" w:themeColor="text1"/>
                <w:sz w:val="20"/>
              </w:rPr>
              <w:t xml:space="preserve">2 968 970 </w:t>
            </w:r>
          </w:p>
          <w:p w14:paraId="56974C52" w14:textId="77777777" w:rsidR="006B4C71" w:rsidRPr="00E921BF" w:rsidRDefault="006B4C71" w:rsidP="006B4C71">
            <w:pPr>
              <w:jc w:val="right"/>
              <w:rPr>
                <w:color w:val="000000" w:themeColor="text1"/>
                <w:sz w:val="20"/>
              </w:rPr>
            </w:pPr>
            <w:r w:rsidRPr="00E921BF">
              <w:rPr>
                <w:color w:val="000000" w:themeColor="text1"/>
                <w:sz w:val="20"/>
              </w:rPr>
              <w:t>0</w:t>
            </w:r>
          </w:p>
          <w:p w14:paraId="0557CBEC" w14:textId="77777777" w:rsidR="006B4C71" w:rsidRPr="004B11AC" w:rsidRDefault="006B4C71" w:rsidP="006B4C71">
            <w:pPr>
              <w:jc w:val="right"/>
              <w:rPr>
                <w:color w:val="FF0000"/>
                <w:sz w:val="20"/>
              </w:rPr>
            </w:pPr>
            <w:r w:rsidRPr="00E921BF">
              <w:rPr>
                <w:color w:val="000000" w:themeColor="text1"/>
                <w:sz w:val="20"/>
              </w:rPr>
              <w:t>0</w:t>
            </w:r>
          </w:p>
        </w:tc>
        <w:tc>
          <w:tcPr>
            <w:tcW w:w="779" w:type="dxa"/>
          </w:tcPr>
          <w:p w14:paraId="1436BFF4" w14:textId="77777777" w:rsidR="006B4C71" w:rsidRPr="004B11AC" w:rsidRDefault="006B4C71" w:rsidP="006B4C71">
            <w:pPr>
              <w:jc w:val="right"/>
              <w:rPr>
                <w:color w:val="FF0000"/>
                <w:sz w:val="20"/>
              </w:rPr>
            </w:pPr>
          </w:p>
          <w:p w14:paraId="136EB55B" w14:textId="77777777" w:rsidR="006B4C71" w:rsidRPr="004B11AC" w:rsidRDefault="006B4C71" w:rsidP="006B4C71">
            <w:pPr>
              <w:jc w:val="right"/>
              <w:rPr>
                <w:color w:val="FF0000"/>
                <w:sz w:val="20"/>
              </w:rPr>
            </w:pPr>
          </w:p>
          <w:p w14:paraId="19302300" w14:textId="77777777" w:rsidR="006B4C71" w:rsidRPr="005147AC" w:rsidRDefault="006B4C71" w:rsidP="006B4C71">
            <w:pPr>
              <w:jc w:val="right"/>
              <w:rPr>
                <w:b/>
                <w:sz w:val="20"/>
              </w:rPr>
            </w:pPr>
            <w:r w:rsidRPr="005147AC">
              <w:rPr>
                <w:b/>
                <w:sz w:val="20"/>
              </w:rPr>
              <w:t>99,15</w:t>
            </w:r>
          </w:p>
          <w:p w14:paraId="66BB80A7" w14:textId="77777777" w:rsidR="006B4C71" w:rsidRPr="005147AC" w:rsidRDefault="006B4C71" w:rsidP="006B4C71">
            <w:pPr>
              <w:jc w:val="right"/>
              <w:rPr>
                <w:bCs/>
                <w:sz w:val="20"/>
              </w:rPr>
            </w:pPr>
            <w:r w:rsidRPr="005147AC">
              <w:rPr>
                <w:sz w:val="20"/>
              </w:rPr>
              <w:t>x</w:t>
            </w:r>
          </w:p>
          <w:p w14:paraId="424375B6" w14:textId="77777777" w:rsidR="006B4C71" w:rsidRPr="004B11AC" w:rsidRDefault="006B4C71" w:rsidP="006B4C71">
            <w:pPr>
              <w:jc w:val="right"/>
              <w:rPr>
                <w:color w:val="FF0000"/>
                <w:sz w:val="20"/>
              </w:rPr>
            </w:pPr>
            <w:r w:rsidRPr="005147AC">
              <w:rPr>
                <w:sz w:val="20"/>
              </w:rPr>
              <w:t>x</w:t>
            </w:r>
          </w:p>
        </w:tc>
        <w:tc>
          <w:tcPr>
            <w:tcW w:w="800" w:type="dxa"/>
          </w:tcPr>
          <w:p w14:paraId="3107A84D" w14:textId="77777777" w:rsidR="006B4C71" w:rsidRPr="004B11AC" w:rsidRDefault="006B4C71" w:rsidP="006B4C71">
            <w:pPr>
              <w:jc w:val="right"/>
              <w:rPr>
                <w:color w:val="FF0000"/>
                <w:sz w:val="20"/>
              </w:rPr>
            </w:pPr>
          </w:p>
          <w:p w14:paraId="0DD05C01" w14:textId="77777777" w:rsidR="006B4C71" w:rsidRPr="004B11AC" w:rsidRDefault="006B4C71" w:rsidP="006B4C71">
            <w:pPr>
              <w:jc w:val="right"/>
              <w:rPr>
                <w:color w:val="FF0000"/>
                <w:sz w:val="20"/>
              </w:rPr>
            </w:pPr>
          </w:p>
          <w:p w14:paraId="0D665787" w14:textId="77777777" w:rsidR="006B4C71" w:rsidRPr="00127B06" w:rsidRDefault="006B4C71" w:rsidP="006B4C71">
            <w:pPr>
              <w:jc w:val="right"/>
              <w:rPr>
                <w:b/>
                <w:color w:val="000000" w:themeColor="text1"/>
                <w:sz w:val="20"/>
              </w:rPr>
            </w:pPr>
            <w:r w:rsidRPr="00127B06">
              <w:rPr>
                <w:b/>
                <w:color w:val="000000" w:themeColor="text1"/>
                <w:sz w:val="20"/>
              </w:rPr>
              <w:t>106,07</w:t>
            </w:r>
          </w:p>
          <w:p w14:paraId="2A387C42" w14:textId="77777777" w:rsidR="006B4C71" w:rsidRPr="00127B06" w:rsidRDefault="006B4C71" w:rsidP="006B4C71">
            <w:pPr>
              <w:jc w:val="right"/>
              <w:rPr>
                <w:color w:val="000000" w:themeColor="text1"/>
                <w:sz w:val="20"/>
              </w:rPr>
            </w:pPr>
            <w:r w:rsidRPr="00127B06">
              <w:rPr>
                <w:color w:val="000000" w:themeColor="text1"/>
                <w:sz w:val="20"/>
              </w:rPr>
              <w:t>x</w:t>
            </w:r>
          </w:p>
          <w:p w14:paraId="5403BBE1" w14:textId="77777777" w:rsidR="006B4C71" w:rsidRPr="004B11AC" w:rsidRDefault="006B4C71" w:rsidP="006B4C71">
            <w:pPr>
              <w:jc w:val="right"/>
              <w:rPr>
                <w:bCs/>
                <w:color w:val="FF0000"/>
                <w:sz w:val="20"/>
              </w:rPr>
            </w:pPr>
            <w:r w:rsidRPr="00127B06">
              <w:rPr>
                <w:color w:val="000000" w:themeColor="text1"/>
                <w:sz w:val="20"/>
              </w:rPr>
              <w:t>x</w:t>
            </w:r>
          </w:p>
        </w:tc>
      </w:tr>
      <w:tr w:rsidR="006B4C71" w:rsidRPr="007A05B1" w14:paraId="7E7D7D76" w14:textId="77777777" w:rsidTr="006B4C71">
        <w:trPr>
          <w:gridAfter w:val="1"/>
          <w:wAfter w:w="9" w:type="dxa"/>
        </w:trPr>
        <w:tc>
          <w:tcPr>
            <w:tcW w:w="3546" w:type="dxa"/>
          </w:tcPr>
          <w:p w14:paraId="21935F4F" w14:textId="77777777" w:rsidR="006B4C71" w:rsidRPr="005F7128" w:rsidRDefault="006B4C71" w:rsidP="006B4C71">
            <w:pPr>
              <w:jc w:val="both"/>
              <w:rPr>
                <w:b/>
                <w:bCs/>
                <w:color w:val="000000" w:themeColor="text1"/>
                <w:sz w:val="20"/>
              </w:rPr>
            </w:pPr>
            <w:r w:rsidRPr="005F7128">
              <w:rPr>
                <w:b/>
                <w:bCs/>
                <w:color w:val="000000" w:themeColor="text1"/>
                <w:sz w:val="20"/>
              </w:rPr>
              <w:t xml:space="preserve">Neinvestiční transfery podnikatelským </w:t>
            </w:r>
            <w:r w:rsidRPr="005F7128">
              <w:rPr>
                <w:color w:val="000000" w:themeColor="text1"/>
              </w:rPr>
              <w:t xml:space="preserve"> </w:t>
            </w:r>
            <w:r w:rsidRPr="005F7128">
              <w:rPr>
                <w:b/>
                <w:bCs/>
                <w:color w:val="000000" w:themeColor="text1"/>
                <w:sz w:val="20"/>
              </w:rPr>
              <w:t>subjektům</w:t>
            </w:r>
          </w:p>
          <w:p w14:paraId="2DBC2EF8" w14:textId="77777777" w:rsidR="006B4C71" w:rsidRPr="005F7128" w:rsidRDefault="006B4C71" w:rsidP="006B4C71">
            <w:pPr>
              <w:jc w:val="both"/>
              <w:rPr>
                <w:color w:val="000000" w:themeColor="text1"/>
                <w:sz w:val="20"/>
              </w:rPr>
            </w:pPr>
            <w:r w:rsidRPr="005F7128">
              <w:rPr>
                <w:color w:val="000000" w:themeColor="text1"/>
                <w:sz w:val="20"/>
              </w:rPr>
              <w:t>(podsesk. pol. 521</w:t>
            </w:r>
            <w:r w:rsidRPr="005F7128">
              <w:rPr>
                <w:color w:val="000000" w:themeColor="text1"/>
              </w:rPr>
              <w:t xml:space="preserve"> </w:t>
            </w:r>
            <w:r w:rsidRPr="005F7128">
              <w:rPr>
                <w:color w:val="000000" w:themeColor="text1"/>
                <w:sz w:val="20"/>
              </w:rPr>
              <w:t>včetně položky 5193)</w:t>
            </w:r>
          </w:p>
          <w:p w14:paraId="2762AEB2" w14:textId="77777777" w:rsidR="006B4C71" w:rsidRPr="005F7128" w:rsidRDefault="006B4C71" w:rsidP="006B4C71">
            <w:pPr>
              <w:jc w:val="both"/>
              <w:rPr>
                <w:color w:val="000000" w:themeColor="text1"/>
                <w:sz w:val="20"/>
              </w:rPr>
            </w:pPr>
            <w:r w:rsidRPr="005F7128">
              <w:rPr>
                <w:color w:val="000000" w:themeColor="text1"/>
                <w:sz w:val="20"/>
              </w:rPr>
              <w:t xml:space="preserve">         z toho: program. fin. (EDS/SMVS)</w:t>
            </w:r>
          </w:p>
          <w:p w14:paraId="0FD4AAE6" w14:textId="77777777" w:rsidR="006B4C71" w:rsidRPr="005F7128" w:rsidRDefault="006B4C71" w:rsidP="006B4C71">
            <w:pPr>
              <w:jc w:val="both"/>
              <w:rPr>
                <w:color w:val="000000" w:themeColor="text1"/>
                <w:sz w:val="20"/>
              </w:rPr>
            </w:pPr>
            <w:r w:rsidRPr="005F7128">
              <w:rPr>
                <w:color w:val="000000" w:themeColor="text1"/>
                <w:sz w:val="20"/>
              </w:rPr>
              <w:t xml:space="preserve">                     prostředky EU</w:t>
            </w:r>
          </w:p>
        </w:tc>
        <w:tc>
          <w:tcPr>
            <w:tcW w:w="1274" w:type="dxa"/>
          </w:tcPr>
          <w:p w14:paraId="6CACF0ED" w14:textId="77777777" w:rsidR="006B4C71" w:rsidRPr="005F7128" w:rsidRDefault="006B4C71" w:rsidP="006B4C71">
            <w:pPr>
              <w:jc w:val="right"/>
              <w:rPr>
                <w:color w:val="000000" w:themeColor="text1"/>
                <w:sz w:val="20"/>
              </w:rPr>
            </w:pPr>
          </w:p>
          <w:p w14:paraId="41A396DA" w14:textId="77777777" w:rsidR="006B4C71" w:rsidRPr="005F7128" w:rsidRDefault="006B4C71" w:rsidP="006B4C71">
            <w:pPr>
              <w:rPr>
                <w:b/>
                <w:color w:val="000000" w:themeColor="text1"/>
                <w:sz w:val="20"/>
              </w:rPr>
            </w:pPr>
          </w:p>
          <w:p w14:paraId="3BDF129F" w14:textId="77777777" w:rsidR="006B4C71" w:rsidRPr="005F7128" w:rsidRDefault="006B4C71" w:rsidP="006B4C71">
            <w:pPr>
              <w:jc w:val="right"/>
              <w:rPr>
                <w:b/>
                <w:color w:val="000000" w:themeColor="text1"/>
                <w:sz w:val="20"/>
              </w:rPr>
            </w:pPr>
            <w:r w:rsidRPr="005F7128">
              <w:rPr>
                <w:b/>
                <w:color w:val="000000" w:themeColor="text1"/>
                <w:sz w:val="20"/>
              </w:rPr>
              <w:t>4 928 372</w:t>
            </w:r>
          </w:p>
          <w:p w14:paraId="77DA270A" w14:textId="77777777" w:rsidR="006B4C71" w:rsidRPr="005F7128" w:rsidRDefault="006B4C71" w:rsidP="006B4C71">
            <w:pPr>
              <w:jc w:val="right"/>
              <w:rPr>
                <w:color w:val="000000" w:themeColor="text1"/>
                <w:sz w:val="20"/>
              </w:rPr>
            </w:pPr>
            <w:r w:rsidRPr="005F7128">
              <w:rPr>
                <w:color w:val="000000" w:themeColor="text1"/>
                <w:sz w:val="20"/>
              </w:rPr>
              <w:t>2 648</w:t>
            </w:r>
          </w:p>
          <w:p w14:paraId="07189D34" w14:textId="77777777" w:rsidR="006B4C71" w:rsidRPr="005F7128" w:rsidRDefault="006B4C71" w:rsidP="006B4C71">
            <w:pPr>
              <w:jc w:val="right"/>
              <w:rPr>
                <w:color w:val="000000" w:themeColor="text1"/>
                <w:sz w:val="20"/>
              </w:rPr>
            </w:pPr>
            <w:r w:rsidRPr="005F7128">
              <w:rPr>
                <w:color w:val="000000" w:themeColor="text1"/>
                <w:sz w:val="20"/>
              </w:rPr>
              <w:t>22 729</w:t>
            </w:r>
          </w:p>
        </w:tc>
        <w:tc>
          <w:tcPr>
            <w:tcW w:w="1134" w:type="dxa"/>
          </w:tcPr>
          <w:p w14:paraId="56537D06" w14:textId="77777777" w:rsidR="006B4C71" w:rsidRPr="004B11AC" w:rsidRDefault="006B4C71" w:rsidP="006B4C71">
            <w:pPr>
              <w:rPr>
                <w:color w:val="FF0000"/>
                <w:sz w:val="20"/>
              </w:rPr>
            </w:pPr>
          </w:p>
          <w:p w14:paraId="5BF044AA" w14:textId="77777777" w:rsidR="006B4C71" w:rsidRPr="004B11AC" w:rsidRDefault="006B4C71" w:rsidP="006B4C71">
            <w:pPr>
              <w:rPr>
                <w:b/>
                <w:color w:val="FF0000"/>
                <w:sz w:val="20"/>
              </w:rPr>
            </w:pPr>
          </w:p>
          <w:p w14:paraId="2B8726C5" w14:textId="77777777" w:rsidR="006B4C71" w:rsidRPr="006F2900" w:rsidRDefault="006B4C71" w:rsidP="006B4C71">
            <w:pPr>
              <w:jc w:val="right"/>
              <w:rPr>
                <w:b/>
                <w:color w:val="000000" w:themeColor="text1"/>
                <w:sz w:val="20"/>
              </w:rPr>
            </w:pPr>
            <w:r w:rsidRPr="006F2900">
              <w:rPr>
                <w:b/>
                <w:color w:val="000000" w:themeColor="text1"/>
                <w:sz w:val="20"/>
              </w:rPr>
              <w:t>5 468 442</w:t>
            </w:r>
          </w:p>
          <w:p w14:paraId="7AE71473" w14:textId="77777777" w:rsidR="006B4C71" w:rsidRPr="000402E9" w:rsidRDefault="006B4C71" w:rsidP="006B4C71">
            <w:pPr>
              <w:jc w:val="right"/>
              <w:rPr>
                <w:color w:val="000000" w:themeColor="text1"/>
                <w:sz w:val="20"/>
              </w:rPr>
            </w:pPr>
            <w:r w:rsidRPr="000402E9">
              <w:rPr>
                <w:color w:val="000000" w:themeColor="text1"/>
                <w:sz w:val="20"/>
              </w:rPr>
              <w:t>4 000</w:t>
            </w:r>
          </w:p>
          <w:p w14:paraId="0E088B86" w14:textId="77777777" w:rsidR="006B4C71" w:rsidRPr="004B11AC" w:rsidRDefault="006B4C71" w:rsidP="006B4C71">
            <w:pPr>
              <w:jc w:val="right"/>
              <w:rPr>
                <w:color w:val="FF0000"/>
                <w:sz w:val="20"/>
              </w:rPr>
            </w:pPr>
            <w:r w:rsidRPr="00FF7AC8">
              <w:rPr>
                <w:color w:val="000000" w:themeColor="text1"/>
                <w:sz w:val="20"/>
              </w:rPr>
              <w:t>12 918</w:t>
            </w:r>
          </w:p>
        </w:tc>
        <w:tc>
          <w:tcPr>
            <w:tcW w:w="1134" w:type="dxa"/>
          </w:tcPr>
          <w:p w14:paraId="78DD3E03" w14:textId="77777777" w:rsidR="006B4C71" w:rsidRPr="004B11AC" w:rsidRDefault="006B4C71" w:rsidP="006B4C71">
            <w:pPr>
              <w:jc w:val="right"/>
              <w:rPr>
                <w:color w:val="FF0000"/>
                <w:sz w:val="20"/>
              </w:rPr>
            </w:pPr>
          </w:p>
          <w:p w14:paraId="5AA0EAFB" w14:textId="77777777" w:rsidR="006B4C71" w:rsidRPr="004B11AC" w:rsidRDefault="006B4C71" w:rsidP="006B4C71">
            <w:pPr>
              <w:rPr>
                <w:b/>
                <w:color w:val="FF0000"/>
                <w:sz w:val="20"/>
              </w:rPr>
            </w:pPr>
          </w:p>
          <w:p w14:paraId="6A637C9E" w14:textId="77777777" w:rsidR="006B4C71" w:rsidRPr="006F2900" w:rsidRDefault="006B4C71" w:rsidP="006B4C71">
            <w:pPr>
              <w:jc w:val="right"/>
              <w:rPr>
                <w:b/>
                <w:color w:val="000000" w:themeColor="text1"/>
                <w:sz w:val="20"/>
              </w:rPr>
            </w:pPr>
            <w:r w:rsidRPr="006F2900">
              <w:rPr>
                <w:b/>
                <w:color w:val="000000" w:themeColor="text1"/>
                <w:sz w:val="20"/>
              </w:rPr>
              <w:t>5 307 697</w:t>
            </w:r>
          </w:p>
          <w:p w14:paraId="05B0A6A6" w14:textId="77777777" w:rsidR="006B4C71" w:rsidRPr="00DA0F59" w:rsidRDefault="006B4C71" w:rsidP="006B4C71">
            <w:pPr>
              <w:jc w:val="right"/>
              <w:rPr>
                <w:color w:val="000000" w:themeColor="text1"/>
                <w:sz w:val="20"/>
              </w:rPr>
            </w:pPr>
            <w:r w:rsidRPr="00DA0F59">
              <w:rPr>
                <w:color w:val="000000" w:themeColor="text1"/>
                <w:sz w:val="20"/>
              </w:rPr>
              <w:t>1 755</w:t>
            </w:r>
          </w:p>
          <w:p w14:paraId="64F5DB56" w14:textId="77777777" w:rsidR="006B4C71" w:rsidRPr="004B11AC" w:rsidRDefault="006B4C71" w:rsidP="006B4C71">
            <w:pPr>
              <w:jc w:val="right"/>
              <w:rPr>
                <w:color w:val="FF0000"/>
                <w:sz w:val="20"/>
              </w:rPr>
            </w:pPr>
            <w:r w:rsidRPr="00FF7AC8">
              <w:rPr>
                <w:color w:val="000000" w:themeColor="text1"/>
                <w:sz w:val="20"/>
              </w:rPr>
              <w:t>12 918</w:t>
            </w:r>
          </w:p>
        </w:tc>
        <w:tc>
          <w:tcPr>
            <w:tcW w:w="1134" w:type="dxa"/>
          </w:tcPr>
          <w:p w14:paraId="46EC5273" w14:textId="77777777" w:rsidR="006B4C71" w:rsidRPr="004B11AC" w:rsidRDefault="006B4C71" w:rsidP="006B4C71">
            <w:pPr>
              <w:jc w:val="right"/>
              <w:rPr>
                <w:color w:val="FF0000"/>
                <w:sz w:val="20"/>
              </w:rPr>
            </w:pPr>
          </w:p>
          <w:p w14:paraId="7323E84E" w14:textId="77777777" w:rsidR="006B4C71" w:rsidRPr="004B11AC" w:rsidRDefault="006B4C71" w:rsidP="006B4C71">
            <w:pPr>
              <w:rPr>
                <w:b/>
                <w:color w:val="FF0000"/>
                <w:sz w:val="20"/>
              </w:rPr>
            </w:pPr>
          </w:p>
          <w:p w14:paraId="4393F312" w14:textId="77777777" w:rsidR="006B4C71" w:rsidRPr="006312BB" w:rsidRDefault="006B4C71" w:rsidP="006B4C71">
            <w:pPr>
              <w:jc w:val="right"/>
              <w:rPr>
                <w:b/>
                <w:color w:val="000000" w:themeColor="text1"/>
                <w:sz w:val="20"/>
              </w:rPr>
            </w:pPr>
            <w:r w:rsidRPr="006312BB">
              <w:rPr>
                <w:b/>
                <w:color w:val="000000" w:themeColor="text1"/>
                <w:sz w:val="20"/>
              </w:rPr>
              <w:t>4 716 516</w:t>
            </w:r>
          </w:p>
          <w:p w14:paraId="1DE0C166" w14:textId="77777777" w:rsidR="006B4C71" w:rsidRPr="000402E9" w:rsidRDefault="006B4C71" w:rsidP="006B4C71">
            <w:pPr>
              <w:jc w:val="right"/>
              <w:rPr>
                <w:color w:val="000000" w:themeColor="text1"/>
                <w:sz w:val="20"/>
              </w:rPr>
            </w:pPr>
            <w:r w:rsidRPr="000402E9">
              <w:rPr>
                <w:color w:val="000000" w:themeColor="text1"/>
                <w:sz w:val="20"/>
              </w:rPr>
              <w:t>1 646</w:t>
            </w:r>
          </w:p>
          <w:p w14:paraId="526820F3" w14:textId="77777777" w:rsidR="006B4C71" w:rsidRPr="004B11AC" w:rsidRDefault="006B4C71" w:rsidP="006B4C71">
            <w:pPr>
              <w:jc w:val="right"/>
              <w:rPr>
                <w:color w:val="FF0000"/>
                <w:sz w:val="20"/>
              </w:rPr>
            </w:pPr>
            <w:r w:rsidRPr="00FF7AC8">
              <w:rPr>
                <w:color w:val="000000" w:themeColor="text1"/>
                <w:sz w:val="20"/>
              </w:rPr>
              <w:t>33 161</w:t>
            </w:r>
          </w:p>
        </w:tc>
        <w:tc>
          <w:tcPr>
            <w:tcW w:w="779" w:type="dxa"/>
          </w:tcPr>
          <w:p w14:paraId="7FC4DB45" w14:textId="77777777" w:rsidR="006B4C71" w:rsidRPr="004B11AC" w:rsidRDefault="006B4C71" w:rsidP="006B4C71">
            <w:pPr>
              <w:jc w:val="right"/>
              <w:rPr>
                <w:color w:val="FF0000"/>
                <w:sz w:val="20"/>
              </w:rPr>
            </w:pPr>
          </w:p>
          <w:p w14:paraId="3E1CF3D5" w14:textId="77777777" w:rsidR="006B4C71" w:rsidRPr="004B11AC" w:rsidRDefault="006B4C71" w:rsidP="006B4C71">
            <w:pPr>
              <w:rPr>
                <w:b/>
                <w:color w:val="FF0000"/>
                <w:sz w:val="20"/>
              </w:rPr>
            </w:pPr>
          </w:p>
          <w:p w14:paraId="77C2FF54" w14:textId="77777777" w:rsidR="006B4C71" w:rsidRPr="005147AC" w:rsidRDefault="006B4C71" w:rsidP="006B4C71">
            <w:pPr>
              <w:jc w:val="right"/>
              <w:rPr>
                <w:b/>
                <w:sz w:val="20"/>
              </w:rPr>
            </w:pPr>
            <w:r w:rsidRPr="005147AC">
              <w:rPr>
                <w:b/>
                <w:sz w:val="20"/>
              </w:rPr>
              <w:t>88,86</w:t>
            </w:r>
          </w:p>
          <w:p w14:paraId="0ECA2843" w14:textId="77777777" w:rsidR="006B4C71" w:rsidRPr="005147AC" w:rsidRDefault="006B4C71" w:rsidP="006B4C71">
            <w:pPr>
              <w:jc w:val="right"/>
              <w:rPr>
                <w:bCs/>
                <w:sz w:val="20"/>
              </w:rPr>
            </w:pPr>
            <w:r w:rsidRPr="005147AC">
              <w:rPr>
                <w:sz w:val="20"/>
              </w:rPr>
              <w:t>93,79</w:t>
            </w:r>
          </w:p>
          <w:p w14:paraId="7C7757CC" w14:textId="77777777" w:rsidR="006B4C71" w:rsidRPr="004B11AC" w:rsidRDefault="006B4C71" w:rsidP="006B4C71">
            <w:pPr>
              <w:jc w:val="right"/>
              <w:rPr>
                <w:color w:val="FF0000"/>
                <w:sz w:val="20"/>
              </w:rPr>
            </w:pPr>
            <w:r w:rsidRPr="005147AC">
              <w:rPr>
                <w:sz w:val="20"/>
              </w:rPr>
              <w:t>256,7</w:t>
            </w:r>
            <w:r>
              <w:rPr>
                <w:sz w:val="20"/>
              </w:rPr>
              <w:t>0</w:t>
            </w:r>
          </w:p>
        </w:tc>
        <w:tc>
          <w:tcPr>
            <w:tcW w:w="800" w:type="dxa"/>
          </w:tcPr>
          <w:p w14:paraId="09701590" w14:textId="77777777" w:rsidR="006B4C71" w:rsidRPr="007A05B1" w:rsidRDefault="006B4C71" w:rsidP="006B4C71">
            <w:pPr>
              <w:jc w:val="right"/>
              <w:rPr>
                <w:color w:val="000000" w:themeColor="text1"/>
                <w:sz w:val="20"/>
              </w:rPr>
            </w:pPr>
          </w:p>
          <w:p w14:paraId="2BF7F0E2" w14:textId="77777777" w:rsidR="006B4C71" w:rsidRPr="007A05B1" w:rsidRDefault="006B4C71" w:rsidP="006B4C71">
            <w:pPr>
              <w:rPr>
                <w:b/>
                <w:color w:val="000000" w:themeColor="text1"/>
                <w:sz w:val="20"/>
              </w:rPr>
            </w:pPr>
          </w:p>
          <w:p w14:paraId="61E0D116" w14:textId="77777777" w:rsidR="006B4C71" w:rsidRPr="007A05B1" w:rsidRDefault="006B4C71" w:rsidP="006B4C71">
            <w:pPr>
              <w:jc w:val="right"/>
              <w:rPr>
                <w:b/>
                <w:color w:val="000000" w:themeColor="text1"/>
                <w:sz w:val="20"/>
              </w:rPr>
            </w:pPr>
            <w:r w:rsidRPr="007A05B1">
              <w:rPr>
                <w:b/>
                <w:color w:val="000000" w:themeColor="text1"/>
                <w:sz w:val="20"/>
              </w:rPr>
              <w:t>95,70</w:t>
            </w:r>
          </w:p>
          <w:p w14:paraId="08C221AC" w14:textId="77777777" w:rsidR="006B4C71" w:rsidRPr="007A05B1" w:rsidRDefault="006B4C71" w:rsidP="006B4C71">
            <w:pPr>
              <w:jc w:val="right"/>
              <w:rPr>
                <w:color w:val="000000" w:themeColor="text1"/>
                <w:sz w:val="20"/>
              </w:rPr>
            </w:pPr>
            <w:r w:rsidRPr="007A05B1">
              <w:rPr>
                <w:color w:val="000000" w:themeColor="text1"/>
                <w:sz w:val="20"/>
              </w:rPr>
              <w:t>62,16</w:t>
            </w:r>
          </w:p>
          <w:p w14:paraId="1A926D72" w14:textId="77777777" w:rsidR="006B4C71" w:rsidRPr="007A05B1" w:rsidRDefault="006B4C71" w:rsidP="006B4C71">
            <w:pPr>
              <w:jc w:val="right"/>
              <w:rPr>
                <w:color w:val="000000" w:themeColor="text1"/>
                <w:sz w:val="20"/>
              </w:rPr>
            </w:pPr>
            <w:r w:rsidRPr="007A05B1">
              <w:rPr>
                <w:color w:val="000000" w:themeColor="text1"/>
                <w:sz w:val="20"/>
              </w:rPr>
              <w:t>145,90</w:t>
            </w:r>
          </w:p>
        </w:tc>
      </w:tr>
      <w:tr w:rsidR="006B4C71" w:rsidRPr="004B11AC" w14:paraId="709FAD61" w14:textId="77777777" w:rsidTr="006B4C71">
        <w:trPr>
          <w:gridAfter w:val="1"/>
          <w:wAfter w:w="9" w:type="dxa"/>
        </w:trPr>
        <w:tc>
          <w:tcPr>
            <w:tcW w:w="3546" w:type="dxa"/>
          </w:tcPr>
          <w:p w14:paraId="2F4309E9" w14:textId="77777777" w:rsidR="006B4C71" w:rsidRPr="005F7128" w:rsidRDefault="006B4C71" w:rsidP="006B4C71">
            <w:pPr>
              <w:rPr>
                <w:color w:val="000000" w:themeColor="text1"/>
              </w:rPr>
            </w:pPr>
            <w:r w:rsidRPr="005F7128">
              <w:rPr>
                <w:b/>
                <w:color w:val="000000" w:themeColor="text1"/>
                <w:sz w:val="20"/>
                <w:szCs w:val="20"/>
              </w:rPr>
              <w:t xml:space="preserve">Neinvestiční půjčené prostředky podnikatelským subjektům </w:t>
            </w:r>
            <w:r w:rsidRPr="005F7128">
              <w:rPr>
                <w:color w:val="000000" w:themeColor="text1"/>
                <w:sz w:val="20"/>
              </w:rPr>
              <w:t>(podsesk. pol. 561)</w:t>
            </w:r>
          </w:p>
        </w:tc>
        <w:tc>
          <w:tcPr>
            <w:tcW w:w="1274" w:type="dxa"/>
          </w:tcPr>
          <w:p w14:paraId="39DFF4CE" w14:textId="77777777" w:rsidR="006B4C71" w:rsidRPr="005F7128" w:rsidRDefault="006B4C71" w:rsidP="006B4C71">
            <w:pPr>
              <w:jc w:val="right"/>
              <w:rPr>
                <w:b/>
                <w:bCs/>
                <w:color w:val="000000" w:themeColor="text1"/>
                <w:sz w:val="20"/>
              </w:rPr>
            </w:pPr>
          </w:p>
          <w:p w14:paraId="5FBF4F69" w14:textId="77777777" w:rsidR="006B4C71" w:rsidRPr="005F7128" w:rsidRDefault="006B4C71" w:rsidP="006B4C71">
            <w:pPr>
              <w:jc w:val="right"/>
              <w:rPr>
                <w:b/>
                <w:bCs/>
                <w:color w:val="000000" w:themeColor="text1"/>
                <w:sz w:val="20"/>
              </w:rPr>
            </w:pPr>
            <w:r w:rsidRPr="005F7128">
              <w:rPr>
                <w:b/>
                <w:bCs/>
                <w:color w:val="000000" w:themeColor="text1"/>
                <w:sz w:val="20"/>
              </w:rPr>
              <w:t xml:space="preserve">         </w:t>
            </w:r>
          </w:p>
          <w:p w14:paraId="49566169" w14:textId="77777777" w:rsidR="006B4C71" w:rsidRPr="005F7128" w:rsidRDefault="006B4C71" w:rsidP="006B4C71">
            <w:pPr>
              <w:jc w:val="right"/>
              <w:rPr>
                <w:b/>
                <w:bCs/>
                <w:color w:val="000000" w:themeColor="text1"/>
                <w:sz w:val="20"/>
              </w:rPr>
            </w:pPr>
            <w:r w:rsidRPr="005F7128">
              <w:rPr>
                <w:b/>
                <w:bCs/>
                <w:color w:val="000000" w:themeColor="text1"/>
                <w:sz w:val="20"/>
              </w:rPr>
              <w:t>42 350</w:t>
            </w:r>
          </w:p>
        </w:tc>
        <w:tc>
          <w:tcPr>
            <w:tcW w:w="1134" w:type="dxa"/>
          </w:tcPr>
          <w:p w14:paraId="11E3D310" w14:textId="77777777" w:rsidR="006B4C71" w:rsidRPr="00AC04E7" w:rsidRDefault="006B4C71" w:rsidP="006B4C71">
            <w:pPr>
              <w:jc w:val="right"/>
              <w:rPr>
                <w:b/>
                <w:color w:val="000000" w:themeColor="text1"/>
                <w:sz w:val="20"/>
              </w:rPr>
            </w:pPr>
          </w:p>
          <w:p w14:paraId="6C24BF16" w14:textId="77777777" w:rsidR="006B4C71" w:rsidRPr="00AC04E7" w:rsidRDefault="006B4C71" w:rsidP="006B4C71">
            <w:pPr>
              <w:jc w:val="right"/>
              <w:rPr>
                <w:b/>
                <w:color w:val="000000" w:themeColor="text1"/>
                <w:sz w:val="20"/>
              </w:rPr>
            </w:pPr>
          </w:p>
          <w:p w14:paraId="58C3AA9F" w14:textId="77777777" w:rsidR="006B4C71" w:rsidRPr="00AC04E7" w:rsidRDefault="006B4C71" w:rsidP="006B4C71">
            <w:pPr>
              <w:jc w:val="right"/>
              <w:rPr>
                <w:b/>
                <w:color w:val="000000" w:themeColor="text1"/>
                <w:sz w:val="20"/>
              </w:rPr>
            </w:pPr>
            <w:r w:rsidRPr="00AC04E7">
              <w:rPr>
                <w:b/>
                <w:color w:val="000000" w:themeColor="text1"/>
                <w:sz w:val="20"/>
              </w:rPr>
              <w:t>0</w:t>
            </w:r>
          </w:p>
        </w:tc>
        <w:tc>
          <w:tcPr>
            <w:tcW w:w="1134" w:type="dxa"/>
          </w:tcPr>
          <w:p w14:paraId="65758ADF" w14:textId="77777777" w:rsidR="006B4C71" w:rsidRPr="00AC04E7" w:rsidRDefault="006B4C71" w:rsidP="006B4C71">
            <w:pPr>
              <w:jc w:val="right"/>
              <w:rPr>
                <w:b/>
                <w:color w:val="000000" w:themeColor="text1"/>
                <w:sz w:val="20"/>
              </w:rPr>
            </w:pPr>
          </w:p>
          <w:p w14:paraId="695D898A" w14:textId="77777777" w:rsidR="006B4C71" w:rsidRPr="00AC04E7" w:rsidRDefault="006B4C71" w:rsidP="006B4C71">
            <w:pPr>
              <w:jc w:val="right"/>
              <w:rPr>
                <w:b/>
                <w:color w:val="000000" w:themeColor="text1"/>
                <w:sz w:val="20"/>
              </w:rPr>
            </w:pPr>
          </w:p>
          <w:p w14:paraId="44726EFD" w14:textId="77777777" w:rsidR="006B4C71" w:rsidRPr="00AC04E7" w:rsidRDefault="006B4C71" w:rsidP="006B4C71">
            <w:pPr>
              <w:jc w:val="right"/>
              <w:rPr>
                <w:b/>
                <w:color w:val="000000" w:themeColor="text1"/>
                <w:sz w:val="20"/>
              </w:rPr>
            </w:pPr>
            <w:r w:rsidRPr="00AC04E7">
              <w:rPr>
                <w:b/>
                <w:bCs/>
                <w:color w:val="000000" w:themeColor="text1"/>
                <w:sz w:val="20"/>
              </w:rPr>
              <w:t>0</w:t>
            </w:r>
          </w:p>
        </w:tc>
        <w:tc>
          <w:tcPr>
            <w:tcW w:w="1134" w:type="dxa"/>
          </w:tcPr>
          <w:p w14:paraId="7518C369" w14:textId="77777777" w:rsidR="006B4C71" w:rsidRPr="00AC04E7" w:rsidRDefault="006B4C71" w:rsidP="006B4C71">
            <w:pPr>
              <w:jc w:val="right"/>
              <w:rPr>
                <w:b/>
                <w:bCs/>
                <w:color w:val="000000" w:themeColor="text1"/>
                <w:sz w:val="20"/>
              </w:rPr>
            </w:pPr>
          </w:p>
          <w:p w14:paraId="520D9BBD" w14:textId="77777777" w:rsidR="006B4C71" w:rsidRPr="00AC04E7" w:rsidRDefault="006B4C71" w:rsidP="006B4C71">
            <w:pPr>
              <w:jc w:val="right"/>
              <w:rPr>
                <w:b/>
                <w:bCs/>
                <w:color w:val="000000" w:themeColor="text1"/>
                <w:sz w:val="20"/>
              </w:rPr>
            </w:pPr>
            <w:r w:rsidRPr="00AC04E7">
              <w:rPr>
                <w:b/>
                <w:bCs/>
                <w:color w:val="000000" w:themeColor="text1"/>
                <w:sz w:val="20"/>
              </w:rPr>
              <w:t xml:space="preserve">         </w:t>
            </w:r>
          </w:p>
          <w:p w14:paraId="6F1C8097" w14:textId="77777777" w:rsidR="006B4C71" w:rsidRPr="00AC04E7" w:rsidRDefault="006B4C71" w:rsidP="006B4C71">
            <w:pPr>
              <w:jc w:val="right"/>
              <w:rPr>
                <w:b/>
                <w:bCs/>
                <w:color w:val="000000" w:themeColor="text1"/>
                <w:sz w:val="20"/>
              </w:rPr>
            </w:pPr>
            <w:r w:rsidRPr="00AC04E7">
              <w:rPr>
                <w:b/>
                <w:bCs/>
                <w:color w:val="000000" w:themeColor="text1"/>
                <w:sz w:val="20"/>
              </w:rPr>
              <w:t>10 650</w:t>
            </w:r>
          </w:p>
        </w:tc>
        <w:tc>
          <w:tcPr>
            <w:tcW w:w="779" w:type="dxa"/>
          </w:tcPr>
          <w:p w14:paraId="337E2661" w14:textId="77777777" w:rsidR="006B4C71" w:rsidRPr="005147AC" w:rsidRDefault="006B4C71" w:rsidP="006B4C71">
            <w:pPr>
              <w:jc w:val="right"/>
              <w:rPr>
                <w:b/>
                <w:bCs/>
                <w:sz w:val="20"/>
              </w:rPr>
            </w:pPr>
          </w:p>
          <w:p w14:paraId="09932518" w14:textId="77777777" w:rsidR="006B4C71" w:rsidRPr="005147AC" w:rsidRDefault="006B4C71" w:rsidP="006B4C71">
            <w:pPr>
              <w:jc w:val="right"/>
              <w:rPr>
                <w:b/>
                <w:bCs/>
                <w:sz w:val="20"/>
              </w:rPr>
            </w:pPr>
          </w:p>
          <w:p w14:paraId="6D02B2A1" w14:textId="77777777" w:rsidR="006B4C71" w:rsidRPr="005147AC" w:rsidRDefault="006B4C71" w:rsidP="006B4C71">
            <w:pPr>
              <w:jc w:val="right"/>
              <w:rPr>
                <w:b/>
                <w:bCs/>
                <w:sz w:val="20"/>
              </w:rPr>
            </w:pPr>
            <w:r w:rsidRPr="005147AC">
              <w:rPr>
                <w:sz w:val="20"/>
              </w:rPr>
              <w:t>x</w:t>
            </w:r>
          </w:p>
        </w:tc>
        <w:tc>
          <w:tcPr>
            <w:tcW w:w="800" w:type="dxa"/>
          </w:tcPr>
          <w:p w14:paraId="1B8BAB13" w14:textId="77777777" w:rsidR="006B4C71" w:rsidRPr="005147AC" w:rsidRDefault="006B4C71" w:rsidP="006B4C71">
            <w:pPr>
              <w:jc w:val="right"/>
              <w:rPr>
                <w:b/>
                <w:bCs/>
                <w:sz w:val="20"/>
              </w:rPr>
            </w:pPr>
          </w:p>
          <w:p w14:paraId="582EB09F" w14:textId="77777777" w:rsidR="006B4C71" w:rsidRPr="005147AC" w:rsidRDefault="006B4C71" w:rsidP="006B4C71">
            <w:pPr>
              <w:jc w:val="right"/>
              <w:rPr>
                <w:b/>
                <w:bCs/>
                <w:sz w:val="20"/>
              </w:rPr>
            </w:pPr>
          </w:p>
          <w:p w14:paraId="123AB0DC" w14:textId="77777777" w:rsidR="006B4C71" w:rsidRPr="005147AC" w:rsidRDefault="006B4C71" w:rsidP="006B4C71">
            <w:pPr>
              <w:jc w:val="right"/>
              <w:rPr>
                <w:b/>
                <w:bCs/>
                <w:sz w:val="20"/>
              </w:rPr>
            </w:pPr>
            <w:r w:rsidRPr="005147AC">
              <w:rPr>
                <w:b/>
                <w:bCs/>
                <w:sz w:val="20"/>
              </w:rPr>
              <w:t>25,15</w:t>
            </w:r>
          </w:p>
        </w:tc>
      </w:tr>
      <w:tr w:rsidR="006B4C71" w:rsidRPr="00D32E40" w14:paraId="0B5E8982" w14:textId="77777777" w:rsidTr="006B4C71">
        <w:trPr>
          <w:gridAfter w:val="1"/>
          <w:wAfter w:w="9" w:type="dxa"/>
          <w:trHeight w:val="583"/>
        </w:trPr>
        <w:tc>
          <w:tcPr>
            <w:tcW w:w="3546" w:type="dxa"/>
          </w:tcPr>
          <w:p w14:paraId="38CB4AB0" w14:textId="77777777" w:rsidR="006B4C71" w:rsidRPr="005F7128" w:rsidRDefault="006B4C71" w:rsidP="006B4C71">
            <w:pPr>
              <w:rPr>
                <w:color w:val="000000" w:themeColor="text1"/>
                <w:sz w:val="20"/>
              </w:rPr>
            </w:pPr>
            <w:r w:rsidRPr="005F7128">
              <w:rPr>
                <w:b/>
                <w:bCs/>
                <w:color w:val="000000" w:themeColor="text1"/>
                <w:sz w:val="20"/>
              </w:rPr>
              <w:t xml:space="preserve">Neinvestiční transfery státním fondům                       </w:t>
            </w:r>
            <w:r w:rsidRPr="005F7128">
              <w:rPr>
                <w:color w:val="000000" w:themeColor="text1"/>
                <w:sz w:val="20"/>
              </w:rPr>
              <w:t>(podsesk. pol. 531 )</w:t>
            </w:r>
          </w:p>
          <w:p w14:paraId="69FD23DE" w14:textId="77777777" w:rsidR="006B4C71" w:rsidRPr="005F7128" w:rsidRDefault="006B4C71" w:rsidP="006B4C71">
            <w:pPr>
              <w:jc w:val="both"/>
              <w:rPr>
                <w:color w:val="000000" w:themeColor="text1"/>
                <w:sz w:val="20"/>
              </w:rPr>
            </w:pPr>
            <w:r w:rsidRPr="005F7128">
              <w:rPr>
                <w:color w:val="000000" w:themeColor="text1"/>
                <w:sz w:val="20"/>
              </w:rPr>
              <w:t xml:space="preserve">         z toho: program. fin. (EDS/SMVS)</w:t>
            </w:r>
          </w:p>
          <w:p w14:paraId="2F55E500" w14:textId="77777777" w:rsidR="006B4C71" w:rsidRPr="005F7128" w:rsidRDefault="006B4C71" w:rsidP="006B4C71">
            <w:pPr>
              <w:jc w:val="both"/>
              <w:rPr>
                <w:color w:val="000000" w:themeColor="text1"/>
                <w:sz w:val="20"/>
              </w:rPr>
            </w:pPr>
            <w:r w:rsidRPr="005F7128">
              <w:rPr>
                <w:color w:val="000000" w:themeColor="text1"/>
                <w:sz w:val="20"/>
              </w:rPr>
              <w:t xml:space="preserve">                     prostředky EU</w:t>
            </w:r>
          </w:p>
        </w:tc>
        <w:tc>
          <w:tcPr>
            <w:tcW w:w="1274" w:type="dxa"/>
          </w:tcPr>
          <w:p w14:paraId="0D3EF351" w14:textId="77777777" w:rsidR="006B4C71" w:rsidRPr="005F7128" w:rsidRDefault="006B4C71" w:rsidP="006B4C71">
            <w:pPr>
              <w:jc w:val="right"/>
              <w:rPr>
                <w:bCs/>
                <w:color w:val="000000" w:themeColor="text1"/>
                <w:sz w:val="20"/>
              </w:rPr>
            </w:pPr>
          </w:p>
          <w:p w14:paraId="43091463" w14:textId="77777777" w:rsidR="006B4C71" w:rsidRPr="005F7128" w:rsidRDefault="006B4C71" w:rsidP="006B4C71">
            <w:pPr>
              <w:jc w:val="right"/>
              <w:rPr>
                <w:b/>
                <w:bCs/>
                <w:color w:val="000000" w:themeColor="text1"/>
                <w:sz w:val="20"/>
              </w:rPr>
            </w:pPr>
            <w:r w:rsidRPr="005F7128">
              <w:rPr>
                <w:b/>
                <w:bCs/>
                <w:color w:val="000000" w:themeColor="text1"/>
                <w:sz w:val="20"/>
              </w:rPr>
              <w:t>6 887 713</w:t>
            </w:r>
            <w:r w:rsidRPr="005F7128">
              <w:rPr>
                <w:bCs/>
                <w:color w:val="000000" w:themeColor="text1"/>
                <w:sz w:val="20"/>
              </w:rPr>
              <w:t xml:space="preserve">             </w:t>
            </w:r>
          </w:p>
          <w:p w14:paraId="4E5FE903" w14:textId="77777777" w:rsidR="006B4C71" w:rsidRPr="005F7128" w:rsidRDefault="006B4C71" w:rsidP="006B4C71">
            <w:pPr>
              <w:jc w:val="right"/>
              <w:rPr>
                <w:bCs/>
                <w:color w:val="000000" w:themeColor="text1"/>
                <w:sz w:val="20"/>
              </w:rPr>
            </w:pPr>
            <w:r w:rsidRPr="005F7128">
              <w:rPr>
                <w:bCs/>
                <w:color w:val="000000" w:themeColor="text1"/>
                <w:sz w:val="20"/>
              </w:rPr>
              <w:t>961</w:t>
            </w:r>
          </w:p>
          <w:p w14:paraId="507B0A21" w14:textId="77777777" w:rsidR="006B4C71" w:rsidRPr="005F7128" w:rsidRDefault="006B4C71" w:rsidP="006B4C71">
            <w:pPr>
              <w:jc w:val="right"/>
              <w:rPr>
                <w:b/>
                <w:bCs/>
                <w:color w:val="000000" w:themeColor="text1"/>
                <w:sz w:val="20"/>
              </w:rPr>
            </w:pPr>
            <w:r w:rsidRPr="005F7128">
              <w:rPr>
                <w:bCs/>
                <w:color w:val="000000" w:themeColor="text1"/>
                <w:sz w:val="20"/>
              </w:rPr>
              <w:t>27 973</w:t>
            </w:r>
            <w:r w:rsidRPr="005F7128">
              <w:rPr>
                <w:b/>
                <w:bCs/>
                <w:color w:val="000000" w:themeColor="text1"/>
                <w:sz w:val="20"/>
              </w:rPr>
              <w:t xml:space="preserve"> </w:t>
            </w:r>
          </w:p>
        </w:tc>
        <w:tc>
          <w:tcPr>
            <w:tcW w:w="1134" w:type="dxa"/>
          </w:tcPr>
          <w:p w14:paraId="1B407F5D" w14:textId="77777777" w:rsidR="006B4C71" w:rsidRPr="004B11AC" w:rsidRDefault="006B4C71" w:rsidP="006B4C71">
            <w:pPr>
              <w:jc w:val="right"/>
              <w:rPr>
                <w:color w:val="FF0000"/>
                <w:sz w:val="20"/>
              </w:rPr>
            </w:pPr>
          </w:p>
          <w:p w14:paraId="1462D16E" w14:textId="77777777" w:rsidR="006B4C71" w:rsidRPr="00A33A72" w:rsidRDefault="006B4C71" w:rsidP="006B4C71">
            <w:pPr>
              <w:jc w:val="right"/>
              <w:rPr>
                <w:b/>
                <w:color w:val="000000" w:themeColor="text1"/>
                <w:sz w:val="20"/>
              </w:rPr>
            </w:pPr>
            <w:r w:rsidRPr="00A33A72">
              <w:rPr>
                <w:b/>
                <w:color w:val="000000" w:themeColor="text1"/>
                <w:sz w:val="20"/>
              </w:rPr>
              <w:t xml:space="preserve">6 056 287 </w:t>
            </w:r>
          </w:p>
          <w:p w14:paraId="2E0916BE" w14:textId="77777777" w:rsidR="006B4C71" w:rsidRPr="006F2900" w:rsidRDefault="006B4C71" w:rsidP="006B4C71">
            <w:pPr>
              <w:jc w:val="right"/>
              <w:rPr>
                <w:color w:val="000000" w:themeColor="text1"/>
                <w:sz w:val="20"/>
              </w:rPr>
            </w:pPr>
            <w:r w:rsidRPr="006F2900">
              <w:rPr>
                <w:color w:val="000000" w:themeColor="text1"/>
                <w:sz w:val="20"/>
              </w:rPr>
              <w:t>0</w:t>
            </w:r>
          </w:p>
          <w:p w14:paraId="2DBA5031" w14:textId="77777777" w:rsidR="006B4C71" w:rsidRPr="004B11AC" w:rsidRDefault="006B4C71" w:rsidP="006B4C71">
            <w:pPr>
              <w:jc w:val="right"/>
              <w:rPr>
                <w:color w:val="FF0000"/>
                <w:sz w:val="20"/>
              </w:rPr>
            </w:pPr>
            <w:r w:rsidRPr="00B4028D">
              <w:rPr>
                <w:color w:val="000000" w:themeColor="text1"/>
                <w:sz w:val="20"/>
              </w:rPr>
              <w:t xml:space="preserve">59 956 </w:t>
            </w:r>
          </w:p>
        </w:tc>
        <w:tc>
          <w:tcPr>
            <w:tcW w:w="1134" w:type="dxa"/>
          </w:tcPr>
          <w:p w14:paraId="5FA3211F" w14:textId="77777777" w:rsidR="006B4C71" w:rsidRPr="004B11AC" w:rsidRDefault="006B4C71" w:rsidP="006B4C71">
            <w:pPr>
              <w:jc w:val="right"/>
              <w:rPr>
                <w:color w:val="FF0000"/>
                <w:sz w:val="20"/>
              </w:rPr>
            </w:pPr>
            <w:r w:rsidRPr="004B11AC">
              <w:rPr>
                <w:color w:val="FF0000"/>
                <w:sz w:val="20"/>
              </w:rPr>
              <w:t xml:space="preserve">     </w:t>
            </w:r>
          </w:p>
          <w:p w14:paraId="103A7A61" w14:textId="77777777" w:rsidR="006B4C71" w:rsidRPr="00A33A72" w:rsidRDefault="006B4C71" w:rsidP="006B4C71">
            <w:pPr>
              <w:jc w:val="right"/>
              <w:rPr>
                <w:b/>
                <w:color w:val="000000" w:themeColor="text1"/>
                <w:sz w:val="20"/>
              </w:rPr>
            </w:pPr>
            <w:r w:rsidRPr="00A33A72">
              <w:rPr>
                <w:b/>
                <w:color w:val="000000" w:themeColor="text1"/>
                <w:sz w:val="20"/>
              </w:rPr>
              <w:t xml:space="preserve">14 062 373  </w:t>
            </w:r>
          </w:p>
          <w:p w14:paraId="2E75A618" w14:textId="77777777" w:rsidR="006B4C71" w:rsidRPr="00B4028D" w:rsidRDefault="006B4C71" w:rsidP="006B4C71">
            <w:pPr>
              <w:jc w:val="right"/>
              <w:rPr>
                <w:color w:val="000000" w:themeColor="text1"/>
                <w:sz w:val="20"/>
              </w:rPr>
            </w:pPr>
            <w:r w:rsidRPr="00B4028D">
              <w:rPr>
                <w:color w:val="000000" w:themeColor="text1"/>
                <w:sz w:val="20"/>
              </w:rPr>
              <w:t>3 001 168</w:t>
            </w:r>
          </w:p>
          <w:p w14:paraId="7271ABCD" w14:textId="77777777" w:rsidR="006B4C71" w:rsidRPr="004B11AC" w:rsidRDefault="006B4C71" w:rsidP="006B4C71">
            <w:pPr>
              <w:jc w:val="right"/>
              <w:rPr>
                <w:color w:val="FF0000"/>
                <w:sz w:val="20"/>
              </w:rPr>
            </w:pPr>
            <w:r w:rsidRPr="00B4028D">
              <w:rPr>
                <w:color w:val="000000" w:themeColor="text1"/>
                <w:sz w:val="20"/>
              </w:rPr>
              <w:t xml:space="preserve">61 124    </w:t>
            </w:r>
          </w:p>
        </w:tc>
        <w:tc>
          <w:tcPr>
            <w:tcW w:w="1134" w:type="dxa"/>
          </w:tcPr>
          <w:p w14:paraId="0DD8C373" w14:textId="77777777" w:rsidR="006B4C71" w:rsidRPr="004B11AC" w:rsidRDefault="006B4C71" w:rsidP="006B4C71">
            <w:pPr>
              <w:jc w:val="right"/>
              <w:rPr>
                <w:bCs/>
                <w:color w:val="FF0000"/>
                <w:sz w:val="20"/>
              </w:rPr>
            </w:pPr>
          </w:p>
          <w:p w14:paraId="4FCEBC83" w14:textId="77777777" w:rsidR="006B4C71" w:rsidRPr="00A33A72" w:rsidRDefault="006B4C71" w:rsidP="006B4C71">
            <w:pPr>
              <w:jc w:val="right"/>
              <w:rPr>
                <w:b/>
                <w:bCs/>
                <w:color w:val="000000" w:themeColor="text1"/>
                <w:sz w:val="20"/>
              </w:rPr>
            </w:pPr>
            <w:r w:rsidRPr="00A33A72">
              <w:rPr>
                <w:b/>
                <w:bCs/>
                <w:color w:val="000000" w:themeColor="text1"/>
                <w:sz w:val="20"/>
              </w:rPr>
              <w:t>13 966 954</w:t>
            </w:r>
            <w:r w:rsidRPr="00A33A72">
              <w:rPr>
                <w:bCs/>
                <w:color w:val="000000" w:themeColor="text1"/>
                <w:sz w:val="20"/>
              </w:rPr>
              <w:t xml:space="preserve">             </w:t>
            </w:r>
          </w:p>
          <w:p w14:paraId="4922CE19" w14:textId="77777777" w:rsidR="006B4C71" w:rsidRPr="00B4028D" w:rsidRDefault="006B4C71" w:rsidP="006B4C71">
            <w:pPr>
              <w:jc w:val="right"/>
              <w:rPr>
                <w:bCs/>
                <w:color w:val="000000" w:themeColor="text1"/>
                <w:sz w:val="20"/>
              </w:rPr>
            </w:pPr>
            <w:r w:rsidRPr="00B4028D">
              <w:rPr>
                <w:bCs/>
                <w:color w:val="000000" w:themeColor="text1"/>
                <w:sz w:val="20"/>
              </w:rPr>
              <w:t>2 237</w:t>
            </w:r>
          </w:p>
          <w:p w14:paraId="57496D1F" w14:textId="77777777" w:rsidR="006B4C71" w:rsidRPr="004B11AC" w:rsidRDefault="006B4C71" w:rsidP="006B4C71">
            <w:pPr>
              <w:jc w:val="right"/>
              <w:rPr>
                <w:b/>
                <w:bCs/>
                <w:color w:val="FF0000"/>
                <w:sz w:val="20"/>
              </w:rPr>
            </w:pPr>
            <w:r w:rsidRPr="00B4028D">
              <w:rPr>
                <w:bCs/>
                <w:color w:val="000000" w:themeColor="text1"/>
                <w:sz w:val="20"/>
              </w:rPr>
              <w:t>53 459</w:t>
            </w:r>
            <w:r w:rsidRPr="00B4028D">
              <w:rPr>
                <w:b/>
                <w:bCs/>
                <w:color w:val="000000" w:themeColor="text1"/>
                <w:sz w:val="20"/>
              </w:rPr>
              <w:t xml:space="preserve"> </w:t>
            </w:r>
          </w:p>
        </w:tc>
        <w:tc>
          <w:tcPr>
            <w:tcW w:w="779" w:type="dxa"/>
          </w:tcPr>
          <w:p w14:paraId="36EC2883" w14:textId="77777777" w:rsidR="006B4C71" w:rsidRPr="004B11AC" w:rsidRDefault="006B4C71" w:rsidP="006B4C71">
            <w:pPr>
              <w:jc w:val="right"/>
              <w:rPr>
                <w:bCs/>
                <w:color w:val="FF0000"/>
                <w:sz w:val="20"/>
              </w:rPr>
            </w:pPr>
          </w:p>
          <w:p w14:paraId="1CDAF2CC" w14:textId="77777777" w:rsidR="006B4C71" w:rsidRPr="005147AC" w:rsidRDefault="006B4C71" w:rsidP="006B4C71">
            <w:pPr>
              <w:jc w:val="right"/>
              <w:rPr>
                <w:b/>
                <w:sz w:val="20"/>
              </w:rPr>
            </w:pPr>
            <w:r w:rsidRPr="005147AC">
              <w:rPr>
                <w:b/>
                <w:sz w:val="20"/>
              </w:rPr>
              <w:t>99,32</w:t>
            </w:r>
          </w:p>
          <w:p w14:paraId="16A14159" w14:textId="77777777" w:rsidR="006B4C71" w:rsidRPr="005147AC" w:rsidRDefault="006B4C71" w:rsidP="006B4C71">
            <w:pPr>
              <w:jc w:val="right"/>
              <w:rPr>
                <w:bCs/>
                <w:sz w:val="20"/>
              </w:rPr>
            </w:pPr>
            <w:r w:rsidRPr="005147AC">
              <w:rPr>
                <w:sz w:val="20"/>
              </w:rPr>
              <w:t>0,07</w:t>
            </w:r>
          </w:p>
          <w:p w14:paraId="4354A084" w14:textId="77777777" w:rsidR="006B4C71" w:rsidRPr="004B11AC" w:rsidRDefault="006B4C71" w:rsidP="006B4C71">
            <w:pPr>
              <w:jc w:val="right"/>
              <w:rPr>
                <w:bCs/>
                <w:color w:val="FF0000"/>
                <w:sz w:val="20"/>
              </w:rPr>
            </w:pPr>
            <w:r w:rsidRPr="005147AC">
              <w:rPr>
                <w:sz w:val="20"/>
              </w:rPr>
              <w:t>87,46</w:t>
            </w:r>
          </w:p>
        </w:tc>
        <w:tc>
          <w:tcPr>
            <w:tcW w:w="800" w:type="dxa"/>
          </w:tcPr>
          <w:p w14:paraId="209EAFBD" w14:textId="77777777" w:rsidR="006B4C71" w:rsidRPr="00D32E40" w:rsidRDefault="006B4C71" w:rsidP="006B4C71">
            <w:pPr>
              <w:jc w:val="right"/>
              <w:rPr>
                <w:bCs/>
                <w:color w:val="000000" w:themeColor="text1"/>
                <w:sz w:val="20"/>
              </w:rPr>
            </w:pPr>
          </w:p>
          <w:p w14:paraId="02C89997" w14:textId="77777777" w:rsidR="006B4C71" w:rsidRPr="00D32E40" w:rsidRDefault="006B4C71" w:rsidP="006B4C71">
            <w:pPr>
              <w:jc w:val="right"/>
              <w:rPr>
                <w:b/>
                <w:color w:val="000000" w:themeColor="text1"/>
                <w:sz w:val="20"/>
              </w:rPr>
            </w:pPr>
            <w:r w:rsidRPr="00D32E40">
              <w:rPr>
                <w:b/>
                <w:color w:val="000000" w:themeColor="text1"/>
                <w:sz w:val="20"/>
              </w:rPr>
              <w:t>202,78</w:t>
            </w:r>
          </w:p>
          <w:p w14:paraId="64B8E49C" w14:textId="77777777" w:rsidR="006B4C71" w:rsidRPr="00D32E40" w:rsidRDefault="006B4C71" w:rsidP="006B4C71">
            <w:pPr>
              <w:jc w:val="right"/>
              <w:rPr>
                <w:bCs/>
                <w:color w:val="000000" w:themeColor="text1"/>
                <w:sz w:val="20"/>
              </w:rPr>
            </w:pPr>
            <w:r w:rsidRPr="00D32E40">
              <w:rPr>
                <w:color w:val="000000" w:themeColor="text1"/>
                <w:sz w:val="20"/>
              </w:rPr>
              <w:t>232,78</w:t>
            </w:r>
          </w:p>
          <w:p w14:paraId="24271BB4" w14:textId="77777777" w:rsidR="006B4C71" w:rsidRPr="00D32E40" w:rsidRDefault="006B4C71" w:rsidP="006B4C71">
            <w:pPr>
              <w:jc w:val="right"/>
              <w:rPr>
                <w:bCs/>
                <w:color w:val="000000" w:themeColor="text1"/>
                <w:sz w:val="20"/>
              </w:rPr>
            </w:pPr>
            <w:r w:rsidRPr="00D32E40">
              <w:rPr>
                <w:color w:val="000000" w:themeColor="text1"/>
                <w:sz w:val="20"/>
              </w:rPr>
              <w:t>191,11</w:t>
            </w:r>
          </w:p>
        </w:tc>
      </w:tr>
      <w:tr w:rsidR="006B4C71" w:rsidRPr="004B11AC" w14:paraId="12B85E11" w14:textId="77777777" w:rsidTr="006B4C71">
        <w:trPr>
          <w:gridAfter w:val="1"/>
          <w:wAfter w:w="9" w:type="dxa"/>
          <w:trHeight w:val="501"/>
        </w:trPr>
        <w:tc>
          <w:tcPr>
            <w:tcW w:w="3546" w:type="dxa"/>
          </w:tcPr>
          <w:p w14:paraId="44CDEDC8" w14:textId="77777777" w:rsidR="006B4C71" w:rsidRPr="005F7128" w:rsidRDefault="006B4C71" w:rsidP="006B4C71">
            <w:pPr>
              <w:rPr>
                <w:b/>
                <w:bCs/>
                <w:color w:val="000000" w:themeColor="text1"/>
                <w:sz w:val="20"/>
              </w:rPr>
            </w:pPr>
            <w:r w:rsidRPr="005F7128">
              <w:rPr>
                <w:b/>
                <w:bCs/>
                <w:color w:val="000000" w:themeColor="text1"/>
                <w:sz w:val="20"/>
              </w:rPr>
              <w:t xml:space="preserve">Neinvestiční transfery                                                   do zahraničí </w:t>
            </w:r>
            <w:r w:rsidRPr="005F7128">
              <w:rPr>
                <w:color w:val="000000" w:themeColor="text1"/>
                <w:sz w:val="20"/>
              </w:rPr>
              <w:t>(podsesk. pol. 551, 553,554)</w:t>
            </w:r>
          </w:p>
        </w:tc>
        <w:tc>
          <w:tcPr>
            <w:tcW w:w="1274" w:type="dxa"/>
          </w:tcPr>
          <w:p w14:paraId="2B27FC48" w14:textId="77777777" w:rsidR="006B4C71" w:rsidRPr="005F7128" w:rsidRDefault="006B4C71" w:rsidP="006B4C71">
            <w:pPr>
              <w:jc w:val="right"/>
              <w:rPr>
                <w:b/>
                <w:bCs/>
                <w:color w:val="000000" w:themeColor="text1"/>
                <w:sz w:val="20"/>
              </w:rPr>
            </w:pPr>
          </w:p>
          <w:p w14:paraId="38061BD7" w14:textId="77777777" w:rsidR="006B4C71" w:rsidRPr="005F7128" w:rsidRDefault="006B4C71" w:rsidP="006B4C71">
            <w:pPr>
              <w:jc w:val="center"/>
              <w:rPr>
                <w:b/>
                <w:bCs/>
                <w:color w:val="000000" w:themeColor="text1"/>
                <w:sz w:val="20"/>
              </w:rPr>
            </w:pPr>
            <w:r w:rsidRPr="005F7128">
              <w:rPr>
                <w:b/>
                <w:bCs/>
                <w:color w:val="000000" w:themeColor="text1"/>
                <w:sz w:val="20"/>
              </w:rPr>
              <w:t xml:space="preserve">     940 200</w:t>
            </w:r>
          </w:p>
        </w:tc>
        <w:tc>
          <w:tcPr>
            <w:tcW w:w="1134" w:type="dxa"/>
          </w:tcPr>
          <w:p w14:paraId="5D66DE19" w14:textId="77777777" w:rsidR="006B4C71" w:rsidRPr="005537A7" w:rsidRDefault="006B4C71" w:rsidP="006B4C71">
            <w:pPr>
              <w:jc w:val="right"/>
              <w:rPr>
                <w:b/>
                <w:color w:val="000000" w:themeColor="text1"/>
                <w:sz w:val="20"/>
              </w:rPr>
            </w:pPr>
          </w:p>
          <w:p w14:paraId="4E633A80" w14:textId="77777777" w:rsidR="006B4C71" w:rsidRPr="005537A7" w:rsidRDefault="006B4C71" w:rsidP="006B4C71">
            <w:pPr>
              <w:jc w:val="right"/>
              <w:rPr>
                <w:b/>
                <w:color w:val="000000" w:themeColor="text1"/>
                <w:sz w:val="20"/>
              </w:rPr>
            </w:pPr>
            <w:r w:rsidRPr="005537A7">
              <w:rPr>
                <w:b/>
                <w:color w:val="000000" w:themeColor="text1"/>
                <w:sz w:val="20"/>
              </w:rPr>
              <w:t>954 275</w:t>
            </w:r>
          </w:p>
        </w:tc>
        <w:tc>
          <w:tcPr>
            <w:tcW w:w="1134" w:type="dxa"/>
          </w:tcPr>
          <w:p w14:paraId="4FC81D09" w14:textId="77777777" w:rsidR="006B4C71" w:rsidRPr="005537A7" w:rsidRDefault="006B4C71" w:rsidP="006B4C71">
            <w:pPr>
              <w:jc w:val="right"/>
              <w:rPr>
                <w:b/>
                <w:color w:val="000000" w:themeColor="text1"/>
                <w:sz w:val="20"/>
              </w:rPr>
            </w:pPr>
          </w:p>
          <w:p w14:paraId="4B0EC89F" w14:textId="77777777" w:rsidR="006B4C71" w:rsidRPr="005537A7" w:rsidRDefault="006B4C71" w:rsidP="006B4C71">
            <w:pPr>
              <w:jc w:val="right"/>
              <w:rPr>
                <w:b/>
                <w:color w:val="000000" w:themeColor="text1"/>
                <w:sz w:val="20"/>
              </w:rPr>
            </w:pPr>
            <w:r w:rsidRPr="005537A7">
              <w:rPr>
                <w:b/>
                <w:color w:val="000000" w:themeColor="text1"/>
                <w:sz w:val="20"/>
              </w:rPr>
              <w:t>953 344</w:t>
            </w:r>
          </w:p>
        </w:tc>
        <w:tc>
          <w:tcPr>
            <w:tcW w:w="1134" w:type="dxa"/>
          </w:tcPr>
          <w:p w14:paraId="11335A40" w14:textId="77777777" w:rsidR="006B4C71" w:rsidRPr="005537A7" w:rsidRDefault="006B4C71" w:rsidP="006B4C71">
            <w:pPr>
              <w:jc w:val="right"/>
              <w:rPr>
                <w:b/>
                <w:bCs/>
                <w:color w:val="000000" w:themeColor="text1"/>
                <w:sz w:val="20"/>
              </w:rPr>
            </w:pPr>
          </w:p>
          <w:p w14:paraId="7A19FE99" w14:textId="77777777" w:rsidR="006B4C71" w:rsidRPr="005537A7" w:rsidRDefault="006B4C71" w:rsidP="006B4C71">
            <w:pPr>
              <w:jc w:val="center"/>
              <w:rPr>
                <w:b/>
                <w:bCs/>
                <w:color w:val="000000" w:themeColor="text1"/>
                <w:sz w:val="20"/>
              </w:rPr>
            </w:pPr>
            <w:r w:rsidRPr="005537A7">
              <w:rPr>
                <w:b/>
                <w:bCs/>
                <w:color w:val="000000" w:themeColor="text1"/>
                <w:sz w:val="20"/>
              </w:rPr>
              <w:t xml:space="preserve">     941 977</w:t>
            </w:r>
          </w:p>
        </w:tc>
        <w:tc>
          <w:tcPr>
            <w:tcW w:w="779" w:type="dxa"/>
          </w:tcPr>
          <w:p w14:paraId="52491A02" w14:textId="77777777" w:rsidR="006B4C71" w:rsidRPr="004B11AC" w:rsidRDefault="006B4C71" w:rsidP="006B4C71">
            <w:pPr>
              <w:jc w:val="right"/>
              <w:rPr>
                <w:b/>
                <w:bCs/>
                <w:color w:val="FF0000"/>
                <w:sz w:val="20"/>
              </w:rPr>
            </w:pPr>
          </w:p>
          <w:p w14:paraId="5977A441" w14:textId="77777777" w:rsidR="006B4C71" w:rsidRPr="004B11AC" w:rsidRDefault="006B4C71" w:rsidP="006B4C71">
            <w:pPr>
              <w:jc w:val="right"/>
              <w:rPr>
                <w:b/>
                <w:bCs/>
                <w:color w:val="FF0000"/>
                <w:sz w:val="20"/>
              </w:rPr>
            </w:pPr>
            <w:r w:rsidRPr="005147AC">
              <w:rPr>
                <w:b/>
                <w:bCs/>
                <w:sz w:val="20"/>
              </w:rPr>
              <w:t>98,81</w:t>
            </w:r>
          </w:p>
        </w:tc>
        <w:tc>
          <w:tcPr>
            <w:tcW w:w="800" w:type="dxa"/>
          </w:tcPr>
          <w:p w14:paraId="5DE5302C" w14:textId="77777777" w:rsidR="006B4C71" w:rsidRPr="004B11AC" w:rsidRDefault="006B4C71" w:rsidP="006B4C71">
            <w:pPr>
              <w:jc w:val="right"/>
              <w:rPr>
                <w:b/>
                <w:bCs/>
                <w:color w:val="FF0000"/>
                <w:sz w:val="20"/>
              </w:rPr>
            </w:pPr>
          </w:p>
          <w:p w14:paraId="3C75EAAA" w14:textId="77777777" w:rsidR="006B4C71" w:rsidRPr="004B11AC" w:rsidRDefault="006B4C71" w:rsidP="006B4C71">
            <w:pPr>
              <w:jc w:val="right"/>
              <w:rPr>
                <w:b/>
                <w:bCs/>
                <w:color w:val="FF0000"/>
                <w:sz w:val="20"/>
              </w:rPr>
            </w:pPr>
            <w:r w:rsidRPr="00D32E40">
              <w:rPr>
                <w:b/>
                <w:bCs/>
                <w:color w:val="000000" w:themeColor="text1"/>
                <w:sz w:val="20"/>
              </w:rPr>
              <w:t>100,19</w:t>
            </w:r>
          </w:p>
        </w:tc>
      </w:tr>
      <w:tr w:rsidR="006B4C71" w:rsidRPr="004B11AC" w14:paraId="4994BF44" w14:textId="77777777" w:rsidTr="006B4C71">
        <w:trPr>
          <w:gridAfter w:val="1"/>
          <w:wAfter w:w="9" w:type="dxa"/>
          <w:trHeight w:val="805"/>
        </w:trPr>
        <w:tc>
          <w:tcPr>
            <w:tcW w:w="3546" w:type="dxa"/>
            <w:tcBorders>
              <w:bottom w:val="single" w:sz="12" w:space="0" w:color="auto"/>
            </w:tcBorders>
          </w:tcPr>
          <w:p w14:paraId="45FD71A4" w14:textId="77777777" w:rsidR="006B4C71" w:rsidRPr="005F7128" w:rsidRDefault="006B4C71" w:rsidP="006B4C71">
            <w:pPr>
              <w:rPr>
                <w:b/>
                <w:color w:val="000000" w:themeColor="text1"/>
                <w:sz w:val="20"/>
              </w:rPr>
            </w:pPr>
            <w:r w:rsidRPr="005F7128">
              <w:rPr>
                <w:b/>
                <w:color w:val="000000" w:themeColor="text1"/>
                <w:sz w:val="20"/>
              </w:rPr>
              <w:t xml:space="preserve">Běžné výdaje  c e l k e m </w:t>
            </w:r>
          </w:p>
          <w:p w14:paraId="26FD74A6" w14:textId="77777777" w:rsidR="006B4C71" w:rsidRPr="005F7128" w:rsidRDefault="006B4C71" w:rsidP="006B4C71">
            <w:pPr>
              <w:rPr>
                <w:bCs/>
                <w:color w:val="000000" w:themeColor="text1"/>
                <w:sz w:val="20"/>
              </w:rPr>
            </w:pPr>
            <w:r w:rsidRPr="005F7128">
              <w:rPr>
                <w:color w:val="000000" w:themeColor="text1"/>
                <w:sz w:val="20"/>
              </w:rPr>
              <w:t xml:space="preserve">z toho: </w:t>
            </w:r>
            <w:r w:rsidRPr="005F7128">
              <w:rPr>
                <w:b/>
                <w:bCs/>
                <w:color w:val="000000" w:themeColor="text1"/>
                <w:sz w:val="20"/>
              </w:rPr>
              <w:t xml:space="preserve"> </w:t>
            </w:r>
            <w:r w:rsidRPr="005F7128">
              <w:rPr>
                <w:color w:val="000000" w:themeColor="text1"/>
                <w:sz w:val="20"/>
              </w:rPr>
              <w:t xml:space="preserve"> program. fin. (EDS/SMVS)</w:t>
            </w:r>
          </w:p>
          <w:p w14:paraId="6470D680" w14:textId="77777777" w:rsidR="006B4C71" w:rsidRPr="005F7128" w:rsidRDefault="006B4C71" w:rsidP="006B4C71">
            <w:pPr>
              <w:rPr>
                <w:color w:val="000000" w:themeColor="text1"/>
                <w:sz w:val="20"/>
                <w:szCs w:val="20"/>
              </w:rPr>
            </w:pPr>
            <w:r w:rsidRPr="005F7128">
              <w:rPr>
                <w:color w:val="000000" w:themeColor="text1"/>
              </w:rPr>
              <w:t xml:space="preserve">            </w:t>
            </w:r>
            <w:r w:rsidRPr="005F7128">
              <w:rPr>
                <w:color w:val="000000" w:themeColor="text1"/>
                <w:sz w:val="20"/>
                <w:szCs w:val="20"/>
              </w:rPr>
              <w:t>výzkum, vývoj a inovace</w:t>
            </w:r>
          </w:p>
          <w:p w14:paraId="57E1D04E" w14:textId="77777777" w:rsidR="006B4C71" w:rsidRPr="005F7128" w:rsidRDefault="006B4C71" w:rsidP="006B4C71">
            <w:pPr>
              <w:rPr>
                <w:color w:val="000000" w:themeColor="text1"/>
                <w:sz w:val="20"/>
                <w:szCs w:val="20"/>
              </w:rPr>
            </w:pPr>
            <w:r w:rsidRPr="005F7128">
              <w:rPr>
                <w:color w:val="000000" w:themeColor="text1"/>
                <w:sz w:val="20"/>
                <w:szCs w:val="20"/>
              </w:rPr>
              <w:t xml:space="preserve">              prostředky EU      </w:t>
            </w:r>
          </w:p>
        </w:tc>
        <w:tc>
          <w:tcPr>
            <w:tcW w:w="1274" w:type="dxa"/>
            <w:tcBorders>
              <w:bottom w:val="single" w:sz="12" w:space="0" w:color="auto"/>
            </w:tcBorders>
          </w:tcPr>
          <w:p w14:paraId="0D011815" w14:textId="77777777" w:rsidR="006B4C71" w:rsidRPr="005F7128" w:rsidRDefault="006B4C71" w:rsidP="006B4C71">
            <w:pPr>
              <w:jc w:val="right"/>
              <w:rPr>
                <w:b/>
                <w:color w:val="000000" w:themeColor="text1"/>
                <w:sz w:val="20"/>
              </w:rPr>
            </w:pPr>
            <w:r w:rsidRPr="005F7128">
              <w:rPr>
                <w:b/>
                <w:color w:val="000000" w:themeColor="text1"/>
                <w:sz w:val="20"/>
              </w:rPr>
              <w:t>19 521 690</w:t>
            </w:r>
          </w:p>
          <w:p w14:paraId="7E0585A3" w14:textId="77777777" w:rsidR="006B4C71" w:rsidRPr="005F7128" w:rsidRDefault="006B4C71" w:rsidP="006B4C71">
            <w:pPr>
              <w:jc w:val="right"/>
              <w:rPr>
                <w:color w:val="000000" w:themeColor="text1"/>
                <w:sz w:val="20"/>
              </w:rPr>
            </w:pPr>
            <w:r w:rsidRPr="005F7128">
              <w:rPr>
                <w:color w:val="000000" w:themeColor="text1"/>
                <w:sz w:val="20"/>
              </w:rPr>
              <w:t>114 698</w:t>
            </w:r>
          </w:p>
          <w:p w14:paraId="34E4BE45" w14:textId="77777777" w:rsidR="006B4C71" w:rsidRPr="005F7128" w:rsidRDefault="006B4C71" w:rsidP="006B4C71">
            <w:pPr>
              <w:jc w:val="right"/>
              <w:rPr>
                <w:color w:val="000000" w:themeColor="text1"/>
                <w:sz w:val="20"/>
              </w:rPr>
            </w:pPr>
            <w:r w:rsidRPr="005F7128">
              <w:rPr>
                <w:color w:val="000000" w:themeColor="text1"/>
                <w:sz w:val="20"/>
              </w:rPr>
              <w:t>42 477</w:t>
            </w:r>
          </w:p>
          <w:p w14:paraId="466420E0" w14:textId="77777777" w:rsidR="006B4C71" w:rsidRPr="005F7128" w:rsidRDefault="006B4C71" w:rsidP="006B4C71">
            <w:pPr>
              <w:jc w:val="right"/>
              <w:rPr>
                <w:color w:val="000000" w:themeColor="text1"/>
                <w:sz w:val="20"/>
              </w:rPr>
            </w:pPr>
            <w:r w:rsidRPr="005F7128">
              <w:rPr>
                <w:color w:val="000000" w:themeColor="text1"/>
                <w:sz w:val="20"/>
              </w:rPr>
              <w:t xml:space="preserve">144 350   </w:t>
            </w:r>
          </w:p>
        </w:tc>
        <w:tc>
          <w:tcPr>
            <w:tcW w:w="1134" w:type="dxa"/>
            <w:tcBorders>
              <w:bottom w:val="single" w:sz="12" w:space="0" w:color="auto"/>
            </w:tcBorders>
          </w:tcPr>
          <w:p w14:paraId="0A4E19FA" w14:textId="77777777" w:rsidR="006B4C71" w:rsidRPr="00731BB0" w:rsidRDefault="006B4C71" w:rsidP="006B4C71">
            <w:pPr>
              <w:jc w:val="right"/>
              <w:rPr>
                <w:b/>
                <w:color w:val="000000" w:themeColor="text1"/>
                <w:sz w:val="20"/>
              </w:rPr>
            </w:pPr>
            <w:r w:rsidRPr="00731BB0">
              <w:rPr>
                <w:b/>
                <w:color w:val="000000" w:themeColor="text1"/>
                <w:sz w:val="20"/>
              </w:rPr>
              <w:t xml:space="preserve">23 727 160 </w:t>
            </w:r>
          </w:p>
          <w:p w14:paraId="7147552C" w14:textId="77777777" w:rsidR="006B4C71" w:rsidRPr="00731BB0" w:rsidRDefault="006B4C71" w:rsidP="006B4C71">
            <w:pPr>
              <w:jc w:val="right"/>
              <w:rPr>
                <w:color w:val="000000" w:themeColor="text1"/>
                <w:sz w:val="20"/>
              </w:rPr>
            </w:pPr>
            <w:r w:rsidRPr="00731BB0">
              <w:rPr>
                <w:color w:val="000000" w:themeColor="text1"/>
                <w:sz w:val="20"/>
              </w:rPr>
              <w:t>78 026</w:t>
            </w:r>
          </w:p>
          <w:p w14:paraId="589B7284" w14:textId="77777777" w:rsidR="006B4C71" w:rsidRPr="00731BB0" w:rsidRDefault="006B4C71" w:rsidP="006B4C71">
            <w:pPr>
              <w:jc w:val="right"/>
              <w:rPr>
                <w:color w:val="000000" w:themeColor="text1"/>
                <w:sz w:val="20"/>
              </w:rPr>
            </w:pPr>
            <w:r w:rsidRPr="00731BB0">
              <w:rPr>
                <w:color w:val="000000" w:themeColor="text1"/>
                <w:sz w:val="20"/>
              </w:rPr>
              <w:t>42 750</w:t>
            </w:r>
          </w:p>
          <w:p w14:paraId="5E8523C5" w14:textId="77777777" w:rsidR="006B4C71" w:rsidRPr="00731BB0" w:rsidRDefault="006B4C71" w:rsidP="006B4C71">
            <w:pPr>
              <w:jc w:val="right"/>
              <w:rPr>
                <w:color w:val="000000" w:themeColor="text1"/>
                <w:sz w:val="20"/>
              </w:rPr>
            </w:pPr>
            <w:r w:rsidRPr="00731BB0">
              <w:rPr>
                <w:color w:val="000000" w:themeColor="text1"/>
                <w:sz w:val="20"/>
              </w:rPr>
              <w:t>142 491</w:t>
            </w:r>
          </w:p>
        </w:tc>
        <w:tc>
          <w:tcPr>
            <w:tcW w:w="1134" w:type="dxa"/>
            <w:tcBorders>
              <w:bottom w:val="single" w:sz="12" w:space="0" w:color="auto"/>
            </w:tcBorders>
          </w:tcPr>
          <w:p w14:paraId="34BA1309" w14:textId="77777777" w:rsidR="006B4C71" w:rsidRPr="00731BB0" w:rsidRDefault="006B4C71" w:rsidP="006B4C71">
            <w:pPr>
              <w:jc w:val="right"/>
              <w:rPr>
                <w:b/>
                <w:color w:val="000000" w:themeColor="text1"/>
                <w:sz w:val="20"/>
              </w:rPr>
            </w:pPr>
            <w:r w:rsidRPr="00731BB0">
              <w:rPr>
                <w:b/>
                <w:color w:val="000000" w:themeColor="text1"/>
                <w:sz w:val="20"/>
              </w:rPr>
              <w:t>32 071 429</w:t>
            </w:r>
          </w:p>
          <w:p w14:paraId="61790B45" w14:textId="77777777" w:rsidR="006B4C71" w:rsidRPr="00731BB0" w:rsidRDefault="006B4C71" w:rsidP="006B4C71">
            <w:pPr>
              <w:jc w:val="right"/>
              <w:rPr>
                <w:color w:val="000000" w:themeColor="text1"/>
                <w:sz w:val="20"/>
              </w:rPr>
            </w:pPr>
            <w:r w:rsidRPr="00731BB0">
              <w:rPr>
                <w:color w:val="000000" w:themeColor="text1"/>
                <w:sz w:val="20"/>
              </w:rPr>
              <w:t>3 084 102</w:t>
            </w:r>
          </w:p>
          <w:p w14:paraId="7BB24F72" w14:textId="77777777" w:rsidR="006B4C71" w:rsidRPr="00731BB0" w:rsidRDefault="006B4C71" w:rsidP="006B4C71">
            <w:pPr>
              <w:jc w:val="right"/>
              <w:rPr>
                <w:color w:val="000000" w:themeColor="text1"/>
                <w:sz w:val="20"/>
              </w:rPr>
            </w:pPr>
            <w:r w:rsidRPr="00731BB0">
              <w:rPr>
                <w:color w:val="000000" w:themeColor="text1"/>
                <w:sz w:val="20"/>
              </w:rPr>
              <w:t>42 750</w:t>
            </w:r>
          </w:p>
          <w:p w14:paraId="029ED283" w14:textId="77777777" w:rsidR="006B4C71" w:rsidRPr="00731BB0" w:rsidRDefault="006B4C71" w:rsidP="006B4C71">
            <w:pPr>
              <w:jc w:val="right"/>
              <w:rPr>
                <w:color w:val="000000" w:themeColor="text1"/>
                <w:sz w:val="20"/>
              </w:rPr>
            </w:pPr>
            <w:r w:rsidRPr="00731BB0">
              <w:rPr>
                <w:color w:val="000000" w:themeColor="text1"/>
                <w:sz w:val="20"/>
              </w:rPr>
              <w:t>143 659</w:t>
            </w:r>
          </w:p>
        </w:tc>
        <w:tc>
          <w:tcPr>
            <w:tcW w:w="1134" w:type="dxa"/>
            <w:tcBorders>
              <w:bottom w:val="single" w:sz="12" w:space="0" w:color="auto"/>
            </w:tcBorders>
          </w:tcPr>
          <w:p w14:paraId="21FE9614" w14:textId="77777777" w:rsidR="006B4C71" w:rsidRPr="00731BB0" w:rsidRDefault="006B4C71" w:rsidP="006B4C71">
            <w:pPr>
              <w:jc w:val="right"/>
              <w:rPr>
                <w:b/>
                <w:color w:val="000000" w:themeColor="text1"/>
                <w:sz w:val="20"/>
              </w:rPr>
            </w:pPr>
            <w:r w:rsidRPr="00731BB0">
              <w:rPr>
                <w:b/>
                <w:color w:val="000000" w:themeColor="text1"/>
                <w:sz w:val="20"/>
              </w:rPr>
              <w:t>30 434 855</w:t>
            </w:r>
          </w:p>
          <w:p w14:paraId="3ED0305F" w14:textId="77777777" w:rsidR="006B4C71" w:rsidRPr="00731BB0" w:rsidRDefault="006B4C71" w:rsidP="006B4C71">
            <w:pPr>
              <w:jc w:val="right"/>
              <w:rPr>
                <w:color w:val="000000" w:themeColor="text1"/>
                <w:sz w:val="20"/>
              </w:rPr>
            </w:pPr>
            <w:r w:rsidRPr="00731BB0">
              <w:rPr>
                <w:color w:val="000000" w:themeColor="text1"/>
                <w:sz w:val="20"/>
              </w:rPr>
              <w:t xml:space="preserve">77 761 </w:t>
            </w:r>
          </w:p>
          <w:p w14:paraId="53DC7258" w14:textId="77777777" w:rsidR="006B4C71" w:rsidRPr="00731BB0" w:rsidRDefault="006B4C71" w:rsidP="006B4C71">
            <w:pPr>
              <w:jc w:val="right"/>
              <w:rPr>
                <w:color w:val="000000" w:themeColor="text1"/>
                <w:sz w:val="20"/>
              </w:rPr>
            </w:pPr>
            <w:r w:rsidRPr="00731BB0">
              <w:rPr>
                <w:color w:val="000000" w:themeColor="text1"/>
                <w:sz w:val="20"/>
              </w:rPr>
              <w:t>42 763</w:t>
            </w:r>
          </w:p>
          <w:p w14:paraId="4B1B7EE6" w14:textId="77777777" w:rsidR="006B4C71" w:rsidRPr="00731BB0" w:rsidRDefault="006B4C71" w:rsidP="006B4C71">
            <w:pPr>
              <w:jc w:val="right"/>
              <w:rPr>
                <w:color w:val="000000" w:themeColor="text1"/>
                <w:sz w:val="20"/>
              </w:rPr>
            </w:pPr>
            <w:r w:rsidRPr="00731BB0">
              <w:rPr>
                <w:color w:val="000000" w:themeColor="text1"/>
                <w:sz w:val="20"/>
              </w:rPr>
              <w:t xml:space="preserve">182 627   </w:t>
            </w:r>
          </w:p>
        </w:tc>
        <w:tc>
          <w:tcPr>
            <w:tcW w:w="779" w:type="dxa"/>
            <w:tcBorders>
              <w:bottom w:val="single" w:sz="12" w:space="0" w:color="auto"/>
            </w:tcBorders>
          </w:tcPr>
          <w:p w14:paraId="78E00ABA" w14:textId="77777777" w:rsidR="006B4C71" w:rsidRPr="00AF597A" w:rsidRDefault="006B4C71" w:rsidP="006B4C71">
            <w:pPr>
              <w:jc w:val="right"/>
              <w:rPr>
                <w:b/>
                <w:sz w:val="20"/>
              </w:rPr>
            </w:pPr>
            <w:r w:rsidRPr="00AF597A">
              <w:rPr>
                <w:b/>
                <w:sz w:val="20"/>
              </w:rPr>
              <w:t>94,90</w:t>
            </w:r>
          </w:p>
          <w:p w14:paraId="46088538" w14:textId="77777777" w:rsidR="006B4C71" w:rsidRPr="00AF597A" w:rsidRDefault="006B4C71" w:rsidP="006B4C71">
            <w:pPr>
              <w:jc w:val="right"/>
              <w:rPr>
                <w:sz w:val="20"/>
              </w:rPr>
            </w:pPr>
            <w:r w:rsidRPr="00AF597A">
              <w:rPr>
                <w:sz w:val="20"/>
              </w:rPr>
              <w:t>2,52</w:t>
            </w:r>
          </w:p>
          <w:p w14:paraId="4FEB94BA" w14:textId="77777777" w:rsidR="006B4C71" w:rsidRPr="00AF597A" w:rsidRDefault="006B4C71" w:rsidP="006B4C71">
            <w:pPr>
              <w:jc w:val="center"/>
              <w:rPr>
                <w:sz w:val="20"/>
              </w:rPr>
            </w:pPr>
            <w:r w:rsidRPr="00AF597A">
              <w:rPr>
                <w:sz w:val="20"/>
              </w:rPr>
              <w:t xml:space="preserve"> 100,03</w:t>
            </w:r>
          </w:p>
          <w:p w14:paraId="1BB5862E" w14:textId="77777777" w:rsidR="006B4C71" w:rsidRPr="004B11AC" w:rsidRDefault="006B4C71" w:rsidP="006B4C71">
            <w:pPr>
              <w:jc w:val="right"/>
              <w:rPr>
                <w:color w:val="FF0000"/>
                <w:sz w:val="20"/>
              </w:rPr>
            </w:pPr>
            <w:r w:rsidRPr="00AF597A">
              <w:rPr>
                <w:sz w:val="20"/>
              </w:rPr>
              <w:t>127,12</w:t>
            </w:r>
          </w:p>
        </w:tc>
        <w:tc>
          <w:tcPr>
            <w:tcW w:w="800" w:type="dxa"/>
            <w:tcBorders>
              <w:bottom w:val="single" w:sz="12" w:space="0" w:color="auto"/>
            </w:tcBorders>
          </w:tcPr>
          <w:p w14:paraId="1DE947B0" w14:textId="77777777" w:rsidR="006B4C71" w:rsidRDefault="006B4C71" w:rsidP="006B4C71">
            <w:pPr>
              <w:jc w:val="right"/>
              <w:rPr>
                <w:b/>
                <w:color w:val="FF0000"/>
                <w:sz w:val="20"/>
              </w:rPr>
            </w:pPr>
            <w:r w:rsidRPr="0049396D">
              <w:rPr>
                <w:b/>
                <w:color w:val="000000" w:themeColor="text1"/>
                <w:sz w:val="20"/>
              </w:rPr>
              <w:t>155,90</w:t>
            </w:r>
          </w:p>
          <w:p w14:paraId="196FEE87" w14:textId="77777777" w:rsidR="006B4C71" w:rsidRPr="00704DBF" w:rsidRDefault="006B4C71" w:rsidP="006B4C71">
            <w:pPr>
              <w:jc w:val="right"/>
              <w:rPr>
                <w:color w:val="000000" w:themeColor="text1"/>
                <w:sz w:val="20"/>
              </w:rPr>
            </w:pPr>
            <w:r w:rsidRPr="00704DBF">
              <w:rPr>
                <w:color w:val="000000" w:themeColor="text1"/>
                <w:sz w:val="20"/>
              </w:rPr>
              <w:t>67,80</w:t>
            </w:r>
          </w:p>
          <w:p w14:paraId="761E5E5F" w14:textId="77777777" w:rsidR="006B4C71" w:rsidRPr="0049396D" w:rsidRDefault="006B4C71" w:rsidP="006B4C71">
            <w:pPr>
              <w:jc w:val="right"/>
              <w:rPr>
                <w:color w:val="000000" w:themeColor="text1"/>
                <w:sz w:val="20"/>
              </w:rPr>
            </w:pPr>
            <w:r w:rsidRPr="0049396D">
              <w:rPr>
                <w:color w:val="000000" w:themeColor="text1"/>
                <w:sz w:val="20"/>
              </w:rPr>
              <w:t>100,67</w:t>
            </w:r>
          </w:p>
          <w:p w14:paraId="06175E99" w14:textId="77777777" w:rsidR="006B4C71" w:rsidRPr="0049396D" w:rsidRDefault="006B4C71" w:rsidP="006B4C71">
            <w:pPr>
              <w:jc w:val="right"/>
              <w:rPr>
                <w:color w:val="000000" w:themeColor="text1"/>
                <w:sz w:val="20"/>
              </w:rPr>
            </w:pPr>
            <w:r w:rsidRPr="0049396D">
              <w:rPr>
                <w:color w:val="000000" w:themeColor="text1"/>
                <w:sz w:val="20"/>
              </w:rPr>
              <w:t xml:space="preserve">126,52 </w:t>
            </w:r>
            <w:r>
              <w:rPr>
                <w:color w:val="FF0000"/>
                <w:sz w:val="20"/>
              </w:rPr>
              <w:t xml:space="preserve"> </w:t>
            </w:r>
          </w:p>
        </w:tc>
      </w:tr>
      <w:tr w:rsidR="006B4C71" w:rsidRPr="004B11AC" w14:paraId="7530E605" w14:textId="77777777" w:rsidTr="006B4C71">
        <w:trPr>
          <w:trHeight w:val="332"/>
        </w:trPr>
        <w:tc>
          <w:tcPr>
            <w:tcW w:w="9810" w:type="dxa"/>
            <w:gridSpan w:val="8"/>
            <w:tcBorders>
              <w:left w:val="nil"/>
              <w:bottom w:val="nil"/>
              <w:right w:val="nil"/>
            </w:tcBorders>
          </w:tcPr>
          <w:p w14:paraId="6A7A6992" w14:textId="77777777" w:rsidR="006B4C71" w:rsidRPr="004B11AC" w:rsidRDefault="006B4C71" w:rsidP="006B4C71">
            <w:pPr>
              <w:rPr>
                <w:b/>
                <w:color w:val="FF0000"/>
              </w:rPr>
            </w:pPr>
          </w:p>
        </w:tc>
      </w:tr>
    </w:tbl>
    <w:p w14:paraId="6FF541CE" w14:textId="1143B63D" w:rsidR="0098051A" w:rsidRPr="006B4C71" w:rsidRDefault="00AE353C" w:rsidP="00B107FC">
      <w:pPr>
        <w:pStyle w:val="Titulek"/>
      </w:pPr>
      <w:bookmarkStart w:id="83" w:name="_Toc34288674"/>
      <w:r w:rsidRPr="006B4C71">
        <w:lastRenderedPageBreak/>
        <w:t xml:space="preserve">Graf č. </w:t>
      </w:r>
      <w:r w:rsidR="00A65941" w:rsidRPr="006B4C71">
        <w:rPr>
          <w:noProof/>
        </w:rPr>
        <w:fldChar w:fldCharType="begin"/>
      </w:r>
      <w:r w:rsidR="00A65941" w:rsidRPr="006B4C71">
        <w:rPr>
          <w:noProof/>
        </w:rPr>
        <w:instrText xml:space="preserve"> SEQ Graf_č. \* ARABIC </w:instrText>
      </w:r>
      <w:r w:rsidR="00A65941" w:rsidRPr="006B4C71">
        <w:rPr>
          <w:noProof/>
        </w:rPr>
        <w:fldChar w:fldCharType="separate"/>
      </w:r>
      <w:r w:rsidR="00DF450F">
        <w:rPr>
          <w:noProof/>
        </w:rPr>
        <w:t>7</w:t>
      </w:r>
      <w:r w:rsidR="00A65941" w:rsidRPr="006B4C71">
        <w:rPr>
          <w:noProof/>
        </w:rPr>
        <w:fldChar w:fldCharType="end"/>
      </w:r>
      <w:r w:rsidR="0098051A" w:rsidRPr="006B4C71">
        <w:t xml:space="preserve">: </w:t>
      </w:r>
      <w:r w:rsidR="00CB0887" w:rsidRPr="006B4C71">
        <w:t xml:space="preserve"> </w:t>
      </w:r>
      <w:r w:rsidR="0098051A" w:rsidRPr="006B4C71">
        <w:t>Členění běžných výdajů kapitoly 327-MD</w:t>
      </w:r>
      <w:bookmarkEnd w:id="80"/>
      <w:bookmarkEnd w:id="81"/>
      <w:bookmarkEnd w:id="82"/>
      <w:bookmarkEnd w:id="83"/>
    </w:p>
    <w:p w14:paraId="2EEA5C92" w14:textId="77777777" w:rsidR="004B47EB" w:rsidRPr="004B11AC" w:rsidRDefault="004B47EB" w:rsidP="004B47EB">
      <w:pPr>
        <w:rPr>
          <w:color w:val="FF0000"/>
        </w:rPr>
      </w:pPr>
      <w:r w:rsidRPr="004B11AC">
        <w:rPr>
          <w:noProof/>
          <w:color w:val="FF0000"/>
        </w:rPr>
        <w:drawing>
          <wp:inline distT="0" distB="0" distL="0" distR="0" wp14:anchorId="24AD941E" wp14:editId="5F4F86E6">
            <wp:extent cx="6124575" cy="2654162"/>
            <wp:effectExtent l="0" t="0" r="0" b="0"/>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FEE13B2" w14:textId="77777777" w:rsidR="00314382" w:rsidRPr="004B11AC" w:rsidRDefault="00314382" w:rsidP="002C2A6B">
      <w:pPr>
        <w:ind w:left="-567"/>
        <w:rPr>
          <w:color w:val="FF0000"/>
        </w:rPr>
      </w:pPr>
    </w:p>
    <w:p w14:paraId="1B767885" w14:textId="77777777" w:rsidR="006B4C71" w:rsidRPr="00815EEB" w:rsidRDefault="006B4C71" w:rsidP="006B4C71">
      <w:pPr>
        <w:pStyle w:val="KOMtext"/>
        <w:rPr>
          <w:u w:val="single"/>
        </w:rPr>
      </w:pPr>
      <w:bookmarkStart w:id="84" w:name="_Toc317489627"/>
      <w:bookmarkStart w:id="85" w:name="_Toc508879842"/>
      <w:bookmarkStart w:id="86" w:name="_Toc508880118"/>
      <w:bookmarkStart w:id="87" w:name="_Toc255297635"/>
      <w:bookmarkStart w:id="88" w:name="_Toc413413655"/>
      <w:bookmarkStart w:id="89" w:name="_Toc255297636"/>
      <w:r w:rsidRPr="00815EEB">
        <w:rPr>
          <w:u w:val="single"/>
        </w:rPr>
        <w:t>Přehled čerpání běžných výdajů v jednotlivých čtvrtletích v letech 2015 - 2019 ukazuje následující tabulka:</w:t>
      </w:r>
    </w:p>
    <w:p w14:paraId="2AFA4CAD" w14:textId="77777777" w:rsidR="006B4C71" w:rsidRPr="00827D8E" w:rsidRDefault="006B4C71" w:rsidP="00DB2320">
      <w:pPr>
        <w:keepNext/>
        <w:ind w:left="357"/>
        <w:jc w:val="right"/>
      </w:pPr>
      <w:r w:rsidRPr="00827D8E">
        <w:t>v tis. Kč</w:t>
      </w:r>
    </w:p>
    <w:tbl>
      <w:tblPr>
        <w:tblW w:w="9199" w:type="dxa"/>
        <w:tblLook w:val="01E0" w:firstRow="1" w:lastRow="1" w:firstColumn="1" w:lastColumn="1" w:noHBand="0" w:noVBand="0"/>
      </w:tblPr>
      <w:tblGrid>
        <w:gridCol w:w="1497"/>
        <w:gridCol w:w="1509"/>
        <w:gridCol w:w="1509"/>
        <w:gridCol w:w="1509"/>
        <w:gridCol w:w="1509"/>
        <w:gridCol w:w="1666"/>
      </w:tblGrid>
      <w:tr w:rsidR="006B4C71" w:rsidRPr="00827D8E" w14:paraId="643AC8AE" w14:textId="77777777" w:rsidTr="003F3157">
        <w:trPr>
          <w:tblHeader/>
        </w:trPr>
        <w:tc>
          <w:tcPr>
            <w:tcW w:w="1497" w:type="dxa"/>
            <w:tcBorders>
              <w:top w:val="single" w:sz="12" w:space="0" w:color="auto"/>
              <w:left w:val="single" w:sz="12" w:space="0" w:color="auto"/>
              <w:bottom w:val="single" w:sz="12" w:space="0" w:color="auto"/>
              <w:right w:val="single" w:sz="12" w:space="0" w:color="auto"/>
            </w:tcBorders>
            <w:shd w:val="clear" w:color="auto" w:fill="auto"/>
          </w:tcPr>
          <w:p w14:paraId="5F5C51D4" w14:textId="77777777" w:rsidR="006B4C71" w:rsidRPr="00827D8E" w:rsidRDefault="006B4C71" w:rsidP="006B4C71">
            <w:pPr>
              <w:jc w:val="center"/>
            </w:pPr>
          </w:p>
        </w:tc>
        <w:tc>
          <w:tcPr>
            <w:tcW w:w="1509" w:type="dxa"/>
            <w:tcBorders>
              <w:top w:val="single" w:sz="12" w:space="0" w:color="auto"/>
              <w:left w:val="single" w:sz="12" w:space="0" w:color="auto"/>
              <w:bottom w:val="single" w:sz="12" w:space="0" w:color="auto"/>
              <w:right w:val="single" w:sz="12" w:space="0" w:color="auto"/>
            </w:tcBorders>
            <w:shd w:val="clear" w:color="auto" w:fill="auto"/>
          </w:tcPr>
          <w:p w14:paraId="73BC08B4" w14:textId="77777777" w:rsidR="006B4C71" w:rsidRPr="00827D8E" w:rsidRDefault="006B4C71" w:rsidP="006B4C71">
            <w:pPr>
              <w:jc w:val="center"/>
            </w:pPr>
            <w:r w:rsidRPr="00827D8E">
              <w:t>1. čtvrtletí</w:t>
            </w:r>
          </w:p>
        </w:tc>
        <w:tc>
          <w:tcPr>
            <w:tcW w:w="1509" w:type="dxa"/>
            <w:tcBorders>
              <w:top w:val="single" w:sz="12" w:space="0" w:color="auto"/>
              <w:left w:val="single" w:sz="12" w:space="0" w:color="auto"/>
              <w:bottom w:val="single" w:sz="12" w:space="0" w:color="auto"/>
              <w:right w:val="single" w:sz="12" w:space="0" w:color="auto"/>
            </w:tcBorders>
            <w:shd w:val="clear" w:color="auto" w:fill="auto"/>
          </w:tcPr>
          <w:p w14:paraId="0FA6E7AA" w14:textId="77777777" w:rsidR="006B4C71" w:rsidRPr="00827D8E" w:rsidRDefault="006B4C71" w:rsidP="006B4C71">
            <w:pPr>
              <w:jc w:val="center"/>
            </w:pPr>
            <w:r w:rsidRPr="00827D8E">
              <w:t xml:space="preserve">  2. čtvrtletí</w:t>
            </w:r>
          </w:p>
        </w:tc>
        <w:tc>
          <w:tcPr>
            <w:tcW w:w="1509" w:type="dxa"/>
            <w:tcBorders>
              <w:top w:val="single" w:sz="12" w:space="0" w:color="auto"/>
              <w:left w:val="single" w:sz="12" w:space="0" w:color="auto"/>
              <w:bottom w:val="single" w:sz="12" w:space="0" w:color="auto"/>
              <w:right w:val="single" w:sz="12" w:space="0" w:color="auto"/>
            </w:tcBorders>
            <w:shd w:val="clear" w:color="auto" w:fill="auto"/>
          </w:tcPr>
          <w:p w14:paraId="11122B6B" w14:textId="77777777" w:rsidR="006B4C71" w:rsidRPr="00827D8E" w:rsidRDefault="006B4C71" w:rsidP="006B4C71">
            <w:pPr>
              <w:jc w:val="center"/>
            </w:pPr>
            <w:r w:rsidRPr="00827D8E">
              <w:t>3. čtvrtletí</w:t>
            </w:r>
          </w:p>
        </w:tc>
        <w:tc>
          <w:tcPr>
            <w:tcW w:w="1509" w:type="dxa"/>
            <w:tcBorders>
              <w:top w:val="single" w:sz="12" w:space="0" w:color="auto"/>
              <w:left w:val="single" w:sz="12" w:space="0" w:color="auto"/>
              <w:bottom w:val="single" w:sz="12" w:space="0" w:color="auto"/>
              <w:right w:val="single" w:sz="12" w:space="0" w:color="auto"/>
            </w:tcBorders>
            <w:shd w:val="clear" w:color="auto" w:fill="auto"/>
          </w:tcPr>
          <w:p w14:paraId="0118665E" w14:textId="77777777" w:rsidR="006B4C71" w:rsidRPr="00827D8E" w:rsidRDefault="00E2031D" w:rsidP="006B4C71">
            <w:pPr>
              <w:jc w:val="center"/>
            </w:pPr>
            <w:r>
              <w:t>4.</w:t>
            </w:r>
            <w:r w:rsidR="006B4C71" w:rsidRPr="00827D8E">
              <w:t xml:space="preserve"> čtvrtletí</w:t>
            </w:r>
          </w:p>
        </w:tc>
        <w:tc>
          <w:tcPr>
            <w:tcW w:w="1666" w:type="dxa"/>
            <w:tcBorders>
              <w:top w:val="single" w:sz="12" w:space="0" w:color="auto"/>
              <w:left w:val="single" w:sz="12" w:space="0" w:color="auto"/>
              <w:bottom w:val="single" w:sz="12" w:space="0" w:color="auto"/>
              <w:right w:val="single" w:sz="12" w:space="0" w:color="auto"/>
            </w:tcBorders>
            <w:shd w:val="clear" w:color="auto" w:fill="auto"/>
          </w:tcPr>
          <w:p w14:paraId="201BC3FF" w14:textId="77777777" w:rsidR="006B4C71" w:rsidRPr="00827D8E" w:rsidRDefault="006B4C71" w:rsidP="006B4C71">
            <w:pPr>
              <w:jc w:val="center"/>
            </w:pPr>
            <w:r w:rsidRPr="00827D8E">
              <w:t>Celkem</w:t>
            </w:r>
          </w:p>
        </w:tc>
      </w:tr>
      <w:tr w:rsidR="006B4C71" w:rsidRPr="004B11AC" w14:paraId="762D8A2D" w14:textId="77777777" w:rsidTr="003F3157">
        <w:trPr>
          <w:tblHeader/>
        </w:trPr>
        <w:tc>
          <w:tcPr>
            <w:tcW w:w="1497" w:type="dxa"/>
            <w:tcBorders>
              <w:top w:val="single" w:sz="12" w:space="0" w:color="auto"/>
              <w:left w:val="single" w:sz="12" w:space="0" w:color="auto"/>
              <w:right w:val="single" w:sz="12" w:space="0" w:color="auto"/>
            </w:tcBorders>
            <w:shd w:val="clear" w:color="auto" w:fill="auto"/>
          </w:tcPr>
          <w:p w14:paraId="3E31A5A6" w14:textId="77777777" w:rsidR="006B4C71" w:rsidRPr="00827D8E" w:rsidRDefault="006B4C71" w:rsidP="006B4C71">
            <w:pPr>
              <w:spacing w:before="60"/>
              <w:jc w:val="center"/>
            </w:pPr>
            <w:r w:rsidRPr="00827D8E">
              <w:t>Rok 2015</w:t>
            </w:r>
          </w:p>
        </w:tc>
        <w:tc>
          <w:tcPr>
            <w:tcW w:w="1509" w:type="dxa"/>
            <w:tcBorders>
              <w:top w:val="single" w:sz="12" w:space="0" w:color="auto"/>
              <w:left w:val="single" w:sz="12" w:space="0" w:color="auto"/>
              <w:right w:val="single" w:sz="12" w:space="0" w:color="auto"/>
            </w:tcBorders>
            <w:shd w:val="clear" w:color="auto" w:fill="auto"/>
          </w:tcPr>
          <w:p w14:paraId="11AC98CA" w14:textId="77777777" w:rsidR="006B4C71" w:rsidRPr="00827D8E" w:rsidRDefault="006B4C71" w:rsidP="006B4C71">
            <w:pPr>
              <w:spacing w:before="60"/>
              <w:jc w:val="right"/>
            </w:pPr>
            <w:r w:rsidRPr="00827D8E">
              <w:t xml:space="preserve">4 350 456   </w:t>
            </w:r>
          </w:p>
        </w:tc>
        <w:tc>
          <w:tcPr>
            <w:tcW w:w="1509" w:type="dxa"/>
            <w:tcBorders>
              <w:top w:val="single" w:sz="12" w:space="0" w:color="auto"/>
              <w:left w:val="single" w:sz="12" w:space="0" w:color="auto"/>
              <w:right w:val="single" w:sz="12" w:space="0" w:color="auto"/>
            </w:tcBorders>
            <w:shd w:val="clear" w:color="auto" w:fill="auto"/>
          </w:tcPr>
          <w:p w14:paraId="256E3BCD" w14:textId="77777777" w:rsidR="006B4C71" w:rsidRPr="00827D8E" w:rsidRDefault="006B4C71" w:rsidP="006B4C71">
            <w:pPr>
              <w:spacing w:before="60"/>
              <w:jc w:val="right"/>
            </w:pPr>
            <w:r w:rsidRPr="00827D8E">
              <w:t>4 862 030</w:t>
            </w:r>
          </w:p>
        </w:tc>
        <w:tc>
          <w:tcPr>
            <w:tcW w:w="1509" w:type="dxa"/>
            <w:tcBorders>
              <w:top w:val="single" w:sz="12" w:space="0" w:color="auto"/>
              <w:left w:val="single" w:sz="12" w:space="0" w:color="auto"/>
              <w:right w:val="single" w:sz="12" w:space="0" w:color="auto"/>
            </w:tcBorders>
            <w:shd w:val="clear" w:color="auto" w:fill="auto"/>
          </w:tcPr>
          <w:p w14:paraId="10F8E6B7" w14:textId="77777777" w:rsidR="006B4C71" w:rsidRPr="00827D8E" w:rsidRDefault="006B4C71" w:rsidP="006B4C71">
            <w:pPr>
              <w:spacing w:before="60"/>
              <w:jc w:val="right"/>
            </w:pPr>
            <w:r w:rsidRPr="00827D8E">
              <w:t>8 005 248</w:t>
            </w:r>
          </w:p>
        </w:tc>
        <w:tc>
          <w:tcPr>
            <w:tcW w:w="1509" w:type="dxa"/>
            <w:tcBorders>
              <w:top w:val="single" w:sz="12" w:space="0" w:color="auto"/>
              <w:left w:val="single" w:sz="12" w:space="0" w:color="auto"/>
              <w:right w:val="single" w:sz="12" w:space="0" w:color="auto"/>
            </w:tcBorders>
            <w:shd w:val="clear" w:color="auto" w:fill="auto"/>
          </w:tcPr>
          <w:p w14:paraId="37B7B9A5" w14:textId="77777777" w:rsidR="006B4C71" w:rsidRPr="00827D8E" w:rsidRDefault="006B4C71" w:rsidP="006B4C71">
            <w:pPr>
              <w:spacing w:before="60"/>
              <w:jc w:val="right"/>
            </w:pPr>
            <w:r w:rsidRPr="00827D8E">
              <w:t>10 767 026</w:t>
            </w:r>
          </w:p>
        </w:tc>
        <w:tc>
          <w:tcPr>
            <w:tcW w:w="1666" w:type="dxa"/>
            <w:tcBorders>
              <w:top w:val="single" w:sz="12" w:space="0" w:color="auto"/>
              <w:left w:val="single" w:sz="12" w:space="0" w:color="auto"/>
              <w:right w:val="single" w:sz="12" w:space="0" w:color="auto"/>
            </w:tcBorders>
            <w:shd w:val="clear" w:color="auto" w:fill="auto"/>
          </w:tcPr>
          <w:p w14:paraId="1E59CD81" w14:textId="77777777" w:rsidR="006B4C71" w:rsidRPr="00827D8E" w:rsidRDefault="006B4C71" w:rsidP="006B4C71">
            <w:pPr>
              <w:spacing w:before="60"/>
              <w:jc w:val="right"/>
            </w:pPr>
            <w:r w:rsidRPr="00827D8E">
              <w:t xml:space="preserve">27 984 760 </w:t>
            </w:r>
          </w:p>
        </w:tc>
      </w:tr>
      <w:tr w:rsidR="006B4C71" w:rsidRPr="004B11AC" w14:paraId="4A4F5778" w14:textId="77777777" w:rsidTr="003F3157">
        <w:trPr>
          <w:tblHeader/>
        </w:trPr>
        <w:tc>
          <w:tcPr>
            <w:tcW w:w="1497" w:type="dxa"/>
            <w:tcBorders>
              <w:left w:val="single" w:sz="12" w:space="0" w:color="auto"/>
              <w:bottom w:val="single" w:sz="12" w:space="0" w:color="auto"/>
              <w:right w:val="single" w:sz="12" w:space="0" w:color="auto"/>
            </w:tcBorders>
            <w:shd w:val="clear" w:color="auto" w:fill="auto"/>
          </w:tcPr>
          <w:p w14:paraId="4C1AE904" w14:textId="77777777" w:rsidR="006B4C71" w:rsidRPr="00827D8E" w:rsidRDefault="006B4C71" w:rsidP="006B4C71">
            <w:pPr>
              <w:spacing w:before="60"/>
              <w:jc w:val="center"/>
            </w:pPr>
            <w:r w:rsidRPr="00827D8E">
              <w:t>%</w:t>
            </w:r>
          </w:p>
        </w:tc>
        <w:tc>
          <w:tcPr>
            <w:tcW w:w="1509" w:type="dxa"/>
            <w:tcBorders>
              <w:left w:val="single" w:sz="12" w:space="0" w:color="auto"/>
              <w:bottom w:val="single" w:sz="12" w:space="0" w:color="auto"/>
              <w:right w:val="single" w:sz="12" w:space="0" w:color="auto"/>
            </w:tcBorders>
            <w:shd w:val="clear" w:color="auto" w:fill="auto"/>
          </w:tcPr>
          <w:p w14:paraId="3F6A2448" w14:textId="77777777" w:rsidR="006B4C71" w:rsidRPr="00827D8E" w:rsidRDefault="006B4C71" w:rsidP="006B4C71">
            <w:pPr>
              <w:spacing w:before="60"/>
              <w:jc w:val="right"/>
            </w:pPr>
            <w:r w:rsidRPr="00827D8E">
              <w:t>14,31</w:t>
            </w:r>
          </w:p>
        </w:tc>
        <w:tc>
          <w:tcPr>
            <w:tcW w:w="1509" w:type="dxa"/>
            <w:tcBorders>
              <w:left w:val="single" w:sz="12" w:space="0" w:color="auto"/>
              <w:bottom w:val="single" w:sz="12" w:space="0" w:color="auto"/>
              <w:right w:val="single" w:sz="12" w:space="0" w:color="auto"/>
            </w:tcBorders>
            <w:shd w:val="clear" w:color="auto" w:fill="auto"/>
          </w:tcPr>
          <w:p w14:paraId="65FEB239" w14:textId="77777777" w:rsidR="006B4C71" w:rsidRPr="00827D8E" w:rsidRDefault="006B4C71" w:rsidP="006B4C71">
            <w:pPr>
              <w:spacing w:before="60"/>
              <w:jc w:val="right"/>
            </w:pPr>
            <w:r w:rsidRPr="00827D8E">
              <w:t>16,00</w:t>
            </w:r>
          </w:p>
        </w:tc>
        <w:tc>
          <w:tcPr>
            <w:tcW w:w="1509" w:type="dxa"/>
            <w:tcBorders>
              <w:left w:val="single" w:sz="12" w:space="0" w:color="auto"/>
              <w:bottom w:val="single" w:sz="12" w:space="0" w:color="auto"/>
              <w:right w:val="single" w:sz="12" w:space="0" w:color="auto"/>
            </w:tcBorders>
            <w:shd w:val="clear" w:color="auto" w:fill="auto"/>
          </w:tcPr>
          <w:p w14:paraId="77082D43" w14:textId="77777777" w:rsidR="006B4C71" w:rsidRPr="00827D8E" w:rsidRDefault="006B4C71" w:rsidP="006B4C71">
            <w:pPr>
              <w:spacing w:before="60"/>
              <w:jc w:val="right"/>
            </w:pPr>
            <w:r w:rsidRPr="00827D8E">
              <w:t>26,34</w:t>
            </w:r>
          </w:p>
        </w:tc>
        <w:tc>
          <w:tcPr>
            <w:tcW w:w="1509" w:type="dxa"/>
            <w:tcBorders>
              <w:left w:val="single" w:sz="12" w:space="0" w:color="auto"/>
              <w:bottom w:val="single" w:sz="12" w:space="0" w:color="auto"/>
              <w:right w:val="single" w:sz="12" w:space="0" w:color="auto"/>
            </w:tcBorders>
            <w:shd w:val="clear" w:color="auto" w:fill="auto"/>
          </w:tcPr>
          <w:p w14:paraId="0FBD6D83" w14:textId="77777777" w:rsidR="006B4C71" w:rsidRPr="00827D8E" w:rsidRDefault="006B4C71" w:rsidP="006B4C71">
            <w:pPr>
              <w:spacing w:before="60"/>
              <w:jc w:val="right"/>
            </w:pPr>
            <w:r w:rsidRPr="00827D8E">
              <w:t>35,42</w:t>
            </w:r>
          </w:p>
        </w:tc>
        <w:tc>
          <w:tcPr>
            <w:tcW w:w="1666" w:type="dxa"/>
            <w:tcBorders>
              <w:left w:val="single" w:sz="12" w:space="0" w:color="auto"/>
              <w:bottom w:val="single" w:sz="12" w:space="0" w:color="auto"/>
              <w:right w:val="single" w:sz="12" w:space="0" w:color="auto"/>
            </w:tcBorders>
            <w:shd w:val="clear" w:color="auto" w:fill="auto"/>
          </w:tcPr>
          <w:p w14:paraId="711EEBF7" w14:textId="77777777" w:rsidR="006B4C71" w:rsidRPr="00827D8E" w:rsidRDefault="006B4C71" w:rsidP="006B4C71">
            <w:pPr>
              <w:spacing w:before="60"/>
              <w:jc w:val="right"/>
            </w:pPr>
            <w:r w:rsidRPr="00827D8E">
              <w:t>92,07</w:t>
            </w:r>
          </w:p>
        </w:tc>
      </w:tr>
      <w:tr w:rsidR="006B4C71" w:rsidRPr="004B11AC" w14:paraId="4A463316" w14:textId="77777777" w:rsidTr="003F3157">
        <w:trPr>
          <w:tblHeader/>
        </w:trPr>
        <w:tc>
          <w:tcPr>
            <w:tcW w:w="1497" w:type="dxa"/>
            <w:tcBorders>
              <w:top w:val="single" w:sz="12" w:space="0" w:color="auto"/>
              <w:left w:val="single" w:sz="12" w:space="0" w:color="auto"/>
              <w:right w:val="single" w:sz="12" w:space="0" w:color="auto"/>
            </w:tcBorders>
            <w:shd w:val="clear" w:color="auto" w:fill="auto"/>
          </w:tcPr>
          <w:p w14:paraId="60DB706E" w14:textId="77777777" w:rsidR="006B4C71" w:rsidRPr="00827D8E" w:rsidRDefault="006B4C71" w:rsidP="006B4C71">
            <w:pPr>
              <w:spacing w:before="60"/>
              <w:jc w:val="center"/>
            </w:pPr>
            <w:r w:rsidRPr="00827D8E">
              <w:t>Rok 2016</w:t>
            </w:r>
          </w:p>
        </w:tc>
        <w:tc>
          <w:tcPr>
            <w:tcW w:w="1509" w:type="dxa"/>
            <w:tcBorders>
              <w:top w:val="single" w:sz="12" w:space="0" w:color="auto"/>
              <w:left w:val="single" w:sz="12" w:space="0" w:color="auto"/>
              <w:right w:val="single" w:sz="12" w:space="0" w:color="auto"/>
            </w:tcBorders>
            <w:shd w:val="clear" w:color="auto" w:fill="auto"/>
          </w:tcPr>
          <w:p w14:paraId="5D7523FF" w14:textId="77777777" w:rsidR="006B4C71" w:rsidRPr="00827D8E" w:rsidRDefault="006B4C71" w:rsidP="006B4C71">
            <w:pPr>
              <w:spacing w:before="60"/>
              <w:jc w:val="right"/>
            </w:pPr>
            <w:r w:rsidRPr="00827D8E">
              <w:t xml:space="preserve">4 480 353   </w:t>
            </w:r>
          </w:p>
        </w:tc>
        <w:tc>
          <w:tcPr>
            <w:tcW w:w="1509" w:type="dxa"/>
            <w:tcBorders>
              <w:top w:val="single" w:sz="12" w:space="0" w:color="auto"/>
              <w:left w:val="single" w:sz="12" w:space="0" w:color="auto"/>
              <w:right w:val="single" w:sz="12" w:space="0" w:color="auto"/>
            </w:tcBorders>
            <w:shd w:val="clear" w:color="auto" w:fill="auto"/>
          </w:tcPr>
          <w:p w14:paraId="71F2C706" w14:textId="77777777" w:rsidR="006B4C71" w:rsidRPr="00827D8E" w:rsidRDefault="006B4C71" w:rsidP="006B4C71">
            <w:pPr>
              <w:spacing w:before="60"/>
              <w:jc w:val="right"/>
            </w:pPr>
            <w:r w:rsidRPr="00827D8E">
              <w:t>2 695 062</w:t>
            </w:r>
          </w:p>
        </w:tc>
        <w:tc>
          <w:tcPr>
            <w:tcW w:w="1509" w:type="dxa"/>
            <w:tcBorders>
              <w:top w:val="single" w:sz="12" w:space="0" w:color="auto"/>
              <w:left w:val="single" w:sz="12" w:space="0" w:color="auto"/>
              <w:right w:val="single" w:sz="12" w:space="0" w:color="auto"/>
            </w:tcBorders>
            <w:shd w:val="clear" w:color="auto" w:fill="auto"/>
          </w:tcPr>
          <w:p w14:paraId="09CA25C6" w14:textId="77777777" w:rsidR="006B4C71" w:rsidRPr="00827D8E" w:rsidRDefault="006B4C71" w:rsidP="006B4C71">
            <w:pPr>
              <w:spacing w:before="60"/>
              <w:jc w:val="right"/>
            </w:pPr>
            <w:r w:rsidRPr="00827D8E">
              <w:t>5 372 954</w:t>
            </w:r>
          </w:p>
        </w:tc>
        <w:tc>
          <w:tcPr>
            <w:tcW w:w="1509" w:type="dxa"/>
            <w:tcBorders>
              <w:top w:val="single" w:sz="12" w:space="0" w:color="auto"/>
              <w:left w:val="single" w:sz="12" w:space="0" w:color="auto"/>
              <w:right w:val="single" w:sz="12" w:space="0" w:color="auto"/>
            </w:tcBorders>
            <w:shd w:val="clear" w:color="auto" w:fill="auto"/>
          </w:tcPr>
          <w:p w14:paraId="2B17C252" w14:textId="77777777" w:rsidR="006B4C71" w:rsidRPr="00827D8E" w:rsidRDefault="006B4C71" w:rsidP="006B4C71">
            <w:pPr>
              <w:spacing w:before="60"/>
              <w:jc w:val="right"/>
            </w:pPr>
            <w:r w:rsidRPr="00827D8E">
              <w:t>8 085 110</w:t>
            </w:r>
          </w:p>
        </w:tc>
        <w:tc>
          <w:tcPr>
            <w:tcW w:w="1666" w:type="dxa"/>
            <w:tcBorders>
              <w:top w:val="single" w:sz="12" w:space="0" w:color="auto"/>
              <w:left w:val="single" w:sz="12" w:space="0" w:color="auto"/>
              <w:right w:val="single" w:sz="12" w:space="0" w:color="auto"/>
            </w:tcBorders>
            <w:shd w:val="clear" w:color="auto" w:fill="auto"/>
          </w:tcPr>
          <w:p w14:paraId="49868FC4" w14:textId="77777777" w:rsidR="006B4C71" w:rsidRPr="00827D8E" w:rsidRDefault="006B4C71" w:rsidP="006B4C71">
            <w:pPr>
              <w:spacing w:before="60"/>
              <w:jc w:val="right"/>
            </w:pPr>
            <w:r w:rsidRPr="00827D8E">
              <w:t xml:space="preserve">20 633 479 </w:t>
            </w:r>
          </w:p>
        </w:tc>
      </w:tr>
      <w:tr w:rsidR="006B4C71" w:rsidRPr="004B11AC" w14:paraId="236F8F8D" w14:textId="77777777" w:rsidTr="003F3157">
        <w:trPr>
          <w:tblHeader/>
        </w:trPr>
        <w:tc>
          <w:tcPr>
            <w:tcW w:w="1497" w:type="dxa"/>
            <w:tcBorders>
              <w:left w:val="single" w:sz="12" w:space="0" w:color="auto"/>
              <w:bottom w:val="single" w:sz="12" w:space="0" w:color="auto"/>
              <w:right w:val="single" w:sz="12" w:space="0" w:color="auto"/>
            </w:tcBorders>
            <w:shd w:val="clear" w:color="auto" w:fill="auto"/>
          </w:tcPr>
          <w:p w14:paraId="0222A784" w14:textId="77777777" w:rsidR="006B4C71" w:rsidRPr="00827D8E" w:rsidRDefault="006B4C71" w:rsidP="006B4C71">
            <w:pPr>
              <w:spacing w:before="60"/>
              <w:jc w:val="center"/>
            </w:pPr>
            <w:r w:rsidRPr="00827D8E">
              <w:t>%</w:t>
            </w:r>
          </w:p>
        </w:tc>
        <w:tc>
          <w:tcPr>
            <w:tcW w:w="1509" w:type="dxa"/>
            <w:tcBorders>
              <w:left w:val="single" w:sz="12" w:space="0" w:color="auto"/>
              <w:bottom w:val="single" w:sz="12" w:space="0" w:color="auto"/>
              <w:right w:val="single" w:sz="12" w:space="0" w:color="auto"/>
            </w:tcBorders>
            <w:shd w:val="clear" w:color="auto" w:fill="auto"/>
          </w:tcPr>
          <w:p w14:paraId="0681223D" w14:textId="77777777" w:rsidR="006B4C71" w:rsidRPr="00827D8E" w:rsidRDefault="006B4C71" w:rsidP="006B4C71">
            <w:pPr>
              <w:spacing w:before="60"/>
              <w:jc w:val="right"/>
            </w:pPr>
            <w:r w:rsidRPr="00827D8E">
              <w:t>19,78</w:t>
            </w:r>
          </w:p>
        </w:tc>
        <w:tc>
          <w:tcPr>
            <w:tcW w:w="1509" w:type="dxa"/>
            <w:tcBorders>
              <w:left w:val="single" w:sz="12" w:space="0" w:color="auto"/>
              <w:bottom w:val="single" w:sz="12" w:space="0" w:color="auto"/>
              <w:right w:val="single" w:sz="12" w:space="0" w:color="auto"/>
            </w:tcBorders>
            <w:shd w:val="clear" w:color="auto" w:fill="auto"/>
          </w:tcPr>
          <w:p w14:paraId="230B22E1" w14:textId="77777777" w:rsidR="006B4C71" w:rsidRPr="00827D8E" w:rsidRDefault="006B4C71" w:rsidP="006B4C71">
            <w:pPr>
              <w:spacing w:before="60"/>
              <w:jc w:val="right"/>
            </w:pPr>
            <w:r w:rsidRPr="00827D8E">
              <w:t>11,90</w:t>
            </w:r>
          </w:p>
        </w:tc>
        <w:tc>
          <w:tcPr>
            <w:tcW w:w="1509" w:type="dxa"/>
            <w:tcBorders>
              <w:left w:val="single" w:sz="12" w:space="0" w:color="auto"/>
              <w:bottom w:val="single" w:sz="12" w:space="0" w:color="auto"/>
              <w:right w:val="single" w:sz="12" w:space="0" w:color="auto"/>
            </w:tcBorders>
            <w:shd w:val="clear" w:color="auto" w:fill="auto"/>
          </w:tcPr>
          <w:p w14:paraId="7D45DC5B" w14:textId="77777777" w:rsidR="006B4C71" w:rsidRPr="00827D8E" w:rsidRDefault="006B4C71" w:rsidP="006B4C71">
            <w:pPr>
              <w:spacing w:before="60"/>
              <w:jc w:val="right"/>
            </w:pPr>
            <w:r w:rsidRPr="00827D8E">
              <w:t>23,72</w:t>
            </w:r>
          </w:p>
        </w:tc>
        <w:tc>
          <w:tcPr>
            <w:tcW w:w="1509" w:type="dxa"/>
            <w:tcBorders>
              <w:left w:val="single" w:sz="12" w:space="0" w:color="auto"/>
              <w:bottom w:val="single" w:sz="12" w:space="0" w:color="auto"/>
              <w:right w:val="single" w:sz="12" w:space="0" w:color="auto"/>
            </w:tcBorders>
            <w:shd w:val="clear" w:color="auto" w:fill="auto"/>
          </w:tcPr>
          <w:p w14:paraId="7C237CB6" w14:textId="77777777" w:rsidR="006B4C71" w:rsidRPr="00827D8E" w:rsidRDefault="006B4C71" w:rsidP="006B4C71">
            <w:pPr>
              <w:spacing w:before="60"/>
              <w:jc w:val="right"/>
            </w:pPr>
            <w:r w:rsidRPr="00827D8E">
              <w:t>35,70</w:t>
            </w:r>
          </w:p>
        </w:tc>
        <w:tc>
          <w:tcPr>
            <w:tcW w:w="1666" w:type="dxa"/>
            <w:tcBorders>
              <w:left w:val="single" w:sz="12" w:space="0" w:color="auto"/>
              <w:bottom w:val="single" w:sz="12" w:space="0" w:color="auto"/>
              <w:right w:val="single" w:sz="12" w:space="0" w:color="auto"/>
            </w:tcBorders>
            <w:shd w:val="clear" w:color="auto" w:fill="auto"/>
          </w:tcPr>
          <w:p w14:paraId="78745F0E" w14:textId="77777777" w:rsidR="006B4C71" w:rsidRPr="00827D8E" w:rsidRDefault="006B4C71" w:rsidP="006B4C71">
            <w:pPr>
              <w:spacing w:before="60"/>
              <w:jc w:val="right"/>
            </w:pPr>
            <w:r w:rsidRPr="00827D8E">
              <w:t>91,10</w:t>
            </w:r>
          </w:p>
        </w:tc>
      </w:tr>
      <w:tr w:rsidR="006B4C71" w:rsidRPr="004B11AC" w14:paraId="54FEC0B4" w14:textId="77777777" w:rsidTr="003F3157">
        <w:trPr>
          <w:tblHeader/>
        </w:trPr>
        <w:tc>
          <w:tcPr>
            <w:tcW w:w="1497" w:type="dxa"/>
            <w:tcBorders>
              <w:top w:val="single" w:sz="12" w:space="0" w:color="auto"/>
              <w:left w:val="single" w:sz="12" w:space="0" w:color="auto"/>
              <w:right w:val="single" w:sz="12" w:space="0" w:color="auto"/>
            </w:tcBorders>
            <w:shd w:val="clear" w:color="auto" w:fill="auto"/>
          </w:tcPr>
          <w:p w14:paraId="09E2EA9E" w14:textId="77777777" w:rsidR="006B4C71" w:rsidRPr="00827D8E" w:rsidRDefault="006B4C71" w:rsidP="006B4C71">
            <w:pPr>
              <w:spacing w:before="60"/>
              <w:jc w:val="center"/>
            </w:pPr>
            <w:r w:rsidRPr="00827D8E">
              <w:t>Rok 2017</w:t>
            </w:r>
          </w:p>
        </w:tc>
        <w:tc>
          <w:tcPr>
            <w:tcW w:w="1509" w:type="dxa"/>
            <w:tcBorders>
              <w:top w:val="single" w:sz="12" w:space="0" w:color="auto"/>
              <w:left w:val="single" w:sz="12" w:space="0" w:color="auto"/>
              <w:right w:val="single" w:sz="12" w:space="0" w:color="auto"/>
            </w:tcBorders>
            <w:shd w:val="clear" w:color="auto" w:fill="auto"/>
          </w:tcPr>
          <w:p w14:paraId="614F736E" w14:textId="77777777" w:rsidR="006B4C71" w:rsidRPr="00827D8E" w:rsidRDefault="006B4C71" w:rsidP="006B4C71">
            <w:pPr>
              <w:spacing w:before="60"/>
              <w:jc w:val="right"/>
            </w:pPr>
            <w:r w:rsidRPr="00827D8E">
              <w:t xml:space="preserve">5 206 718   </w:t>
            </w:r>
          </w:p>
        </w:tc>
        <w:tc>
          <w:tcPr>
            <w:tcW w:w="1509" w:type="dxa"/>
            <w:tcBorders>
              <w:top w:val="single" w:sz="12" w:space="0" w:color="auto"/>
              <w:left w:val="single" w:sz="12" w:space="0" w:color="auto"/>
              <w:right w:val="single" w:sz="12" w:space="0" w:color="auto"/>
            </w:tcBorders>
            <w:shd w:val="clear" w:color="auto" w:fill="auto"/>
          </w:tcPr>
          <w:p w14:paraId="400C4077" w14:textId="77777777" w:rsidR="006B4C71" w:rsidRPr="00827D8E" w:rsidRDefault="006B4C71" w:rsidP="006B4C71">
            <w:pPr>
              <w:spacing w:before="60"/>
              <w:jc w:val="right"/>
            </w:pPr>
            <w:r w:rsidRPr="00827D8E">
              <w:t>3 297 067</w:t>
            </w:r>
          </w:p>
        </w:tc>
        <w:tc>
          <w:tcPr>
            <w:tcW w:w="1509" w:type="dxa"/>
            <w:tcBorders>
              <w:top w:val="single" w:sz="12" w:space="0" w:color="auto"/>
              <w:left w:val="single" w:sz="12" w:space="0" w:color="auto"/>
              <w:right w:val="single" w:sz="12" w:space="0" w:color="auto"/>
            </w:tcBorders>
            <w:shd w:val="clear" w:color="auto" w:fill="auto"/>
          </w:tcPr>
          <w:p w14:paraId="3111F896" w14:textId="77777777" w:rsidR="006B4C71" w:rsidRPr="00827D8E" w:rsidRDefault="006B4C71" w:rsidP="006B4C71">
            <w:pPr>
              <w:spacing w:before="60"/>
              <w:jc w:val="right"/>
            </w:pPr>
            <w:r w:rsidRPr="00827D8E">
              <w:t>6 844 855</w:t>
            </w:r>
          </w:p>
        </w:tc>
        <w:tc>
          <w:tcPr>
            <w:tcW w:w="1509" w:type="dxa"/>
            <w:tcBorders>
              <w:top w:val="single" w:sz="12" w:space="0" w:color="auto"/>
              <w:left w:val="single" w:sz="12" w:space="0" w:color="auto"/>
              <w:right w:val="single" w:sz="12" w:space="0" w:color="auto"/>
            </w:tcBorders>
            <w:shd w:val="clear" w:color="auto" w:fill="auto"/>
          </w:tcPr>
          <w:p w14:paraId="197A66CA" w14:textId="77777777" w:rsidR="006B4C71" w:rsidRPr="00827D8E" w:rsidRDefault="006B4C71" w:rsidP="006B4C71">
            <w:pPr>
              <w:spacing w:before="60"/>
              <w:jc w:val="right"/>
            </w:pPr>
            <w:r w:rsidRPr="00827D8E">
              <w:t>9 288 593</w:t>
            </w:r>
          </w:p>
        </w:tc>
        <w:tc>
          <w:tcPr>
            <w:tcW w:w="1666" w:type="dxa"/>
            <w:tcBorders>
              <w:top w:val="single" w:sz="12" w:space="0" w:color="auto"/>
              <w:left w:val="single" w:sz="12" w:space="0" w:color="auto"/>
              <w:right w:val="single" w:sz="12" w:space="0" w:color="auto"/>
            </w:tcBorders>
            <w:shd w:val="clear" w:color="auto" w:fill="auto"/>
          </w:tcPr>
          <w:p w14:paraId="07C61420" w14:textId="77777777" w:rsidR="006B4C71" w:rsidRPr="00827D8E" w:rsidRDefault="006B4C71" w:rsidP="006B4C71">
            <w:pPr>
              <w:spacing w:before="60"/>
              <w:jc w:val="right"/>
            </w:pPr>
            <w:r w:rsidRPr="00827D8E">
              <w:t xml:space="preserve">24 637 233 </w:t>
            </w:r>
          </w:p>
        </w:tc>
      </w:tr>
      <w:tr w:rsidR="006B4C71" w:rsidRPr="004B11AC" w14:paraId="46159700" w14:textId="77777777" w:rsidTr="003F3157">
        <w:trPr>
          <w:tblHeader/>
        </w:trPr>
        <w:tc>
          <w:tcPr>
            <w:tcW w:w="1497" w:type="dxa"/>
            <w:tcBorders>
              <w:left w:val="single" w:sz="12" w:space="0" w:color="auto"/>
              <w:bottom w:val="single" w:sz="12" w:space="0" w:color="auto"/>
              <w:right w:val="single" w:sz="12" w:space="0" w:color="auto"/>
            </w:tcBorders>
            <w:shd w:val="clear" w:color="auto" w:fill="auto"/>
          </w:tcPr>
          <w:p w14:paraId="4C339241" w14:textId="77777777" w:rsidR="006B4C71" w:rsidRPr="00827D8E" w:rsidRDefault="006B4C71" w:rsidP="006B4C71">
            <w:pPr>
              <w:spacing w:before="60"/>
              <w:jc w:val="center"/>
            </w:pPr>
            <w:r w:rsidRPr="00827D8E">
              <w:t>%</w:t>
            </w:r>
          </w:p>
        </w:tc>
        <w:tc>
          <w:tcPr>
            <w:tcW w:w="1509" w:type="dxa"/>
            <w:tcBorders>
              <w:left w:val="single" w:sz="12" w:space="0" w:color="auto"/>
              <w:bottom w:val="single" w:sz="12" w:space="0" w:color="auto"/>
              <w:right w:val="single" w:sz="12" w:space="0" w:color="auto"/>
            </w:tcBorders>
            <w:shd w:val="clear" w:color="auto" w:fill="auto"/>
          </w:tcPr>
          <w:p w14:paraId="717EB1C9" w14:textId="77777777" w:rsidR="006B4C71" w:rsidRPr="00827D8E" w:rsidRDefault="006B4C71" w:rsidP="006B4C71">
            <w:pPr>
              <w:spacing w:before="60"/>
              <w:jc w:val="right"/>
            </w:pPr>
            <w:r w:rsidRPr="00827D8E">
              <w:t>23,52</w:t>
            </w:r>
          </w:p>
        </w:tc>
        <w:tc>
          <w:tcPr>
            <w:tcW w:w="1509" w:type="dxa"/>
            <w:tcBorders>
              <w:left w:val="single" w:sz="12" w:space="0" w:color="auto"/>
              <w:bottom w:val="single" w:sz="12" w:space="0" w:color="auto"/>
              <w:right w:val="single" w:sz="12" w:space="0" w:color="auto"/>
            </w:tcBorders>
            <w:shd w:val="clear" w:color="auto" w:fill="auto"/>
          </w:tcPr>
          <w:p w14:paraId="2477549F" w14:textId="77777777" w:rsidR="006B4C71" w:rsidRPr="00827D8E" w:rsidRDefault="006B4C71" w:rsidP="006B4C71">
            <w:pPr>
              <w:spacing w:before="60"/>
              <w:jc w:val="right"/>
            </w:pPr>
            <w:r w:rsidRPr="00827D8E">
              <w:t>14,89</w:t>
            </w:r>
          </w:p>
        </w:tc>
        <w:tc>
          <w:tcPr>
            <w:tcW w:w="1509" w:type="dxa"/>
            <w:tcBorders>
              <w:left w:val="single" w:sz="12" w:space="0" w:color="auto"/>
              <w:bottom w:val="single" w:sz="12" w:space="0" w:color="auto"/>
              <w:right w:val="single" w:sz="12" w:space="0" w:color="auto"/>
            </w:tcBorders>
            <w:shd w:val="clear" w:color="auto" w:fill="auto"/>
          </w:tcPr>
          <w:p w14:paraId="10F6211F" w14:textId="77777777" w:rsidR="006B4C71" w:rsidRPr="00827D8E" w:rsidRDefault="006B4C71" w:rsidP="006B4C71">
            <w:pPr>
              <w:spacing w:before="60"/>
              <w:jc w:val="right"/>
            </w:pPr>
            <w:r w:rsidRPr="00827D8E">
              <w:t>30,92</w:t>
            </w:r>
          </w:p>
        </w:tc>
        <w:tc>
          <w:tcPr>
            <w:tcW w:w="1509" w:type="dxa"/>
            <w:tcBorders>
              <w:left w:val="single" w:sz="12" w:space="0" w:color="auto"/>
              <w:bottom w:val="single" w:sz="12" w:space="0" w:color="auto"/>
              <w:right w:val="single" w:sz="12" w:space="0" w:color="auto"/>
            </w:tcBorders>
            <w:shd w:val="clear" w:color="auto" w:fill="auto"/>
          </w:tcPr>
          <w:p w14:paraId="4D614F11" w14:textId="77777777" w:rsidR="006B4C71" w:rsidRPr="00827D8E" w:rsidRDefault="006B4C71" w:rsidP="006B4C71">
            <w:pPr>
              <w:spacing w:before="60"/>
              <w:jc w:val="right"/>
            </w:pPr>
            <w:r w:rsidRPr="00827D8E">
              <w:t>41,96</w:t>
            </w:r>
          </w:p>
        </w:tc>
        <w:tc>
          <w:tcPr>
            <w:tcW w:w="1666" w:type="dxa"/>
            <w:tcBorders>
              <w:left w:val="single" w:sz="12" w:space="0" w:color="auto"/>
              <w:bottom w:val="single" w:sz="12" w:space="0" w:color="auto"/>
              <w:right w:val="single" w:sz="12" w:space="0" w:color="auto"/>
            </w:tcBorders>
            <w:shd w:val="clear" w:color="auto" w:fill="auto"/>
          </w:tcPr>
          <w:p w14:paraId="292330D8" w14:textId="77777777" w:rsidR="006B4C71" w:rsidRPr="00827D8E" w:rsidRDefault="006B4C71" w:rsidP="006B4C71">
            <w:pPr>
              <w:spacing w:before="60"/>
              <w:jc w:val="right"/>
            </w:pPr>
            <w:r w:rsidRPr="00827D8E">
              <w:t>111,28</w:t>
            </w:r>
          </w:p>
        </w:tc>
      </w:tr>
      <w:tr w:rsidR="006B4C71" w:rsidRPr="004B11AC" w14:paraId="5F4EA3DA" w14:textId="77777777" w:rsidTr="003F3157">
        <w:trPr>
          <w:tblHeader/>
        </w:trPr>
        <w:tc>
          <w:tcPr>
            <w:tcW w:w="1497" w:type="dxa"/>
            <w:tcBorders>
              <w:top w:val="single" w:sz="12" w:space="0" w:color="auto"/>
              <w:left w:val="single" w:sz="12" w:space="0" w:color="auto"/>
              <w:right w:val="single" w:sz="12" w:space="0" w:color="auto"/>
            </w:tcBorders>
            <w:shd w:val="clear" w:color="auto" w:fill="auto"/>
          </w:tcPr>
          <w:p w14:paraId="454EAE3F" w14:textId="77777777" w:rsidR="006B4C71" w:rsidRPr="00827D8E" w:rsidRDefault="006B4C71" w:rsidP="006B4C71">
            <w:pPr>
              <w:spacing w:before="60"/>
              <w:jc w:val="center"/>
            </w:pPr>
            <w:r w:rsidRPr="00827D8E">
              <w:t>Rok 2018</w:t>
            </w:r>
          </w:p>
        </w:tc>
        <w:tc>
          <w:tcPr>
            <w:tcW w:w="1509" w:type="dxa"/>
            <w:tcBorders>
              <w:top w:val="single" w:sz="12" w:space="0" w:color="auto"/>
              <w:left w:val="single" w:sz="12" w:space="0" w:color="auto"/>
              <w:right w:val="single" w:sz="12" w:space="0" w:color="auto"/>
            </w:tcBorders>
            <w:shd w:val="clear" w:color="auto" w:fill="auto"/>
          </w:tcPr>
          <w:p w14:paraId="767F7928" w14:textId="77777777" w:rsidR="006B4C71" w:rsidRPr="00827D8E" w:rsidRDefault="006B4C71" w:rsidP="006B4C71">
            <w:pPr>
              <w:spacing w:before="60"/>
              <w:jc w:val="right"/>
            </w:pPr>
            <w:r w:rsidRPr="00827D8E">
              <w:t>4 333 684</w:t>
            </w:r>
          </w:p>
        </w:tc>
        <w:tc>
          <w:tcPr>
            <w:tcW w:w="1509" w:type="dxa"/>
            <w:tcBorders>
              <w:top w:val="single" w:sz="12" w:space="0" w:color="auto"/>
              <w:left w:val="single" w:sz="12" w:space="0" w:color="auto"/>
              <w:right w:val="single" w:sz="12" w:space="0" w:color="auto"/>
            </w:tcBorders>
            <w:shd w:val="clear" w:color="auto" w:fill="auto"/>
          </w:tcPr>
          <w:p w14:paraId="1357DE4F" w14:textId="77777777" w:rsidR="006B4C71" w:rsidRPr="00827D8E" w:rsidRDefault="006B4C71" w:rsidP="006B4C71">
            <w:pPr>
              <w:spacing w:before="60"/>
              <w:jc w:val="right"/>
            </w:pPr>
            <w:r w:rsidRPr="00827D8E">
              <w:t>2 696 212</w:t>
            </w:r>
          </w:p>
        </w:tc>
        <w:tc>
          <w:tcPr>
            <w:tcW w:w="1509" w:type="dxa"/>
            <w:tcBorders>
              <w:top w:val="single" w:sz="12" w:space="0" w:color="auto"/>
              <w:left w:val="single" w:sz="12" w:space="0" w:color="auto"/>
              <w:right w:val="single" w:sz="12" w:space="0" w:color="auto"/>
            </w:tcBorders>
            <w:shd w:val="clear" w:color="auto" w:fill="auto"/>
          </w:tcPr>
          <w:p w14:paraId="2CF82A08" w14:textId="77777777" w:rsidR="006B4C71" w:rsidRPr="00827D8E" w:rsidRDefault="006B4C71" w:rsidP="006B4C71">
            <w:pPr>
              <w:spacing w:before="60"/>
              <w:jc w:val="right"/>
            </w:pPr>
            <w:r w:rsidRPr="00827D8E">
              <w:t>6 533 095</w:t>
            </w:r>
          </w:p>
        </w:tc>
        <w:tc>
          <w:tcPr>
            <w:tcW w:w="1509" w:type="dxa"/>
            <w:tcBorders>
              <w:top w:val="single" w:sz="12" w:space="0" w:color="auto"/>
              <w:left w:val="single" w:sz="12" w:space="0" w:color="auto"/>
              <w:right w:val="single" w:sz="12" w:space="0" w:color="auto"/>
            </w:tcBorders>
            <w:shd w:val="clear" w:color="auto" w:fill="auto"/>
          </w:tcPr>
          <w:p w14:paraId="47714AA0" w14:textId="77777777" w:rsidR="006B4C71" w:rsidRPr="00827D8E" w:rsidRDefault="006B4C71" w:rsidP="006B4C71">
            <w:pPr>
              <w:spacing w:before="60"/>
              <w:jc w:val="right"/>
            </w:pPr>
            <w:r w:rsidRPr="00827D8E">
              <w:t xml:space="preserve">5 958 698 </w:t>
            </w:r>
          </w:p>
        </w:tc>
        <w:tc>
          <w:tcPr>
            <w:tcW w:w="1666" w:type="dxa"/>
            <w:tcBorders>
              <w:top w:val="single" w:sz="12" w:space="0" w:color="auto"/>
              <w:left w:val="single" w:sz="12" w:space="0" w:color="auto"/>
              <w:right w:val="single" w:sz="12" w:space="0" w:color="auto"/>
            </w:tcBorders>
            <w:shd w:val="clear" w:color="auto" w:fill="auto"/>
          </w:tcPr>
          <w:p w14:paraId="6048AE2B" w14:textId="77777777" w:rsidR="006B4C71" w:rsidRPr="00827D8E" w:rsidRDefault="006B4C71" w:rsidP="006B4C71">
            <w:pPr>
              <w:spacing w:before="60"/>
              <w:jc w:val="right"/>
            </w:pPr>
            <w:r w:rsidRPr="00827D8E">
              <w:t>19 521 690</w:t>
            </w:r>
          </w:p>
        </w:tc>
      </w:tr>
      <w:tr w:rsidR="006B4C71" w:rsidRPr="004B11AC" w14:paraId="1B6F41CB" w14:textId="77777777" w:rsidTr="003F3157">
        <w:trPr>
          <w:tblHeader/>
        </w:trPr>
        <w:tc>
          <w:tcPr>
            <w:tcW w:w="1497" w:type="dxa"/>
            <w:tcBorders>
              <w:left w:val="single" w:sz="12" w:space="0" w:color="auto"/>
              <w:bottom w:val="single" w:sz="12" w:space="0" w:color="auto"/>
              <w:right w:val="single" w:sz="12" w:space="0" w:color="auto"/>
            </w:tcBorders>
            <w:shd w:val="clear" w:color="auto" w:fill="auto"/>
          </w:tcPr>
          <w:p w14:paraId="66F0C22D" w14:textId="77777777" w:rsidR="006B4C71" w:rsidRPr="00827D8E" w:rsidRDefault="006B4C71" w:rsidP="006B4C71">
            <w:pPr>
              <w:spacing w:before="60"/>
              <w:jc w:val="center"/>
            </w:pPr>
            <w:r w:rsidRPr="00827D8E">
              <w:t>%</w:t>
            </w:r>
          </w:p>
        </w:tc>
        <w:tc>
          <w:tcPr>
            <w:tcW w:w="1509" w:type="dxa"/>
            <w:tcBorders>
              <w:left w:val="single" w:sz="12" w:space="0" w:color="auto"/>
              <w:bottom w:val="single" w:sz="12" w:space="0" w:color="auto"/>
              <w:right w:val="single" w:sz="12" w:space="0" w:color="auto"/>
            </w:tcBorders>
            <w:shd w:val="clear" w:color="auto" w:fill="auto"/>
          </w:tcPr>
          <w:p w14:paraId="3D562C56" w14:textId="77777777" w:rsidR="006B4C71" w:rsidRPr="00827D8E" w:rsidRDefault="006B4C71" w:rsidP="006B4C71">
            <w:pPr>
              <w:spacing w:before="60"/>
              <w:jc w:val="right"/>
            </w:pPr>
            <w:r w:rsidRPr="00827D8E">
              <w:t>21,12</w:t>
            </w:r>
          </w:p>
        </w:tc>
        <w:tc>
          <w:tcPr>
            <w:tcW w:w="1509" w:type="dxa"/>
            <w:tcBorders>
              <w:left w:val="single" w:sz="12" w:space="0" w:color="auto"/>
              <w:bottom w:val="single" w:sz="12" w:space="0" w:color="auto"/>
              <w:right w:val="single" w:sz="12" w:space="0" w:color="auto"/>
            </w:tcBorders>
            <w:shd w:val="clear" w:color="auto" w:fill="auto"/>
          </w:tcPr>
          <w:p w14:paraId="2DEFBFFA" w14:textId="77777777" w:rsidR="006B4C71" w:rsidRPr="00827D8E" w:rsidRDefault="006B4C71" w:rsidP="006B4C71">
            <w:pPr>
              <w:spacing w:before="60"/>
              <w:jc w:val="right"/>
            </w:pPr>
            <w:r w:rsidRPr="00827D8E">
              <w:t>13,14</w:t>
            </w:r>
          </w:p>
        </w:tc>
        <w:tc>
          <w:tcPr>
            <w:tcW w:w="1509" w:type="dxa"/>
            <w:tcBorders>
              <w:left w:val="single" w:sz="12" w:space="0" w:color="auto"/>
              <w:bottom w:val="single" w:sz="12" w:space="0" w:color="auto"/>
              <w:right w:val="single" w:sz="12" w:space="0" w:color="auto"/>
            </w:tcBorders>
            <w:shd w:val="clear" w:color="auto" w:fill="auto"/>
          </w:tcPr>
          <w:p w14:paraId="61A4A067" w14:textId="77777777" w:rsidR="006B4C71" w:rsidRPr="00827D8E" w:rsidRDefault="006B4C71" w:rsidP="006B4C71">
            <w:pPr>
              <w:spacing w:before="60"/>
              <w:jc w:val="right"/>
            </w:pPr>
            <w:r w:rsidRPr="00827D8E">
              <w:t>31,83</w:t>
            </w:r>
          </w:p>
        </w:tc>
        <w:tc>
          <w:tcPr>
            <w:tcW w:w="1509" w:type="dxa"/>
            <w:tcBorders>
              <w:left w:val="single" w:sz="12" w:space="0" w:color="auto"/>
              <w:bottom w:val="single" w:sz="12" w:space="0" w:color="auto"/>
              <w:right w:val="single" w:sz="12" w:space="0" w:color="auto"/>
            </w:tcBorders>
            <w:shd w:val="clear" w:color="auto" w:fill="auto"/>
          </w:tcPr>
          <w:p w14:paraId="03AA6D4F" w14:textId="77777777" w:rsidR="006B4C71" w:rsidRPr="00827D8E" w:rsidRDefault="006B4C71" w:rsidP="006B4C71">
            <w:pPr>
              <w:spacing w:before="60"/>
              <w:jc w:val="right"/>
            </w:pPr>
            <w:r w:rsidRPr="00827D8E">
              <w:t>29,03</w:t>
            </w:r>
          </w:p>
        </w:tc>
        <w:tc>
          <w:tcPr>
            <w:tcW w:w="1666" w:type="dxa"/>
            <w:tcBorders>
              <w:left w:val="single" w:sz="12" w:space="0" w:color="auto"/>
              <w:bottom w:val="single" w:sz="12" w:space="0" w:color="auto"/>
              <w:right w:val="single" w:sz="12" w:space="0" w:color="auto"/>
            </w:tcBorders>
            <w:shd w:val="clear" w:color="auto" w:fill="auto"/>
          </w:tcPr>
          <w:p w14:paraId="3C3013AA" w14:textId="77777777" w:rsidR="006B4C71" w:rsidRPr="00827D8E" w:rsidRDefault="006B4C71" w:rsidP="006B4C71">
            <w:pPr>
              <w:spacing w:before="60"/>
              <w:jc w:val="right"/>
            </w:pPr>
            <w:r w:rsidRPr="00827D8E">
              <w:t>95,12</w:t>
            </w:r>
          </w:p>
        </w:tc>
      </w:tr>
      <w:tr w:rsidR="006B4C71" w:rsidRPr="004B11AC" w14:paraId="4ECC7577" w14:textId="77777777" w:rsidTr="003F3157">
        <w:tblPrEx>
          <w:tblCellMar>
            <w:left w:w="70" w:type="dxa"/>
            <w:right w:w="70" w:type="dxa"/>
          </w:tblCellMar>
        </w:tblPrEx>
        <w:trPr>
          <w:trHeight w:val="203"/>
          <w:tblHeader/>
        </w:trPr>
        <w:tc>
          <w:tcPr>
            <w:tcW w:w="1497" w:type="dxa"/>
            <w:tcBorders>
              <w:top w:val="single" w:sz="12" w:space="0" w:color="auto"/>
              <w:left w:val="single" w:sz="12" w:space="0" w:color="auto"/>
              <w:right w:val="single" w:sz="12" w:space="0" w:color="auto"/>
            </w:tcBorders>
            <w:shd w:val="clear" w:color="auto" w:fill="auto"/>
          </w:tcPr>
          <w:p w14:paraId="163BC4D7" w14:textId="77777777" w:rsidR="006B4C71" w:rsidRPr="00181900" w:rsidRDefault="006B4C71" w:rsidP="006B4C71">
            <w:pPr>
              <w:spacing w:before="60"/>
              <w:jc w:val="center"/>
            </w:pPr>
            <w:r w:rsidRPr="00181900">
              <w:t>Rok 2019</w:t>
            </w:r>
          </w:p>
        </w:tc>
        <w:tc>
          <w:tcPr>
            <w:tcW w:w="1509" w:type="dxa"/>
            <w:tcBorders>
              <w:top w:val="single" w:sz="12" w:space="0" w:color="auto"/>
              <w:left w:val="single" w:sz="12" w:space="0" w:color="auto"/>
              <w:right w:val="single" w:sz="12" w:space="0" w:color="auto"/>
            </w:tcBorders>
            <w:shd w:val="clear" w:color="auto" w:fill="auto"/>
          </w:tcPr>
          <w:p w14:paraId="0DFB3983" w14:textId="77777777" w:rsidR="006B4C71" w:rsidRPr="004B11AC" w:rsidRDefault="006B4C71" w:rsidP="006B4C71">
            <w:pPr>
              <w:spacing w:before="60"/>
              <w:jc w:val="right"/>
              <w:rPr>
                <w:color w:val="FF0000"/>
              </w:rPr>
            </w:pPr>
            <w:r w:rsidRPr="00DD1D2A">
              <w:t>4 697 527</w:t>
            </w:r>
          </w:p>
        </w:tc>
        <w:tc>
          <w:tcPr>
            <w:tcW w:w="1509" w:type="dxa"/>
            <w:tcBorders>
              <w:top w:val="single" w:sz="12" w:space="0" w:color="auto"/>
              <w:left w:val="single" w:sz="12" w:space="0" w:color="auto"/>
              <w:right w:val="single" w:sz="12" w:space="0" w:color="auto"/>
            </w:tcBorders>
            <w:shd w:val="clear" w:color="auto" w:fill="auto"/>
          </w:tcPr>
          <w:p w14:paraId="79D9FC0D" w14:textId="77777777" w:rsidR="006B4C71" w:rsidRPr="004B11AC" w:rsidRDefault="006B4C71" w:rsidP="006B4C71">
            <w:pPr>
              <w:spacing w:before="60"/>
              <w:jc w:val="right"/>
              <w:rPr>
                <w:color w:val="FF0000"/>
              </w:rPr>
            </w:pPr>
            <w:r w:rsidRPr="00DD1D2A">
              <w:t xml:space="preserve">7 931 224 </w:t>
            </w:r>
          </w:p>
        </w:tc>
        <w:tc>
          <w:tcPr>
            <w:tcW w:w="1509" w:type="dxa"/>
            <w:tcBorders>
              <w:top w:val="single" w:sz="12" w:space="0" w:color="auto"/>
              <w:left w:val="single" w:sz="12" w:space="0" w:color="auto"/>
              <w:right w:val="single" w:sz="12" w:space="0" w:color="auto"/>
            </w:tcBorders>
            <w:shd w:val="clear" w:color="auto" w:fill="auto"/>
          </w:tcPr>
          <w:p w14:paraId="3AA77808" w14:textId="77777777" w:rsidR="006B4C71" w:rsidRPr="004B11AC" w:rsidRDefault="006B4C71" w:rsidP="006B4C71">
            <w:pPr>
              <w:spacing w:before="60"/>
              <w:jc w:val="right"/>
              <w:rPr>
                <w:color w:val="FF0000"/>
              </w:rPr>
            </w:pPr>
            <w:r w:rsidRPr="00DD1D2A">
              <w:t>8 554 830</w:t>
            </w:r>
          </w:p>
        </w:tc>
        <w:tc>
          <w:tcPr>
            <w:tcW w:w="1509" w:type="dxa"/>
            <w:tcBorders>
              <w:top w:val="single" w:sz="12" w:space="0" w:color="auto"/>
              <w:left w:val="single" w:sz="12" w:space="0" w:color="auto"/>
              <w:right w:val="single" w:sz="12" w:space="0" w:color="auto"/>
            </w:tcBorders>
            <w:shd w:val="clear" w:color="auto" w:fill="auto"/>
          </w:tcPr>
          <w:p w14:paraId="45B4A7BE" w14:textId="77777777" w:rsidR="006B4C71" w:rsidRPr="004B11AC" w:rsidRDefault="006B4C71" w:rsidP="006B4C71">
            <w:pPr>
              <w:spacing w:before="60"/>
              <w:jc w:val="right"/>
              <w:rPr>
                <w:color w:val="FF0000"/>
              </w:rPr>
            </w:pPr>
            <w:r w:rsidRPr="00DD1D2A">
              <w:t xml:space="preserve">9 251 275 </w:t>
            </w:r>
          </w:p>
        </w:tc>
        <w:tc>
          <w:tcPr>
            <w:tcW w:w="1666" w:type="dxa"/>
            <w:tcBorders>
              <w:top w:val="single" w:sz="12" w:space="0" w:color="auto"/>
              <w:left w:val="single" w:sz="12" w:space="0" w:color="auto"/>
              <w:right w:val="single" w:sz="12" w:space="0" w:color="auto"/>
            </w:tcBorders>
            <w:shd w:val="clear" w:color="auto" w:fill="auto"/>
          </w:tcPr>
          <w:p w14:paraId="3E93FFE3" w14:textId="77777777" w:rsidR="006B4C71" w:rsidRPr="004B11AC" w:rsidRDefault="006B4C71" w:rsidP="006B4C71">
            <w:pPr>
              <w:spacing w:before="60"/>
              <w:jc w:val="right"/>
              <w:rPr>
                <w:color w:val="FF0000"/>
              </w:rPr>
            </w:pPr>
            <w:r w:rsidRPr="007C2A62">
              <w:t>30 434 855</w:t>
            </w:r>
          </w:p>
        </w:tc>
      </w:tr>
      <w:tr w:rsidR="006B4C71" w:rsidRPr="004B11AC" w14:paraId="3DF120F5" w14:textId="77777777" w:rsidTr="003F3157">
        <w:trPr>
          <w:tblHeader/>
        </w:trPr>
        <w:tc>
          <w:tcPr>
            <w:tcW w:w="1497" w:type="dxa"/>
            <w:tcBorders>
              <w:left w:val="single" w:sz="12" w:space="0" w:color="auto"/>
              <w:bottom w:val="single" w:sz="12" w:space="0" w:color="auto"/>
              <w:right w:val="single" w:sz="12" w:space="0" w:color="auto"/>
            </w:tcBorders>
            <w:shd w:val="clear" w:color="auto" w:fill="auto"/>
          </w:tcPr>
          <w:p w14:paraId="14C33372" w14:textId="77777777" w:rsidR="006B4C71" w:rsidRPr="00181900" w:rsidRDefault="006B4C71" w:rsidP="006B4C71">
            <w:pPr>
              <w:spacing w:before="60"/>
              <w:jc w:val="center"/>
            </w:pPr>
            <w:r w:rsidRPr="00181900">
              <w:t>%</w:t>
            </w:r>
          </w:p>
        </w:tc>
        <w:tc>
          <w:tcPr>
            <w:tcW w:w="1509" w:type="dxa"/>
            <w:tcBorders>
              <w:left w:val="single" w:sz="12" w:space="0" w:color="auto"/>
              <w:bottom w:val="single" w:sz="12" w:space="0" w:color="auto"/>
              <w:right w:val="single" w:sz="12" w:space="0" w:color="auto"/>
            </w:tcBorders>
            <w:shd w:val="clear" w:color="auto" w:fill="auto"/>
          </w:tcPr>
          <w:p w14:paraId="1F994E65" w14:textId="77777777" w:rsidR="006B4C71" w:rsidRPr="004B11AC" w:rsidRDefault="006B4C71" w:rsidP="006B4C71">
            <w:pPr>
              <w:spacing w:before="60"/>
              <w:jc w:val="right"/>
              <w:rPr>
                <w:color w:val="FF0000"/>
              </w:rPr>
            </w:pPr>
            <w:r w:rsidRPr="00702769">
              <w:t>14,65</w:t>
            </w:r>
          </w:p>
        </w:tc>
        <w:tc>
          <w:tcPr>
            <w:tcW w:w="1509" w:type="dxa"/>
            <w:tcBorders>
              <w:left w:val="single" w:sz="12" w:space="0" w:color="auto"/>
              <w:bottom w:val="single" w:sz="12" w:space="0" w:color="auto"/>
              <w:right w:val="single" w:sz="12" w:space="0" w:color="auto"/>
            </w:tcBorders>
            <w:shd w:val="clear" w:color="auto" w:fill="auto"/>
          </w:tcPr>
          <w:p w14:paraId="57613216" w14:textId="77777777" w:rsidR="006B4C71" w:rsidRPr="004B11AC" w:rsidRDefault="006B4C71" w:rsidP="006B4C71">
            <w:pPr>
              <w:spacing w:before="60"/>
              <w:jc w:val="right"/>
              <w:rPr>
                <w:color w:val="FF0000"/>
              </w:rPr>
            </w:pPr>
            <w:r w:rsidRPr="00702769">
              <w:t>24,73</w:t>
            </w:r>
          </w:p>
        </w:tc>
        <w:tc>
          <w:tcPr>
            <w:tcW w:w="1509" w:type="dxa"/>
            <w:tcBorders>
              <w:left w:val="single" w:sz="12" w:space="0" w:color="auto"/>
              <w:bottom w:val="single" w:sz="12" w:space="0" w:color="auto"/>
              <w:right w:val="single" w:sz="12" w:space="0" w:color="auto"/>
            </w:tcBorders>
            <w:shd w:val="clear" w:color="auto" w:fill="auto"/>
          </w:tcPr>
          <w:p w14:paraId="46CB5513" w14:textId="77777777" w:rsidR="006B4C71" w:rsidRPr="00702769" w:rsidRDefault="006B4C71" w:rsidP="006B4C71">
            <w:pPr>
              <w:spacing w:before="60"/>
              <w:jc w:val="right"/>
            </w:pPr>
            <w:r w:rsidRPr="00702769">
              <w:t>26,67</w:t>
            </w:r>
          </w:p>
        </w:tc>
        <w:tc>
          <w:tcPr>
            <w:tcW w:w="1509" w:type="dxa"/>
            <w:tcBorders>
              <w:left w:val="single" w:sz="12" w:space="0" w:color="auto"/>
              <w:bottom w:val="single" w:sz="12" w:space="0" w:color="auto"/>
              <w:right w:val="single" w:sz="12" w:space="0" w:color="auto"/>
            </w:tcBorders>
            <w:shd w:val="clear" w:color="auto" w:fill="auto"/>
          </w:tcPr>
          <w:p w14:paraId="018BA701" w14:textId="77777777" w:rsidR="006B4C71" w:rsidRPr="00702769" w:rsidRDefault="006B4C71" w:rsidP="006B4C71">
            <w:pPr>
              <w:spacing w:before="60"/>
              <w:jc w:val="right"/>
            </w:pPr>
            <w:r w:rsidRPr="00702769">
              <w:t>28,85</w:t>
            </w:r>
          </w:p>
        </w:tc>
        <w:tc>
          <w:tcPr>
            <w:tcW w:w="1666" w:type="dxa"/>
            <w:tcBorders>
              <w:left w:val="single" w:sz="12" w:space="0" w:color="auto"/>
              <w:bottom w:val="single" w:sz="12" w:space="0" w:color="auto"/>
              <w:right w:val="single" w:sz="12" w:space="0" w:color="auto"/>
            </w:tcBorders>
            <w:shd w:val="clear" w:color="auto" w:fill="auto"/>
          </w:tcPr>
          <w:p w14:paraId="65927075" w14:textId="77777777" w:rsidR="006B4C71" w:rsidRPr="004B11AC" w:rsidRDefault="006B4C71" w:rsidP="006B4C71">
            <w:pPr>
              <w:spacing w:before="60"/>
              <w:jc w:val="right"/>
              <w:rPr>
                <w:color w:val="FF0000"/>
              </w:rPr>
            </w:pPr>
            <w:r w:rsidRPr="00E60E52">
              <w:t>94,90</w:t>
            </w:r>
          </w:p>
        </w:tc>
      </w:tr>
    </w:tbl>
    <w:p w14:paraId="668A1DE2" w14:textId="77777777" w:rsidR="006B4C71" w:rsidRPr="00181900" w:rsidRDefault="006B4C71" w:rsidP="006B4C71">
      <w:pPr>
        <w:spacing w:before="120"/>
        <w:jc w:val="both"/>
        <w:rPr>
          <w:i/>
          <w:sz w:val="22"/>
          <w:szCs w:val="22"/>
        </w:rPr>
      </w:pPr>
      <w:r w:rsidRPr="00181900">
        <w:rPr>
          <w:i/>
          <w:sz w:val="22"/>
          <w:szCs w:val="22"/>
        </w:rPr>
        <w:t>Poznámka:  %  -  plnění k rozpočtu po všech změnách k </w:t>
      </w:r>
      <w:r w:rsidR="00E2031D" w:rsidRPr="00181900">
        <w:rPr>
          <w:i/>
          <w:sz w:val="22"/>
          <w:szCs w:val="22"/>
        </w:rPr>
        <w:t>31. 12</w:t>
      </w:r>
      <w:r w:rsidRPr="00181900">
        <w:rPr>
          <w:i/>
          <w:sz w:val="22"/>
          <w:szCs w:val="22"/>
        </w:rPr>
        <w:t xml:space="preserve">. příslušného roku </w:t>
      </w:r>
    </w:p>
    <w:p w14:paraId="5BA960DC" w14:textId="77777777" w:rsidR="006B4C71" w:rsidRPr="005759BF" w:rsidRDefault="006B4C71" w:rsidP="006B4C71">
      <w:pPr>
        <w:pStyle w:val="KOMtext"/>
      </w:pPr>
      <w:r w:rsidRPr="005759BF">
        <w:t>Z výše uvedeného přehledu je patrno, že nejnižší čerpání běžných výdajů se objevuje nejvíce ve 2. čtvrtletí roku (v </w:t>
      </w:r>
      <w:r w:rsidR="00E2031D" w:rsidRPr="005759BF">
        <w:t>letech 2016</w:t>
      </w:r>
      <w:r w:rsidRPr="005759BF">
        <w:t>, 2017 a 2018). Dvakrát se nejnižší čerpání objevuje v </w:t>
      </w:r>
      <w:r w:rsidR="00121BA0">
        <w:br/>
      </w:r>
      <w:r w:rsidRPr="005759BF">
        <w:t>1. čtvrtletí (rok 2015 a 2019).</w:t>
      </w:r>
    </w:p>
    <w:p w14:paraId="0BF5B822" w14:textId="77777777" w:rsidR="006B4C71" w:rsidRPr="005759BF" w:rsidRDefault="006B4C71" w:rsidP="006B4C71">
      <w:pPr>
        <w:pStyle w:val="KOMtext"/>
      </w:pPr>
      <w:r w:rsidRPr="005759BF">
        <w:lastRenderedPageBreak/>
        <w:t>Nejvyšší čerpání běžných výdajů ve sledovaném ob</w:t>
      </w:r>
      <w:r>
        <w:t>dobí se uskutečnilo jedenkrát</w:t>
      </w:r>
      <w:r w:rsidRPr="005759BF">
        <w:t xml:space="preserve"> ve 3. čtvrtletí (v roce 2018 souvisí zejména s poskytnutím účelových prostředků na financování silnic </w:t>
      </w:r>
      <w:r w:rsidR="000D72BC">
        <w:br/>
      </w:r>
      <w:r w:rsidRPr="005759BF">
        <w:t>II. a III. třídy ve výši 1,4 mld. Kč</w:t>
      </w:r>
      <w:r w:rsidR="00E2031D">
        <w:t xml:space="preserve"> a</w:t>
      </w:r>
      <w:r w:rsidRPr="005759BF">
        <w:t xml:space="preserve"> rovněž s poskytnutím dotace na vyrovnání deficitu příjmů </w:t>
      </w:r>
      <w:r w:rsidR="000D72BC">
        <w:br/>
      </w:r>
      <w:r w:rsidRPr="005759BF">
        <w:t xml:space="preserve">a výdajů rozpočtu SFDI ve výši 2,6 mld. Kč) a 4krát ve 4. čtvrtletí (2015, 2016, 2017 a 2019), což souvisí částečně s dokončováním plnění úkolů běžného roku a s poskytnutím dotace na vyrovnání deficitu příjmů a </w:t>
      </w:r>
      <w:r w:rsidR="00E2031D">
        <w:t xml:space="preserve">výdajů rozpočtu SFDI (ve výši </w:t>
      </w:r>
      <w:r w:rsidRPr="005759BF">
        <w:t xml:space="preserve">2,3 mld. Kč v roce 2015, ve výši </w:t>
      </w:r>
      <w:r w:rsidR="000D72BC">
        <w:br/>
      </w:r>
      <w:r w:rsidRPr="005759BF">
        <w:t xml:space="preserve">3,2 mld. Kč v roce 2016, ve výši 6 mld. Kč v roce 2017 a 3,2 mld. Kč v roce 2019). V roce 2015 souvisí nejvyšší čerpání ve 4. čtvrtletí rovněž s poskytnutím dotace SFDI na projekty spolufinancované z Operačního programu Doprava </w:t>
      </w:r>
      <w:r>
        <w:t>(2007-2013) ve výši 4,2 mld. Kč.</w:t>
      </w:r>
    </w:p>
    <w:p w14:paraId="6CA5AC84" w14:textId="77777777" w:rsidR="006B4C71" w:rsidRPr="007C76D5" w:rsidRDefault="006B4C71" w:rsidP="006B4C71">
      <w:pPr>
        <w:pStyle w:val="KOMtext"/>
      </w:pPr>
      <w:r w:rsidRPr="007C76D5">
        <w:t>Pokud jde o celkovou výši čerpání běžných výdajů v jednotlivých letech, potom nejvyšší čerpání se uskutečnilo v roce 2019.</w:t>
      </w:r>
    </w:p>
    <w:p w14:paraId="2AD83EB0" w14:textId="77777777" w:rsidR="006B4C71" w:rsidRPr="00244A20" w:rsidRDefault="006B4C71" w:rsidP="006B4C71">
      <w:pPr>
        <w:pStyle w:val="KOMtext"/>
      </w:pPr>
      <w:r w:rsidRPr="00244A20">
        <w:rPr>
          <w:u w:val="single"/>
        </w:rPr>
        <w:t>V roce 2015</w:t>
      </w:r>
      <w:r w:rsidRPr="00244A20">
        <w:t xml:space="preserve"> se oproti roku 2014 zvýšily běžné výdaje o cca 4,3 mld. Kč. Zvýšení bylo realizováno zejména zvýšením dotace pro SFDI o 2 mld. Kč (z toho zejména zvýšení dotace  SFDI na projekty spolufinancované z Operačního programu Doprava 2007-2013  o 4,2 mld. Kč a současně snížení dotace na vyrovnání deficitu příjmů a výdajů rozpočtu SFDI o 1,7 mld. Kč), poskytnutím dotace státní organizaci SŽDC na úhradu škody za neodebranou energii v roce 2010 ve prospěch společnosti ČEZ Prodej s. r. o. dle rozsudku Vrchního soudu v Praze ve výši </w:t>
      </w:r>
      <w:r w:rsidRPr="00244A20">
        <w:br/>
        <w:t xml:space="preserve">1,13 mld. Kč, poskytnutím finančních prostředků příspěvkové organizaci ŘSD ČR na úhradu pokut a penále, které organizaci vyměřil finanční úřad za porušení rozpočtové kázně ve výši </w:t>
      </w:r>
      <w:r w:rsidRPr="00244A20">
        <w:br/>
        <w:t xml:space="preserve">0,35 mld. Kč, poskytnutím vyššího příspěvku na dopravní cestu nehrazeného ze Státního fondu dopravní infrastruktury státní organizaci SŽDC o 0,3 mld. Kč, zvýšením čerpání dotace </w:t>
      </w:r>
      <w:r w:rsidRPr="00244A20">
        <w:br/>
        <w:t>na úhradu ztráty ze závazku veřejné služby ve veřejné drážní osobní dopravě o 0,18 mld. Kč.</w:t>
      </w:r>
    </w:p>
    <w:p w14:paraId="44E9ADCB" w14:textId="77777777" w:rsidR="006B4C71" w:rsidRPr="00244A20" w:rsidRDefault="006B4C71" w:rsidP="006B4C71">
      <w:pPr>
        <w:pStyle w:val="KOMtext"/>
      </w:pPr>
      <w:r w:rsidRPr="00244A20">
        <w:rPr>
          <w:u w:val="single"/>
        </w:rPr>
        <w:t>V roce 2016</w:t>
      </w:r>
      <w:r w:rsidRPr="00244A20">
        <w:t xml:space="preserve"> se oproti roku 2015 snížily běžné výdaje o cca 7,4 mld. Kč. Snížení bylo realizováno zejména snížením dotace pro SFDI o 7,5 mld. Kč (z toho zejména snížení dotace  SFDI na projekty spolufinancované z Operačního programu Doprava 2007-2013  o 4,4 mld. Kč a současně snížení dotace na vyrovnání deficitu příjmů a výdajů rozpočtu SFDI o 3,1 mld. Kč), snížením o mimořádnou dotaci státní organizaci SŽDC z roku 2015 na úhradu škody </w:t>
      </w:r>
      <w:r w:rsidRPr="00244A20">
        <w:br/>
        <w:t xml:space="preserve">za neodebranou energii v roce 2010 ve výši 1,13 mld. Kč, zvýšením poskytnutých finančních prostředků příspěvkové organizaci ŘSD ČR na úhradu pokut a penále, které organizaci vyměřil finanční úřad za porušení rozpočtové kázně o částku 0,96 mld. Kč, snížením příspěvku </w:t>
      </w:r>
      <w:r w:rsidRPr="00244A20">
        <w:br/>
        <w:t>na dopravní cestu nehrazeného ze Státního fondu dopravní infrastruktury státní organizaci SŽDC o 0,3 mld. Kč a poskytnutím dotace státní organizaci SŽDC na systém odměňování výkonů ve výši 0,29 mld. Kč.</w:t>
      </w:r>
    </w:p>
    <w:p w14:paraId="53BD2601" w14:textId="77777777" w:rsidR="006B4C71" w:rsidRPr="00244A20" w:rsidRDefault="006B4C71" w:rsidP="006B4C71">
      <w:pPr>
        <w:pStyle w:val="KOMtext"/>
      </w:pPr>
      <w:r w:rsidRPr="00244A20">
        <w:rPr>
          <w:u w:val="single"/>
        </w:rPr>
        <w:lastRenderedPageBreak/>
        <w:t>V roce 2017</w:t>
      </w:r>
      <w:r w:rsidRPr="00244A20">
        <w:t xml:space="preserve"> se oproti roku 2016 zvýšily běžné výdaje o cca 4,0 mld. Kč. Zvýšení bylo realizováno zejména zvýšením dotace pro SFDI o 1,65 mld. Kč (z toho zejména poskytnutí účelových prostředků na financování silnic II. a III. třídy ve výši 0,86 mld. Kč a zvýšením dotace na vyrovnání deficitu příjmů a výdajů rozpočtu SFDI o 0,8 mld. Kč), </w:t>
      </w:r>
      <w:r w:rsidR="00E2031D" w:rsidRPr="00244A20">
        <w:t>poskytnutím prostředků</w:t>
      </w:r>
      <w:r w:rsidRPr="00244A20">
        <w:t xml:space="preserve"> pro ŘSD ČR na úhradu příspěvku, který byl určen k vrácení Státnímu fondu dopravní infrastruktury (dle § 3 zákona č. 104/2000 Sb., o Státním fondu dopravní infrastruktury) ve výši 3 mld. Kč, snížením poskytnutých finančních prostředků příspěvkové organizaci ŘSD na úhradu pokut a penále, které organizaci vyměřil finanční úřad za porušení rozpočtové kázně o částku 0,61 mld. Kč, v roce 2017 neposkytnutím příspěvku na dopravní cestu nehrazeného ze Státního fondu dopravní infrastruktury státní organizaci SŽDC ve výši 0,55 mld. Kč, zvýšením příspěvku na volitelné programy ESA 0,72 mld. Kč, v roce 2017 neposkytnutím dotace státní organizaci SŽDC na systém odměňování výkonů ve výši 0,29 mld. Kč a zvýšením čerpání dotace na úhradu ztráty ze závazku veřejné </w:t>
      </w:r>
      <w:r w:rsidR="00E2031D" w:rsidRPr="00244A20">
        <w:t>služby ve</w:t>
      </w:r>
      <w:r w:rsidRPr="00244A20">
        <w:t xml:space="preserve"> veřejné drážní osobní dopravě o 0,15 mld. Kč.</w:t>
      </w:r>
    </w:p>
    <w:p w14:paraId="1A67C55D" w14:textId="77777777" w:rsidR="006B4C71" w:rsidRDefault="006B4C71" w:rsidP="006B4C71">
      <w:pPr>
        <w:pStyle w:val="KOMtext"/>
      </w:pPr>
      <w:r w:rsidRPr="00244A20">
        <w:rPr>
          <w:u w:val="single"/>
        </w:rPr>
        <w:t>V roce 2018</w:t>
      </w:r>
      <w:r w:rsidRPr="00244A20">
        <w:t xml:space="preserve"> se oproti roku 2017 snížily běžné výdaje o cca 5,12 mld. Kč. Snížení bylo realizováno zejména snížením dotace pro SFDI o 2,99 mld. </w:t>
      </w:r>
      <w:r w:rsidR="00E2031D" w:rsidRPr="00244A20">
        <w:t>Kč z důvodu</w:t>
      </w:r>
      <w:r w:rsidRPr="00244A20">
        <w:t xml:space="preserve"> nižšího čerpání finančních prostředků na krytí deficitu SFDI a na financování silnic II. a III</w:t>
      </w:r>
      <w:r w:rsidR="00E2031D">
        <w:t>. třídy, snížením poskytnutých</w:t>
      </w:r>
      <w:r w:rsidRPr="00244A20">
        <w:t xml:space="preserve"> prostředků ŘSD ČR na úhradu příspěvku, který byl určen k vrácení Státnímu fondu dopravní infrastruktury (dle § 3 zákona č. 104/2000 Sb., o Státním fondu dopravní infrastruktury) o 2,9 mld. Kč, zvýšením výdajů </w:t>
      </w:r>
      <w:r w:rsidR="00E2031D" w:rsidRPr="00244A20">
        <w:t>na kompenzace</w:t>
      </w:r>
      <w:r w:rsidR="00E2031D">
        <w:t xml:space="preserve"> ztráty vznikající dopravcům </w:t>
      </w:r>
      <w:r w:rsidRPr="00244A20">
        <w:t xml:space="preserve">ve veřejné osobní dopravě přiznáváním státem nařízených slev z jízdného o 1,29 mld. Kč, nečerpáním výdajů spojených s údržbou silnic I. třídy (0,89 mld. Kč v roce 2017), zvýšením poskytnutých finančních prostředků příspěvkové organizaci ŘSD na úhradu pokut a penále, které organizaci vyměřil finanční úřad za porušení rozpočtové kázně o částku 0,05 mld. Kč, zvýšením čerpání dotace na úhradu ztráty ze závazku veřejné </w:t>
      </w:r>
      <w:r w:rsidR="00E2031D" w:rsidRPr="00244A20">
        <w:t>služby ve</w:t>
      </w:r>
      <w:r w:rsidR="00E2031D">
        <w:t xml:space="preserve"> veřejné drážní osobní dopravě </w:t>
      </w:r>
      <w:r w:rsidRPr="00244A20">
        <w:t>o 0,16 mld. Kč a oproti roku 2017 poskytnutím dotace státní orga</w:t>
      </w:r>
      <w:r w:rsidR="00E2031D">
        <w:t xml:space="preserve">nizaci SŽDC </w:t>
      </w:r>
      <w:r w:rsidRPr="00244A20">
        <w:t xml:space="preserve">na systém odměňování výkonů ve </w:t>
      </w:r>
      <w:r w:rsidR="00E2031D" w:rsidRPr="00244A20">
        <w:t>výši 0,03</w:t>
      </w:r>
      <w:r w:rsidRPr="00244A20">
        <w:t xml:space="preserve"> mld. Kč.</w:t>
      </w:r>
    </w:p>
    <w:p w14:paraId="1A0B41D3" w14:textId="61AC33B2" w:rsidR="006B4C71" w:rsidRPr="00F61D5F" w:rsidRDefault="006B4C71" w:rsidP="006B4C71">
      <w:pPr>
        <w:pStyle w:val="KOMtext"/>
      </w:pPr>
      <w:r w:rsidRPr="00C326DD">
        <w:rPr>
          <w:u w:val="single"/>
        </w:rPr>
        <w:t>V roce 2019</w:t>
      </w:r>
      <w:r w:rsidRPr="00C326DD">
        <w:t xml:space="preserve"> se oproti roku 2018 zvýšily běžné výdaje o cca 10,9 mld. Kč. Zvýšení</w:t>
      </w:r>
      <w:r>
        <w:t xml:space="preserve"> bylo realizováno zejména</w:t>
      </w:r>
      <w:r w:rsidRPr="00C326DD">
        <w:t xml:space="preserve"> </w:t>
      </w:r>
      <w:r w:rsidRPr="000F1CDD">
        <w:t xml:space="preserve">zvýšením dotace pro SFDI o 7,08 mld. </w:t>
      </w:r>
      <w:r w:rsidR="00E2031D" w:rsidRPr="000F1CDD">
        <w:t>Kč zejména</w:t>
      </w:r>
      <w:r>
        <w:t xml:space="preserve"> </w:t>
      </w:r>
      <w:r w:rsidRPr="000F1CDD">
        <w:t xml:space="preserve">z důvodu vyššího čerpání </w:t>
      </w:r>
      <w:r w:rsidRPr="00EA4927">
        <w:t xml:space="preserve">finančních prostředků na krytí </w:t>
      </w:r>
      <w:r w:rsidR="00F71DA3">
        <w:t xml:space="preserve">deficitu SFDI </w:t>
      </w:r>
      <w:r>
        <w:t xml:space="preserve">o </w:t>
      </w:r>
      <w:r w:rsidRPr="00EA4927">
        <w:t xml:space="preserve">7,77 mld. Kč a současně snížení čerpání dotace na financování silnic II. a III. třídy o 0,71 tis. Kč, </w:t>
      </w:r>
      <w:r>
        <w:t xml:space="preserve">zvýšením </w:t>
      </w:r>
      <w:r w:rsidRPr="00864F86">
        <w:t xml:space="preserve">výdajů na kompenzace ztráty vznikající dopravcům ve veřejné osobní dopravě přiznáváním státem nařízených slev z jízdného o 4,23 mld. Kč, snížením poskytnutých finančních prostředků příspěvkové organizaci ŘSD na úhradu pokut a penále, které organizaci vyměřil finanční úřad za porušení rozpočtové kázně </w:t>
      </w:r>
      <w:r w:rsidR="00F71DA3">
        <w:br/>
      </w:r>
      <w:r w:rsidRPr="00864F86">
        <w:t xml:space="preserve">o </w:t>
      </w:r>
      <w:r w:rsidR="00E2031D">
        <w:t>částku 0,74 mld. Kč, zvýšením poskytnutých prostředků</w:t>
      </w:r>
      <w:r w:rsidRPr="00943D45">
        <w:t xml:space="preserve"> ŘSD ČR na úhradu příspěvku, který byl určen k vrácení Státnímu fondu dopravní infrastruktury (dle § 3 zákona č. 104/2000 Sb., </w:t>
      </w:r>
      <w:r w:rsidR="00E2031D">
        <w:br/>
      </w:r>
      <w:r w:rsidRPr="00943D45">
        <w:t>o Státním fondu dopravní infrastruktury) o 0,25 mld. Kč</w:t>
      </w:r>
      <w:r w:rsidRPr="00F61D5F">
        <w:t>, snížením čerpání dotace na úhradu zt</w:t>
      </w:r>
      <w:r>
        <w:t xml:space="preserve">ráty ze závazku veřejné služby </w:t>
      </w:r>
      <w:r w:rsidRPr="00F61D5F">
        <w:t>ve veřejné drážní osobní dopravě o 0,17 mld. Kč.</w:t>
      </w:r>
    </w:p>
    <w:p w14:paraId="3CE9089B" w14:textId="0839AFA6" w:rsidR="00C11E5A" w:rsidRPr="001F1695" w:rsidRDefault="00AE353C" w:rsidP="00AE353C">
      <w:pPr>
        <w:pStyle w:val="Titulek"/>
      </w:pPr>
      <w:bookmarkStart w:id="90" w:name="_Toc34288675"/>
      <w:r w:rsidRPr="001F1695">
        <w:lastRenderedPageBreak/>
        <w:t xml:space="preserve">Graf č. </w:t>
      </w:r>
      <w:r w:rsidR="00A65941" w:rsidRPr="001F1695">
        <w:rPr>
          <w:noProof/>
        </w:rPr>
        <w:fldChar w:fldCharType="begin"/>
      </w:r>
      <w:r w:rsidR="00A65941" w:rsidRPr="001F1695">
        <w:rPr>
          <w:noProof/>
        </w:rPr>
        <w:instrText xml:space="preserve"> SEQ Graf_č. \* ARABIC </w:instrText>
      </w:r>
      <w:r w:rsidR="00A65941" w:rsidRPr="001F1695">
        <w:rPr>
          <w:noProof/>
        </w:rPr>
        <w:fldChar w:fldCharType="separate"/>
      </w:r>
      <w:r w:rsidR="00DF450F">
        <w:rPr>
          <w:noProof/>
        </w:rPr>
        <w:t>8</w:t>
      </w:r>
      <w:r w:rsidR="00A65941" w:rsidRPr="001F1695">
        <w:rPr>
          <w:noProof/>
        </w:rPr>
        <w:fldChar w:fldCharType="end"/>
      </w:r>
      <w:r w:rsidR="00C11E5A" w:rsidRPr="001F1695">
        <w:t>:</w:t>
      </w:r>
      <w:r w:rsidR="00CB0887" w:rsidRPr="001F1695">
        <w:t xml:space="preserve"> </w:t>
      </w:r>
      <w:r w:rsidR="00C11E5A" w:rsidRPr="001F1695">
        <w:t xml:space="preserve"> Přehled čerpání běžných výdajů v jednot</w:t>
      </w:r>
      <w:r w:rsidR="001F1695" w:rsidRPr="001F1695">
        <w:t>livých čtvrtletích v letech 2015</w:t>
      </w:r>
      <w:r w:rsidR="00C11E5A" w:rsidRPr="001F1695">
        <w:t>-201</w:t>
      </w:r>
      <w:bookmarkEnd w:id="84"/>
      <w:bookmarkEnd w:id="85"/>
      <w:bookmarkEnd w:id="86"/>
      <w:r w:rsidR="001F1695" w:rsidRPr="001F1695">
        <w:t>9</w:t>
      </w:r>
      <w:r w:rsidR="00C11E5A" w:rsidRPr="001F1695">
        <w:t xml:space="preserve"> (v tis. Kč)</w:t>
      </w:r>
      <w:bookmarkEnd w:id="90"/>
    </w:p>
    <w:p w14:paraId="52FBEAB0" w14:textId="77777777" w:rsidR="00AF7D43" w:rsidRPr="004B11AC" w:rsidRDefault="00AF7D43" w:rsidP="00C11E5A">
      <w:pPr>
        <w:rPr>
          <w:color w:val="FF0000"/>
        </w:rPr>
      </w:pPr>
      <w:r w:rsidRPr="004B11AC">
        <w:rPr>
          <w:noProof/>
          <w:color w:val="FF0000"/>
        </w:rPr>
        <w:drawing>
          <wp:inline distT="0" distB="0" distL="0" distR="0" wp14:anchorId="5F3EF0EC" wp14:editId="0CAD69D3">
            <wp:extent cx="5781675" cy="2562225"/>
            <wp:effectExtent l="0" t="0" r="9525" b="9525"/>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5674D9D" w14:textId="77777777" w:rsidR="005A7B67" w:rsidRPr="004B11AC" w:rsidRDefault="005A7B67" w:rsidP="00275CE2">
      <w:pPr>
        <w:pStyle w:val="Odstavecseseznamem"/>
        <w:keepNext/>
        <w:numPr>
          <w:ilvl w:val="0"/>
          <w:numId w:val="43"/>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91" w:name="_Toc508879502"/>
      <w:bookmarkStart w:id="92" w:name="_Toc508879843"/>
      <w:bookmarkStart w:id="93" w:name="_Toc508880119"/>
      <w:bookmarkStart w:id="94" w:name="_Toc508883791"/>
      <w:bookmarkStart w:id="95" w:name="_Toc508883994"/>
      <w:bookmarkStart w:id="96" w:name="_Toc508884088"/>
      <w:bookmarkStart w:id="97" w:name="_Toc508884382"/>
      <w:bookmarkStart w:id="98" w:name="_Toc508887014"/>
      <w:bookmarkStart w:id="99" w:name="_Toc508887265"/>
      <w:bookmarkStart w:id="100" w:name="_Toc508887697"/>
      <w:bookmarkStart w:id="101" w:name="_Toc508887803"/>
      <w:bookmarkStart w:id="102" w:name="_Toc535839549"/>
      <w:bookmarkStart w:id="103" w:name="_Toc535839718"/>
      <w:bookmarkStart w:id="104" w:name="_Toc970000"/>
      <w:bookmarkStart w:id="105" w:name="_Toc1042914"/>
      <w:bookmarkStart w:id="106" w:name="_Toc1050794"/>
      <w:bookmarkStart w:id="107" w:name="_Toc508879503"/>
      <w:bookmarkStart w:id="108" w:name="_Toc508879844"/>
      <w:bookmarkStart w:id="109" w:name="_Toc508880120"/>
      <w:bookmarkStart w:id="110" w:name="_Toc508883792"/>
      <w:bookmarkStart w:id="111" w:name="_Toc508883995"/>
      <w:bookmarkStart w:id="112" w:name="_Toc508884089"/>
      <w:bookmarkStart w:id="113" w:name="_Toc508884383"/>
      <w:bookmarkStart w:id="114" w:name="_Toc508887015"/>
      <w:bookmarkStart w:id="115" w:name="_Toc508887266"/>
      <w:bookmarkStart w:id="116" w:name="_Toc508887698"/>
      <w:bookmarkStart w:id="117" w:name="_Toc508887804"/>
      <w:bookmarkStart w:id="118" w:name="_Toc535839550"/>
      <w:bookmarkStart w:id="119" w:name="_Toc535839719"/>
      <w:bookmarkStart w:id="120" w:name="_Toc970001"/>
      <w:bookmarkStart w:id="121" w:name="_Toc1042915"/>
      <w:bookmarkStart w:id="122" w:name="_Toc1050795"/>
      <w:bookmarkStart w:id="123" w:name="_Toc508879504"/>
      <w:bookmarkStart w:id="124" w:name="_Toc508879845"/>
      <w:bookmarkStart w:id="125" w:name="_Toc508880121"/>
      <w:bookmarkStart w:id="126" w:name="_Toc508883793"/>
      <w:bookmarkStart w:id="127" w:name="_Toc508883996"/>
      <w:bookmarkStart w:id="128" w:name="_Toc508884090"/>
      <w:bookmarkStart w:id="129" w:name="_Toc508884384"/>
      <w:bookmarkStart w:id="130" w:name="_Toc508887016"/>
      <w:bookmarkStart w:id="131" w:name="_Toc508887267"/>
      <w:bookmarkStart w:id="132" w:name="_Toc508887699"/>
      <w:bookmarkStart w:id="133" w:name="_Toc508887805"/>
      <w:bookmarkStart w:id="134" w:name="_Toc535839551"/>
      <w:bookmarkStart w:id="135" w:name="_Toc535839720"/>
      <w:bookmarkStart w:id="136" w:name="_Toc970002"/>
      <w:bookmarkStart w:id="137" w:name="_Toc1042916"/>
      <w:bookmarkStart w:id="138" w:name="_Toc1050796"/>
      <w:bookmarkStart w:id="139" w:name="_Toc508879505"/>
      <w:bookmarkStart w:id="140" w:name="_Toc508879846"/>
      <w:bookmarkStart w:id="141" w:name="_Toc508880122"/>
      <w:bookmarkStart w:id="142" w:name="_Toc508883794"/>
      <w:bookmarkStart w:id="143" w:name="_Toc508883997"/>
      <w:bookmarkStart w:id="144" w:name="_Toc508884091"/>
      <w:bookmarkStart w:id="145" w:name="_Toc508884385"/>
      <w:bookmarkStart w:id="146" w:name="_Toc508887017"/>
      <w:bookmarkStart w:id="147" w:name="_Toc508887268"/>
      <w:bookmarkStart w:id="148" w:name="_Toc508887700"/>
      <w:bookmarkStart w:id="149" w:name="_Toc508887806"/>
      <w:bookmarkStart w:id="150" w:name="_Toc535839552"/>
      <w:bookmarkStart w:id="151" w:name="_Toc535839721"/>
      <w:bookmarkStart w:id="152" w:name="_Toc970003"/>
      <w:bookmarkStart w:id="153" w:name="_Toc1042917"/>
      <w:bookmarkStart w:id="154" w:name="_Toc1050797"/>
      <w:bookmarkStart w:id="155" w:name="_Toc1144975"/>
      <w:bookmarkStart w:id="156" w:name="_Toc1145101"/>
      <w:bookmarkStart w:id="157" w:name="_Toc1145697"/>
      <w:bookmarkStart w:id="158" w:name="_Toc1376731"/>
      <w:bookmarkStart w:id="159" w:name="_Toc1376809"/>
      <w:bookmarkStart w:id="160" w:name="_Toc1377454"/>
      <w:bookmarkStart w:id="161" w:name="_Toc1473457"/>
      <w:bookmarkStart w:id="162" w:name="_Toc1491611"/>
      <w:bookmarkStart w:id="163" w:name="_Toc1491690"/>
      <w:bookmarkStart w:id="164" w:name="_Toc1561668"/>
      <w:bookmarkStart w:id="165" w:name="_Toc2756967"/>
      <w:bookmarkStart w:id="166" w:name="_Toc2786511"/>
      <w:bookmarkStart w:id="167" w:name="_Toc2789271"/>
      <w:bookmarkStart w:id="168" w:name="_Toc2789398"/>
      <w:bookmarkStart w:id="169" w:name="_Toc32587586"/>
      <w:bookmarkStart w:id="170" w:name="_Toc32587680"/>
      <w:bookmarkStart w:id="171" w:name="_Toc32935707"/>
      <w:bookmarkStart w:id="172" w:name="_Toc34204595"/>
      <w:bookmarkStart w:id="173" w:name="_Toc34286388"/>
      <w:bookmarkStart w:id="174" w:name="_Toc34286455"/>
      <w:bookmarkStart w:id="175" w:name="_Toc508879847"/>
      <w:bookmarkStart w:id="176" w:name="_Toc508880123"/>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07193430" w14:textId="77777777" w:rsidR="005A7B67" w:rsidRPr="004B11AC" w:rsidRDefault="005A7B67" w:rsidP="00275CE2">
      <w:pPr>
        <w:pStyle w:val="Odstavecseseznamem"/>
        <w:keepNext/>
        <w:numPr>
          <w:ilvl w:val="0"/>
          <w:numId w:val="43"/>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177" w:name="_Toc1144976"/>
      <w:bookmarkStart w:id="178" w:name="_Toc1145102"/>
      <w:bookmarkStart w:id="179" w:name="_Toc1145698"/>
      <w:bookmarkStart w:id="180" w:name="_Toc1376732"/>
      <w:bookmarkStart w:id="181" w:name="_Toc1376810"/>
      <w:bookmarkStart w:id="182" w:name="_Toc1377455"/>
      <w:bookmarkStart w:id="183" w:name="_Toc1473458"/>
      <w:bookmarkStart w:id="184" w:name="_Toc1491612"/>
      <w:bookmarkStart w:id="185" w:name="_Toc1491691"/>
      <w:bookmarkStart w:id="186" w:name="_Toc1561669"/>
      <w:bookmarkStart w:id="187" w:name="_Toc2756968"/>
      <w:bookmarkStart w:id="188" w:name="_Toc2786512"/>
      <w:bookmarkStart w:id="189" w:name="_Toc2789272"/>
      <w:bookmarkStart w:id="190" w:name="_Toc2789399"/>
      <w:bookmarkStart w:id="191" w:name="_Toc32587587"/>
      <w:bookmarkStart w:id="192" w:name="_Toc32587681"/>
      <w:bookmarkStart w:id="193" w:name="_Toc32935708"/>
      <w:bookmarkStart w:id="194" w:name="_Toc34204596"/>
      <w:bookmarkStart w:id="195" w:name="_Toc34286389"/>
      <w:bookmarkStart w:id="196" w:name="_Toc3428645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6CF3D918" w14:textId="77777777" w:rsidR="005A7B67" w:rsidRPr="004B11AC" w:rsidRDefault="005A7B67" w:rsidP="00275CE2">
      <w:pPr>
        <w:pStyle w:val="Odstavecseseznamem"/>
        <w:keepNext/>
        <w:numPr>
          <w:ilvl w:val="0"/>
          <w:numId w:val="43"/>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197" w:name="_Toc1144977"/>
      <w:bookmarkStart w:id="198" w:name="_Toc1145103"/>
      <w:bookmarkStart w:id="199" w:name="_Toc1145699"/>
      <w:bookmarkStart w:id="200" w:name="_Toc1376733"/>
      <w:bookmarkStart w:id="201" w:name="_Toc1376811"/>
      <w:bookmarkStart w:id="202" w:name="_Toc1377456"/>
      <w:bookmarkStart w:id="203" w:name="_Toc1473459"/>
      <w:bookmarkStart w:id="204" w:name="_Toc1491613"/>
      <w:bookmarkStart w:id="205" w:name="_Toc1491692"/>
      <w:bookmarkStart w:id="206" w:name="_Toc1561670"/>
      <w:bookmarkStart w:id="207" w:name="_Toc2756969"/>
      <w:bookmarkStart w:id="208" w:name="_Toc2786513"/>
      <w:bookmarkStart w:id="209" w:name="_Toc2789273"/>
      <w:bookmarkStart w:id="210" w:name="_Toc2789400"/>
      <w:bookmarkStart w:id="211" w:name="_Toc32587588"/>
      <w:bookmarkStart w:id="212" w:name="_Toc32587682"/>
      <w:bookmarkStart w:id="213" w:name="_Toc32935709"/>
      <w:bookmarkStart w:id="214" w:name="_Toc34204597"/>
      <w:bookmarkStart w:id="215" w:name="_Toc34286390"/>
      <w:bookmarkStart w:id="216" w:name="_Toc34286457"/>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14:paraId="61DC6EBE" w14:textId="77777777" w:rsidR="005A7B67" w:rsidRPr="004B11AC" w:rsidRDefault="005A7B67" w:rsidP="00275CE2">
      <w:pPr>
        <w:pStyle w:val="Odstavecseseznamem"/>
        <w:keepNext/>
        <w:numPr>
          <w:ilvl w:val="1"/>
          <w:numId w:val="43"/>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217" w:name="_Toc1144978"/>
      <w:bookmarkStart w:id="218" w:name="_Toc1145104"/>
      <w:bookmarkStart w:id="219" w:name="_Toc1145700"/>
      <w:bookmarkStart w:id="220" w:name="_Toc1376734"/>
      <w:bookmarkStart w:id="221" w:name="_Toc1376812"/>
      <w:bookmarkStart w:id="222" w:name="_Toc1377457"/>
      <w:bookmarkStart w:id="223" w:name="_Toc1473460"/>
      <w:bookmarkStart w:id="224" w:name="_Toc1491614"/>
      <w:bookmarkStart w:id="225" w:name="_Toc1491693"/>
      <w:bookmarkStart w:id="226" w:name="_Toc1561671"/>
      <w:bookmarkStart w:id="227" w:name="_Toc2756970"/>
      <w:bookmarkStart w:id="228" w:name="_Toc2786514"/>
      <w:bookmarkStart w:id="229" w:name="_Toc2789274"/>
      <w:bookmarkStart w:id="230" w:name="_Toc2789401"/>
      <w:bookmarkStart w:id="231" w:name="_Toc32587589"/>
      <w:bookmarkStart w:id="232" w:name="_Toc32587683"/>
      <w:bookmarkStart w:id="233" w:name="_Toc32935710"/>
      <w:bookmarkStart w:id="234" w:name="_Toc34204598"/>
      <w:bookmarkStart w:id="235" w:name="_Toc34286391"/>
      <w:bookmarkStart w:id="236" w:name="_Toc34286458"/>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60916722" w14:textId="77777777" w:rsidR="005A7B67" w:rsidRPr="004B11AC" w:rsidRDefault="005A7B67" w:rsidP="00275CE2">
      <w:pPr>
        <w:pStyle w:val="Odstavecseseznamem"/>
        <w:keepNext/>
        <w:numPr>
          <w:ilvl w:val="1"/>
          <w:numId w:val="43"/>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237" w:name="_Toc1144979"/>
      <w:bookmarkStart w:id="238" w:name="_Toc1145105"/>
      <w:bookmarkStart w:id="239" w:name="_Toc1145701"/>
      <w:bookmarkStart w:id="240" w:name="_Toc1376735"/>
      <w:bookmarkStart w:id="241" w:name="_Toc1376813"/>
      <w:bookmarkStart w:id="242" w:name="_Toc1377458"/>
      <w:bookmarkStart w:id="243" w:name="_Toc1473461"/>
      <w:bookmarkStart w:id="244" w:name="_Toc1491615"/>
      <w:bookmarkStart w:id="245" w:name="_Toc1491694"/>
      <w:bookmarkStart w:id="246" w:name="_Toc1561672"/>
      <w:bookmarkStart w:id="247" w:name="_Toc2756971"/>
      <w:bookmarkStart w:id="248" w:name="_Toc2786515"/>
      <w:bookmarkStart w:id="249" w:name="_Toc2789275"/>
      <w:bookmarkStart w:id="250" w:name="_Toc2789402"/>
      <w:bookmarkStart w:id="251" w:name="_Toc32587590"/>
      <w:bookmarkStart w:id="252" w:name="_Toc32587684"/>
      <w:bookmarkStart w:id="253" w:name="_Toc32935711"/>
      <w:bookmarkStart w:id="254" w:name="_Toc34204599"/>
      <w:bookmarkStart w:id="255" w:name="_Toc34286392"/>
      <w:bookmarkStart w:id="256" w:name="_Toc34286459"/>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452E63B6" w14:textId="77777777" w:rsidR="0099764A" w:rsidRPr="00121BA0" w:rsidRDefault="00FF3AC7" w:rsidP="00121BA0">
      <w:pPr>
        <w:pStyle w:val="Nadpis3"/>
      </w:pPr>
      <w:bookmarkStart w:id="257" w:name="_Toc1376814"/>
      <w:bookmarkStart w:id="258" w:name="_Toc34286460"/>
      <w:r w:rsidRPr="00121BA0">
        <w:t>E</w:t>
      </w:r>
      <w:r w:rsidR="0099764A" w:rsidRPr="00121BA0">
        <w:t>fektivnost a nákladovost hospodaření kapitoly 327-MD</w:t>
      </w:r>
      <w:bookmarkEnd w:id="87"/>
      <w:bookmarkEnd w:id="88"/>
      <w:bookmarkEnd w:id="175"/>
      <w:bookmarkEnd w:id="176"/>
      <w:bookmarkEnd w:id="257"/>
      <w:bookmarkEnd w:id="258"/>
    </w:p>
    <w:p w14:paraId="1FB40739" w14:textId="77777777" w:rsidR="0099764A" w:rsidRPr="001F1695" w:rsidRDefault="0099764A" w:rsidP="001F1695">
      <w:pPr>
        <w:pStyle w:val="KOMtext"/>
      </w:pPr>
      <w:r w:rsidRPr="001F1695">
        <w:t xml:space="preserve">Přehled efektivnosti a nákladovosti hospodaření organizačních složek státu v rámci kapitoly </w:t>
      </w:r>
      <w:r w:rsidR="001F1695">
        <w:br/>
      </w:r>
      <w:r w:rsidRPr="001F1695">
        <w:t xml:space="preserve">327-MD ve vývojové řadě </w:t>
      </w:r>
      <w:r w:rsidR="00B50748" w:rsidRPr="001F1695">
        <w:t>20</w:t>
      </w:r>
      <w:r w:rsidR="00E50E80" w:rsidRPr="001F1695">
        <w:t>1</w:t>
      </w:r>
      <w:r w:rsidR="001F1695">
        <w:t>5</w:t>
      </w:r>
      <w:r w:rsidR="00B50748" w:rsidRPr="001F1695">
        <w:t xml:space="preserve"> - </w:t>
      </w:r>
      <w:r w:rsidRPr="001F1695">
        <w:t>201</w:t>
      </w:r>
      <w:r w:rsidR="001F1695">
        <w:t>9</w:t>
      </w:r>
      <w:r w:rsidR="00631208" w:rsidRPr="001F1695">
        <w:t xml:space="preserve"> je uveden v příloze č. </w:t>
      </w:r>
      <w:r w:rsidR="00580FDA" w:rsidRPr="001F1695">
        <w:t>8</w:t>
      </w:r>
      <w:r w:rsidRPr="001F1695">
        <w:t xml:space="preserve">. </w:t>
      </w:r>
    </w:p>
    <w:p w14:paraId="5885E1D5" w14:textId="77777777" w:rsidR="0099764A" w:rsidRPr="001F1695" w:rsidRDefault="0099764A" w:rsidP="00F74470">
      <w:pPr>
        <w:pStyle w:val="KOMtext"/>
      </w:pPr>
      <w:r w:rsidRPr="001F1695">
        <w:t>U efektivnosti jsou hodnoceny:</w:t>
      </w:r>
    </w:p>
    <w:p w14:paraId="23359733" w14:textId="77777777" w:rsidR="0099764A" w:rsidRPr="001F1695" w:rsidRDefault="0099764A" w:rsidP="00275CE2">
      <w:pPr>
        <w:pStyle w:val="Zkladntext"/>
        <w:numPr>
          <w:ilvl w:val="0"/>
          <w:numId w:val="4"/>
        </w:numPr>
        <w:tabs>
          <w:tab w:val="clear" w:pos="1429"/>
          <w:tab w:val="num" w:pos="993"/>
        </w:tabs>
        <w:spacing w:after="60"/>
        <w:ind w:left="709" w:hanging="425"/>
      </w:pPr>
      <w:r w:rsidRPr="001F1695">
        <w:t>příjmy na 1 Kč výdajů</w:t>
      </w:r>
    </w:p>
    <w:p w14:paraId="59F64BCE" w14:textId="77777777" w:rsidR="0099764A" w:rsidRPr="001F1695" w:rsidRDefault="0099764A" w:rsidP="00275CE2">
      <w:pPr>
        <w:pStyle w:val="Zkladntext"/>
        <w:numPr>
          <w:ilvl w:val="0"/>
          <w:numId w:val="4"/>
        </w:numPr>
        <w:tabs>
          <w:tab w:val="clear" w:pos="1429"/>
          <w:tab w:val="num" w:pos="993"/>
        </w:tabs>
        <w:spacing w:before="0" w:after="60"/>
        <w:ind w:left="709" w:hanging="425"/>
      </w:pPr>
      <w:r w:rsidRPr="001F1695">
        <w:t>příjmy na 1 zaměstnance v Kč</w:t>
      </w:r>
    </w:p>
    <w:p w14:paraId="58C6F43A" w14:textId="77777777" w:rsidR="0099764A" w:rsidRPr="001F1695" w:rsidRDefault="0099764A" w:rsidP="00F74470">
      <w:pPr>
        <w:pStyle w:val="KOMtext"/>
      </w:pPr>
      <w:r w:rsidRPr="001F1695">
        <w:t>U nákladovosti jsou hodnoceny:</w:t>
      </w:r>
    </w:p>
    <w:p w14:paraId="63943F77" w14:textId="77777777" w:rsidR="0099764A" w:rsidRPr="001F1695" w:rsidRDefault="0099764A" w:rsidP="00275CE2">
      <w:pPr>
        <w:pStyle w:val="Zkladntext"/>
        <w:numPr>
          <w:ilvl w:val="0"/>
          <w:numId w:val="5"/>
        </w:numPr>
        <w:tabs>
          <w:tab w:val="clear" w:pos="1428"/>
          <w:tab w:val="num" w:pos="851"/>
        </w:tabs>
        <w:spacing w:after="60"/>
        <w:ind w:left="709" w:hanging="425"/>
      </w:pPr>
      <w:r w:rsidRPr="001F1695">
        <w:t>výdaje na 100 Kč příjmů</w:t>
      </w:r>
    </w:p>
    <w:p w14:paraId="4953B5BC" w14:textId="77777777" w:rsidR="0099764A" w:rsidRPr="001F1695" w:rsidRDefault="0099764A" w:rsidP="00275CE2">
      <w:pPr>
        <w:pStyle w:val="Zkladntext"/>
        <w:numPr>
          <w:ilvl w:val="0"/>
          <w:numId w:val="5"/>
        </w:numPr>
        <w:tabs>
          <w:tab w:val="clear" w:pos="1428"/>
          <w:tab w:val="num" w:pos="851"/>
        </w:tabs>
        <w:spacing w:before="0" w:after="60"/>
        <w:ind w:left="709" w:hanging="425"/>
      </w:pPr>
      <w:r w:rsidRPr="001F1695">
        <w:t>výdaje na 1 zaměstnance v Kč</w:t>
      </w:r>
    </w:p>
    <w:p w14:paraId="2B6FD0A7" w14:textId="77777777" w:rsidR="0099764A" w:rsidRPr="001F1695" w:rsidRDefault="0099764A" w:rsidP="00275CE2">
      <w:pPr>
        <w:pStyle w:val="Zkladntext"/>
        <w:numPr>
          <w:ilvl w:val="0"/>
          <w:numId w:val="5"/>
        </w:numPr>
        <w:tabs>
          <w:tab w:val="clear" w:pos="1428"/>
          <w:tab w:val="num" w:pos="851"/>
        </w:tabs>
        <w:spacing w:before="0" w:after="60"/>
        <w:ind w:left="709" w:hanging="425"/>
      </w:pPr>
      <w:r w:rsidRPr="001F1695">
        <w:t>běžné výdaje na 1 zaměstnance v Kč</w:t>
      </w:r>
    </w:p>
    <w:p w14:paraId="7BA46AF5" w14:textId="77777777" w:rsidR="006B4750" w:rsidRPr="001F1695" w:rsidRDefault="0099764A" w:rsidP="001F1695">
      <w:pPr>
        <w:pStyle w:val="KOMtext"/>
      </w:pPr>
      <w:r w:rsidRPr="001F1695">
        <w:t xml:space="preserve">V souvislosti s uvedenými ukazateli je nutné upozornit, že meziroční srovnání a poměrové propočty je možné prakticky vždy považovat pouze za orientační, neboť v podstatě v každém roce jsou realizovány mimořádné výdaje buď z hlediska jejich výskytu nebo z hlediska </w:t>
      </w:r>
      <w:r w:rsidR="00FA7E1E" w:rsidRPr="001F1695">
        <w:t>obsahu</w:t>
      </w:r>
      <w:r w:rsidRPr="001F1695">
        <w:t xml:space="preserve"> a jejich kompletní vyloučení je problematické. Úroveň uvedených ukazatelů ovlivňují dále změny organizační struktury kapitoly, metodické změny a vývoj cen. Zkreslující vliv má i vývoj počtu zaměstnanců a celá řada dalších faktorů. </w:t>
      </w:r>
    </w:p>
    <w:p w14:paraId="6DA84677" w14:textId="77777777" w:rsidR="00634FD3" w:rsidRPr="001F1695" w:rsidRDefault="00634FD3" w:rsidP="001F1695">
      <w:pPr>
        <w:pStyle w:val="KOMtext"/>
      </w:pPr>
      <w:r w:rsidRPr="001F1695">
        <w:t>Hlavním vypovídajícím ukazatelem pro hodnocení efektivnosti a nákladovosti hospodaření kapitoly jsou neinvestiční výdaje organizačních složek státu.</w:t>
      </w:r>
    </w:p>
    <w:p w14:paraId="6BA44108" w14:textId="77777777" w:rsidR="001F1695" w:rsidRPr="004B11AC" w:rsidRDefault="001F1695" w:rsidP="001F1695">
      <w:pPr>
        <w:pStyle w:val="KOMtext"/>
        <w:rPr>
          <w:color w:val="FF0000"/>
        </w:rPr>
      </w:pPr>
      <w:bookmarkStart w:id="259" w:name="_Toc508879507"/>
      <w:bookmarkStart w:id="260" w:name="_Toc508879848"/>
      <w:bookmarkStart w:id="261" w:name="_Toc508880124"/>
      <w:bookmarkStart w:id="262" w:name="_Toc508883796"/>
      <w:bookmarkStart w:id="263" w:name="_Toc508883999"/>
      <w:bookmarkStart w:id="264" w:name="_Toc508884093"/>
      <w:bookmarkStart w:id="265" w:name="_Toc508884387"/>
      <w:bookmarkStart w:id="266" w:name="_Toc508887019"/>
      <w:bookmarkStart w:id="267" w:name="_Toc508887270"/>
      <w:bookmarkStart w:id="268" w:name="_Toc508887702"/>
      <w:bookmarkStart w:id="269" w:name="_Toc508887808"/>
      <w:bookmarkStart w:id="270" w:name="_Toc535839554"/>
      <w:bookmarkStart w:id="271" w:name="_Toc535839723"/>
      <w:bookmarkStart w:id="272" w:name="_Toc970005"/>
      <w:bookmarkStart w:id="273" w:name="_Toc1042919"/>
      <w:bookmarkStart w:id="274" w:name="_Toc1050799"/>
      <w:bookmarkStart w:id="275" w:name="_Toc413413656"/>
      <w:bookmarkStart w:id="276" w:name="_Toc508879854"/>
      <w:bookmarkStart w:id="277" w:name="_Toc508880130"/>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E87565">
        <w:lastRenderedPageBreak/>
        <w:t xml:space="preserve">Rozpočtovaný objem </w:t>
      </w:r>
      <w:r w:rsidRPr="00E87565">
        <w:rPr>
          <w:b/>
        </w:rPr>
        <w:t>neinvestičních výdajů organizačních složek státu</w:t>
      </w:r>
      <w:r w:rsidRPr="00E87565">
        <w:t xml:space="preserve"> na rok 2019 </w:t>
      </w:r>
      <w:r w:rsidRPr="00AB03A6">
        <w:t xml:space="preserve">ve výši 7 606 816 tis. Kč byl v průběhu roku upraven na částku </w:t>
      </w:r>
      <w:r w:rsidR="00E2031D" w:rsidRPr="00AB03A6">
        <w:t>8 004 089 tis.</w:t>
      </w:r>
      <w:r w:rsidRPr="00AB03A6">
        <w:t xml:space="preserve"> Kč a </w:t>
      </w:r>
      <w:r w:rsidR="00E2031D" w:rsidRPr="00AB03A6">
        <w:t>čerpán ve</w:t>
      </w:r>
      <w:r w:rsidRPr="00AB03A6">
        <w:t xml:space="preserve"> výši </w:t>
      </w:r>
      <w:r w:rsidR="00F74470">
        <w:br/>
      </w:r>
      <w:r w:rsidRPr="00AB03A6">
        <w:t>7 232 112 tis. Kč, tj. 90,36 %. Oproti roku 2018</w:t>
      </w:r>
      <w:r w:rsidR="00E2031D">
        <w:t xml:space="preserve"> došlo ke zvýšení těchto výdajů</w:t>
      </w:r>
      <w:r w:rsidRPr="00AB03A6">
        <w:t xml:space="preserve"> </w:t>
      </w:r>
      <w:r>
        <w:br/>
      </w:r>
      <w:r w:rsidR="00E2031D">
        <w:t xml:space="preserve">o 4 312 673 </w:t>
      </w:r>
      <w:r w:rsidRPr="00C97E45">
        <w:t>tis. Kč.</w:t>
      </w:r>
    </w:p>
    <w:p w14:paraId="175FCF36" w14:textId="77777777" w:rsidR="001F1695" w:rsidRPr="00EE2A85" w:rsidRDefault="001F1695" w:rsidP="001F1695">
      <w:pPr>
        <w:pStyle w:val="KOMtext"/>
      </w:pPr>
      <w:r w:rsidRPr="00EE2A85">
        <w:t xml:space="preserve">Podstatnou částí běžných výdajů organizačních složek státu jsou výdaje na platy zaměstnanců </w:t>
      </w:r>
      <w:r>
        <w:br/>
      </w:r>
      <w:r w:rsidRPr="00EE2A85">
        <w:t xml:space="preserve">a ostatní platby za provedenou práci a s tím související povinné platby (pojistné a převod FKSP), kde k upravenému rozpočtu </w:t>
      </w:r>
      <w:r w:rsidRPr="00173208">
        <w:t xml:space="preserve">721 210 tis. Kč </w:t>
      </w:r>
      <w:r w:rsidRPr="00EE2A85">
        <w:t xml:space="preserve">byla vykázána skutečnost ve výši </w:t>
      </w:r>
      <w:r w:rsidRPr="00173208">
        <w:t xml:space="preserve">746 154 tis. Kč. Částka </w:t>
      </w:r>
      <w:r w:rsidRPr="00AF57AA">
        <w:t xml:space="preserve">představuje 10,32 % </w:t>
      </w:r>
      <w:r w:rsidRPr="00EE2A85">
        <w:t>z celkových běžných výdajů čerpaných těmito organizacemi.</w:t>
      </w:r>
    </w:p>
    <w:p w14:paraId="519D1578" w14:textId="2E01CE15" w:rsidR="001F1695" w:rsidRPr="005332AA" w:rsidRDefault="001F1695" w:rsidP="001F1695">
      <w:pPr>
        <w:pStyle w:val="KOMtext"/>
      </w:pPr>
      <w:r w:rsidRPr="00EE2A85">
        <w:t xml:space="preserve">Z celkově vyčerpaných běžných výdajů organizačních složek státu tvořily </w:t>
      </w:r>
      <w:r w:rsidRPr="00AF72B1">
        <w:t xml:space="preserve">neinvestiční nákupy </w:t>
      </w:r>
      <w:r w:rsidR="00AF72B1">
        <w:br/>
      </w:r>
      <w:r w:rsidRPr="00AF72B1">
        <w:t>a související výdaje organizačních složek státu</w:t>
      </w:r>
      <w:r w:rsidRPr="00DF3258">
        <w:t xml:space="preserve"> (sesk. pol. 51) </w:t>
      </w:r>
      <w:r w:rsidRPr="00534A28">
        <w:t xml:space="preserve">9,55 %, </w:t>
      </w:r>
      <w:r w:rsidRPr="007F1989">
        <w:t>tj. v absolutním vyjá</w:t>
      </w:r>
      <w:r w:rsidRPr="005332AA">
        <w:t xml:space="preserve">dření 690 637 tis. Kč. Ve srovnání s rokem 2018, ve kterém výdaje seskupení položek 51 byly ve výši 2 207 872 tis. Kč, došlo k absolutnímu </w:t>
      </w:r>
      <w:r w:rsidR="00E2031D" w:rsidRPr="005332AA">
        <w:t>snížení o 1 517 235</w:t>
      </w:r>
      <w:r>
        <w:t xml:space="preserve"> tis. Kč z důvodu rozpočtování výdajů na </w:t>
      </w:r>
      <w:r w:rsidRPr="00D86B5A">
        <w:t>kompenzace ztráty vznikající dopravcům ve veřejné osobní dopravě přiznáváním státem nařízených slev z</w:t>
      </w:r>
      <w:r>
        <w:t> </w:t>
      </w:r>
      <w:r w:rsidRPr="00D86B5A">
        <w:t>jízdného</w:t>
      </w:r>
      <w:r>
        <w:t xml:space="preserve"> na </w:t>
      </w:r>
      <w:r w:rsidRPr="00DF3258">
        <w:t>ses</w:t>
      </w:r>
      <w:r>
        <w:t>k. pol. 58 viz níže.</w:t>
      </w:r>
    </w:p>
    <w:p w14:paraId="124D880B" w14:textId="77777777" w:rsidR="001F1695" w:rsidRPr="004B11AC" w:rsidRDefault="001F1695" w:rsidP="001F1695">
      <w:pPr>
        <w:pStyle w:val="KOMtext"/>
        <w:rPr>
          <w:color w:val="FF0000"/>
        </w:rPr>
      </w:pPr>
      <w:r w:rsidRPr="0045149F">
        <w:t xml:space="preserve">Pokud se týká vnitřní struktury výdajů seskupení položek 51, podíl výdajů </w:t>
      </w:r>
      <w:r w:rsidRPr="0045149F">
        <w:rPr>
          <w:u w:val="single"/>
        </w:rPr>
        <w:t>na nákup materiálu</w:t>
      </w:r>
      <w:r w:rsidRPr="0045149F">
        <w:t xml:space="preserve"> na seskupení položek 51 v roce </w:t>
      </w:r>
      <w:r w:rsidRPr="00212934">
        <w:t xml:space="preserve">2019 činil 37,85 %. </w:t>
      </w:r>
      <w:r w:rsidRPr="00F63BF1">
        <w:t xml:space="preserve">Výdaje na nákup materiálu v roce 2019 činily 261 427 tis. Kč </w:t>
      </w:r>
      <w:r>
        <w:t>(v roce 2018</w:t>
      </w:r>
      <w:r w:rsidRPr="0045149F">
        <w:t xml:space="preserve"> činily 271 714 tis. Kč),</w:t>
      </w:r>
      <w:r>
        <w:rPr>
          <w:color w:val="FF0000"/>
        </w:rPr>
        <w:t xml:space="preserve"> </w:t>
      </w:r>
      <w:r w:rsidRPr="000407AC">
        <w:t xml:space="preserve">tj. </w:t>
      </w:r>
      <w:r w:rsidR="00E2031D" w:rsidRPr="000407AC">
        <w:t>klesly oproti</w:t>
      </w:r>
      <w:r w:rsidRPr="000407AC">
        <w:t xml:space="preserve"> předcházejícímu roku </w:t>
      </w:r>
      <w:r>
        <w:br/>
      </w:r>
      <w:r w:rsidRPr="000407AC">
        <w:t>o 10 287 tis. Kč.</w:t>
      </w:r>
      <w:r w:rsidRPr="004B11AC">
        <w:rPr>
          <w:color w:val="FF0000"/>
        </w:rPr>
        <w:t xml:space="preserve"> </w:t>
      </w:r>
      <w:r w:rsidRPr="000407AC">
        <w:t>Z celkových výdajů na nákup materiálu v roce 2019 tvoří největší podíl úhrady za výrobu registračních značek</w:t>
      </w:r>
      <w:r>
        <w:t xml:space="preserve"> a tiskopisů pro agendu řidičů </w:t>
      </w:r>
      <w:r w:rsidRPr="000407AC">
        <w:t>ve výši 217 359 tis. Kč.</w:t>
      </w:r>
    </w:p>
    <w:p w14:paraId="4368D39B" w14:textId="77777777" w:rsidR="001F1695" w:rsidRPr="00C17C4B" w:rsidRDefault="001F1695" w:rsidP="001F1695">
      <w:pPr>
        <w:pStyle w:val="KOMtext"/>
      </w:pPr>
      <w:r w:rsidRPr="009026D8">
        <w:rPr>
          <w:u w:val="single"/>
        </w:rPr>
        <w:t>Nákup služeb</w:t>
      </w:r>
      <w:r w:rsidRPr="009026D8">
        <w:t xml:space="preserve"> ve výši 361 786 tis. Kč se podílel na neinvestičních nákupech a souvisejících výdajích </w:t>
      </w:r>
      <w:r w:rsidRPr="00093FEE">
        <w:t xml:space="preserve">52,38 %. </w:t>
      </w:r>
      <w:r w:rsidRPr="00212934">
        <w:t xml:space="preserve">Nákup služeb oproti roku 2018 (333 812 tis. Kč) </w:t>
      </w:r>
      <w:r w:rsidRPr="0066797F">
        <w:t>vzrostl o</w:t>
      </w:r>
      <w:r w:rsidRPr="004B11AC">
        <w:rPr>
          <w:color w:val="FF0000"/>
        </w:rPr>
        <w:t xml:space="preserve"> </w:t>
      </w:r>
      <w:r w:rsidRPr="005A160D">
        <w:t xml:space="preserve">27 974 tis. Kč (na 108,38 % předchozího roku). Z celkových nákupů služeb činí největší podíl zpracování dat </w:t>
      </w:r>
      <w:r>
        <w:br/>
      </w:r>
      <w:r w:rsidRPr="005A160D">
        <w:t xml:space="preserve">a služby související s informačními </w:t>
      </w:r>
      <w:r>
        <w:t xml:space="preserve">a komunikačními technologiemi </w:t>
      </w:r>
      <w:r w:rsidRPr="00C17C4B">
        <w:t>(178 566 tis. Kč), konzultační, právní a poradenské služby (35 229 tis. Kč) a</w:t>
      </w:r>
      <w:r>
        <w:t xml:space="preserve"> nákup ostatních služeb </w:t>
      </w:r>
      <w:r>
        <w:br/>
        <w:t>(110 044</w:t>
      </w:r>
      <w:r w:rsidRPr="00C17C4B">
        <w:t xml:space="preserve"> tis. Kč).</w:t>
      </w:r>
    </w:p>
    <w:p w14:paraId="278AB155" w14:textId="77777777" w:rsidR="001F1695" w:rsidRPr="004B11AC" w:rsidRDefault="001F1695" w:rsidP="001F1695">
      <w:pPr>
        <w:pStyle w:val="KOMtext"/>
        <w:rPr>
          <w:color w:val="FF0000"/>
        </w:rPr>
      </w:pPr>
      <w:r w:rsidRPr="006C42A1">
        <w:t xml:space="preserve">Podíl </w:t>
      </w:r>
      <w:r w:rsidRPr="006C42A1">
        <w:rPr>
          <w:u w:val="single"/>
        </w:rPr>
        <w:t>ostatních nákupů</w:t>
      </w:r>
      <w:r w:rsidRPr="006C42A1">
        <w:t xml:space="preserve"> na neinvestičních nákupech a souvisejících výdajích oproti minulému roku </w:t>
      </w:r>
      <w:r>
        <w:t>vzrostl</w:t>
      </w:r>
      <w:r w:rsidRPr="00431113">
        <w:t xml:space="preserve"> na 5,59 % </w:t>
      </w:r>
      <w:r w:rsidRPr="00351532">
        <w:t>(</w:t>
      </w:r>
      <w:r w:rsidRPr="006C42A1">
        <w:t xml:space="preserve">v roce 2018 </w:t>
      </w:r>
      <w:r w:rsidRPr="001F6A89">
        <w:t xml:space="preserve">činil 1,86 %), </w:t>
      </w:r>
      <w:r w:rsidRPr="006C42A1">
        <w:t xml:space="preserve">absolutní výše v roce 2019 klesla </w:t>
      </w:r>
      <w:r>
        <w:br/>
        <w:t xml:space="preserve">o 2 </w:t>
      </w:r>
      <w:r w:rsidRPr="00926B21">
        <w:t xml:space="preserve">534 tis. Kč </w:t>
      </w:r>
      <w:r w:rsidRPr="00351532">
        <w:t>na celkovou částku 38 598 tis. Kč (v roce 2018 činila jejich výše 41 132</w:t>
      </w:r>
      <w:r>
        <w:t xml:space="preserve"> tis. Kč).</w:t>
      </w:r>
    </w:p>
    <w:p w14:paraId="0EC1E36C" w14:textId="77777777" w:rsidR="001F1695" w:rsidRPr="004B11AC" w:rsidRDefault="001F1695" w:rsidP="001F1695">
      <w:pPr>
        <w:pStyle w:val="KOMtext"/>
        <w:rPr>
          <w:color w:val="FF0000"/>
        </w:rPr>
      </w:pPr>
      <w:r w:rsidRPr="001F6A89">
        <w:t xml:space="preserve">Podíl </w:t>
      </w:r>
      <w:r w:rsidRPr="001F6A89">
        <w:rPr>
          <w:u w:val="single"/>
        </w:rPr>
        <w:t>nákupu vody, paliv a energie</w:t>
      </w:r>
      <w:r w:rsidRPr="001F6A89">
        <w:t xml:space="preserve"> na neinvestičních nákupech a souvisejících výdajích </w:t>
      </w:r>
      <w:r w:rsidRPr="00F8396F">
        <w:t xml:space="preserve">v roce </w:t>
      </w:r>
      <w:r w:rsidRPr="00D65AF1">
        <w:t xml:space="preserve">2019 činil 2,96 %, </w:t>
      </w:r>
      <w:r w:rsidRPr="00763609">
        <w:t xml:space="preserve">absolutně 20 476 tis. Kč. Oproti roku 2018 (19 768 tis. Kč) vzrostla vydaná částka o 708 tis. Kč. </w:t>
      </w:r>
    </w:p>
    <w:p w14:paraId="3F3E5C09" w14:textId="77777777" w:rsidR="001F1695" w:rsidRDefault="001F1695" w:rsidP="001F1695">
      <w:pPr>
        <w:pStyle w:val="KOMtext"/>
        <w:rPr>
          <w:color w:val="FF0000"/>
        </w:rPr>
      </w:pPr>
      <w:r w:rsidRPr="00641DC8">
        <w:rPr>
          <w:u w:val="single"/>
        </w:rPr>
        <w:t>Výdaje související s neinvestičními nákupy, příspěvky, náhrady a věcné dary</w:t>
      </w:r>
      <w:r w:rsidRPr="00641DC8">
        <w:t xml:space="preserve"> se podílely </w:t>
      </w:r>
      <w:r w:rsidRPr="005E253C">
        <w:t xml:space="preserve">na neinvestičních nákupech a souvisejících </w:t>
      </w:r>
      <w:r w:rsidRPr="00190F5A">
        <w:t xml:space="preserve">výdajích 1,17 %. </w:t>
      </w:r>
      <w:r w:rsidRPr="005713CF">
        <w:t>Absolutně byly v roce 2019 čerpány částkou</w:t>
      </w:r>
      <w:r>
        <w:rPr>
          <w:color w:val="FF0000"/>
        </w:rPr>
        <w:t xml:space="preserve"> </w:t>
      </w:r>
      <w:r w:rsidRPr="00CD6F54">
        <w:t xml:space="preserve">8 076 tis. Kč, </w:t>
      </w:r>
      <w:r w:rsidRPr="00C3035B">
        <w:t xml:space="preserve">tj. snížení </w:t>
      </w:r>
      <w:r>
        <w:t xml:space="preserve">o 1 </w:t>
      </w:r>
      <w:r w:rsidRPr="00A43EFB">
        <w:t xml:space="preserve">533 204 tis. </w:t>
      </w:r>
      <w:r w:rsidR="00E2031D" w:rsidRPr="00A43EFB">
        <w:t>Kč oproti</w:t>
      </w:r>
      <w:r w:rsidRPr="00A43EFB">
        <w:t xml:space="preserve"> roku 2018 </w:t>
      </w:r>
      <w:r w:rsidRPr="005713CF">
        <w:t xml:space="preserve">(čerpáno </w:t>
      </w:r>
      <w:r w:rsidRPr="005713CF">
        <w:br/>
        <w:t xml:space="preserve">1 541 280 tis. Kč). </w:t>
      </w:r>
      <w:r>
        <w:t>Důvodem snížení je převod výdajů na</w:t>
      </w:r>
      <w:r w:rsidRPr="004B11AC">
        <w:rPr>
          <w:color w:val="FF0000"/>
        </w:rPr>
        <w:t xml:space="preserve"> </w:t>
      </w:r>
      <w:r w:rsidRPr="002D5EEF">
        <w:rPr>
          <w:color w:val="000000"/>
        </w:rPr>
        <w:t>kompenzace ztráty vznikající dopravcům ve veřejné osobní dopravě přiznáváním státem naříze</w:t>
      </w:r>
      <w:r>
        <w:rPr>
          <w:color w:val="000000"/>
        </w:rPr>
        <w:t>ných slev z jízdného, které činily v roce 2018   1 535 199 tis. Kč na položku 5811 (níže).</w:t>
      </w:r>
    </w:p>
    <w:p w14:paraId="565D88C7" w14:textId="77777777" w:rsidR="001F1695" w:rsidRPr="00F2115C" w:rsidRDefault="001F1695" w:rsidP="001F1695">
      <w:pPr>
        <w:pStyle w:val="KOMtext"/>
        <w:rPr>
          <w:b/>
          <w:color w:val="FF0000"/>
          <w:u w:val="single"/>
        </w:rPr>
      </w:pPr>
      <w:r w:rsidRPr="00AF72B1">
        <w:rPr>
          <w:u w:val="single"/>
        </w:rPr>
        <w:lastRenderedPageBreak/>
        <w:t xml:space="preserve">Výdaje na náhrady za nezpůsobenou </w:t>
      </w:r>
      <w:r w:rsidR="00E2031D" w:rsidRPr="00AF72B1">
        <w:rPr>
          <w:u w:val="single"/>
        </w:rPr>
        <w:t>újmu</w:t>
      </w:r>
      <w:r w:rsidR="00E2031D" w:rsidRPr="00723C4C">
        <w:rPr>
          <w:b/>
        </w:rPr>
        <w:t xml:space="preserve"> </w:t>
      </w:r>
      <w:r w:rsidR="00E2031D" w:rsidRPr="007D5D2F">
        <w:t>(sesk</w:t>
      </w:r>
      <w:r w:rsidRPr="007D5D2F">
        <w:t>.</w:t>
      </w:r>
      <w:r>
        <w:t xml:space="preserve"> pol. 58</w:t>
      </w:r>
      <w:r w:rsidRPr="00DF3258">
        <w:t xml:space="preserve">) </w:t>
      </w:r>
      <w:r w:rsidRPr="00F2115C">
        <w:t xml:space="preserve">se </w:t>
      </w:r>
      <w:r w:rsidRPr="00A03DFD">
        <w:t>podílely</w:t>
      </w:r>
      <w:r w:rsidRPr="00641DC8">
        <w:t xml:space="preserve"> </w:t>
      </w:r>
      <w:r>
        <w:t xml:space="preserve">na celkových běžných výdajích 79,67%. </w:t>
      </w:r>
      <w:r w:rsidRPr="00A03DFD">
        <w:t xml:space="preserve"> Absolutně byly v roce 2019 čerpány částkou ve výši</w:t>
      </w:r>
      <w:r>
        <w:t xml:space="preserve"> 5 761 505 tis. Kč. </w:t>
      </w:r>
      <w:r w:rsidRPr="002D5EEF">
        <w:t>Největší podíl činí kompenzace ztráty vznikající dopravcům ve veřejné osobní dopravě přiznáváním státem naříze</w:t>
      </w:r>
      <w:r>
        <w:t>ných slev z jízdného v roce 2019 ve výši 5 761 452</w:t>
      </w:r>
      <w:r w:rsidRPr="002D5EEF">
        <w:t xml:space="preserve"> tis. Kč</w:t>
      </w:r>
      <w:r>
        <w:t>.</w:t>
      </w:r>
      <w:r w:rsidRPr="00121FE1">
        <w:t xml:space="preserve"> </w:t>
      </w:r>
      <w:r>
        <w:t xml:space="preserve">Jedná se </w:t>
      </w:r>
      <w:r>
        <w:br/>
        <w:t>o v</w:t>
      </w:r>
      <w:r w:rsidRPr="00121FE1">
        <w:t>ýdaje</w:t>
      </w:r>
      <w:r>
        <w:t>, které byly v roce 2018 rozpočtovány na podseskupení položek výdaje</w:t>
      </w:r>
      <w:r w:rsidRPr="00121FE1">
        <w:t xml:space="preserve"> související </w:t>
      </w:r>
      <w:r>
        <w:br/>
      </w:r>
      <w:r w:rsidRPr="00121FE1">
        <w:t>s neinvestičními nákupy, příspěvky, náhrady a věcné dary</w:t>
      </w:r>
      <w:r>
        <w:t>.</w:t>
      </w:r>
      <w:r w:rsidRPr="00121FE1">
        <w:t xml:space="preserve"> </w:t>
      </w:r>
      <w:r>
        <w:t>N</w:t>
      </w:r>
      <w:r w:rsidR="00E2031D">
        <w:t>ová pol.</w:t>
      </w:r>
      <w:r w:rsidRPr="00121FE1">
        <w:t xml:space="preserve"> 5811  -  Výda</w:t>
      </w:r>
      <w:r w:rsidR="00E2031D">
        <w:t>je</w:t>
      </w:r>
      <w:r w:rsidR="00F74470">
        <w:t xml:space="preserve"> na </w:t>
      </w:r>
      <w:r w:rsidR="00E2031D">
        <w:t>náhrady za nezpůsobenou</w:t>
      </w:r>
      <w:r w:rsidRPr="00121FE1">
        <w:t xml:space="preserve"> újmu</w:t>
      </w:r>
      <w:r>
        <w:t xml:space="preserve"> byla zavedena </w:t>
      </w:r>
      <w:r w:rsidRPr="00121FE1">
        <w:t>na základě 18. nov</w:t>
      </w:r>
      <w:r w:rsidR="00F74470">
        <w:t xml:space="preserve">ely vyhlášky č. 323/2002 Sb., </w:t>
      </w:r>
      <w:r w:rsidR="00F74470">
        <w:br/>
        <w:t xml:space="preserve">o </w:t>
      </w:r>
      <w:r w:rsidRPr="00121FE1">
        <w:t>rozpočtové skladbě</w:t>
      </w:r>
      <w:r>
        <w:t>.</w:t>
      </w:r>
    </w:p>
    <w:p w14:paraId="5D552D62" w14:textId="77777777" w:rsidR="00185BC4" w:rsidRPr="001F1695" w:rsidRDefault="00185BC4" w:rsidP="00121BA0">
      <w:pPr>
        <w:pStyle w:val="Nadpis3"/>
      </w:pPr>
      <w:bookmarkStart w:id="278" w:name="_Toc1376815"/>
      <w:bookmarkStart w:id="279" w:name="_Toc34286461"/>
      <w:r w:rsidRPr="001F1695">
        <w:t>Běžné výdaje organizačních složek státu</w:t>
      </w:r>
      <w:bookmarkEnd w:id="89"/>
      <w:bookmarkEnd w:id="275"/>
      <w:bookmarkEnd w:id="276"/>
      <w:bookmarkEnd w:id="277"/>
      <w:bookmarkEnd w:id="278"/>
      <w:bookmarkEnd w:id="279"/>
    </w:p>
    <w:p w14:paraId="27BAE271" w14:textId="77777777" w:rsidR="00185BC4" w:rsidRPr="001F1695" w:rsidRDefault="00185BC4" w:rsidP="00A712EC">
      <w:pPr>
        <w:pStyle w:val="Zkladntext"/>
        <w:spacing w:after="80"/>
        <w:rPr>
          <w:b/>
          <w:bCs/>
        </w:rPr>
      </w:pPr>
      <w:r w:rsidRPr="001F1695">
        <w:rPr>
          <w:b/>
          <w:bCs/>
        </w:rPr>
        <w:t>Organizační</w:t>
      </w:r>
      <w:r w:rsidR="00EE48B9" w:rsidRPr="001F1695">
        <w:rPr>
          <w:b/>
          <w:bCs/>
        </w:rPr>
        <w:t xml:space="preserve"> složk</w:t>
      </w:r>
      <w:r w:rsidR="00691F7F" w:rsidRPr="001F1695">
        <w:rPr>
          <w:b/>
          <w:bCs/>
        </w:rPr>
        <w:t>y</w:t>
      </w:r>
      <w:r w:rsidRPr="001F1695">
        <w:rPr>
          <w:b/>
          <w:bCs/>
        </w:rPr>
        <w:t xml:space="preserve"> státu zajišťující výkon státní správy:</w:t>
      </w:r>
    </w:p>
    <w:p w14:paraId="478DDAB9" w14:textId="77777777" w:rsidR="00185BC4" w:rsidRPr="001F1695" w:rsidRDefault="00A712EC" w:rsidP="00D37DF3">
      <w:pPr>
        <w:pStyle w:val="Zkladntext"/>
        <w:numPr>
          <w:ilvl w:val="0"/>
          <w:numId w:val="1"/>
        </w:numPr>
        <w:tabs>
          <w:tab w:val="clear" w:pos="1428"/>
          <w:tab w:val="num" w:pos="360"/>
        </w:tabs>
        <w:spacing w:line="276" w:lineRule="auto"/>
        <w:ind w:left="0" w:firstLine="0"/>
      </w:pPr>
      <w:r w:rsidRPr="001F1695">
        <w:t>Ú</w:t>
      </w:r>
      <w:r w:rsidR="00185BC4" w:rsidRPr="001F1695">
        <w:t>střední orgán MD</w:t>
      </w:r>
    </w:p>
    <w:p w14:paraId="280CC499" w14:textId="77777777" w:rsidR="00185BC4" w:rsidRPr="001F1695" w:rsidRDefault="00185BC4" w:rsidP="00D37DF3">
      <w:pPr>
        <w:pStyle w:val="Zkladntext"/>
        <w:numPr>
          <w:ilvl w:val="0"/>
          <w:numId w:val="1"/>
        </w:numPr>
        <w:tabs>
          <w:tab w:val="clear" w:pos="1428"/>
          <w:tab w:val="num" w:pos="360"/>
        </w:tabs>
        <w:spacing w:before="0" w:line="276" w:lineRule="auto"/>
        <w:ind w:left="0" w:firstLine="0"/>
      </w:pPr>
      <w:r w:rsidRPr="001F1695">
        <w:t>Úřad pro civilní letectví</w:t>
      </w:r>
    </w:p>
    <w:p w14:paraId="0CDEEFD0" w14:textId="77777777" w:rsidR="00185BC4" w:rsidRPr="001F1695" w:rsidRDefault="00185BC4" w:rsidP="00D37DF3">
      <w:pPr>
        <w:pStyle w:val="Zkladntext"/>
        <w:numPr>
          <w:ilvl w:val="0"/>
          <w:numId w:val="1"/>
        </w:numPr>
        <w:tabs>
          <w:tab w:val="clear" w:pos="1428"/>
          <w:tab w:val="num" w:pos="360"/>
        </w:tabs>
        <w:spacing w:before="0" w:line="276" w:lineRule="auto"/>
        <w:ind w:left="0" w:firstLine="0"/>
      </w:pPr>
      <w:r w:rsidRPr="001F1695">
        <w:t>Státní plavební správa</w:t>
      </w:r>
    </w:p>
    <w:p w14:paraId="5FA2A3F3" w14:textId="77777777" w:rsidR="00185BC4" w:rsidRPr="001F1695" w:rsidRDefault="00185BC4" w:rsidP="00D37DF3">
      <w:pPr>
        <w:pStyle w:val="Zkladntext"/>
        <w:numPr>
          <w:ilvl w:val="0"/>
          <w:numId w:val="1"/>
        </w:numPr>
        <w:tabs>
          <w:tab w:val="clear" w:pos="1428"/>
          <w:tab w:val="num" w:pos="360"/>
        </w:tabs>
        <w:spacing w:before="0" w:line="276" w:lineRule="auto"/>
        <w:ind w:left="0" w:firstLine="0"/>
      </w:pPr>
      <w:r w:rsidRPr="001F1695">
        <w:t>Drážní úřad</w:t>
      </w:r>
    </w:p>
    <w:p w14:paraId="7D78939D" w14:textId="77777777" w:rsidR="00185BC4" w:rsidRPr="001F1695" w:rsidRDefault="00185BC4" w:rsidP="00D37DF3">
      <w:pPr>
        <w:pStyle w:val="Zkladntext"/>
        <w:numPr>
          <w:ilvl w:val="0"/>
          <w:numId w:val="1"/>
        </w:numPr>
        <w:tabs>
          <w:tab w:val="clear" w:pos="1428"/>
          <w:tab w:val="num" w:pos="360"/>
        </w:tabs>
        <w:spacing w:before="0" w:line="276" w:lineRule="auto"/>
        <w:ind w:left="0" w:firstLine="0"/>
      </w:pPr>
      <w:r w:rsidRPr="001F1695">
        <w:t>Drážní inspekce</w:t>
      </w:r>
    </w:p>
    <w:p w14:paraId="15C3F549" w14:textId="77777777" w:rsidR="00FA7E1E" w:rsidRPr="001F1695" w:rsidRDefault="00FA7E1E" w:rsidP="00D37DF3">
      <w:pPr>
        <w:pStyle w:val="Zkladntext"/>
        <w:numPr>
          <w:ilvl w:val="0"/>
          <w:numId w:val="2"/>
        </w:numPr>
        <w:tabs>
          <w:tab w:val="clear" w:pos="720"/>
          <w:tab w:val="num" w:pos="360"/>
        </w:tabs>
        <w:spacing w:before="0" w:line="276" w:lineRule="auto"/>
        <w:ind w:left="357" w:hanging="357"/>
      </w:pPr>
      <w:r w:rsidRPr="001F1695">
        <w:t xml:space="preserve">Ústav pro odborné zjišťování příčin leteckých nehod </w:t>
      </w:r>
    </w:p>
    <w:p w14:paraId="19A59FC1" w14:textId="77777777" w:rsidR="00185BC4" w:rsidRPr="001F1695" w:rsidRDefault="00185BC4" w:rsidP="00B107FC">
      <w:pPr>
        <w:pStyle w:val="Zkladntext"/>
        <w:spacing w:before="240" w:after="80"/>
        <w:rPr>
          <w:b/>
          <w:bCs/>
        </w:rPr>
      </w:pPr>
      <w:r w:rsidRPr="001F1695">
        <w:rPr>
          <w:b/>
          <w:bCs/>
        </w:rPr>
        <w:t>Ostatní organizační složky státu:</w:t>
      </w:r>
    </w:p>
    <w:p w14:paraId="01EE655E" w14:textId="77777777" w:rsidR="00185BC4" w:rsidRPr="001F1695" w:rsidRDefault="00185BC4" w:rsidP="008A262F">
      <w:pPr>
        <w:pStyle w:val="Zkladntext"/>
        <w:numPr>
          <w:ilvl w:val="0"/>
          <w:numId w:val="2"/>
        </w:numPr>
        <w:tabs>
          <w:tab w:val="clear" w:pos="720"/>
          <w:tab w:val="num" w:pos="360"/>
        </w:tabs>
        <w:spacing w:before="0"/>
        <w:ind w:left="357" w:hanging="357"/>
      </w:pPr>
      <w:r w:rsidRPr="001F1695">
        <w:t>Ředitelství vodních cest ČR</w:t>
      </w:r>
    </w:p>
    <w:p w14:paraId="31B367BE" w14:textId="2CF32C36" w:rsidR="00943800" w:rsidRPr="004E2AB4" w:rsidRDefault="00AE353C" w:rsidP="00AE353C">
      <w:pPr>
        <w:pStyle w:val="Titulek"/>
      </w:pPr>
      <w:bookmarkStart w:id="280" w:name="_Toc317489628"/>
      <w:bookmarkStart w:id="281" w:name="_Toc508879855"/>
      <w:bookmarkStart w:id="282" w:name="_Toc508880131"/>
      <w:bookmarkStart w:id="283" w:name="_Toc34288676"/>
      <w:r w:rsidRPr="004E2AB4">
        <w:t xml:space="preserve">Graf č. </w:t>
      </w:r>
      <w:r w:rsidR="00A65941" w:rsidRPr="004E2AB4">
        <w:rPr>
          <w:noProof/>
        </w:rPr>
        <w:fldChar w:fldCharType="begin"/>
      </w:r>
      <w:r w:rsidR="00A65941" w:rsidRPr="004E2AB4">
        <w:rPr>
          <w:noProof/>
        </w:rPr>
        <w:instrText xml:space="preserve"> SEQ Graf_č. \* ARABIC </w:instrText>
      </w:r>
      <w:r w:rsidR="00A65941" w:rsidRPr="004E2AB4">
        <w:rPr>
          <w:noProof/>
        </w:rPr>
        <w:fldChar w:fldCharType="separate"/>
      </w:r>
      <w:r w:rsidR="00DF450F">
        <w:rPr>
          <w:noProof/>
        </w:rPr>
        <w:t>9</w:t>
      </w:r>
      <w:r w:rsidR="00A65941" w:rsidRPr="004E2AB4">
        <w:rPr>
          <w:noProof/>
        </w:rPr>
        <w:fldChar w:fldCharType="end"/>
      </w:r>
      <w:r w:rsidR="00943800" w:rsidRPr="004E2AB4">
        <w:t xml:space="preserve">: </w:t>
      </w:r>
      <w:r w:rsidR="00CB0887" w:rsidRPr="004E2AB4">
        <w:t xml:space="preserve"> </w:t>
      </w:r>
      <w:r w:rsidR="00943800" w:rsidRPr="004E2AB4">
        <w:t>Přehled běžných výdajů organizačních složek státu kapitoly 327-MD</w:t>
      </w:r>
      <w:bookmarkEnd w:id="280"/>
      <w:bookmarkEnd w:id="281"/>
      <w:bookmarkEnd w:id="282"/>
      <w:bookmarkEnd w:id="283"/>
    </w:p>
    <w:p w14:paraId="4A9FBE64" w14:textId="77777777" w:rsidR="006944AB" w:rsidRPr="004B11AC" w:rsidRDefault="006944AB" w:rsidP="006944AB">
      <w:pPr>
        <w:rPr>
          <w:color w:val="FF0000"/>
        </w:rPr>
      </w:pPr>
      <w:r w:rsidRPr="004B11AC">
        <w:rPr>
          <w:noProof/>
          <w:color w:val="FF0000"/>
        </w:rPr>
        <w:drawing>
          <wp:inline distT="0" distB="0" distL="0" distR="0" wp14:anchorId="73C18031" wp14:editId="268618F1">
            <wp:extent cx="5749290" cy="2527539"/>
            <wp:effectExtent l="0" t="0" r="3810" b="635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D57CF0D" w14:textId="77777777" w:rsidR="00B107FC" w:rsidRPr="004B11AC" w:rsidRDefault="00B107FC" w:rsidP="00C11E5A">
      <w:pPr>
        <w:pStyle w:val="Zkladntext"/>
        <w:spacing w:before="240" w:after="120"/>
        <w:rPr>
          <w:b/>
          <w:color w:val="FF0000"/>
          <w:u w:val="single"/>
        </w:rPr>
      </w:pPr>
      <w:bookmarkStart w:id="284" w:name="_Toc255297637"/>
    </w:p>
    <w:p w14:paraId="5CAF25EC" w14:textId="77777777" w:rsidR="00B107FC" w:rsidRPr="004B11AC" w:rsidRDefault="00B107FC" w:rsidP="00C11E5A">
      <w:pPr>
        <w:pStyle w:val="Zkladntext"/>
        <w:spacing w:before="240" w:after="120"/>
        <w:rPr>
          <w:b/>
          <w:color w:val="FF0000"/>
          <w:u w:val="single"/>
        </w:rPr>
      </w:pPr>
    </w:p>
    <w:p w14:paraId="464EC6D8" w14:textId="77777777" w:rsidR="00B107FC" w:rsidRPr="004B11AC" w:rsidRDefault="00B107FC" w:rsidP="00C11E5A">
      <w:pPr>
        <w:pStyle w:val="Zkladntext"/>
        <w:spacing w:before="240" w:after="120"/>
        <w:rPr>
          <w:b/>
          <w:color w:val="FF0000"/>
          <w:u w:val="single"/>
        </w:rPr>
      </w:pPr>
    </w:p>
    <w:p w14:paraId="572F2CD3" w14:textId="77777777" w:rsidR="00B107FC" w:rsidRPr="004B11AC" w:rsidRDefault="00B107FC" w:rsidP="00C11E5A">
      <w:pPr>
        <w:pStyle w:val="Zkladntext"/>
        <w:spacing w:before="240" w:after="120"/>
        <w:rPr>
          <w:b/>
          <w:color w:val="FF0000"/>
          <w:u w:val="single"/>
        </w:rPr>
      </w:pPr>
    </w:p>
    <w:p w14:paraId="47D78B1F" w14:textId="77777777" w:rsidR="00B107FC" w:rsidRPr="004B11AC" w:rsidRDefault="00B107FC" w:rsidP="00C11E5A">
      <w:pPr>
        <w:pStyle w:val="Zkladntext"/>
        <w:spacing w:before="240" w:after="120"/>
        <w:rPr>
          <w:b/>
          <w:color w:val="FF0000"/>
          <w:u w:val="single"/>
        </w:rPr>
      </w:pPr>
    </w:p>
    <w:p w14:paraId="3300F064" w14:textId="77777777" w:rsidR="00B107FC" w:rsidRPr="004B11AC" w:rsidRDefault="00B107FC" w:rsidP="00C11E5A">
      <w:pPr>
        <w:pStyle w:val="Zkladntext"/>
        <w:spacing w:before="240" w:after="120"/>
        <w:rPr>
          <w:b/>
          <w:color w:val="FF0000"/>
          <w:u w:val="single"/>
        </w:rPr>
      </w:pPr>
    </w:p>
    <w:p w14:paraId="4612F4C9" w14:textId="77777777" w:rsidR="00B107FC" w:rsidRPr="004B11AC" w:rsidRDefault="00B107FC" w:rsidP="00C11E5A">
      <w:pPr>
        <w:pStyle w:val="Zkladntext"/>
        <w:spacing w:before="240" w:after="120"/>
        <w:rPr>
          <w:b/>
          <w:color w:val="FF0000"/>
          <w:u w:val="single"/>
        </w:rPr>
      </w:pPr>
    </w:p>
    <w:p w14:paraId="60458F4B" w14:textId="77777777" w:rsidR="00B107FC" w:rsidRPr="004B11AC" w:rsidRDefault="00B107FC" w:rsidP="00C11E5A">
      <w:pPr>
        <w:pStyle w:val="Zkladntext"/>
        <w:spacing w:before="240" w:after="120"/>
        <w:rPr>
          <w:b/>
          <w:color w:val="FF0000"/>
          <w:u w:val="single"/>
        </w:rPr>
      </w:pPr>
    </w:p>
    <w:p w14:paraId="67972D00" w14:textId="77777777" w:rsidR="00B107FC" w:rsidRPr="004B11AC" w:rsidRDefault="00B107FC" w:rsidP="00C11E5A">
      <w:pPr>
        <w:pStyle w:val="Zkladntext"/>
        <w:spacing w:before="240" w:after="120"/>
        <w:rPr>
          <w:b/>
          <w:color w:val="FF0000"/>
          <w:u w:val="single"/>
        </w:rPr>
      </w:pPr>
    </w:p>
    <w:p w14:paraId="2DA64366" w14:textId="77777777" w:rsidR="00B107FC" w:rsidRPr="004B11AC" w:rsidRDefault="00B107FC" w:rsidP="00C11E5A">
      <w:pPr>
        <w:pStyle w:val="Zkladntext"/>
        <w:spacing w:before="240" w:after="120"/>
        <w:rPr>
          <w:b/>
          <w:color w:val="FF0000"/>
          <w:u w:val="single"/>
        </w:rPr>
      </w:pPr>
    </w:p>
    <w:p w14:paraId="350D9C85" w14:textId="77777777" w:rsidR="00C11E5A" w:rsidRPr="001F1695" w:rsidRDefault="00C11E5A" w:rsidP="00C11E5A">
      <w:pPr>
        <w:pStyle w:val="Zkladntext"/>
        <w:spacing w:before="240" w:after="120"/>
        <w:rPr>
          <w:b/>
          <w:u w:val="single"/>
        </w:rPr>
      </w:pPr>
      <w:r w:rsidRPr="001F1695">
        <w:rPr>
          <w:b/>
          <w:u w:val="single"/>
        </w:rPr>
        <w:t>Ústřední orgán MD</w:t>
      </w:r>
    </w:p>
    <w:p w14:paraId="663A6E9C" w14:textId="77777777" w:rsidR="00C11E5A" w:rsidRPr="001F1695" w:rsidRDefault="00C11E5A" w:rsidP="003F3157">
      <w:pPr>
        <w:keepNext/>
        <w:ind w:left="357"/>
        <w:jc w:val="right"/>
      </w:pPr>
      <w:r w:rsidRPr="001F1695">
        <w:t>v tis. Kč</w:t>
      </w:r>
    </w:p>
    <w:tbl>
      <w:tblPr>
        <w:tblW w:w="907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1134"/>
        <w:gridCol w:w="992"/>
        <w:gridCol w:w="993"/>
        <w:gridCol w:w="1050"/>
        <w:gridCol w:w="792"/>
      </w:tblGrid>
      <w:tr w:rsidR="001F1695" w:rsidRPr="00014519" w14:paraId="2417B851" w14:textId="77777777" w:rsidTr="00F74470">
        <w:trPr>
          <w:tblHeader/>
          <w:jc w:val="right"/>
        </w:trPr>
        <w:tc>
          <w:tcPr>
            <w:tcW w:w="4111" w:type="dxa"/>
          </w:tcPr>
          <w:p w14:paraId="6AB23DC5" w14:textId="77777777" w:rsidR="001F1695" w:rsidRPr="00014519" w:rsidRDefault="001F1695" w:rsidP="00DE0323">
            <w:pPr>
              <w:jc w:val="center"/>
              <w:rPr>
                <w:sz w:val="22"/>
              </w:rPr>
            </w:pPr>
          </w:p>
        </w:tc>
        <w:tc>
          <w:tcPr>
            <w:tcW w:w="1134" w:type="dxa"/>
            <w:vAlign w:val="center"/>
          </w:tcPr>
          <w:p w14:paraId="52F8AC5F" w14:textId="77777777" w:rsidR="001F1695" w:rsidRPr="00014519" w:rsidRDefault="001F1695" w:rsidP="00DE0323">
            <w:pPr>
              <w:jc w:val="center"/>
              <w:rPr>
                <w:sz w:val="20"/>
                <w:szCs w:val="20"/>
              </w:rPr>
            </w:pPr>
            <w:r w:rsidRPr="00014519">
              <w:rPr>
                <w:sz w:val="20"/>
                <w:szCs w:val="20"/>
              </w:rPr>
              <w:t>Skutečnost 2018</w:t>
            </w:r>
          </w:p>
        </w:tc>
        <w:tc>
          <w:tcPr>
            <w:tcW w:w="992" w:type="dxa"/>
            <w:vAlign w:val="center"/>
          </w:tcPr>
          <w:p w14:paraId="28F99161" w14:textId="77777777" w:rsidR="001F1695" w:rsidRPr="00014519" w:rsidRDefault="001F1695" w:rsidP="00DE0323">
            <w:pPr>
              <w:jc w:val="center"/>
              <w:rPr>
                <w:sz w:val="20"/>
                <w:szCs w:val="20"/>
              </w:rPr>
            </w:pPr>
            <w:r w:rsidRPr="00014519">
              <w:rPr>
                <w:sz w:val="20"/>
                <w:szCs w:val="20"/>
              </w:rPr>
              <w:t>Schválený</w:t>
            </w:r>
          </w:p>
          <w:p w14:paraId="094AFA0D" w14:textId="77777777" w:rsidR="001F1695" w:rsidRPr="00014519" w:rsidRDefault="001F1695" w:rsidP="00DE0323">
            <w:pPr>
              <w:jc w:val="center"/>
              <w:rPr>
                <w:sz w:val="20"/>
                <w:szCs w:val="20"/>
              </w:rPr>
            </w:pPr>
            <w:r w:rsidRPr="00014519">
              <w:rPr>
                <w:sz w:val="20"/>
                <w:szCs w:val="20"/>
              </w:rPr>
              <w:t>rozpočet</w:t>
            </w:r>
          </w:p>
          <w:p w14:paraId="1C6786F6" w14:textId="77777777" w:rsidR="001F1695" w:rsidRPr="00014519" w:rsidRDefault="001F1695" w:rsidP="00DE0323">
            <w:pPr>
              <w:jc w:val="center"/>
              <w:rPr>
                <w:sz w:val="20"/>
                <w:szCs w:val="20"/>
              </w:rPr>
            </w:pPr>
            <w:r w:rsidRPr="00014519">
              <w:rPr>
                <w:sz w:val="20"/>
                <w:szCs w:val="20"/>
              </w:rPr>
              <w:t>2019</w:t>
            </w:r>
          </w:p>
        </w:tc>
        <w:tc>
          <w:tcPr>
            <w:tcW w:w="993" w:type="dxa"/>
            <w:vAlign w:val="center"/>
          </w:tcPr>
          <w:p w14:paraId="4AB154B9" w14:textId="77777777" w:rsidR="001F1695" w:rsidRPr="00014519" w:rsidRDefault="001F1695" w:rsidP="00DE0323">
            <w:pPr>
              <w:jc w:val="center"/>
              <w:rPr>
                <w:sz w:val="20"/>
                <w:szCs w:val="20"/>
              </w:rPr>
            </w:pPr>
            <w:r w:rsidRPr="00014519">
              <w:rPr>
                <w:sz w:val="20"/>
                <w:szCs w:val="20"/>
              </w:rPr>
              <w:t>Upravený</w:t>
            </w:r>
          </w:p>
          <w:p w14:paraId="100C1061" w14:textId="77777777" w:rsidR="001F1695" w:rsidRPr="00014519" w:rsidRDefault="001F1695" w:rsidP="00DE0323">
            <w:pPr>
              <w:jc w:val="center"/>
              <w:rPr>
                <w:sz w:val="20"/>
                <w:szCs w:val="20"/>
              </w:rPr>
            </w:pPr>
            <w:r w:rsidRPr="00014519">
              <w:rPr>
                <w:sz w:val="20"/>
                <w:szCs w:val="20"/>
              </w:rPr>
              <w:t>rozpočet 2019</w:t>
            </w:r>
          </w:p>
        </w:tc>
        <w:tc>
          <w:tcPr>
            <w:tcW w:w="1050" w:type="dxa"/>
            <w:vAlign w:val="center"/>
          </w:tcPr>
          <w:p w14:paraId="39DD248B" w14:textId="77777777" w:rsidR="001F1695" w:rsidRPr="00014519" w:rsidRDefault="001F1695" w:rsidP="00DE0323">
            <w:pPr>
              <w:jc w:val="center"/>
              <w:rPr>
                <w:sz w:val="20"/>
                <w:szCs w:val="20"/>
              </w:rPr>
            </w:pPr>
            <w:r w:rsidRPr="00014519">
              <w:rPr>
                <w:sz w:val="20"/>
                <w:szCs w:val="20"/>
              </w:rPr>
              <w:t>Skutečnost 2019</w:t>
            </w:r>
          </w:p>
        </w:tc>
        <w:tc>
          <w:tcPr>
            <w:tcW w:w="792" w:type="dxa"/>
            <w:vAlign w:val="center"/>
          </w:tcPr>
          <w:p w14:paraId="73CFB106" w14:textId="77777777" w:rsidR="001F1695" w:rsidRPr="00014519" w:rsidRDefault="001F1695" w:rsidP="00DE0323">
            <w:pPr>
              <w:jc w:val="center"/>
              <w:rPr>
                <w:sz w:val="20"/>
                <w:szCs w:val="20"/>
              </w:rPr>
            </w:pPr>
            <w:r w:rsidRPr="00014519">
              <w:rPr>
                <w:sz w:val="20"/>
                <w:szCs w:val="20"/>
              </w:rPr>
              <w:t>Index</w:t>
            </w:r>
          </w:p>
          <w:p w14:paraId="01C72CCB" w14:textId="77777777" w:rsidR="001F1695" w:rsidRPr="00014519" w:rsidRDefault="001F1695" w:rsidP="00DE0323">
            <w:pPr>
              <w:jc w:val="center"/>
              <w:rPr>
                <w:sz w:val="20"/>
                <w:szCs w:val="20"/>
              </w:rPr>
            </w:pPr>
            <w:r w:rsidRPr="00014519">
              <w:rPr>
                <w:sz w:val="20"/>
                <w:szCs w:val="20"/>
              </w:rPr>
              <w:t>19/18</w:t>
            </w:r>
          </w:p>
          <w:p w14:paraId="510E13BA" w14:textId="77777777" w:rsidR="001F1695" w:rsidRPr="00014519" w:rsidRDefault="001F1695" w:rsidP="00DE0323">
            <w:pPr>
              <w:jc w:val="center"/>
              <w:rPr>
                <w:sz w:val="20"/>
                <w:szCs w:val="20"/>
              </w:rPr>
            </w:pPr>
            <w:r w:rsidRPr="00014519">
              <w:rPr>
                <w:sz w:val="20"/>
                <w:szCs w:val="20"/>
              </w:rPr>
              <w:t>(v %)</w:t>
            </w:r>
          </w:p>
        </w:tc>
      </w:tr>
      <w:tr w:rsidR="001F1695" w:rsidRPr="00014519" w14:paraId="309210CD" w14:textId="77777777" w:rsidTr="00F74470">
        <w:trPr>
          <w:tblHeader/>
          <w:jc w:val="right"/>
        </w:trPr>
        <w:tc>
          <w:tcPr>
            <w:tcW w:w="4111" w:type="dxa"/>
            <w:tcBorders>
              <w:bottom w:val="single" w:sz="4" w:space="0" w:color="auto"/>
            </w:tcBorders>
          </w:tcPr>
          <w:p w14:paraId="3D06BB91" w14:textId="77777777" w:rsidR="001F1695" w:rsidRPr="00014519" w:rsidRDefault="001F1695" w:rsidP="00DE0323">
            <w:pPr>
              <w:jc w:val="center"/>
              <w:rPr>
                <w:sz w:val="22"/>
              </w:rPr>
            </w:pPr>
            <w:r w:rsidRPr="00014519">
              <w:rPr>
                <w:sz w:val="22"/>
              </w:rPr>
              <w:t>a</w:t>
            </w:r>
          </w:p>
        </w:tc>
        <w:tc>
          <w:tcPr>
            <w:tcW w:w="1134" w:type="dxa"/>
            <w:tcBorders>
              <w:bottom w:val="single" w:sz="4" w:space="0" w:color="auto"/>
            </w:tcBorders>
          </w:tcPr>
          <w:p w14:paraId="46566FBC" w14:textId="77777777" w:rsidR="001F1695" w:rsidRPr="00014519" w:rsidRDefault="001F1695" w:rsidP="00DE0323">
            <w:pPr>
              <w:jc w:val="center"/>
              <w:rPr>
                <w:sz w:val="22"/>
              </w:rPr>
            </w:pPr>
            <w:r w:rsidRPr="00014519">
              <w:rPr>
                <w:sz w:val="22"/>
              </w:rPr>
              <w:t>1</w:t>
            </w:r>
          </w:p>
        </w:tc>
        <w:tc>
          <w:tcPr>
            <w:tcW w:w="992" w:type="dxa"/>
            <w:tcBorders>
              <w:bottom w:val="single" w:sz="4" w:space="0" w:color="auto"/>
            </w:tcBorders>
          </w:tcPr>
          <w:p w14:paraId="7D0952C3" w14:textId="77777777" w:rsidR="001F1695" w:rsidRPr="00014519" w:rsidRDefault="001F1695" w:rsidP="00DE0323">
            <w:pPr>
              <w:jc w:val="center"/>
              <w:rPr>
                <w:sz w:val="22"/>
              </w:rPr>
            </w:pPr>
            <w:r w:rsidRPr="00014519">
              <w:rPr>
                <w:sz w:val="22"/>
              </w:rPr>
              <w:t>2</w:t>
            </w:r>
          </w:p>
        </w:tc>
        <w:tc>
          <w:tcPr>
            <w:tcW w:w="993" w:type="dxa"/>
            <w:tcBorders>
              <w:bottom w:val="single" w:sz="4" w:space="0" w:color="auto"/>
            </w:tcBorders>
          </w:tcPr>
          <w:p w14:paraId="69B91061" w14:textId="77777777" w:rsidR="001F1695" w:rsidRPr="00014519" w:rsidRDefault="001F1695" w:rsidP="00DE0323">
            <w:pPr>
              <w:jc w:val="center"/>
              <w:rPr>
                <w:sz w:val="22"/>
              </w:rPr>
            </w:pPr>
            <w:r w:rsidRPr="00014519">
              <w:rPr>
                <w:sz w:val="22"/>
              </w:rPr>
              <w:t>3</w:t>
            </w:r>
          </w:p>
        </w:tc>
        <w:tc>
          <w:tcPr>
            <w:tcW w:w="1050" w:type="dxa"/>
            <w:tcBorders>
              <w:bottom w:val="single" w:sz="4" w:space="0" w:color="auto"/>
            </w:tcBorders>
          </w:tcPr>
          <w:p w14:paraId="7BB637B8" w14:textId="77777777" w:rsidR="001F1695" w:rsidRPr="00014519" w:rsidRDefault="001F1695" w:rsidP="00DE0323">
            <w:pPr>
              <w:jc w:val="center"/>
              <w:rPr>
                <w:sz w:val="22"/>
              </w:rPr>
            </w:pPr>
            <w:r w:rsidRPr="00014519">
              <w:rPr>
                <w:sz w:val="22"/>
              </w:rPr>
              <w:t>4</w:t>
            </w:r>
          </w:p>
        </w:tc>
        <w:tc>
          <w:tcPr>
            <w:tcW w:w="792" w:type="dxa"/>
            <w:tcBorders>
              <w:bottom w:val="single" w:sz="4" w:space="0" w:color="auto"/>
            </w:tcBorders>
          </w:tcPr>
          <w:p w14:paraId="18848FEC" w14:textId="77777777" w:rsidR="001F1695" w:rsidRPr="00014519" w:rsidRDefault="001F1695" w:rsidP="00DE0323">
            <w:pPr>
              <w:jc w:val="center"/>
              <w:rPr>
                <w:sz w:val="22"/>
              </w:rPr>
            </w:pPr>
            <w:r w:rsidRPr="00014519">
              <w:rPr>
                <w:sz w:val="22"/>
              </w:rPr>
              <w:t>5</w:t>
            </w:r>
          </w:p>
        </w:tc>
      </w:tr>
      <w:tr w:rsidR="001F1695" w:rsidRPr="004B11AC" w14:paraId="73900B53" w14:textId="77777777" w:rsidTr="00F74470">
        <w:trPr>
          <w:trHeight w:val="388"/>
          <w:tblHeader/>
          <w:jc w:val="right"/>
        </w:trPr>
        <w:tc>
          <w:tcPr>
            <w:tcW w:w="4111" w:type="dxa"/>
            <w:tcBorders>
              <w:top w:val="single" w:sz="4" w:space="0" w:color="auto"/>
              <w:left w:val="single" w:sz="4" w:space="0" w:color="auto"/>
              <w:bottom w:val="nil"/>
              <w:right w:val="single" w:sz="4" w:space="0" w:color="auto"/>
            </w:tcBorders>
            <w:vAlign w:val="center"/>
          </w:tcPr>
          <w:p w14:paraId="6E9B478F" w14:textId="77777777" w:rsidR="001F1695" w:rsidRPr="00014519" w:rsidRDefault="001F1695" w:rsidP="00DE0323">
            <w:pPr>
              <w:pStyle w:val="Zkladntext"/>
              <w:rPr>
                <w:b/>
                <w:bCs/>
                <w:sz w:val="20"/>
              </w:rPr>
            </w:pPr>
            <w:r w:rsidRPr="00014519">
              <w:rPr>
                <w:b/>
                <w:bCs/>
                <w:sz w:val="20"/>
              </w:rPr>
              <w:t xml:space="preserve">Běžné výdaje </w:t>
            </w:r>
          </w:p>
          <w:p w14:paraId="561536E7" w14:textId="77777777" w:rsidR="001F1695" w:rsidRPr="00014519" w:rsidRDefault="001F1695" w:rsidP="00DE0323">
            <w:pPr>
              <w:jc w:val="both"/>
              <w:rPr>
                <w:sz w:val="20"/>
              </w:rPr>
            </w:pPr>
            <w:r w:rsidRPr="00014519">
              <w:rPr>
                <w:sz w:val="20"/>
              </w:rPr>
              <w:t xml:space="preserve">v tom: </w:t>
            </w:r>
          </w:p>
        </w:tc>
        <w:tc>
          <w:tcPr>
            <w:tcW w:w="1134" w:type="dxa"/>
            <w:tcBorders>
              <w:top w:val="single" w:sz="4" w:space="0" w:color="auto"/>
              <w:left w:val="single" w:sz="4" w:space="0" w:color="auto"/>
              <w:bottom w:val="nil"/>
              <w:right w:val="single" w:sz="4" w:space="0" w:color="auto"/>
            </w:tcBorders>
            <w:vAlign w:val="center"/>
          </w:tcPr>
          <w:p w14:paraId="06E822CC" w14:textId="77777777" w:rsidR="001F1695" w:rsidRPr="00014519" w:rsidRDefault="001F1695" w:rsidP="00DE0323">
            <w:pPr>
              <w:jc w:val="right"/>
              <w:rPr>
                <w:b/>
                <w:bCs/>
                <w:sz w:val="20"/>
              </w:rPr>
            </w:pPr>
            <w:r w:rsidRPr="00014519">
              <w:rPr>
                <w:b/>
                <w:bCs/>
                <w:sz w:val="20"/>
              </w:rPr>
              <w:t xml:space="preserve">2 519 573 </w:t>
            </w:r>
          </w:p>
        </w:tc>
        <w:tc>
          <w:tcPr>
            <w:tcW w:w="992" w:type="dxa"/>
            <w:tcBorders>
              <w:top w:val="single" w:sz="4" w:space="0" w:color="auto"/>
              <w:left w:val="single" w:sz="4" w:space="0" w:color="auto"/>
              <w:bottom w:val="nil"/>
              <w:right w:val="single" w:sz="4" w:space="0" w:color="auto"/>
            </w:tcBorders>
            <w:vAlign w:val="center"/>
          </w:tcPr>
          <w:p w14:paraId="128BAEA6" w14:textId="77777777" w:rsidR="001F1695" w:rsidRPr="00121003" w:rsidRDefault="001F1695" w:rsidP="00DE0323">
            <w:pPr>
              <w:jc w:val="right"/>
              <w:rPr>
                <w:b/>
                <w:bCs/>
                <w:sz w:val="20"/>
              </w:rPr>
            </w:pPr>
            <w:r w:rsidRPr="00121003">
              <w:rPr>
                <w:b/>
                <w:bCs/>
                <w:sz w:val="20"/>
              </w:rPr>
              <w:t xml:space="preserve">7 178 327  </w:t>
            </w:r>
          </w:p>
        </w:tc>
        <w:tc>
          <w:tcPr>
            <w:tcW w:w="993" w:type="dxa"/>
            <w:tcBorders>
              <w:top w:val="single" w:sz="4" w:space="0" w:color="auto"/>
              <w:left w:val="single" w:sz="4" w:space="0" w:color="auto"/>
              <w:bottom w:val="nil"/>
              <w:right w:val="single" w:sz="4" w:space="0" w:color="auto"/>
            </w:tcBorders>
            <w:vAlign w:val="center"/>
          </w:tcPr>
          <w:p w14:paraId="13B7D52C" w14:textId="77777777" w:rsidR="001F1695" w:rsidRPr="000D77C8" w:rsidRDefault="001F1695" w:rsidP="00DE0323">
            <w:pPr>
              <w:jc w:val="right"/>
              <w:rPr>
                <w:b/>
                <w:bCs/>
                <w:color w:val="FF0000"/>
                <w:sz w:val="20"/>
              </w:rPr>
            </w:pPr>
            <w:r w:rsidRPr="004D133A">
              <w:rPr>
                <w:b/>
                <w:bCs/>
                <w:sz w:val="20"/>
              </w:rPr>
              <w:t xml:space="preserve">7 550 542 </w:t>
            </w:r>
          </w:p>
        </w:tc>
        <w:tc>
          <w:tcPr>
            <w:tcW w:w="1050" w:type="dxa"/>
            <w:tcBorders>
              <w:top w:val="single" w:sz="4" w:space="0" w:color="auto"/>
              <w:left w:val="single" w:sz="4" w:space="0" w:color="auto"/>
              <w:bottom w:val="nil"/>
              <w:right w:val="single" w:sz="4" w:space="0" w:color="auto"/>
            </w:tcBorders>
            <w:vAlign w:val="center"/>
          </w:tcPr>
          <w:p w14:paraId="0E79BBAD" w14:textId="77777777" w:rsidR="001F1695" w:rsidRPr="004B11AC" w:rsidRDefault="001F1695" w:rsidP="00DE0323">
            <w:pPr>
              <w:jc w:val="right"/>
              <w:rPr>
                <w:b/>
                <w:bCs/>
                <w:color w:val="FF0000"/>
                <w:sz w:val="20"/>
              </w:rPr>
            </w:pPr>
            <w:r w:rsidRPr="004D133A">
              <w:rPr>
                <w:b/>
                <w:bCs/>
                <w:sz w:val="20"/>
              </w:rPr>
              <w:t xml:space="preserve">6 778 437 </w:t>
            </w:r>
          </w:p>
        </w:tc>
        <w:tc>
          <w:tcPr>
            <w:tcW w:w="792" w:type="dxa"/>
            <w:tcBorders>
              <w:top w:val="single" w:sz="4" w:space="0" w:color="auto"/>
              <w:left w:val="single" w:sz="4" w:space="0" w:color="auto"/>
              <w:bottom w:val="nil"/>
              <w:right w:val="single" w:sz="4" w:space="0" w:color="auto"/>
            </w:tcBorders>
            <w:vAlign w:val="center"/>
          </w:tcPr>
          <w:p w14:paraId="6F218249" w14:textId="77777777" w:rsidR="001F1695" w:rsidRPr="004B11AC" w:rsidRDefault="001F1695" w:rsidP="00DE0323">
            <w:pPr>
              <w:jc w:val="right"/>
              <w:rPr>
                <w:b/>
                <w:bCs/>
                <w:color w:val="FF0000"/>
                <w:sz w:val="20"/>
              </w:rPr>
            </w:pPr>
            <w:r w:rsidRPr="00DE40B3">
              <w:rPr>
                <w:b/>
                <w:bCs/>
                <w:sz w:val="20"/>
              </w:rPr>
              <w:t>269,03</w:t>
            </w:r>
          </w:p>
        </w:tc>
      </w:tr>
      <w:tr w:rsidR="001F1695" w:rsidRPr="004B11AC" w14:paraId="61799DB0" w14:textId="77777777" w:rsidTr="00C25D56">
        <w:trPr>
          <w:trHeight w:val="1174"/>
          <w:tblHeader/>
          <w:jc w:val="right"/>
        </w:trPr>
        <w:tc>
          <w:tcPr>
            <w:tcW w:w="4111" w:type="dxa"/>
            <w:tcBorders>
              <w:top w:val="nil"/>
              <w:left w:val="single" w:sz="4" w:space="0" w:color="auto"/>
              <w:bottom w:val="nil"/>
              <w:right w:val="single" w:sz="4" w:space="0" w:color="auto"/>
            </w:tcBorders>
          </w:tcPr>
          <w:p w14:paraId="780F6310" w14:textId="77777777" w:rsidR="001F1695" w:rsidRPr="00014519" w:rsidRDefault="001F1695" w:rsidP="00DE0323">
            <w:pPr>
              <w:jc w:val="both"/>
              <w:rPr>
                <w:sz w:val="20"/>
              </w:rPr>
            </w:pPr>
            <w:r w:rsidRPr="00014519">
              <w:rPr>
                <w:sz w:val="20"/>
              </w:rPr>
              <w:t xml:space="preserve">platy zaměstnanců a ostatní platby </w:t>
            </w:r>
          </w:p>
          <w:p w14:paraId="01585D05" w14:textId="77777777" w:rsidR="001F1695" w:rsidRPr="00014519" w:rsidRDefault="001F1695" w:rsidP="00DE0323">
            <w:pPr>
              <w:jc w:val="both"/>
              <w:rPr>
                <w:sz w:val="20"/>
              </w:rPr>
            </w:pPr>
            <w:r w:rsidRPr="00014519">
              <w:rPr>
                <w:sz w:val="20"/>
              </w:rPr>
              <w:t>za provedenou práci</w:t>
            </w:r>
          </w:p>
          <w:p w14:paraId="35F53433" w14:textId="77777777" w:rsidR="001F1695" w:rsidRPr="00014519" w:rsidRDefault="001F1695" w:rsidP="00DE0323">
            <w:pPr>
              <w:jc w:val="both"/>
              <w:rPr>
                <w:sz w:val="20"/>
              </w:rPr>
            </w:pPr>
            <w:r w:rsidRPr="00014519">
              <w:rPr>
                <w:sz w:val="20"/>
              </w:rPr>
              <w:t>z toho: výdaje na progr. spolufin. z rozpočtu EU</w:t>
            </w:r>
          </w:p>
          <w:p w14:paraId="1AE068E4" w14:textId="77777777" w:rsidR="001F1695" w:rsidRPr="00014519" w:rsidRDefault="001F1695" w:rsidP="00DE0323">
            <w:pPr>
              <w:jc w:val="both"/>
              <w:rPr>
                <w:sz w:val="20"/>
              </w:rPr>
            </w:pPr>
            <w:r w:rsidRPr="00014519">
              <w:rPr>
                <w:sz w:val="20"/>
              </w:rPr>
              <w:t xml:space="preserve">            v tom: ze SR</w:t>
            </w:r>
          </w:p>
          <w:p w14:paraId="2E24A209" w14:textId="77777777" w:rsidR="001F1695" w:rsidRPr="00014519" w:rsidRDefault="001F1695" w:rsidP="00DE0323">
            <w:pPr>
              <w:jc w:val="both"/>
              <w:rPr>
                <w:sz w:val="20"/>
              </w:rPr>
            </w:pPr>
            <w:r w:rsidRPr="00014519">
              <w:rPr>
                <w:sz w:val="20"/>
              </w:rPr>
              <w:t xml:space="preserve">                        z rozpočtu EU</w:t>
            </w:r>
          </w:p>
        </w:tc>
        <w:tc>
          <w:tcPr>
            <w:tcW w:w="1134" w:type="dxa"/>
            <w:tcBorders>
              <w:top w:val="nil"/>
              <w:left w:val="single" w:sz="4" w:space="0" w:color="auto"/>
              <w:bottom w:val="nil"/>
              <w:right w:val="single" w:sz="4" w:space="0" w:color="auto"/>
            </w:tcBorders>
          </w:tcPr>
          <w:p w14:paraId="4E68F761" w14:textId="77777777" w:rsidR="001F1695" w:rsidRPr="00014519" w:rsidRDefault="001F1695" w:rsidP="00DE0323">
            <w:pPr>
              <w:jc w:val="right"/>
              <w:rPr>
                <w:sz w:val="20"/>
              </w:rPr>
            </w:pPr>
          </w:p>
          <w:p w14:paraId="2BE7225A" w14:textId="77777777" w:rsidR="001F1695" w:rsidRPr="00014519" w:rsidRDefault="001F1695" w:rsidP="00DE0323">
            <w:pPr>
              <w:jc w:val="right"/>
              <w:rPr>
                <w:sz w:val="20"/>
              </w:rPr>
            </w:pPr>
            <w:r w:rsidRPr="00014519">
              <w:rPr>
                <w:sz w:val="20"/>
              </w:rPr>
              <w:t>302 180</w:t>
            </w:r>
          </w:p>
          <w:p w14:paraId="5D1D8F90" w14:textId="77777777" w:rsidR="001F1695" w:rsidRPr="00014519" w:rsidRDefault="001F1695" w:rsidP="00DE0323">
            <w:pPr>
              <w:jc w:val="right"/>
              <w:rPr>
                <w:sz w:val="20"/>
              </w:rPr>
            </w:pPr>
            <w:r w:rsidRPr="00014519">
              <w:rPr>
                <w:sz w:val="20"/>
              </w:rPr>
              <w:t xml:space="preserve">70 256 </w:t>
            </w:r>
          </w:p>
          <w:p w14:paraId="52198258" w14:textId="77777777" w:rsidR="001F1695" w:rsidRPr="00014519" w:rsidRDefault="001F1695" w:rsidP="00DE0323">
            <w:pPr>
              <w:jc w:val="right"/>
              <w:rPr>
                <w:sz w:val="20"/>
              </w:rPr>
            </w:pPr>
            <w:r w:rsidRPr="00014519">
              <w:rPr>
                <w:sz w:val="20"/>
              </w:rPr>
              <w:t>10 457</w:t>
            </w:r>
          </w:p>
          <w:p w14:paraId="37AA4D8D" w14:textId="77777777" w:rsidR="001F1695" w:rsidRPr="00014519" w:rsidRDefault="001F1695" w:rsidP="00DE0323">
            <w:pPr>
              <w:jc w:val="right"/>
              <w:rPr>
                <w:sz w:val="20"/>
              </w:rPr>
            </w:pPr>
            <w:r w:rsidRPr="00014519">
              <w:rPr>
                <w:sz w:val="20"/>
              </w:rPr>
              <w:t xml:space="preserve">       59 799  </w:t>
            </w:r>
          </w:p>
        </w:tc>
        <w:tc>
          <w:tcPr>
            <w:tcW w:w="992" w:type="dxa"/>
            <w:tcBorders>
              <w:top w:val="nil"/>
              <w:left w:val="single" w:sz="4" w:space="0" w:color="auto"/>
              <w:bottom w:val="nil"/>
              <w:right w:val="single" w:sz="4" w:space="0" w:color="auto"/>
            </w:tcBorders>
          </w:tcPr>
          <w:p w14:paraId="1B6DDD10" w14:textId="77777777" w:rsidR="001F1695" w:rsidRPr="00121003" w:rsidRDefault="001F1695" w:rsidP="00DE0323">
            <w:pPr>
              <w:jc w:val="right"/>
              <w:rPr>
                <w:sz w:val="20"/>
              </w:rPr>
            </w:pPr>
          </w:p>
          <w:p w14:paraId="60C66330" w14:textId="77777777" w:rsidR="001F1695" w:rsidRPr="00121003" w:rsidRDefault="001F1695" w:rsidP="00DE0323">
            <w:pPr>
              <w:jc w:val="right"/>
              <w:rPr>
                <w:sz w:val="20"/>
              </w:rPr>
            </w:pPr>
            <w:r w:rsidRPr="00121003">
              <w:rPr>
                <w:sz w:val="20"/>
              </w:rPr>
              <w:t>297 467</w:t>
            </w:r>
          </w:p>
          <w:p w14:paraId="35D80101" w14:textId="77777777" w:rsidR="001F1695" w:rsidRPr="00121003" w:rsidRDefault="001F1695" w:rsidP="00DE0323">
            <w:pPr>
              <w:jc w:val="right"/>
              <w:rPr>
                <w:sz w:val="20"/>
              </w:rPr>
            </w:pPr>
            <w:r w:rsidRPr="00121003">
              <w:rPr>
                <w:sz w:val="20"/>
              </w:rPr>
              <w:t>54 914</w:t>
            </w:r>
          </w:p>
          <w:p w14:paraId="3AAB51AA" w14:textId="77777777" w:rsidR="001F1695" w:rsidRPr="00121003" w:rsidRDefault="001F1695" w:rsidP="00DE0323">
            <w:pPr>
              <w:jc w:val="right"/>
              <w:rPr>
                <w:sz w:val="20"/>
              </w:rPr>
            </w:pPr>
            <w:r w:rsidRPr="00121003">
              <w:rPr>
                <w:sz w:val="20"/>
              </w:rPr>
              <w:t>8 698</w:t>
            </w:r>
          </w:p>
          <w:p w14:paraId="5968B97A" w14:textId="77777777" w:rsidR="001F1695" w:rsidRPr="00121003" w:rsidRDefault="001F1695" w:rsidP="00DE0323">
            <w:pPr>
              <w:jc w:val="right"/>
              <w:rPr>
                <w:sz w:val="20"/>
              </w:rPr>
            </w:pPr>
            <w:r w:rsidRPr="00121003">
              <w:rPr>
                <w:sz w:val="20"/>
              </w:rPr>
              <w:t xml:space="preserve">46 216 </w:t>
            </w:r>
          </w:p>
        </w:tc>
        <w:tc>
          <w:tcPr>
            <w:tcW w:w="993" w:type="dxa"/>
            <w:tcBorders>
              <w:top w:val="nil"/>
              <w:left w:val="single" w:sz="4" w:space="0" w:color="auto"/>
              <w:bottom w:val="nil"/>
              <w:right w:val="single" w:sz="4" w:space="0" w:color="auto"/>
            </w:tcBorders>
          </w:tcPr>
          <w:p w14:paraId="21A06B8B" w14:textId="77777777" w:rsidR="001F1695" w:rsidRPr="000D77C8" w:rsidRDefault="001F1695" w:rsidP="00DE0323">
            <w:pPr>
              <w:jc w:val="right"/>
              <w:rPr>
                <w:color w:val="FF0000"/>
                <w:sz w:val="20"/>
              </w:rPr>
            </w:pPr>
          </w:p>
          <w:p w14:paraId="224A6E64" w14:textId="77777777" w:rsidR="001F1695" w:rsidRPr="00473F46" w:rsidRDefault="001F1695" w:rsidP="00DE0323">
            <w:pPr>
              <w:jc w:val="right"/>
              <w:rPr>
                <w:sz w:val="20"/>
              </w:rPr>
            </w:pPr>
            <w:r w:rsidRPr="00473F46">
              <w:rPr>
                <w:sz w:val="20"/>
              </w:rPr>
              <w:t>295 614</w:t>
            </w:r>
          </w:p>
          <w:p w14:paraId="1C79C354" w14:textId="77777777" w:rsidR="001F1695" w:rsidRPr="009E15A6" w:rsidRDefault="001F1695" w:rsidP="00DE0323">
            <w:pPr>
              <w:jc w:val="right"/>
              <w:rPr>
                <w:sz w:val="20"/>
              </w:rPr>
            </w:pPr>
            <w:r w:rsidRPr="009E15A6">
              <w:rPr>
                <w:sz w:val="20"/>
              </w:rPr>
              <w:t>54 914</w:t>
            </w:r>
          </w:p>
          <w:p w14:paraId="06472E8F" w14:textId="77777777" w:rsidR="001F1695" w:rsidRPr="009E15A6" w:rsidRDefault="001F1695" w:rsidP="00DE0323">
            <w:pPr>
              <w:jc w:val="right"/>
              <w:rPr>
                <w:sz w:val="20"/>
              </w:rPr>
            </w:pPr>
            <w:r w:rsidRPr="009E15A6">
              <w:rPr>
                <w:sz w:val="20"/>
              </w:rPr>
              <w:t>8 698</w:t>
            </w:r>
          </w:p>
          <w:p w14:paraId="73D1CA89" w14:textId="77777777" w:rsidR="001F1695" w:rsidRPr="000D77C8" w:rsidRDefault="001F1695" w:rsidP="00DE0323">
            <w:pPr>
              <w:jc w:val="right"/>
              <w:rPr>
                <w:color w:val="FF0000"/>
                <w:sz w:val="20"/>
              </w:rPr>
            </w:pPr>
            <w:r w:rsidRPr="000D77C8">
              <w:rPr>
                <w:color w:val="FF0000"/>
                <w:sz w:val="20"/>
              </w:rPr>
              <w:t xml:space="preserve"> </w:t>
            </w:r>
            <w:r w:rsidRPr="009E15A6">
              <w:rPr>
                <w:sz w:val="20"/>
              </w:rPr>
              <w:t>46 216</w:t>
            </w:r>
          </w:p>
        </w:tc>
        <w:tc>
          <w:tcPr>
            <w:tcW w:w="1050" w:type="dxa"/>
            <w:tcBorders>
              <w:top w:val="nil"/>
              <w:left w:val="single" w:sz="4" w:space="0" w:color="auto"/>
              <w:bottom w:val="nil"/>
              <w:right w:val="single" w:sz="4" w:space="0" w:color="auto"/>
            </w:tcBorders>
          </w:tcPr>
          <w:p w14:paraId="5253D883" w14:textId="77777777" w:rsidR="001F1695" w:rsidRPr="004B11AC" w:rsidRDefault="001F1695" w:rsidP="00DE0323">
            <w:pPr>
              <w:jc w:val="right"/>
              <w:rPr>
                <w:color w:val="FF0000"/>
                <w:sz w:val="20"/>
              </w:rPr>
            </w:pPr>
          </w:p>
          <w:p w14:paraId="75A60569" w14:textId="77777777" w:rsidR="001F1695" w:rsidRPr="00473F46" w:rsidRDefault="001F1695" w:rsidP="00DE0323">
            <w:pPr>
              <w:jc w:val="right"/>
              <w:rPr>
                <w:sz w:val="20"/>
              </w:rPr>
            </w:pPr>
            <w:r w:rsidRPr="00473F46">
              <w:rPr>
                <w:sz w:val="20"/>
              </w:rPr>
              <w:t>314 642</w:t>
            </w:r>
          </w:p>
          <w:p w14:paraId="7D2A7597" w14:textId="77777777" w:rsidR="001F1695" w:rsidRPr="009E15A6" w:rsidRDefault="001F1695" w:rsidP="00DE0323">
            <w:pPr>
              <w:jc w:val="right"/>
              <w:rPr>
                <w:sz w:val="20"/>
              </w:rPr>
            </w:pPr>
            <w:r w:rsidRPr="009E15A6">
              <w:rPr>
                <w:sz w:val="20"/>
              </w:rPr>
              <w:t xml:space="preserve">68 841 </w:t>
            </w:r>
          </w:p>
          <w:p w14:paraId="60EE2A26" w14:textId="77777777" w:rsidR="001F1695" w:rsidRPr="009E15A6" w:rsidRDefault="001F1695" w:rsidP="00DE0323">
            <w:pPr>
              <w:jc w:val="right"/>
              <w:rPr>
                <w:sz w:val="20"/>
              </w:rPr>
            </w:pPr>
            <w:r w:rsidRPr="009E15A6">
              <w:rPr>
                <w:sz w:val="20"/>
              </w:rPr>
              <w:t>10 677</w:t>
            </w:r>
          </w:p>
          <w:p w14:paraId="2BD3DD3B" w14:textId="77777777" w:rsidR="001F1695" w:rsidRPr="004B11AC" w:rsidRDefault="001F1695" w:rsidP="00DE0323">
            <w:pPr>
              <w:jc w:val="right"/>
              <w:rPr>
                <w:color w:val="FF0000"/>
                <w:sz w:val="20"/>
              </w:rPr>
            </w:pPr>
            <w:r>
              <w:rPr>
                <w:color w:val="FF0000"/>
                <w:sz w:val="20"/>
              </w:rPr>
              <w:t xml:space="preserve">       </w:t>
            </w:r>
            <w:r w:rsidRPr="009E15A6">
              <w:rPr>
                <w:sz w:val="20"/>
              </w:rPr>
              <w:t xml:space="preserve">58 164  </w:t>
            </w:r>
          </w:p>
        </w:tc>
        <w:tc>
          <w:tcPr>
            <w:tcW w:w="792" w:type="dxa"/>
            <w:tcBorders>
              <w:top w:val="nil"/>
              <w:left w:val="single" w:sz="4" w:space="0" w:color="auto"/>
              <w:bottom w:val="nil"/>
              <w:right w:val="single" w:sz="4" w:space="0" w:color="auto"/>
            </w:tcBorders>
          </w:tcPr>
          <w:p w14:paraId="79DAE9B6" w14:textId="77777777" w:rsidR="001F1695" w:rsidRPr="004B11AC" w:rsidRDefault="001F1695" w:rsidP="00DE0323">
            <w:pPr>
              <w:jc w:val="right"/>
              <w:rPr>
                <w:color w:val="FF0000"/>
                <w:sz w:val="20"/>
              </w:rPr>
            </w:pPr>
          </w:p>
          <w:p w14:paraId="5E44DDAE" w14:textId="77777777" w:rsidR="001F1695" w:rsidRPr="00D826E0" w:rsidRDefault="001F1695" w:rsidP="00DE0323">
            <w:pPr>
              <w:jc w:val="right"/>
              <w:rPr>
                <w:sz w:val="20"/>
              </w:rPr>
            </w:pPr>
            <w:r w:rsidRPr="00D826E0">
              <w:rPr>
                <w:sz w:val="20"/>
              </w:rPr>
              <w:t>104,1</w:t>
            </w:r>
            <w:r>
              <w:rPr>
                <w:sz w:val="20"/>
              </w:rPr>
              <w:t>2</w:t>
            </w:r>
          </w:p>
          <w:p w14:paraId="12F95214" w14:textId="77777777" w:rsidR="001F1695" w:rsidRPr="00F82F63" w:rsidRDefault="001F1695" w:rsidP="00DE0323">
            <w:pPr>
              <w:jc w:val="right"/>
              <w:rPr>
                <w:sz w:val="20"/>
              </w:rPr>
            </w:pPr>
            <w:r w:rsidRPr="00F82F63">
              <w:rPr>
                <w:sz w:val="20"/>
              </w:rPr>
              <w:t>97,99</w:t>
            </w:r>
          </w:p>
          <w:p w14:paraId="01CE7208" w14:textId="77777777" w:rsidR="001F1695" w:rsidRPr="006F09A8" w:rsidRDefault="001F1695" w:rsidP="00DE0323">
            <w:pPr>
              <w:jc w:val="right"/>
              <w:rPr>
                <w:sz w:val="20"/>
              </w:rPr>
            </w:pPr>
            <w:r w:rsidRPr="006F09A8">
              <w:rPr>
                <w:sz w:val="20"/>
              </w:rPr>
              <w:t>102,10</w:t>
            </w:r>
          </w:p>
          <w:p w14:paraId="67F94930" w14:textId="77777777" w:rsidR="001F1695" w:rsidRPr="00C25D56" w:rsidRDefault="001F1695" w:rsidP="00C25D56">
            <w:pPr>
              <w:jc w:val="right"/>
              <w:rPr>
                <w:sz w:val="20"/>
              </w:rPr>
            </w:pPr>
            <w:r w:rsidRPr="0065212B">
              <w:rPr>
                <w:sz w:val="20"/>
              </w:rPr>
              <w:t>97,27</w:t>
            </w:r>
          </w:p>
        </w:tc>
      </w:tr>
      <w:tr w:rsidR="001F1695" w:rsidRPr="004B11AC" w14:paraId="735CEB96" w14:textId="77777777" w:rsidTr="00F74470">
        <w:trPr>
          <w:tblHeader/>
          <w:jc w:val="right"/>
        </w:trPr>
        <w:tc>
          <w:tcPr>
            <w:tcW w:w="4111" w:type="dxa"/>
            <w:tcBorders>
              <w:top w:val="nil"/>
              <w:left w:val="single" w:sz="4" w:space="0" w:color="auto"/>
              <w:bottom w:val="nil"/>
              <w:right w:val="single" w:sz="4" w:space="0" w:color="auto"/>
            </w:tcBorders>
          </w:tcPr>
          <w:p w14:paraId="11A36552" w14:textId="77777777" w:rsidR="001F1695" w:rsidRPr="00014519" w:rsidRDefault="001F1695" w:rsidP="00DE0323">
            <w:pPr>
              <w:jc w:val="both"/>
              <w:rPr>
                <w:sz w:val="20"/>
              </w:rPr>
            </w:pPr>
            <w:r w:rsidRPr="00014519">
              <w:rPr>
                <w:sz w:val="20"/>
              </w:rPr>
              <w:t>povinné pojistné placené zaměstnavatelem</w:t>
            </w:r>
          </w:p>
          <w:p w14:paraId="4472C258" w14:textId="77777777" w:rsidR="001F1695" w:rsidRPr="00014519" w:rsidRDefault="001F1695" w:rsidP="00DE0323">
            <w:pPr>
              <w:jc w:val="both"/>
              <w:rPr>
                <w:sz w:val="20"/>
              </w:rPr>
            </w:pPr>
            <w:r w:rsidRPr="00014519">
              <w:rPr>
                <w:sz w:val="20"/>
              </w:rPr>
              <w:t>z toho: výdaje na progr. spolufin. z rozpočtu EU</w:t>
            </w:r>
          </w:p>
          <w:p w14:paraId="019695B8" w14:textId="77777777" w:rsidR="001F1695" w:rsidRPr="00014519" w:rsidRDefault="001F1695" w:rsidP="00DE0323">
            <w:pPr>
              <w:jc w:val="both"/>
              <w:rPr>
                <w:sz w:val="20"/>
              </w:rPr>
            </w:pPr>
            <w:r w:rsidRPr="00014519">
              <w:rPr>
                <w:sz w:val="20"/>
              </w:rPr>
              <w:t xml:space="preserve">            v tom: ze SR</w:t>
            </w:r>
          </w:p>
          <w:p w14:paraId="08FA6EF7" w14:textId="77777777" w:rsidR="001F1695" w:rsidRPr="00014519" w:rsidRDefault="001F1695" w:rsidP="00DE0323">
            <w:pPr>
              <w:jc w:val="both"/>
              <w:rPr>
                <w:sz w:val="20"/>
              </w:rPr>
            </w:pPr>
            <w:r w:rsidRPr="00014519">
              <w:rPr>
                <w:sz w:val="20"/>
              </w:rPr>
              <w:t xml:space="preserve">                        z rozpočtu EU</w:t>
            </w:r>
          </w:p>
        </w:tc>
        <w:tc>
          <w:tcPr>
            <w:tcW w:w="1134" w:type="dxa"/>
            <w:tcBorders>
              <w:top w:val="nil"/>
              <w:left w:val="single" w:sz="4" w:space="0" w:color="auto"/>
              <w:bottom w:val="nil"/>
              <w:right w:val="single" w:sz="4" w:space="0" w:color="auto"/>
            </w:tcBorders>
          </w:tcPr>
          <w:p w14:paraId="0A7FB946" w14:textId="77777777" w:rsidR="001F1695" w:rsidRPr="00014519" w:rsidRDefault="001F1695" w:rsidP="00DE0323">
            <w:pPr>
              <w:jc w:val="right"/>
              <w:rPr>
                <w:sz w:val="20"/>
              </w:rPr>
            </w:pPr>
            <w:r w:rsidRPr="00014519">
              <w:rPr>
                <w:sz w:val="20"/>
              </w:rPr>
              <w:t>101 907</w:t>
            </w:r>
          </w:p>
          <w:p w14:paraId="60F3729B" w14:textId="77777777" w:rsidR="001F1695" w:rsidRPr="00014519" w:rsidRDefault="001F1695" w:rsidP="00DE0323">
            <w:pPr>
              <w:jc w:val="right"/>
              <w:rPr>
                <w:sz w:val="20"/>
              </w:rPr>
            </w:pPr>
            <w:r w:rsidRPr="00014519">
              <w:rPr>
                <w:sz w:val="20"/>
              </w:rPr>
              <w:t>23 674</w:t>
            </w:r>
          </w:p>
          <w:p w14:paraId="76808108" w14:textId="77777777" w:rsidR="001F1695" w:rsidRPr="00014519" w:rsidRDefault="001F1695" w:rsidP="00DE0323">
            <w:pPr>
              <w:jc w:val="right"/>
              <w:rPr>
                <w:sz w:val="20"/>
              </w:rPr>
            </w:pPr>
            <w:r w:rsidRPr="00014519">
              <w:rPr>
                <w:sz w:val="20"/>
              </w:rPr>
              <w:t xml:space="preserve">3 523 </w:t>
            </w:r>
          </w:p>
          <w:p w14:paraId="3AE2F476" w14:textId="77777777" w:rsidR="001F1695" w:rsidRPr="00014519" w:rsidRDefault="001F1695" w:rsidP="00DE0323">
            <w:pPr>
              <w:jc w:val="right"/>
              <w:rPr>
                <w:sz w:val="20"/>
              </w:rPr>
            </w:pPr>
            <w:r w:rsidRPr="00014519">
              <w:rPr>
                <w:sz w:val="20"/>
              </w:rPr>
              <w:t xml:space="preserve">20 151    </w:t>
            </w:r>
          </w:p>
        </w:tc>
        <w:tc>
          <w:tcPr>
            <w:tcW w:w="992" w:type="dxa"/>
            <w:tcBorders>
              <w:top w:val="nil"/>
              <w:left w:val="single" w:sz="4" w:space="0" w:color="auto"/>
              <w:bottom w:val="nil"/>
              <w:right w:val="single" w:sz="4" w:space="0" w:color="auto"/>
            </w:tcBorders>
          </w:tcPr>
          <w:p w14:paraId="2FC923B7" w14:textId="77777777" w:rsidR="001F1695" w:rsidRPr="00121003" w:rsidRDefault="001F1695" w:rsidP="00DE0323">
            <w:pPr>
              <w:jc w:val="right"/>
              <w:rPr>
                <w:sz w:val="20"/>
              </w:rPr>
            </w:pPr>
            <w:r w:rsidRPr="00121003">
              <w:rPr>
                <w:sz w:val="20"/>
              </w:rPr>
              <w:t xml:space="preserve">101 139 </w:t>
            </w:r>
          </w:p>
          <w:p w14:paraId="526BFCF2" w14:textId="77777777" w:rsidR="001F1695" w:rsidRPr="00121003" w:rsidRDefault="001F1695" w:rsidP="00DE0323">
            <w:pPr>
              <w:jc w:val="right"/>
              <w:rPr>
                <w:sz w:val="20"/>
              </w:rPr>
            </w:pPr>
            <w:r w:rsidRPr="00121003">
              <w:rPr>
                <w:sz w:val="20"/>
              </w:rPr>
              <w:t>18 671</w:t>
            </w:r>
          </w:p>
          <w:p w14:paraId="13D3A51C" w14:textId="77777777" w:rsidR="001F1695" w:rsidRPr="00121003" w:rsidRDefault="001F1695" w:rsidP="00DE0323">
            <w:pPr>
              <w:jc w:val="right"/>
              <w:rPr>
                <w:sz w:val="20"/>
              </w:rPr>
            </w:pPr>
            <w:r w:rsidRPr="00121003">
              <w:rPr>
                <w:sz w:val="20"/>
              </w:rPr>
              <w:t>2 957</w:t>
            </w:r>
          </w:p>
          <w:p w14:paraId="3971EACE" w14:textId="77777777" w:rsidR="001F1695" w:rsidRPr="00121003" w:rsidRDefault="001F1695" w:rsidP="00DE0323">
            <w:pPr>
              <w:jc w:val="right"/>
              <w:rPr>
                <w:sz w:val="20"/>
              </w:rPr>
            </w:pPr>
            <w:r w:rsidRPr="00121003">
              <w:rPr>
                <w:sz w:val="20"/>
              </w:rPr>
              <w:t xml:space="preserve">15 713  </w:t>
            </w:r>
          </w:p>
        </w:tc>
        <w:tc>
          <w:tcPr>
            <w:tcW w:w="993" w:type="dxa"/>
            <w:tcBorders>
              <w:top w:val="nil"/>
              <w:left w:val="single" w:sz="4" w:space="0" w:color="auto"/>
              <w:bottom w:val="nil"/>
              <w:right w:val="single" w:sz="4" w:space="0" w:color="auto"/>
            </w:tcBorders>
          </w:tcPr>
          <w:p w14:paraId="6249AD30" w14:textId="77777777" w:rsidR="001F1695" w:rsidRPr="0007168C" w:rsidRDefault="001F1695" w:rsidP="00DE0323">
            <w:pPr>
              <w:jc w:val="right"/>
              <w:rPr>
                <w:sz w:val="20"/>
              </w:rPr>
            </w:pPr>
            <w:r w:rsidRPr="0007168C">
              <w:rPr>
                <w:sz w:val="20"/>
              </w:rPr>
              <w:t>100 561</w:t>
            </w:r>
          </w:p>
          <w:p w14:paraId="3F85E7CC" w14:textId="77777777" w:rsidR="001F1695" w:rsidRPr="0007168C" w:rsidRDefault="001F1695" w:rsidP="00DE0323">
            <w:pPr>
              <w:jc w:val="right"/>
              <w:rPr>
                <w:sz w:val="20"/>
              </w:rPr>
            </w:pPr>
            <w:r w:rsidRPr="0007168C">
              <w:rPr>
                <w:sz w:val="20"/>
              </w:rPr>
              <w:t>18 671</w:t>
            </w:r>
          </w:p>
          <w:p w14:paraId="0F1A6364" w14:textId="77777777" w:rsidR="001F1695" w:rsidRPr="00BF3C18" w:rsidRDefault="001F1695" w:rsidP="00DE0323">
            <w:pPr>
              <w:jc w:val="right"/>
              <w:rPr>
                <w:sz w:val="20"/>
              </w:rPr>
            </w:pPr>
            <w:r w:rsidRPr="00BF3C18">
              <w:rPr>
                <w:sz w:val="20"/>
              </w:rPr>
              <w:t>2 957</w:t>
            </w:r>
          </w:p>
          <w:p w14:paraId="0263A47C" w14:textId="77777777" w:rsidR="001F1695" w:rsidRPr="000D77C8" w:rsidRDefault="001F1695" w:rsidP="00DE0323">
            <w:pPr>
              <w:jc w:val="right"/>
              <w:rPr>
                <w:color w:val="FF0000"/>
                <w:sz w:val="20"/>
              </w:rPr>
            </w:pPr>
            <w:r w:rsidRPr="00956BB5">
              <w:rPr>
                <w:sz w:val="20"/>
              </w:rPr>
              <w:t xml:space="preserve">15 713  </w:t>
            </w:r>
          </w:p>
        </w:tc>
        <w:tc>
          <w:tcPr>
            <w:tcW w:w="1050" w:type="dxa"/>
            <w:tcBorders>
              <w:top w:val="nil"/>
              <w:left w:val="single" w:sz="4" w:space="0" w:color="auto"/>
              <w:bottom w:val="nil"/>
              <w:right w:val="single" w:sz="4" w:space="0" w:color="auto"/>
            </w:tcBorders>
          </w:tcPr>
          <w:p w14:paraId="43A9E284" w14:textId="77777777" w:rsidR="001F1695" w:rsidRPr="0007168C" w:rsidRDefault="001F1695" w:rsidP="00DE0323">
            <w:pPr>
              <w:jc w:val="right"/>
              <w:rPr>
                <w:sz w:val="20"/>
              </w:rPr>
            </w:pPr>
            <w:r w:rsidRPr="0007168C">
              <w:rPr>
                <w:sz w:val="20"/>
              </w:rPr>
              <w:t>105 959</w:t>
            </w:r>
          </w:p>
          <w:p w14:paraId="6763C801" w14:textId="77777777" w:rsidR="001F1695" w:rsidRPr="0007168C" w:rsidRDefault="001F1695" w:rsidP="00DE0323">
            <w:pPr>
              <w:jc w:val="right"/>
              <w:rPr>
                <w:sz w:val="20"/>
              </w:rPr>
            </w:pPr>
            <w:r w:rsidRPr="0007168C">
              <w:rPr>
                <w:sz w:val="20"/>
              </w:rPr>
              <w:t>23 194</w:t>
            </w:r>
          </w:p>
          <w:p w14:paraId="79FCCE56" w14:textId="77777777" w:rsidR="001F1695" w:rsidRPr="00BF3C18" w:rsidRDefault="001F1695" w:rsidP="00DE0323">
            <w:pPr>
              <w:jc w:val="right"/>
              <w:rPr>
                <w:sz w:val="20"/>
              </w:rPr>
            </w:pPr>
            <w:r w:rsidRPr="00BF3C18">
              <w:rPr>
                <w:sz w:val="20"/>
              </w:rPr>
              <w:t xml:space="preserve">3 594 </w:t>
            </w:r>
          </w:p>
          <w:p w14:paraId="7284C2BC" w14:textId="77777777" w:rsidR="001F1695" w:rsidRPr="004B11AC" w:rsidRDefault="001F1695" w:rsidP="00DE0323">
            <w:pPr>
              <w:jc w:val="right"/>
              <w:rPr>
                <w:color w:val="FF0000"/>
                <w:sz w:val="20"/>
              </w:rPr>
            </w:pPr>
            <w:r w:rsidRPr="00956BB5">
              <w:rPr>
                <w:sz w:val="20"/>
              </w:rPr>
              <w:t xml:space="preserve">19 600    </w:t>
            </w:r>
          </w:p>
        </w:tc>
        <w:tc>
          <w:tcPr>
            <w:tcW w:w="792" w:type="dxa"/>
            <w:tcBorders>
              <w:top w:val="nil"/>
              <w:left w:val="single" w:sz="4" w:space="0" w:color="auto"/>
              <w:bottom w:val="nil"/>
              <w:right w:val="single" w:sz="4" w:space="0" w:color="auto"/>
            </w:tcBorders>
          </w:tcPr>
          <w:p w14:paraId="6A2F8C1F" w14:textId="77777777" w:rsidR="001F1695" w:rsidRPr="00B017A8" w:rsidRDefault="001F1695" w:rsidP="00DE0323">
            <w:pPr>
              <w:jc w:val="right"/>
              <w:rPr>
                <w:sz w:val="20"/>
              </w:rPr>
            </w:pPr>
            <w:r w:rsidRPr="00B017A8">
              <w:rPr>
                <w:sz w:val="20"/>
              </w:rPr>
              <w:t>103,98</w:t>
            </w:r>
          </w:p>
          <w:p w14:paraId="3D1F7BC5" w14:textId="77777777" w:rsidR="001F1695" w:rsidRPr="00B017A8" w:rsidRDefault="001F1695" w:rsidP="00DE0323">
            <w:pPr>
              <w:jc w:val="right"/>
              <w:rPr>
                <w:sz w:val="20"/>
              </w:rPr>
            </w:pPr>
            <w:r w:rsidRPr="00B017A8">
              <w:rPr>
                <w:sz w:val="20"/>
              </w:rPr>
              <w:t>97,97</w:t>
            </w:r>
          </w:p>
          <w:p w14:paraId="7BDC0DBA" w14:textId="77777777" w:rsidR="001F1695" w:rsidRPr="00DE71BB" w:rsidRDefault="001F1695" w:rsidP="00DE0323">
            <w:pPr>
              <w:jc w:val="right"/>
              <w:rPr>
                <w:sz w:val="20"/>
              </w:rPr>
            </w:pPr>
            <w:r w:rsidRPr="00DE71BB">
              <w:rPr>
                <w:sz w:val="20"/>
              </w:rPr>
              <w:t>102,02</w:t>
            </w:r>
          </w:p>
          <w:p w14:paraId="44079E9E" w14:textId="77777777" w:rsidR="001F1695" w:rsidRPr="00C25D56" w:rsidRDefault="001F1695" w:rsidP="00C25D56">
            <w:pPr>
              <w:jc w:val="right"/>
              <w:rPr>
                <w:sz w:val="20"/>
              </w:rPr>
            </w:pPr>
            <w:r w:rsidRPr="00DE71BB">
              <w:rPr>
                <w:sz w:val="20"/>
              </w:rPr>
              <w:t>97,27</w:t>
            </w:r>
          </w:p>
        </w:tc>
      </w:tr>
      <w:tr w:rsidR="001F1695" w:rsidRPr="004B11AC" w14:paraId="4D015D39" w14:textId="77777777" w:rsidTr="00F74470">
        <w:trPr>
          <w:tblHeader/>
          <w:jc w:val="right"/>
        </w:trPr>
        <w:tc>
          <w:tcPr>
            <w:tcW w:w="4111" w:type="dxa"/>
            <w:tcBorders>
              <w:top w:val="nil"/>
              <w:left w:val="single" w:sz="4" w:space="0" w:color="auto"/>
              <w:bottom w:val="nil"/>
              <w:right w:val="single" w:sz="4" w:space="0" w:color="auto"/>
            </w:tcBorders>
          </w:tcPr>
          <w:p w14:paraId="4EC6D1AD" w14:textId="77777777" w:rsidR="001F1695" w:rsidRPr="00014519" w:rsidRDefault="001F1695" w:rsidP="00DE0323">
            <w:pPr>
              <w:jc w:val="both"/>
              <w:rPr>
                <w:sz w:val="20"/>
              </w:rPr>
            </w:pPr>
            <w:r w:rsidRPr="00014519">
              <w:rPr>
                <w:sz w:val="20"/>
              </w:rPr>
              <w:t>převod FKSP</w:t>
            </w:r>
          </w:p>
          <w:p w14:paraId="3C66C12D" w14:textId="77777777" w:rsidR="001F1695" w:rsidRPr="00014519" w:rsidRDefault="001F1695" w:rsidP="00DE0323">
            <w:pPr>
              <w:jc w:val="both"/>
              <w:rPr>
                <w:sz w:val="20"/>
              </w:rPr>
            </w:pPr>
            <w:r w:rsidRPr="00014519">
              <w:rPr>
                <w:sz w:val="20"/>
              </w:rPr>
              <w:t>z toho: výdaje na progr. spolufin. z rozpočtu EU</w:t>
            </w:r>
          </w:p>
          <w:p w14:paraId="4D0DA155" w14:textId="77777777" w:rsidR="001F1695" w:rsidRPr="00014519" w:rsidRDefault="001F1695" w:rsidP="00DE0323">
            <w:pPr>
              <w:jc w:val="both"/>
              <w:rPr>
                <w:sz w:val="20"/>
              </w:rPr>
            </w:pPr>
            <w:r w:rsidRPr="00014519">
              <w:rPr>
                <w:sz w:val="20"/>
              </w:rPr>
              <w:t xml:space="preserve">            v tom: ze SR</w:t>
            </w:r>
          </w:p>
          <w:p w14:paraId="1EF30662" w14:textId="77777777" w:rsidR="001F1695" w:rsidRPr="00014519" w:rsidRDefault="001F1695" w:rsidP="00DE0323">
            <w:pPr>
              <w:jc w:val="both"/>
              <w:rPr>
                <w:sz w:val="20"/>
              </w:rPr>
            </w:pPr>
            <w:r w:rsidRPr="00014519">
              <w:rPr>
                <w:sz w:val="20"/>
              </w:rPr>
              <w:t xml:space="preserve">                        z rozpočtu EU</w:t>
            </w:r>
          </w:p>
        </w:tc>
        <w:tc>
          <w:tcPr>
            <w:tcW w:w="1134" w:type="dxa"/>
            <w:tcBorders>
              <w:top w:val="nil"/>
              <w:left w:val="single" w:sz="4" w:space="0" w:color="auto"/>
              <w:bottom w:val="nil"/>
              <w:right w:val="single" w:sz="4" w:space="0" w:color="auto"/>
            </w:tcBorders>
          </w:tcPr>
          <w:p w14:paraId="6C48A289" w14:textId="77777777" w:rsidR="001F1695" w:rsidRPr="00014519" w:rsidRDefault="001F1695" w:rsidP="00DE0323">
            <w:pPr>
              <w:jc w:val="right"/>
              <w:rPr>
                <w:sz w:val="20"/>
              </w:rPr>
            </w:pPr>
            <w:r w:rsidRPr="00014519">
              <w:rPr>
                <w:sz w:val="20"/>
              </w:rPr>
              <w:t xml:space="preserve">5 868            1 323   </w:t>
            </w:r>
          </w:p>
          <w:p w14:paraId="39903FCE" w14:textId="77777777" w:rsidR="001F1695" w:rsidRPr="00014519" w:rsidRDefault="001F1695" w:rsidP="00DE0323">
            <w:pPr>
              <w:jc w:val="right"/>
              <w:rPr>
                <w:sz w:val="20"/>
              </w:rPr>
            </w:pPr>
            <w:r w:rsidRPr="00014519">
              <w:rPr>
                <w:sz w:val="20"/>
              </w:rPr>
              <w:t>198</w:t>
            </w:r>
          </w:p>
          <w:p w14:paraId="6DEC9A2D" w14:textId="77777777" w:rsidR="001F1695" w:rsidRPr="00014519" w:rsidRDefault="001F1695" w:rsidP="00DE0323">
            <w:pPr>
              <w:jc w:val="right"/>
              <w:rPr>
                <w:sz w:val="20"/>
              </w:rPr>
            </w:pPr>
            <w:r w:rsidRPr="00014519">
              <w:rPr>
                <w:sz w:val="20"/>
              </w:rPr>
              <w:t>1 125</w:t>
            </w:r>
          </w:p>
        </w:tc>
        <w:tc>
          <w:tcPr>
            <w:tcW w:w="992" w:type="dxa"/>
            <w:tcBorders>
              <w:top w:val="nil"/>
              <w:left w:val="single" w:sz="4" w:space="0" w:color="auto"/>
              <w:bottom w:val="nil"/>
              <w:right w:val="single" w:sz="4" w:space="0" w:color="auto"/>
            </w:tcBorders>
          </w:tcPr>
          <w:p w14:paraId="28E3901C" w14:textId="77777777" w:rsidR="001F1695" w:rsidRPr="00121003" w:rsidRDefault="001F1695" w:rsidP="00DE0323">
            <w:pPr>
              <w:jc w:val="right"/>
              <w:rPr>
                <w:sz w:val="20"/>
              </w:rPr>
            </w:pPr>
            <w:r w:rsidRPr="00121003">
              <w:rPr>
                <w:sz w:val="20"/>
              </w:rPr>
              <w:t>5 657</w:t>
            </w:r>
          </w:p>
          <w:p w14:paraId="3D1C3B0B" w14:textId="77777777" w:rsidR="001F1695" w:rsidRPr="00121003" w:rsidRDefault="001F1695" w:rsidP="00DE0323">
            <w:pPr>
              <w:jc w:val="right"/>
              <w:rPr>
                <w:sz w:val="20"/>
              </w:rPr>
            </w:pPr>
            <w:r w:rsidRPr="00121003">
              <w:rPr>
                <w:sz w:val="20"/>
              </w:rPr>
              <w:t>948</w:t>
            </w:r>
          </w:p>
          <w:p w14:paraId="7F11E9A9" w14:textId="77777777" w:rsidR="001F1695" w:rsidRPr="00121003" w:rsidRDefault="001F1695" w:rsidP="00DE0323">
            <w:pPr>
              <w:jc w:val="right"/>
              <w:rPr>
                <w:sz w:val="20"/>
              </w:rPr>
            </w:pPr>
            <w:r w:rsidRPr="00121003">
              <w:rPr>
                <w:sz w:val="20"/>
              </w:rPr>
              <w:t>149</w:t>
            </w:r>
          </w:p>
          <w:p w14:paraId="6D3E0256" w14:textId="77777777" w:rsidR="001F1695" w:rsidRPr="00121003" w:rsidRDefault="001F1695" w:rsidP="00DE0323">
            <w:pPr>
              <w:jc w:val="right"/>
              <w:rPr>
                <w:sz w:val="20"/>
              </w:rPr>
            </w:pPr>
            <w:r w:rsidRPr="00121003">
              <w:rPr>
                <w:sz w:val="20"/>
              </w:rPr>
              <w:t xml:space="preserve">799 </w:t>
            </w:r>
          </w:p>
        </w:tc>
        <w:tc>
          <w:tcPr>
            <w:tcW w:w="993" w:type="dxa"/>
            <w:tcBorders>
              <w:top w:val="nil"/>
              <w:left w:val="single" w:sz="4" w:space="0" w:color="auto"/>
              <w:bottom w:val="nil"/>
              <w:right w:val="single" w:sz="4" w:space="0" w:color="auto"/>
            </w:tcBorders>
          </w:tcPr>
          <w:p w14:paraId="7EEC8683" w14:textId="77777777" w:rsidR="001F1695" w:rsidRPr="001C0025" w:rsidRDefault="001F1695" w:rsidP="00DE0323">
            <w:pPr>
              <w:jc w:val="right"/>
              <w:rPr>
                <w:sz w:val="20"/>
              </w:rPr>
            </w:pPr>
            <w:r w:rsidRPr="001C0025">
              <w:rPr>
                <w:sz w:val="20"/>
              </w:rPr>
              <w:t>5 623</w:t>
            </w:r>
          </w:p>
          <w:p w14:paraId="52F157BC" w14:textId="77777777" w:rsidR="001F1695" w:rsidRPr="001C0025" w:rsidRDefault="001F1695" w:rsidP="00DE0323">
            <w:pPr>
              <w:jc w:val="right"/>
              <w:rPr>
                <w:sz w:val="20"/>
              </w:rPr>
            </w:pPr>
            <w:r w:rsidRPr="001C0025">
              <w:rPr>
                <w:sz w:val="20"/>
              </w:rPr>
              <w:t>948</w:t>
            </w:r>
          </w:p>
          <w:p w14:paraId="0FBFA2CA" w14:textId="77777777" w:rsidR="001F1695" w:rsidRPr="001C0025" w:rsidRDefault="001F1695" w:rsidP="00DE0323">
            <w:pPr>
              <w:jc w:val="right"/>
              <w:rPr>
                <w:sz w:val="20"/>
              </w:rPr>
            </w:pPr>
            <w:r w:rsidRPr="001C0025">
              <w:rPr>
                <w:sz w:val="20"/>
              </w:rPr>
              <w:t>149</w:t>
            </w:r>
          </w:p>
          <w:p w14:paraId="45D4CA8B" w14:textId="77777777" w:rsidR="001F1695" w:rsidRPr="001C0025" w:rsidRDefault="001F1695" w:rsidP="00DE0323">
            <w:pPr>
              <w:jc w:val="right"/>
              <w:rPr>
                <w:sz w:val="20"/>
              </w:rPr>
            </w:pPr>
            <w:r w:rsidRPr="001C0025">
              <w:rPr>
                <w:sz w:val="20"/>
              </w:rPr>
              <w:t xml:space="preserve">799 </w:t>
            </w:r>
          </w:p>
        </w:tc>
        <w:tc>
          <w:tcPr>
            <w:tcW w:w="1050" w:type="dxa"/>
            <w:tcBorders>
              <w:top w:val="nil"/>
              <w:left w:val="single" w:sz="4" w:space="0" w:color="auto"/>
              <w:bottom w:val="nil"/>
              <w:right w:val="single" w:sz="4" w:space="0" w:color="auto"/>
            </w:tcBorders>
          </w:tcPr>
          <w:p w14:paraId="0F6B01F4" w14:textId="77777777" w:rsidR="001F1695" w:rsidRPr="001C0025" w:rsidRDefault="001F1695" w:rsidP="00DE0323">
            <w:pPr>
              <w:jc w:val="right"/>
              <w:rPr>
                <w:sz w:val="20"/>
              </w:rPr>
            </w:pPr>
            <w:r w:rsidRPr="001C0025">
              <w:rPr>
                <w:sz w:val="20"/>
              </w:rPr>
              <w:t xml:space="preserve">6 086            1 281   </w:t>
            </w:r>
          </w:p>
          <w:p w14:paraId="17369DBF" w14:textId="77777777" w:rsidR="001F1695" w:rsidRPr="001C0025" w:rsidRDefault="001F1695" w:rsidP="00DE0323">
            <w:pPr>
              <w:jc w:val="right"/>
              <w:rPr>
                <w:sz w:val="20"/>
              </w:rPr>
            </w:pPr>
            <w:r w:rsidRPr="001C0025">
              <w:rPr>
                <w:sz w:val="20"/>
              </w:rPr>
              <w:t>198</w:t>
            </w:r>
          </w:p>
          <w:p w14:paraId="254E7364" w14:textId="77777777" w:rsidR="001F1695" w:rsidRPr="001C0025" w:rsidRDefault="001F1695" w:rsidP="00DE0323">
            <w:pPr>
              <w:jc w:val="right"/>
              <w:rPr>
                <w:sz w:val="20"/>
              </w:rPr>
            </w:pPr>
            <w:r w:rsidRPr="001C0025">
              <w:rPr>
                <w:sz w:val="20"/>
              </w:rPr>
              <w:t>1 083</w:t>
            </w:r>
          </w:p>
        </w:tc>
        <w:tc>
          <w:tcPr>
            <w:tcW w:w="792" w:type="dxa"/>
            <w:tcBorders>
              <w:top w:val="nil"/>
              <w:left w:val="single" w:sz="4" w:space="0" w:color="auto"/>
              <w:bottom w:val="nil"/>
              <w:right w:val="single" w:sz="4" w:space="0" w:color="auto"/>
            </w:tcBorders>
          </w:tcPr>
          <w:p w14:paraId="4DAD9659" w14:textId="77777777" w:rsidR="001F1695" w:rsidRPr="007775B7" w:rsidRDefault="001F1695" w:rsidP="00DE0323">
            <w:pPr>
              <w:jc w:val="right"/>
              <w:rPr>
                <w:sz w:val="20"/>
              </w:rPr>
            </w:pPr>
            <w:r w:rsidRPr="007775B7">
              <w:rPr>
                <w:sz w:val="20"/>
              </w:rPr>
              <w:t>103,72</w:t>
            </w:r>
          </w:p>
          <w:p w14:paraId="176DB810" w14:textId="77777777" w:rsidR="001F1695" w:rsidRPr="007775B7" w:rsidRDefault="001F1695" w:rsidP="00DE0323">
            <w:pPr>
              <w:jc w:val="right"/>
              <w:rPr>
                <w:sz w:val="20"/>
              </w:rPr>
            </w:pPr>
            <w:r w:rsidRPr="007775B7">
              <w:rPr>
                <w:sz w:val="20"/>
              </w:rPr>
              <w:t>96,83</w:t>
            </w:r>
          </w:p>
          <w:p w14:paraId="673B0E95" w14:textId="77777777" w:rsidR="001F1695" w:rsidRPr="007775B7" w:rsidRDefault="001F1695" w:rsidP="00DE0323">
            <w:pPr>
              <w:jc w:val="right"/>
              <w:rPr>
                <w:sz w:val="20"/>
              </w:rPr>
            </w:pPr>
            <w:r w:rsidRPr="007775B7">
              <w:rPr>
                <w:sz w:val="20"/>
              </w:rPr>
              <w:t>100</w:t>
            </w:r>
            <w:r>
              <w:rPr>
                <w:sz w:val="20"/>
              </w:rPr>
              <w:t>,00</w:t>
            </w:r>
          </w:p>
          <w:p w14:paraId="5FAB62FD" w14:textId="77777777" w:rsidR="001F1695" w:rsidRPr="00C25D56" w:rsidRDefault="001F1695" w:rsidP="00C25D56">
            <w:pPr>
              <w:jc w:val="right"/>
              <w:rPr>
                <w:sz w:val="20"/>
              </w:rPr>
            </w:pPr>
            <w:r w:rsidRPr="007775B7">
              <w:rPr>
                <w:sz w:val="20"/>
              </w:rPr>
              <w:t>96,27</w:t>
            </w:r>
          </w:p>
        </w:tc>
      </w:tr>
      <w:tr w:rsidR="001F1695" w:rsidRPr="004B11AC" w14:paraId="74C3C732" w14:textId="77777777" w:rsidTr="00F74470">
        <w:trPr>
          <w:tblHeader/>
          <w:jc w:val="right"/>
        </w:trPr>
        <w:tc>
          <w:tcPr>
            <w:tcW w:w="4111" w:type="dxa"/>
            <w:tcBorders>
              <w:top w:val="nil"/>
              <w:left w:val="single" w:sz="4" w:space="0" w:color="auto"/>
              <w:bottom w:val="single" w:sz="4" w:space="0" w:color="auto"/>
              <w:right w:val="single" w:sz="4" w:space="0" w:color="auto"/>
            </w:tcBorders>
          </w:tcPr>
          <w:p w14:paraId="48624154" w14:textId="77777777" w:rsidR="001F1695" w:rsidRPr="00014519" w:rsidRDefault="001F1695" w:rsidP="00DE0323">
            <w:pPr>
              <w:jc w:val="both"/>
              <w:rPr>
                <w:sz w:val="20"/>
              </w:rPr>
            </w:pPr>
            <w:r w:rsidRPr="00014519">
              <w:rPr>
                <w:sz w:val="20"/>
              </w:rPr>
              <w:t>ostatní neinvestiční výdaje</w:t>
            </w:r>
          </w:p>
          <w:p w14:paraId="7C710363" w14:textId="77777777" w:rsidR="001F1695" w:rsidRPr="00014519" w:rsidRDefault="001F1695" w:rsidP="00DE0323">
            <w:pPr>
              <w:jc w:val="both"/>
              <w:rPr>
                <w:sz w:val="20"/>
              </w:rPr>
            </w:pPr>
            <w:r w:rsidRPr="00014519">
              <w:rPr>
                <w:sz w:val="20"/>
              </w:rPr>
              <w:t>z toho: programové financování</w:t>
            </w:r>
          </w:p>
          <w:p w14:paraId="169BDEEF" w14:textId="77777777" w:rsidR="001F1695" w:rsidRPr="00014519" w:rsidRDefault="001F1695" w:rsidP="00DE0323">
            <w:pPr>
              <w:jc w:val="both"/>
              <w:rPr>
                <w:sz w:val="20"/>
              </w:rPr>
            </w:pPr>
            <w:r w:rsidRPr="00014519">
              <w:rPr>
                <w:sz w:val="20"/>
              </w:rPr>
              <w:t xml:space="preserve">            výdaje na výzkum, vývoj a inovace</w:t>
            </w:r>
          </w:p>
          <w:p w14:paraId="74C434F0" w14:textId="77777777" w:rsidR="001F1695" w:rsidRPr="00014519" w:rsidRDefault="001F1695" w:rsidP="00DE0323">
            <w:pPr>
              <w:jc w:val="both"/>
              <w:rPr>
                <w:sz w:val="20"/>
              </w:rPr>
            </w:pPr>
            <w:r w:rsidRPr="00014519">
              <w:rPr>
                <w:sz w:val="20"/>
              </w:rPr>
              <w:t xml:space="preserve">            výdaje na progr. spolufin. z rozpočtu EU</w:t>
            </w:r>
          </w:p>
          <w:p w14:paraId="262FCB48" w14:textId="77777777" w:rsidR="001F1695" w:rsidRPr="00014519" w:rsidRDefault="001F1695" w:rsidP="00DE0323">
            <w:pPr>
              <w:jc w:val="both"/>
              <w:rPr>
                <w:sz w:val="20"/>
              </w:rPr>
            </w:pPr>
            <w:r w:rsidRPr="00014519">
              <w:rPr>
                <w:sz w:val="20"/>
              </w:rPr>
              <w:t xml:space="preserve">             v tom: ze SR</w:t>
            </w:r>
          </w:p>
          <w:p w14:paraId="129658CF" w14:textId="77777777" w:rsidR="001F1695" w:rsidRPr="00014519" w:rsidRDefault="001F1695" w:rsidP="00DE0323">
            <w:pPr>
              <w:jc w:val="both"/>
              <w:rPr>
                <w:sz w:val="20"/>
              </w:rPr>
            </w:pPr>
            <w:r w:rsidRPr="00014519">
              <w:rPr>
                <w:sz w:val="20"/>
              </w:rPr>
              <w:t xml:space="preserve">                         z rozpočtu EU</w:t>
            </w:r>
          </w:p>
        </w:tc>
        <w:tc>
          <w:tcPr>
            <w:tcW w:w="1134" w:type="dxa"/>
            <w:tcBorders>
              <w:top w:val="nil"/>
              <w:left w:val="single" w:sz="4" w:space="0" w:color="auto"/>
              <w:bottom w:val="single" w:sz="4" w:space="0" w:color="auto"/>
              <w:right w:val="single" w:sz="4" w:space="0" w:color="auto"/>
            </w:tcBorders>
          </w:tcPr>
          <w:p w14:paraId="2CD9B3E6" w14:textId="77777777" w:rsidR="001F1695" w:rsidRPr="00014519" w:rsidRDefault="001F1695" w:rsidP="00DE0323">
            <w:pPr>
              <w:jc w:val="right"/>
              <w:rPr>
                <w:sz w:val="20"/>
              </w:rPr>
            </w:pPr>
            <w:r w:rsidRPr="00014519">
              <w:rPr>
                <w:sz w:val="20"/>
              </w:rPr>
              <w:t xml:space="preserve">2 109 618  </w:t>
            </w:r>
          </w:p>
          <w:p w14:paraId="36D748F6" w14:textId="77777777" w:rsidR="001F1695" w:rsidRPr="00014519" w:rsidRDefault="001F1695" w:rsidP="00DE0323">
            <w:pPr>
              <w:jc w:val="right"/>
              <w:rPr>
                <w:sz w:val="20"/>
              </w:rPr>
            </w:pPr>
            <w:r w:rsidRPr="00014519">
              <w:rPr>
                <w:sz w:val="20"/>
              </w:rPr>
              <w:t>110 267</w:t>
            </w:r>
          </w:p>
          <w:p w14:paraId="7C16C700" w14:textId="77777777" w:rsidR="001F1695" w:rsidRPr="00014519" w:rsidRDefault="001F1695" w:rsidP="00DE0323">
            <w:pPr>
              <w:jc w:val="right"/>
              <w:rPr>
                <w:sz w:val="20"/>
              </w:rPr>
            </w:pPr>
            <w:r w:rsidRPr="00014519">
              <w:rPr>
                <w:sz w:val="20"/>
              </w:rPr>
              <w:t>26</w:t>
            </w:r>
          </w:p>
          <w:p w14:paraId="10DD4FB4" w14:textId="77777777" w:rsidR="001F1695" w:rsidRPr="00014519" w:rsidRDefault="001F1695" w:rsidP="00DE0323">
            <w:pPr>
              <w:jc w:val="right"/>
              <w:rPr>
                <w:sz w:val="20"/>
              </w:rPr>
            </w:pPr>
            <w:r w:rsidRPr="00014519">
              <w:rPr>
                <w:sz w:val="20"/>
              </w:rPr>
              <w:t xml:space="preserve">8 897         </w:t>
            </w:r>
          </w:p>
          <w:p w14:paraId="154753E1" w14:textId="77777777" w:rsidR="001F1695" w:rsidRPr="00014519" w:rsidRDefault="001F1695" w:rsidP="00DE0323">
            <w:pPr>
              <w:jc w:val="right"/>
              <w:rPr>
                <w:sz w:val="20"/>
              </w:rPr>
            </w:pPr>
            <w:r w:rsidRPr="00014519">
              <w:rPr>
                <w:sz w:val="20"/>
              </w:rPr>
              <w:t>1 174</w:t>
            </w:r>
          </w:p>
          <w:p w14:paraId="6C69AE03" w14:textId="77777777" w:rsidR="001F1695" w:rsidRPr="00014519" w:rsidRDefault="001F1695" w:rsidP="00DE0323">
            <w:pPr>
              <w:jc w:val="right"/>
              <w:rPr>
                <w:sz w:val="20"/>
              </w:rPr>
            </w:pPr>
            <w:r w:rsidRPr="00014519">
              <w:rPr>
                <w:sz w:val="20"/>
              </w:rPr>
              <w:t>7 723</w:t>
            </w:r>
          </w:p>
        </w:tc>
        <w:tc>
          <w:tcPr>
            <w:tcW w:w="992" w:type="dxa"/>
            <w:tcBorders>
              <w:top w:val="nil"/>
              <w:left w:val="single" w:sz="4" w:space="0" w:color="auto"/>
              <w:bottom w:val="single" w:sz="4" w:space="0" w:color="auto"/>
              <w:right w:val="single" w:sz="4" w:space="0" w:color="auto"/>
            </w:tcBorders>
          </w:tcPr>
          <w:p w14:paraId="2D4589AD" w14:textId="77777777" w:rsidR="001F1695" w:rsidRPr="00121003" w:rsidRDefault="001F1695" w:rsidP="00DE0323">
            <w:pPr>
              <w:jc w:val="right"/>
              <w:rPr>
                <w:sz w:val="20"/>
              </w:rPr>
            </w:pPr>
            <w:r w:rsidRPr="00121003">
              <w:rPr>
                <w:sz w:val="20"/>
              </w:rPr>
              <w:t>6 774 065</w:t>
            </w:r>
          </w:p>
          <w:p w14:paraId="5FBF6A91" w14:textId="77777777" w:rsidR="001F1695" w:rsidRPr="00121003" w:rsidRDefault="001F1695" w:rsidP="00DE0323">
            <w:pPr>
              <w:jc w:val="right"/>
              <w:rPr>
                <w:sz w:val="20"/>
              </w:rPr>
            </w:pPr>
            <w:r w:rsidRPr="00121003">
              <w:rPr>
                <w:sz w:val="20"/>
              </w:rPr>
              <w:t>74 026</w:t>
            </w:r>
          </w:p>
          <w:p w14:paraId="4D6829C5" w14:textId="77777777" w:rsidR="001F1695" w:rsidRPr="00121003" w:rsidRDefault="001F1695" w:rsidP="00DE0323">
            <w:pPr>
              <w:jc w:val="right"/>
              <w:rPr>
                <w:sz w:val="20"/>
              </w:rPr>
            </w:pPr>
            <w:r w:rsidRPr="00121003">
              <w:rPr>
                <w:sz w:val="20"/>
              </w:rPr>
              <w:t>0</w:t>
            </w:r>
          </w:p>
          <w:p w14:paraId="30175664" w14:textId="77777777" w:rsidR="001F1695" w:rsidRPr="00121003" w:rsidRDefault="001F1695" w:rsidP="00DE0323">
            <w:pPr>
              <w:jc w:val="right"/>
              <w:rPr>
                <w:sz w:val="20"/>
              </w:rPr>
            </w:pPr>
            <w:r w:rsidRPr="00121003">
              <w:rPr>
                <w:sz w:val="20"/>
              </w:rPr>
              <w:t>7 009</w:t>
            </w:r>
          </w:p>
          <w:p w14:paraId="0A59FC6B" w14:textId="77777777" w:rsidR="001F1695" w:rsidRPr="00121003" w:rsidRDefault="001F1695" w:rsidP="00DE0323">
            <w:pPr>
              <w:jc w:val="right"/>
              <w:rPr>
                <w:sz w:val="20"/>
              </w:rPr>
            </w:pPr>
            <w:r w:rsidRPr="00121003">
              <w:rPr>
                <w:sz w:val="20"/>
              </w:rPr>
              <w:t>1 075</w:t>
            </w:r>
          </w:p>
          <w:p w14:paraId="3935504A" w14:textId="77777777" w:rsidR="001F1695" w:rsidRPr="00121003" w:rsidRDefault="001F1695" w:rsidP="00DE0323">
            <w:pPr>
              <w:jc w:val="right"/>
              <w:rPr>
                <w:sz w:val="20"/>
              </w:rPr>
            </w:pPr>
            <w:r w:rsidRPr="00121003">
              <w:rPr>
                <w:sz w:val="20"/>
              </w:rPr>
              <w:t xml:space="preserve">5 934 </w:t>
            </w:r>
          </w:p>
        </w:tc>
        <w:tc>
          <w:tcPr>
            <w:tcW w:w="993" w:type="dxa"/>
            <w:tcBorders>
              <w:top w:val="nil"/>
              <w:left w:val="single" w:sz="4" w:space="0" w:color="auto"/>
              <w:bottom w:val="single" w:sz="4" w:space="0" w:color="auto"/>
              <w:right w:val="single" w:sz="4" w:space="0" w:color="auto"/>
            </w:tcBorders>
          </w:tcPr>
          <w:p w14:paraId="4D56024B" w14:textId="77777777" w:rsidR="001F1695" w:rsidRPr="00E354AD" w:rsidRDefault="001F1695" w:rsidP="00DE0323">
            <w:pPr>
              <w:jc w:val="right"/>
              <w:rPr>
                <w:sz w:val="20"/>
              </w:rPr>
            </w:pPr>
            <w:r w:rsidRPr="00E354AD">
              <w:rPr>
                <w:sz w:val="20"/>
              </w:rPr>
              <w:t>7 148 744</w:t>
            </w:r>
          </w:p>
          <w:p w14:paraId="77A2E829" w14:textId="77777777" w:rsidR="001F1695" w:rsidRPr="002F05F9" w:rsidRDefault="001F1695" w:rsidP="00DE0323">
            <w:pPr>
              <w:jc w:val="right"/>
              <w:rPr>
                <w:sz w:val="20"/>
              </w:rPr>
            </w:pPr>
            <w:r w:rsidRPr="002F05F9">
              <w:rPr>
                <w:sz w:val="20"/>
              </w:rPr>
              <w:t>78 934</w:t>
            </w:r>
          </w:p>
          <w:p w14:paraId="3FB162D5" w14:textId="77777777" w:rsidR="001F1695" w:rsidRPr="00F427A0" w:rsidRDefault="001F1695" w:rsidP="00DE0323">
            <w:pPr>
              <w:jc w:val="right"/>
              <w:rPr>
                <w:sz w:val="20"/>
              </w:rPr>
            </w:pPr>
            <w:r w:rsidRPr="00F427A0">
              <w:rPr>
                <w:sz w:val="20"/>
              </w:rPr>
              <w:t>0</w:t>
            </w:r>
          </w:p>
          <w:p w14:paraId="13295BA0" w14:textId="77777777" w:rsidR="001F1695" w:rsidRPr="00D03874" w:rsidRDefault="001F1695" w:rsidP="00DE0323">
            <w:pPr>
              <w:jc w:val="right"/>
              <w:rPr>
                <w:sz w:val="20"/>
              </w:rPr>
            </w:pPr>
            <w:r w:rsidRPr="00D03874">
              <w:rPr>
                <w:sz w:val="20"/>
              </w:rPr>
              <w:t>7 009</w:t>
            </w:r>
          </w:p>
          <w:p w14:paraId="34ACBF39" w14:textId="77777777" w:rsidR="001F1695" w:rsidRPr="001C03BE" w:rsidRDefault="001F1695" w:rsidP="00DE0323">
            <w:pPr>
              <w:jc w:val="right"/>
              <w:rPr>
                <w:sz w:val="20"/>
              </w:rPr>
            </w:pPr>
            <w:r w:rsidRPr="001C03BE">
              <w:rPr>
                <w:sz w:val="20"/>
              </w:rPr>
              <w:t>1 075</w:t>
            </w:r>
          </w:p>
          <w:p w14:paraId="6230CD17" w14:textId="77777777" w:rsidR="001F1695" w:rsidRPr="000D77C8" w:rsidRDefault="001F1695" w:rsidP="00DE0323">
            <w:pPr>
              <w:jc w:val="right"/>
              <w:rPr>
                <w:color w:val="FF0000"/>
                <w:sz w:val="20"/>
              </w:rPr>
            </w:pPr>
            <w:r w:rsidRPr="00D80E97">
              <w:rPr>
                <w:sz w:val="20"/>
              </w:rPr>
              <w:t xml:space="preserve">5 934 </w:t>
            </w:r>
          </w:p>
        </w:tc>
        <w:tc>
          <w:tcPr>
            <w:tcW w:w="1050" w:type="dxa"/>
            <w:tcBorders>
              <w:top w:val="nil"/>
              <w:left w:val="single" w:sz="4" w:space="0" w:color="auto"/>
              <w:bottom w:val="single" w:sz="4" w:space="0" w:color="auto"/>
              <w:right w:val="single" w:sz="4" w:space="0" w:color="auto"/>
            </w:tcBorders>
          </w:tcPr>
          <w:p w14:paraId="0538CDF7" w14:textId="77777777" w:rsidR="001F1695" w:rsidRPr="00E354AD" w:rsidRDefault="001F1695" w:rsidP="00DE0323">
            <w:pPr>
              <w:jc w:val="right"/>
              <w:rPr>
                <w:sz w:val="20"/>
              </w:rPr>
            </w:pPr>
            <w:r w:rsidRPr="00E354AD">
              <w:rPr>
                <w:sz w:val="20"/>
              </w:rPr>
              <w:t xml:space="preserve">6 351 751  </w:t>
            </w:r>
          </w:p>
          <w:p w14:paraId="6F4231B4" w14:textId="77777777" w:rsidR="001F1695" w:rsidRPr="002F05F9" w:rsidRDefault="001F1695" w:rsidP="00DE0323">
            <w:pPr>
              <w:jc w:val="right"/>
              <w:rPr>
                <w:sz w:val="20"/>
              </w:rPr>
            </w:pPr>
            <w:r w:rsidRPr="002F05F9">
              <w:rPr>
                <w:sz w:val="20"/>
              </w:rPr>
              <w:t>71 015</w:t>
            </w:r>
          </w:p>
          <w:p w14:paraId="5979B057" w14:textId="77777777" w:rsidR="001F1695" w:rsidRPr="00805083" w:rsidRDefault="001F1695" w:rsidP="00DE0323">
            <w:pPr>
              <w:jc w:val="right"/>
              <w:rPr>
                <w:sz w:val="20"/>
              </w:rPr>
            </w:pPr>
            <w:r w:rsidRPr="00805083">
              <w:rPr>
                <w:sz w:val="20"/>
              </w:rPr>
              <w:t>13</w:t>
            </w:r>
          </w:p>
          <w:p w14:paraId="2C6ECD74" w14:textId="77777777" w:rsidR="001F1695" w:rsidRPr="00D03874" w:rsidRDefault="001F1695" w:rsidP="00DE0323">
            <w:pPr>
              <w:jc w:val="right"/>
              <w:rPr>
                <w:sz w:val="20"/>
              </w:rPr>
            </w:pPr>
            <w:r w:rsidRPr="00D03874">
              <w:rPr>
                <w:sz w:val="20"/>
              </w:rPr>
              <w:t xml:space="preserve">12 847         </w:t>
            </w:r>
          </w:p>
          <w:p w14:paraId="31CC986F" w14:textId="77777777" w:rsidR="001F1695" w:rsidRPr="001C03BE" w:rsidRDefault="001F1695" w:rsidP="00DE0323">
            <w:pPr>
              <w:jc w:val="right"/>
              <w:rPr>
                <w:sz w:val="20"/>
              </w:rPr>
            </w:pPr>
            <w:r w:rsidRPr="001C03BE">
              <w:rPr>
                <w:sz w:val="20"/>
              </w:rPr>
              <w:t>2 074</w:t>
            </w:r>
          </w:p>
          <w:p w14:paraId="1100A422" w14:textId="77777777" w:rsidR="001F1695" w:rsidRPr="004B11AC" w:rsidRDefault="001F1695" w:rsidP="00DE0323">
            <w:pPr>
              <w:jc w:val="right"/>
              <w:rPr>
                <w:color w:val="FF0000"/>
                <w:sz w:val="20"/>
              </w:rPr>
            </w:pPr>
            <w:r w:rsidRPr="00D80E97">
              <w:rPr>
                <w:sz w:val="20"/>
              </w:rPr>
              <w:t>10 773</w:t>
            </w:r>
          </w:p>
        </w:tc>
        <w:tc>
          <w:tcPr>
            <w:tcW w:w="792" w:type="dxa"/>
            <w:tcBorders>
              <w:top w:val="nil"/>
              <w:left w:val="single" w:sz="4" w:space="0" w:color="auto"/>
              <w:bottom w:val="single" w:sz="4" w:space="0" w:color="auto"/>
              <w:right w:val="single" w:sz="4" w:space="0" w:color="auto"/>
            </w:tcBorders>
          </w:tcPr>
          <w:p w14:paraId="60A55C9B" w14:textId="77777777" w:rsidR="001F1695" w:rsidRPr="007775B7" w:rsidRDefault="001F1695" w:rsidP="00DE0323">
            <w:pPr>
              <w:jc w:val="right"/>
              <w:rPr>
                <w:sz w:val="20"/>
              </w:rPr>
            </w:pPr>
            <w:r w:rsidRPr="007775B7">
              <w:rPr>
                <w:sz w:val="20"/>
              </w:rPr>
              <w:t xml:space="preserve">301,09  </w:t>
            </w:r>
          </w:p>
          <w:p w14:paraId="42DE7F40" w14:textId="77777777" w:rsidR="001F1695" w:rsidRPr="00B125C9" w:rsidRDefault="001F1695" w:rsidP="00DE0323">
            <w:pPr>
              <w:jc w:val="right"/>
              <w:rPr>
                <w:sz w:val="20"/>
              </w:rPr>
            </w:pPr>
            <w:r w:rsidRPr="00B125C9">
              <w:rPr>
                <w:sz w:val="20"/>
              </w:rPr>
              <w:t>64,40</w:t>
            </w:r>
          </w:p>
          <w:p w14:paraId="6CC48507" w14:textId="77777777" w:rsidR="001F1695" w:rsidRPr="00B125C9" w:rsidRDefault="001F1695" w:rsidP="00DE0323">
            <w:pPr>
              <w:jc w:val="right"/>
              <w:rPr>
                <w:sz w:val="20"/>
              </w:rPr>
            </w:pPr>
            <w:r w:rsidRPr="00B125C9">
              <w:rPr>
                <w:sz w:val="20"/>
              </w:rPr>
              <w:t>50,00</w:t>
            </w:r>
          </w:p>
          <w:p w14:paraId="4A304206" w14:textId="77777777" w:rsidR="001F1695" w:rsidRPr="00B125C9" w:rsidRDefault="001F1695" w:rsidP="00DE0323">
            <w:pPr>
              <w:jc w:val="right"/>
              <w:rPr>
                <w:sz w:val="20"/>
              </w:rPr>
            </w:pPr>
            <w:r w:rsidRPr="00B125C9">
              <w:rPr>
                <w:sz w:val="20"/>
              </w:rPr>
              <w:t>144,40</w:t>
            </w:r>
          </w:p>
          <w:p w14:paraId="3861A9FC" w14:textId="77777777" w:rsidR="001F1695" w:rsidRPr="00B125C9" w:rsidRDefault="001F1695" w:rsidP="00DE0323">
            <w:pPr>
              <w:jc w:val="right"/>
              <w:rPr>
                <w:sz w:val="20"/>
              </w:rPr>
            </w:pPr>
            <w:r w:rsidRPr="00B125C9">
              <w:rPr>
                <w:sz w:val="20"/>
              </w:rPr>
              <w:t>176,66</w:t>
            </w:r>
          </w:p>
          <w:p w14:paraId="15C2FF2B" w14:textId="77777777" w:rsidR="001F1695" w:rsidRPr="004B11AC" w:rsidRDefault="001F1695" w:rsidP="00DE0323">
            <w:pPr>
              <w:jc w:val="right"/>
              <w:rPr>
                <w:color w:val="FF0000"/>
                <w:sz w:val="20"/>
              </w:rPr>
            </w:pPr>
            <w:r w:rsidRPr="00B125C9">
              <w:rPr>
                <w:sz w:val="20"/>
              </w:rPr>
              <w:t>139,49</w:t>
            </w:r>
          </w:p>
        </w:tc>
      </w:tr>
    </w:tbl>
    <w:p w14:paraId="15BDBA4F" w14:textId="77777777" w:rsidR="001F1695" w:rsidRPr="00DF5B0B" w:rsidRDefault="001F1695" w:rsidP="0058437E">
      <w:pPr>
        <w:pStyle w:val="KOMtext"/>
      </w:pPr>
      <w:r w:rsidRPr="00DF5B0B">
        <w:t>Mezi významné výdaje ústředního orgánu Ministerstva dopravy patří zejména:</w:t>
      </w:r>
    </w:p>
    <w:p w14:paraId="2AA126F7" w14:textId="77777777" w:rsidR="001F1695" w:rsidRPr="00C0344E" w:rsidRDefault="001F1695" w:rsidP="00D37DF3">
      <w:pPr>
        <w:pStyle w:val="Znormal"/>
        <w:numPr>
          <w:ilvl w:val="0"/>
          <w:numId w:val="34"/>
        </w:numPr>
        <w:tabs>
          <w:tab w:val="num" w:pos="709"/>
        </w:tabs>
        <w:spacing w:line="276" w:lineRule="auto"/>
        <w:ind w:left="0" w:firstLine="284"/>
        <w:rPr>
          <w:b/>
        </w:rPr>
      </w:pPr>
      <w:r w:rsidRPr="00C0344E">
        <w:rPr>
          <w:b/>
        </w:rPr>
        <w:t xml:space="preserve">Dopravně správní agendy </w:t>
      </w:r>
      <w:r w:rsidRPr="00C0344E">
        <w:t xml:space="preserve">– na zajištění financování činností dopravně správních agend byly čerpány finanční prostředky v celkové výši 217 359 tis. Kč, přičemž výroba registračních značek činila 146 567 tis. </w:t>
      </w:r>
      <w:r w:rsidR="003F3157">
        <w:t xml:space="preserve">Kč a výroba řidičských průkazů </w:t>
      </w:r>
      <w:r w:rsidRPr="00C0344E">
        <w:t>a průkazů profesní způsobilosti řidiče činila 70 792 tis. Kč.</w:t>
      </w:r>
    </w:p>
    <w:p w14:paraId="0360A967" w14:textId="77777777" w:rsidR="001F1695" w:rsidRPr="0047073D" w:rsidRDefault="001F1695" w:rsidP="00275CE2">
      <w:pPr>
        <w:pStyle w:val="Znormal"/>
        <w:numPr>
          <w:ilvl w:val="0"/>
          <w:numId w:val="34"/>
        </w:numPr>
        <w:tabs>
          <w:tab w:val="num" w:pos="709"/>
        </w:tabs>
        <w:ind w:left="709" w:hanging="425"/>
      </w:pPr>
      <w:r w:rsidRPr="0047073D">
        <w:rPr>
          <w:b/>
        </w:rPr>
        <w:t>Kompenzace ztráty vznikající dopravcům ve veřejné osobní dopravě přiznáváním státem nařízených slev z jízdného</w:t>
      </w:r>
    </w:p>
    <w:p w14:paraId="19CEB27A" w14:textId="223C5243" w:rsidR="00B95654" w:rsidRDefault="001F1695" w:rsidP="00F74470">
      <w:pPr>
        <w:pStyle w:val="KOMtext"/>
      </w:pPr>
      <w:r w:rsidRPr="00CD6E00">
        <w:lastRenderedPageBreak/>
        <w:t>Vláda usnesením ze dne 27. března 2018 č. 206</w:t>
      </w:r>
      <w:r>
        <w:t xml:space="preserve"> schválila zavedení 75 % slevy z jízdného ve veřejné osobní dopravě (regionálních a dálkových vlacích a autobusech). Ministerstvo financí slevy vyhlásilo </w:t>
      </w:r>
      <w:r w:rsidRPr="00CD6E00">
        <w:t>10.</w:t>
      </w:r>
      <w:r>
        <w:t xml:space="preserve"> května </w:t>
      </w:r>
      <w:r w:rsidRPr="00CD6E00">
        <w:t>2018 Výměr</w:t>
      </w:r>
      <w:r>
        <w:t>em</w:t>
      </w:r>
      <w:r w:rsidRPr="00CD6E00">
        <w:t xml:space="preserve"> </w:t>
      </w:r>
      <w:r>
        <w:t>MF</w:t>
      </w:r>
      <w:r w:rsidRPr="00CD6E00">
        <w:t xml:space="preserve"> č. 02/2018, kterým se vydává seznam zboží </w:t>
      </w:r>
      <w:r w:rsidR="00C25D56">
        <w:br/>
      </w:r>
      <w:r w:rsidRPr="00CD6E00">
        <w:t>s regulovanými cenami</w:t>
      </w:r>
      <w:r>
        <w:t xml:space="preserve">.  Kompenzace slev probíhají na základě smlouvy uzavřené mezi dopravcem a Ministerstvem dopravy. V roce 2019 bylo uzavřeno celkem 154 smluv s autobusovými a železničními dopravci. </w:t>
      </w:r>
      <w:r w:rsidRPr="00E930AE">
        <w:t>Pro rok 2019 byly na krytí ztrát dopravců z poskytování slev vyčleněny ve státním rozpočtu, kapitole 327 – MD prostředky ve výši 6</w:t>
      </w:r>
      <w:r w:rsidR="0066306C">
        <w:t> </w:t>
      </w:r>
      <w:r>
        <w:t>4</w:t>
      </w:r>
      <w:r w:rsidR="0066306C">
        <w:t>00 000 tis</w:t>
      </w:r>
      <w:r w:rsidRPr="00E930AE">
        <w:t xml:space="preserve">. Kč. </w:t>
      </w:r>
      <w:r>
        <w:t>Skutečné čerpání bylo ve výši 5</w:t>
      </w:r>
      <w:r w:rsidR="0066306C">
        <w:t> </w:t>
      </w:r>
      <w:r>
        <w:t>76</w:t>
      </w:r>
      <w:r w:rsidR="0066306C">
        <w:t>1 452</w:t>
      </w:r>
      <w:r>
        <w:t xml:space="preserve"> </w:t>
      </w:r>
      <w:r w:rsidR="0066306C">
        <w:t>tis</w:t>
      </w:r>
      <w:r>
        <w:t>. Kč, z toho 3</w:t>
      </w:r>
      <w:r w:rsidR="0066306C">
        <w:t> </w:t>
      </w:r>
      <w:r>
        <w:t>15</w:t>
      </w:r>
      <w:r w:rsidR="0066306C">
        <w:t>1 528 tis</w:t>
      </w:r>
      <w:r>
        <w:t>. Kč bylo proplaceno za vlakové jízdenky a 2</w:t>
      </w:r>
      <w:r w:rsidR="0066306C">
        <w:t> 609 924 tis.</w:t>
      </w:r>
      <w:r>
        <w:t xml:space="preserve"> Kč za autobusové</w:t>
      </w:r>
      <w:r w:rsidR="0066306C">
        <w:t xml:space="preserve"> jízdenky</w:t>
      </w:r>
      <w:r>
        <w:t xml:space="preserve">. </w:t>
      </w:r>
    </w:p>
    <w:p w14:paraId="226A3B45" w14:textId="77777777" w:rsidR="00B95654" w:rsidRDefault="00B95654" w:rsidP="00F74470">
      <w:pPr>
        <w:pStyle w:val="KOMtext"/>
      </w:pPr>
    </w:p>
    <w:p w14:paraId="5BC51733" w14:textId="77777777" w:rsidR="00B95654" w:rsidRDefault="00B95654" w:rsidP="00F74470">
      <w:pPr>
        <w:pStyle w:val="KOMtext"/>
      </w:pPr>
    </w:p>
    <w:p w14:paraId="60B58D35" w14:textId="77777777" w:rsidR="00B95654" w:rsidRDefault="00B95654" w:rsidP="00F74470">
      <w:pPr>
        <w:pStyle w:val="KOMtext"/>
      </w:pPr>
    </w:p>
    <w:p w14:paraId="5B9E1CC1" w14:textId="77777777" w:rsidR="00B95654" w:rsidRDefault="00B95654" w:rsidP="00F74470">
      <w:pPr>
        <w:pStyle w:val="KOMtext"/>
      </w:pPr>
    </w:p>
    <w:p w14:paraId="2E4F7576" w14:textId="48D891DD" w:rsidR="001F1695" w:rsidRDefault="001F1695" w:rsidP="00B95654">
      <w:pPr>
        <w:pStyle w:val="KOMtext"/>
        <w:spacing w:after="0"/>
      </w:pPr>
      <w:r>
        <w:t>Největšími příjemci by</w:t>
      </w:r>
      <w:r w:rsidR="00A0336D">
        <w:t>li následující dopravci</w:t>
      </w:r>
      <w:r>
        <w:t>:</w:t>
      </w:r>
    </w:p>
    <w:tbl>
      <w:tblPr>
        <w:tblStyle w:val="Mkatabulky"/>
        <w:tblW w:w="0" w:type="auto"/>
        <w:tblBorders>
          <w:top w:val="none" w:sz="0" w:space="0" w:color="auto"/>
        </w:tblBorders>
        <w:tblLook w:val="04A0" w:firstRow="1" w:lastRow="0" w:firstColumn="1" w:lastColumn="0" w:noHBand="0" w:noVBand="1"/>
      </w:tblPr>
      <w:tblGrid>
        <w:gridCol w:w="3686"/>
        <w:gridCol w:w="1276"/>
        <w:gridCol w:w="2490"/>
        <w:gridCol w:w="1480"/>
        <w:gridCol w:w="14"/>
      </w:tblGrid>
      <w:tr w:rsidR="007942F1" w14:paraId="4ECB8F92" w14:textId="77777777" w:rsidTr="00A0336D">
        <w:trPr>
          <w:trHeight w:val="227"/>
          <w:tblHeader/>
        </w:trPr>
        <w:tc>
          <w:tcPr>
            <w:tcW w:w="8946" w:type="dxa"/>
            <w:gridSpan w:val="5"/>
            <w:tcBorders>
              <w:top w:val="nil"/>
              <w:left w:val="nil"/>
              <w:bottom w:val="single" w:sz="8" w:space="0" w:color="auto"/>
              <w:right w:val="nil"/>
            </w:tcBorders>
          </w:tcPr>
          <w:p w14:paraId="395A0DAE" w14:textId="77777777" w:rsidR="007942F1" w:rsidRPr="00273ECF" w:rsidRDefault="007942F1" w:rsidP="007942F1">
            <w:pPr>
              <w:pStyle w:val="Znormal"/>
              <w:spacing w:before="0"/>
              <w:ind w:firstLine="0"/>
              <w:jc w:val="right"/>
            </w:pPr>
            <w:r w:rsidRPr="00273ECF">
              <w:t>v tis. Kč</w:t>
            </w:r>
          </w:p>
        </w:tc>
      </w:tr>
      <w:tr w:rsidR="001F1695" w14:paraId="152AA51A" w14:textId="77777777" w:rsidTr="00A0336D">
        <w:trPr>
          <w:gridAfter w:val="1"/>
          <w:wAfter w:w="14" w:type="dxa"/>
          <w:tblHeader/>
        </w:trPr>
        <w:tc>
          <w:tcPr>
            <w:tcW w:w="4962" w:type="dxa"/>
            <w:gridSpan w:val="2"/>
            <w:tcBorders>
              <w:top w:val="single" w:sz="8" w:space="0" w:color="auto"/>
              <w:left w:val="single" w:sz="8" w:space="0" w:color="auto"/>
              <w:bottom w:val="single" w:sz="8" w:space="0" w:color="auto"/>
              <w:right w:val="single" w:sz="8" w:space="0" w:color="auto"/>
            </w:tcBorders>
          </w:tcPr>
          <w:p w14:paraId="724FB931" w14:textId="17F38DA4" w:rsidR="001F1695" w:rsidRPr="004A6BB3" w:rsidRDefault="001F1695" w:rsidP="004A6BB3">
            <w:pPr>
              <w:pStyle w:val="Znormal"/>
              <w:spacing w:before="0"/>
              <w:ind w:firstLine="0"/>
              <w:rPr>
                <w:b/>
              </w:rPr>
            </w:pPr>
            <w:r w:rsidRPr="004A6BB3">
              <w:rPr>
                <w:b/>
              </w:rPr>
              <w:t>Autobusy</w:t>
            </w:r>
            <w:r w:rsidR="00F445C3">
              <w:rPr>
                <w:b/>
              </w:rPr>
              <w:t xml:space="preserve"> </w:t>
            </w:r>
            <w:r w:rsidR="00F445C3" w:rsidRPr="00F445C3">
              <w:t>(z toho:)</w:t>
            </w:r>
          </w:p>
        </w:tc>
        <w:tc>
          <w:tcPr>
            <w:tcW w:w="3970" w:type="dxa"/>
            <w:gridSpan w:val="2"/>
            <w:tcBorders>
              <w:top w:val="single" w:sz="8" w:space="0" w:color="auto"/>
              <w:left w:val="single" w:sz="8" w:space="0" w:color="auto"/>
              <w:bottom w:val="single" w:sz="8" w:space="0" w:color="auto"/>
              <w:right w:val="single" w:sz="8" w:space="0" w:color="auto"/>
            </w:tcBorders>
          </w:tcPr>
          <w:p w14:paraId="77806EE1" w14:textId="357A1B6C" w:rsidR="001F1695" w:rsidRPr="004A6BB3" w:rsidRDefault="001F1695" w:rsidP="004A6BB3">
            <w:pPr>
              <w:pStyle w:val="Znormal"/>
              <w:spacing w:before="0"/>
              <w:ind w:firstLine="0"/>
              <w:rPr>
                <w:b/>
              </w:rPr>
            </w:pPr>
            <w:r w:rsidRPr="004A6BB3">
              <w:rPr>
                <w:b/>
              </w:rPr>
              <w:t>Vlaky</w:t>
            </w:r>
            <w:r w:rsidR="00B95654">
              <w:rPr>
                <w:b/>
              </w:rPr>
              <w:t xml:space="preserve"> </w:t>
            </w:r>
            <w:r w:rsidR="00B95654" w:rsidRPr="00B95654">
              <w:t>(z toho:)</w:t>
            </w:r>
          </w:p>
        </w:tc>
      </w:tr>
      <w:tr w:rsidR="001F1695" w14:paraId="5FE7F986" w14:textId="77777777" w:rsidTr="00A0336D">
        <w:trPr>
          <w:gridAfter w:val="1"/>
          <w:wAfter w:w="14" w:type="dxa"/>
          <w:tblHeader/>
        </w:trPr>
        <w:tc>
          <w:tcPr>
            <w:tcW w:w="3686" w:type="dxa"/>
            <w:tcBorders>
              <w:top w:val="single" w:sz="8" w:space="0" w:color="auto"/>
              <w:left w:val="single" w:sz="8" w:space="0" w:color="auto"/>
            </w:tcBorders>
            <w:vAlign w:val="center"/>
          </w:tcPr>
          <w:p w14:paraId="200C978F" w14:textId="77777777" w:rsidR="001F1695" w:rsidRPr="00273ECF" w:rsidRDefault="001F1695" w:rsidP="00DE0323">
            <w:pPr>
              <w:keepNext/>
              <w:rPr>
                <w:color w:val="000000"/>
              </w:rPr>
            </w:pPr>
            <w:r w:rsidRPr="00273ECF">
              <w:rPr>
                <w:color w:val="000000"/>
              </w:rPr>
              <w:t>STUDENT AGENCY, k.s.</w:t>
            </w:r>
          </w:p>
        </w:tc>
        <w:tc>
          <w:tcPr>
            <w:tcW w:w="1276" w:type="dxa"/>
            <w:tcBorders>
              <w:top w:val="single" w:sz="8" w:space="0" w:color="auto"/>
              <w:right w:val="single" w:sz="8" w:space="0" w:color="auto"/>
            </w:tcBorders>
            <w:vAlign w:val="bottom"/>
          </w:tcPr>
          <w:p w14:paraId="1E1F1CDF" w14:textId="439CB8FE" w:rsidR="001F1695" w:rsidRPr="00273ECF" w:rsidRDefault="007942F1" w:rsidP="00B95654">
            <w:pPr>
              <w:keepNext/>
              <w:jc w:val="right"/>
              <w:rPr>
                <w:color w:val="000000"/>
              </w:rPr>
            </w:pPr>
            <w:r w:rsidRPr="00273ECF">
              <w:rPr>
                <w:color w:val="000000"/>
              </w:rPr>
              <w:t>184 1</w:t>
            </w:r>
            <w:r w:rsidR="00B95654">
              <w:rPr>
                <w:color w:val="000000"/>
              </w:rPr>
              <w:t>40</w:t>
            </w:r>
          </w:p>
        </w:tc>
        <w:tc>
          <w:tcPr>
            <w:tcW w:w="2490" w:type="dxa"/>
            <w:tcBorders>
              <w:top w:val="single" w:sz="8" w:space="0" w:color="auto"/>
              <w:left w:val="single" w:sz="8" w:space="0" w:color="auto"/>
            </w:tcBorders>
            <w:vAlign w:val="bottom"/>
          </w:tcPr>
          <w:p w14:paraId="2AA35B46" w14:textId="77777777" w:rsidR="001F1695" w:rsidRPr="00273ECF" w:rsidRDefault="001F1695" w:rsidP="00DE0323">
            <w:pPr>
              <w:keepNext/>
              <w:ind w:right="-1173"/>
              <w:rPr>
                <w:color w:val="000000"/>
              </w:rPr>
            </w:pPr>
            <w:r w:rsidRPr="00273ECF">
              <w:rPr>
                <w:color w:val="000000"/>
              </w:rPr>
              <w:t>České dráhy, a.s.</w:t>
            </w:r>
          </w:p>
        </w:tc>
        <w:tc>
          <w:tcPr>
            <w:tcW w:w="1480" w:type="dxa"/>
            <w:tcBorders>
              <w:top w:val="single" w:sz="8" w:space="0" w:color="auto"/>
              <w:right w:val="single" w:sz="8" w:space="0" w:color="auto"/>
            </w:tcBorders>
            <w:vAlign w:val="bottom"/>
          </w:tcPr>
          <w:p w14:paraId="57F1521D" w14:textId="0B615F78" w:rsidR="001F1695" w:rsidRPr="00273ECF" w:rsidRDefault="00B95654" w:rsidP="00DE0323">
            <w:pPr>
              <w:keepNext/>
              <w:jc w:val="right"/>
              <w:rPr>
                <w:color w:val="000000"/>
              </w:rPr>
            </w:pPr>
            <w:r>
              <w:rPr>
                <w:color w:val="000000"/>
              </w:rPr>
              <w:t>2 577 041</w:t>
            </w:r>
          </w:p>
        </w:tc>
      </w:tr>
      <w:tr w:rsidR="001F1695" w14:paraId="2E892B83" w14:textId="77777777" w:rsidTr="00A0336D">
        <w:trPr>
          <w:gridAfter w:val="1"/>
          <w:wAfter w:w="14" w:type="dxa"/>
          <w:tblHeader/>
        </w:trPr>
        <w:tc>
          <w:tcPr>
            <w:tcW w:w="3686" w:type="dxa"/>
            <w:tcBorders>
              <w:top w:val="single" w:sz="4" w:space="0" w:color="auto"/>
              <w:left w:val="single" w:sz="8" w:space="0" w:color="auto"/>
            </w:tcBorders>
            <w:vAlign w:val="center"/>
          </w:tcPr>
          <w:p w14:paraId="615C8576" w14:textId="77777777" w:rsidR="001F1695" w:rsidRPr="00273ECF" w:rsidRDefault="001F1695" w:rsidP="00DE0323">
            <w:pPr>
              <w:keepNext/>
              <w:rPr>
                <w:color w:val="000000"/>
              </w:rPr>
            </w:pPr>
            <w:r w:rsidRPr="00273ECF">
              <w:rPr>
                <w:color w:val="000000"/>
              </w:rPr>
              <w:t>ARRIVA STŘEDNÍ ČECHY</w:t>
            </w:r>
            <w:r w:rsidR="007942F1" w:rsidRPr="00273ECF">
              <w:rPr>
                <w:color w:val="000000"/>
              </w:rPr>
              <w:t>,</w:t>
            </w:r>
            <w:r w:rsidRPr="00273ECF">
              <w:rPr>
                <w:color w:val="000000"/>
              </w:rPr>
              <w:t xml:space="preserve"> s.r.o.</w:t>
            </w:r>
          </w:p>
        </w:tc>
        <w:tc>
          <w:tcPr>
            <w:tcW w:w="1276" w:type="dxa"/>
            <w:tcBorders>
              <w:top w:val="single" w:sz="4" w:space="0" w:color="auto"/>
              <w:right w:val="single" w:sz="8" w:space="0" w:color="auto"/>
            </w:tcBorders>
            <w:vAlign w:val="bottom"/>
          </w:tcPr>
          <w:p w14:paraId="3578DC68" w14:textId="2877C252" w:rsidR="001F1695" w:rsidRPr="00273ECF" w:rsidRDefault="00B95654" w:rsidP="00DE0323">
            <w:pPr>
              <w:keepNext/>
              <w:jc w:val="right"/>
              <w:rPr>
                <w:color w:val="000000"/>
              </w:rPr>
            </w:pPr>
            <w:r>
              <w:rPr>
                <w:color w:val="000000"/>
              </w:rPr>
              <w:t>136 822</w:t>
            </w:r>
          </w:p>
        </w:tc>
        <w:tc>
          <w:tcPr>
            <w:tcW w:w="2490" w:type="dxa"/>
            <w:tcBorders>
              <w:top w:val="single" w:sz="4" w:space="0" w:color="auto"/>
              <w:left w:val="single" w:sz="8" w:space="0" w:color="auto"/>
            </w:tcBorders>
            <w:vAlign w:val="center"/>
          </w:tcPr>
          <w:p w14:paraId="78AC41C4" w14:textId="77777777" w:rsidR="001F1695" w:rsidRPr="00273ECF" w:rsidRDefault="001F1695" w:rsidP="00DE0323">
            <w:pPr>
              <w:keepNext/>
              <w:rPr>
                <w:color w:val="000000"/>
              </w:rPr>
            </w:pPr>
            <w:r w:rsidRPr="00273ECF">
              <w:rPr>
                <w:color w:val="000000"/>
              </w:rPr>
              <w:t>RegioJet</w:t>
            </w:r>
            <w:r w:rsidR="007942F1" w:rsidRPr="00273ECF">
              <w:rPr>
                <w:color w:val="000000"/>
              </w:rPr>
              <w:t>,</w:t>
            </w:r>
            <w:r w:rsidRPr="00273ECF">
              <w:rPr>
                <w:color w:val="000000"/>
              </w:rPr>
              <w:t xml:space="preserve"> a.s.</w:t>
            </w:r>
          </w:p>
        </w:tc>
        <w:tc>
          <w:tcPr>
            <w:tcW w:w="1480" w:type="dxa"/>
            <w:tcBorders>
              <w:top w:val="single" w:sz="4" w:space="0" w:color="auto"/>
              <w:right w:val="single" w:sz="8" w:space="0" w:color="auto"/>
            </w:tcBorders>
            <w:vAlign w:val="bottom"/>
          </w:tcPr>
          <w:p w14:paraId="0364010E" w14:textId="454EBD5B" w:rsidR="001F1695" w:rsidRPr="00273ECF" w:rsidRDefault="00B95654" w:rsidP="00DE0323">
            <w:pPr>
              <w:keepNext/>
              <w:jc w:val="right"/>
              <w:rPr>
                <w:color w:val="000000"/>
              </w:rPr>
            </w:pPr>
            <w:r>
              <w:rPr>
                <w:color w:val="000000"/>
              </w:rPr>
              <w:t>386 314</w:t>
            </w:r>
          </w:p>
        </w:tc>
      </w:tr>
      <w:tr w:rsidR="001F1695" w14:paraId="571FFAE2" w14:textId="77777777" w:rsidTr="00A0336D">
        <w:trPr>
          <w:gridAfter w:val="1"/>
          <w:wAfter w:w="14" w:type="dxa"/>
          <w:tblHeader/>
        </w:trPr>
        <w:tc>
          <w:tcPr>
            <w:tcW w:w="3686" w:type="dxa"/>
            <w:tcBorders>
              <w:top w:val="single" w:sz="4" w:space="0" w:color="auto"/>
              <w:left w:val="single" w:sz="8" w:space="0" w:color="auto"/>
            </w:tcBorders>
            <w:vAlign w:val="center"/>
          </w:tcPr>
          <w:p w14:paraId="5F57079F" w14:textId="77777777" w:rsidR="001F1695" w:rsidRPr="00273ECF" w:rsidRDefault="001F1695" w:rsidP="00DE0323">
            <w:pPr>
              <w:keepNext/>
              <w:rPr>
                <w:color w:val="000000"/>
              </w:rPr>
            </w:pPr>
            <w:r w:rsidRPr="00273ECF">
              <w:rPr>
                <w:color w:val="000000"/>
              </w:rPr>
              <w:t>ČSAD VSETÍN, a.s.</w:t>
            </w:r>
          </w:p>
        </w:tc>
        <w:tc>
          <w:tcPr>
            <w:tcW w:w="1276" w:type="dxa"/>
            <w:tcBorders>
              <w:top w:val="single" w:sz="4" w:space="0" w:color="auto"/>
              <w:right w:val="single" w:sz="8" w:space="0" w:color="auto"/>
            </w:tcBorders>
            <w:vAlign w:val="bottom"/>
          </w:tcPr>
          <w:p w14:paraId="28CC4018" w14:textId="7DD42CCF" w:rsidR="001F1695" w:rsidRPr="00273ECF" w:rsidRDefault="00B95654" w:rsidP="00DE0323">
            <w:pPr>
              <w:keepNext/>
              <w:jc w:val="right"/>
              <w:rPr>
                <w:color w:val="000000"/>
              </w:rPr>
            </w:pPr>
            <w:r>
              <w:rPr>
                <w:color w:val="000000"/>
              </w:rPr>
              <w:t>135 432</w:t>
            </w:r>
          </w:p>
        </w:tc>
        <w:tc>
          <w:tcPr>
            <w:tcW w:w="2490" w:type="dxa"/>
            <w:tcBorders>
              <w:top w:val="single" w:sz="4" w:space="0" w:color="auto"/>
              <w:left w:val="single" w:sz="8" w:space="0" w:color="auto"/>
            </w:tcBorders>
            <w:vAlign w:val="center"/>
          </w:tcPr>
          <w:p w14:paraId="3EC3B0AF" w14:textId="77777777" w:rsidR="001F1695" w:rsidRPr="00273ECF" w:rsidRDefault="001F1695" w:rsidP="00DE0323">
            <w:pPr>
              <w:keepNext/>
              <w:rPr>
                <w:color w:val="000000"/>
              </w:rPr>
            </w:pPr>
            <w:r w:rsidRPr="00273ECF">
              <w:rPr>
                <w:color w:val="000000"/>
              </w:rPr>
              <w:t>LEO Express</w:t>
            </w:r>
            <w:r w:rsidR="007942F1" w:rsidRPr="00273ECF">
              <w:rPr>
                <w:color w:val="000000"/>
              </w:rPr>
              <w:t>,</w:t>
            </w:r>
            <w:r w:rsidRPr="00273ECF">
              <w:rPr>
                <w:color w:val="000000"/>
              </w:rPr>
              <w:t xml:space="preserve"> s.r.o.</w:t>
            </w:r>
          </w:p>
        </w:tc>
        <w:tc>
          <w:tcPr>
            <w:tcW w:w="1480" w:type="dxa"/>
            <w:tcBorders>
              <w:top w:val="single" w:sz="4" w:space="0" w:color="auto"/>
              <w:right w:val="single" w:sz="8" w:space="0" w:color="auto"/>
            </w:tcBorders>
            <w:vAlign w:val="bottom"/>
          </w:tcPr>
          <w:p w14:paraId="745E0CDA" w14:textId="44037B4B" w:rsidR="001F1695" w:rsidRPr="00273ECF" w:rsidRDefault="00B95654" w:rsidP="00DE0323">
            <w:pPr>
              <w:keepNext/>
              <w:jc w:val="right"/>
              <w:rPr>
                <w:color w:val="000000"/>
              </w:rPr>
            </w:pPr>
            <w:r>
              <w:rPr>
                <w:color w:val="000000"/>
              </w:rPr>
              <w:t>140 213</w:t>
            </w:r>
          </w:p>
        </w:tc>
      </w:tr>
      <w:tr w:rsidR="001F1695" w14:paraId="3FCD9D03" w14:textId="77777777" w:rsidTr="00A0336D">
        <w:trPr>
          <w:gridAfter w:val="1"/>
          <w:wAfter w:w="14" w:type="dxa"/>
          <w:tblHeader/>
        </w:trPr>
        <w:tc>
          <w:tcPr>
            <w:tcW w:w="3686" w:type="dxa"/>
            <w:tcBorders>
              <w:top w:val="single" w:sz="4" w:space="0" w:color="auto"/>
              <w:left w:val="single" w:sz="8" w:space="0" w:color="auto"/>
            </w:tcBorders>
            <w:vAlign w:val="center"/>
          </w:tcPr>
          <w:p w14:paraId="00E89B54" w14:textId="79A370DB" w:rsidR="001F1695" w:rsidRPr="00273ECF" w:rsidRDefault="001F1695" w:rsidP="00B95654">
            <w:pPr>
              <w:keepNext/>
              <w:rPr>
                <w:color w:val="000000"/>
              </w:rPr>
            </w:pPr>
            <w:r w:rsidRPr="00273ECF">
              <w:rPr>
                <w:color w:val="000000"/>
              </w:rPr>
              <w:t>ARRIVA VÝCH</w:t>
            </w:r>
            <w:r w:rsidR="00B95654">
              <w:rPr>
                <w:color w:val="000000"/>
              </w:rPr>
              <w:t>.</w:t>
            </w:r>
            <w:r w:rsidRPr="00273ECF">
              <w:rPr>
                <w:color w:val="000000"/>
              </w:rPr>
              <w:t xml:space="preserve"> ČECHY</w:t>
            </w:r>
            <w:r w:rsidR="007942F1" w:rsidRPr="00273ECF">
              <w:rPr>
                <w:color w:val="000000"/>
              </w:rPr>
              <w:t>,</w:t>
            </w:r>
            <w:r w:rsidRPr="00273ECF">
              <w:rPr>
                <w:color w:val="000000"/>
              </w:rPr>
              <w:t xml:space="preserve"> a.s.</w:t>
            </w:r>
          </w:p>
        </w:tc>
        <w:tc>
          <w:tcPr>
            <w:tcW w:w="1276" w:type="dxa"/>
            <w:tcBorders>
              <w:top w:val="single" w:sz="4" w:space="0" w:color="auto"/>
              <w:right w:val="single" w:sz="8" w:space="0" w:color="auto"/>
            </w:tcBorders>
            <w:vAlign w:val="bottom"/>
          </w:tcPr>
          <w:p w14:paraId="769B9637" w14:textId="57F9C19F" w:rsidR="001F1695" w:rsidRPr="00273ECF" w:rsidRDefault="007942F1" w:rsidP="00DE0323">
            <w:pPr>
              <w:keepNext/>
              <w:jc w:val="right"/>
              <w:rPr>
                <w:color w:val="000000"/>
              </w:rPr>
            </w:pPr>
            <w:r w:rsidRPr="00273ECF">
              <w:rPr>
                <w:color w:val="000000"/>
              </w:rPr>
              <w:t>1</w:t>
            </w:r>
            <w:r w:rsidR="00B95654">
              <w:rPr>
                <w:color w:val="000000"/>
              </w:rPr>
              <w:t>29 727</w:t>
            </w:r>
          </w:p>
        </w:tc>
        <w:tc>
          <w:tcPr>
            <w:tcW w:w="2490" w:type="dxa"/>
            <w:tcBorders>
              <w:top w:val="single" w:sz="4" w:space="0" w:color="auto"/>
              <w:left w:val="single" w:sz="8" w:space="0" w:color="auto"/>
            </w:tcBorders>
            <w:vAlign w:val="center"/>
          </w:tcPr>
          <w:p w14:paraId="49DEBEBB" w14:textId="77777777" w:rsidR="001F1695" w:rsidRPr="00273ECF" w:rsidRDefault="001F1695" w:rsidP="00DE0323">
            <w:pPr>
              <w:keepNext/>
              <w:rPr>
                <w:color w:val="000000"/>
              </w:rPr>
            </w:pPr>
            <w:r w:rsidRPr="00273ECF">
              <w:rPr>
                <w:color w:val="000000"/>
              </w:rPr>
              <w:t>GW Train Regio</w:t>
            </w:r>
            <w:r w:rsidR="007942F1" w:rsidRPr="00273ECF">
              <w:rPr>
                <w:color w:val="000000"/>
              </w:rPr>
              <w:t>,</w:t>
            </w:r>
            <w:r w:rsidRPr="00273ECF">
              <w:rPr>
                <w:color w:val="000000"/>
              </w:rPr>
              <w:t xml:space="preserve"> a.s.</w:t>
            </w:r>
          </w:p>
        </w:tc>
        <w:tc>
          <w:tcPr>
            <w:tcW w:w="1480" w:type="dxa"/>
            <w:tcBorders>
              <w:top w:val="single" w:sz="4" w:space="0" w:color="auto"/>
              <w:right w:val="single" w:sz="8" w:space="0" w:color="auto"/>
            </w:tcBorders>
            <w:vAlign w:val="bottom"/>
          </w:tcPr>
          <w:p w14:paraId="0147EFF8" w14:textId="09A53718" w:rsidR="001F1695" w:rsidRPr="00273ECF" w:rsidRDefault="00B95654" w:rsidP="00DE0323">
            <w:pPr>
              <w:keepNext/>
              <w:jc w:val="right"/>
              <w:rPr>
                <w:color w:val="000000"/>
              </w:rPr>
            </w:pPr>
            <w:r>
              <w:rPr>
                <w:color w:val="000000"/>
              </w:rPr>
              <w:t>27 840</w:t>
            </w:r>
          </w:p>
        </w:tc>
      </w:tr>
      <w:tr w:rsidR="001F1695" w14:paraId="3A095C9D" w14:textId="77777777" w:rsidTr="00A0336D">
        <w:trPr>
          <w:gridAfter w:val="1"/>
          <w:wAfter w:w="14" w:type="dxa"/>
          <w:tblHeader/>
        </w:trPr>
        <w:tc>
          <w:tcPr>
            <w:tcW w:w="3686" w:type="dxa"/>
            <w:tcBorders>
              <w:top w:val="single" w:sz="4" w:space="0" w:color="auto"/>
              <w:left w:val="single" w:sz="8" w:space="0" w:color="auto"/>
              <w:bottom w:val="single" w:sz="8" w:space="0" w:color="auto"/>
            </w:tcBorders>
            <w:vAlign w:val="center"/>
          </w:tcPr>
          <w:p w14:paraId="4E0D6477" w14:textId="77777777" w:rsidR="001F1695" w:rsidRPr="00273ECF" w:rsidRDefault="001F1695" w:rsidP="00DE0323">
            <w:pPr>
              <w:keepNext/>
              <w:rPr>
                <w:color w:val="000000"/>
              </w:rPr>
            </w:pPr>
            <w:r w:rsidRPr="00273ECF">
              <w:rPr>
                <w:color w:val="000000"/>
              </w:rPr>
              <w:t>ARRIVA MORAVA, a.s.</w:t>
            </w:r>
          </w:p>
        </w:tc>
        <w:tc>
          <w:tcPr>
            <w:tcW w:w="1276" w:type="dxa"/>
            <w:tcBorders>
              <w:top w:val="single" w:sz="4" w:space="0" w:color="auto"/>
              <w:bottom w:val="single" w:sz="8" w:space="0" w:color="auto"/>
              <w:right w:val="single" w:sz="8" w:space="0" w:color="auto"/>
            </w:tcBorders>
            <w:vAlign w:val="bottom"/>
          </w:tcPr>
          <w:p w14:paraId="72D40F81" w14:textId="6EFDB6E4" w:rsidR="001F1695" w:rsidRPr="00273ECF" w:rsidRDefault="00B95654" w:rsidP="00DE0323">
            <w:pPr>
              <w:keepNext/>
              <w:jc w:val="right"/>
              <w:rPr>
                <w:color w:val="000000"/>
              </w:rPr>
            </w:pPr>
            <w:r>
              <w:rPr>
                <w:color w:val="000000"/>
              </w:rPr>
              <w:t>123 841</w:t>
            </w:r>
          </w:p>
        </w:tc>
        <w:tc>
          <w:tcPr>
            <w:tcW w:w="2490" w:type="dxa"/>
            <w:tcBorders>
              <w:top w:val="single" w:sz="4" w:space="0" w:color="auto"/>
              <w:left w:val="single" w:sz="8" w:space="0" w:color="auto"/>
              <w:bottom w:val="single" w:sz="8" w:space="0" w:color="auto"/>
            </w:tcBorders>
            <w:vAlign w:val="center"/>
          </w:tcPr>
          <w:p w14:paraId="4C63C5BE" w14:textId="77777777" w:rsidR="001F1695" w:rsidRPr="00273ECF" w:rsidRDefault="001F1695" w:rsidP="00DE0323">
            <w:pPr>
              <w:keepNext/>
              <w:rPr>
                <w:color w:val="000000"/>
              </w:rPr>
            </w:pPr>
            <w:r w:rsidRPr="00273ECF">
              <w:rPr>
                <w:color w:val="000000"/>
              </w:rPr>
              <w:t>ARRIVA vlaky</w:t>
            </w:r>
            <w:r w:rsidR="007942F1" w:rsidRPr="00273ECF">
              <w:rPr>
                <w:color w:val="000000"/>
              </w:rPr>
              <w:t>,</w:t>
            </w:r>
            <w:r w:rsidRPr="00273ECF">
              <w:rPr>
                <w:color w:val="000000"/>
              </w:rPr>
              <w:t xml:space="preserve"> s.r.o.</w:t>
            </w:r>
          </w:p>
        </w:tc>
        <w:tc>
          <w:tcPr>
            <w:tcW w:w="1480" w:type="dxa"/>
            <w:tcBorders>
              <w:top w:val="single" w:sz="4" w:space="0" w:color="auto"/>
              <w:bottom w:val="single" w:sz="8" w:space="0" w:color="auto"/>
              <w:right w:val="single" w:sz="8" w:space="0" w:color="auto"/>
            </w:tcBorders>
            <w:vAlign w:val="bottom"/>
          </w:tcPr>
          <w:p w14:paraId="2AA5E9DC" w14:textId="31ECEBDA" w:rsidR="001F1695" w:rsidRPr="00273ECF" w:rsidRDefault="00B95654" w:rsidP="00DE0323">
            <w:pPr>
              <w:keepNext/>
              <w:jc w:val="right"/>
              <w:rPr>
                <w:color w:val="000000"/>
              </w:rPr>
            </w:pPr>
            <w:r>
              <w:rPr>
                <w:color w:val="000000"/>
              </w:rPr>
              <w:t>11 728</w:t>
            </w:r>
          </w:p>
        </w:tc>
      </w:tr>
    </w:tbl>
    <w:p w14:paraId="1432B5A6" w14:textId="5F5B9280" w:rsidR="001F1695" w:rsidRPr="0091127A" w:rsidRDefault="001F1695" w:rsidP="00B95654">
      <w:pPr>
        <w:pStyle w:val="KOMtext"/>
        <w:spacing w:before="240" w:after="240"/>
        <w:rPr>
          <w:rFonts w:asciiTheme="minorHAnsi" w:eastAsiaTheme="minorHAnsi" w:hAnsiTheme="minorHAnsi" w:cstheme="minorBidi"/>
          <w:sz w:val="22"/>
          <w:szCs w:val="22"/>
          <w:lang w:eastAsia="en-US"/>
        </w:rPr>
      </w:pPr>
      <w:r w:rsidRPr="00B56EF1">
        <w:t>Struktura kompenzací podle kategorií cestujících (objem kompenzací připadající na jednotlivé skupiny, nejedná se o podíl cestujících se slevou, resp. počtu využitých jízdenek</w:t>
      </w:r>
      <w:r w:rsidR="00B95654">
        <w:t>)</w:t>
      </w:r>
      <w:r>
        <w:t>:</w:t>
      </w:r>
    </w:p>
    <w:tbl>
      <w:tblPr>
        <w:tblStyle w:val="Mkatabulky"/>
        <w:tblW w:w="0" w:type="auto"/>
        <w:tblInd w:w="1980" w:type="dxa"/>
        <w:tblLook w:val="04A0" w:firstRow="1" w:lastRow="0" w:firstColumn="1" w:lastColumn="0" w:noHBand="0" w:noVBand="1"/>
      </w:tblPr>
      <w:tblGrid>
        <w:gridCol w:w="2693"/>
        <w:gridCol w:w="2268"/>
      </w:tblGrid>
      <w:tr w:rsidR="001F1695" w14:paraId="49711D31" w14:textId="77777777" w:rsidTr="00B95654">
        <w:tc>
          <w:tcPr>
            <w:tcW w:w="2693" w:type="dxa"/>
          </w:tcPr>
          <w:p w14:paraId="786F6722" w14:textId="77777777" w:rsidR="001F1695" w:rsidRDefault="001F1695" w:rsidP="00DE0323">
            <w:pPr>
              <w:pStyle w:val="Znormal"/>
              <w:ind w:firstLine="0"/>
            </w:pPr>
            <w:r w:rsidRPr="00E02AF4">
              <w:t>Dítě/žák 6 - 18 let</w:t>
            </w:r>
          </w:p>
        </w:tc>
        <w:tc>
          <w:tcPr>
            <w:tcW w:w="2268" w:type="dxa"/>
          </w:tcPr>
          <w:p w14:paraId="64D48EA4" w14:textId="77777777" w:rsidR="001F1695" w:rsidRDefault="001F1695" w:rsidP="00DE0323">
            <w:pPr>
              <w:pStyle w:val="Znormal"/>
              <w:ind w:firstLine="0"/>
              <w:jc w:val="right"/>
            </w:pPr>
            <w:r w:rsidRPr="00E02AF4">
              <w:t>38,1 %</w:t>
            </w:r>
          </w:p>
        </w:tc>
      </w:tr>
      <w:tr w:rsidR="001F1695" w14:paraId="53CAAA71" w14:textId="77777777" w:rsidTr="00B95654">
        <w:tc>
          <w:tcPr>
            <w:tcW w:w="2693" w:type="dxa"/>
          </w:tcPr>
          <w:p w14:paraId="1379C50F" w14:textId="77777777" w:rsidR="001F1695" w:rsidRDefault="001F1695" w:rsidP="00B95654">
            <w:pPr>
              <w:pStyle w:val="Znormal"/>
              <w:ind w:firstLine="30"/>
            </w:pPr>
            <w:r w:rsidRPr="00070503">
              <w:t>Student 18 – 26 let</w:t>
            </w:r>
          </w:p>
        </w:tc>
        <w:tc>
          <w:tcPr>
            <w:tcW w:w="2268" w:type="dxa"/>
          </w:tcPr>
          <w:p w14:paraId="41898546" w14:textId="77777777" w:rsidR="001F1695" w:rsidRDefault="001F1695" w:rsidP="00DE0323">
            <w:pPr>
              <w:pStyle w:val="Znormal"/>
              <w:ind w:firstLine="0"/>
              <w:jc w:val="right"/>
            </w:pPr>
            <w:r w:rsidRPr="00070503">
              <w:t>38,0 %</w:t>
            </w:r>
          </w:p>
        </w:tc>
      </w:tr>
      <w:tr w:rsidR="001F1695" w14:paraId="191C82D5" w14:textId="77777777" w:rsidTr="00B95654">
        <w:tc>
          <w:tcPr>
            <w:tcW w:w="2693" w:type="dxa"/>
          </w:tcPr>
          <w:p w14:paraId="20F98CFD" w14:textId="77777777" w:rsidR="001F1695" w:rsidRDefault="001F1695" w:rsidP="00DE0323">
            <w:pPr>
              <w:pStyle w:val="Znormal"/>
              <w:ind w:firstLine="0"/>
            </w:pPr>
            <w:r w:rsidRPr="00070503">
              <w:t>Senior 65+</w:t>
            </w:r>
          </w:p>
        </w:tc>
        <w:tc>
          <w:tcPr>
            <w:tcW w:w="2268" w:type="dxa"/>
          </w:tcPr>
          <w:p w14:paraId="20A29AE2" w14:textId="77777777" w:rsidR="001F1695" w:rsidRDefault="001F1695" w:rsidP="00DE0323">
            <w:pPr>
              <w:pStyle w:val="Znormal"/>
              <w:ind w:firstLine="0"/>
              <w:jc w:val="right"/>
            </w:pPr>
            <w:r w:rsidRPr="00070503">
              <w:t>21,6 %</w:t>
            </w:r>
          </w:p>
        </w:tc>
      </w:tr>
      <w:tr w:rsidR="001F1695" w14:paraId="5C884B89" w14:textId="77777777" w:rsidTr="00B95654">
        <w:tc>
          <w:tcPr>
            <w:tcW w:w="2693" w:type="dxa"/>
          </w:tcPr>
          <w:p w14:paraId="75D3D7BA" w14:textId="7A02B4AD" w:rsidR="001F1695" w:rsidRDefault="00B95654" w:rsidP="00DE0323">
            <w:pPr>
              <w:pStyle w:val="Znormal"/>
              <w:ind w:firstLine="0"/>
            </w:pPr>
            <w:r>
              <w:t>O</w:t>
            </w:r>
            <w:r w:rsidR="00F74470">
              <w:t>statní</w:t>
            </w:r>
            <w:r w:rsidR="00F74470">
              <w:rPr>
                <w:rStyle w:val="Znakapoznpodarou"/>
              </w:rPr>
              <w:footnoteReference w:id="2"/>
            </w:r>
          </w:p>
        </w:tc>
        <w:tc>
          <w:tcPr>
            <w:tcW w:w="2268" w:type="dxa"/>
          </w:tcPr>
          <w:p w14:paraId="5B07FD2B" w14:textId="77777777" w:rsidR="001F1695" w:rsidRDefault="001F1695" w:rsidP="00DE0323">
            <w:pPr>
              <w:pStyle w:val="Znormal"/>
              <w:ind w:firstLine="0"/>
              <w:jc w:val="right"/>
            </w:pPr>
            <w:r w:rsidRPr="00070503">
              <w:t>cca 2,3 %</w:t>
            </w:r>
          </w:p>
        </w:tc>
      </w:tr>
    </w:tbl>
    <w:p w14:paraId="73C6BCB4" w14:textId="77777777" w:rsidR="001F1695" w:rsidRPr="0047073D" w:rsidRDefault="001F1695" w:rsidP="00B95654">
      <w:pPr>
        <w:pStyle w:val="KOMtext"/>
        <w:spacing w:before="240"/>
      </w:pPr>
      <w:r w:rsidRPr="0091127A">
        <w:t xml:space="preserve">Ministerstvo dopravy též provádělo kontroly poskytování slev přímo u dopravců (tzn. ve vlacích a autobusech). Na začátku roku byla dokončena kontrola 500 autobusových spojů zahájená v roce 2018, v průběhu roku dále proběhla další kontrolní akce, a to na 400 autobusových </w:t>
      </w:r>
      <w:r w:rsidR="00C25D56">
        <w:br/>
      </w:r>
      <w:r w:rsidRPr="0091127A">
        <w:t>a 25 vlakových spojů. Počet zjištěných nesrovnalostí byl minimální – cca 20 cestujících bez platného dokladu (zcela bez dokladu nebo s prošlým průkazem).</w:t>
      </w:r>
    </w:p>
    <w:p w14:paraId="2A4241D9" w14:textId="77777777" w:rsidR="004764A8" w:rsidRPr="00633088" w:rsidRDefault="001F1695" w:rsidP="00275CE2">
      <w:pPr>
        <w:pStyle w:val="Znormal"/>
        <w:numPr>
          <w:ilvl w:val="0"/>
          <w:numId w:val="34"/>
        </w:numPr>
        <w:ind w:left="709" w:hanging="425"/>
        <w:rPr>
          <w:b/>
          <w:szCs w:val="24"/>
        </w:rPr>
      </w:pPr>
      <w:r w:rsidRPr="00633088">
        <w:rPr>
          <w:b/>
          <w:szCs w:val="24"/>
        </w:rPr>
        <w:t>ICT neprogramové</w:t>
      </w:r>
      <w:r w:rsidR="004764A8" w:rsidRPr="00633088">
        <w:rPr>
          <w:b/>
          <w:szCs w:val="24"/>
        </w:rPr>
        <w:t xml:space="preserve"> - </w:t>
      </w:r>
      <w:r w:rsidRPr="00633088">
        <w:rPr>
          <w:b/>
          <w:szCs w:val="24"/>
        </w:rPr>
        <w:t xml:space="preserve"> </w:t>
      </w:r>
      <w:r w:rsidR="004764A8" w:rsidRPr="00633088">
        <w:rPr>
          <w:szCs w:val="24"/>
        </w:rPr>
        <w:t>v roce 2019 byla použita celková částka ve výši 128 867 tis. Kč.</w:t>
      </w:r>
      <w:r w:rsidR="004764A8" w:rsidRPr="00633088">
        <w:rPr>
          <w:b/>
          <w:szCs w:val="24"/>
        </w:rPr>
        <w:t xml:space="preserve"> </w:t>
      </w:r>
      <w:r w:rsidR="004764A8" w:rsidRPr="00633088">
        <w:rPr>
          <w:szCs w:val="24"/>
        </w:rPr>
        <w:t>Prostředky byly vynaloženy zejména na:</w:t>
      </w:r>
    </w:p>
    <w:p w14:paraId="4AE4F06E" w14:textId="77777777" w:rsidR="004764A8" w:rsidRPr="00633088" w:rsidRDefault="004764A8" w:rsidP="00B95654">
      <w:pPr>
        <w:numPr>
          <w:ilvl w:val="0"/>
          <w:numId w:val="35"/>
        </w:numPr>
        <w:tabs>
          <w:tab w:val="left" w:pos="3686"/>
        </w:tabs>
        <w:spacing w:before="60" w:after="60" w:line="259" w:lineRule="auto"/>
        <w:ind w:left="1134" w:hanging="425"/>
        <w:jc w:val="both"/>
        <w:rPr>
          <w:sz w:val="20"/>
          <w:szCs w:val="20"/>
        </w:rPr>
      </w:pPr>
      <w:r w:rsidRPr="00633088">
        <w:rPr>
          <w:szCs w:val="20"/>
        </w:rPr>
        <w:t xml:space="preserve">Poskytování služeb provozu infrastruktury pro informační systémy </w:t>
      </w:r>
      <w:r w:rsidR="00E2031D" w:rsidRPr="00633088">
        <w:rPr>
          <w:szCs w:val="20"/>
        </w:rPr>
        <w:t>Ministerstva dopravy</w:t>
      </w:r>
      <w:r w:rsidRPr="00633088">
        <w:rPr>
          <w:szCs w:val="20"/>
        </w:rPr>
        <w:t xml:space="preserve"> (46 297 tis. Kč),</w:t>
      </w:r>
    </w:p>
    <w:p w14:paraId="4BE89A8E" w14:textId="77777777" w:rsidR="004764A8" w:rsidRPr="00633088" w:rsidRDefault="004764A8" w:rsidP="00B95654">
      <w:pPr>
        <w:numPr>
          <w:ilvl w:val="0"/>
          <w:numId w:val="35"/>
        </w:numPr>
        <w:spacing w:before="60" w:after="60" w:line="259" w:lineRule="auto"/>
        <w:ind w:left="1134" w:hanging="425"/>
        <w:jc w:val="both"/>
        <w:rPr>
          <w:szCs w:val="20"/>
        </w:rPr>
      </w:pPr>
      <w:r w:rsidRPr="00633088">
        <w:rPr>
          <w:szCs w:val="20"/>
        </w:rPr>
        <w:lastRenderedPageBreak/>
        <w:t>Zabezpečení provozu informačního systému pro vedení centrálního registru řidičů (35 073 tis. Kč),</w:t>
      </w:r>
    </w:p>
    <w:p w14:paraId="357E1752" w14:textId="77777777" w:rsidR="004764A8" w:rsidRPr="00633088" w:rsidRDefault="004764A8" w:rsidP="00B95654">
      <w:pPr>
        <w:numPr>
          <w:ilvl w:val="0"/>
          <w:numId w:val="35"/>
        </w:numPr>
        <w:spacing w:before="60" w:after="60" w:line="259" w:lineRule="auto"/>
        <w:ind w:left="1134" w:hanging="425"/>
        <w:jc w:val="both"/>
        <w:rPr>
          <w:szCs w:val="20"/>
        </w:rPr>
      </w:pPr>
      <w:r w:rsidRPr="00633088">
        <w:rPr>
          <w:szCs w:val="20"/>
        </w:rPr>
        <w:t>Poskytování služeb v oblasti kybernetické bezpečnosti, architektury ICT, metodické podpory řízení projektů a zajištění operati</w:t>
      </w:r>
      <w:r w:rsidR="000D72BC">
        <w:rPr>
          <w:szCs w:val="20"/>
        </w:rPr>
        <w:t>vní podpory bezpečnosti provozu</w:t>
      </w:r>
      <w:r w:rsidRPr="00633088">
        <w:rPr>
          <w:szCs w:val="20"/>
        </w:rPr>
        <w:t xml:space="preserve"> </w:t>
      </w:r>
      <w:r w:rsidR="000D72BC">
        <w:rPr>
          <w:szCs w:val="20"/>
        </w:rPr>
        <w:br/>
      </w:r>
      <w:r w:rsidRPr="00633088">
        <w:rPr>
          <w:szCs w:val="20"/>
        </w:rPr>
        <w:t>(9 314 tis. Kč),</w:t>
      </w:r>
    </w:p>
    <w:p w14:paraId="4151878B" w14:textId="77777777" w:rsidR="004764A8" w:rsidRPr="00633088" w:rsidRDefault="00633088" w:rsidP="00B95654">
      <w:pPr>
        <w:spacing w:before="60" w:after="60" w:line="259" w:lineRule="auto"/>
        <w:ind w:left="1134" w:hanging="567"/>
        <w:jc w:val="both"/>
      </w:pPr>
      <w:r>
        <w:rPr>
          <w:szCs w:val="20"/>
        </w:rPr>
        <w:t xml:space="preserve">  </w:t>
      </w:r>
      <w:r w:rsidR="004764A8" w:rsidRPr="00633088">
        <w:rPr>
          <w:szCs w:val="20"/>
        </w:rPr>
        <w:t>-</w:t>
      </w:r>
      <w:r w:rsidR="004764A8" w:rsidRPr="00633088">
        <w:rPr>
          <w:szCs w:val="20"/>
        </w:rPr>
        <w:tab/>
      </w:r>
      <w:r w:rsidR="004764A8" w:rsidRPr="00633088">
        <w:t xml:space="preserve">Běžné výdaje na zajištění užívání licencí </w:t>
      </w:r>
      <w:r w:rsidR="00E2031D" w:rsidRPr="00633088">
        <w:t>Microsoft (4 719</w:t>
      </w:r>
      <w:r w:rsidR="004764A8" w:rsidRPr="00633088">
        <w:t xml:space="preserve"> tis. Kč),</w:t>
      </w:r>
    </w:p>
    <w:p w14:paraId="6FC9C8C5" w14:textId="77777777" w:rsidR="001F1695" w:rsidRPr="00633088" w:rsidRDefault="004764A8" w:rsidP="00B95654">
      <w:pPr>
        <w:numPr>
          <w:ilvl w:val="0"/>
          <w:numId w:val="35"/>
        </w:numPr>
        <w:spacing w:before="60" w:after="60" w:line="259" w:lineRule="auto"/>
        <w:ind w:left="1134" w:hanging="425"/>
        <w:jc w:val="both"/>
        <w:rPr>
          <w:sz w:val="20"/>
          <w:szCs w:val="20"/>
        </w:rPr>
      </w:pPr>
      <w:r w:rsidRPr="00633088">
        <w:t xml:space="preserve">Projektovou a technickou podporu provozu Národního kontaktního </w:t>
      </w:r>
      <w:r w:rsidR="00E2031D" w:rsidRPr="00633088">
        <w:t>místa a řízení</w:t>
      </w:r>
      <w:r w:rsidRPr="00633088">
        <w:t xml:space="preserve"> návazných organizačních, technických a projektových operací (3 276 tis. Kč).</w:t>
      </w:r>
      <w:r w:rsidRPr="00633088">
        <w:rPr>
          <w:b/>
        </w:rPr>
        <w:t xml:space="preserve"> </w:t>
      </w:r>
      <w:r w:rsidR="001F1695" w:rsidRPr="00633088">
        <w:rPr>
          <w:b/>
        </w:rPr>
        <w:t xml:space="preserve">                                              </w:t>
      </w:r>
    </w:p>
    <w:p w14:paraId="2B280F46" w14:textId="77777777" w:rsidR="001F1695" w:rsidRPr="00732D11" w:rsidRDefault="001F1695" w:rsidP="00B95654">
      <w:pPr>
        <w:numPr>
          <w:ilvl w:val="0"/>
          <w:numId w:val="24"/>
        </w:numPr>
        <w:tabs>
          <w:tab w:val="clear" w:pos="1428"/>
          <w:tab w:val="num" w:pos="709"/>
        </w:tabs>
        <w:spacing w:before="120" w:line="259" w:lineRule="auto"/>
        <w:ind w:left="709" w:hanging="425"/>
        <w:jc w:val="both"/>
      </w:pPr>
      <w:r w:rsidRPr="00732D11">
        <w:rPr>
          <w:b/>
        </w:rPr>
        <w:t xml:space="preserve">Programové financování – </w:t>
      </w:r>
      <w:r w:rsidRPr="00732D11">
        <w:t xml:space="preserve">v roce 2019 byla použita celková částka ve výši    </w:t>
      </w:r>
      <w:r w:rsidRPr="00732D11">
        <w:br/>
      </w:r>
      <w:r>
        <w:t>71 015</w:t>
      </w:r>
      <w:r w:rsidRPr="00732D11">
        <w:t xml:space="preserve"> tis. Kč (z toho EU 8 tis. Kč). Prostředky byly vynaloženy zejména na:</w:t>
      </w:r>
    </w:p>
    <w:p w14:paraId="3ADEC4E0" w14:textId="73010D19" w:rsidR="001F1695" w:rsidRPr="00732D11" w:rsidRDefault="001F1695" w:rsidP="00B95654">
      <w:pPr>
        <w:numPr>
          <w:ilvl w:val="0"/>
          <w:numId w:val="35"/>
        </w:numPr>
        <w:tabs>
          <w:tab w:val="left" w:pos="1134"/>
        </w:tabs>
        <w:spacing w:before="60" w:after="60" w:line="259" w:lineRule="auto"/>
        <w:ind w:left="709" w:firstLine="0"/>
        <w:jc w:val="both"/>
        <w:rPr>
          <w:sz w:val="20"/>
          <w:szCs w:val="20"/>
        </w:rPr>
      </w:pPr>
      <w:r w:rsidRPr="00732D11">
        <w:rPr>
          <w:szCs w:val="20"/>
        </w:rPr>
        <w:t>Výrobu a personalizaci karet Digitál</w:t>
      </w:r>
      <w:r w:rsidR="00633088">
        <w:rPr>
          <w:szCs w:val="20"/>
        </w:rPr>
        <w:t>ního tachografu Č</w:t>
      </w:r>
      <w:r w:rsidR="00B95654">
        <w:rPr>
          <w:szCs w:val="20"/>
        </w:rPr>
        <w:t>R</w:t>
      </w:r>
      <w:r w:rsidR="00633088">
        <w:rPr>
          <w:szCs w:val="20"/>
        </w:rPr>
        <w:t xml:space="preserve"> </w:t>
      </w:r>
      <w:r w:rsidRPr="00732D11">
        <w:rPr>
          <w:szCs w:val="20"/>
        </w:rPr>
        <w:t>(27 171 tis. Kč)</w:t>
      </w:r>
      <w:r>
        <w:rPr>
          <w:szCs w:val="20"/>
        </w:rPr>
        <w:t>,</w:t>
      </w:r>
    </w:p>
    <w:p w14:paraId="0F33940E" w14:textId="77777777" w:rsidR="001F1695" w:rsidRPr="00732D11" w:rsidRDefault="001F1695" w:rsidP="00B95654">
      <w:pPr>
        <w:numPr>
          <w:ilvl w:val="0"/>
          <w:numId w:val="35"/>
        </w:numPr>
        <w:tabs>
          <w:tab w:val="left" w:pos="1134"/>
        </w:tabs>
        <w:spacing w:before="60" w:after="60" w:line="259" w:lineRule="auto"/>
        <w:ind w:left="709" w:firstLine="0"/>
        <w:jc w:val="both"/>
        <w:rPr>
          <w:szCs w:val="20"/>
        </w:rPr>
      </w:pPr>
      <w:r w:rsidRPr="00732D11">
        <w:rPr>
          <w:szCs w:val="20"/>
        </w:rPr>
        <w:t>Zajištění provozu aplikace Registru silničních vozidel (16 771 tis. Kč)</w:t>
      </w:r>
      <w:r>
        <w:rPr>
          <w:szCs w:val="20"/>
        </w:rPr>
        <w:t>,</w:t>
      </w:r>
    </w:p>
    <w:p w14:paraId="48C385EC" w14:textId="77777777" w:rsidR="001F1695" w:rsidRPr="00732D11" w:rsidRDefault="001F1695" w:rsidP="00B95654">
      <w:pPr>
        <w:numPr>
          <w:ilvl w:val="0"/>
          <w:numId w:val="35"/>
        </w:numPr>
        <w:tabs>
          <w:tab w:val="left" w:pos="1134"/>
        </w:tabs>
        <w:spacing w:before="60" w:after="60" w:line="259" w:lineRule="auto"/>
        <w:ind w:left="709" w:firstLine="0"/>
        <w:jc w:val="both"/>
        <w:rPr>
          <w:szCs w:val="20"/>
        </w:rPr>
      </w:pPr>
      <w:r w:rsidRPr="00732D11">
        <w:rPr>
          <w:szCs w:val="20"/>
        </w:rPr>
        <w:t>Zajištění provozu Informačního systému technických prohlídek (12 263 tis. Kč)</w:t>
      </w:r>
      <w:r>
        <w:rPr>
          <w:szCs w:val="20"/>
        </w:rPr>
        <w:t>,</w:t>
      </w:r>
    </w:p>
    <w:p w14:paraId="0FF5885A" w14:textId="77777777" w:rsidR="001F1695" w:rsidRDefault="001F1695" w:rsidP="00B95654">
      <w:pPr>
        <w:numPr>
          <w:ilvl w:val="0"/>
          <w:numId w:val="35"/>
        </w:numPr>
        <w:spacing w:before="60" w:after="60" w:line="259" w:lineRule="auto"/>
        <w:ind w:left="993" w:hanging="426"/>
        <w:jc w:val="both"/>
        <w:rPr>
          <w:szCs w:val="20"/>
        </w:rPr>
      </w:pPr>
      <w:r w:rsidRPr="00732D11">
        <w:rPr>
          <w:szCs w:val="20"/>
        </w:rPr>
        <w:t>Poskytování služby zaji</w:t>
      </w:r>
      <w:r>
        <w:rPr>
          <w:szCs w:val="20"/>
        </w:rPr>
        <w:t xml:space="preserve">štění pořízení </w:t>
      </w:r>
      <w:r w:rsidR="00E2031D">
        <w:rPr>
          <w:szCs w:val="20"/>
        </w:rPr>
        <w:t>digitalizované fotografie</w:t>
      </w:r>
      <w:r w:rsidRPr="00732D11">
        <w:rPr>
          <w:szCs w:val="20"/>
        </w:rPr>
        <w:t xml:space="preserve"> a digitalizovaného podpisu na pracovištích ORP (4 256 tis. Kč)</w:t>
      </w:r>
      <w:r>
        <w:rPr>
          <w:szCs w:val="20"/>
        </w:rPr>
        <w:t>,</w:t>
      </w:r>
    </w:p>
    <w:p w14:paraId="597CA176" w14:textId="77777777" w:rsidR="001F1695" w:rsidRDefault="001F1695" w:rsidP="00B95654">
      <w:pPr>
        <w:pStyle w:val="Znormal"/>
        <w:numPr>
          <w:ilvl w:val="0"/>
          <w:numId w:val="35"/>
        </w:numPr>
        <w:spacing w:before="60"/>
        <w:ind w:left="993" w:hanging="426"/>
      </w:pPr>
      <w:r w:rsidRPr="00972107">
        <w:t>Zajištění provozu a podpory ekonomického systému IFS 9 (3 449 tis. Kč)</w:t>
      </w:r>
      <w:r>
        <w:t>.</w:t>
      </w:r>
    </w:p>
    <w:p w14:paraId="1D4B119F" w14:textId="4CFD10D4" w:rsidR="001F1695" w:rsidRPr="004B11AC" w:rsidRDefault="001F1695" w:rsidP="0058437E">
      <w:pPr>
        <w:pStyle w:val="KOMtext"/>
        <w:rPr>
          <w:color w:val="FF0000"/>
        </w:rPr>
      </w:pPr>
      <w:r w:rsidRPr="00D83F2F">
        <w:t>Z celkových vyčerpaných běžných výdajů činily prostředky </w:t>
      </w:r>
      <w:r w:rsidRPr="003815E2">
        <w:t xml:space="preserve">EU 89 620 tis. Kč </w:t>
      </w:r>
      <w:r w:rsidRPr="00E74923">
        <w:t>(Operační program Zaměstnanost, Operační program Dopra</w:t>
      </w:r>
      <w:r w:rsidR="0058437E">
        <w:t xml:space="preserve">va 2014-2020 </w:t>
      </w:r>
      <w:r w:rsidR="00F42658">
        <w:t>(</w:t>
      </w:r>
      <w:r w:rsidR="0058437E">
        <w:t>Technická pomoc</w:t>
      </w:r>
      <w:r w:rsidR="00F42658">
        <w:t>)</w:t>
      </w:r>
      <w:r w:rsidR="0058437E">
        <w:t xml:space="preserve">, </w:t>
      </w:r>
      <w:r w:rsidRPr="00E74923">
        <w:t>Komunitární</w:t>
      </w:r>
      <w:r>
        <w:t xml:space="preserve"> programy</w:t>
      </w:r>
      <w:r w:rsidR="00F42658">
        <w:t xml:space="preserve"> 2014–2020 (</w:t>
      </w:r>
      <w:r w:rsidRPr="00E74923">
        <w:t>CEF</w:t>
      </w:r>
      <w:r w:rsidR="00F42658">
        <w:t>)</w:t>
      </w:r>
      <w:r w:rsidRPr="00E74923">
        <w:t>).</w:t>
      </w:r>
      <w:r w:rsidRPr="004B11AC">
        <w:rPr>
          <w:color w:val="FF0000"/>
        </w:rPr>
        <w:t xml:space="preserve">  </w:t>
      </w:r>
    </w:p>
    <w:p w14:paraId="63EFCDDC" w14:textId="77777777" w:rsidR="001F1695" w:rsidRPr="004B11AC" w:rsidRDefault="001F1695" w:rsidP="0058437E">
      <w:pPr>
        <w:pStyle w:val="KOMtext"/>
        <w:rPr>
          <w:color w:val="FF0000"/>
        </w:rPr>
      </w:pPr>
      <w:r w:rsidRPr="002C1C3F">
        <w:t>Výdaje na platy zaměstnanců a ostatní platby za provedenou práci a s tím související</w:t>
      </w:r>
      <w:r w:rsidRPr="004B11AC">
        <w:rPr>
          <w:color w:val="FF0000"/>
        </w:rPr>
        <w:t xml:space="preserve"> </w:t>
      </w:r>
      <w:r w:rsidRPr="002C1C3F">
        <w:t>povinné platby (pojistné a převod FKSP) v </w:t>
      </w:r>
      <w:r w:rsidRPr="00E62502">
        <w:t xml:space="preserve">absolutní výši </w:t>
      </w:r>
      <w:r w:rsidRPr="00C45089">
        <w:t>426 687 tis. Kč se podílí na celkovém objemu čerpání běžných výdajů</w:t>
      </w:r>
      <w:r>
        <w:rPr>
          <w:color w:val="FF0000"/>
        </w:rPr>
        <w:t xml:space="preserve"> </w:t>
      </w:r>
      <w:r w:rsidRPr="00277635">
        <w:t xml:space="preserve">6,29 %.  </w:t>
      </w:r>
    </w:p>
    <w:p w14:paraId="01B96D9B" w14:textId="04FC402F" w:rsidR="001F1695" w:rsidRPr="00FB4A7F" w:rsidRDefault="001F1695" w:rsidP="0058437E">
      <w:pPr>
        <w:pStyle w:val="KOMtext"/>
      </w:pPr>
      <w:r w:rsidRPr="00FB4A7F">
        <w:t>Prostředky ve výši 47 565 tis. Kč byly použity k</w:t>
      </w:r>
      <w:r w:rsidR="0058437E">
        <w:t> úhradě závazků vyplývajících</w:t>
      </w:r>
      <w:r w:rsidRPr="00FB4A7F">
        <w:t xml:space="preserve"> ze smlouvy </w:t>
      </w:r>
      <w:r w:rsidR="00F42658">
        <w:br/>
      </w:r>
      <w:r w:rsidRPr="00FB4A7F">
        <w:t xml:space="preserve">o poskytování služeb „Zajištění výcviku řídících letového provozu Armády České republiky“, která má zajistit zvýšení úrovně civilně-vojenské integrace řízení letového provozu ve vzdušném prostoru ČR prostřednictvím zajištění sjednocení výcviku vojenských a civilních řídících letového provozu. </w:t>
      </w:r>
    </w:p>
    <w:p w14:paraId="41AE9060" w14:textId="77777777" w:rsidR="001F1695" w:rsidRPr="004B11AC" w:rsidRDefault="001F1695" w:rsidP="0058437E">
      <w:pPr>
        <w:pStyle w:val="KOMtext"/>
        <w:rPr>
          <w:color w:val="FF0000"/>
        </w:rPr>
      </w:pPr>
      <w:r w:rsidRPr="00B5576B">
        <w:t>V rámci BESIPu bylo vyčerpáno 15 245 tis. Kč (v tom: prostředky rozpočtu 10</w:t>
      </w:r>
      <w:r>
        <w:t> </w:t>
      </w:r>
      <w:r w:rsidRPr="00B5576B">
        <w:t>252</w:t>
      </w:r>
      <w:r>
        <w:t xml:space="preserve"> tis. Kč,</w:t>
      </w:r>
      <w:r w:rsidRPr="00B5576B">
        <w:t xml:space="preserve"> nároky ve výši 1 164 tis. Kč a z  fondu zábrany škod </w:t>
      </w:r>
      <w:r>
        <w:t xml:space="preserve">ve výši </w:t>
      </w:r>
      <w:r w:rsidRPr="00B5576B">
        <w:t>3 829 tis. Kč</w:t>
      </w:r>
      <w:r>
        <w:t>)</w:t>
      </w:r>
      <w:r w:rsidRPr="00B5576B">
        <w:t>.</w:t>
      </w:r>
    </w:p>
    <w:p w14:paraId="60E58E23" w14:textId="77777777" w:rsidR="001F1695" w:rsidRPr="004B11AC" w:rsidRDefault="001F1695" w:rsidP="0058437E">
      <w:pPr>
        <w:pStyle w:val="KOMtext"/>
        <w:rPr>
          <w:color w:val="FF0000"/>
        </w:rPr>
      </w:pPr>
      <w:r w:rsidRPr="00E36CCC">
        <w:t xml:space="preserve">Z celkově vyčerpaných běžných výdajů tvoří ostatní neinvestiční výdaje </w:t>
      </w:r>
      <w:r w:rsidRPr="00277635">
        <w:t xml:space="preserve">93,71 %, </w:t>
      </w:r>
      <w:r w:rsidRPr="004B11AC">
        <w:rPr>
          <w:color w:val="FF0000"/>
        </w:rPr>
        <w:br/>
      </w:r>
      <w:r w:rsidRPr="003B5250">
        <w:t xml:space="preserve">tj. </w:t>
      </w:r>
      <w:r w:rsidRPr="00E36CCC">
        <w:t>absolutně 6 351 751 tis. Kč.</w:t>
      </w:r>
    </w:p>
    <w:p w14:paraId="618ACEB2" w14:textId="77777777" w:rsidR="001F1695" w:rsidRPr="0058437E" w:rsidRDefault="001F1695" w:rsidP="0058437E">
      <w:pPr>
        <w:pStyle w:val="KOMtext"/>
        <w:rPr>
          <w:color w:val="FF0000"/>
          <w:u w:val="single"/>
        </w:rPr>
      </w:pPr>
      <w:r w:rsidRPr="001F6132">
        <w:t xml:space="preserve">Z celkových výdajů na nákup materiálu ve výši 248 833 tis. Kč byly čerpány zejména </w:t>
      </w:r>
      <w:r w:rsidRPr="0058437E">
        <w:rPr>
          <w:u w:val="single"/>
        </w:rPr>
        <w:t>výdaje na zajištění financování činností dopravně správních agend, a to ve výši</w:t>
      </w:r>
      <w:r w:rsidR="0058437E">
        <w:rPr>
          <w:u w:val="single"/>
        </w:rPr>
        <w:t xml:space="preserve"> </w:t>
      </w:r>
      <w:r w:rsidRPr="0058437E">
        <w:rPr>
          <w:u w:val="single"/>
        </w:rPr>
        <w:t>217 359 tis. Kč.</w:t>
      </w:r>
    </w:p>
    <w:p w14:paraId="252877C7" w14:textId="77777777" w:rsidR="001F1695" w:rsidRPr="004B11AC" w:rsidRDefault="001F1695" w:rsidP="0058437E">
      <w:pPr>
        <w:pStyle w:val="KOMtext"/>
        <w:rPr>
          <w:color w:val="FF0000"/>
        </w:rPr>
      </w:pPr>
      <w:r w:rsidRPr="00E62502">
        <w:t xml:space="preserve">Na nákup vody, paliv a energií byla v roce 2019 vyčerpána </w:t>
      </w:r>
      <w:r w:rsidRPr="001D2F16">
        <w:t>částka 10 862 tis. Kč.</w:t>
      </w:r>
    </w:p>
    <w:p w14:paraId="1C87E377" w14:textId="77777777" w:rsidR="001F1695" w:rsidRPr="004B11AC" w:rsidRDefault="001F1695" w:rsidP="0058437E">
      <w:pPr>
        <w:pStyle w:val="KOMtext"/>
        <w:rPr>
          <w:color w:val="FF0000"/>
        </w:rPr>
      </w:pPr>
      <w:r w:rsidRPr="0087275D">
        <w:t>Výdaje na nákup služeb činily v roce 2019 celkovou výši 295 069 tis. Kč. Z</w:t>
      </w:r>
      <w:r w:rsidRPr="009229D1">
        <w:rPr>
          <w:color w:val="00B050"/>
        </w:rPr>
        <w:t xml:space="preserve"> </w:t>
      </w:r>
      <w:r w:rsidRPr="009A4AC9">
        <w:t xml:space="preserve">celkových </w:t>
      </w:r>
      <w:r w:rsidRPr="009229D1">
        <w:t xml:space="preserve">nákupů služeb </w:t>
      </w:r>
      <w:r w:rsidRPr="00225C3C">
        <w:t>činí největší podíl zpracování dat a služby související s infor</w:t>
      </w:r>
      <w:r w:rsidR="0058437E">
        <w:t>mačními</w:t>
      </w:r>
      <w:r w:rsidRPr="00225C3C">
        <w:t xml:space="preserve"> a komunikačními technologiemi (164 466 tis. Kč),</w:t>
      </w:r>
      <w:r w:rsidRPr="004B11AC">
        <w:rPr>
          <w:color w:val="FF0000"/>
        </w:rPr>
        <w:t xml:space="preserve"> </w:t>
      </w:r>
      <w:r w:rsidRPr="000E5AB9">
        <w:t>konzultační, pr</w:t>
      </w:r>
      <w:r w:rsidR="0058437E">
        <w:t xml:space="preserve">ávní a poradenské služby </w:t>
      </w:r>
      <w:r w:rsidRPr="000E5AB9">
        <w:t>(30 284 tis. Kč)</w:t>
      </w:r>
      <w:r>
        <w:rPr>
          <w:color w:val="FF0000"/>
        </w:rPr>
        <w:t xml:space="preserve"> </w:t>
      </w:r>
      <w:r w:rsidR="0058437E">
        <w:rPr>
          <w:color w:val="FF0000"/>
        </w:rPr>
        <w:br/>
      </w:r>
      <w:r w:rsidRPr="00C2402B">
        <w:t>a ostatní služby (90 624 tis. Kč).</w:t>
      </w:r>
    </w:p>
    <w:p w14:paraId="242DFB5D" w14:textId="77777777" w:rsidR="001F1695" w:rsidRPr="001864E5" w:rsidRDefault="001F1695" w:rsidP="0058437E">
      <w:pPr>
        <w:pStyle w:val="KOMtext"/>
        <w:rPr>
          <w:u w:val="single"/>
        </w:rPr>
      </w:pPr>
      <w:r w:rsidRPr="001864E5">
        <w:lastRenderedPageBreak/>
        <w:t>Na ostatní nákupy byly vyčerpány prostředky ve výši 19 399</w:t>
      </w:r>
      <w:r>
        <w:t xml:space="preserve"> tis. Kč (z toho cestovné ve výši 11 072 tis. Kč, opravy a udržování ve výši 3 292 tis. Kč).</w:t>
      </w:r>
    </w:p>
    <w:p w14:paraId="1310DBEE" w14:textId="77777777" w:rsidR="001F1695" w:rsidRPr="004F0C17" w:rsidRDefault="001F1695" w:rsidP="0058437E">
      <w:pPr>
        <w:pStyle w:val="KOMtext"/>
        <w:rPr>
          <w:b/>
          <w:u w:val="single"/>
        </w:rPr>
      </w:pPr>
      <w:r w:rsidRPr="004F0C17">
        <w:t>Výdaje související s neinvestičními nákupy, příspěvky, náhrady a věcné dary (bez výdajů na dopravní územní obslužnost) byly v roc</w:t>
      </w:r>
      <w:r>
        <w:t>e 2019</w:t>
      </w:r>
      <w:r w:rsidRPr="004F0C17">
        <w:t xml:space="preserve"> čerpány částkou 7 400 tis. Kč.</w:t>
      </w:r>
    </w:p>
    <w:p w14:paraId="08D1F555" w14:textId="77777777" w:rsidR="001F1695" w:rsidRPr="00CE67A5" w:rsidRDefault="00E2031D" w:rsidP="0058437E">
      <w:pPr>
        <w:pStyle w:val="KOMtext"/>
      </w:pPr>
      <w:r>
        <w:t xml:space="preserve">Výdaje na náhrady za nezpůsobenou </w:t>
      </w:r>
      <w:r w:rsidR="001F1695" w:rsidRPr="00CE67A5">
        <w:t xml:space="preserve">újmu byly v roce 2019 čerpány částkou ve výši </w:t>
      </w:r>
      <w:r w:rsidR="0058437E">
        <w:br/>
      </w:r>
      <w:r w:rsidR="001F1695" w:rsidRPr="00CE67A5">
        <w:t>5 761 505 tis. Kč. Největší podíl činí kompenzace ztráty vznikající dopravcům ve veřejné osobní dopravě přiznáváním státem nařízených slev z jízdného v roce 2019 ve výši 5 761 452 tis. Kč.</w:t>
      </w:r>
    </w:p>
    <w:p w14:paraId="79BD765F" w14:textId="77777777" w:rsidR="001F1695" w:rsidRPr="008C62B0" w:rsidRDefault="001F1695" w:rsidP="0058437E">
      <w:pPr>
        <w:pStyle w:val="KOMtext"/>
      </w:pPr>
      <w:r w:rsidRPr="008C62B0">
        <w:t>Ostatní výdaje v roce 2019 byly čerpány ve výši 8 683 tis. Kč.</w:t>
      </w:r>
    </w:p>
    <w:p w14:paraId="74731910" w14:textId="77777777" w:rsidR="001F1695" w:rsidRPr="00DF72EF" w:rsidRDefault="001F1695" w:rsidP="0058437E">
      <w:pPr>
        <w:pStyle w:val="KOMtext"/>
      </w:pPr>
      <w:r w:rsidRPr="00DF72EF">
        <w:t xml:space="preserve">Z celkových vyčerpaných finančních prostředků v roce 2019 činilo 180 672 </w:t>
      </w:r>
      <w:r w:rsidR="0058437E">
        <w:t>tis. Kč</w:t>
      </w:r>
      <w:r w:rsidRPr="00DF72EF">
        <w:t xml:space="preserve"> čerpání nároků z nespotřebovaných výdajů předchozích let.</w:t>
      </w:r>
    </w:p>
    <w:p w14:paraId="7E957312" w14:textId="77777777" w:rsidR="00FA7E1E" w:rsidRPr="00DE0323" w:rsidRDefault="00FA7E1E" w:rsidP="003F3157">
      <w:pPr>
        <w:pStyle w:val="Nadpis6"/>
      </w:pPr>
      <w:r w:rsidRPr="00DE0323">
        <w:t>Úřad pro civilní letectví</w:t>
      </w:r>
    </w:p>
    <w:p w14:paraId="466C67E9" w14:textId="77777777" w:rsidR="00DE0323" w:rsidRPr="004A5238" w:rsidRDefault="00DE0323" w:rsidP="003F3157">
      <w:pPr>
        <w:pStyle w:val="KOMtext"/>
      </w:pPr>
      <w:r w:rsidRPr="00D606DB">
        <w:t xml:space="preserve">Úřad pro civilní letectví byl zřízen zákonem č. 49/1997 Sb., o civilním letectví, ve znění pozdějších předpisů, jako správní úřad pro výkon státní správy ve věcech civilního letectví </w:t>
      </w:r>
      <w:r w:rsidRPr="00D606DB">
        <w:br/>
        <w:t>a je podřízen Ministerstvu dopravy. Mezi hlavní oblasti činnosti patří zejména vedení leteckého rejstříku (evidence letadel), schvalování typů letadel a jejich součástí, schvalování letové způsobilosti letadel, vydávání osvědčení a ověřování letové způsobilosti, schvalování nebo uznávání způsobilosti výrobků letecké techniky, vedení evidence leteckého personálu a vydávání průkazů způsobilosti leteckého personálu, vydávání povolení k provozování letiště, výkon funkce speciálního stavebního úřadu pro letecké stavby a vydávání osvědčení leteckého dopravce.</w:t>
      </w:r>
    </w:p>
    <w:p w14:paraId="47DB1E8D" w14:textId="77777777" w:rsidR="00DE0323" w:rsidRPr="004A5238" w:rsidRDefault="00DE0323" w:rsidP="003F3157">
      <w:pPr>
        <w:keepNext/>
        <w:ind w:left="357"/>
        <w:jc w:val="right"/>
      </w:pPr>
      <w:r w:rsidRPr="004A5238">
        <w:t>v tis. Kč</w:t>
      </w: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80"/>
        <w:gridCol w:w="1125"/>
        <w:gridCol w:w="1125"/>
        <w:gridCol w:w="1125"/>
        <w:gridCol w:w="1125"/>
        <w:gridCol w:w="859"/>
      </w:tblGrid>
      <w:tr w:rsidR="00DE0323" w:rsidRPr="004A5238" w14:paraId="2E30B90C" w14:textId="77777777" w:rsidTr="003F3157">
        <w:trPr>
          <w:tblHeader/>
        </w:trPr>
        <w:tc>
          <w:tcPr>
            <w:tcW w:w="3780" w:type="dxa"/>
          </w:tcPr>
          <w:p w14:paraId="3C2FD6F2" w14:textId="77777777" w:rsidR="00DE0323" w:rsidRPr="004A5238" w:rsidRDefault="00DE0323" w:rsidP="00DE0323">
            <w:pPr>
              <w:jc w:val="center"/>
              <w:rPr>
                <w:sz w:val="22"/>
              </w:rPr>
            </w:pPr>
          </w:p>
          <w:p w14:paraId="1255E5F2" w14:textId="77777777" w:rsidR="00DE0323" w:rsidRPr="004A5238" w:rsidRDefault="00DE0323" w:rsidP="00DE0323">
            <w:pPr>
              <w:jc w:val="center"/>
              <w:rPr>
                <w:sz w:val="22"/>
              </w:rPr>
            </w:pPr>
            <w:r w:rsidRPr="004A5238">
              <w:rPr>
                <w:sz w:val="22"/>
              </w:rPr>
              <w:t>Ukazatel</w:t>
            </w:r>
          </w:p>
        </w:tc>
        <w:tc>
          <w:tcPr>
            <w:tcW w:w="1125" w:type="dxa"/>
            <w:vAlign w:val="center"/>
          </w:tcPr>
          <w:p w14:paraId="04633B33" w14:textId="77777777" w:rsidR="00DE0323" w:rsidRPr="004A5238" w:rsidRDefault="00DE0323" w:rsidP="00DE0323">
            <w:pPr>
              <w:jc w:val="center"/>
              <w:rPr>
                <w:sz w:val="22"/>
              </w:rPr>
            </w:pPr>
            <w:r w:rsidRPr="004A5238">
              <w:rPr>
                <w:sz w:val="22"/>
              </w:rPr>
              <w:t>Skutečnost</w:t>
            </w:r>
          </w:p>
          <w:p w14:paraId="6DE2D589" w14:textId="77777777" w:rsidR="00DE0323" w:rsidRPr="004A5238" w:rsidRDefault="00DE0323" w:rsidP="00DE0323">
            <w:pPr>
              <w:jc w:val="center"/>
              <w:rPr>
                <w:sz w:val="22"/>
              </w:rPr>
            </w:pPr>
            <w:r w:rsidRPr="004A5238">
              <w:rPr>
                <w:sz w:val="22"/>
              </w:rPr>
              <w:t>2018</w:t>
            </w:r>
          </w:p>
        </w:tc>
        <w:tc>
          <w:tcPr>
            <w:tcW w:w="1125" w:type="dxa"/>
            <w:vAlign w:val="center"/>
          </w:tcPr>
          <w:p w14:paraId="3226E9F2" w14:textId="77777777" w:rsidR="00DE0323" w:rsidRPr="004A5238" w:rsidRDefault="00DE0323" w:rsidP="00DE0323">
            <w:pPr>
              <w:jc w:val="center"/>
              <w:rPr>
                <w:sz w:val="22"/>
              </w:rPr>
            </w:pPr>
            <w:r w:rsidRPr="004A5238">
              <w:rPr>
                <w:sz w:val="22"/>
              </w:rPr>
              <w:t>Schválený</w:t>
            </w:r>
          </w:p>
          <w:p w14:paraId="19E9C873" w14:textId="77777777" w:rsidR="00DE0323" w:rsidRPr="004A5238" w:rsidRDefault="00DE0323" w:rsidP="00DE0323">
            <w:pPr>
              <w:jc w:val="center"/>
              <w:rPr>
                <w:sz w:val="22"/>
              </w:rPr>
            </w:pPr>
            <w:r w:rsidRPr="004A5238">
              <w:rPr>
                <w:sz w:val="22"/>
              </w:rPr>
              <w:t>rozpočet</w:t>
            </w:r>
          </w:p>
          <w:p w14:paraId="38BBADF5" w14:textId="77777777" w:rsidR="00DE0323" w:rsidRPr="004A5238" w:rsidRDefault="00DE0323" w:rsidP="00DE0323">
            <w:pPr>
              <w:jc w:val="center"/>
              <w:rPr>
                <w:sz w:val="22"/>
              </w:rPr>
            </w:pPr>
            <w:r w:rsidRPr="004A5238">
              <w:rPr>
                <w:sz w:val="22"/>
              </w:rPr>
              <w:t>2019</w:t>
            </w:r>
          </w:p>
        </w:tc>
        <w:tc>
          <w:tcPr>
            <w:tcW w:w="1125" w:type="dxa"/>
            <w:vAlign w:val="center"/>
          </w:tcPr>
          <w:p w14:paraId="130D631A" w14:textId="77777777" w:rsidR="00DE0323" w:rsidRPr="004A5238" w:rsidRDefault="00DE0323" w:rsidP="00DE0323">
            <w:pPr>
              <w:jc w:val="center"/>
              <w:rPr>
                <w:sz w:val="22"/>
              </w:rPr>
            </w:pPr>
            <w:r w:rsidRPr="004A5238">
              <w:rPr>
                <w:sz w:val="22"/>
              </w:rPr>
              <w:t>Upravený</w:t>
            </w:r>
          </w:p>
          <w:p w14:paraId="039FA0C9" w14:textId="77777777" w:rsidR="00DE0323" w:rsidRPr="004A5238" w:rsidRDefault="00DE0323" w:rsidP="00DE0323">
            <w:pPr>
              <w:jc w:val="center"/>
              <w:rPr>
                <w:sz w:val="22"/>
              </w:rPr>
            </w:pPr>
            <w:r w:rsidRPr="004A5238">
              <w:rPr>
                <w:sz w:val="22"/>
              </w:rPr>
              <w:t>rozpočet</w:t>
            </w:r>
          </w:p>
          <w:p w14:paraId="1DE7E54F" w14:textId="77777777" w:rsidR="00DE0323" w:rsidRPr="004A5238" w:rsidRDefault="00DE0323" w:rsidP="00DE0323">
            <w:pPr>
              <w:jc w:val="center"/>
              <w:rPr>
                <w:sz w:val="22"/>
              </w:rPr>
            </w:pPr>
            <w:r w:rsidRPr="004A5238">
              <w:rPr>
                <w:sz w:val="22"/>
              </w:rPr>
              <w:t>2019</w:t>
            </w:r>
          </w:p>
        </w:tc>
        <w:tc>
          <w:tcPr>
            <w:tcW w:w="1125" w:type="dxa"/>
            <w:vAlign w:val="center"/>
          </w:tcPr>
          <w:p w14:paraId="6454DA91" w14:textId="77777777" w:rsidR="00DE0323" w:rsidRPr="00940734" w:rsidRDefault="00DE0323" w:rsidP="00DE0323">
            <w:pPr>
              <w:jc w:val="center"/>
              <w:rPr>
                <w:sz w:val="22"/>
              </w:rPr>
            </w:pPr>
            <w:r w:rsidRPr="00940734">
              <w:rPr>
                <w:sz w:val="22"/>
              </w:rPr>
              <w:t>Skutečnost</w:t>
            </w:r>
          </w:p>
          <w:p w14:paraId="2651E8D5" w14:textId="77777777" w:rsidR="00DE0323" w:rsidRPr="00940734" w:rsidRDefault="00DE0323" w:rsidP="00DE0323">
            <w:pPr>
              <w:jc w:val="center"/>
              <w:rPr>
                <w:sz w:val="22"/>
              </w:rPr>
            </w:pPr>
            <w:r w:rsidRPr="00940734">
              <w:rPr>
                <w:sz w:val="22"/>
              </w:rPr>
              <w:t>2019</w:t>
            </w:r>
          </w:p>
        </w:tc>
        <w:tc>
          <w:tcPr>
            <w:tcW w:w="859" w:type="dxa"/>
            <w:vAlign w:val="center"/>
          </w:tcPr>
          <w:p w14:paraId="2F5E0C65" w14:textId="77777777" w:rsidR="00DE0323" w:rsidRPr="004A5238" w:rsidRDefault="00DE0323" w:rsidP="00DE0323">
            <w:pPr>
              <w:jc w:val="center"/>
              <w:rPr>
                <w:sz w:val="22"/>
              </w:rPr>
            </w:pPr>
            <w:r w:rsidRPr="004A5238">
              <w:rPr>
                <w:sz w:val="22"/>
              </w:rPr>
              <w:t>Index</w:t>
            </w:r>
          </w:p>
          <w:p w14:paraId="460E5070" w14:textId="77777777" w:rsidR="00DE0323" w:rsidRPr="004A5238" w:rsidRDefault="00DE0323" w:rsidP="00DE0323">
            <w:pPr>
              <w:jc w:val="center"/>
              <w:rPr>
                <w:sz w:val="22"/>
              </w:rPr>
            </w:pPr>
            <w:r w:rsidRPr="004A5238">
              <w:rPr>
                <w:sz w:val="22"/>
              </w:rPr>
              <w:t>19/18        (v %)</w:t>
            </w:r>
          </w:p>
        </w:tc>
      </w:tr>
      <w:tr w:rsidR="00DE0323" w:rsidRPr="004A5238" w14:paraId="0FDD1FAA" w14:textId="77777777" w:rsidTr="003F3157">
        <w:trPr>
          <w:tblHeader/>
        </w:trPr>
        <w:tc>
          <w:tcPr>
            <w:tcW w:w="3780" w:type="dxa"/>
            <w:tcBorders>
              <w:bottom w:val="single" w:sz="4" w:space="0" w:color="auto"/>
            </w:tcBorders>
          </w:tcPr>
          <w:p w14:paraId="1E37CB77" w14:textId="77777777" w:rsidR="00DE0323" w:rsidRPr="004A5238" w:rsidRDefault="00DE0323" w:rsidP="00DE0323">
            <w:pPr>
              <w:jc w:val="center"/>
              <w:rPr>
                <w:sz w:val="22"/>
              </w:rPr>
            </w:pPr>
            <w:r w:rsidRPr="004A5238">
              <w:rPr>
                <w:sz w:val="22"/>
              </w:rPr>
              <w:t>a</w:t>
            </w:r>
          </w:p>
        </w:tc>
        <w:tc>
          <w:tcPr>
            <w:tcW w:w="1125" w:type="dxa"/>
            <w:tcBorders>
              <w:bottom w:val="single" w:sz="4" w:space="0" w:color="auto"/>
            </w:tcBorders>
          </w:tcPr>
          <w:p w14:paraId="5D85605B" w14:textId="77777777" w:rsidR="00DE0323" w:rsidRPr="004A5238" w:rsidRDefault="00DE0323" w:rsidP="00DE0323">
            <w:pPr>
              <w:jc w:val="center"/>
              <w:rPr>
                <w:sz w:val="22"/>
              </w:rPr>
            </w:pPr>
            <w:r w:rsidRPr="004A5238">
              <w:rPr>
                <w:sz w:val="22"/>
              </w:rPr>
              <w:t>1</w:t>
            </w:r>
          </w:p>
        </w:tc>
        <w:tc>
          <w:tcPr>
            <w:tcW w:w="1125" w:type="dxa"/>
            <w:tcBorders>
              <w:bottom w:val="single" w:sz="4" w:space="0" w:color="auto"/>
            </w:tcBorders>
          </w:tcPr>
          <w:p w14:paraId="60CE71E0" w14:textId="77777777" w:rsidR="00DE0323" w:rsidRPr="004A5238" w:rsidRDefault="00DE0323" w:rsidP="00DE0323">
            <w:pPr>
              <w:jc w:val="center"/>
              <w:rPr>
                <w:sz w:val="22"/>
              </w:rPr>
            </w:pPr>
            <w:r w:rsidRPr="004A5238">
              <w:rPr>
                <w:sz w:val="22"/>
              </w:rPr>
              <w:t>2</w:t>
            </w:r>
          </w:p>
        </w:tc>
        <w:tc>
          <w:tcPr>
            <w:tcW w:w="1125" w:type="dxa"/>
            <w:tcBorders>
              <w:bottom w:val="single" w:sz="4" w:space="0" w:color="auto"/>
            </w:tcBorders>
          </w:tcPr>
          <w:p w14:paraId="6AF39103" w14:textId="77777777" w:rsidR="00DE0323" w:rsidRPr="004A5238" w:rsidRDefault="00DE0323" w:rsidP="00DE0323">
            <w:pPr>
              <w:jc w:val="center"/>
              <w:rPr>
                <w:sz w:val="22"/>
              </w:rPr>
            </w:pPr>
            <w:r w:rsidRPr="004A5238">
              <w:rPr>
                <w:sz w:val="22"/>
              </w:rPr>
              <w:t>3</w:t>
            </w:r>
          </w:p>
        </w:tc>
        <w:tc>
          <w:tcPr>
            <w:tcW w:w="1125" w:type="dxa"/>
            <w:tcBorders>
              <w:bottom w:val="single" w:sz="4" w:space="0" w:color="auto"/>
            </w:tcBorders>
          </w:tcPr>
          <w:p w14:paraId="1D0F1CD9" w14:textId="77777777" w:rsidR="00DE0323" w:rsidRPr="00940734" w:rsidRDefault="00DE0323" w:rsidP="00DE0323">
            <w:pPr>
              <w:jc w:val="center"/>
              <w:rPr>
                <w:sz w:val="22"/>
              </w:rPr>
            </w:pPr>
            <w:r w:rsidRPr="00940734">
              <w:rPr>
                <w:sz w:val="22"/>
              </w:rPr>
              <w:t>4</w:t>
            </w:r>
          </w:p>
        </w:tc>
        <w:tc>
          <w:tcPr>
            <w:tcW w:w="859" w:type="dxa"/>
            <w:tcBorders>
              <w:bottom w:val="single" w:sz="4" w:space="0" w:color="auto"/>
            </w:tcBorders>
          </w:tcPr>
          <w:p w14:paraId="67D274F1" w14:textId="77777777" w:rsidR="00DE0323" w:rsidRPr="004A5238" w:rsidRDefault="00DE0323" w:rsidP="00DE0323">
            <w:pPr>
              <w:jc w:val="center"/>
              <w:rPr>
                <w:sz w:val="22"/>
              </w:rPr>
            </w:pPr>
            <w:r w:rsidRPr="004A5238">
              <w:rPr>
                <w:sz w:val="22"/>
              </w:rPr>
              <w:t>5</w:t>
            </w:r>
          </w:p>
        </w:tc>
      </w:tr>
      <w:tr w:rsidR="00DE0323" w:rsidRPr="004B11AC" w14:paraId="0FBBD876" w14:textId="77777777" w:rsidTr="003F3157">
        <w:trPr>
          <w:trHeight w:val="388"/>
          <w:tblHeader/>
        </w:trPr>
        <w:tc>
          <w:tcPr>
            <w:tcW w:w="3780" w:type="dxa"/>
            <w:tcBorders>
              <w:top w:val="single" w:sz="4" w:space="0" w:color="auto"/>
              <w:left w:val="single" w:sz="4" w:space="0" w:color="auto"/>
              <w:bottom w:val="nil"/>
              <w:right w:val="single" w:sz="4" w:space="0" w:color="auto"/>
            </w:tcBorders>
          </w:tcPr>
          <w:p w14:paraId="311475A1" w14:textId="77777777" w:rsidR="00DE0323" w:rsidRPr="004A5238" w:rsidRDefault="00DE0323" w:rsidP="00DE0323">
            <w:pPr>
              <w:pStyle w:val="Zkladntext"/>
              <w:rPr>
                <w:b/>
                <w:bCs/>
                <w:sz w:val="20"/>
              </w:rPr>
            </w:pPr>
            <w:r w:rsidRPr="004A5238">
              <w:rPr>
                <w:b/>
                <w:bCs/>
                <w:sz w:val="20"/>
              </w:rPr>
              <w:t xml:space="preserve">Běžné výdaje </w:t>
            </w:r>
          </w:p>
          <w:p w14:paraId="78F17627" w14:textId="77777777" w:rsidR="00DE0323" w:rsidRPr="004A5238" w:rsidRDefault="00DE0323" w:rsidP="00DE0323">
            <w:pPr>
              <w:jc w:val="both"/>
              <w:rPr>
                <w:sz w:val="20"/>
              </w:rPr>
            </w:pPr>
            <w:r w:rsidRPr="004A5238">
              <w:rPr>
                <w:sz w:val="20"/>
              </w:rPr>
              <w:t xml:space="preserve">v tom: </w:t>
            </w:r>
          </w:p>
        </w:tc>
        <w:tc>
          <w:tcPr>
            <w:tcW w:w="1125" w:type="dxa"/>
            <w:tcBorders>
              <w:top w:val="single" w:sz="4" w:space="0" w:color="auto"/>
              <w:left w:val="single" w:sz="4" w:space="0" w:color="auto"/>
              <w:bottom w:val="nil"/>
              <w:right w:val="single" w:sz="4" w:space="0" w:color="auto"/>
            </w:tcBorders>
          </w:tcPr>
          <w:p w14:paraId="624EC01C" w14:textId="77777777" w:rsidR="00DE0323" w:rsidRPr="004A5238" w:rsidRDefault="00DE0323" w:rsidP="00DE0323">
            <w:pPr>
              <w:spacing w:before="120"/>
              <w:jc w:val="right"/>
              <w:rPr>
                <w:b/>
                <w:bCs/>
                <w:sz w:val="20"/>
              </w:rPr>
            </w:pPr>
            <w:r w:rsidRPr="004A5238">
              <w:rPr>
                <w:b/>
                <w:bCs/>
                <w:sz w:val="20"/>
              </w:rPr>
              <w:t>169 714</w:t>
            </w:r>
          </w:p>
        </w:tc>
        <w:tc>
          <w:tcPr>
            <w:tcW w:w="1125" w:type="dxa"/>
            <w:tcBorders>
              <w:top w:val="single" w:sz="4" w:space="0" w:color="auto"/>
              <w:left w:val="single" w:sz="4" w:space="0" w:color="auto"/>
              <w:bottom w:val="nil"/>
              <w:right w:val="single" w:sz="4" w:space="0" w:color="auto"/>
            </w:tcBorders>
          </w:tcPr>
          <w:p w14:paraId="022CDB73" w14:textId="77777777" w:rsidR="00DE0323" w:rsidRPr="004A5238" w:rsidRDefault="00DE0323" w:rsidP="00DE0323">
            <w:pPr>
              <w:spacing w:before="120"/>
              <w:jc w:val="right"/>
              <w:rPr>
                <w:b/>
                <w:bCs/>
                <w:sz w:val="20"/>
              </w:rPr>
            </w:pPr>
            <w:r w:rsidRPr="004A5238">
              <w:rPr>
                <w:b/>
                <w:bCs/>
                <w:sz w:val="20"/>
              </w:rPr>
              <w:t>180 942</w:t>
            </w:r>
          </w:p>
        </w:tc>
        <w:tc>
          <w:tcPr>
            <w:tcW w:w="1125" w:type="dxa"/>
            <w:tcBorders>
              <w:top w:val="single" w:sz="4" w:space="0" w:color="auto"/>
              <w:left w:val="single" w:sz="4" w:space="0" w:color="auto"/>
              <w:bottom w:val="nil"/>
              <w:right w:val="single" w:sz="4" w:space="0" w:color="auto"/>
            </w:tcBorders>
          </w:tcPr>
          <w:p w14:paraId="0DEB8620" w14:textId="77777777" w:rsidR="00DE0323" w:rsidRPr="004A5238" w:rsidRDefault="00DE0323" w:rsidP="00DE0323">
            <w:pPr>
              <w:spacing w:before="120"/>
              <w:jc w:val="right"/>
              <w:rPr>
                <w:b/>
                <w:bCs/>
                <w:sz w:val="20"/>
              </w:rPr>
            </w:pPr>
            <w:r w:rsidRPr="004A5238">
              <w:rPr>
                <w:b/>
                <w:bCs/>
                <w:sz w:val="20"/>
              </w:rPr>
              <w:t>180 942</w:t>
            </w:r>
          </w:p>
        </w:tc>
        <w:tc>
          <w:tcPr>
            <w:tcW w:w="1125" w:type="dxa"/>
            <w:tcBorders>
              <w:top w:val="single" w:sz="4" w:space="0" w:color="auto"/>
              <w:left w:val="single" w:sz="4" w:space="0" w:color="auto"/>
              <w:bottom w:val="nil"/>
              <w:right w:val="single" w:sz="4" w:space="0" w:color="auto"/>
            </w:tcBorders>
          </w:tcPr>
          <w:p w14:paraId="1F8527B6" w14:textId="77777777" w:rsidR="00DE0323" w:rsidRPr="00940734" w:rsidRDefault="00DE0323" w:rsidP="00DE0323">
            <w:pPr>
              <w:spacing w:before="120"/>
              <w:jc w:val="right"/>
              <w:rPr>
                <w:b/>
                <w:bCs/>
                <w:sz w:val="20"/>
              </w:rPr>
            </w:pPr>
            <w:r w:rsidRPr="00940734">
              <w:rPr>
                <w:b/>
                <w:bCs/>
                <w:sz w:val="20"/>
              </w:rPr>
              <w:t>182 292</w:t>
            </w:r>
          </w:p>
        </w:tc>
        <w:tc>
          <w:tcPr>
            <w:tcW w:w="859" w:type="dxa"/>
            <w:tcBorders>
              <w:top w:val="single" w:sz="4" w:space="0" w:color="auto"/>
              <w:left w:val="single" w:sz="4" w:space="0" w:color="auto"/>
              <w:bottom w:val="nil"/>
              <w:right w:val="single" w:sz="4" w:space="0" w:color="auto"/>
            </w:tcBorders>
          </w:tcPr>
          <w:p w14:paraId="5251306E" w14:textId="77777777" w:rsidR="00DE0323" w:rsidRPr="00940734" w:rsidRDefault="00DE0323" w:rsidP="00DE0323">
            <w:pPr>
              <w:spacing w:before="120"/>
              <w:jc w:val="right"/>
              <w:rPr>
                <w:b/>
                <w:bCs/>
                <w:sz w:val="20"/>
              </w:rPr>
            </w:pPr>
            <w:r w:rsidRPr="00940734">
              <w:rPr>
                <w:b/>
                <w:bCs/>
                <w:sz w:val="20"/>
              </w:rPr>
              <w:t>107,41</w:t>
            </w:r>
          </w:p>
        </w:tc>
      </w:tr>
      <w:tr w:rsidR="00DE0323" w:rsidRPr="004B11AC" w14:paraId="02FC28FC" w14:textId="77777777" w:rsidTr="003F3157">
        <w:trPr>
          <w:tblHeader/>
        </w:trPr>
        <w:tc>
          <w:tcPr>
            <w:tcW w:w="3780" w:type="dxa"/>
            <w:tcBorders>
              <w:top w:val="nil"/>
              <w:left w:val="single" w:sz="4" w:space="0" w:color="auto"/>
              <w:bottom w:val="nil"/>
              <w:right w:val="single" w:sz="4" w:space="0" w:color="auto"/>
            </w:tcBorders>
          </w:tcPr>
          <w:p w14:paraId="346BDAF2" w14:textId="77777777" w:rsidR="00DE0323" w:rsidRPr="004A5238" w:rsidRDefault="00DE0323" w:rsidP="00DE0323">
            <w:pPr>
              <w:jc w:val="both"/>
              <w:rPr>
                <w:sz w:val="20"/>
              </w:rPr>
            </w:pPr>
            <w:r w:rsidRPr="004A5238">
              <w:rPr>
                <w:sz w:val="20"/>
              </w:rPr>
              <w:t xml:space="preserve">platy zaměstnanců a ostatní platby </w:t>
            </w:r>
          </w:p>
          <w:p w14:paraId="28BB329C" w14:textId="77777777" w:rsidR="00DE0323" w:rsidRPr="004A5238" w:rsidRDefault="00DE0323" w:rsidP="00DE0323">
            <w:pPr>
              <w:jc w:val="both"/>
              <w:rPr>
                <w:sz w:val="20"/>
              </w:rPr>
            </w:pPr>
            <w:r w:rsidRPr="004A5238">
              <w:rPr>
                <w:sz w:val="20"/>
              </w:rPr>
              <w:t>za provedenou práci</w:t>
            </w:r>
          </w:p>
        </w:tc>
        <w:tc>
          <w:tcPr>
            <w:tcW w:w="1125" w:type="dxa"/>
            <w:tcBorders>
              <w:top w:val="nil"/>
              <w:left w:val="single" w:sz="4" w:space="0" w:color="auto"/>
              <w:bottom w:val="nil"/>
              <w:right w:val="single" w:sz="4" w:space="0" w:color="auto"/>
            </w:tcBorders>
            <w:vAlign w:val="bottom"/>
          </w:tcPr>
          <w:p w14:paraId="30914318" w14:textId="77777777" w:rsidR="00DE0323" w:rsidRPr="004A5238" w:rsidRDefault="00DE0323" w:rsidP="00DE0323">
            <w:pPr>
              <w:jc w:val="right"/>
              <w:rPr>
                <w:sz w:val="20"/>
              </w:rPr>
            </w:pPr>
            <w:r w:rsidRPr="004A5238">
              <w:rPr>
                <w:sz w:val="20"/>
              </w:rPr>
              <w:t>97 235</w:t>
            </w:r>
          </w:p>
        </w:tc>
        <w:tc>
          <w:tcPr>
            <w:tcW w:w="1125" w:type="dxa"/>
            <w:tcBorders>
              <w:top w:val="nil"/>
              <w:left w:val="single" w:sz="4" w:space="0" w:color="auto"/>
              <w:bottom w:val="nil"/>
              <w:right w:val="single" w:sz="4" w:space="0" w:color="auto"/>
            </w:tcBorders>
          </w:tcPr>
          <w:p w14:paraId="4FC7C0F1" w14:textId="77777777" w:rsidR="00DE0323" w:rsidRPr="004A5238" w:rsidRDefault="00DE0323" w:rsidP="00DE0323">
            <w:pPr>
              <w:jc w:val="right"/>
              <w:rPr>
                <w:sz w:val="20"/>
              </w:rPr>
            </w:pPr>
          </w:p>
          <w:p w14:paraId="3D41B37E" w14:textId="77777777" w:rsidR="00DE0323" w:rsidRPr="004A5238" w:rsidRDefault="00DE0323" w:rsidP="00DE0323">
            <w:pPr>
              <w:jc w:val="right"/>
              <w:rPr>
                <w:sz w:val="20"/>
              </w:rPr>
            </w:pPr>
            <w:r w:rsidRPr="004A5238">
              <w:rPr>
                <w:sz w:val="20"/>
              </w:rPr>
              <w:t>104 326</w:t>
            </w:r>
          </w:p>
        </w:tc>
        <w:tc>
          <w:tcPr>
            <w:tcW w:w="1125" w:type="dxa"/>
            <w:tcBorders>
              <w:top w:val="nil"/>
              <w:left w:val="single" w:sz="4" w:space="0" w:color="auto"/>
              <w:bottom w:val="nil"/>
              <w:right w:val="single" w:sz="4" w:space="0" w:color="auto"/>
            </w:tcBorders>
          </w:tcPr>
          <w:p w14:paraId="1C8FCFBA" w14:textId="77777777" w:rsidR="00DE0323" w:rsidRPr="004A5238" w:rsidRDefault="00DE0323" w:rsidP="00DE0323">
            <w:pPr>
              <w:jc w:val="right"/>
              <w:rPr>
                <w:sz w:val="20"/>
              </w:rPr>
            </w:pPr>
          </w:p>
          <w:p w14:paraId="5420DC13" w14:textId="77777777" w:rsidR="00DE0323" w:rsidRPr="004A5238" w:rsidRDefault="00DE0323" w:rsidP="00DE0323">
            <w:pPr>
              <w:jc w:val="right"/>
              <w:rPr>
                <w:sz w:val="20"/>
              </w:rPr>
            </w:pPr>
            <w:r w:rsidRPr="004A5238">
              <w:rPr>
                <w:sz w:val="20"/>
              </w:rPr>
              <w:t>104 326</w:t>
            </w:r>
          </w:p>
        </w:tc>
        <w:tc>
          <w:tcPr>
            <w:tcW w:w="1125" w:type="dxa"/>
            <w:tcBorders>
              <w:top w:val="nil"/>
              <w:left w:val="single" w:sz="4" w:space="0" w:color="auto"/>
              <w:bottom w:val="nil"/>
              <w:right w:val="single" w:sz="4" w:space="0" w:color="auto"/>
            </w:tcBorders>
            <w:vAlign w:val="bottom"/>
          </w:tcPr>
          <w:p w14:paraId="0BA7A603" w14:textId="77777777" w:rsidR="00DE0323" w:rsidRPr="00940734" w:rsidRDefault="00DE0323" w:rsidP="00DE0323">
            <w:pPr>
              <w:jc w:val="right"/>
              <w:rPr>
                <w:sz w:val="20"/>
              </w:rPr>
            </w:pPr>
            <w:r w:rsidRPr="00940734">
              <w:rPr>
                <w:sz w:val="20"/>
              </w:rPr>
              <w:t>103 434</w:t>
            </w:r>
          </w:p>
        </w:tc>
        <w:tc>
          <w:tcPr>
            <w:tcW w:w="859" w:type="dxa"/>
            <w:tcBorders>
              <w:top w:val="nil"/>
              <w:left w:val="single" w:sz="4" w:space="0" w:color="auto"/>
              <w:bottom w:val="nil"/>
              <w:right w:val="single" w:sz="4" w:space="0" w:color="auto"/>
            </w:tcBorders>
          </w:tcPr>
          <w:p w14:paraId="39988427" w14:textId="77777777" w:rsidR="00DE0323" w:rsidRPr="00940734" w:rsidRDefault="00DE0323" w:rsidP="00DE0323">
            <w:pPr>
              <w:jc w:val="right"/>
              <w:rPr>
                <w:sz w:val="20"/>
              </w:rPr>
            </w:pPr>
          </w:p>
          <w:p w14:paraId="2B129573" w14:textId="77777777" w:rsidR="00DE0323" w:rsidRPr="00940734" w:rsidRDefault="00DE0323" w:rsidP="00DE0323">
            <w:pPr>
              <w:jc w:val="right"/>
              <w:rPr>
                <w:sz w:val="20"/>
              </w:rPr>
            </w:pPr>
            <w:r w:rsidRPr="00940734">
              <w:rPr>
                <w:sz w:val="20"/>
              </w:rPr>
              <w:t>106,38</w:t>
            </w:r>
          </w:p>
        </w:tc>
      </w:tr>
      <w:tr w:rsidR="00DE0323" w:rsidRPr="004B11AC" w14:paraId="2038C0A5" w14:textId="77777777" w:rsidTr="003F3157">
        <w:trPr>
          <w:tblHeader/>
        </w:trPr>
        <w:tc>
          <w:tcPr>
            <w:tcW w:w="3780" w:type="dxa"/>
            <w:tcBorders>
              <w:top w:val="nil"/>
              <w:left w:val="single" w:sz="4" w:space="0" w:color="auto"/>
              <w:bottom w:val="nil"/>
              <w:right w:val="single" w:sz="4" w:space="0" w:color="auto"/>
            </w:tcBorders>
          </w:tcPr>
          <w:p w14:paraId="1EBCF49C" w14:textId="77777777" w:rsidR="00DE0323" w:rsidRPr="004A5238" w:rsidRDefault="00DE0323" w:rsidP="00DE0323">
            <w:pPr>
              <w:jc w:val="both"/>
              <w:rPr>
                <w:sz w:val="20"/>
              </w:rPr>
            </w:pPr>
            <w:r w:rsidRPr="004A5238">
              <w:rPr>
                <w:sz w:val="20"/>
              </w:rPr>
              <w:t>povinné pojistné placené zaměstnavatelem</w:t>
            </w:r>
          </w:p>
        </w:tc>
        <w:tc>
          <w:tcPr>
            <w:tcW w:w="1125" w:type="dxa"/>
            <w:tcBorders>
              <w:top w:val="nil"/>
              <w:left w:val="single" w:sz="4" w:space="0" w:color="auto"/>
              <w:bottom w:val="nil"/>
              <w:right w:val="single" w:sz="4" w:space="0" w:color="auto"/>
            </w:tcBorders>
            <w:vAlign w:val="bottom"/>
          </w:tcPr>
          <w:p w14:paraId="5200CCD4" w14:textId="77777777" w:rsidR="00DE0323" w:rsidRPr="004A5238" w:rsidRDefault="00DE0323" w:rsidP="00DE0323">
            <w:pPr>
              <w:jc w:val="right"/>
              <w:rPr>
                <w:sz w:val="20"/>
              </w:rPr>
            </w:pPr>
            <w:r w:rsidRPr="004A5238">
              <w:rPr>
                <w:sz w:val="20"/>
              </w:rPr>
              <w:t>33 053</w:t>
            </w:r>
          </w:p>
        </w:tc>
        <w:tc>
          <w:tcPr>
            <w:tcW w:w="1125" w:type="dxa"/>
            <w:tcBorders>
              <w:top w:val="nil"/>
              <w:left w:val="single" w:sz="4" w:space="0" w:color="auto"/>
              <w:bottom w:val="nil"/>
              <w:right w:val="single" w:sz="4" w:space="0" w:color="auto"/>
            </w:tcBorders>
          </w:tcPr>
          <w:p w14:paraId="03BECECA" w14:textId="77777777" w:rsidR="00DE0323" w:rsidRPr="004A5238" w:rsidRDefault="00DE0323" w:rsidP="00DE0323">
            <w:pPr>
              <w:jc w:val="right"/>
              <w:rPr>
                <w:sz w:val="20"/>
              </w:rPr>
            </w:pPr>
            <w:r w:rsidRPr="004A5238">
              <w:rPr>
                <w:sz w:val="20"/>
              </w:rPr>
              <w:t>35 471</w:t>
            </w:r>
          </w:p>
        </w:tc>
        <w:tc>
          <w:tcPr>
            <w:tcW w:w="1125" w:type="dxa"/>
            <w:tcBorders>
              <w:top w:val="nil"/>
              <w:left w:val="single" w:sz="4" w:space="0" w:color="auto"/>
              <w:bottom w:val="nil"/>
              <w:right w:val="single" w:sz="4" w:space="0" w:color="auto"/>
            </w:tcBorders>
          </w:tcPr>
          <w:p w14:paraId="4A0FD2D4" w14:textId="77777777" w:rsidR="00DE0323" w:rsidRPr="004A5238" w:rsidRDefault="00DE0323" w:rsidP="00DE0323">
            <w:pPr>
              <w:jc w:val="right"/>
              <w:rPr>
                <w:sz w:val="20"/>
              </w:rPr>
            </w:pPr>
            <w:r w:rsidRPr="004A5238">
              <w:rPr>
                <w:sz w:val="20"/>
              </w:rPr>
              <w:t>35 471</w:t>
            </w:r>
          </w:p>
        </w:tc>
        <w:tc>
          <w:tcPr>
            <w:tcW w:w="1125" w:type="dxa"/>
            <w:tcBorders>
              <w:top w:val="nil"/>
              <w:left w:val="single" w:sz="4" w:space="0" w:color="auto"/>
              <w:bottom w:val="nil"/>
              <w:right w:val="single" w:sz="4" w:space="0" w:color="auto"/>
            </w:tcBorders>
            <w:vAlign w:val="bottom"/>
          </w:tcPr>
          <w:p w14:paraId="5C17F8BD" w14:textId="77777777" w:rsidR="00DE0323" w:rsidRPr="00940734" w:rsidRDefault="00DE0323" w:rsidP="00DE0323">
            <w:pPr>
              <w:jc w:val="right"/>
              <w:rPr>
                <w:sz w:val="20"/>
              </w:rPr>
            </w:pPr>
            <w:r w:rsidRPr="00940734">
              <w:rPr>
                <w:sz w:val="20"/>
              </w:rPr>
              <w:t>35 011</w:t>
            </w:r>
          </w:p>
        </w:tc>
        <w:tc>
          <w:tcPr>
            <w:tcW w:w="859" w:type="dxa"/>
            <w:tcBorders>
              <w:top w:val="nil"/>
              <w:left w:val="single" w:sz="4" w:space="0" w:color="auto"/>
              <w:bottom w:val="nil"/>
              <w:right w:val="single" w:sz="4" w:space="0" w:color="auto"/>
            </w:tcBorders>
          </w:tcPr>
          <w:p w14:paraId="1EAE4FD1" w14:textId="77777777" w:rsidR="00DE0323" w:rsidRPr="00940734" w:rsidRDefault="00DE0323" w:rsidP="00DE0323">
            <w:pPr>
              <w:jc w:val="right"/>
              <w:rPr>
                <w:sz w:val="20"/>
              </w:rPr>
            </w:pPr>
            <w:r w:rsidRPr="00940734">
              <w:rPr>
                <w:sz w:val="20"/>
              </w:rPr>
              <w:t>105,92</w:t>
            </w:r>
          </w:p>
        </w:tc>
      </w:tr>
      <w:tr w:rsidR="00DE0323" w:rsidRPr="004B11AC" w14:paraId="7CC64F3D" w14:textId="77777777" w:rsidTr="003F3157">
        <w:trPr>
          <w:tblHeader/>
        </w:trPr>
        <w:tc>
          <w:tcPr>
            <w:tcW w:w="3780" w:type="dxa"/>
            <w:tcBorders>
              <w:top w:val="nil"/>
              <w:left w:val="single" w:sz="4" w:space="0" w:color="auto"/>
              <w:bottom w:val="nil"/>
              <w:right w:val="single" w:sz="4" w:space="0" w:color="auto"/>
            </w:tcBorders>
          </w:tcPr>
          <w:p w14:paraId="3C434ADD" w14:textId="77777777" w:rsidR="00DE0323" w:rsidRPr="004A5238" w:rsidRDefault="00DE0323" w:rsidP="00DE0323">
            <w:pPr>
              <w:jc w:val="both"/>
              <w:rPr>
                <w:sz w:val="20"/>
              </w:rPr>
            </w:pPr>
            <w:r w:rsidRPr="004A5238">
              <w:rPr>
                <w:sz w:val="20"/>
              </w:rPr>
              <w:t>převod FKSP</w:t>
            </w:r>
          </w:p>
        </w:tc>
        <w:tc>
          <w:tcPr>
            <w:tcW w:w="1125" w:type="dxa"/>
            <w:tcBorders>
              <w:top w:val="nil"/>
              <w:left w:val="single" w:sz="4" w:space="0" w:color="auto"/>
              <w:bottom w:val="nil"/>
              <w:right w:val="single" w:sz="4" w:space="0" w:color="auto"/>
            </w:tcBorders>
            <w:vAlign w:val="bottom"/>
          </w:tcPr>
          <w:p w14:paraId="7C9BE0B7" w14:textId="77777777" w:rsidR="00DE0323" w:rsidRPr="004A5238" w:rsidRDefault="00DE0323" w:rsidP="00DE0323">
            <w:pPr>
              <w:jc w:val="right"/>
              <w:rPr>
                <w:sz w:val="20"/>
              </w:rPr>
            </w:pPr>
            <w:r w:rsidRPr="004A5238">
              <w:rPr>
                <w:sz w:val="20"/>
              </w:rPr>
              <w:t>1 942</w:t>
            </w:r>
          </w:p>
        </w:tc>
        <w:tc>
          <w:tcPr>
            <w:tcW w:w="1125" w:type="dxa"/>
            <w:tcBorders>
              <w:top w:val="nil"/>
              <w:left w:val="single" w:sz="4" w:space="0" w:color="auto"/>
              <w:bottom w:val="nil"/>
              <w:right w:val="single" w:sz="4" w:space="0" w:color="auto"/>
            </w:tcBorders>
          </w:tcPr>
          <w:p w14:paraId="0308C3EC" w14:textId="77777777" w:rsidR="00DE0323" w:rsidRPr="004A5238" w:rsidRDefault="00DE0323" w:rsidP="00DE0323">
            <w:pPr>
              <w:jc w:val="right"/>
              <w:rPr>
                <w:sz w:val="20"/>
              </w:rPr>
            </w:pPr>
            <w:r w:rsidRPr="004A5238">
              <w:rPr>
                <w:sz w:val="20"/>
              </w:rPr>
              <w:t>2 074</w:t>
            </w:r>
          </w:p>
        </w:tc>
        <w:tc>
          <w:tcPr>
            <w:tcW w:w="1125" w:type="dxa"/>
            <w:tcBorders>
              <w:top w:val="nil"/>
              <w:left w:val="single" w:sz="4" w:space="0" w:color="auto"/>
              <w:bottom w:val="nil"/>
              <w:right w:val="single" w:sz="4" w:space="0" w:color="auto"/>
            </w:tcBorders>
          </w:tcPr>
          <w:p w14:paraId="0250D688" w14:textId="77777777" w:rsidR="00DE0323" w:rsidRPr="004A5238" w:rsidRDefault="00DE0323" w:rsidP="00DE0323">
            <w:pPr>
              <w:jc w:val="right"/>
              <w:rPr>
                <w:sz w:val="20"/>
              </w:rPr>
            </w:pPr>
            <w:r w:rsidRPr="004A5238">
              <w:rPr>
                <w:sz w:val="20"/>
              </w:rPr>
              <w:t>2 074</w:t>
            </w:r>
          </w:p>
        </w:tc>
        <w:tc>
          <w:tcPr>
            <w:tcW w:w="1125" w:type="dxa"/>
            <w:tcBorders>
              <w:top w:val="nil"/>
              <w:left w:val="single" w:sz="4" w:space="0" w:color="auto"/>
              <w:bottom w:val="nil"/>
              <w:right w:val="single" w:sz="4" w:space="0" w:color="auto"/>
            </w:tcBorders>
            <w:vAlign w:val="bottom"/>
          </w:tcPr>
          <w:p w14:paraId="7242CFCF" w14:textId="77777777" w:rsidR="00DE0323" w:rsidRPr="00940734" w:rsidRDefault="00DE0323" w:rsidP="00DE0323">
            <w:pPr>
              <w:jc w:val="right"/>
              <w:rPr>
                <w:sz w:val="20"/>
              </w:rPr>
            </w:pPr>
            <w:r w:rsidRPr="00940734">
              <w:rPr>
                <w:sz w:val="20"/>
              </w:rPr>
              <w:t>2 059</w:t>
            </w:r>
          </w:p>
        </w:tc>
        <w:tc>
          <w:tcPr>
            <w:tcW w:w="859" w:type="dxa"/>
            <w:tcBorders>
              <w:top w:val="nil"/>
              <w:left w:val="single" w:sz="4" w:space="0" w:color="auto"/>
              <w:bottom w:val="nil"/>
              <w:right w:val="single" w:sz="4" w:space="0" w:color="auto"/>
            </w:tcBorders>
          </w:tcPr>
          <w:p w14:paraId="082B3614" w14:textId="77777777" w:rsidR="00DE0323" w:rsidRPr="00940734" w:rsidRDefault="00DE0323" w:rsidP="00DE0323">
            <w:pPr>
              <w:jc w:val="right"/>
              <w:rPr>
                <w:sz w:val="20"/>
              </w:rPr>
            </w:pPr>
            <w:r w:rsidRPr="00940734">
              <w:rPr>
                <w:sz w:val="20"/>
              </w:rPr>
              <w:t>106,02</w:t>
            </w:r>
          </w:p>
        </w:tc>
      </w:tr>
      <w:tr w:rsidR="00DE0323" w:rsidRPr="004B11AC" w14:paraId="49B27258" w14:textId="77777777" w:rsidTr="003F3157">
        <w:trPr>
          <w:tblHeader/>
        </w:trPr>
        <w:tc>
          <w:tcPr>
            <w:tcW w:w="3780" w:type="dxa"/>
            <w:tcBorders>
              <w:top w:val="nil"/>
              <w:left w:val="single" w:sz="4" w:space="0" w:color="auto"/>
              <w:bottom w:val="nil"/>
              <w:right w:val="single" w:sz="4" w:space="0" w:color="auto"/>
            </w:tcBorders>
          </w:tcPr>
          <w:p w14:paraId="5EDADD48" w14:textId="77777777" w:rsidR="00DE0323" w:rsidRPr="004A5238" w:rsidRDefault="00DE0323" w:rsidP="00DE0323">
            <w:pPr>
              <w:jc w:val="both"/>
              <w:rPr>
                <w:sz w:val="20"/>
              </w:rPr>
            </w:pPr>
            <w:r w:rsidRPr="004A5238">
              <w:rPr>
                <w:sz w:val="20"/>
              </w:rPr>
              <w:t xml:space="preserve"> ostatní neinvestiční výdaje</w:t>
            </w:r>
          </w:p>
        </w:tc>
        <w:tc>
          <w:tcPr>
            <w:tcW w:w="1125" w:type="dxa"/>
            <w:tcBorders>
              <w:top w:val="nil"/>
              <w:left w:val="single" w:sz="4" w:space="0" w:color="auto"/>
              <w:bottom w:val="nil"/>
              <w:right w:val="single" w:sz="4" w:space="0" w:color="auto"/>
            </w:tcBorders>
            <w:vAlign w:val="bottom"/>
          </w:tcPr>
          <w:p w14:paraId="0D67F265" w14:textId="77777777" w:rsidR="00DE0323" w:rsidRPr="004A5238" w:rsidRDefault="00DE0323" w:rsidP="00DE0323">
            <w:pPr>
              <w:jc w:val="right"/>
              <w:rPr>
                <w:sz w:val="20"/>
              </w:rPr>
            </w:pPr>
            <w:r w:rsidRPr="004A5238">
              <w:rPr>
                <w:sz w:val="20"/>
              </w:rPr>
              <w:t>37 484</w:t>
            </w:r>
          </w:p>
        </w:tc>
        <w:tc>
          <w:tcPr>
            <w:tcW w:w="1125" w:type="dxa"/>
            <w:tcBorders>
              <w:top w:val="nil"/>
              <w:left w:val="single" w:sz="4" w:space="0" w:color="auto"/>
              <w:bottom w:val="nil"/>
              <w:right w:val="single" w:sz="4" w:space="0" w:color="auto"/>
            </w:tcBorders>
          </w:tcPr>
          <w:p w14:paraId="67CABAFF" w14:textId="77777777" w:rsidR="00DE0323" w:rsidRPr="004A5238" w:rsidRDefault="00DE0323" w:rsidP="00DE0323">
            <w:pPr>
              <w:jc w:val="right"/>
              <w:rPr>
                <w:sz w:val="20"/>
              </w:rPr>
            </w:pPr>
            <w:r w:rsidRPr="004A5238">
              <w:rPr>
                <w:sz w:val="20"/>
              </w:rPr>
              <w:t>39 071</w:t>
            </w:r>
          </w:p>
        </w:tc>
        <w:tc>
          <w:tcPr>
            <w:tcW w:w="1125" w:type="dxa"/>
            <w:tcBorders>
              <w:top w:val="nil"/>
              <w:left w:val="single" w:sz="4" w:space="0" w:color="auto"/>
              <w:bottom w:val="nil"/>
              <w:right w:val="single" w:sz="4" w:space="0" w:color="auto"/>
            </w:tcBorders>
          </w:tcPr>
          <w:p w14:paraId="6774AC37" w14:textId="77777777" w:rsidR="00DE0323" w:rsidRPr="004A5238" w:rsidRDefault="00DE0323" w:rsidP="00DE0323">
            <w:pPr>
              <w:jc w:val="right"/>
              <w:rPr>
                <w:sz w:val="20"/>
              </w:rPr>
            </w:pPr>
            <w:r w:rsidRPr="004A5238">
              <w:rPr>
                <w:sz w:val="20"/>
              </w:rPr>
              <w:t>39 071</w:t>
            </w:r>
          </w:p>
        </w:tc>
        <w:tc>
          <w:tcPr>
            <w:tcW w:w="1125" w:type="dxa"/>
            <w:tcBorders>
              <w:top w:val="nil"/>
              <w:left w:val="single" w:sz="4" w:space="0" w:color="auto"/>
              <w:bottom w:val="nil"/>
              <w:right w:val="single" w:sz="4" w:space="0" w:color="auto"/>
            </w:tcBorders>
            <w:vAlign w:val="bottom"/>
          </w:tcPr>
          <w:p w14:paraId="01FFA32F" w14:textId="77777777" w:rsidR="00DE0323" w:rsidRPr="00940734" w:rsidRDefault="00DE0323" w:rsidP="00DE0323">
            <w:pPr>
              <w:jc w:val="right"/>
              <w:rPr>
                <w:sz w:val="20"/>
              </w:rPr>
            </w:pPr>
            <w:r w:rsidRPr="00940734">
              <w:rPr>
                <w:sz w:val="20"/>
              </w:rPr>
              <w:t>41 788</w:t>
            </w:r>
          </w:p>
        </w:tc>
        <w:tc>
          <w:tcPr>
            <w:tcW w:w="859" w:type="dxa"/>
            <w:tcBorders>
              <w:top w:val="nil"/>
              <w:left w:val="single" w:sz="4" w:space="0" w:color="auto"/>
              <w:bottom w:val="nil"/>
              <w:right w:val="single" w:sz="4" w:space="0" w:color="auto"/>
            </w:tcBorders>
          </w:tcPr>
          <w:p w14:paraId="4723F673" w14:textId="77777777" w:rsidR="00DE0323" w:rsidRPr="00940734" w:rsidRDefault="00DE0323" w:rsidP="00DE0323">
            <w:pPr>
              <w:jc w:val="right"/>
              <w:rPr>
                <w:sz w:val="20"/>
              </w:rPr>
            </w:pPr>
            <w:r w:rsidRPr="00940734">
              <w:rPr>
                <w:sz w:val="20"/>
              </w:rPr>
              <w:t>111,48</w:t>
            </w:r>
          </w:p>
        </w:tc>
      </w:tr>
      <w:tr w:rsidR="00DE0323" w:rsidRPr="004B11AC" w14:paraId="38B1FF93" w14:textId="77777777" w:rsidTr="003F3157">
        <w:trPr>
          <w:tblHeader/>
        </w:trPr>
        <w:tc>
          <w:tcPr>
            <w:tcW w:w="3780" w:type="dxa"/>
            <w:tcBorders>
              <w:top w:val="nil"/>
              <w:left w:val="single" w:sz="4" w:space="0" w:color="auto"/>
              <w:bottom w:val="single" w:sz="4" w:space="0" w:color="auto"/>
              <w:right w:val="single" w:sz="4" w:space="0" w:color="auto"/>
            </w:tcBorders>
          </w:tcPr>
          <w:p w14:paraId="5DD97F45" w14:textId="77777777" w:rsidR="00DE0323" w:rsidRPr="004A5238" w:rsidRDefault="00E2031D" w:rsidP="00E2031D">
            <w:pPr>
              <w:jc w:val="both"/>
              <w:rPr>
                <w:sz w:val="20"/>
              </w:rPr>
            </w:pPr>
            <w:r>
              <w:rPr>
                <w:sz w:val="20"/>
              </w:rPr>
              <w:t>z toho</w:t>
            </w:r>
            <w:r w:rsidR="00DE0323" w:rsidRPr="004A5238">
              <w:rPr>
                <w:sz w:val="20"/>
              </w:rPr>
              <w:t xml:space="preserve">: </w:t>
            </w:r>
            <w:r w:rsidR="00DE0323" w:rsidRPr="004A5238">
              <w:rPr>
                <w:i/>
                <w:sz w:val="20"/>
              </w:rPr>
              <w:t>programové financování</w:t>
            </w:r>
          </w:p>
        </w:tc>
        <w:tc>
          <w:tcPr>
            <w:tcW w:w="1125" w:type="dxa"/>
            <w:tcBorders>
              <w:top w:val="nil"/>
              <w:left w:val="single" w:sz="4" w:space="0" w:color="auto"/>
              <w:bottom w:val="single" w:sz="4" w:space="0" w:color="auto"/>
              <w:right w:val="single" w:sz="4" w:space="0" w:color="auto"/>
            </w:tcBorders>
            <w:vAlign w:val="bottom"/>
          </w:tcPr>
          <w:p w14:paraId="7BF46A15" w14:textId="77777777" w:rsidR="00DE0323" w:rsidRPr="004A5238" w:rsidRDefault="00DE0323" w:rsidP="00DE0323">
            <w:pPr>
              <w:jc w:val="right"/>
              <w:rPr>
                <w:i/>
                <w:sz w:val="20"/>
              </w:rPr>
            </w:pPr>
            <w:r w:rsidRPr="004A5238">
              <w:rPr>
                <w:i/>
                <w:sz w:val="20"/>
              </w:rPr>
              <w:t>0</w:t>
            </w:r>
          </w:p>
        </w:tc>
        <w:tc>
          <w:tcPr>
            <w:tcW w:w="1125" w:type="dxa"/>
            <w:tcBorders>
              <w:top w:val="nil"/>
              <w:left w:val="single" w:sz="4" w:space="0" w:color="auto"/>
              <w:bottom w:val="single" w:sz="4" w:space="0" w:color="auto"/>
              <w:right w:val="single" w:sz="4" w:space="0" w:color="auto"/>
            </w:tcBorders>
          </w:tcPr>
          <w:p w14:paraId="6A9696AC" w14:textId="77777777" w:rsidR="00DE0323" w:rsidRPr="004A5238" w:rsidRDefault="00DE0323" w:rsidP="00DE0323">
            <w:pPr>
              <w:jc w:val="right"/>
              <w:rPr>
                <w:i/>
                <w:sz w:val="20"/>
              </w:rPr>
            </w:pPr>
            <w:r w:rsidRPr="004A5238">
              <w:rPr>
                <w:i/>
                <w:sz w:val="20"/>
              </w:rPr>
              <w:t>0</w:t>
            </w:r>
          </w:p>
        </w:tc>
        <w:tc>
          <w:tcPr>
            <w:tcW w:w="1125" w:type="dxa"/>
            <w:tcBorders>
              <w:top w:val="nil"/>
              <w:left w:val="single" w:sz="4" w:space="0" w:color="auto"/>
              <w:bottom w:val="single" w:sz="4" w:space="0" w:color="auto"/>
              <w:right w:val="single" w:sz="4" w:space="0" w:color="auto"/>
            </w:tcBorders>
          </w:tcPr>
          <w:p w14:paraId="2E1F25D1" w14:textId="77777777" w:rsidR="00DE0323" w:rsidRPr="004A5238" w:rsidRDefault="00DE0323" w:rsidP="00DE0323">
            <w:pPr>
              <w:jc w:val="right"/>
              <w:rPr>
                <w:i/>
                <w:sz w:val="20"/>
              </w:rPr>
            </w:pPr>
            <w:r w:rsidRPr="004A5238">
              <w:rPr>
                <w:i/>
                <w:sz w:val="20"/>
              </w:rPr>
              <w:t>0</w:t>
            </w:r>
          </w:p>
        </w:tc>
        <w:tc>
          <w:tcPr>
            <w:tcW w:w="1125" w:type="dxa"/>
            <w:tcBorders>
              <w:top w:val="nil"/>
              <w:left w:val="single" w:sz="4" w:space="0" w:color="auto"/>
              <w:bottom w:val="single" w:sz="4" w:space="0" w:color="auto"/>
              <w:right w:val="single" w:sz="4" w:space="0" w:color="auto"/>
            </w:tcBorders>
            <w:vAlign w:val="bottom"/>
          </w:tcPr>
          <w:p w14:paraId="7BFA9AE3" w14:textId="77777777" w:rsidR="00DE0323" w:rsidRPr="00940734" w:rsidRDefault="00DE0323" w:rsidP="00DE0323">
            <w:pPr>
              <w:jc w:val="right"/>
              <w:rPr>
                <w:i/>
                <w:sz w:val="20"/>
              </w:rPr>
            </w:pPr>
            <w:r w:rsidRPr="00940734">
              <w:rPr>
                <w:i/>
                <w:sz w:val="20"/>
              </w:rPr>
              <w:t>0</w:t>
            </w:r>
          </w:p>
        </w:tc>
        <w:tc>
          <w:tcPr>
            <w:tcW w:w="859" w:type="dxa"/>
            <w:tcBorders>
              <w:top w:val="nil"/>
              <w:left w:val="single" w:sz="4" w:space="0" w:color="auto"/>
              <w:bottom w:val="single" w:sz="4" w:space="0" w:color="auto"/>
              <w:right w:val="single" w:sz="4" w:space="0" w:color="auto"/>
            </w:tcBorders>
          </w:tcPr>
          <w:p w14:paraId="5815001B" w14:textId="77777777" w:rsidR="00DE0323" w:rsidRPr="00940734" w:rsidRDefault="00DE0323" w:rsidP="00DE0323">
            <w:pPr>
              <w:jc w:val="right"/>
              <w:rPr>
                <w:i/>
                <w:sz w:val="20"/>
              </w:rPr>
            </w:pPr>
            <w:r w:rsidRPr="00940734">
              <w:rPr>
                <w:i/>
                <w:sz w:val="20"/>
              </w:rPr>
              <w:t>x</w:t>
            </w:r>
          </w:p>
        </w:tc>
      </w:tr>
    </w:tbl>
    <w:p w14:paraId="1FA6763B" w14:textId="77777777" w:rsidR="00DE0323" w:rsidRPr="00940734" w:rsidRDefault="00DE0323" w:rsidP="003F3157">
      <w:pPr>
        <w:pStyle w:val="KOMtext"/>
      </w:pPr>
      <w:r w:rsidRPr="00940734">
        <w:t xml:space="preserve">V průběhu roku 2019 nebyl schválený rozpočet běžných výdajů organizace upravován.               </w:t>
      </w:r>
    </w:p>
    <w:p w14:paraId="50128861" w14:textId="77777777" w:rsidR="00DE0323" w:rsidRPr="00057AA5" w:rsidRDefault="00DE0323" w:rsidP="003F3157">
      <w:pPr>
        <w:pStyle w:val="KOMtext"/>
      </w:pPr>
      <w:r w:rsidRPr="00394758">
        <w:t>Běžné výdaje byly čerpány ve výši 182 292 tis. Kč, tj. 100,75 % upraveného (schváleného) rozpočtu, z toho použití nároků z nespotřebovaných výdajů m</w:t>
      </w:r>
      <w:r w:rsidR="003F3157">
        <w:t>inulých let činilo</w:t>
      </w:r>
      <w:r w:rsidRPr="00394758">
        <w:t xml:space="preserve"> </w:t>
      </w:r>
      <w:r>
        <w:t>21 855</w:t>
      </w:r>
      <w:r w:rsidRPr="00394758">
        <w:t xml:space="preserve"> tis. Kč.</w:t>
      </w:r>
      <w:r w:rsidRPr="004B11AC">
        <w:rPr>
          <w:rStyle w:val="ZnormalChar"/>
          <w:color w:val="FF0000"/>
        </w:rPr>
        <w:t xml:space="preserve"> </w:t>
      </w:r>
      <w:r w:rsidRPr="00057AA5">
        <w:rPr>
          <w:rStyle w:val="ZnormalChar"/>
        </w:rPr>
        <w:t>Prostředky na běžné výdaje byly čerpány v průběhu roku poměrně rovnoměrně, přičemž nejvyšší čerpání se uskutečnilo ve 4. čtvrtletí.</w:t>
      </w:r>
    </w:p>
    <w:p w14:paraId="7206CDFF" w14:textId="77777777" w:rsidR="00DE0323" w:rsidRDefault="00DE0323" w:rsidP="003F3157">
      <w:pPr>
        <w:pStyle w:val="KOMtext"/>
      </w:pPr>
      <w:r w:rsidRPr="00394758">
        <w:t xml:space="preserve">Stěžejní čerpání v rámci běžných výdajů tvořily výdaje na platy zaměstnanců a ostatní platby za provedenou práci a s tím související povinné platby (pojistné a převod FKSP) ve výši </w:t>
      </w:r>
      <w:r w:rsidR="003F3157">
        <w:br/>
      </w:r>
      <w:r w:rsidRPr="00394758">
        <w:t>140 504 tis. Kč, které se podílí na celkovém objemu čerpání běžných výdajů 77,</w:t>
      </w:r>
      <w:r>
        <w:t>08</w:t>
      </w:r>
      <w:r w:rsidRPr="00394758">
        <w:t xml:space="preserve"> %</w:t>
      </w:r>
      <w:r>
        <w:t>, z toho nároky činily 9 621 tis. Kč.</w:t>
      </w:r>
    </w:p>
    <w:p w14:paraId="0A19AAE6" w14:textId="77777777" w:rsidR="005A7B67" w:rsidRPr="004B11AC" w:rsidRDefault="00DE0323" w:rsidP="003F3157">
      <w:pPr>
        <w:pStyle w:val="KOMtext"/>
        <w:rPr>
          <w:color w:val="FF0000"/>
        </w:rPr>
      </w:pPr>
      <w:r w:rsidRPr="00394758">
        <w:lastRenderedPageBreak/>
        <w:t xml:space="preserve"> </w:t>
      </w:r>
      <w:r w:rsidRPr="00924002">
        <w:t xml:space="preserve">V rámci ostatních běžných výdajů byly nejvýznamnější výdaje na nákup služeb (pronájem nebytových prostor, pozemku, servisní zajištění provozuschopnosti informačních technologií, podpora informačního sytému, školení a vzdělávání zaměstnanců) a výdaje na opravy </w:t>
      </w:r>
      <w:r w:rsidR="003F3157">
        <w:br/>
      </w:r>
      <w:r w:rsidRPr="00924002">
        <w:t xml:space="preserve">a udržování (letadel, budov, vozového parku) a cestovné. </w:t>
      </w:r>
      <w:r>
        <w:t xml:space="preserve">Nároky ve výši 12 234 tis. Kč byly použity </w:t>
      </w:r>
      <w:r w:rsidR="00E2031D">
        <w:t>především na</w:t>
      </w:r>
      <w:r>
        <w:t xml:space="preserve"> </w:t>
      </w:r>
      <w:r w:rsidRPr="005A420D">
        <w:t>zpracování dat a služeb ICT</w:t>
      </w:r>
      <w:r>
        <w:t>,</w:t>
      </w:r>
      <w:r w:rsidRPr="005A420D">
        <w:t xml:space="preserve"> na opravy a udržování</w:t>
      </w:r>
      <w:r>
        <w:t xml:space="preserve"> a nájemné.</w:t>
      </w:r>
      <w:r w:rsidR="005A7B67" w:rsidRPr="004B11AC">
        <w:rPr>
          <w:color w:val="FF0000"/>
        </w:rPr>
        <w:t xml:space="preserve"> </w:t>
      </w:r>
    </w:p>
    <w:p w14:paraId="15BDE564" w14:textId="77777777" w:rsidR="00FA7E1E" w:rsidRPr="00B7632A" w:rsidRDefault="00FA7E1E" w:rsidP="00633088">
      <w:pPr>
        <w:pStyle w:val="Nadpis6"/>
      </w:pPr>
      <w:r w:rsidRPr="00B7632A">
        <w:t>Státní plavební správa</w:t>
      </w:r>
    </w:p>
    <w:p w14:paraId="3115EAC5" w14:textId="77777777" w:rsidR="00B7632A" w:rsidRPr="002A64C9" w:rsidRDefault="00B7632A" w:rsidP="00B7632A">
      <w:pPr>
        <w:pStyle w:val="KOMtext"/>
      </w:pPr>
      <w:r w:rsidRPr="002A64C9">
        <w:t xml:space="preserve">Státní plavební správa je správním úřadem, který vykonává státní správu a státní dozor při provozování plavby na vnitrozemských vodních cestách ve věcech stanovených zákonem </w:t>
      </w:r>
      <w:r w:rsidRPr="002A64C9">
        <w:br/>
        <w:t>č. 114/1995 Sb., o vnitrozemské plavbě, ve znění pozdějších předpisů, jakož i zákonem č. 254/2001 Sb., o vodách a o změně některých zákonů (vodní zákon), ve znění pozdějších předpisů.</w:t>
      </w:r>
    </w:p>
    <w:p w14:paraId="30DC5F4F" w14:textId="77777777" w:rsidR="00B7632A" w:rsidRPr="002A64C9" w:rsidRDefault="00B7632A" w:rsidP="00DB2320">
      <w:pPr>
        <w:keepNext/>
        <w:ind w:left="357"/>
        <w:jc w:val="right"/>
      </w:pP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2A64C9">
        <w:t xml:space="preserve">      v tis. Kč</w:t>
      </w:r>
    </w:p>
    <w:tbl>
      <w:tblPr>
        <w:tblW w:w="915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25"/>
        <w:gridCol w:w="1106"/>
        <w:gridCol w:w="1106"/>
        <w:gridCol w:w="1106"/>
        <w:gridCol w:w="1106"/>
        <w:gridCol w:w="709"/>
      </w:tblGrid>
      <w:tr w:rsidR="00B7632A" w:rsidRPr="004B11AC" w14:paraId="35A78D21" w14:textId="77777777" w:rsidTr="00633088">
        <w:trPr>
          <w:trHeight w:val="737"/>
          <w:tblHeader/>
        </w:trPr>
        <w:tc>
          <w:tcPr>
            <w:tcW w:w="4025" w:type="dxa"/>
            <w:tcBorders>
              <w:top w:val="single" w:sz="4" w:space="0" w:color="auto"/>
              <w:left w:val="single" w:sz="4" w:space="0" w:color="auto"/>
              <w:bottom w:val="single" w:sz="4" w:space="0" w:color="auto"/>
              <w:right w:val="single" w:sz="4" w:space="0" w:color="auto"/>
            </w:tcBorders>
          </w:tcPr>
          <w:p w14:paraId="11412814" w14:textId="77777777" w:rsidR="00B7632A" w:rsidRPr="002A64C9" w:rsidRDefault="00B7632A" w:rsidP="00CD1704">
            <w:pPr>
              <w:jc w:val="center"/>
              <w:rPr>
                <w:sz w:val="22"/>
              </w:rPr>
            </w:pPr>
          </w:p>
          <w:p w14:paraId="0BAB3A98" w14:textId="77777777" w:rsidR="00B7632A" w:rsidRPr="002A64C9" w:rsidRDefault="00B7632A" w:rsidP="00CD1704">
            <w:pPr>
              <w:jc w:val="center"/>
              <w:rPr>
                <w:sz w:val="22"/>
              </w:rPr>
            </w:pPr>
            <w:r w:rsidRPr="002A64C9">
              <w:rPr>
                <w:sz w:val="22"/>
              </w:rPr>
              <w:t>Ukazatel</w:t>
            </w:r>
          </w:p>
        </w:tc>
        <w:tc>
          <w:tcPr>
            <w:tcW w:w="1106" w:type="dxa"/>
            <w:tcBorders>
              <w:top w:val="single" w:sz="4" w:space="0" w:color="auto"/>
              <w:left w:val="single" w:sz="4" w:space="0" w:color="auto"/>
              <w:bottom w:val="single" w:sz="4" w:space="0" w:color="auto"/>
              <w:right w:val="single" w:sz="4" w:space="0" w:color="auto"/>
            </w:tcBorders>
            <w:vAlign w:val="center"/>
          </w:tcPr>
          <w:p w14:paraId="42F39CF4" w14:textId="77777777" w:rsidR="00B7632A" w:rsidRPr="002A64C9" w:rsidRDefault="00B7632A" w:rsidP="00CD1704">
            <w:pPr>
              <w:jc w:val="center"/>
              <w:rPr>
                <w:sz w:val="22"/>
              </w:rPr>
            </w:pPr>
            <w:r w:rsidRPr="002A64C9">
              <w:rPr>
                <w:sz w:val="22"/>
              </w:rPr>
              <w:t>Skutečnost</w:t>
            </w:r>
          </w:p>
          <w:p w14:paraId="16D91E46" w14:textId="77777777" w:rsidR="00B7632A" w:rsidRPr="002A64C9" w:rsidRDefault="00B7632A" w:rsidP="00CD1704">
            <w:pPr>
              <w:jc w:val="center"/>
              <w:rPr>
                <w:sz w:val="22"/>
              </w:rPr>
            </w:pPr>
            <w:r w:rsidRPr="002A64C9">
              <w:rPr>
                <w:sz w:val="22"/>
              </w:rPr>
              <w:t>2018</w:t>
            </w:r>
          </w:p>
        </w:tc>
        <w:tc>
          <w:tcPr>
            <w:tcW w:w="1106" w:type="dxa"/>
            <w:tcBorders>
              <w:top w:val="single" w:sz="4" w:space="0" w:color="auto"/>
              <w:left w:val="single" w:sz="4" w:space="0" w:color="auto"/>
              <w:bottom w:val="single" w:sz="4" w:space="0" w:color="auto"/>
              <w:right w:val="single" w:sz="4" w:space="0" w:color="auto"/>
            </w:tcBorders>
            <w:vAlign w:val="center"/>
          </w:tcPr>
          <w:p w14:paraId="226B30E8" w14:textId="77777777" w:rsidR="00B7632A" w:rsidRPr="002A64C9" w:rsidRDefault="00B7632A" w:rsidP="00CD1704">
            <w:pPr>
              <w:jc w:val="center"/>
              <w:rPr>
                <w:sz w:val="22"/>
              </w:rPr>
            </w:pPr>
            <w:r w:rsidRPr="002A64C9">
              <w:rPr>
                <w:sz w:val="22"/>
              </w:rPr>
              <w:t>Schválený</w:t>
            </w:r>
          </w:p>
          <w:p w14:paraId="05400715" w14:textId="77777777" w:rsidR="00B7632A" w:rsidRPr="002A64C9" w:rsidRDefault="00B7632A" w:rsidP="00CD1704">
            <w:pPr>
              <w:jc w:val="center"/>
              <w:rPr>
                <w:sz w:val="22"/>
              </w:rPr>
            </w:pPr>
            <w:r w:rsidRPr="002A64C9">
              <w:rPr>
                <w:sz w:val="22"/>
              </w:rPr>
              <w:t>rozpočet</w:t>
            </w:r>
          </w:p>
          <w:p w14:paraId="045C5918" w14:textId="77777777" w:rsidR="00B7632A" w:rsidRPr="002A64C9" w:rsidRDefault="00B7632A" w:rsidP="00CD1704">
            <w:pPr>
              <w:jc w:val="center"/>
              <w:rPr>
                <w:sz w:val="22"/>
              </w:rPr>
            </w:pPr>
            <w:r w:rsidRPr="002A64C9">
              <w:rPr>
                <w:sz w:val="22"/>
              </w:rPr>
              <w:t>2019</w:t>
            </w:r>
          </w:p>
        </w:tc>
        <w:tc>
          <w:tcPr>
            <w:tcW w:w="1106" w:type="dxa"/>
            <w:tcBorders>
              <w:top w:val="single" w:sz="4" w:space="0" w:color="auto"/>
              <w:left w:val="single" w:sz="4" w:space="0" w:color="auto"/>
              <w:bottom w:val="single" w:sz="4" w:space="0" w:color="auto"/>
              <w:right w:val="single" w:sz="4" w:space="0" w:color="auto"/>
            </w:tcBorders>
            <w:vAlign w:val="center"/>
          </w:tcPr>
          <w:p w14:paraId="65D2A47D" w14:textId="77777777" w:rsidR="00B7632A" w:rsidRPr="002A64C9" w:rsidRDefault="00B7632A" w:rsidP="00CD1704">
            <w:pPr>
              <w:jc w:val="center"/>
              <w:rPr>
                <w:sz w:val="22"/>
              </w:rPr>
            </w:pPr>
            <w:r w:rsidRPr="002A64C9">
              <w:rPr>
                <w:sz w:val="22"/>
              </w:rPr>
              <w:t>Upravený</w:t>
            </w:r>
          </w:p>
          <w:p w14:paraId="5CFD4725" w14:textId="77777777" w:rsidR="00B7632A" w:rsidRPr="002A64C9" w:rsidRDefault="00B7632A" w:rsidP="00CD1704">
            <w:pPr>
              <w:jc w:val="center"/>
              <w:rPr>
                <w:sz w:val="22"/>
              </w:rPr>
            </w:pPr>
            <w:r w:rsidRPr="002A64C9">
              <w:rPr>
                <w:sz w:val="22"/>
              </w:rPr>
              <w:t>rozpočet</w:t>
            </w:r>
          </w:p>
          <w:p w14:paraId="7B9F3A51" w14:textId="77777777" w:rsidR="00B7632A" w:rsidRPr="002A64C9" w:rsidRDefault="00B7632A" w:rsidP="00CD1704">
            <w:pPr>
              <w:jc w:val="center"/>
              <w:rPr>
                <w:sz w:val="22"/>
              </w:rPr>
            </w:pPr>
            <w:r w:rsidRPr="002A64C9">
              <w:rPr>
                <w:sz w:val="22"/>
              </w:rPr>
              <w:t>2019</w:t>
            </w:r>
          </w:p>
        </w:tc>
        <w:tc>
          <w:tcPr>
            <w:tcW w:w="1106" w:type="dxa"/>
            <w:tcBorders>
              <w:top w:val="single" w:sz="4" w:space="0" w:color="auto"/>
              <w:left w:val="single" w:sz="4" w:space="0" w:color="auto"/>
              <w:bottom w:val="single" w:sz="4" w:space="0" w:color="auto"/>
              <w:right w:val="single" w:sz="4" w:space="0" w:color="auto"/>
            </w:tcBorders>
            <w:vAlign w:val="center"/>
          </w:tcPr>
          <w:p w14:paraId="268D3A80" w14:textId="77777777" w:rsidR="00B7632A" w:rsidRPr="002A64C9" w:rsidRDefault="00B7632A" w:rsidP="00CD1704">
            <w:pPr>
              <w:jc w:val="center"/>
              <w:rPr>
                <w:sz w:val="22"/>
              </w:rPr>
            </w:pPr>
            <w:r w:rsidRPr="002A64C9">
              <w:rPr>
                <w:sz w:val="22"/>
              </w:rPr>
              <w:t>Skutečnost</w:t>
            </w:r>
          </w:p>
          <w:p w14:paraId="130A0AC2" w14:textId="77777777" w:rsidR="00B7632A" w:rsidRPr="002A64C9" w:rsidRDefault="00B7632A" w:rsidP="00CD1704">
            <w:pPr>
              <w:jc w:val="center"/>
              <w:rPr>
                <w:sz w:val="22"/>
              </w:rPr>
            </w:pPr>
            <w:r w:rsidRPr="002A64C9">
              <w:rPr>
                <w:sz w:val="22"/>
              </w:rPr>
              <w:t>2019</w:t>
            </w:r>
          </w:p>
        </w:tc>
        <w:tc>
          <w:tcPr>
            <w:tcW w:w="709" w:type="dxa"/>
            <w:tcBorders>
              <w:top w:val="single" w:sz="4" w:space="0" w:color="auto"/>
              <w:left w:val="single" w:sz="4" w:space="0" w:color="auto"/>
              <w:bottom w:val="single" w:sz="4" w:space="0" w:color="auto"/>
              <w:right w:val="single" w:sz="4" w:space="0" w:color="auto"/>
            </w:tcBorders>
            <w:vAlign w:val="center"/>
          </w:tcPr>
          <w:p w14:paraId="034B682E" w14:textId="77777777" w:rsidR="00B7632A" w:rsidRPr="002A64C9" w:rsidRDefault="00B7632A" w:rsidP="00CD1704">
            <w:pPr>
              <w:jc w:val="center"/>
              <w:rPr>
                <w:sz w:val="22"/>
              </w:rPr>
            </w:pPr>
            <w:r w:rsidRPr="002A64C9">
              <w:rPr>
                <w:sz w:val="22"/>
              </w:rPr>
              <w:t>Index</w:t>
            </w:r>
          </w:p>
          <w:p w14:paraId="7EE86CEC" w14:textId="77777777" w:rsidR="00B7632A" w:rsidRPr="002A64C9" w:rsidRDefault="00B7632A" w:rsidP="00CD1704">
            <w:pPr>
              <w:jc w:val="center"/>
              <w:rPr>
                <w:sz w:val="22"/>
              </w:rPr>
            </w:pPr>
            <w:r w:rsidRPr="002A64C9">
              <w:rPr>
                <w:sz w:val="22"/>
              </w:rPr>
              <w:t>19/18         (v %)</w:t>
            </w:r>
          </w:p>
        </w:tc>
      </w:tr>
      <w:tr w:rsidR="00B7632A" w:rsidRPr="004B11AC" w14:paraId="3C7E0E56" w14:textId="77777777" w:rsidTr="00633088">
        <w:trPr>
          <w:tblHeader/>
        </w:trPr>
        <w:tc>
          <w:tcPr>
            <w:tcW w:w="4025" w:type="dxa"/>
            <w:tcBorders>
              <w:top w:val="single" w:sz="4" w:space="0" w:color="auto"/>
              <w:left w:val="single" w:sz="4" w:space="0" w:color="auto"/>
              <w:bottom w:val="single" w:sz="4" w:space="0" w:color="auto"/>
              <w:right w:val="single" w:sz="4" w:space="0" w:color="auto"/>
            </w:tcBorders>
          </w:tcPr>
          <w:p w14:paraId="77DDEB0D" w14:textId="77777777" w:rsidR="00B7632A" w:rsidRPr="002A64C9" w:rsidRDefault="00B7632A" w:rsidP="00CD1704">
            <w:pPr>
              <w:jc w:val="center"/>
              <w:rPr>
                <w:sz w:val="22"/>
              </w:rPr>
            </w:pPr>
            <w:r w:rsidRPr="002A64C9">
              <w:rPr>
                <w:sz w:val="22"/>
              </w:rPr>
              <w:t>a</w:t>
            </w:r>
          </w:p>
        </w:tc>
        <w:tc>
          <w:tcPr>
            <w:tcW w:w="1106" w:type="dxa"/>
            <w:tcBorders>
              <w:top w:val="single" w:sz="4" w:space="0" w:color="auto"/>
              <w:left w:val="single" w:sz="4" w:space="0" w:color="auto"/>
              <w:bottom w:val="single" w:sz="4" w:space="0" w:color="auto"/>
              <w:right w:val="single" w:sz="4" w:space="0" w:color="auto"/>
            </w:tcBorders>
          </w:tcPr>
          <w:p w14:paraId="178F372E" w14:textId="77777777" w:rsidR="00B7632A" w:rsidRPr="002A64C9" w:rsidRDefault="00B7632A" w:rsidP="00CD1704">
            <w:pPr>
              <w:jc w:val="center"/>
              <w:rPr>
                <w:sz w:val="22"/>
              </w:rPr>
            </w:pPr>
            <w:r w:rsidRPr="002A64C9">
              <w:rPr>
                <w:sz w:val="22"/>
              </w:rPr>
              <w:t>1</w:t>
            </w:r>
          </w:p>
        </w:tc>
        <w:tc>
          <w:tcPr>
            <w:tcW w:w="1106" w:type="dxa"/>
            <w:tcBorders>
              <w:top w:val="single" w:sz="4" w:space="0" w:color="auto"/>
              <w:left w:val="single" w:sz="4" w:space="0" w:color="auto"/>
              <w:bottom w:val="single" w:sz="4" w:space="0" w:color="auto"/>
              <w:right w:val="single" w:sz="4" w:space="0" w:color="auto"/>
            </w:tcBorders>
          </w:tcPr>
          <w:p w14:paraId="6C449116" w14:textId="77777777" w:rsidR="00B7632A" w:rsidRPr="002A64C9" w:rsidRDefault="00B7632A" w:rsidP="00CD1704">
            <w:pPr>
              <w:jc w:val="center"/>
              <w:rPr>
                <w:sz w:val="22"/>
              </w:rPr>
            </w:pPr>
            <w:r w:rsidRPr="002A64C9">
              <w:rPr>
                <w:sz w:val="22"/>
              </w:rPr>
              <w:t>2</w:t>
            </w:r>
          </w:p>
        </w:tc>
        <w:tc>
          <w:tcPr>
            <w:tcW w:w="1106" w:type="dxa"/>
            <w:tcBorders>
              <w:top w:val="single" w:sz="4" w:space="0" w:color="auto"/>
              <w:left w:val="single" w:sz="4" w:space="0" w:color="auto"/>
              <w:bottom w:val="single" w:sz="4" w:space="0" w:color="auto"/>
              <w:right w:val="single" w:sz="4" w:space="0" w:color="auto"/>
            </w:tcBorders>
          </w:tcPr>
          <w:p w14:paraId="1D7EEDBC" w14:textId="77777777" w:rsidR="00B7632A" w:rsidRPr="002A64C9" w:rsidRDefault="00B7632A" w:rsidP="00CD1704">
            <w:pPr>
              <w:jc w:val="center"/>
              <w:rPr>
                <w:sz w:val="22"/>
              </w:rPr>
            </w:pPr>
            <w:r w:rsidRPr="002A64C9">
              <w:rPr>
                <w:sz w:val="22"/>
              </w:rPr>
              <w:t>3</w:t>
            </w:r>
          </w:p>
        </w:tc>
        <w:tc>
          <w:tcPr>
            <w:tcW w:w="1106" w:type="dxa"/>
            <w:tcBorders>
              <w:top w:val="single" w:sz="4" w:space="0" w:color="auto"/>
              <w:left w:val="single" w:sz="4" w:space="0" w:color="auto"/>
              <w:bottom w:val="single" w:sz="4" w:space="0" w:color="auto"/>
              <w:right w:val="single" w:sz="4" w:space="0" w:color="auto"/>
            </w:tcBorders>
          </w:tcPr>
          <w:p w14:paraId="2972F8C6" w14:textId="77777777" w:rsidR="00B7632A" w:rsidRPr="002A64C9" w:rsidRDefault="00B7632A" w:rsidP="00CD1704">
            <w:pPr>
              <w:jc w:val="center"/>
              <w:rPr>
                <w:sz w:val="22"/>
              </w:rPr>
            </w:pPr>
            <w:r w:rsidRPr="002A64C9">
              <w:rPr>
                <w:sz w:val="22"/>
              </w:rPr>
              <w:t>4</w:t>
            </w:r>
          </w:p>
        </w:tc>
        <w:tc>
          <w:tcPr>
            <w:tcW w:w="709" w:type="dxa"/>
            <w:tcBorders>
              <w:top w:val="single" w:sz="4" w:space="0" w:color="auto"/>
              <w:left w:val="single" w:sz="4" w:space="0" w:color="auto"/>
              <w:bottom w:val="single" w:sz="4" w:space="0" w:color="auto"/>
              <w:right w:val="single" w:sz="4" w:space="0" w:color="auto"/>
            </w:tcBorders>
          </w:tcPr>
          <w:p w14:paraId="3ABE959A" w14:textId="77777777" w:rsidR="00B7632A" w:rsidRPr="002A64C9" w:rsidRDefault="00B7632A" w:rsidP="00CD1704">
            <w:pPr>
              <w:jc w:val="center"/>
              <w:rPr>
                <w:sz w:val="22"/>
              </w:rPr>
            </w:pPr>
            <w:r w:rsidRPr="002A64C9">
              <w:rPr>
                <w:sz w:val="22"/>
              </w:rPr>
              <w:t>5</w:t>
            </w:r>
          </w:p>
        </w:tc>
      </w:tr>
      <w:tr w:rsidR="00B7632A" w:rsidRPr="004B11AC" w14:paraId="3E7F4633" w14:textId="77777777" w:rsidTr="00633088">
        <w:trPr>
          <w:trHeight w:val="468"/>
          <w:tblHeader/>
        </w:trPr>
        <w:tc>
          <w:tcPr>
            <w:tcW w:w="4025" w:type="dxa"/>
            <w:tcBorders>
              <w:top w:val="single" w:sz="4" w:space="0" w:color="auto"/>
              <w:left w:val="single" w:sz="4" w:space="0" w:color="auto"/>
              <w:bottom w:val="nil"/>
              <w:right w:val="single" w:sz="4" w:space="0" w:color="auto"/>
            </w:tcBorders>
          </w:tcPr>
          <w:p w14:paraId="4AF8C778" w14:textId="77777777" w:rsidR="00B7632A" w:rsidRPr="002A64C9" w:rsidRDefault="00B7632A" w:rsidP="00CD1704">
            <w:pPr>
              <w:pStyle w:val="Zkladntext"/>
              <w:rPr>
                <w:b/>
                <w:bCs/>
                <w:sz w:val="20"/>
              </w:rPr>
            </w:pPr>
            <w:r w:rsidRPr="002A64C9">
              <w:rPr>
                <w:b/>
                <w:bCs/>
                <w:sz w:val="20"/>
              </w:rPr>
              <w:t xml:space="preserve">Běžné výdaje </w:t>
            </w:r>
          </w:p>
          <w:p w14:paraId="45091259" w14:textId="77777777" w:rsidR="00B7632A" w:rsidRPr="002A64C9" w:rsidRDefault="00B7632A" w:rsidP="00CD1704">
            <w:pPr>
              <w:jc w:val="both"/>
              <w:rPr>
                <w:sz w:val="20"/>
              </w:rPr>
            </w:pPr>
            <w:r w:rsidRPr="002A64C9">
              <w:rPr>
                <w:sz w:val="20"/>
              </w:rPr>
              <w:t xml:space="preserve">v tom: </w:t>
            </w:r>
          </w:p>
        </w:tc>
        <w:tc>
          <w:tcPr>
            <w:tcW w:w="1106" w:type="dxa"/>
            <w:tcBorders>
              <w:top w:val="single" w:sz="4" w:space="0" w:color="auto"/>
              <w:left w:val="single" w:sz="4" w:space="0" w:color="auto"/>
              <w:bottom w:val="nil"/>
              <w:right w:val="single" w:sz="4" w:space="0" w:color="auto"/>
            </w:tcBorders>
            <w:vAlign w:val="center"/>
          </w:tcPr>
          <w:p w14:paraId="0811AC50" w14:textId="77777777" w:rsidR="00B7632A" w:rsidRPr="00BC7E42" w:rsidRDefault="00B7632A" w:rsidP="00CD1704">
            <w:pPr>
              <w:spacing w:before="120"/>
              <w:jc w:val="right"/>
              <w:rPr>
                <w:b/>
                <w:bCs/>
                <w:color w:val="FF0000"/>
                <w:sz w:val="20"/>
              </w:rPr>
            </w:pPr>
            <w:r w:rsidRPr="009E77A5">
              <w:rPr>
                <w:b/>
                <w:bCs/>
                <w:sz w:val="20"/>
              </w:rPr>
              <w:t>68 227</w:t>
            </w:r>
          </w:p>
        </w:tc>
        <w:tc>
          <w:tcPr>
            <w:tcW w:w="1106" w:type="dxa"/>
            <w:tcBorders>
              <w:top w:val="single" w:sz="4" w:space="0" w:color="auto"/>
              <w:left w:val="single" w:sz="4" w:space="0" w:color="auto"/>
              <w:bottom w:val="nil"/>
              <w:right w:val="single" w:sz="4" w:space="0" w:color="auto"/>
            </w:tcBorders>
            <w:vAlign w:val="center"/>
          </w:tcPr>
          <w:p w14:paraId="290C3395" w14:textId="77777777" w:rsidR="00B7632A" w:rsidRPr="003146F5" w:rsidRDefault="00B7632A" w:rsidP="00CD1704">
            <w:pPr>
              <w:spacing w:before="120"/>
              <w:jc w:val="right"/>
              <w:rPr>
                <w:b/>
                <w:bCs/>
                <w:color w:val="FF0000"/>
                <w:sz w:val="20"/>
              </w:rPr>
            </w:pPr>
            <w:r w:rsidRPr="0022660D">
              <w:rPr>
                <w:b/>
                <w:bCs/>
                <w:sz w:val="20"/>
              </w:rPr>
              <w:t>71 064</w:t>
            </w:r>
          </w:p>
        </w:tc>
        <w:tc>
          <w:tcPr>
            <w:tcW w:w="1106" w:type="dxa"/>
            <w:tcBorders>
              <w:top w:val="single" w:sz="4" w:space="0" w:color="auto"/>
              <w:left w:val="single" w:sz="4" w:space="0" w:color="auto"/>
              <w:bottom w:val="nil"/>
              <w:right w:val="single" w:sz="4" w:space="0" w:color="auto"/>
            </w:tcBorders>
            <w:vAlign w:val="center"/>
          </w:tcPr>
          <w:p w14:paraId="5423AFA6" w14:textId="77777777" w:rsidR="00B7632A" w:rsidRPr="00295903" w:rsidRDefault="00B7632A" w:rsidP="00CD1704">
            <w:pPr>
              <w:spacing w:before="120"/>
              <w:jc w:val="right"/>
              <w:rPr>
                <w:b/>
                <w:bCs/>
                <w:sz w:val="20"/>
              </w:rPr>
            </w:pPr>
            <w:r w:rsidRPr="00295903">
              <w:rPr>
                <w:b/>
                <w:bCs/>
                <w:sz w:val="20"/>
              </w:rPr>
              <w:t>71 216</w:t>
            </w:r>
          </w:p>
        </w:tc>
        <w:tc>
          <w:tcPr>
            <w:tcW w:w="1106" w:type="dxa"/>
            <w:tcBorders>
              <w:top w:val="single" w:sz="4" w:space="0" w:color="auto"/>
              <w:left w:val="single" w:sz="4" w:space="0" w:color="auto"/>
              <w:bottom w:val="nil"/>
              <w:right w:val="single" w:sz="4" w:space="0" w:color="auto"/>
            </w:tcBorders>
            <w:vAlign w:val="center"/>
          </w:tcPr>
          <w:p w14:paraId="781648F2" w14:textId="77777777" w:rsidR="00B7632A" w:rsidRPr="00F20A37" w:rsidRDefault="00B7632A" w:rsidP="00CD1704">
            <w:pPr>
              <w:spacing w:before="120"/>
              <w:jc w:val="right"/>
              <w:rPr>
                <w:b/>
                <w:bCs/>
                <w:sz w:val="20"/>
              </w:rPr>
            </w:pPr>
            <w:r w:rsidRPr="00F20A37">
              <w:rPr>
                <w:b/>
                <w:bCs/>
                <w:sz w:val="20"/>
              </w:rPr>
              <w:t>71 376</w:t>
            </w:r>
          </w:p>
        </w:tc>
        <w:tc>
          <w:tcPr>
            <w:tcW w:w="709" w:type="dxa"/>
            <w:tcBorders>
              <w:top w:val="single" w:sz="4" w:space="0" w:color="auto"/>
              <w:left w:val="single" w:sz="4" w:space="0" w:color="auto"/>
              <w:bottom w:val="nil"/>
              <w:right w:val="single" w:sz="4" w:space="0" w:color="auto"/>
            </w:tcBorders>
            <w:vAlign w:val="center"/>
          </w:tcPr>
          <w:p w14:paraId="09F95D5C" w14:textId="77777777" w:rsidR="00B7632A" w:rsidRPr="00FC7219" w:rsidRDefault="00B7632A" w:rsidP="00CD1704">
            <w:pPr>
              <w:spacing w:before="120"/>
              <w:jc w:val="right"/>
              <w:rPr>
                <w:b/>
                <w:bCs/>
                <w:sz w:val="20"/>
              </w:rPr>
            </w:pPr>
            <w:r w:rsidRPr="00FC7219">
              <w:rPr>
                <w:b/>
                <w:bCs/>
                <w:sz w:val="20"/>
              </w:rPr>
              <w:t>104,62</w:t>
            </w:r>
          </w:p>
        </w:tc>
      </w:tr>
      <w:tr w:rsidR="00B7632A" w:rsidRPr="004B11AC" w14:paraId="2AC5B178" w14:textId="77777777" w:rsidTr="00633088">
        <w:trPr>
          <w:tblHeader/>
        </w:trPr>
        <w:tc>
          <w:tcPr>
            <w:tcW w:w="4025" w:type="dxa"/>
            <w:tcBorders>
              <w:top w:val="nil"/>
              <w:left w:val="single" w:sz="4" w:space="0" w:color="auto"/>
              <w:bottom w:val="nil"/>
              <w:right w:val="single" w:sz="4" w:space="0" w:color="auto"/>
            </w:tcBorders>
          </w:tcPr>
          <w:p w14:paraId="33B4D9B6" w14:textId="77777777" w:rsidR="00B7632A" w:rsidRPr="002A64C9" w:rsidRDefault="00B7632A" w:rsidP="00CD1704">
            <w:pPr>
              <w:jc w:val="both"/>
              <w:rPr>
                <w:sz w:val="20"/>
              </w:rPr>
            </w:pPr>
            <w:r w:rsidRPr="002A64C9">
              <w:rPr>
                <w:sz w:val="20"/>
              </w:rPr>
              <w:t>platy zaměstnanců a ostatní platby</w:t>
            </w:r>
          </w:p>
          <w:p w14:paraId="3C10E406" w14:textId="77777777" w:rsidR="00B7632A" w:rsidRPr="002A64C9" w:rsidRDefault="00B7632A" w:rsidP="00CD1704">
            <w:pPr>
              <w:jc w:val="both"/>
              <w:rPr>
                <w:sz w:val="20"/>
              </w:rPr>
            </w:pPr>
            <w:r w:rsidRPr="002A64C9">
              <w:rPr>
                <w:sz w:val="20"/>
              </w:rPr>
              <w:t>za provedenou práci</w:t>
            </w:r>
          </w:p>
        </w:tc>
        <w:tc>
          <w:tcPr>
            <w:tcW w:w="1106" w:type="dxa"/>
            <w:tcBorders>
              <w:top w:val="nil"/>
              <w:left w:val="single" w:sz="4" w:space="0" w:color="auto"/>
              <w:bottom w:val="nil"/>
              <w:right w:val="single" w:sz="4" w:space="0" w:color="auto"/>
            </w:tcBorders>
            <w:vAlign w:val="center"/>
          </w:tcPr>
          <w:p w14:paraId="6F0889E7" w14:textId="77777777" w:rsidR="00B7632A" w:rsidRPr="00F7077B" w:rsidRDefault="00B7632A" w:rsidP="00CD1704">
            <w:pPr>
              <w:jc w:val="right"/>
              <w:rPr>
                <w:sz w:val="20"/>
              </w:rPr>
            </w:pPr>
            <w:r w:rsidRPr="00F7077B">
              <w:rPr>
                <w:sz w:val="20"/>
              </w:rPr>
              <w:t>37 098</w:t>
            </w:r>
          </w:p>
        </w:tc>
        <w:tc>
          <w:tcPr>
            <w:tcW w:w="1106" w:type="dxa"/>
            <w:tcBorders>
              <w:top w:val="nil"/>
              <w:left w:val="single" w:sz="4" w:space="0" w:color="auto"/>
              <w:bottom w:val="nil"/>
              <w:right w:val="single" w:sz="4" w:space="0" w:color="auto"/>
            </w:tcBorders>
            <w:vAlign w:val="center"/>
          </w:tcPr>
          <w:p w14:paraId="359F46F3" w14:textId="77777777" w:rsidR="00B7632A" w:rsidRPr="003146F5" w:rsidRDefault="00B7632A" w:rsidP="00CD1704">
            <w:pPr>
              <w:jc w:val="right"/>
              <w:rPr>
                <w:color w:val="FF0000"/>
                <w:sz w:val="20"/>
              </w:rPr>
            </w:pPr>
            <w:r w:rsidRPr="0022660D">
              <w:rPr>
                <w:sz w:val="20"/>
              </w:rPr>
              <w:t>40 163</w:t>
            </w:r>
          </w:p>
        </w:tc>
        <w:tc>
          <w:tcPr>
            <w:tcW w:w="1106" w:type="dxa"/>
            <w:tcBorders>
              <w:top w:val="nil"/>
              <w:left w:val="single" w:sz="4" w:space="0" w:color="auto"/>
              <w:bottom w:val="nil"/>
              <w:right w:val="single" w:sz="4" w:space="0" w:color="auto"/>
            </w:tcBorders>
            <w:vAlign w:val="center"/>
          </w:tcPr>
          <w:p w14:paraId="3A719EA3" w14:textId="77777777" w:rsidR="00B7632A" w:rsidRPr="00295903" w:rsidRDefault="00B7632A" w:rsidP="00CD1704">
            <w:pPr>
              <w:jc w:val="right"/>
              <w:rPr>
                <w:sz w:val="20"/>
              </w:rPr>
            </w:pPr>
            <w:r>
              <w:rPr>
                <w:sz w:val="20"/>
              </w:rPr>
              <w:t>40 315</w:t>
            </w:r>
          </w:p>
        </w:tc>
        <w:tc>
          <w:tcPr>
            <w:tcW w:w="1106" w:type="dxa"/>
            <w:tcBorders>
              <w:top w:val="nil"/>
              <w:left w:val="single" w:sz="4" w:space="0" w:color="auto"/>
              <w:bottom w:val="nil"/>
              <w:right w:val="single" w:sz="4" w:space="0" w:color="auto"/>
            </w:tcBorders>
            <w:vAlign w:val="center"/>
          </w:tcPr>
          <w:p w14:paraId="33DF9C32" w14:textId="77777777" w:rsidR="00B7632A" w:rsidRPr="00D60830" w:rsidRDefault="00B7632A" w:rsidP="00CD1704">
            <w:pPr>
              <w:jc w:val="right"/>
              <w:rPr>
                <w:sz w:val="20"/>
              </w:rPr>
            </w:pPr>
            <w:r w:rsidRPr="00D60830">
              <w:rPr>
                <w:sz w:val="20"/>
              </w:rPr>
              <w:t>40 263</w:t>
            </w:r>
          </w:p>
        </w:tc>
        <w:tc>
          <w:tcPr>
            <w:tcW w:w="709" w:type="dxa"/>
            <w:tcBorders>
              <w:top w:val="nil"/>
              <w:left w:val="single" w:sz="4" w:space="0" w:color="auto"/>
              <w:bottom w:val="nil"/>
              <w:right w:val="single" w:sz="4" w:space="0" w:color="auto"/>
            </w:tcBorders>
            <w:vAlign w:val="center"/>
          </w:tcPr>
          <w:p w14:paraId="247800DC" w14:textId="77777777" w:rsidR="00B7632A" w:rsidRPr="00FC7219" w:rsidRDefault="00B7632A" w:rsidP="00CD1704">
            <w:pPr>
              <w:jc w:val="right"/>
              <w:rPr>
                <w:sz w:val="20"/>
              </w:rPr>
            </w:pPr>
            <w:r w:rsidRPr="00FC7219">
              <w:rPr>
                <w:sz w:val="20"/>
              </w:rPr>
              <w:t>108,53</w:t>
            </w:r>
          </w:p>
        </w:tc>
      </w:tr>
      <w:tr w:rsidR="00B7632A" w:rsidRPr="004B11AC" w14:paraId="32431C49" w14:textId="77777777" w:rsidTr="00633088">
        <w:trPr>
          <w:tblHeader/>
        </w:trPr>
        <w:tc>
          <w:tcPr>
            <w:tcW w:w="4025" w:type="dxa"/>
            <w:tcBorders>
              <w:top w:val="nil"/>
              <w:left w:val="single" w:sz="4" w:space="0" w:color="auto"/>
              <w:bottom w:val="nil"/>
              <w:right w:val="single" w:sz="4" w:space="0" w:color="auto"/>
            </w:tcBorders>
          </w:tcPr>
          <w:p w14:paraId="7D360F3F" w14:textId="77777777" w:rsidR="00B7632A" w:rsidRPr="002A64C9" w:rsidRDefault="00B7632A" w:rsidP="00CD1704">
            <w:pPr>
              <w:jc w:val="both"/>
              <w:rPr>
                <w:i/>
                <w:sz w:val="20"/>
                <w:szCs w:val="20"/>
              </w:rPr>
            </w:pPr>
            <w:r w:rsidRPr="002A64C9">
              <w:rPr>
                <w:i/>
                <w:sz w:val="20"/>
                <w:szCs w:val="20"/>
              </w:rPr>
              <w:t>z toho: výdaje na progr. spolufin. z rozpočtu EU</w:t>
            </w:r>
          </w:p>
        </w:tc>
        <w:tc>
          <w:tcPr>
            <w:tcW w:w="1106" w:type="dxa"/>
            <w:tcBorders>
              <w:top w:val="nil"/>
              <w:left w:val="single" w:sz="4" w:space="0" w:color="auto"/>
              <w:bottom w:val="nil"/>
              <w:right w:val="single" w:sz="4" w:space="0" w:color="auto"/>
            </w:tcBorders>
            <w:vAlign w:val="center"/>
          </w:tcPr>
          <w:p w14:paraId="1DF3EF1B" w14:textId="77777777" w:rsidR="00B7632A" w:rsidRPr="00F7077B" w:rsidRDefault="00B7632A" w:rsidP="00CD1704">
            <w:pPr>
              <w:jc w:val="right"/>
              <w:rPr>
                <w:i/>
                <w:sz w:val="20"/>
                <w:szCs w:val="20"/>
              </w:rPr>
            </w:pPr>
            <w:r w:rsidRPr="00F7077B">
              <w:rPr>
                <w:i/>
                <w:sz w:val="20"/>
                <w:szCs w:val="20"/>
              </w:rPr>
              <w:t>794</w:t>
            </w:r>
          </w:p>
        </w:tc>
        <w:tc>
          <w:tcPr>
            <w:tcW w:w="1106" w:type="dxa"/>
            <w:tcBorders>
              <w:top w:val="nil"/>
              <w:left w:val="single" w:sz="4" w:space="0" w:color="auto"/>
              <w:bottom w:val="nil"/>
              <w:right w:val="single" w:sz="4" w:space="0" w:color="auto"/>
            </w:tcBorders>
            <w:vAlign w:val="center"/>
          </w:tcPr>
          <w:p w14:paraId="3228A52B" w14:textId="77777777" w:rsidR="00B7632A" w:rsidRPr="003146F5" w:rsidRDefault="00B7632A" w:rsidP="00CD1704">
            <w:pPr>
              <w:jc w:val="right"/>
              <w:rPr>
                <w:i/>
                <w:color w:val="FF0000"/>
                <w:sz w:val="20"/>
                <w:szCs w:val="20"/>
              </w:rPr>
            </w:pPr>
            <w:r w:rsidRPr="0022660D">
              <w:rPr>
                <w:i/>
                <w:sz w:val="20"/>
                <w:szCs w:val="20"/>
              </w:rPr>
              <w:t>686</w:t>
            </w:r>
          </w:p>
        </w:tc>
        <w:tc>
          <w:tcPr>
            <w:tcW w:w="1106" w:type="dxa"/>
            <w:tcBorders>
              <w:top w:val="nil"/>
              <w:left w:val="single" w:sz="4" w:space="0" w:color="auto"/>
              <w:bottom w:val="nil"/>
              <w:right w:val="single" w:sz="4" w:space="0" w:color="auto"/>
            </w:tcBorders>
            <w:vAlign w:val="center"/>
          </w:tcPr>
          <w:p w14:paraId="5C552B9A" w14:textId="77777777" w:rsidR="00B7632A" w:rsidRPr="00295903" w:rsidRDefault="00B7632A" w:rsidP="00CD1704">
            <w:pPr>
              <w:jc w:val="right"/>
              <w:rPr>
                <w:i/>
                <w:sz w:val="20"/>
                <w:szCs w:val="20"/>
              </w:rPr>
            </w:pPr>
            <w:r w:rsidRPr="00295903">
              <w:rPr>
                <w:i/>
                <w:sz w:val="20"/>
                <w:szCs w:val="20"/>
              </w:rPr>
              <w:t>686</w:t>
            </w:r>
          </w:p>
        </w:tc>
        <w:tc>
          <w:tcPr>
            <w:tcW w:w="1106" w:type="dxa"/>
            <w:tcBorders>
              <w:top w:val="nil"/>
              <w:left w:val="single" w:sz="4" w:space="0" w:color="auto"/>
              <w:bottom w:val="nil"/>
              <w:right w:val="single" w:sz="4" w:space="0" w:color="auto"/>
            </w:tcBorders>
            <w:vAlign w:val="center"/>
          </w:tcPr>
          <w:p w14:paraId="4A7689A3" w14:textId="77777777" w:rsidR="00B7632A" w:rsidRPr="00D60830" w:rsidRDefault="00B7632A" w:rsidP="00CD1704">
            <w:pPr>
              <w:jc w:val="right"/>
              <w:rPr>
                <w:i/>
                <w:sz w:val="20"/>
                <w:szCs w:val="20"/>
              </w:rPr>
            </w:pPr>
            <w:r w:rsidRPr="00D60830">
              <w:rPr>
                <w:i/>
                <w:sz w:val="20"/>
                <w:szCs w:val="20"/>
              </w:rPr>
              <w:t>860</w:t>
            </w:r>
          </w:p>
        </w:tc>
        <w:tc>
          <w:tcPr>
            <w:tcW w:w="709" w:type="dxa"/>
            <w:tcBorders>
              <w:top w:val="nil"/>
              <w:left w:val="single" w:sz="4" w:space="0" w:color="auto"/>
              <w:bottom w:val="nil"/>
              <w:right w:val="single" w:sz="4" w:space="0" w:color="auto"/>
            </w:tcBorders>
            <w:vAlign w:val="center"/>
          </w:tcPr>
          <w:p w14:paraId="408B1220" w14:textId="77777777" w:rsidR="00B7632A" w:rsidRPr="00FC7219" w:rsidRDefault="00B7632A" w:rsidP="00CD1704">
            <w:pPr>
              <w:jc w:val="right"/>
              <w:rPr>
                <w:i/>
                <w:sz w:val="20"/>
                <w:szCs w:val="20"/>
              </w:rPr>
            </w:pPr>
            <w:r w:rsidRPr="00FC7219">
              <w:rPr>
                <w:i/>
                <w:sz w:val="20"/>
                <w:szCs w:val="20"/>
              </w:rPr>
              <w:t>108,31</w:t>
            </w:r>
          </w:p>
        </w:tc>
      </w:tr>
      <w:tr w:rsidR="00B7632A" w:rsidRPr="004B11AC" w14:paraId="6FEBDEDA" w14:textId="77777777" w:rsidTr="00633088">
        <w:trPr>
          <w:tblHeader/>
        </w:trPr>
        <w:tc>
          <w:tcPr>
            <w:tcW w:w="4025" w:type="dxa"/>
            <w:tcBorders>
              <w:top w:val="nil"/>
              <w:left w:val="single" w:sz="4" w:space="0" w:color="auto"/>
              <w:bottom w:val="nil"/>
              <w:right w:val="single" w:sz="4" w:space="0" w:color="auto"/>
            </w:tcBorders>
          </w:tcPr>
          <w:p w14:paraId="53A0DB02" w14:textId="77777777" w:rsidR="00B7632A" w:rsidRPr="002A64C9" w:rsidRDefault="00B7632A" w:rsidP="00CD1704">
            <w:pPr>
              <w:jc w:val="both"/>
              <w:rPr>
                <w:i/>
                <w:sz w:val="20"/>
                <w:szCs w:val="20"/>
              </w:rPr>
            </w:pPr>
            <w:r w:rsidRPr="002A64C9">
              <w:rPr>
                <w:i/>
                <w:sz w:val="20"/>
                <w:szCs w:val="20"/>
              </w:rPr>
              <w:t xml:space="preserve">             v tom: ze SR</w:t>
            </w:r>
          </w:p>
        </w:tc>
        <w:tc>
          <w:tcPr>
            <w:tcW w:w="1106" w:type="dxa"/>
            <w:tcBorders>
              <w:top w:val="nil"/>
              <w:left w:val="single" w:sz="4" w:space="0" w:color="auto"/>
              <w:bottom w:val="nil"/>
              <w:right w:val="single" w:sz="4" w:space="0" w:color="auto"/>
            </w:tcBorders>
            <w:vAlign w:val="center"/>
          </w:tcPr>
          <w:p w14:paraId="5CFEC84C" w14:textId="77777777" w:rsidR="00B7632A" w:rsidRPr="00F7077B" w:rsidRDefault="00B7632A" w:rsidP="00CD1704">
            <w:pPr>
              <w:jc w:val="right"/>
              <w:rPr>
                <w:i/>
                <w:sz w:val="20"/>
                <w:szCs w:val="20"/>
              </w:rPr>
            </w:pPr>
            <w:r w:rsidRPr="00F7077B">
              <w:rPr>
                <w:i/>
                <w:sz w:val="20"/>
                <w:szCs w:val="20"/>
              </w:rPr>
              <w:t>119</w:t>
            </w:r>
          </w:p>
        </w:tc>
        <w:tc>
          <w:tcPr>
            <w:tcW w:w="1106" w:type="dxa"/>
            <w:tcBorders>
              <w:top w:val="nil"/>
              <w:left w:val="single" w:sz="4" w:space="0" w:color="auto"/>
              <w:bottom w:val="nil"/>
              <w:right w:val="single" w:sz="4" w:space="0" w:color="auto"/>
            </w:tcBorders>
            <w:vAlign w:val="center"/>
          </w:tcPr>
          <w:p w14:paraId="3556ED04" w14:textId="77777777" w:rsidR="00B7632A" w:rsidRPr="003146F5" w:rsidRDefault="00B7632A" w:rsidP="00CD1704">
            <w:pPr>
              <w:jc w:val="right"/>
              <w:rPr>
                <w:i/>
                <w:color w:val="FF0000"/>
                <w:sz w:val="20"/>
                <w:szCs w:val="20"/>
              </w:rPr>
            </w:pPr>
            <w:r w:rsidRPr="0022660D">
              <w:rPr>
                <w:i/>
                <w:sz w:val="20"/>
                <w:szCs w:val="20"/>
              </w:rPr>
              <w:t>103</w:t>
            </w:r>
          </w:p>
        </w:tc>
        <w:tc>
          <w:tcPr>
            <w:tcW w:w="1106" w:type="dxa"/>
            <w:tcBorders>
              <w:top w:val="nil"/>
              <w:left w:val="single" w:sz="4" w:space="0" w:color="auto"/>
              <w:bottom w:val="nil"/>
              <w:right w:val="single" w:sz="4" w:space="0" w:color="auto"/>
            </w:tcBorders>
            <w:vAlign w:val="center"/>
          </w:tcPr>
          <w:p w14:paraId="62CF9163" w14:textId="77777777" w:rsidR="00B7632A" w:rsidRPr="00295903" w:rsidRDefault="00B7632A" w:rsidP="00CD1704">
            <w:pPr>
              <w:jc w:val="right"/>
              <w:rPr>
                <w:i/>
                <w:sz w:val="20"/>
                <w:szCs w:val="20"/>
              </w:rPr>
            </w:pPr>
            <w:r w:rsidRPr="00295903">
              <w:rPr>
                <w:i/>
                <w:sz w:val="20"/>
                <w:szCs w:val="20"/>
              </w:rPr>
              <w:t>103</w:t>
            </w:r>
          </w:p>
        </w:tc>
        <w:tc>
          <w:tcPr>
            <w:tcW w:w="1106" w:type="dxa"/>
            <w:tcBorders>
              <w:top w:val="nil"/>
              <w:left w:val="single" w:sz="4" w:space="0" w:color="auto"/>
              <w:bottom w:val="nil"/>
              <w:right w:val="single" w:sz="4" w:space="0" w:color="auto"/>
            </w:tcBorders>
            <w:vAlign w:val="center"/>
          </w:tcPr>
          <w:p w14:paraId="50096220" w14:textId="77777777" w:rsidR="00B7632A" w:rsidRPr="00D60830" w:rsidRDefault="00B7632A" w:rsidP="00CD1704">
            <w:pPr>
              <w:jc w:val="right"/>
              <w:rPr>
                <w:i/>
                <w:sz w:val="20"/>
                <w:szCs w:val="20"/>
              </w:rPr>
            </w:pPr>
            <w:r w:rsidRPr="00D60830">
              <w:rPr>
                <w:i/>
                <w:sz w:val="20"/>
                <w:szCs w:val="20"/>
              </w:rPr>
              <w:t>129</w:t>
            </w:r>
          </w:p>
        </w:tc>
        <w:tc>
          <w:tcPr>
            <w:tcW w:w="709" w:type="dxa"/>
            <w:tcBorders>
              <w:top w:val="nil"/>
              <w:left w:val="single" w:sz="4" w:space="0" w:color="auto"/>
              <w:bottom w:val="nil"/>
              <w:right w:val="single" w:sz="4" w:space="0" w:color="auto"/>
            </w:tcBorders>
            <w:vAlign w:val="center"/>
          </w:tcPr>
          <w:p w14:paraId="13063354" w14:textId="77777777" w:rsidR="00B7632A" w:rsidRPr="00FC7219" w:rsidRDefault="00B7632A" w:rsidP="00CD1704">
            <w:pPr>
              <w:jc w:val="right"/>
              <w:rPr>
                <w:i/>
                <w:sz w:val="20"/>
                <w:szCs w:val="20"/>
              </w:rPr>
            </w:pPr>
            <w:r w:rsidRPr="00FC7219">
              <w:rPr>
                <w:i/>
                <w:sz w:val="20"/>
                <w:szCs w:val="20"/>
              </w:rPr>
              <w:t>108,40</w:t>
            </w:r>
          </w:p>
        </w:tc>
      </w:tr>
      <w:tr w:rsidR="00B7632A" w:rsidRPr="004B11AC" w14:paraId="0180EDED" w14:textId="77777777" w:rsidTr="00633088">
        <w:trPr>
          <w:tblHeader/>
        </w:trPr>
        <w:tc>
          <w:tcPr>
            <w:tcW w:w="4025" w:type="dxa"/>
            <w:tcBorders>
              <w:top w:val="nil"/>
              <w:left w:val="single" w:sz="4" w:space="0" w:color="auto"/>
              <w:bottom w:val="nil"/>
              <w:right w:val="single" w:sz="4" w:space="0" w:color="auto"/>
            </w:tcBorders>
          </w:tcPr>
          <w:p w14:paraId="46D13A05" w14:textId="77777777" w:rsidR="00B7632A" w:rsidRPr="002A64C9" w:rsidRDefault="00B7632A" w:rsidP="00CD1704">
            <w:pPr>
              <w:jc w:val="both"/>
              <w:rPr>
                <w:i/>
                <w:sz w:val="20"/>
                <w:szCs w:val="20"/>
              </w:rPr>
            </w:pPr>
            <w:r w:rsidRPr="002A64C9">
              <w:rPr>
                <w:i/>
                <w:sz w:val="20"/>
                <w:szCs w:val="20"/>
              </w:rPr>
              <w:t xml:space="preserve">                         z rozpočtu EU</w:t>
            </w:r>
          </w:p>
        </w:tc>
        <w:tc>
          <w:tcPr>
            <w:tcW w:w="1106" w:type="dxa"/>
            <w:tcBorders>
              <w:top w:val="nil"/>
              <w:left w:val="single" w:sz="4" w:space="0" w:color="auto"/>
              <w:bottom w:val="nil"/>
              <w:right w:val="single" w:sz="4" w:space="0" w:color="auto"/>
            </w:tcBorders>
            <w:vAlign w:val="center"/>
          </w:tcPr>
          <w:p w14:paraId="63ABB026" w14:textId="77777777" w:rsidR="00B7632A" w:rsidRPr="00F7077B" w:rsidRDefault="00B7632A" w:rsidP="00CD1704">
            <w:pPr>
              <w:jc w:val="right"/>
              <w:rPr>
                <w:i/>
                <w:sz w:val="20"/>
                <w:szCs w:val="20"/>
              </w:rPr>
            </w:pPr>
            <w:r w:rsidRPr="00F7077B">
              <w:rPr>
                <w:i/>
                <w:sz w:val="20"/>
                <w:szCs w:val="20"/>
              </w:rPr>
              <w:t>675</w:t>
            </w:r>
          </w:p>
        </w:tc>
        <w:tc>
          <w:tcPr>
            <w:tcW w:w="1106" w:type="dxa"/>
            <w:tcBorders>
              <w:top w:val="nil"/>
              <w:left w:val="single" w:sz="4" w:space="0" w:color="auto"/>
              <w:bottom w:val="nil"/>
              <w:right w:val="single" w:sz="4" w:space="0" w:color="auto"/>
            </w:tcBorders>
            <w:vAlign w:val="center"/>
          </w:tcPr>
          <w:p w14:paraId="4C9195F1" w14:textId="77777777" w:rsidR="00B7632A" w:rsidRPr="003146F5" w:rsidRDefault="00B7632A" w:rsidP="00CD1704">
            <w:pPr>
              <w:jc w:val="right"/>
              <w:rPr>
                <w:i/>
                <w:color w:val="FF0000"/>
                <w:sz w:val="20"/>
                <w:szCs w:val="20"/>
              </w:rPr>
            </w:pPr>
            <w:r w:rsidRPr="0022660D">
              <w:rPr>
                <w:i/>
                <w:sz w:val="20"/>
                <w:szCs w:val="20"/>
              </w:rPr>
              <w:t>583</w:t>
            </w:r>
          </w:p>
        </w:tc>
        <w:tc>
          <w:tcPr>
            <w:tcW w:w="1106" w:type="dxa"/>
            <w:tcBorders>
              <w:top w:val="nil"/>
              <w:left w:val="single" w:sz="4" w:space="0" w:color="auto"/>
              <w:bottom w:val="nil"/>
              <w:right w:val="single" w:sz="4" w:space="0" w:color="auto"/>
            </w:tcBorders>
            <w:vAlign w:val="center"/>
          </w:tcPr>
          <w:p w14:paraId="08322D39" w14:textId="77777777" w:rsidR="00B7632A" w:rsidRPr="00295903" w:rsidRDefault="00B7632A" w:rsidP="00CD1704">
            <w:pPr>
              <w:jc w:val="right"/>
              <w:rPr>
                <w:i/>
                <w:sz w:val="20"/>
                <w:szCs w:val="20"/>
              </w:rPr>
            </w:pPr>
            <w:r w:rsidRPr="00295903">
              <w:rPr>
                <w:i/>
                <w:sz w:val="20"/>
                <w:szCs w:val="20"/>
              </w:rPr>
              <w:t>583</w:t>
            </w:r>
          </w:p>
        </w:tc>
        <w:tc>
          <w:tcPr>
            <w:tcW w:w="1106" w:type="dxa"/>
            <w:tcBorders>
              <w:top w:val="nil"/>
              <w:left w:val="single" w:sz="4" w:space="0" w:color="auto"/>
              <w:bottom w:val="nil"/>
              <w:right w:val="single" w:sz="4" w:space="0" w:color="auto"/>
            </w:tcBorders>
            <w:vAlign w:val="center"/>
          </w:tcPr>
          <w:p w14:paraId="07FDA20D" w14:textId="77777777" w:rsidR="00B7632A" w:rsidRPr="00D60830" w:rsidRDefault="00B7632A" w:rsidP="00CD1704">
            <w:pPr>
              <w:jc w:val="right"/>
              <w:rPr>
                <w:i/>
                <w:sz w:val="20"/>
                <w:szCs w:val="20"/>
              </w:rPr>
            </w:pPr>
            <w:r w:rsidRPr="00D60830">
              <w:rPr>
                <w:i/>
                <w:sz w:val="20"/>
                <w:szCs w:val="20"/>
              </w:rPr>
              <w:t>731</w:t>
            </w:r>
          </w:p>
        </w:tc>
        <w:tc>
          <w:tcPr>
            <w:tcW w:w="709" w:type="dxa"/>
            <w:tcBorders>
              <w:top w:val="nil"/>
              <w:left w:val="single" w:sz="4" w:space="0" w:color="auto"/>
              <w:bottom w:val="nil"/>
              <w:right w:val="single" w:sz="4" w:space="0" w:color="auto"/>
            </w:tcBorders>
            <w:vAlign w:val="center"/>
          </w:tcPr>
          <w:p w14:paraId="283E84FF" w14:textId="77777777" w:rsidR="00B7632A" w:rsidRPr="00FC7219" w:rsidRDefault="00B7632A" w:rsidP="00CD1704">
            <w:pPr>
              <w:jc w:val="right"/>
              <w:rPr>
                <w:i/>
                <w:sz w:val="20"/>
                <w:szCs w:val="20"/>
              </w:rPr>
            </w:pPr>
            <w:r w:rsidRPr="00FC7219">
              <w:rPr>
                <w:i/>
                <w:sz w:val="20"/>
                <w:szCs w:val="20"/>
              </w:rPr>
              <w:t>108,30</w:t>
            </w:r>
          </w:p>
        </w:tc>
      </w:tr>
      <w:tr w:rsidR="00B7632A" w:rsidRPr="004B11AC" w14:paraId="45999704" w14:textId="77777777" w:rsidTr="00633088">
        <w:trPr>
          <w:tblHeader/>
        </w:trPr>
        <w:tc>
          <w:tcPr>
            <w:tcW w:w="4025" w:type="dxa"/>
            <w:tcBorders>
              <w:top w:val="nil"/>
              <w:left w:val="single" w:sz="4" w:space="0" w:color="auto"/>
              <w:bottom w:val="nil"/>
              <w:right w:val="single" w:sz="4" w:space="0" w:color="auto"/>
            </w:tcBorders>
          </w:tcPr>
          <w:p w14:paraId="4A3454EB" w14:textId="77777777" w:rsidR="00B7632A" w:rsidRPr="002A64C9" w:rsidRDefault="00B7632A" w:rsidP="00CD1704">
            <w:pPr>
              <w:jc w:val="both"/>
              <w:rPr>
                <w:sz w:val="20"/>
                <w:szCs w:val="20"/>
              </w:rPr>
            </w:pPr>
            <w:r w:rsidRPr="002A64C9">
              <w:rPr>
                <w:sz w:val="20"/>
                <w:szCs w:val="20"/>
              </w:rPr>
              <w:t>povinné pojistné placené zaměstnavatelem</w:t>
            </w:r>
          </w:p>
        </w:tc>
        <w:tc>
          <w:tcPr>
            <w:tcW w:w="1106" w:type="dxa"/>
            <w:tcBorders>
              <w:top w:val="nil"/>
              <w:left w:val="single" w:sz="4" w:space="0" w:color="auto"/>
              <w:bottom w:val="nil"/>
              <w:right w:val="single" w:sz="4" w:space="0" w:color="auto"/>
            </w:tcBorders>
            <w:vAlign w:val="center"/>
          </w:tcPr>
          <w:p w14:paraId="54AAA193" w14:textId="77777777" w:rsidR="00B7632A" w:rsidRPr="00F7077B" w:rsidRDefault="00B7632A" w:rsidP="00CD1704">
            <w:pPr>
              <w:jc w:val="right"/>
              <w:rPr>
                <w:sz w:val="20"/>
                <w:szCs w:val="20"/>
              </w:rPr>
            </w:pPr>
            <w:r w:rsidRPr="00F7077B">
              <w:rPr>
                <w:sz w:val="20"/>
                <w:szCs w:val="20"/>
              </w:rPr>
              <w:t>12 613</w:t>
            </w:r>
          </w:p>
        </w:tc>
        <w:tc>
          <w:tcPr>
            <w:tcW w:w="1106" w:type="dxa"/>
            <w:tcBorders>
              <w:top w:val="nil"/>
              <w:left w:val="single" w:sz="4" w:space="0" w:color="auto"/>
              <w:bottom w:val="nil"/>
              <w:right w:val="single" w:sz="4" w:space="0" w:color="auto"/>
            </w:tcBorders>
            <w:vAlign w:val="center"/>
          </w:tcPr>
          <w:p w14:paraId="3105606A" w14:textId="77777777" w:rsidR="00B7632A" w:rsidRPr="003146F5" w:rsidRDefault="00B7632A" w:rsidP="00CD1704">
            <w:pPr>
              <w:jc w:val="right"/>
              <w:rPr>
                <w:color w:val="FF0000"/>
                <w:sz w:val="20"/>
                <w:szCs w:val="20"/>
              </w:rPr>
            </w:pPr>
            <w:r w:rsidRPr="0022660D">
              <w:rPr>
                <w:sz w:val="20"/>
                <w:szCs w:val="20"/>
              </w:rPr>
              <w:t>13 655</w:t>
            </w:r>
          </w:p>
        </w:tc>
        <w:tc>
          <w:tcPr>
            <w:tcW w:w="1106" w:type="dxa"/>
            <w:tcBorders>
              <w:top w:val="nil"/>
              <w:left w:val="single" w:sz="4" w:space="0" w:color="auto"/>
              <w:bottom w:val="nil"/>
              <w:right w:val="single" w:sz="4" w:space="0" w:color="auto"/>
            </w:tcBorders>
            <w:vAlign w:val="center"/>
          </w:tcPr>
          <w:p w14:paraId="36509E72" w14:textId="77777777" w:rsidR="00B7632A" w:rsidRPr="00295903" w:rsidRDefault="00B7632A" w:rsidP="00CD1704">
            <w:pPr>
              <w:jc w:val="right"/>
              <w:rPr>
                <w:sz w:val="20"/>
                <w:szCs w:val="20"/>
              </w:rPr>
            </w:pPr>
            <w:r w:rsidRPr="00295903">
              <w:rPr>
                <w:sz w:val="20"/>
                <w:szCs w:val="20"/>
              </w:rPr>
              <w:t>13 655</w:t>
            </w:r>
          </w:p>
        </w:tc>
        <w:tc>
          <w:tcPr>
            <w:tcW w:w="1106" w:type="dxa"/>
            <w:tcBorders>
              <w:top w:val="nil"/>
              <w:left w:val="single" w:sz="4" w:space="0" w:color="auto"/>
              <w:bottom w:val="nil"/>
              <w:right w:val="single" w:sz="4" w:space="0" w:color="auto"/>
            </w:tcBorders>
            <w:vAlign w:val="center"/>
          </w:tcPr>
          <w:p w14:paraId="4DDB5062" w14:textId="77777777" w:rsidR="00B7632A" w:rsidRPr="00D60830" w:rsidRDefault="00B7632A" w:rsidP="00CD1704">
            <w:pPr>
              <w:jc w:val="right"/>
              <w:rPr>
                <w:sz w:val="20"/>
                <w:szCs w:val="20"/>
              </w:rPr>
            </w:pPr>
            <w:r w:rsidRPr="00D60830">
              <w:rPr>
                <w:sz w:val="20"/>
                <w:szCs w:val="20"/>
              </w:rPr>
              <w:t>13 578</w:t>
            </w:r>
          </w:p>
        </w:tc>
        <w:tc>
          <w:tcPr>
            <w:tcW w:w="709" w:type="dxa"/>
            <w:tcBorders>
              <w:top w:val="nil"/>
              <w:left w:val="single" w:sz="4" w:space="0" w:color="auto"/>
              <w:bottom w:val="nil"/>
              <w:right w:val="single" w:sz="4" w:space="0" w:color="auto"/>
            </w:tcBorders>
            <w:vAlign w:val="center"/>
          </w:tcPr>
          <w:p w14:paraId="71A798B0" w14:textId="77777777" w:rsidR="00B7632A" w:rsidRPr="00FC7219" w:rsidRDefault="00B7632A" w:rsidP="00CD1704">
            <w:pPr>
              <w:jc w:val="right"/>
              <w:rPr>
                <w:sz w:val="20"/>
                <w:szCs w:val="20"/>
              </w:rPr>
            </w:pPr>
            <w:r w:rsidRPr="00FC7219">
              <w:rPr>
                <w:sz w:val="20"/>
                <w:szCs w:val="20"/>
              </w:rPr>
              <w:t>107,65</w:t>
            </w:r>
          </w:p>
        </w:tc>
      </w:tr>
      <w:tr w:rsidR="00B7632A" w:rsidRPr="004B11AC" w14:paraId="6591A283" w14:textId="77777777" w:rsidTr="00633088">
        <w:trPr>
          <w:tblHeader/>
        </w:trPr>
        <w:tc>
          <w:tcPr>
            <w:tcW w:w="4025" w:type="dxa"/>
            <w:tcBorders>
              <w:top w:val="nil"/>
              <w:left w:val="single" w:sz="4" w:space="0" w:color="auto"/>
              <w:bottom w:val="nil"/>
              <w:right w:val="single" w:sz="4" w:space="0" w:color="auto"/>
            </w:tcBorders>
          </w:tcPr>
          <w:p w14:paraId="304350B1" w14:textId="77777777" w:rsidR="00B7632A" w:rsidRPr="002A64C9" w:rsidRDefault="00B7632A" w:rsidP="00CD1704">
            <w:pPr>
              <w:jc w:val="both"/>
              <w:rPr>
                <w:i/>
                <w:sz w:val="20"/>
                <w:szCs w:val="20"/>
              </w:rPr>
            </w:pPr>
            <w:r w:rsidRPr="002A64C9">
              <w:rPr>
                <w:i/>
                <w:sz w:val="20"/>
                <w:szCs w:val="20"/>
              </w:rPr>
              <w:t>z toho: výdaje na progr. spolufin. z rozpočtu EU</w:t>
            </w:r>
          </w:p>
        </w:tc>
        <w:tc>
          <w:tcPr>
            <w:tcW w:w="1106" w:type="dxa"/>
            <w:tcBorders>
              <w:top w:val="nil"/>
              <w:left w:val="single" w:sz="4" w:space="0" w:color="auto"/>
              <w:bottom w:val="nil"/>
              <w:right w:val="single" w:sz="4" w:space="0" w:color="auto"/>
            </w:tcBorders>
            <w:vAlign w:val="center"/>
          </w:tcPr>
          <w:p w14:paraId="217B60C8" w14:textId="77777777" w:rsidR="00B7632A" w:rsidRPr="00F7077B" w:rsidRDefault="00B7632A" w:rsidP="00CD1704">
            <w:pPr>
              <w:jc w:val="right"/>
              <w:rPr>
                <w:i/>
                <w:sz w:val="20"/>
                <w:szCs w:val="20"/>
              </w:rPr>
            </w:pPr>
            <w:r w:rsidRPr="00F7077B">
              <w:rPr>
                <w:i/>
                <w:sz w:val="20"/>
                <w:szCs w:val="20"/>
              </w:rPr>
              <w:t>270</w:t>
            </w:r>
          </w:p>
        </w:tc>
        <w:tc>
          <w:tcPr>
            <w:tcW w:w="1106" w:type="dxa"/>
            <w:tcBorders>
              <w:top w:val="nil"/>
              <w:left w:val="single" w:sz="4" w:space="0" w:color="auto"/>
              <w:bottom w:val="nil"/>
              <w:right w:val="single" w:sz="4" w:space="0" w:color="auto"/>
            </w:tcBorders>
            <w:vAlign w:val="center"/>
          </w:tcPr>
          <w:p w14:paraId="153CA144" w14:textId="77777777" w:rsidR="00B7632A" w:rsidRPr="003146F5" w:rsidRDefault="00B7632A" w:rsidP="00CD1704">
            <w:pPr>
              <w:jc w:val="right"/>
              <w:rPr>
                <w:i/>
                <w:color w:val="FF0000"/>
                <w:sz w:val="20"/>
                <w:szCs w:val="20"/>
              </w:rPr>
            </w:pPr>
            <w:r w:rsidRPr="0022660D">
              <w:rPr>
                <w:i/>
                <w:sz w:val="20"/>
                <w:szCs w:val="20"/>
              </w:rPr>
              <w:t>233</w:t>
            </w:r>
          </w:p>
        </w:tc>
        <w:tc>
          <w:tcPr>
            <w:tcW w:w="1106" w:type="dxa"/>
            <w:tcBorders>
              <w:top w:val="nil"/>
              <w:left w:val="single" w:sz="4" w:space="0" w:color="auto"/>
              <w:bottom w:val="nil"/>
              <w:right w:val="single" w:sz="4" w:space="0" w:color="auto"/>
            </w:tcBorders>
            <w:vAlign w:val="center"/>
          </w:tcPr>
          <w:p w14:paraId="5203618D" w14:textId="77777777" w:rsidR="00B7632A" w:rsidRPr="00295903" w:rsidRDefault="00B7632A" w:rsidP="00CD1704">
            <w:pPr>
              <w:jc w:val="right"/>
              <w:rPr>
                <w:i/>
                <w:sz w:val="20"/>
                <w:szCs w:val="20"/>
              </w:rPr>
            </w:pPr>
            <w:r w:rsidRPr="00295903">
              <w:rPr>
                <w:i/>
                <w:sz w:val="20"/>
                <w:szCs w:val="20"/>
              </w:rPr>
              <w:t>233</w:t>
            </w:r>
          </w:p>
        </w:tc>
        <w:tc>
          <w:tcPr>
            <w:tcW w:w="1106" w:type="dxa"/>
            <w:tcBorders>
              <w:top w:val="nil"/>
              <w:left w:val="single" w:sz="4" w:space="0" w:color="auto"/>
              <w:bottom w:val="nil"/>
              <w:right w:val="single" w:sz="4" w:space="0" w:color="auto"/>
            </w:tcBorders>
            <w:vAlign w:val="center"/>
          </w:tcPr>
          <w:p w14:paraId="66C252BC" w14:textId="77777777" w:rsidR="00B7632A" w:rsidRPr="00D60830" w:rsidRDefault="00B7632A" w:rsidP="00CD1704">
            <w:pPr>
              <w:jc w:val="right"/>
              <w:rPr>
                <w:i/>
                <w:sz w:val="20"/>
                <w:szCs w:val="20"/>
              </w:rPr>
            </w:pPr>
            <w:r w:rsidRPr="00D60830">
              <w:rPr>
                <w:i/>
                <w:sz w:val="20"/>
                <w:szCs w:val="20"/>
              </w:rPr>
              <w:t>292</w:t>
            </w:r>
          </w:p>
        </w:tc>
        <w:tc>
          <w:tcPr>
            <w:tcW w:w="709" w:type="dxa"/>
            <w:tcBorders>
              <w:top w:val="nil"/>
              <w:left w:val="single" w:sz="4" w:space="0" w:color="auto"/>
              <w:bottom w:val="nil"/>
              <w:right w:val="single" w:sz="4" w:space="0" w:color="auto"/>
            </w:tcBorders>
            <w:vAlign w:val="center"/>
          </w:tcPr>
          <w:p w14:paraId="47ECE172" w14:textId="77777777" w:rsidR="00B7632A" w:rsidRPr="00FC7219" w:rsidRDefault="00B7632A" w:rsidP="00CD1704">
            <w:pPr>
              <w:jc w:val="right"/>
              <w:rPr>
                <w:i/>
                <w:sz w:val="20"/>
                <w:szCs w:val="20"/>
              </w:rPr>
            </w:pPr>
            <w:r w:rsidRPr="00FC7219">
              <w:rPr>
                <w:i/>
                <w:sz w:val="20"/>
                <w:szCs w:val="20"/>
              </w:rPr>
              <w:t>108,15</w:t>
            </w:r>
          </w:p>
        </w:tc>
      </w:tr>
      <w:tr w:rsidR="00B7632A" w:rsidRPr="004B11AC" w14:paraId="03749809" w14:textId="77777777" w:rsidTr="00633088">
        <w:trPr>
          <w:tblHeader/>
        </w:trPr>
        <w:tc>
          <w:tcPr>
            <w:tcW w:w="4025" w:type="dxa"/>
            <w:tcBorders>
              <w:top w:val="nil"/>
              <w:left w:val="single" w:sz="4" w:space="0" w:color="auto"/>
              <w:bottom w:val="nil"/>
              <w:right w:val="single" w:sz="4" w:space="0" w:color="auto"/>
            </w:tcBorders>
          </w:tcPr>
          <w:p w14:paraId="1F145C1A" w14:textId="77777777" w:rsidR="00B7632A" w:rsidRPr="002A64C9" w:rsidRDefault="00B7632A" w:rsidP="00CD1704">
            <w:pPr>
              <w:jc w:val="both"/>
              <w:rPr>
                <w:i/>
                <w:sz w:val="20"/>
                <w:szCs w:val="20"/>
              </w:rPr>
            </w:pPr>
            <w:r w:rsidRPr="002A64C9">
              <w:rPr>
                <w:i/>
                <w:sz w:val="20"/>
                <w:szCs w:val="20"/>
              </w:rPr>
              <w:t xml:space="preserve">             v tom: ze SR</w:t>
            </w:r>
          </w:p>
        </w:tc>
        <w:tc>
          <w:tcPr>
            <w:tcW w:w="1106" w:type="dxa"/>
            <w:tcBorders>
              <w:top w:val="nil"/>
              <w:left w:val="single" w:sz="4" w:space="0" w:color="auto"/>
              <w:bottom w:val="nil"/>
              <w:right w:val="single" w:sz="4" w:space="0" w:color="auto"/>
            </w:tcBorders>
            <w:vAlign w:val="center"/>
          </w:tcPr>
          <w:p w14:paraId="6B1E031F" w14:textId="77777777" w:rsidR="00B7632A" w:rsidRPr="00F7077B" w:rsidRDefault="00B7632A" w:rsidP="00CD1704">
            <w:pPr>
              <w:jc w:val="right"/>
              <w:rPr>
                <w:i/>
                <w:sz w:val="20"/>
                <w:szCs w:val="20"/>
              </w:rPr>
            </w:pPr>
            <w:r w:rsidRPr="00F7077B">
              <w:rPr>
                <w:i/>
                <w:sz w:val="20"/>
                <w:szCs w:val="20"/>
              </w:rPr>
              <w:t>40,5</w:t>
            </w:r>
          </w:p>
        </w:tc>
        <w:tc>
          <w:tcPr>
            <w:tcW w:w="1106" w:type="dxa"/>
            <w:tcBorders>
              <w:top w:val="nil"/>
              <w:left w:val="single" w:sz="4" w:space="0" w:color="auto"/>
              <w:bottom w:val="nil"/>
              <w:right w:val="single" w:sz="4" w:space="0" w:color="auto"/>
            </w:tcBorders>
            <w:vAlign w:val="center"/>
          </w:tcPr>
          <w:p w14:paraId="796AA682" w14:textId="77777777" w:rsidR="00B7632A" w:rsidRPr="003146F5" w:rsidRDefault="00B7632A" w:rsidP="00CD1704">
            <w:pPr>
              <w:jc w:val="right"/>
              <w:rPr>
                <w:i/>
                <w:color w:val="FF0000"/>
                <w:sz w:val="20"/>
                <w:szCs w:val="20"/>
              </w:rPr>
            </w:pPr>
            <w:r w:rsidRPr="0022660D">
              <w:rPr>
                <w:i/>
                <w:sz w:val="20"/>
                <w:szCs w:val="20"/>
              </w:rPr>
              <w:t>35</w:t>
            </w:r>
          </w:p>
        </w:tc>
        <w:tc>
          <w:tcPr>
            <w:tcW w:w="1106" w:type="dxa"/>
            <w:tcBorders>
              <w:top w:val="nil"/>
              <w:left w:val="single" w:sz="4" w:space="0" w:color="auto"/>
              <w:bottom w:val="nil"/>
              <w:right w:val="single" w:sz="4" w:space="0" w:color="auto"/>
            </w:tcBorders>
            <w:vAlign w:val="center"/>
          </w:tcPr>
          <w:p w14:paraId="0B82B8F3" w14:textId="77777777" w:rsidR="00B7632A" w:rsidRPr="00295903" w:rsidRDefault="00B7632A" w:rsidP="00CD1704">
            <w:pPr>
              <w:jc w:val="right"/>
              <w:rPr>
                <w:i/>
                <w:sz w:val="20"/>
                <w:szCs w:val="20"/>
              </w:rPr>
            </w:pPr>
            <w:r w:rsidRPr="00295903">
              <w:rPr>
                <w:i/>
                <w:sz w:val="20"/>
                <w:szCs w:val="20"/>
              </w:rPr>
              <w:t>35</w:t>
            </w:r>
          </w:p>
        </w:tc>
        <w:tc>
          <w:tcPr>
            <w:tcW w:w="1106" w:type="dxa"/>
            <w:tcBorders>
              <w:top w:val="nil"/>
              <w:left w:val="single" w:sz="4" w:space="0" w:color="auto"/>
              <w:bottom w:val="nil"/>
              <w:right w:val="single" w:sz="4" w:space="0" w:color="auto"/>
            </w:tcBorders>
            <w:vAlign w:val="center"/>
          </w:tcPr>
          <w:p w14:paraId="30FDEF29" w14:textId="77777777" w:rsidR="00B7632A" w:rsidRPr="00D60830" w:rsidRDefault="00B7632A" w:rsidP="00CD1704">
            <w:pPr>
              <w:jc w:val="right"/>
              <w:rPr>
                <w:i/>
                <w:sz w:val="20"/>
                <w:szCs w:val="20"/>
              </w:rPr>
            </w:pPr>
            <w:r w:rsidRPr="00D60830">
              <w:rPr>
                <w:i/>
                <w:sz w:val="20"/>
                <w:szCs w:val="20"/>
              </w:rPr>
              <w:t>44</w:t>
            </w:r>
          </w:p>
        </w:tc>
        <w:tc>
          <w:tcPr>
            <w:tcW w:w="709" w:type="dxa"/>
            <w:tcBorders>
              <w:top w:val="nil"/>
              <w:left w:val="single" w:sz="4" w:space="0" w:color="auto"/>
              <w:bottom w:val="nil"/>
              <w:right w:val="single" w:sz="4" w:space="0" w:color="auto"/>
            </w:tcBorders>
            <w:vAlign w:val="center"/>
          </w:tcPr>
          <w:p w14:paraId="18CCCA2B" w14:textId="77777777" w:rsidR="00B7632A" w:rsidRPr="00FC7219" w:rsidRDefault="00B7632A" w:rsidP="00CD1704">
            <w:pPr>
              <w:jc w:val="right"/>
              <w:rPr>
                <w:i/>
                <w:sz w:val="20"/>
                <w:szCs w:val="20"/>
              </w:rPr>
            </w:pPr>
            <w:r w:rsidRPr="00FC7219">
              <w:rPr>
                <w:i/>
                <w:sz w:val="20"/>
                <w:szCs w:val="20"/>
              </w:rPr>
              <w:t>108,64</w:t>
            </w:r>
          </w:p>
        </w:tc>
      </w:tr>
      <w:tr w:rsidR="00B7632A" w:rsidRPr="004B11AC" w14:paraId="6986A213" w14:textId="77777777" w:rsidTr="00633088">
        <w:trPr>
          <w:tblHeader/>
        </w:trPr>
        <w:tc>
          <w:tcPr>
            <w:tcW w:w="4025" w:type="dxa"/>
            <w:tcBorders>
              <w:top w:val="nil"/>
              <w:left w:val="single" w:sz="4" w:space="0" w:color="auto"/>
              <w:bottom w:val="nil"/>
              <w:right w:val="single" w:sz="4" w:space="0" w:color="auto"/>
            </w:tcBorders>
          </w:tcPr>
          <w:p w14:paraId="2AF93E87" w14:textId="77777777" w:rsidR="00B7632A" w:rsidRPr="002A64C9" w:rsidRDefault="00B7632A" w:rsidP="00CD1704">
            <w:pPr>
              <w:jc w:val="both"/>
              <w:rPr>
                <w:i/>
                <w:sz w:val="20"/>
                <w:szCs w:val="20"/>
              </w:rPr>
            </w:pPr>
            <w:r w:rsidRPr="002A64C9">
              <w:rPr>
                <w:i/>
                <w:sz w:val="20"/>
                <w:szCs w:val="20"/>
              </w:rPr>
              <w:t xml:space="preserve">                         z rozpočtu EU</w:t>
            </w:r>
          </w:p>
        </w:tc>
        <w:tc>
          <w:tcPr>
            <w:tcW w:w="1106" w:type="dxa"/>
            <w:tcBorders>
              <w:top w:val="nil"/>
              <w:left w:val="single" w:sz="4" w:space="0" w:color="auto"/>
              <w:bottom w:val="nil"/>
              <w:right w:val="single" w:sz="4" w:space="0" w:color="auto"/>
            </w:tcBorders>
            <w:vAlign w:val="center"/>
          </w:tcPr>
          <w:p w14:paraId="36E08FCB" w14:textId="77777777" w:rsidR="00B7632A" w:rsidRPr="00F7077B" w:rsidRDefault="00B7632A" w:rsidP="00CD1704">
            <w:pPr>
              <w:jc w:val="right"/>
              <w:rPr>
                <w:i/>
                <w:sz w:val="20"/>
                <w:szCs w:val="20"/>
              </w:rPr>
            </w:pPr>
            <w:r w:rsidRPr="00F7077B">
              <w:rPr>
                <w:i/>
                <w:sz w:val="20"/>
                <w:szCs w:val="20"/>
              </w:rPr>
              <w:t>229,5</w:t>
            </w:r>
          </w:p>
        </w:tc>
        <w:tc>
          <w:tcPr>
            <w:tcW w:w="1106" w:type="dxa"/>
            <w:tcBorders>
              <w:top w:val="nil"/>
              <w:left w:val="single" w:sz="4" w:space="0" w:color="auto"/>
              <w:bottom w:val="nil"/>
              <w:right w:val="single" w:sz="4" w:space="0" w:color="auto"/>
            </w:tcBorders>
            <w:vAlign w:val="center"/>
          </w:tcPr>
          <w:p w14:paraId="5FF934E9" w14:textId="77777777" w:rsidR="00B7632A" w:rsidRPr="003146F5" w:rsidRDefault="00B7632A" w:rsidP="00CD1704">
            <w:pPr>
              <w:jc w:val="right"/>
              <w:rPr>
                <w:i/>
                <w:color w:val="FF0000"/>
                <w:sz w:val="20"/>
                <w:szCs w:val="20"/>
              </w:rPr>
            </w:pPr>
            <w:r w:rsidRPr="0022660D">
              <w:rPr>
                <w:i/>
                <w:sz w:val="20"/>
                <w:szCs w:val="20"/>
              </w:rPr>
              <w:t>198</w:t>
            </w:r>
          </w:p>
        </w:tc>
        <w:tc>
          <w:tcPr>
            <w:tcW w:w="1106" w:type="dxa"/>
            <w:tcBorders>
              <w:top w:val="nil"/>
              <w:left w:val="single" w:sz="4" w:space="0" w:color="auto"/>
              <w:bottom w:val="nil"/>
              <w:right w:val="single" w:sz="4" w:space="0" w:color="auto"/>
            </w:tcBorders>
            <w:vAlign w:val="center"/>
          </w:tcPr>
          <w:p w14:paraId="766FCA7F" w14:textId="77777777" w:rsidR="00B7632A" w:rsidRPr="00295903" w:rsidRDefault="00B7632A" w:rsidP="00CD1704">
            <w:pPr>
              <w:jc w:val="right"/>
              <w:rPr>
                <w:i/>
                <w:sz w:val="20"/>
                <w:szCs w:val="20"/>
              </w:rPr>
            </w:pPr>
            <w:r w:rsidRPr="00295903">
              <w:rPr>
                <w:i/>
                <w:sz w:val="20"/>
                <w:szCs w:val="20"/>
              </w:rPr>
              <w:t>198</w:t>
            </w:r>
          </w:p>
        </w:tc>
        <w:tc>
          <w:tcPr>
            <w:tcW w:w="1106" w:type="dxa"/>
            <w:tcBorders>
              <w:top w:val="nil"/>
              <w:left w:val="single" w:sz="4" w:space="0" w:color="auto"/>
              <w:bottom w:val="nil"/>
              <w:right w:val="single" w:sz="4" w:space="0" w:color="auto"/>
            </w:tcBorders>
            <w:vAlign w:val="center"/>
          </w:tcPr>
          <w:p w14:paraId="39B87401" w14:textId="77777777" w:rsidR="00B7632A" w:rsidRPr="00D60830" w:rsidRDefault="00B7632A" w:rsidP="00CD1704">
            <w:pPr>
              <w:jc w:val="right"/>
              <w:rPr>
                <w:i/>
                <w:sz w:val="20"/>
                <w:szCs w:val="20"/>
              </w:rPr>
            </w:pPr>
            <w:r w:rsidRPr="00D60830">
              <w:rPr>
                <w:i/>
                <w:sz w:val="20"/>
                <w:szCs w:val="20"/>
              </w:rPr>
              <w:t>248</w:t>
            </w:r>
          </w:p>
        </w:tc>
        <w:tc>
          <w:tcPr>
            <w:tcW w:w="709" w:type="dxa"/>
            <w:tcBorders>
              <w:top w:val="nil"/>
              <w:left w:val="single" w:sz="4" w:space="0" w:color="auto"/>
              <w:bottom w:val="nil"/>
              <w:right w:val="single" w:sz="4" w:space="0" w:color="auto"/>
            </w:tcBorders>
            <w:vAlign w:val="center"/>
          </w:tcPr>
          <w:p w14:paraId="74472C97" w14:textId="77777777" w:rsidR="00B7632A" w:rsidRPr="00FC7219" w:rsidRDefault="00B7632A" w:rsidP="00CD1704">
            <w:pPr>
              <w:jc w:val="right"/>
              <w:rPr>
                <w:i/>
                <w:sz w:val="20"/>
                <w:szCs w:val="20"/>
              </w:rPr>
            </w:pPr>
            <w:r w:rsidRPr="00FC7219">
              <w:rPr>
                <w:i/>
                <w:sz w:val="20"/>
                <w:szCs w:val="20"/>
              </w:rPr>
              <w:t>108,06</w:t>
            </w:r>
          </w:p>
        </w:tc>
      </w:tr>
      <w:tr w:rsidR="00B7632A" w:rsidRPr="004B11AC" w14:paraId="0004F551" w14:textId="77777777" w:rsidTr="00633088">
        <w:trPr>
          <w:tblHeader/>
        </w:trPr>
        <w:tc>
          <w:tcPr>
            <w:tcW w:w="4025" w:type="dxa"/>
            <w:tcBorders>
              <w:top w:val="nil"/>
              <w:left w:val="single" w:sz="4" w:space="0" w:color="auto"/>
              <w:bottom w:val="nil"/>
              <w:right w:val="single" w:sz="4" w:space="0" w:color="auto"/>
            </w:tcBorders>
          </w:tcPr>
          <w:p w14:paraId="6D04B19B" w14:textId="77777777" w:rsidR="00B7632A" w:rsidRPr="002A64C9" w:rsidRDefault="00B7632A" w:rsidP="00CD1704">
            <w:pPr>
              <w:jc w:val="both"/>
              <w:rPr>
                <w:sz w:val="20"/>
                <w:szCs w:val="20"/>
              </w:rPr>
            </w:pPr>
            <w:r w:rsidRPr="002A64C9">
              <w:rPr>
                <w:sz w:val="20"/>
                <w:szCs w:val="20"/>
              </w:rPr>
              <w:t>převod FKSP</w:t>
            </w:r>
          </w:p>
        </w:tc>
        <w:tc>
          <w:tcPr>
            <w:tcW w:w="1106" w:type="dxa"/>
            <w:tcBorders>
              <w:top w:val="nil"/>
              <w:left w:val="single" w:sz="4" w:space="0" w:color="auto"/>
              <w:bottom w:val="nil"/>
              <w:right w:val="single" w:sz="4" w:space="0" w:color="auto"/>
            </w:tcBorders>
            <w:vAlign w:val="center"/>
          </w:tcPr>
          <w:p w14:paraId="681E6711" w14:textId="77777777" w:rsidR="00B7632A" w:rsidRPr="009E77A5" w:rsidRDefault="00B7632A" w:rsidP="00CD1704">
            <w:pPr>
              <w:jc w:val="right"/>
              <w:rPr>
                <w:sz w:val="20"/>
                <w:szCs w:val="20"/>
              </w:rPr>
            </w:pPr>
            <w:r w:rsidRPr="009E77A5">
              <w:rPr>
                <w:sz w:val="20"/>
                <w:szCs w:val="20"/>
              </w:rPr>
              <w:t>740</w:t>
            </w:r>
          </w:p>
        </w:tc>
        <w:tc>
          <w:tcPr>
            <w:tcW w:w="1106" w:type="dxa"/>
            <w:tcBorders>
              <w:top w:val="nil"/>
              <w:left w:val="single" w:sz="4" w:space="0" w:color="auto"/>
              <w:bottom w:val="nil"/>
              <w:right w:val="single" w:sz="4" w:space="0" w:color="auto"/>
            </w:tcBorders>
            <w:vAlign w:val="center"/>
          </w:tcPr>
          <w:p w14:paraId="7164D668" w14:textId="77777777" w:rsidR="00B7632A" w:rsidRPr="003146F5" w:rsidRDefault="00B7632A" w:rsidP="00CD1704">
            <w:pPr>
              <w:jc w:val="right"/>
              <w:rPr>
                <w:color w:val="FF0000"/>
                <w:sz w:val="20"/>
                <w:szCs w:val="20"/>
              </w:rPr>
            </w:pPr>
            <w:r w:rsidRPr="0022660D">
              <w:rPr>
                <w:sz w:val="20"/>
                <w:szCs w:val="20"/>
              </w:rPr>
              <w:t>802</w:t>
            </w:r>
          </w:p>
        </w:tc>
        <w:tc>
          <w:tcPr>
            <w:tcW w:w="1106" w:type="dxa"/>
            <w:tcBorders>
              <w:top w:val="nil"/>
              <w:left w:val="single" w:sz="4" w:space="0" w:color="auto"/>
              <w:bottom w:val="nil"/>
              <w:right w:val="single" w:sz="4" w:space="0" w:color="auto"/>
            </w:tcBorders>
            <w:vAlign w:val="center"/>
          </w:tcPr>
          <w:p w14:paraId="44824ED0" w14:textId="77777777" w:rsidR="00B7632A" w:rsidRPr="00295903" w:rsidRDefault="00B7632A" w:rsidP="00CD1704">
            <w:pPr>
              <w:jc w:val="right"/>
              <w:rPr>
                <w:sz w:val="20"/>
                <w:szCs w:val="20"/>
              </w:rPr>
            </w:pPr>
            <w:r w:rsidRPr="00295903">
              <w:rPr>
                <w:sz w:val="20"/>
                <w:szCs w:val="20"/>
              </w:rPr>
              <w:t>802</w:t>
            </w:r>
          </w:p>
        </w:tc>
        <w:tc>
          <w:tcPr>
            <w:tcW w:w="1106" w:type="dxa"/>
            <w:tcBorders>
              <w:top w:val="nil"/>
              <w:left w:val="single" w:sz="4" w:space="0" w:color="auto"/>
              <w:bottom w:val="nil"/>
              <w:right w:val="single" w:sz="4" w:space="0" w:color="auto"/>
            </w:tcBorders>
            <w:vAlign w:val="center"/>
          </w:tcPr>
          <w:p w14:paraId="5616654B" w14:textId="77777777" w:rsidR="00B7632A" w:rsidRPr="00923856" w:rsidRDefault="00B7632A" w:rsidP="00CD1704">
            <w:pPr>
              <w:jc w:val="right"/>
              <w:rPr>
                <w:sz w:val="20"/>
                <w:szCs w:val="20"/>
              </w:rPr>
            </w:pPr>
            <w:r w:rsidRPr="00923856">
              <w:rPr>
                <w:sz w:val="20"/>
                <w:szCs w:val="20"/>
              </w:rPr>
              <w:t>801</w:t>
            </w:r>
          </w:p>
        </w:tc>
        <w:tc>
          <w:tcPr>
            <w:tcW w:w="709" w:type="dxa"/>
            <w:tcBorders>
              <w:top w:val="nil"/>
              <w:left w:val="single" w:sz="4" w:space="0" w:color="auto"/>
              <w:bottom w:val="nil"/>
              <w:right w:val="single" w:sz="4" w:space="0" w:color="auto"/>
            </w:tcBorders>
            <w:vAlign w:val="center"/>
          </w:tcPr>
          <w:p w14:paraId="3438BF05" w14:textId="77777777" w:rsidR="00B7632A" w:rsidRPr="00FC7219" w:rsidRDefault="00B7632A" w:rsidP="00CD1704">
            <w:pPr>
              <w:jc w:val="right"/>
              <w:rPr>
                <w:sz w:val="20"/>
                <w:szCs w:val="20"/>
              </w:rPr>
            </w:pPr>
            <w:r w:rsidRPr="00FC7219">
              <w:rPr>
                <w:sz w:val="20"/>
                <w:szCs w:val="20"/>
              </w:rPr>
              <w:t>108,24</w:t>
            </w:r>
          </w:p>
        </w:tc>
      </w:tr>
      <w:tr w:rsidR="00B7632A" w:rsidRPr="004B11AC" w14:paraId="2E8C2FFD" w14:textId="77777777" w:rsidTr="00633088">
        <w:trPr>
          <w:tblHeader/>
        </w:trPr>
        <w:tc>
          <w:tcPr>
            <w:tcW w:w="4025" w:type="dxa"/>
            <w:tcBorders>
              <w:top w:val="nil"/>
              <w:left w:val="single" w:sz="4" w:space="0" w:color="auto"/>
              <w:bottom w:val="nil"/>
              <w:right w:val="single" w:sz="4" w:space="0" w:color="auto"/>
            </w:tcBorders>
          </w:tcPr>
          <w:p w14:paraId="5943D760" w14:textId="77777777" w:rsidR="00B7632A" w:rsidRPr="002A64C9" w:rsidRDefault="00B7632A" w:rsidP="00CD1704">
            <w:pPr>
              <w:jc w:val="both"/>
              <w:rPr>
                <w:i/>
                <w:sz w:val="20"/>
                <w:szCs w:val="20"/>
              </w:rPr>
            </w:pPr>
            <w:r w:rsidRPr="002A64C9">
              <w:rPr>
                <w:i/>
                <w:sz w:val="20"/>
                <w:szCs w:val="20"/>
              </w:rPr>
              <w:t>z toho: výdaje na progr. spolufin. z rozpočtu EU</w:t>
            </w:r>
          </w:p>
        </w:tc>
        <w:tc>
          <w:tcPr>
            <w:tcW w:w="1106" w:type="dxa"/>
            <w:tcBorders>
              <w:top w:val="nil"/>
              <w:left w:val="single" w:sz="4" w:space="0" w:color="auto"/>
              <w:bottom w:val="nil"/>
              <w:right w:val="single" w:sz="4" w:space="0" w:color="auto"/>
            </w:tcBorders>
            <w:vAlign w:val="center"/>
          </w:tcPr>
          <w:p w14:paraId="1AAA6B80" w14:textId="77777777" w:rsidR="00B7632A" w:rsidRPr="009E77A5" w:rsidRDefault="00B7632A" w:rsidP="00CD1704">
            <w:pPr>
              <w:jc w:val="right"/>
              <w:rPr>
                <w:i/>
                <w:sz w:val="20"/>
                <w:szCs w:val="20"/>
              </w:rPr>
            </w:pPr>
            <w:r w:rsidRPr="009E77A5">
              <w:rPr>
                <w:i/>
                <w:sz w:val="20"/>
                <w:szCs w:val="20"/>
              </w:rPr>
              <w:t>16</w:t>
            </w:r>
          </w:p>
        </w:tc>
        <w:tc>
          <w:tcPr>
            <w:tcW w:w="1106" w:type="dxa"/>
            <w:tcBorders>
              <w:top w:val="nil"/>
              <w:left w:val="single" w:sz="4" w:space="0" w:color="auto"/>
              <w:bottom w:val="nil"/>
              <w:right w:val="single" w:sz="4" w:space="0" w:color="auto"/>
            </w:tcBorders>
            <w:vAlign w:val="center"/>
          </w:tcPr>
          <w:p w14:paraId="16EAC4E0" w14:textId="77777777" w:rsidR="00B7632A" w:rsidRPr="003146F5" w:rsidRDefault="00B7632A" w:rsidP="00CD1704">
            <w:pPr>
              <w:jc w:val="right"/>
              <w:rPr>
                <w:i/>
                <w:color w:val="FF0000"/>
                <w:sz w:val="20"/>
                <w:szCs w:val="20"/>
              </w:rPr>
            </w:pPr>
            <w:r w:rsidRPr="0022660D">
              <w:rPr>
                <w:i/>
                <w:sz w:val="20"/>
                <w:szCs w:val="20"/>
              </w:rPr>
              <w:t>14</w:t>
            </w:r>
          </w:p>
        </w:tc>
        <w:tc>
          <w:tcPr>
            <w:tcW w:w="1106" w:type="dxa"/>
            <w:tcBorders>
              <w:top w:val="nil"/>
              <w:left w:val="single" w:sz="4" w:space="0" w:color="auto"/>
              <w:bottom w:val="nil"/>
              <w:right w:val="single" w:sz="4" w:space="0" w:color="auto"/>
            </w:tcBorders>
            <w:vAlign w:val="center"/>
          </w:tcPr>
          <w:p w14:paraId="478F81C4" w14:textId="77777777" w:rsidR="00B7632A" w:rsidRPr="00295903" w:rsidRDefault="00B7632A" w:rsidP="00CD1704">
            <w:pPr>
              <w:jc w:val="right"/>
              <w:rPr>
                <w:i/>
                <w:sz w:val="20"/>
                <w:szCs w:val="20"/>
              </w:rPr>
            </w:pPr>
            <w:r w:rsidRPr="00295903">
              <w:rPr>
                <w:i/>
                <w:sz w:val="20"/>
                <w:szCs w:val="20"/>
              </w:rPr>
              <w:t>14</w:t>
            </w:r>
          </w:p>
        </w:tc>
        <w:tc>
          <w:tcPr>
            <w:tcW w:w="1106" w:type="dxa"/>
            <w:tcBorders>
              <w:top w:val="nil"/>
              <w:left w:val="single" w:sz="4" w:space="0" w:color="auto"/>
              <w:bottom w:val="nil"/>
              <w:right w:val="single" w:sz="4" w:space="0" w:color="auto"/>
            </w:tcBorders>
            <w:vAlign w:val="center"/>
          </w:tcPr>
          <w:p w14:paraId="6772257A" w14:textId="77777777" w:rsidR="00B7632A" w:rsidRPr="00923856" w:rsidRDefault="00B7632A" w:rsidP="00CD1704">
            <w:pPr>
              <w:jc w:val="right"/>
              <w:rPr>
                <w:i/>
                <w:sz w:val="20"/>
                <w:szCs w:val="20"/>
              </w:rPr>
            </w:pPr>
            <w:r w:rsidRPr="00923856">
              <w:rPr>
                <w:i/>
                <w:sz w:val="20"/>
                <w:szCs w:val="20"/>
              </w:rPr>
              <w:t>17</w:t>
            </w:r>
          </w:p>
        </w:tc>
        <w:tc>
          <w:tcPr>
            <w:tcW w:w="709" w:type="dxa"/>
            <w:tcBorders>
              <w:top w:val="nil"/>
              <w:left w:val="single" w:sz="4" w:space="0" w:color="auto"/>
              <w:bottom w:val="nil"/>
              <w:right w:val="single" w:sz="4" w:space="0" w:color="auto"/>
            </w:tcBorders>
            <w:vAlign w:val="center"/>
          </w:tcPr>
          <w:p w14:paraId="21149B07" w14:textId="77777777" w:rsidR="00B7632A" w:rsidRPr="00FC7219" w:rsidRDefault="00B7632A" w:rsidP="00CD1704">
            <w:pPr>
              <w:jc w:val="right"/>
              <w:rPr>
                <w:i/>
                <w:sz w:val="20"/>
                <w:szCs w:val="20"/>
              </w:rPr>
            </w:pPr>
            <w:r w:rsidRPr="00FC7219">
              <w:rPr>
                <w:i/>
                <w:sz w:val="20"/>
                <w:szCs w:val="20"/>
              </w:rPr>
              <w:t>106,25</w:t>
            </w:r>
          </w:p>
        </w:tc>
      </w:tr>
      <w:tr w:rsidR="00B7632A" w:rsidRPr="004B11AC" w14:paraId="24C793E0" w14:textId="77777777" w:rsidTr="00633088">
        <w:trPr>
          <w:tblHeader/>
        </w:trPr>
        <w:tc>
          <w:tcPr>
            <w:tcW w:w="4025" w:type="dxa"/>
            <w:tcBorders>
              <w:top w:val="nil"/>
              <w:left w:val="single" w:sz="4" w:space="0" w:color="auto"/>
              <w:bottom w:val="nil"/>
              <w:right w:val="single" w:sz="4" w:space="0" w:color="auto"/>
            </w:tcBorders>
          </w:tcPr>
          <w:p w14:paraId="5319CB96" w14:textId="77777777" w:rsidR="00B7632A" w:rsidRPr="002A64C9" w:rsidRDefault="00B7632A" w:rsidP="00CD1704">
            <w:pPr>
              <w:jc w:val="both"/>
              <w:rPr>
                <w:i/>
                <w:sz w:val="20"/>
                <w:szCs w:val="20"/>
              </w:rPr>
            </w:pPr>
            <w:r w:rsidRPr="002A64C9">
              <w:rPr>
                <w:i/>
                <w:sz w:val="20"/>
                <w:szCs w:val="20"/>
              </w:rPr>
              <w:t xml:space="preserve">             v tom: ze SR</w:t>
            </w:r>
          </w:p>
        </w:tc>
        <w:tc>
          <w:tcPr>
            <w:tcW w:w="1106" w:type="dxa"/>
            <w:tcBorders>
              <w:top w:val="nil"/>
              <w:left w:val="single" w:sz="4" w:space="0" w:color="auto"/>
              <w:bottom w:val="nil"/>
              <w:right w:val="single" w:sz="4" w:space="0" w:color="auto"/>
            </w:tcBorders>
            <w:vAlign w:val="center"/>
          </w:tcPr>
          <w:p w14:paraId="1FA408B2" w14:textId="77777777" w:rsidR="00B7632A" w:rsidRPr="009E77A5" w:rsidRDefault="00B7632A" w:rsidP="00CD1704">
            <w:pPr>
              <w:jc w:val="right"/>
              <w:rPr>
                <w:i/>
                <w:sz w:val="20"/>
                <w:szCs w:val="20"/>
              </w:rPr>
            </w:pPr>
            <w:r w:rsidRPr="009E77A5">
              <w:rPr>
                <w:i/>
                <w:sz w:val="20"/>
                <w:szCs w:val="20"/>
              </w:rPr>
              <w:t>2,5</w:t>
            </w:r>
          </w:p>
        </w:tc>
        <w:tc>
          <w:tcPr>
            <w:tcW w:w="1106" w:type="dxa"/>
            <w:tcBorders>
              <w:top w:val="nil"/>
              <w:left w:val="single" w:sz="4" w:space="0" w:color="auto"/>
              <w:bottom w:val="nil"/>
              <w:right w:val="single" w:sz="4" w:space="0" w:color="auto"/>
            </w:tcBorders>
            <w:vAlign w:val="center"/>
          </w:tcPr>
          <w:p w14:paraId="72EE47EA" w14:textId="77777777" w:rsidR="00B7632A" w:rsidRPr="003146F5" w:rsidRDefault="00B7632A" w:rsidP="00CD1704">
            <w:pPr>
              <w:jc w:val="right"/>
              <w:rPr>
                <w:i/>
                <w:color w:val="FF0000"/>
                <w:sz w:val="20"/>
                <w:szCs w:val="20"/>
              </w:rPr>
            </w:pPr>
            <w:r w:rsidRPr="0022660D">
              <w:rPr>
                <w:i/>
                <w:sz w:val="20"/>
                <w:szCs w:val="20"/>
              </w:rPr>
              <w:t>2</w:t>
            </w:r>
          </w:p>
        </w:tc>
        <w:tc>
          <w:tcPr>
            <w:tcW w:w="1106" w:type="dxa"/>
            <w:tcBorders>
              <w:top w:val="nil"/>
              <w:left w:val="single" w:sz="4" w:space="0" w:color="auto"/>
              <w:bottom w:val="nil"/>
              <w:right w:val="single" w:sz="4" w:space="0" w:color="auto"/>
            </w:tcBorders>
            <w:vAlign w:val="center"/>
          </w:tcPr>
          <w:p w14:paraId="3A49BF23" w14:textId="77777777" w:rsidR="00B7632A" w:rsidRPr="00295903" w:rsidRDefault="00B7632A" w:rsidP="00CD1704">
            <w:pPr>
              <w:jc w:val="right"/>
              <w:rPr>
                <w:i/>
                <w:sz w:val="20"/>
                <w:szCs w:val="20"/>
              </w:rPr>
            </w:pPr>
            <w:r w:rsidRPr="00295903">
              <w:rPr>
                <w:i/>
                <w:sz w:val="20"/>
                <w:szCs w:val="20"/>
              </w:rPr>
              <w:t>2</w:t>
            </w:r>
          </w:p>
        </w:tc>
        <w:tc>
          <w:tcPr>
            <w:tcW w:w="1106" w:type="dxa"/>
            <w:tcBorders>
              <w:top w:val="nil"/>
              <w:left w:val="single" w:sz="4" w:space="0" w:color="auto"/>
              <w:bottom w:val="nil"/>
              <w:right w:val="single" w:sz="4" w:space="0" w:color="auto"/>
            </w:tcBorders>
            <w:vAlign w:val="center"/>
          </w:tcPr>
          <w:p w14:paraId="3A36878B" w14:textId="77777777" w:rsidR="00B7632A" w:rsidRPr="00923856" w:rsidRDefault="00B7632A" w:rsidP="00CD1704">
            <w:pPr>
              <w:jc w:val="right"/>
              <w:rPr>
                <w:i/>
                <w:sz w:val="20"/>
                <w:szCs w:val="20"/>
              </w:rPr>
            </w:pPr>
            <w:r w:rsidRPr="00923856">
              <w:rPr>
                <w:i/>
                <w:sz w:val="20"/>
                <w:szCs w:val="20"/>
              </w:rPr>
              <w:t>2,5</w:t>
            </w:r>
          </w:p>
        </w:tc>
        <w:tc>
          <w:tcPr>
            <w:tcW w:w="709" w:type="dxa"/>
            <w:tcBorders>
              <w:top w:val="nil"/>
              <w:left w:val="single" w:sz="4" w:space="0" w:color="auto"/>
              <w:bottom w:val="nil"/>
              <w:right w:val="single" w:sz="4" w:space="0" w:color="auto"/>
            </w:tcBorders>
            <w:vAlign w:val="center"/>
          </w:tcPr>
          <w:p w14:paraId="58FAB390" w14:textId="77777777" w:rsidR="00B7632A" w:rsidRPr="00FC7219" w:rsidRDefault="00B7632A" w:rsidP="00CD1704">
            <w:pPr>
              <w:jc w:val="right"/>
              <w:rPr>
                <w:i/>
                <w:sz w:val="20"/>
                <w:szCs w:val="20"/>
              </w:rPr>
            </w:pPr>
            <w:r w:rsidRPr="00FC7219">
              <w:rPr>
                <w:i/>
                <w:sz w:val="20"/>
                <w:szCs w:val="20"/>
              </w:rPr>
              <w:t>100,00</w:t>
            </w:r>
          </w:p>
        </w:tc>
      </w:tr>
      <w:tr w:rsidR="00B7632A" w:rsidRPr="004B11AC" w14:paraId="750EC513" w14:textId="77777777" w:rsidTr="00633088">
        <w:trPr>
          <w:tblHeader/>
        </w:trPr>
        <w:tc>
          <w:tcPr>
            <w:tcW w:w="4025" w:type="dxa"/>
            <w:tcBorders>
              <w:top w:val="nil"/>
              <w:left w:val="single" w:sz="4" w:space="0" w:color="auto"/>
              <w:bottom w:val="nil"/>
              <w:right w:val="single" w:sz="4" w:space="0" w:color="auto"/>
            </w:tcBorders>
          </w:tcPr>
          <w:p w14:paraId="1780B5D2" w14:textId="77777777" w:rsidR="00B7632A" w:rsidRPr="002A64C9" w:rsidRDefault="00B7632A" w:rsidP="00CD1704">
            <w:pPr>
              <w:jc w:val="both"/>
              <w:rPr>
                <w:i/>
                <w:sz w:val="20"/>
                <w:szCs w:val="20"/>
              </w:rPr>
            </w:pPr>
            <w:r w:rsidRPr="002A64C9">
              <w:rPr>
                <w:i/>
                <w:sz w:val="20"/>
                <w:szCs w:val="20"/>
              </w:rPr>
              <w:t xml:space="preserve">                         z rozpočtu EU</w:t>
            </w:r>
          </w:p>
        </w:tc>
        <w:tc>
          <w:tcPr>
            <w:tcW w:w="1106" w:type="dxa"/>
            <w:tcBorders>
              <w:top w:val="nil"/>
              <w:left w:val="single" w:sz="4" w:space="0" w:color="auto"/>
              <w:bottom w:val="nil"/>
              <w:right w:val="single" w:sz="4" w:space="0" w:color="auto"/>
            </w:tcBorders>
            <w:vAlign w:val="center"/>
          </w:tcPr>
          <w:p w14:paraId="3FCBEAAB" w14:textId="77777777" w:rsidR="00B7632A" w:rsidRPr="009E77A5" w:rsidRDefault="00B7632A" w:rsidP="00CD1704">
            <w:pPr>
              <w:jc w:val="right"/>
              <w:rPr>
                <w:i/>
                <w:sz w:val="20"/>
                <w:szCs w:val="20"/>
              </w:rPr>
            </w:pPr>
            <w:r w:rsidRPr="009E77A5">
              <w:rPr>
                <w:i/>
                <w:sz w:val="20"/>
                <w:szCs w:val="20"/>
              </w:rPr>
              <w:t>13,5</w:t>
            </w:r>
          </w:p>
        </w:tc>
        <w:tc>
          <w:tcPr>
            <w:tcW w:w="1106" w:type="dxa"/>
            <w:tcBorders>
              <w:top w:val="nil"/>
              <w:left w:val="single" w:sz="4" w:space="0" w:color="auto"/>
              <w:bottom w:val="nil"/>
              <w:right w:val="single" w:sz="4" w:space="0" w:color="auto"/>
            </w:tcBorders>
            <w:vAlign w:val="center"/>
          </w:tcPr>
          <w:p w14:paraId="0CF67080" w14:textId="77777777" w:rsidR="00B7632A" w:rsidRPr="003146F5" w:rsidRDefault="00B7632A" w:rsidP="00CD1704">
            <w:pPr>
              <w:jc w:val="right"/>
              <w:rPr>
                <w:i/>
                <w:color w:val="FF0000"/>
                <w:sz w:val="20"/>
                <w:szCs w:val="20"/>
              </w:rPr>
            </w:pPr>
            <w:r w:rsidRPr="0022660D">
              <w:rPr>
                <w:i/>
                <w:sz w:val="20"/>
                <w:szCs w:val="20"/>
              </w:rPr>
              <w:t>12</w:t>
            </w:r>
          </w:p>
        </w:tc>
        <w:tc>
          <w:tcPr>
            <w:tcW w:w="1106" w:type="dxa"/>
            <w:tcBorders>
              <w:top w:val="nil"/>
              <w:left w:val="single" w:sz="4" w:space="0" w:color="auto"/>
              <w:bottom w:val="nil"/>
              <w:right w:val="single" w:sz="4" w:space="0" w:color="auto"/>
            </w:tcBorders>
            <w:vAlign w:val="center"/>
          </w:tcPr>
          <w:p w14:paraId="654691D3" w14:textId="77777777" w:rsidR="00B7632A" w:rsidRPr="00295903" w:rsidRDefault="00B7632A" w:rsidP="00CD1704">
            <w:pPr>
              <w:jc w:val="right"/>
              <w:rPr>
                <w:i/>
                <w:sz w:val="20"/>
                <w:szCs w:val="20"/>
              </w:rPr>
            </w:pPr>
            <w:r w:rsidRPr="00295903">
              <w:rPr>
                <w:i/>
                <w:sz w:val="20"/>
                <w:szCs w:val="20"/>
              </w:rPr>
              <w:t>12</w:t>
            </w:r>
          </w:p>
        </w:tc>
        <w:tc>
          <w:tcPr>
            <w:tcW w:w="1106" w:type="dxa"/>
            <w:tcBorders>
              <w:top w:val="nil"/>
              <w:left w:val="single" w:sz="4" w:space="0" w:color="auto"/>
              <w:bottom w:val="nil"/>
              <w:right w:val="single" w:sz="4" w:space="0" w:color="auto"/>
            </w:tcBorders>
            <w:vAlign w:val="center"/>
          </w:tcPr>
          <w:p w14:paraId="5F5535C0" w14:textId="77777777" w:rsidR="00B7632A" w:rsidRPr="00923856" w:rsidRDefault="00B7632A" w:rsidP="00CD1704">
            <w:pPr>
              <w:jc w:val="right"/>
              <w:rPr>
                <w:i/>
                <w:sz w:val="20"/>
                <w:szCs w:val="20"/>
              </w:rPr>
            </w:pPr>
            <w:r w:rsidRPr="00923856">
              <w:rPr>
                <w:i/>
                <w:sz w:val="20"/>
                <w:szCs w:val="20"/>
              </w:rPr>
              <w:t>14,5</w:t>
            </w:r>
          </w:p>
        </w:tc>
        <w:tc>
          <w:tcPr>
            <w:tcW w:w="709" w:type="dxa"/>
            <w:tcBorders>
              <w:top w:val="nil"/>
              <w:left w:val="single" w:sz="4" w:space="0" w:color="auto"/>
              <w:bottom w:val="nil"/>
              <w:right w:val="single" w:sz="4" w:space="0" w:color="auto"/>
            </w:tcBorders>
            <w:vAlign w:val="center"/>
          </w:tcPr>
          <w:p w14:paraId="62FBE861" w14:textId="77777777" w:rsidR="00B7632A" w:rsidRPr="00FC7219" w:rsidRDefault="00B7632A" w:rsidP="00CD1704">
            <w:pPr>
              <w:jc w:val="right"/>
              <w:rPr>
                <w:i/>
                <w:sz w:val="20"/>
                <w:szCs w:val="20"/>
              </w:rPr>
            </w:pPr>
            <w:r w:rsidRPr="00FC7219">
              <w:rPr>
                <w:i/>
                <w:sz w:val="20"/>
                <w:szCs w:val="20"/>
              </w:rPr>
              <w:t>107,41</w:t>
            </w:r>
          </w:p>
        </w:tc>
      </w:tr>
      <w:tr w:rsidR="00B7632A" w:rsidRPr="004B11AC" w14:paraId="2DDB732A" w14:textId="77777777" w:rsidTr="00633088">
        <w:trPr>
          <w:tblHeader/>
        </w:trPr>
        <w:tc>
          <w:tcPr>
            <w:tcW w:w="4025" w:type="dxa"/>
            <w:tcBorders>
              <w:top w:val="nil"/>
              <w:left w:val="single" w:sz="4" w:space="0" w:color="auto"/>
              <w:bottom w:val="nil"/>
              <w:right w:val="single" w:sz="4" w:space="0" w:color="auto"/>
            </w:tcBorders>
          </w:tcPr>
          <w:p w14:paraId="52AB6310" w14:textId="77777777" w:rsidR="00B7632A" w:rsidRPr="002A64C9" w:rsidRDefault="00B7632A" w:rsidP="00CD1704">
            <w:pPr>
              <w:jc w:val="both"/>
              <w:rPr>
                <w:sz w:val="20"/>
                <w:szCs w:val="20"/>
              </w:rPr>
            </w:pPr>
            <w:r w:rsidRPr="002A64C9">
              <w:rPr>
                <w:sz w:val="20"/>
                <w:szCs w:val="20"/>
              </w:rPr>
              <w:t>ostatní neinvestiční výdaje</w:t>
            </w:r>
          </w:p>
        </w:tc>
        <w:tc>
          <w:tcPr>
            <w:tcW w:w="1106" w:type="dxa"/>
            <w:tcBorders>
              <w:top w:val="nil"/>
              <w:left w:val="single" w:sz="4" w:space="0" w:color="auto"/>
              <w:bottom w:val="nil"/>
              <w:right w:val="single" w:sz="4" w:space="0" w:color="auto"/>
            </w:tcBorders>
            <w:vAlign w:val="center"/>
          </w:tcPr>
          <w:p w14:paraId="14042BB7" w14:textId="77777777" w:rsidR="00B7632A" w:rsidRPr="009E77A5" w:rsidRDefault="00B7632A" w:rsidP="00CD1704">
            <w:pPr>
              <w:jc w:val="right"/>
              <w:rPr>
                <w:sz w:val="20"/>
                <w:szCs w:val="20"/>
              </w:rPr>
            </w:pPr>
            <w:r w:rsidRPr="009E77A5">
              <w:rPr>
                <w:sz w:val="20"/>
                <w:szCs w:val="20"/>
              </w:rPr>
              <w:t>17 776</w:t>
            </w:r>
          </w:p>
        </w:tc>
        <w:tc>
          <w:tcPr>
            <w:tcW w:w="1106" w:type="dxa"/>
            <w:tcBorders>
              <w:top w:val="nil"/>
              <w:left w:val="single" w:sz="4" w:space="0" w:color="auto"/>
              <w:bottom w:val="nil"/>
              <w:right w:val="single" w:sz="4" w:space="0" w:color="auto"/>
            </w:tcBorders>
            <w:vAlign w:val="center"/>
          </w:tcPr>
          <w:p w14:paraId="7F0DC938" w14:textId="77777777" w:rsidR="00B7632A" w:rsidRPr="003146F5" w:rsidRDefault="00B7632A" w:rsidP="00CD1704">
            <w:pPr>
              <w:jc w:val="right"/>
              <w:rPr>
                <w:color w:val="FF0000"/>
                <w:sz w:val="20"/>
                <w:szCs w:val="20"/>
              </w:rPr>
            </w:pPr>
            <w:r w:rsidRPr="0022660D">
              <w:rPr>
                <w:sz w:val="20"/>
                <w:szCs w:val="20"/>
              </w:rPr>
              <w:t>16 445</w:t>
            </w:r>
          </w:p>
        </w:tc>
        <w:tc>
          <w:tcPr>
            <w:tcW w:w="1106" w:type="dxa"/>
            <w:tcBorders>
              <w:top w:val="nil"/>
              <w:left w:val="single" w:sz="4" w:space="0" w:color="auto"/>
              <w:bottom w:val="nil"/>
              <w:right w:val="single" w:sz="4" w:space="0" w:color="auto"/>
            </w:tcBorders>
            <w:vAlign w:val="center"/>
          </w:tcPr>
          <w:p w14:paraId="4EED5CF5" w14:textId="77777777" w:rsidR="00B7632A" w:rsidRPr="00295903" w:rsidRDefault="00B7632A" w:rsidP="00CD1704">
            <w:pPr>
              <w:jc w:val="right"/>
              <w:rPr>
                <w:sz w:val="20"/>
                <w:szCs w:val="20"/>
              </w:rPr>
            </w:pPr>
            <w:r w:rsidRPr="00295903">
              <w:rPr>
                <w:sz w:val="20"/>
                <w:szCs w:val="20"/>
              </w:rPr>
              <w:t>16 444</w:t>
            </w:r>
          </w:p>
        </w:tc>
        <w:tc>
          <w:tcPr>
            <w:tcW w:w="1106" w:type="dxa"/>
            <w:tcBorders>
              <w:top w:val="nil"/>
              <w:left w:val="single" w:sz="4" w:space="0" w:color="auto"/>
              <w:bottom w:val="nil"/>
              <w:right w:val="single" w:sz="4" w:space="0" w:color="auto"/>
            </w:tcBorders>
            <w:vAlign w:val="center"/>
          </w:tcPr>
          <w:p w14:paraId="03140756" w14:textId="77777777" w:rsidR="00B7632A" w:rsidRPr="007C3F74" w:rsidRDefault="00B7632A" w:rsidP="00CD1704">
            <w:pPr>
              <w:jc w:val="right"/>
              <w:rPr>
                <w:sz w:val="20"/>
                <w:szCs w:val="20"/>
              </w:rPr>
            </w:pPr>
            <w:r>
              <w:rPr>
                <w:sz w:val="20"/>
                <w:szCs w:val="20"/>
              </w:rPr>
              <w:t>16 734</w:t>
            </w:r>
          </w:p>
        </w:tc>
        <w:tc>
          <w:tcPr>
            <w:tcW w:w="709" w:type="dxa"/>
            <w:tcBorders>
              <w:top w:val="nil"/>
              <w:left w:val="single" w:sz="4" w:space="0" w:color="auto"/>
              <w:bottom w:val="nil"/>
              <w:right w:val="single" w:sz="4" w:space="0" w:color="auto"/>
            </w:tcBorders>
            <w:vAlign w:val="center"/>
          </w:tcPr>
          <w:p w14:paraId="326A2A09" w14:textId="77777777" w:rsidR="00B7632A" w:rsidRPr="00FC7219" w:rsidRDefault="00B7632A" w:rsidP="00CD1704">
            <w:pPr>
              <w:jc w:val="right"/>
              <w:rPr>
                <w:sz w:val="20"/>
                <w:szCs w:val="20"/>
              </w:rPr>
            </w:pPr>
            <w:r w:rsidRPr="00FC7219">
              <w:rPr>
                <w:sz w:val="20"/>
                <w:szCs w:val="20"/>
              </w:rPr>
              <w:t>94,14</w:t>
            </w:r>
          </w:p>
        </w:tc>
      </w:tr>
      <w:tr w:rsidR="00B7632A" w:rsidRPr="004B11AC" w14:paraId="5A622BFD" w14:textId="77777777" w:rsidTr="00633088">
        <w:trPr>
          <w:tblHeader/>
        </w:trPr>
        <w:tc>
          <w:tcPr>
            <w:tcW w:w="4025" w:type="dxa"/>
            <w:tcBorders>
              <w:top w:val="nil"/>
              <w:left w:val="single" w:sz="4" w:space="0" w:color="auto"/>
              <w:bottom w:val="nil"/>
              <w:right w:val="single" w:sz="4" w:space="0" w:color="auto"/>
            </w:tcBorders>
          </w:tcPr>
          <w:p w14:paraId="56DDDF35" w14:textId="77777777" w:rsidR="00B7632A" w:rsidRPr="002A64C9" w:rsidRDefault="00B7632A" w:rsidP="00CD1704">
            <w:pPr>
              <w:jc w:val="both"/>
              <w:rPr>
                <w:i/>
                <w:sz w:val="20"/>
                <w:szCs w:val="20"/>
              </w:rPr>
            </w:pPr>
            <w:r w:rsidRPr="002A64C9">
              <w:rPr>
                <w:i/>
                <w:sz w:val="20"/>
                <w:szCs w:val="20"/>
              </w:rPr>
              <w:t>z toho: programové financování</w:t>
            </w:r>
          </w:p>
        </w:tc>
        <w:tc>
          <w:tcPr>
            <w:tcW w:w="1106" w:type="dxa"/>
            <w:tcBorders>
              <w:top w:val="nil"/>
              <w:left w:val="single" w:sz="4" w:space="0" w:color="auto"/>
              <w:bottom w:val="nil"/>
              <w:right w:val="single" w:sz="4" w:space="0" w:color="auto"/>
            </w:tcBorders>
            <w:vAlign w:val="center"/>
          </w:tcPr>
          <w:p w14:paraId="18C8E300" w14:textId="77777777" w:rsidR="00B7632A" w:rsidRPr="009E77A5" w:rsidRDefault="00B7632A" w:rsidP="00CD1704">
            <w:pPr>
              <w:jc w:val="right"/>
              <w:rPr>
                <w:i/>
                <w:sz w:val="20"/>
                <w:szCs w:val="20"/>
              </w:rPr>
            </w:pPr>
            <w:r w:rsidRPr="009E77A5">
              <w:rPr>
                <w:i/>
                <w:sz w:val="20"/>
                <w:szCs w:val="20"/>
              </w:rPr>
              <w:t>0</w:t>
            </w:r>
          </w:p>
        </w:tc>
        <w:tc>
          <w:tcPr>
            <w:tcW w:w="1106" w:type="dxa"/>
            <w:tcBorders>
              <w:top w:val="nil"/>
              <w:left w:val="single" w:sz="4" w:space="0" w:color="auto"/>
              <w:bottom w:val="nil"/>
              <w:right w:val="single" w:sz="4" w:space="0" w:color="auto"/>
            </w:tcBorders>
            <w:vAlign w:val="center"/>
          </w:tcPr>
          <w:p w14:paraId="6DB93C4E" w14:textId="77777777" w:rsidR="00B7632A" w:rsidRPr="003146F5" w:rsidRDefault="00B7632A" w:rsidP="00CD1704">
            <w:pPr>
              <w:jc w:val="right"/>
              <w:rPr>
                <w:i/>
                <w:color w:val="FF0000"/>
                <w:sz w:val="20"/>
                <w:szCs w:val="20"/>
              </w:rPr>
            </w:pPr>
            <w:r w:rsidRPr="0022660D">
              <w:rPr>
                <w:i/>
                <w:sz w:val="20"/>
                <w:szCs w:val="20"/>
              </w:rPr>
              <w:t>0</w:t>
            </w:r>
          </w:p>
        </w:tc>
        <w:tc>
          <w:tcPr>
            <w:tcW w:w="1106" w:type="dxa"/>
            <w:tcBorders>
              <w:top w:val="nil"/>
              <w:left w:val="single" w:sz="4" w:space="0" w:color="auto"/>
              <w:bottom w:val="nil"/>
              <w:right w:val="single" w:sz="4" w:space="0" w:color="auto"/>
            </w:tcBorders>
            <w:vAlign w:val="center"/>
          </w:tcPr>
          <w:p w14:paraId="764B7D36" w14:textId="77777777" w:rsidR="00B7632A" w:rsidRPr="000F48FC" w:rsidRDefault="00B7632A" w:rsidP="00CD1704">
            <w:pPr>
              <w:jc w:val="right"/>
              <w:rPr>
                <w:i/>
                <w:sz w:val="20"/>
                <w:szCs w:val="20"/>
              </w:rPr>
            </w:pPr>
            <w:r w:rsidRPr="000F48FC">
              <w:rPr>
                <w:i/>
                <w:sz w:val="20"/>
                <w:szCs w:val="20"/>
              </w:rPr>
              <w:t>0</w:t>
            </w:r>
          </w:p>
        </w:tc>
        <w:tc>
          <w:tcPr>
            <w:tcW w:w="1106" w:type="dxa"/>
            <w:tcBorders>
              <w:top w:val="nil"/>
              <w:left w:val="single" w:sz="4" w:space="0" w:color="auto"/>
              <w:bottom w:val="nil"/>
              <w:right w:val="single" w:sz="4" w:space="0" w:color="auto"/>
            </w:tcBorders>
            <w:vAlign w:val="center"/>
          </w:tcPr>
          <w:p w14:paraId="490F6AA4" w14:textId="77777777" w:rsidR="00B7632A" w:rsidRPr="007C3F74" w:rsidRDefault="00B7632A" w:rsidP="00CD1704">
            <w:pPr>
              <w:jc w:val="right"/>
              <w:rPr>
                <w:i/>
                <w:sz w:val="20"/>
                <w:szCs w:val="20"/>
              </w:rPr>
            </w:pPr>
            <w:r w:rsidRPr="007C3F74">
              <w:rPr>
                <w:i/>
                <w:sz w:val="20"/>
                <w:szCs w:val="20"/>
              </w:rPr>
              <w:t>0</w:t>
            </w:r>
          </w:p>
        </w:tc>
        <w:tc>
          <w:tcPr>
            <w:tcW w:w="709" w:type="dxa"/>
            <w:tcBorders>
              <w:top w:val="nil"/>
              <w:left w:val="single" w:sz="4" w:space="0" w:color="auto"/>
              <w:bottom w:val="nil"/>
              <w:right w:val="single" w:sz="4" w:space="0" w:color="auto"/>
            </w:tcBorders>
            <w:vAlign w:val="center"/>
          </w:tcPr>
          <w:p w14:paraId="6F7AF050" w14:textId="77777777" w:rsidR="00B7632A" w:rsidRPr="00FC7219" w:rsidRDefault="00B7632A" w:rsidP="00CD1704">
            <w:pPr>
              <w:jc w:val="right"/>
              <w:rPr>
                <w:i/>
                <w:sz w:val="20"/>
                <w:szCs w:val="20"/>
              </w:rPr>
            </w:pPr>
            <w:r w:rsidRPr="00FC7219">
              <w:rPr>
                <w:i/>
                <w:sz w:val="20"/>
                <w:szCs w:val="20"/>
              </w:rPr>
              <w:t>x</w:t>
            </w:r>
          </w:p>
        </w:tc>
      </w:tr>
      <w:tr w:rsidR="00B7632A" w:rsidRPr="004B11AC" w14:paraId="72DF7CE3" w14:textId="77777777" w:rsidTr="00633088">
        <w:trPr>
          <w:tblHeader/>
        </w:trPr>
        <w:tc>
          <w:tcPr>
            <w:tcW w:w="4025" w:type="dxa"/>
            <w:tcBorders>
              <w:top w:val="nil"/>
              <w:left w:val="single" w:sz="4" w:space="0" w:color="auto"/>
              <w:bottom w:val="nil"/>
              <w:right w:val="single" w:sz="4" w:space="0" w:color="auto"/>
            </w:tcBorders>
          </w:tcPr>
          <w:p w14:paraId="033E7DBA" w14:textId="77777777" w:rsidR="00B7632A" w:rsidRPr="002A64C9" w:rsidRDefault="00B7632A" w:rsidP="00CD1704">
            <w:pPr>
              <w:jc w:val="both"/>
              <w:rPr>
                <w:i/>
                <w:sz w:val="20"/>
              </w:rPr>
            </w:pPr>
            <w:r w:rsidRPr="002A64C9">
              <w:rPr>
                <w:i/>
                <w:sz w:val="20"/>
              </w:rPr>
              <w:t xml:space="preserve">            výdaje na progr. spolufin. z rozpočtu EU</w:t>
            </w:r>
          </w:p>
        </w:tc>
        <w:tc>
          <w:tcPr>
            <w:tcW w:w="1106" w:type="dxa"/>
            <w:tcBorders>
              <w:top w:val="nil"/>
              <w:left w:val="single" w:sz="4" w:space="0" w:color="auto"/>
              <w:bottom w:val="nil"/>
              <w:right w:val="single" w:sz="4" w:space="0" w:color="auto"/>
            </w:tcBorders>
            <w:vAlign w:val="center"/>
          </w:tcPr>
          <w:p w14:paraId="0F6A02DE" w14:textId="77777777" w:rsidR="00B7632A" w:rsidRPr="009E77A5" w:rsidRDefault="00B7632A" w:rsidP="00CD1704">
            <w:pPr>
              <w:jc w:val="right"/>
              <w:rPr>
                <w:i/>
                <w:sz w:val="20"/>
              </w:rPr>
            </w:pPr>
            <w:r w:rsidRPr="009E77A5">
              <w:rPr>
                <w:i/>
                <w:sz w:val="20"/>
              </w:rPr>
              <w:t>151</w:t>
            </w:r>
          </w:p>
        </w:tc>
        <w:tc>
          <w:tcPr>
            <w:tcW w:w="1106" w:type="dxa"/>
            <w:tcBorders>
              <w:top w:val="nil"/>
              <w:left w:val="single" w:sz="4" w:space="0" w:color="auto"/>
              <w:bottom w:val="nil"/>
              <w:right w:val="single" w:sz="4" w:space="0" w:color="auto"/>
            </w:tcBorders>
            <w:vAlign w:val="center"/>
          </w:tcPr>
          <w:p w14:paraId="70FCBE43" w14:textId="77777777" w:rsidR="00B7632A" w:rsidRPr="003146F5" w:rsidRDefault="00B7632A" w:rsidP="00CD1704">
            <w:pPr>
              <w:jc w:val="right"/>
              <w:rPr>
                <w:i/>
                <w:color w:val="FF0000"/>
                <w:sz w:val="20"/>
                <w:szCs w:val="20"/>
              </w:rPr>
            </w:pPr>
            <w:r w:rsidRPr="0022660D">
              <w:rPr>
                <w:i/>
                <w:sz w:val="20"/>
                <w:szCs w:val="20"/>
              </w:rPr>
              <w:t xml:space="preserve"> 190</w:t>
            </w:r>
          </w:p>
        </w:tc>
        <w:tc>
          <w:tcPr>
            <w:tcW w:w="1106" w:type="dxa"/>
            <w:tcBorders>
              <w:top w:val="nil"/>
              <w:left w:val="single" w:sz="4" w:space="0" w:color="auto"/>
              <w:bottom w:val="nil"/>
              <w:right w:val="single" w:sz="4" w:space="0" w:color="auto"/>
            </w:tcBorders>
            <w:vAlign w:val="center"/>
          </w:tcPr>
          <w:p w14:paraId="2B1C095A" w14:textId="77777777" w:rsidR="00B7632A" w:rsidRPr="000F48FC" w:rsidRDefault="00B7632A" w:rsidP="00CD1704">
            <w:pPr>
              <w:jc w:val="right"/>
              <w:rPr>
                <w:i/>
                <w:sz w:val="20"/>
                <w:szCs w:val="20"/>
              </w:rPr>
            </w:pPr>
            <w:r w:rsidRPr="000F48FC">
              <w:rPr>
                <w:i/>
                <w:sz w:val="20"/>
                <w:szCs w:val="20"/>
              </w:rPr>
              <w:t xml:space="preserve"> 190</w:t>
            </w:r>
          </w:p>
        </w:tc>
        <w:tc>
          <w:tcPr>
            <w:tcW w:w="1106" w:type="dxa"/>
            <w:tcBorders>
              <w:top w:val="nil"/>
              <w:left w:val="single" w:sz="4" w:space="0" w:color="auto"/>
              <w:bottom w:val="nil"/>
              <w:right w:val="single" w:sz="4" w:space="0" w:color="auto"/>
            </w:tcBorders>
            <w:vAlign w:val="center"/>
          </w:tcPr>
          <w:p w14:paraId="6D9F82A8" w14:textId="77777777" w:rsidR="00B7632A" w:rsidRPr="007C3F74" w:rsidRDefault="00B7632A" w:rsidP="00CD1704">
            <w:pPr>
              <w:jc w:val="right"/>
              <w:rPr>
                <w:i/>
                <w:sz w:val="20"/>
              </w:rPr>
            </w:pPr>
            <w:r w:rsidRPr="007C3F74">
              <w:rPr>
                <w:i/>
                <w:sz w:val="20"/>
              </w:rPr>
              <w:t>162</w:t>
            </w:r>
          </w:p>
        </w:tc>
        <w:tc>
          <w:tcPr>
            <w:tcW w:w="709" w:type="dxa"/>
            <w:tcBorders>
              <w:top w:val="nil"/>
              <w:left w:val="single" w:sz="4" w:space="0" w:color="auto"/>
              <w:bottom w:val="nil"/>
              <w:right w:val="single" w:sz="4" w:space="0" w:color="auto"/>
            </w:tcBorders>
            <w:vAlign w:val="center"/>
          </w:tcPr>
          <w:p w14:paraId="1B645361" w14:textId="77777777" w:rsidR="00B7632A" w:rsidRPr="00FC7219" w:rsidRDefault="00B7632A" w:rsidP="00CD1704">
            <w:pPr>
              <w:jc w:val="right"/>
              <w:rPr>
                <w:i/>
                <w:sz w:val="20"/>
              </w:rPr>
            </w:pPr>
            <w:r w:rsidRPr="00FC7219">
              <w:rPr>
                <w:i/>
                <w:sz w:val="20"/>
              </w:rPr>
              <w:t>107,28</w:t>
            </w:r>
          </w:p>
        </w:tc>
      </w:tr>
      <w:tr w:rsidR="00B7632A" w:rsidRPr="004B11AC" w14:paraId="6A6C7EA4" w14:textId="77777777" w:rsidTr="00633088">
        <w:trPr>
          <w:tblHeader/>
        </w:trPr>
        <w:tc>
          <w:tcPr>
            <w:tcW w:w="4025" w:type="dxa"/>
            <w:tcBorders>
              <w:top w:val="nil"/>
              <w:left w:val="single" w:sz="4" w:space="0" w:color="auto"/>
              <w:bottom w:val="nil"/>
              <w:right w:val="single" w:sz="4" w:space="0" w:color="auto"/>
            </w:tcBorders>
          </w:tcPr>
          <w:p w14:paraId="02C709B4" w14:textId="77777777" w:rsidR="00B7632A" w:rsidRPr="002A64C9" w:rsidRDefault="00B7632A" w:rsidP="00CD1704">
            <w:pPr>
              <w:jc w:val="both"/>
              <w:rPr>
                <w:i/>
                <w:sz w:val="20"/>
              </w:rPr>
            </w:pPr>
            <w:r w:rsidRPr="002A64C9">
              <w:rPr>
                <w:i/>
                <w:sz w:val="20"/>
              </w:rPr>
              <w:t xml:space="preserve">            v  tom: ze SR</w:t>
            </w:r>
          </w:p>
        </w:tc>
        <w:tc>
          <w:tcPr>
            <w:tcW w:w="1106" w:type="dxa"/>
            <w:tcBorders>
              <w:top w:val="nil"/>
              <w:left w:val="single" w:sz="4" w:space="0" w:color="auto"/>
              <w:bottom w:val="nil"/>
              <w:right w:val="single" w:sz="4" w:space="0" w:color="auto"/>
            </w:tcBorders>
            <w:vAlign w:val="center"/>
          </w:tcPr>
          <w:p w14:paraId="28CBEDF9" w14:textId="77777777" w:rsidR="00B7632A" w:rsidRPr="009E77A5" w:rsidRDefault="00B7632A" w:rsidP="00CD1704">
            <w:pPr>
              <w:jc w:val="right"/>
              <w:rPr>
                <w:i/>
                <w:sz w:val="20"/>
              </w:rPr>
            </w:pPr>
            <w:r w:rsidRPr="009E77A5">
              <w:rPr>
                <w:i/>
                <w:sz w:val="20"/>
              </w:rPr>
              <w:t>22,5</w:t>
            </w:r>
          </w:p>
        </w:tc>
        <w:tc>
          <w:tcPr>
            <w:tcW w:w="1106" w:type="dxa"/>
            <w:tcBorders>
              <w:top w:val="nil"/>
              <w:left w:val="single" w:sz="4" w:space="0" w:color="auto"/>
              <w:bottom w:val="nil"/>
              <w:right w:val="single" w:sz="4" w:space="0" w:color="auto"/>
            </w:tcBorders>
            <w:vAlign w:val="center"/>
          </w:tcPr>
          <w:p w14:paraId="32752A0C" w14:textId="77777777" w:rsidR="00B7632A" w:rsidRPr="003146F5" w:rsidRDefault="00B7632A" w:rsidP="00CD1704">
            <w:pPr>
              <w:jc w:val="right"/>
              <w:rPr>
                <w:i/>
                <w:color w:val="FF0000"/>
                <w:sz w:val="20"/>
              </w:rPr>
            </w:pPr>
            <w:r w:rsidRPr="0022660D">
              <w:rPr>
                <w:i/>
                <w:sz w:val="20"/>
              </w:rPr>
              <w:t>28,5</w:t>
            </w:r>
          </w:p>
        </w:tc>
        <w:tc>
          <w:tcPr>
            <w:tcW w:w="1106" w:type="dxa"/>
            <w:tcBorders>
              <w:top w:val="nil"/>
              <w:left w:val="single" w:sz="4" w:space="0" w:color="auto"/>
              <w:bottom w:val="nil"/>
              <w:right w:val="single" w:sz="4" w:space="0" w:color="auto"/>
            </w:tcBorders>
            <w:vAlign w:val="center"/>
          </w:tcPr>
          <w:p w14:paraId="53DAEEDE" w14:textId="77777777" w:rsidR="00B7632A" w:rsidRPr="000F48FC" w:rsidRDefault="00B7632A" w:rsidP="00CD1704">
            <w:pPr>
              <w:jc w:val="right"/>
              <w:rPr>
                <w:i/>
                <w:sz w:val="20"/>
              </w:rPr>
            </w:pPr>
            <w:r w:rsidRPr="000F48FC">
              <w:rPr>
                <w:i/>
                <w:sz w:val="20"/>
              </w:rPr>
              <w:t>28,5</w:t>
            </w:r>
          </w:p>
        </w:tc>
        <w:tc>
          <w:tcPr>
            <w:tcW w:w="1106" w:type="dxa"/>
            <w:tcBorders>
              <w:top w:val="nil"/>
              <w:left w:val="single" w:sz="4" w:space="0" w:color="auto"/>
              <w:bottom w:val="nil"/>
              <w:right w:val="single" w:sz="4" w:space="0" w:color="auto"/>
            </w:tcBorders>
            <w:vAlign w:val="center"/>
          </w:tcPr>
          <w:p w14:paraId="110A92B1" w14:textId="77777777" w:rsidR="00B7632A" w:rsidRPr="007C3F74" w:rsidRDefault="00B7632A" w:rsidP="00CD1704">
            <w:pPr>
              <w:jc w:val="right"/>
              <w:rPr>
                <w:i/>
                <w:sz w:val="20"/>
              </w:rPr>
            </w:pPr>
            <w:r w:rsidRPr="007C3F74">
              <w:rPr>
                <w:i/>
                <w:sz w:val="20"/>
              </w:rPr>
              <w:t>24</w:t>
            </w:r>
          </w:p>
        </w:tc>
        <w:tc>
          <w:tcPr>
            <w:tcW w:w="709" w:type="dxa"/>
            <w:tcBorders>
              <w:top w:val="nil"/>
              <w:left w:val="single" w:sz="4" w:space="0" w:color="auto"/>
              <w:bottom w:val="nil"/>
              <w:right w:val="single" w:sz="4" w:space="0" w:color="auto"/>
            </w:tcBorders>
            <w:vAlign w:val="center"/>
          </w:tcPr>
          <w:p w14:paraId="5DAA542F" w14:textId="77777777" w:rsidR="00B7632A" w:rsidRPr="00FC7219" w:rsidRDefault="00B7632A" w:rsidP="00CD1704">
            <w:pPr>
              <w:jc w:val="right"/>
              <w:rPr>
                <w:i/>
                <w:sz w:val="20"/>
              </w:rPr>
            </w:pPr>
            <w:r w:rsidRPr="00FC7219">
              <w:rPr>
                <w:i/>
                <w:sz w:val="20"/>
              </w:rPr>
              <w:t>106,67</w:t>
            </w:r>
          </w:p>
        </w:tc>
      </w:tr>
      <w:tr w:rsidR="00B7632A" w:rsidRPr="004B11AC" w14:paraId="7FF6E24C" w14:textId="77777777" w:rsidTr="00633088">
        <w:trPr>
          <w:tblHeader/>
        </w:trPr>
        <w:tc>
          <w:tcPr>
            <w:tcW w:w="4025" w:type="dxa"/>
            <w:tcBorders>
              <w:top w:val="nil"/>
              <w:left w:val="single" w:sz="4" w:space="0" w:color="auto"/>
              <w:bottom w:val="single" w:sz="4" w:space="0" w:color="auto"/>
              <w:right w:val="single" w:sz="4" w:space="0" w:color="auto"/>
            </w:tcBorders>
          </w:tcPr>
          <w:p w14:paraId="5F43452C" w14:textId="77777777" w:rsidR="00B7632A" w:rsidRPr="002A64C9" w:rsidRDefault="00B7632A" w:rsidP="00CD1704">
            <w:pPr>
              <w:jc w:val="both"/>
              <w:rPr>
                <w:i/>
                <w:sz w:val="20"/>
              </w:rPr>
            </w:pPr>
            <w:r w:rsidRPr="002A64C9">
              <w:rPr>
                <w:i/>
                <w:sz w:val="20"/>
              </w:rPr>
              <w:t xml:space="preserve">                        z rozpočtu EU</w:t>
            </w:r>
          </w:p>
        </w:tc>
        <w:tc>
          <w:tcPr>
            <w:tcW w:w="1106" w:type="dxa"/>
            <w:tcBorders>
              <w:top w:val="nil"/>
              <w:left w:val="single" w:sz="4" w:space="0" w:color="auto"/>
              <w:bottom w:val="single" w:sz="4" w:space="0" w:color="auto"/>
              <w:right w:val="single" w:sz="4" w:space="0" w:color="auto"/>
            </w:tcBorders>
            <w:vAlign w:val="center"/>
          </w:tcPr>
          <w:p w14:paraId="32C1A2E5" w14:textId="77777777" w:rsidR="00B7632A" w:rsidRPr="009E77A5" w:rsidRDefault="00B7632A" w:rsidP="00CD1704">
            <w:pPr>
              <w:jc w:val="right"/>
              <w:rPr>
                <w:i/>
                <w:sz w:val="20"/>
              </w:rPr>
            </w:pPr>
            <w:r w:rsidRPr="009E77A5">
              <w:rPr>
                <w:i/>
                <w:sz w:val="20"/>
              </w:rPr>
              <w:t>128,5</w:t>
            </w:r>
          </w:p>
        </w:tc>
        <w:tc>
          <w:tcPr>
            <w:tcW w:w="1106" w:type="dxa"/>
            <w:tcBorders>
              <w:top w:val="nil"/>
              <w:left w:val="single" w:sz="4" w:space="0" w:color="auto"/>
              <w:bottom w:val="single" w:sz="4" w:space="0" w:color="auto"/>
              <w:right w:val="single" w:sz="4" w:space="0" w:color="auto"/>
            </w:tcBorders>
            <w:vAlign w:val="center"/>
          </w:tcPr>
          <w:p w14:paraId="4992F2F9" w14:textId="77777777" w:rsidR="00B7632A" w:rsidRPr="003146F5" w:rsidRDefault="00B7632A" w:rsidP="00CD1704">
            <w:pPr>
              <w:jc w:val="right"/>
              <w:rPr>
                <w:i/>
                <w:color w:val="FF0000"/>
                <w:sz w:val="20"/>
              </w:rPr>
            </w:pPr>
            <w:r w:rsidRPr="0022660D">
              <w:rPr>
                <w:i/>
                <w:sz w:val="20"/>
              </w:rPr>
              <w:t>161,5</w:t>
            </w:r>
          </w:p>
        </w:tc>
        <w:tc>
          <w:tcPr>
            <w:tcW w:w="1106" w:type="dxa"/>
            <w:tcBorders>
              <w:top w:val="nil"/>
              <w:left w:val="single" w:sz="4" w:space="0" w:color="auto"/>
              <w:bottom w:val="single" w:sz="4" w:space="0" w:color="auto"/>
              <w:right w:val="single" w:sz="4" w:space="0" w:color="auto"/>
            </w:tcBorders>
            <w:vAlign w:val="center"/>
          </w:tcPr>
          <w:p w14:paraId="258014BF" w14:textId="77777777" w:rsidR="00B7632A" w:rsidRPr="000F48FC" w:rsidRDefault="00B7632A" w:rsidP="00CD1704">
            <w:pPr>
              <w:jc w:val="right"/>
              <w:rPr>
                <w:i/>
                <w:sz w:val="20"/>
              </w:rPr>
            </w:pPr>
            <w:r w:rsidRPr="000F48FC">
              <w:rPr>
                <w:i/>
                <w:sz w:val="20"/>
              </w:rPr>
              <w:t>161,5</w:t>
            </w:r>
          </w:p>
        </w:tc>
        <w:tc>
          <w:tcPr>
            <w:tcW w:w="1106" w:type="dxa"/>
            <w:tcBorders>
              <w:top w:val="nil"/>
              <w:left w:val="single" w:sz="4" w:space="0" w:color="auto"/>
              <w:bottom w:val="single" w:sz="4" w:space="0" w:color="auto"/>
              <w:right w:val="single" w:sz="4" w:space="0" w:color="auto"/>
            </w:tcBorders>
            <w:vAlign w:val="center"/>
          </w:tcPr>
          <w:p w14:paraId="3DA8B881" w14:textId="77777777" w:rsidR="00B7632A" w:rsidRPr="007C3F74" w:rsidRDefault="00B7632A" w:rsidP="00CD1704">
            <w:pPr>
              <w:jc w:val="right"/>
              <w:rPr>
                <w:i/>
                <w:sz w:val="20"/>
              </w:rPr>
            </w:pPr>
            <w:r w:rsidRPr="007C3F74">
              <w:rPr>
                <w:i/>
                <w:sz w:val="20"/>
              </w:rPr>
              <w:t>138</w:t>
            </w:r>
          </w:p>
        </w:tc>
        <w:tc>
          <w:tcPr>
            <w:tcW w:w="709" w:type="dxa"/>
            <w:tcBorders>
              <w:top w:val="nil"/>
              <w:left w:val="single" w:sz="4" w:space="0" w:color="auto"/>
              <w:bottom w:val="single" w:sz="4" w:space="0" w:color="auto"/>
              <w:right w:val="single" w:sz="4" w:space="0" w:color="auto"/>
            </w:tcBorders>
            <w:vAlign w:val="center"/>
          </w:tcPr>
          <w:p w14:paraId="0CBB13E5" w14:textId="77777777" w:rsidR="00B7632A" w:rsidRPr="00FC7219" w:rsidRDefault="00B7632A" w:rsidP="00CD1704">
            <w:pPr>
              <w:jc w:val="right"/>
              <w:rPr>
                <w:i/>
                <w:sz w:val="20"/>
              </w:rPr>
            </w:pPr>
            <w:r w:rsidRPr="00FC7219">
              <w:rPr>
                <w:i/>
                <w:sz w:val="20"/>
              </w:rPr>
              <w:t>107,39</w:t>
            </w:r>
          </w:p>
        </w:tc>
      </w:tr>
    </w:tbl>
    <w:p w14:paraId="3D5480F6" w14:textId="6EDD13F3" w:rsidR="00B7632A" w:rsidRPr="002A64C9" w:rsidRDefault="00B7632A" w:rsidP="00B7632A">
      <w:pPr>
        <w:pStyle w:val="KOMtext"/>
      </w:pPr>
      <w:r w:rsidRPr="002A64C9">
        <w:t>Schválený rozpočet běžných výdajů ve výši 71 064 tis. Kč byl v průběhu 1. pololetí 2019 snížen na 71 063 tis. Kč. Důvodem je převod finančních prostředků z ostatní běžných výdajů Státní plavební správy na neinvestiční transfery mezinárodním vládním organizacím. Ve 4. čtvrtletí došlo k navýšení rozpočtu o 1</w:t>
      </w:r>
      <w:r w:rsidR="00D152D6">
        <w:t>53</w:t>
      </w:r>
      <w:r w:rsidRPr="002A64C9">
        <w:t xml:space="preserve"> tis. Kč na ostatní platby za provedenou práci, konkrétně na odstupné pro dva zaměstnance, se kterými byl rozvázán pracovní poměr.  </w:t>
      </w:r>
    </w:p>
    <w:p w14:paraId="6DE420E0" w14:textId="77777777" w:rsidR="00B7632A" w:rsidRPr="004B11AC" w:rsidRDefault="00B7632A" w:rsidP="00633088">
      <w:pPr>
        <w:pStyle w:val="KOMtext"/>
        <w:rPr>
          <w:color w:val="FF0000"/>
        </w:rPr>
      </w:pPr>
      <w:r w:rsidRPr="002A64C9">
        <w:t>Rozpočet běžných výdajů byl v roce 2019</w:t>
      </w:r>
      <w:r>
        <w:t xml:space="preserve"> čerpán ve výši 71 376 tis Kč, </w:t>
      </w:r>
      <w:r w:rsidRPr="002A64C9">
        <w:t>tj</w:t>
      </w:r>
      <w:r>
        <w:t xml:space="preserve">. 100,22 % upraveného rozpočtu. </w:t>
      </w:r>
      <w:r w:rsidRPr="00B262CA">
        <w:t xml:space="preserve">Čerpání finančních prostředků probíhalo rovnoměrně, </w:t>
      </w:r>
      <w:r w:rsidRPr="008A2E8D">
        <w:t xml:space="preserve">s nejvyšším podílem ve </w:t>
      </w:r>
      <w:r>
        <w:br/>
      </w:r>
      <w:r w:rsidRPr="008A2E8D">
        <w:t>4. čtvrtletí.</w:t>
      </w:r>
      <w:r w:rsidRPr="00B262CA">
        <w:rPr>
          <w:color w:val="FF0000"/>
        </w:rPr>
        <w:t xml:space="preserve">   </w:t>
      </w:r>
      <w:r w:rsidRPr="004B11AC">
        <w:rPr>
          <w:color w:val="FF0000"/>
        </w:rPr>
        <w:t xml:space="preserve"> </w:t>
      </w:r>
    </w:p>
    <w:p w14:paraId="63CE2477" w14:textId="77777777" w:rsidR="00B7632A" w:rsidRPr="00B262CA" w:rsidRDefault="00B7632A" w:rsidP="00B7632A">
      <w:pPr>
        <w:pStyle w:val="KOMtext"/>
      </w:pPr>
      <w:r w:rsidRPr="00B262CA">
        <w:lastRenderedPageBreak/>
        <w:t xml:space="preserve">Státní plavební správa čerpala v rámci projektu RIS COMEX prostředky EU ve výši </w:t>
      </w:r>
      <w:r w:rsidRPr="00B262CA">
        <w:br/>
        <w:t>1 132 tis. Kč. Národní podíl v tomto projektu byl čerpán ve výši 200 tis. Kč. Projekt RIS COMEX je financován 85 % z prostředků EU a 15 % z prostředků státního rozpočtu. Tento projekt je zaměřen na další rozvoj služeb RIS, a to v rámci tzv. koridorového přístupu, jež přináší výrazné synergické efekty vzájemné spolupráce sousedících zemí v rámci jednotlivých evropských systémů vodních cest. Koridorové informační služby RIS mají umožnit řízení dopravy pomocí kompetentních úřadů a řízení přepravy pomocí logistiky.</w:t>
      </w:r>
    </w:p>
    <w:p w14:paraId="7659C311" w14:textId="77777777" w:rsidR="00B7632A" w:rsidRDefault="00B7632A" w:rsidP="00633088">
      <w:pPr>
        <w:pStyle w:val="KOMtext"/>
      </w:pPr>
      <w:r w:rsidRPr="00B262CA">
        <w:t xml:space="preserve">Čerpání prostředků běžných výdajů tvořily zejména výdaje na platy zaměstnanců a ostatní platby za provedenou práci a s </w:t>
      </w:r>
      <w:r w:rsidRPr="00633088">
        <w:t>tím</w:t>
      </w:r>
      <w:r w:rsidRPr="00B262CA">
        <w:t xml:space="preserve"> související povinné platby (pojistné a převod FKSP), které se podílí na celkovém objemu čerpání běžných výdajů 76,56 %. Z ostatních neinvestičních výdajů tvoří nejvyšší položku výdaje na opravy a udržování, na nákup materiálu a výdaje na nákup ostatních služeb. Z celkového čerpání běžných výdajů činilo použití nároků z nespotřebovaných výdajů minu</w:t>
      </w:r>
      <w:r w:rsidR="00E2031D">
        <w:t>lých let 3 101 tis. Kč.</w:t>
      </w:r>
    </w:p>
    <w:p w14:paraId="6C9D5B35" w14:textId="77777777" w:rsidR="00D47517" w:rsidRPr="004B11AC" w:rsidRDefault="00D47517" w:rsidP="00D47517">
      <w:pPr>
        <w:pStyle w:val="KOMtext"/>
        <w:rPr>
          <w:color w:val="FF0000"/>
        </w:rPr>
      </w:pPr>
      <w:r w:rsidRPr="004B11AC">
        <w:rPr>
          <w:color w:val="FF0000"/>
        </w:rPr>
        <w:t xml:space="preserve">  </w:t>
      </w:r>
    </w:p>
    <w:p w14:paraId="6BC10027" w14:textId="77777777" w:rsidR="00FA7E1E" w:rsidRPr="00DE0323" w:rsidRDefault="00FA7E1E" w:rsidP="003F3157">
      <w:pPr>
        <w:pStyle w:val="Nadpis6"/>
      </w:pPr>
      <w:r w:rsidRPr="00DE0323">
        <w:t>Drážní úřad</w:t>
      </w:r>
    </w:p>
    <w:p w14:paraId="662FDAC4" w14:textId="77777777" w:rsidR="00DE0323" w:rsidRPr="00D75C1D" w:rsidRDefault="00DE0323" w:rsidP="003F3157">
      <w:pPr>
        <w:pStyle w:val="KOMtext"/>
      </w:pPr>
      <w:r w:rsidRPr="00D75C1D">
        <w:t xml:space="preserve">Drážní úřad byl zřízen zákonem č. 266/1994 Sb., o dráhách, ve znění pozdějších předpisů, jako správní úřad a orgán státní správy podřízený Ministerstvu dopravy. Mezi jeho hlavní činnosti patří zejména schvalování typu drážních vozidel, schvalování způsobilosti drážních vozidel </w:t>
      </w:r>
      <w:r w:rsidR="000D72BC">
        <w:br/>
      </w:r>
      <w:r w:rsidRPr="00D75C1D">
        <w:t>a určených technických zařízení, vydávání průkazů</w:t>
      </w:r>
      <w:r w:rsidR="000D72BC">
        <w:t xml:space="preserve"> způsobilosti drážních vozidel </w:t>
      </w:r>
      <w:r w:rsidRPr="00D75C1D">
        <w:t>a určených technických zařízení, provádění zkoušek a vydávání průkazů způsobilosti k řízení drážních vozidel, výkon státní správy, státního dozoru a státního stavebního dohledu v úseku stavební činnosti a vydávání licencí a úředních povolení k provozování drážní dopravy.</w:t>
      </w:r>
    </w:p>
    <w:p w14:paraId="54E8821E" w14:textId="77777777" w:rsidR="00DE0323" w:rsidRPr="004B11AC" w:rsidRDefault="00DE0323" w:rsidP="00DB2320">
      <w:pPr>
        <w:keepNext/>
        <w:ind w:left="357" w:right="1"/>
        <w:jc w:val="right"/>
        <w:rPr>
          <w:color w:val="FF0000"/>
        </w:rPr>
      </w:pP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00DB2320">
        <w:t xml:space="preserve">     </w:t>
      </w:r>
      <w:r w:rsidRPr="00D75C1D">
        <w:t>v tis. Kč</w:t>
      </w: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80"/>
        <w:gridCol w:w="1125"/>
        <w:gridCol w:w="1125"/>
        <w:gridCol w:w="1125"/>
        <w:gridCol w:w="1125"/>
        <w:gridCol w:w="859"/>
      </w:tblGrid>
      <w:tr w:rsidR="00DE0323" w:rsidRPr="004B11AC" w14:paraId="6CAE9EB5" w14:textId="77777777" w:rsidTr="00DB2320">
        <w:trPr>
          <w:tblHeader/>
        </w:trPr>
        <w:tc>
          <w:tcPr>
            <w:tcW w:w="3780" w:type="dxa"/>
          </w:tcPr>
          <w:p w14:paraId="76D4AED5" w14:textId="77777777" w:rsidR="00DE0323" w:rsidRPr="009B263E" w:rsidRDefault="00DE0323" w:rsidP="00DE0323">
            <w:pPr>
              <w:jc w:val="center"/>
              <w:rPr>
                <w:sz w:val="22"/>
              </w:rPr>
            </w:pPr>
          </w:p>
          <w:p w14:paraId="58441DD5" w14:textId="77777777" w:rsidR="00DE0323" w:rsidRPr="009B263E" w:rsidRDefault="00DE0323" w:rsidP="00DE0323">
            <w:pPr>
              <w:jc w:val="center"/>
              <w:rPr>
                <w:sz w:val="22"/>
              </w:rPr>
            </w:pPr>
            <w:r w:rsidRPr="009B263E">
              <w:rPr>
                <w:sz w:val="22"/>
              </w:rPr>
              <w:t>Ukazatel</w:t>
            </w:r>
          </w:p>
        </w:tc>
        <w:tc>
          <w:tcPr>
            <w:tcW w:w="1125" w:type="dxa"/>
            <w:tcBorders>
              <w:top w:val="single" w:sz="4" w:space="0" w:color="auto"/>
              <w:bottom w:val="single" w:sz="4" w:space="0" w:color="auto"/>
              <w:right w:val="single" w:sz="4" w:space="0" w:color="auto"/>
            </w:tcBorders>
            <w:vAlign w:val="center"/>
          </w:tcPr>
          <w:p w14:paraId="48396957" w14:textId="77777777" w:rsidR="00DE0323" w:rsidRPr="009B263E" w:rsidRDefault="00DE0323" w:rsidP="00DE0323">
            <w:pPr>
              <w:jc w:val="center"/>
              <w:rPr>
                <w:sz w:val="22"/>
              </w:rPr>
            </w:pPr>
            <w:r w:rsidRPr="009B263E">
              <w:rPr>
                <w:sz w:val="22"/>
              </w:rPr>
              <w:t>Skutečnost</w:t>
            </w:r>
          </w:p>
          <w:p w14:paraId="5D8B1D33" w14:textId="77777777" w:rsidR="00DE0323" w:rsidRPr="009B263E" w:rsidRDefault="00DE0323" w:rsidP="00DE0323">
            <w:pPr>
              <w:jc w:val="center"/>
              <w:rPr>
                <w:sz w:val="22"/>
              </w:rPr>
            </w:pPr>
            <w:r w:rsidRPr="009B263E">
              <w:rPr>
                <w:sz w:val="22"/>
              </w:rPr>
              <w:t>2018</w:t>
            </w:r>
          </w:p>
        </w:tc>
        <w:tc>
          <w:tcPr>
            <w:tcW w:w="1125" w:type="dxa"/>
            <w:tcBorders>
              <w:top w:val="single" w:sz="4" w:space="0" w:color="auto"/>
              <w:left w:val="single" w:sz="4" w:space="0" w:color="auto"/>
              <w:bottom w:val="single" w:sz="4" w:space="0" w:color="auto"/>
              <w:right w:val="single" w:sz="4" w:space="0" w:color="auto"/>
            </w:tcBorders>
            <w:vAlign w:val="center"/>
          </w:tcPr>
          <w:p w14:paraId="3CEC0B43" w14:textId="77777777" w:rsidR="00DE0323" w:rsidRPr="009B263E" w:rsidRDefault="00DE0323" w:rsidP="00DE0323">
            <w:pPr>
              <w:jc w:val="center"/>
              <w:rPr>
                <w:sz w:val="22"/>
              </w:rPr>
            </w:pPr>
            <w:r w:rsidRPr="009B263E">
              <w:rPr>
                <w:sz w:val="22"/>
              </w:rPr>
              <w:t>Schválený</w:t>
            </w:r>
          </w:p>
          <w:p w14:paraId="4678EC18" w14:textId="77777777" w:rsidR="00DE0323" w:rsidRPr="009B263E" w:rsidRDefault="00DE0323" w:rsidP="00DE0323">
            <w:pPr>
              <w:jc w:val="center"/>
              <w:rPr>
                <w:sz w:val="22"/>
              </w:rPr>
            </w:pPr>
            <w:r w:rsidRPr="009B263E">
              <w:rPr>
                <w:sz w:val="22"/>
              </w:rPr>
              <w:t>rozpočet</w:t>
            </w:r>
          </w:p>
          <w:p w14:paraId="28063DFF" w14:textId="77777777" w:rsidR="00DE0323" w:rsidRPr="009B263E" w:rsidRDefault="00DE0323" w:rsidP="00DE0323">
            <w:pPr>
              <w:jc w:val="center"/>
              <w:rPr>
                <w:sz w:val="22"/>
              </w:rPr>
            </w:pPr>
            <w:r w:rsidRPr="009B263E">
              <w:rPr>
                <w:sz w:val="22"/>
              </w:rPr>
              <w:t>2019</w:t>
            </w:r>
          </w:p>
        </w:tc>
        <w:tc>
          <w:tcPr>
            <w:tcW w:w="1125" w:type="dxa"/>
            <w:tcBorders>
              <w:top w:val="single" w:sz="4" w:space="0" w:color="auto"/>
              <w:left w:val="single" w:sz="4" w:space="0" w:color="auto"/>
              <w:bottom w:val="single" w:sz="4" w:space="0" w:color="auto"/>
              <w:right w:val="single" w:sz="4" w:space="0" w:color="auto"/>
            </w:tcBorders>
            <w:vAlign w:val="center"/>
          </w:tcPr>
          <w:p w14:paraId="12851AFC" w14:textId="77777777" w:rsidR="00DE0323" w:rsidRPr="009B263E" w:rsidRDefault="00DE0323" w:rsidP="00DE0323">
            <w:pPr>
              <w:jc w:val="center"/>
              <w:rPr>
                <w:sz w:val="22"/>
              </w:rPr>
            </w:pPr>
            <w:r w:rsidRPr="009B263E">
              <w:rPr>
                <w:sz w:val="22"/>
              </w:rPr>
              <w:t>Upravený</w:t>
            </w:r>
          </w:p>
          <w:p w14:paraId="1768E3A1" w14:textId="77777777" w:rsidR="00DE0323" w:rsidRPr="009B263E" w:rsidRDefault="00DE0323" w:rsidP="00DE0323">
            <w:pPr>
              <w:jc w:val="center"/>
              <w:rPr>
                <w:sz w:val="22"/>
              </w:rPr>
            </w:pPr>
            <w:r w:rsidRPr="009B263E">
              <w:rPr>
                <w:sz w:val="22"/>
              </w:rPr>
              <w:t>rozpočet</w:t>
            </w:r>
          </w:p>
          <w:p w14:paraId="2DF1662A" w14:textId="77777777" w:rsidR="00DE0323" w:rsidRPr="009B263E" w:rsidRDefault="00DE0323" w:rsidP="00DE0323">
            <w:pPr>
              <w:jc w:val="center"/>
              <w:rPr>
                <w:sz w:val="22"/>
              </w:rPr>
            </w:pPr>
            <w:r w:rsidRPr="009B263E">
              <w:rPr>
                <w:sz w:val="22"/>
              </w:rPr>
              <w:t>2019</w:t>
            </w:r>
          </w:p>
        </w:tc>
        <w:tc>
          <w:tcPr>
            <w:tcW w:w="1125" w:type="dxa"/>
            <w:tcBorders>
              <w:top w:val="single" w:sz="4" w:space="0" w:color="auto"/>
              <w:left w:val="single" w:sz="4" w:space="0" w:color="auto"/>
              <w:bottom w:val="single" w:sz="4" w:space="0" w:color="auto"/>
              <w:right w:val="single" w:sz="4" w:space="0" w:color="auto"/>
            </w:tcBorders>
            <w:vAlign w:val="center"/>
          </w:tcPr>
          <w:p w14:paraId="20E92876" w14:textId="77777777" w:rsidR="00DE0323" w:rsidRPr="009B263E" w:rsidRDefault="00DE0323" w:rsidP="00DE0323">
            <w:pPr>
              <w:jc w:val="center"/>
              <w:rPr>
                <w:sz w:val="22"/>
              </w:rPr>
            </w:pPr>
            <w:r w:rsidRPr="009B263E">
              <w:rPr>
                <w:sz w:val="22"/>
              </w:rPr>
              <w:t>Skutečnost</w:t>
            </w:r>
          </w:p>
          <w:p w14:paraId="2BC1EA1F" w14:textId="77777777" w:rsidR="00DE0323" w:rsidRPr="009B263E" w:rsidRDefault="00DE0323" w:rsidP="00DE0323">
            <w:pPr>
              <w:jc w:val="center"/>
              <w:rPr>
                <w:sz w:val="22"/>
              </w:rPr>
            </w:pPr>
            <w:r w:rsidRPr="009B263E">
              <w:rPr>
                <w:sz w:val="22"/>
              </w:rPr>
              <w:t>2019</w:t>
            </w:r>
          </w:p>
        </w:tc>
        <w:tc>
          <w:tcPr>
            <w:tcW w:w="859" w:type="dxa"/>
            <w:tcBorders>
              <w:top w:val="single" w:sz="4" w:space="0" w:color="auto"/>
              <w:left w:val="single" w:sz="4" w:space="0" w:color="auto"/>
              <w:bottom w:val="single" w:sz="4" w:space="0" w:color="auto"/>
            </w:tcBorders>
            <w:vAlign w:val="center"/>
          </w:tcPr>
          <w:p w14:paraId="493F6407" w14:textId="77777777" w:rsidR="00DE0323" w:rsidRPr="009B263E" w:rsidRDefault="00DE0323" w:rsidP="00DE0323">
            <w:pPr>
              <w:jc w:val="center"/>
              <w:rPr>
                <w:sz w:val="22"/>
              </w:rPr>
            </w:pPr>
            <w:r w:rsidRPr="009B263E">
              <w:rPr>
                <w:sz w:val="22"/>
              </w:rPr>
              <w:t>Index</w:t>
            </w:r>
          </w:p>
          <w:p w14:paraId="1FED464C" w14:textId="77777777" w:rsidR="00DE0323" w:rsidRPr="009B263E" w:rsidRDefault="00DE0323" w:rsidP="00DE0323">
            <w:pPr>
              <w:jc w:val="center"/>
              <w:rPr>
                <w:sz w:val="22"/>
              </w:rPr>
            </w:pPr>
            <w:r w:rsidRPr="009B263E">
              <w:rPr>
                <w:sz w:val="22"/>
              </w:rPr>
              <w:t>19/18         (v %)</w:t>
            </w:r>
          </w:p>
        </w:tc>
      </w:tr>
      <w:tr w:rsidR="00DE0323" w:rsidRPr="004B11AC" w14:paraId="6BC8144F" w14:textId="77777777" w:rsidTr="00DB2320">
        <w:trPr>
          <w:tblHeader/>
        </w:trPr>
        <w:tc>
          <w:tcPr>
            <w:tcW w:w="3780" w:type="dxa"/>
            <w:tcBorders>
              <w:bottom w:val="single" w:sz="4" w:space="0" w:color="auto"/>
            </w:tcBorders>
          </w:tcPr>
          <w:p w14:paraId="020B8270" w14:textId="77777777" w:rsidR="00DE0323" w:rsidRPr="009B263E" w:rsidRDefault="00DE0323" w:rsidP="00DE0323">
            <w:pPr>
              <w:jc w:val="center"/>
              <w:rPr>
                <w:sz w:val="22"/>
              </w:rPr>
            </w:pPr>
            <w:r w:rsidRPr="009B263E">
              <w:rPr>
                <w:sz w:val="22"/>
              </w:rPr>
              <w:t>a</w:t>
            </w:r>
          </w:p>
        </w:tc>
        <w:tc>
          <w:tcPr>
            <w:tcW w:w="1125" w:type="dxa"/>
            <w:tcBorders>
              <w:bottom w:val="single" w:sz="4" w:space="0" w:color="auto"/>
            </w:tcBorders>
          </w:tcPr>
          <w:p w14:paraId="0E97BFC2" w14:textId="77777777" w:rsidR="00DE0323" w:rsidRPr="009B263E" w:rsidRDefault="00DE0323" w:rsidP="00DE0323">
            <w:pPr>
              <w:jc w:val="center"/>
              <w:rPr>
                <w:sz w:val="22"/>
              </w:rPr>
            </w:pPr>
            <w:r w:rsidRPr="009B263E">
              <w:rPr>
                <w:sz w:val="22"/>
              </w:rPr>
              <w:t>1</w:t>
            </w:r>
          </w:p>
        </w:tc>
        <w:tc>
          <w:tcPr>
            <w:tcW w:w="1125" w:type="dxa"/>
            <w:tcBorders>
              <w:bottom w:val="single" w:sz="4" w:space="0" w:color="auto"/>
            </w:tcBorders>
          </w:tcPr>
          <w:p w14:paraId="6EA42A60" w14:textId="77777777" w:rsidR="00DE0323" w:rsidRPr="009B263E" w:rsidRDefault="00DE0323" w:rsidP="00DE0323">
            <w:pPr>
              <w:jc w:val="center"/>
              <w:rPr>
                <w:sz w:val="22"/>
              </w:rPr>
            </w:pPr>
            <w:r w:rsidRPr="009B263E">
              <w:rPr>
                <w:sz w:val="22"/>
              </w:rPr>
              <w:t>2</w:t>
            </w:r>
          </w:p>
        </w:tc>
        <w:tc>
          <w:tcPr>
            <w:tcW w:w="1125" w:type="dxa"/>
            <w:tcBorders>
              <w:bottom w:val="single" w:sz="4" w:space="0" w:color="auto"/>
            </w:tcBorders>
          </w:tcPr>
          <w:p w14:paraId="2AFA9EDC" w14:textId="77777777" w:rsidR="00DE0323" w:rsidRPr="009B263E" w:rsidRDefault="00DE0323" w:rsidP="00DE0323">
            <w:pPr>
              <w:jc w:val="center"/>
              <w:rPr>
                <w:sz w:val="22"/>
              </w:rPr>
            </w:pPr>
            <w:r w:rsidRPr="009B263E">
              <w:rPr>
                <w:sz w:val="22"/>
              </w:rPr>
              <w:t>3</w:t>
            </w:r>
          </w:p>
        </w:tc>
        <w:tc>
          <w:tcPr>
            <w:tcW w:w="1125" w:type="dxa"/>
            <w:tcBorders>
              <w:bottom w:val="single" w:sz="4" w:space="0" w:color="auto"/>
            </w:tcBorders>
          </w:tcPr>
          <w:p w14:paraId="6BAD2CAB" w14:textId="77777777" w:rsidR="00DE0323" w:rsidRPr="009B263E" w:rsidRDefault="00DE0323" w:rsidP="00DE0323">
            <w:pPr>
              <w:jc w:val="center"/>
              <w:rPr>
                <w:sz w:val="22"/>
              </w:rPr>
            </w:pPr>
            <w:r w:rsidRPr="009B263E">
              <w:rPr>
                <w:sz w:val="22"/>
              </w:rPr>
              <w:t>4</w:t>
            </w:r>
          </w:p>
        </w:tc>
        <w:tc>
          <w:tcPr>
            <w:tcW w:w="859" w:type="dxa"/>
            <w:tcBorders>
              <w:bottom w:val="single" w:sz="4" w:space="0" w:color="auto"/>
            </w:tcBorders>
          </w:tcPr>
          <w:p w14:paraId="6D9798A6" w14:textId="77777777" w:rsidR="00DE0323" w:rsidRPr="009B263E" w:rsidRDefault="00DE0323" w:rsidP="00DE0323">
            <w:pPr>
              <w:jc w:val="center"/>
              <w:rPr>
                <w:sz w:val="22"/>
              </w:rPr>
            </w:pPr>
            <w:r w:rsidRPr="009B263E">
              <w:rPr>
                <w:sz w:val="22"/>
              </w:rPr>
              <w:t>5</w:t>
            </w:r>
          </w:p>
        </w:tc>
      </w:tr>
      <w:tr w:rsidR="00DE0323" w:rsidRPr="004B11AC" w14:paraId="08FA4991" w14:textId="77777777" w:rsidTr="00DB2320">
        <w:trPr>
          <w:trHeight w:val="388"/>
          <w:tblHeader/>
        </w:trPr>
        <w:tc>
          <w:tcPr>
            <w:tcW w:w="3780" w:type="dxa"/>
            <w:tcBorders>
              <w:top w:val="single" w:sz="4" w:space="0" w:color="auto"/>
              <w:left w:val="single" w:sz="4" w:space="0" w:color="auto"/>
              <w:bottom w:val="nil"/>
              <w:right w:val="single" w:sz="4" w:space="0" w:color="auto"/>
            </w:tcBorders>
          </w:tcPr>
          <w:p w14:paraId="75C00C36" w14:textId="77777777" w:rsidR="00DE0323" w:rsidRPr="009B263E" w:rsidRDefault="00DE0323" w:rsidP="00DE0323">
            <w:pPr>
              <w:pStyle w:val="Zkladntext"/>
              <w:rPr>
                <w:b/>
                <w:bCs/>
                <w:sz w:val="20"/>
              </w:rPr>
            </w:pPr>
            <w:r w:rsidRPr="009B263E">
              <w:rPr>
                <w:b/>
                <w:bCs/>
                <w:sz w:val="20"/>
              </w:rPr>
              <w:t xml:space="preserve">Běžné výdaje </w:t>
            </w:r>
          </w:p>
          <w:p w14:paraId="63A17B03" w14:textId="77777777" w:rsidR="00DE0323" w:rsidRPr="009B263E" w:rsidRDefault="00DE0323" w:rsidP="00DE0323">
            <w:pPr>
              <w:jc w:val="both"/>
              <w:rPr>
                <w:sz w:val="20"/>
              </w:rPr>
            </w:pPr>
            <w:r w:rsidRPr="009B263E">
              <w:rPr>
                <w:sz w:val="20"/>
              </w:rPr>
              <w:t xml:space="preserve">v tom: </w:t>
            </w:r>
          </w:p>
        </w:tc>
        <w:tc>
          <w:tcPr>
            <w:tcW w:w="1125" w:type="dxa"/>
            <w:tcBorders>
              <w:top w:val="single" w:sz="4" w:space="0" w:color="auto"/>
              <w:left w:val="single" w:sz="4" w:space="0" w:color="auto"/>
              <w:bottom w:val="nil"/>
              <w:right w:val="single" w:sz="4" w:space="0" w:color="auto"/>
            </w:tcBorders>
            <w:vAlign w:val="center"/>
          </w:tcPr>
          <w:p w14:paraId="44F9049F" w14:textId="77777777" w:rsidR="00DE0323" w:rsidRPr="009B263E" w:rsidRDefault="00DE0323" w:rsidP="00DE0323">
            <w:pPr>
              <w:spacing w:before="120"/>
              <w:jc w:val="right"/>
              <w:rPr>
                <w:b/>
                <w:bCs/>
                <w:sz w:val="20"/>
              </w:rPr>
            </w:pPr>
            <w:r w:rsidRPr="009B263E">
              <w:rPr>
                <w:b/>
                <w:bCs/>
                <w:sz w:val="20"/>
              </w:rPr>
              <w:t xml:space="preserve">93 143 </w:t>
            </w:r>
          </w:p>
        </w:tc>
        <w:tc>
          <w:tcPr>
            <w:tcW w:w="1125" w:type="dxa"/>
            <w:tcBorders>
              <w:top w:val="single" w:sz="4" w:space="0" w:color="auto"/>
              <w:left w:val="single" w:sz="4" w:space="0" w:color="auto"/>
              <w:bottom w:val="nil"/>
              <w:right w:val="single" w:sz="4" w:space="0" w:color="auto"/>
            </w:tcBorders>
            <w:vAlign w:val="center"/>
          </w:tcPr>
          <w:p w14:paraId="20331C22" w14:textId="77777777" w:rsidR="00DE0323" w:rsidRPr="009B263E" w:rsidRDefault="00DE0323" w:rsidP="00DE0323">
            <w:pPr>
              <w:spacing w:before="120"/>
              <w:jc w:val="right"/>
              <w:rPr>
                <w:b/>
                <w:bCs/>
                <w:sz w:val="20"/>
              </w:rPr>
            </w:pPr>
            <w:r w:rsidRPr="009B263E">
              <w:rPr>
                <w:b/>
                <w:bCs/>
                <w:sz w:val="20"/>
              </w:rPr>
              <w:t>98 856</w:t>
            </w:r>
          </w:p>
        </w:tc>
        <w:tc>
          <w:tcPr>
            <w:tcW w:w="1125" w:type="dxa"/>
            <w:tcBorders>
              <w:top w:val="single" w:sz="4" w:space="0" w:color="auto"/>
              <w:left w:val="single" w:sz="4" w:space="0" w:color="auto"/>
              <w:bottom w:val="nil"/>
              <w:right w:val="single" w:sz="4" w:space="0" w:color="auto"/>
            </w:tcBorders>
            <w:vAlign w:val="center"/>
          </w:tcPr>
          <w:p w14:paraId="63CB0C0E" w14:textId="77777777" w:rsidR="00DE0323" w:rsidRPr="009B263E" w:rsidRDefault="00DE0323" w:rsidP="00DE0323">
            <w:pPr>
              <w:spacing w:before="120"/>
              <w:jc w:val="right"/>
              <w:rPr>
                <w:b/>
                <w:bCs/>
                <w:sz w:val="20"/>
              </w:rPr>
            </w:pPr>
            <w:r w:rsidRPr="009B263E">
              <w:rPr>
                <w:b/>
                <w:bCs/>
                <w:sz w:val="20"/>
              </w:rPr>
              <w:t>101 816</w:t>
            </w:r>
          </w:p>
        </w:tc>
        <w:tc>
          <w:tcPr>
            <w:tcW w:w="1125" w:type="dxa"/>
            <w:tcBorders>
              <w:top w:val="single" w:sz="4" w:space="0" w:color="auto"/>
              <w:left w:val="single" w:sz="4" w:space="0" w:color="auto"/>
              <w:bottom w:val="nil"/>
              <w:right w:val="single" w:sz="4" w:space="0" w:color="auto"/>
            </w:tcBorders>
            <w:vAlign w:val="center"/>
          </w:tcPr>
          <w:p w14:paraId="7F9A6EC4" w14:textId="77777777" w:rsidR="00DE0323" w:rsidRPr="009B263E" w:rsidRDefault="00DE0323" w:rsidP="00DE0323">
            <w:pPr>
              <w:spacing w:before="120"/>
              <w:jc w:val="right"/>
              <w:rPr>
                <w:b/>
                <w:bCs/>
                <w:sz w:val="20"/>
              </w:rPr>
            </w:pPr>
            <w:r w:rsidRPr="009B263E">
              <w:rPr>
                <w:b/>
                <w:bCs/>
                <w:sz w:val="20"/>
              </w:rPr>
              <w:t>102 001</w:t>
            </w:r>
          </w:p>
        </w:tc>
        <w:tc>
          <w:tcPr>
            <w:tcW w:w="859" w:type="dxa"/>
            <w:tcBorders>
              <w:top w:val="single" w:sz="4" w:space="0" w:color="auto"/>
              <w:left w:val="single" w:sz="4" w:space="0" w:color="auto"/>
              <w:bottom w:val="nil"/>
              <w:right w:val="single" w:sz="4" w:space="0" w:color="auto"/>
            </w:tcBorders>
            <w:vAlign w:val="center"/>
          </w:tcPr>
          <w:p w14:paraId="629854CE" w14:textId="77777777" w:rsidR="00DE0323" w:rsidRPr="009B263E" w:rsidRDefault="00DE0323" w:rsidP="00DE0323">
            <w:pPr>
              <w:spacing w:before="120"/>
              <w:jc w:val="right"/>
              <w:rPr>
                <w:b/>
                <w:bCs/>
                <w:sz w:val="20"/>
              </w:rPr>
            </w:pPr>
            <w:r w:rsidRPr="009B263E">
              <w:rPr>
                <w:b/>
                <w:bCs/>
                <w:sz w:val="20"/>
              </w:rPr>
              <w:t>109,51</w:t>
            </w:r>
          </w:p>
        </w:tc>
      </w:tr>
      <w:tr w:rsidR="00DE0323" w:rsidRPr="004B11AC" w14:paraId="5A14AC72" w14:textId="77777777" w:rsidTr="00DB2320">
        <w:trPr>
          <w:tblHeader/>
        </w:trPr>
        <w:tc>
          <w:tcPr>
            <w:tcW w:w="3780" w:type="dxa"/>
            <w:tcBorders>
              <w:top w:val="nil"/>
              <w:left w:val="single" w:sz="4" w:space="0" w:color="auto"/>
              <w:bottom w:val="nil"/>
              <w:right w:val="single" w:sz="4" w:space="0" w:color="auto"/>
            </w:tcBorders>
          </w:tcPr>
          <w:p w14:paraId="04E4F448" w14:textId="77777777" w:rsidR="00DE0323" w:rsidRPr="009B263E" w:rsidRDefault="00DE0323" w:rsidP="00DE0323">
            <w:pPr>
              <w:jc w:val="both"/>
              <w:rPr>
                <w:sz w:val="20"/>
              </w:rPr>
            </w:pPr>
            <w:r w:rsidRPr="009B263E">
              <w:rPr>
                <w:sz w:val="20"/>
              </w:rPr>
              <w:t xml:space="preserve">platy zaměstnanců a ostatní platby </w:t>
            </w:r>
          </w:p>
          <w:p w14:paraId="5E7C0EE6" w14:textId="77777777" w:rsidR="00DE0323" w:rsidRPr="009B263E" w:rsidRDefault="00DE0323" w:rsidP="00DE0323">
            <w:pPr>
              <w:jc w:val="both"/>
              <w:rPr>
                <w:sz w:val="20"/>
              </w:rPr>
            </w:pPr>
            <w:r w:rsidRPr="009B263E">
              <w:rPr>
                <w:sz w:val="20"/>
              </w:rPr>
              <w:t>za provedenou práci</w:t>
            </w:r>
          </w:p>
        </w:tc>
        <w:tc>
          <w:tcPr>
            <w:tcW w:w="1125" w:type="dxa"/>
            <w:tcBorders>
              <w:top w:val="nil"/>
              <w:left w:val="single" w:sz="4" w:space="0" w:color="auto"/>
              <w:bottom w:val="nil"/>
              <w:right w:val="single" w:sz="4" w:space="0" w:color="auto"/>
            </w:tcBorders>
            <w:vAlign w:val="center"/>
          </w:tcPr>
          <w:p w14:paraId="585475DB" w14:textId="77777777" w:rsidR="00DE0323" w:rsidRPr="009B263E" w:rsidRDefault="00DE0323" w:rsidP="00DE0323">
            <w:pPr>
              <w:jc w:val="right"/>
              <w:rPr>
                <w:sz w:val="20"/>
              </w:rPr>
            </w:pPr>
          </w:p>
          <w:p w14:paraId="3B3A2667" w14:textId="77777777" w:rsidR="00DE0323" w:rsidRPr="009B263E" w:rsidRDefault="00DE0323" w:rsidP="00DE0323">
            <w:pPr>
              <w:jc w:val="right"/>
              <w:rPr>
                <w:sz w:val="20"/>
              </w:rPr>
            </w:pPr>
            <w:r w:rsidRPr="009B263E">
              <w:rPr>
                <w:sz w:val="20"/>
              </w:rPr>
              <w:t xml:space="preserve">49 386 </w:t>
            </w:r>
          </w:p>
        </w:tc>
        <w:tc>
          <w:tcPr>
            <w:tcW w:w="1125" w:type="dxa"/>
            <w:tcBorders>
              <w:top w:val="nil"/>
              <w:left w:val="single" w:sz="4" w:space="0" w:color="auto"/>
              <w:bottom w:val="nil"/>
              <w:right w:val="single" w:sz="4" w:space="0" w:color="auto"/>
            </w:tcBorders>
            <w:vAlign w:val="center"/>
          </w:tcPr>
          <w:p w14:paraId="40E02113" w14:textId="77777777" w:rsidR="00DE0323" w:rsidRPr="009B263E" w:rsidRDefault="00DE0323" w:rsidP="00DE0323">
            <w:pPr>
              <w:jc w:val="right"/>
              <w:rPr>
                <w:sz w:val="20"/>
              </w:rPr>
            </w:pPr>
          </w:p>
          <w:p w14:paraId="71619FB4" w14:textId="77777777" w:rsidR="00DE0323" w:rsidRPr="009B263E" w:rsidRDefault="00DE0323" w:rsidP="00DE0323">
            <w:pPr>
              <w:jc w:val="right"/>
              <w:rPr>
                <w:sz w:val="20"/>
              </w:rPr>
            </w:pPr>
            <w:r w:rsidRPr="009B263E">
              <w:rPr>
                <w:sz w:val="20"/>
              </w:rPr>
              <w:t xml:space="preserve">53 105 </w:t>
            </w:r>
          </w:p>
        </w:tc>
        <w:tc>
          <w:tcPr>
            <w:tcW w:w="1125" w:type="dxa"/>
            <w:tcBorders>
              <w:top w:val="nil"/>
              <w:left w:val="single" w:sz="4" w:space="0" w:color="auto"/>
              <w:bottom w:val="nil"/>
              <w:right w:val="single" w:sz="4" w:space="0" w:color="auto"/>
            </w:tcBorders>
            <w:vAlign w:val="center"/>
          </w:tcPr>
          <w:p w14:paraId="4938B95F" w14:textId="77777777" w:rsidR="00DE0323" w:rsidRPr="009B263E" w:rsidRDefault="00DE0323" w:rsidP="00DE0323">
            <w:pPr>
              <w:jc w:val="right"/>
              <w:rPr>
                <w:sz w:val="20"/>
              </w:rPr>
            </w:pPr>
          </w:p>
          <w:p w14:paraId="202C4A74" w14:textId="77777777" w:rsidR="00DE0323" w:rsidRPr="009B263E" w:rsidRDefault="00DE0323" w:rsidP="00DE0323">
            <w:pPr>
              <w:jc w:val="right"/>
              <w:rPr>
                <w:sz w:val="20"/>
              </w:rPr>
            </w:pPr>
            <w:r w:rsidRPr="009B263E">
              <w:rPr>
                <w:sz w:val="20"/>
              </w:rPr>
              <w:t xml:space="preserve">53 105 </w:t>
            </w:r>
          </w:p>
        </w:tc>
        <w:tc>
          <w:tcPr>
            <w:tcW w:w="1125" w:type="dxa"/>
            <w:tcBorders>
              <w:top w:val="nil"/>
              <w:left w:val="single" w:sz="4" w:space="0" w:color="auto"/>
              <w:bottom w:val="nil"/>
              <w:right w:val="single" w:sz="4" w:space="0" w:color="auto"/>
            </w:tcBorders>
            <w:vAlign w:val="center"/>
          </w:tcPr>
          <w:p w14:paraId="5E310EEB" w14:textId="77777777" w:rsidR="00DE0323" w:rsidRPr="009B263E" w:rsidRDefault="00DE0323" w:rsidP="00DE0323">
            <w:pPr>
              <w:jc w:val="right"/>
              <w:rPr>
                <w:sz w:val="20"/>
              </w:rPr>
            </w:pPr>
          </w:p>
          <w:p w14:paraId="1B1631DA" w14:textId="77777777" w:rsidR="00DE0323" w:rsidRPr="009B263E" w:rsidRDefault="00DE0323" w:rsidP="00DE0323">
            <w:pPr>
              <w:jc w:val="right"/>
              <w:rPr>
                <w:sz w:val="20"/>
              </w:rPr>
            </w:pPr>
            <w:r w:rsidRPr="009B263E">
              <w:rPr>
                <w:sz w:val="20"/>
              </w:rPr>
              <w:t xml:space="preserve">54 205 </w:t>
            </w:r>
          </w:p>
        </w:tc>
        <w:tc>
          <w:tcPr>
            <w:tcW w:w="859" w:type="dxa"/>
            <w:tcBorders>
              <w:top w:val="nil"/>
              <w:left w:val="single" w:sz="4" w:space="0" w:color="auto"/>
              <w:bottom w:val="nil"/>
              <w:right w:val="single" w:sz="4" w:space="0" w:color="auto"/>
            </w:tcBorders>
            <w:vAlign w:val="center"/>
          </w:tcPr>
          <w:p w14:paraId="3D8341ED" w14:textId="77777777" w:rsidR="00DE0323" w:rsidRPr="009B263E" w:rsidRDefault="00DE0323" w:rsidP="00DE0323">
            <w:pPr>
              <w:jc w:val="right"/>
              <w:rPr>
                <w:sz w:val="20"/>
              </w:rPr>
            </w:pPr>
          </w:p>
          <w:p w14:paraId="6F84F0BE" w14:textId="77777777" w:rsidR="00DE0323" w:rsidRPr="009B263E" w:rsidRDefault="00DE0323" w:rsidP="00DE0323">
            <w:pPr>
              <w:jc w:val="right"/>
              <w:rPr>
                <w:sz w:val="20"/>
              </w:rPr>
            </w:pPr>
            <w:r w:rsidRPr="009B263E">
              <w:rPr>
                <w:sz w:val="20"/>
              </w:rPr>
              <w:t>109,76</w:t>
            </w:r>
          </w:p>
        </w:tc>
      </w:tr>
      <w:tr w:rsidR="00DE0323" w:rsidRPr="004B11AC" w14:paraId="16A6812B" w14:textId="77777777" w:rsidTr="00DB2320">
        <w:trPr>
          <w:tblHeader/>
        </w:trPr>
        <w:tc>
          <w:tcPr>
            <w:tcW w:w="3780" w:type="dxa"/>
            <w:tcBorders>
              <w:top w:val="nil"/>
              <w:left w:val="single" w:sz="4" w:space="0" w:color="auto"/>
              <w:bottom w:val="nil"/>
              <w:right w:val="single" w:sz="4" w:space="0" w:color="auto"/>
            </w:tcBorders>
          </w:tcPr>
          <w:p w14:paraId="66288254" w14:textId="77777777" w:rsidR="00DE0323" w:rsidRPr="009B263E" w:rsidRDefault="00DE0323" w:rsidP="00DE0323">
            <w:pPr>
              <w:jc w:val="both"/>
              <w:rPr>
                <w:sz w:val="20"/>
              </w:rPr>
            </w:pPr>
            <w:r w:rsidRPr="009B263E">
              <w:rPr>
                <w:sz w:val="20"/>
              </w:rPr>
              <w:t>povinné pojistné placené zaměstnavatelem</w:t>
            </w:r>
          </w:p>
        </w:tc>
        <w:tc>
          <w:tcPr>
            <w:tcW w:w="1125" w:type="dxa"/>
            <w:tcBorders>
              <w:top w:val="nil"/>
              <w:left w:val="single" w:sz="4" w:space="0" w:color="auto"/>
              <w:bottom w:val="nil"/>
              <w:right w:val="single" w:sz="4" w:space="0" w:color="auto"/>
            </w:tcBorders>
            <w:vAlign w:val="center"/>
          </w:tcPr>
          <w:p w14:paraId="3B1CC674" w14:textId="77777777" w:rsidR="00DE0323" w:rsidRPr="009B263E" w:rsidRDefault="00DE0323" w:rsidP="00DE0323">
            <w:pPr>
              <w:jc w:val="right"/>
              <w:rPr>
                <w:sz w:val="20"/>
              </w:rPr>
            </w:pPr>
            <w:r w:rsidRPr="009B263E">
              <w:rPr>
                <w:sz w:val="20"/>
              </w:rPr>
              <w:t>16 773</w:t>
            </w:r>
          </w:p>
        </w:tc>
        <w:tc>
          <w:tcPr>
            <w:tcW w:w="1125" w:type="dxa"/>
            <w:tcBorders>
              <w:top w:val="nil"/>
              <w:left w:val="single" w:sz="4" w:space="0" w:color="auto"/>
              <w:bottom w:val="nil"/>
              <w:right w:val="single" w:sz="4" w:space="0" w:color="auto"/>
            </w:tcBorders>
            <w:vAlign w:val="center"/>
          </w:tcPr>
          <w:p w14:paraId="59F6263B" w14:textId="77777777" w:rsidR="00DE0323" w:rsidRPr="009B263E" w:rsidRDefault="00DE0323" w:rsidP="00DE0323">
            <w:pPr>
              <w:jc w:val="right"/>
              <w:rPr>
                <w:sz w:val="20"/>
              </w:rPr>
            </w:pPr>
            <w:r w:rsidRPr="009B263E">
              <w:rPr>
                <w:sz w:val="20"/>
              </w:rPr>
              <w:t>18 055</w:t>
            </w:r>
          </w:p>
        </w:tc>
        <w:tc>
          <w:tcPr>
            <w:tcW w:w="1125" w:type="dxa"/>
            <w:tcBorders>
              <w:top w:val="nil"/>
              <w:left w:val="single" w:sz="4" w:space="0" w:color="auto"/>
              <w:bottom w:val="nil"/>
              <w:right w:val="single" w:sz="4" w:space="0" w:color="auto"/>
            </w:tcBorders>
            <w:vAlign w:val="center"/>
          </w:tcPr>
          <w:p w14:paraId="53259A52" w14:textId="77777777" w:rsidR="00DE0323" w:rsidRPr="009B263E" w:rsidRDefault="00DE0323" w:rsidP="00DE0323">
            <w:pPr>
              <w:jc w:val="right"/>
              <w:rPr>
                <w:sz w:val="20"/>
              </w:rPr>
            </w:pPr>
            <w:r w:rsidRPr="009B263E">
              <w:rPr>
                <w:sz w:val="20"/>
              </w:rPr>
              <w:t>18 055</w:t>
            </w:r>
          </w:p>
        </w:tc>
        <w:tc>
          <w:tcPr>
            <w:tcW w:w="1125" w:type="dxa"/>
            <w:tcBorders>
              <w:top w:val="nil"/>
              <w:left w:val="single" w:sz="4" w:space="0" w:color="auto"/>
              <w:bottom w:val="nil"/>
              <w:right w:val="single" w:sz="4" w:space="0" w:color="auto"/>
            </w:tcBorders>
            <w:vAlign w:val="center"/>
          </w:tcPr>
          <w:p w14:paraId="649E236A" w14:textId="77777777" w:rsidR="00DE0323" w:rsidRPr="009B263E" w:rsidRDefault="00DE0323" w:rsidP="00DE0323">
            <w:pPr>
              <w:jc w:val="right"/>
              <w:rPr>
                <w:sz w:val="20"/>
              </w:rPr>
            </w:pPr>
            <w:r w:rsidRPr="009B263E">
              <w:rPr>
                <w:sz w:val="20"/>
              </w:rPr>
              <w:t xml:space="preserve">18 380  </w:t>
            </w:r>
          </w:p>
        </w:tc>
        <w:tc>
          <w:tcPr>
            <w:tcW w:w="859" w:type="dxa"/>
            <w:tcBorders>
              <w:top w:val="nil"/>
              <w:left w:val="single" w:sz="4" w:space="0" w:color="auto"/>
              <w:bottom w:val="nil"/>
              <w:right w:val="single" w:sz="4" w:space="0" w:color="auto"/>
            </w:tcBorders>
            <w:vAlign w:val="center"/>
          </w:tcPr>
          <w:p w14:paraId="21C17B5E" w14:textId="77777777" w:rsidR="00DE0323" w:rsidRPr="009B263E" w:rsidRDefault="00DE0323" w:rsidP="00DE0323">
            <w:pPr>
              <w:jc w:val="right"/>
              <w:rPr>
                <w:sz w:val="20"/>
              </w:rPr>
            </w:pPr>
            <w:r w:rsidRPr="009B263E">
              <w:rPr>
                <w:sz w:val="20"/>
              </w:rPr>
              <w:t>109,58</w:t>
            </w:r>
          </w:p>
        </w:tc>
      </w:tr>
      <w:tr w:rsidR="00DE0323" w:rsidRPr="004B11AC" w14:paraId="71CC73D6" w14:textId="77777777" w:rsidTr="00DB2320">
        <w:trPr>
          <w:tblHeader/>
        </w:trPr>
        <w:tc>
          <w:tcPr>
            <w:tcW w:w="3780" w:type="dxa"/>
            <w:tcBorders>
              <w:top w:val="nil"/>
              <w:left w:val="single" w:sz="4" w:space="0" w:color="auto"/>
              <w:bottom w:val="nil"/>
              <w:right w:val="single" w:sz="4" w:space="0" w:color="auto"/>
            </w:tcBorders>
          </w:tcPr>
          <w:p w14:paraId="0CB6150F" w14:textId="77777777" w:rsidR="00DE0323" w:rsidRPr="003475CE" w:rsidRDefault="00DE0323" w:rsidP="00DE0323">
            <w:pPr>
              <w:jc w:val="both"/>
              <w:rPr>
                <w:sz w:val="20"/>
              </w:rPr>
            </w:pPr>
            <w:r w:rsidRPr="003475CE">
              <w:rPr>
                <w:sz w:val="20"/>
              </w:rPr>
              <w:t>převod FKSP</w:t>
            </w:r>
          </w:p>
        </w:tc>
        <w:tc>
          <w:tcPr>
            <w:tcW w:w="1125" w:type="dxa"/>
            <w:tcBorders>
              <w:top w:val="nil"/>
              <w:left w:val="single" w:sz="4" w:space="0" w:color="auto"/>
              <w:bottom w:val="nil"/>
              <w:right w:val="single" w:sz="4" w:space="0" w:color="auto"/>
            </w:tcBorders>
            <w:vAlign w:val="center"/>
          </w:tcPr>
          <w:p w14:paraId="40528A09" w14:textId="77777777" w:rsidR="00DE0323" w:rsidRPr="003475CE" w:rsidRDefault="00DE0323" w:rsidP="00DE0323">
            <w:pPr>
              <w:jc w:val="right"/>
              <w:rPr>
                <w:sz w:val="20"/>
              </w:rPr>
            </w:pPr>
            <w:r w:rsidRPr="003475CE">
              <w:rPr>
                <w:sz w:val="20"/>
              </w:rPr>
              <w:t>984</w:t>
            </w:r>
          </w:p>
        </w:tc>
        <w:tc>
          <w:tcPr>
            <w:tcW w:w="1125" w:type="dxa"/>
            <w:tcBorders>
              <w:top w:val="nil"/>
              <w:left w:val="single" w:sz="4" w:space="0" w:color="auto"/>
              <w:bottom w:val="nil"/>
              <w:right w:val="single" w:sz="4" w:space="0" w:color="auto"/>
            </w:tcBorders>
            <w:vAlign w:val="center"/>
          </w:tcPr>
          <w:p w14:paraId="39864DD7" w14:textId="77777777" w:rsidR="00DE0323" w:rsidRPr="003C70F6" w:rsidRDefault="00DE0323" w:rsidP="00DE0323">
            <w:pPr>
              <w:jc w:val="right"/>
              <w:rPr>
                <w:sz w:val="20"/>
              </w:rPr>
            </w:pPr>
            <w:r w:rsidRPr="003C70F6">
              <w:rPr>
                <w:sz w:val="20"/>
              </w:rPr>
              <w:t>1 060</w:t>
            </w:r>
          </w:p>
        </w:tc>
        <w:tc>
          <w:tcPr>
            <w:tcW w:w="1125" w:type="dxa"/>
            <w:tcBorders>
              <w:top w:val="nil"/>
              <w:left w:val="single" w:sz="4" w:space="0" w:color="auto"/>
              <w:bottom w:val="nil"/>
              <w:right w:val="single" w:sz="4" w:space="0" w:color="auto"/>
            </w:tcBorders>
            <w:vAlign w:val="center"/>
          </w:tcPr>
          <w:p w14:paraId="70651163" w14:textId="77777777" w:rsidR="00DE0323" w:rsidRPr="009B263E" w:rsidRDefault="00DE0323" w:rsidP="00DE0323">
            <w:pPr>
              <w:jc w:val="right"/>
              <w:rPr>
                <w:sz w:val="20"/>
              </w:rPr>
            </w:pPr>
            <w:r w:rsidRPr="009B263E">
              <w:rPr>
                <w:sz w:val="20"/>
              </w:rPr>
              <w:t>1 060</w:t>
            </w:r>
          </w:p>
        </w:tc>
        <w:tc>
          <w:tcPr>
            <w:tcW w:w="1125" w:type="dxa"/>
            <w:tcBorders>
              <w:top w:val="nil"/>
              <w:left w:val="single" w:sz="4" w:space="0" w:color="auto"/>
              <w:bottom w:val="nil"/>
              <w:right w:val="single" w:sz="4" w:space="0" w:color="auto"/>
            </w:tcBorders>
            <w:vAlign w:val="center"/>
          </w:tcPr>
          <w:p w14:paraId="7058EC76" w14:textId="77777777" w:rsidR="00DE0323" w:rsidRPr="009B263E" w:rsidRDefault="00DE0323" w:rsidP="00DE0323">
            <w:pPr>
              <w:jc w:val="right"/>
              <w:rPr>
                <w:sz w:val="20"/>
              </w:rPr>
            </w:pPr>
            <w:r w:rsidRPr="009B263E">
              <w:rPr>
                <w:sz w:val="20"/>
              </w:rPr>
              <w:t>1 083</w:t>
            </w:r>
          </w:p>
        </w:tc>
        <w:tc>
          <w:tcPr>
            <w:tcW w:w="859" w:type="dxa"/>
            <w:tcBorders>
              <w:top w:val="nil"/>
              <w:left w:val="single" w:sz="4" w:space="0" w:color="auto"/>
              <w:bottom w:val="nil"/>
              <w:right w:val="single" w:sz="4" w:space="0" w:color="auto"/>
            </w:tcBorders>
            <w:vAlign w:val="center"/>
          </w:tcPr>
          <w:p w14:paraId="1E74617B" w14:textId="77777777" w:rsidR="00DE0323" w:rsidRPr="009B263E" w:rsidRDefault="00DE0323" w:rsidP="00DE0323">
            <w:pPr>
              <w:jc w:val="right"/>
              <w:rPr>
                <w:sz w:val="20"/>
              </w:rPr>
            </w:pPr>
            <w:r w:rsidRPr="009B263E">
              <w:rPr>
                <w:sz w:val="20"/>
              </w:rPr>
              <w:t>110,06</w:t>
            </w:r>
          </w:p>
        </w:tc>
      </w:tr>
      <w:tr w:rsidR="00DE0323" w:rsidRPr="004B11AC" w14:paraId="6444976E" w14:textId="77777777" w:rsidTr="00DB2320">
        <w:trPr>
          <w:tblHeader/>
        </w:trPr>
        <w:tc>
          <w:tcPr>
            <w:tcW w:w="3780" w:type="dxa"/>
            <w:tcBorders>
              <w:top w:val="nil"/>
              <w:left w:val="single" w:sz="4" w:space="0" w:color="auto"/>
              <w:bottom w:val="nil"/>
              <w:right w:val="single" w:sz="4" w:space="0" w:color="auto"/>
            </w:tcBorders>
          </w:tcPr>
          <w:p w14:paraId="4B84D5DF" w14:textId="77777777" w:rsidR="00DE0323" w:rsidRPr="003475CE" w:rsidRDefault="00DE0323" w:rsidP="00DE0323">
            <w:pPr>
              <w:jc w:val="both"/>
              <w:rPr>
                <w:sz w:val="20"/>
              </w:rPr>
            </w:pPr>
            <w:r w:rsidRPr="003475CE">
              <w:rPr>
                <w:sz w:val="20"/>
              </w:rPr>
              <w:t>ostatní neinvestiční výdaje</w:t>
            </w:r>
          </w:p>
        </w:tc>
        <w:tc>
          <w:tcPr>
            <w:tcW w:w="1125" w:type="dxa"/>
            <w:tcBorders>
              <w:top w:val="nil"/>
              <w:left w:val="single" w:sz="4" w:space="0" w:color="auto"/>
              <w:bottom w:val="nil"/>
              <w:right w:val="single" w:sz="4" w:space="0" w:color="auto"/>
            </w:tcBorders>
            <w:vAlign w:val="center"/>
          </w:tcPr>
          <w:p w14:paraId="420DB30A" w14:textId="77777777" w:rsidR="00DE0323" w:rsidRPr="003475CE" w:rsidRDefault="00DE0323" w:rsidP="00DE0323">
            <w:pPr>
              <w:jc w:val="right"/>
              <w:rPr>
                <w:sz w:val="20"/>
              </w:rPr>
            </w:pPr>
            <w:r w:rsidRPr="003475CE">
              <w:rPr>
                <w:sz w:val="20"/>
              </w:rPr>
              <w:t>26 000</w:t>
            </w:r>
          </w:p>
        </w:tc>
        <w:tc>
          <w:tcPr>
            <w:tcW w:w="1125" w:type="dxa"/>
            <w:tcBorders>
              <w:top w:val="nil"/>
              <w:left w:val="single" w:sz="4" w:space="0" w:color="auto"/>
              <w:bottom w:val="nil"/>
              <w:right w:val="single" w:sz="4" w:space="0" w:color="auto"/>
            </w:tcBorders>
            <w:vAlign w:val="center"/>
          </w:tcPr>
          <w:p w14:paraId="229A571C" w14:textId="77777777" w:rsidR="00DE0323" w:rsidRPr="003C70F6" w:rsidRDefault="00DE0323" w:rsidP="00DE0323">
            <w:pPr>
              <w:jc w:val="right"/>
              <w:rPr>
                <w:sz w:val="20"/>
              </w:rPr>
            </w:pPr>
            <w:r w:rsidRPr="003C70F6">
              <w:rPr>
                <w:sz w:val="20"/>
              </w:rPr>
              <w:t>26 636</w:t>
            </w:r>
          </w:p>
        </w:tc>
        <w:tc>
          <w:tcPr>
            <w:tcW w:w="1125" w:type="dxa"/>
            <w:tcBorders>
              <w:top w:val="nil"/>
              <w:left w:val="single" w:sz="4" w:space="0" w:color="auto"/>
              <w:bottom w:val="nil"/>
              <w:right w:val="single" w:sz="4" w:space="0" w:color="auto"/>
            </w:tcBorders>
            <w:vAlign w:val="center"/>
          </w:tcPr>
          <w:p w14:paraId="160C83CC" w14:textId="77777777" w:rsidR="00DE0323" w:rsidRPr="009B263E" w:rsidRDefault="00DE0323" w:rsidP="00DE0323">
            <w:pPr>
              <w:jc w:val="right"/>
              <w:rPr>
                <w:sz w:val="20"/>
              </w:rPr>
            </w:pPr>
            <w:r w:rsidRPr="009B263E">
              <w:rPr>
                <w:sz w:val="20"/>
              </w:rPr>
              <w:t>29 596</w:t>
            </w:r>
          </w:p>
        </w:tc>
        <w:tc>
          <w:tcPr>
            <w:tcW w:w="1125" w:type="dxa"/>
            <w:tcBorders>
              <w:top w:val="nil"/>
              <w:left w:val="single" w:sz="4" w:space="0" w:color="auto"/>
              <w:bottom w:val="nil"/>
              <w:right w:val="single" w:sz="4" w:space="0" w:color="auto"/>
            </w:tcBorders>
            <w:vAlign w:val="center"/>
          </w:tcPr>
          <w:p w14:paraId="7928EC8B" w14:textId="77777777" w:rsidR="00DE0323" w:rsidRPr="009B263E" w:rsidRDefault="00DE0323" w:rsidP="00DE0323">
            <w:pPr>
              <w:jc w:val="right"/>
              <w:rPr>
                <w:sz w:val="20"/>
              </w:rPr>
            </w:pPr>
            <w:r w:rsidRPr="009B263E">
              <w:rPr>
                <w:sz w:val="20"/>
              </w:rPr>
              <w:t>28 333</w:t>
            </w:r>
          </w:p>
        </w:tc>
        <w:tc>
          <w:tcPr>
            <w:tcW w:w="859" w:type="dxa"/>
            <w:tcBorders>
              <w:top w:val="nil"/>
              <w:left w:val="single" w:sz="4" w:space="0" w:color="auto"/>
              <w:bottom w:val="nil"/>
              <w:right w:val="single" w:sz="4" w:space="0" w:color="auto"/>
            </w:tcBorders>
            <w:vAlign w:val="center"/>
          </w:tcPr>
          <w:p w14:paraId="32077C9E" w14:textId="77777777" w:rsidR="00DE0323" w:rsidRPr="009B263E" w:rsidRDefault="00DE0323" w:rsidP="00DE0323">
            <w:pPr>
              <w:jc w:val="right"/>
              <w:rPr>
                <w:sz w:val="20"/>
              </w:rPr>
            </w:pPr>
            <w:r w:rsidRPr="009B263E">
              <w:rPr>
                <w:sz w:val="20"/>
              </w:rPr>
              <w:t>10</w:t>
            </w:r>
            <w:r>
              <w:rPr>
                <w:sz w:val="20"/>
              </w:rPr>
              <w:t>8</w:t>
            </w:r>
            <w:r w:rsidRPr="009B263E">
              <w:rPr>
                <w:sz w:val="20"/>
              </w:rPr>
              <w:t>,</w:t>
            </w:r>
            <w:r>
              <w:rPr>
                <w:sz w:val="20"/>
              </w:rPr>
              <w:t>97</w:t>
            </w:r>
          </w:p>
        </w:tc>
      </w:tr>
      <w:tr w:rsidR="00DE0323" w:rsidRPr="004B11AC" w14:paraId="0BEDE82F" w14:textId="77777777" w:rsidTr="00DB2320">
        <w:trPr>
          <w:tblHeader/>
        </w:trPr>
        <w:tc>
          <w:tcPr>
            <w:tcW w:w="3780" w:type="dxa"/>
            <w:tcBorders>
              <w:top w:val="nil"/>
              <w:left w:val="single" w:sz="4" w:space="0" w:color="auto"/>
              <w:bottom w:val="single" w:sz="4" w:space="0" w:color="auto"/>
              <w:right w:val="single" w:sz="4" w:space="0" w:color="auto"/>
            </w:tcBorders>
          </w:tcPr>
          <w:p w14:paraId="36725597" w14:textId="77777777" w:rsidR="00DE0323" w:rsidRPr="003475CE" w:rsidRDefault="00E2031D" w:rsidP="00DE0323">
            <w:pPr>
              <w:jc w:val="both"/>
              <w:rPr>
                <w:sz w:val="20"/>
              </w:rPr>
            </w:pPr>
            <w:r>
              <w:rPr>
                <w:sz w:val="20"/>
              </w:rPr>
              <w:t>z toho:</w:t>
            </w:r>
            <w:r w:rsidR="00DE0323" w:rsidRPr="003475CE">
              <w:rPr>
                <w:sz w:val="20"/>
              </w:rPr>
              <w:t xml:space="preserve"> </w:t>
            </w:r>
            <w:r w:rsidR="00DE0323" w:rsidRPr="003475CE">
              <w:rPr>
                <w:i/>
                <w:sz w:val="20"/>
              </w:rPr>
              <w:t>programové financování</w:t>
            </w:r>
          </w:p>
        </w:tc>
        <w:tc>
          <w:tcPr>
            <w:tcW w:w="1125" w:type="dxa"/>
            <w:tcBorders>
              <w:top w:val="nil"/>
              <w:left w:val="single" w:sz="4" w:space="0" w:color="auto"/>
              <w:bottom w:val="single" w:sz="4" w:space="0" w:color="auto"/>
              <w:right w:val="single" w:sz="4" w:space="0" w:color="auto"/>
            </w:tcBorders>
            <w:vAlign w:val="center"/>
          </w:tcPr>
          <w:p w14:paraId="5B4A5AA5" w14:textId="77777777" w:rsidR="00DE0323" w:rsidRPr="003475CE" w:rsidRDefault="00DE0323" w:rsidP="00DE0323">
            <w:pPr>
              <w:jc w:val="right"/>
              <w:rPr>
                <w:i/>
                <w:sz w:val="20"/>
              </w:rPr>
            </w:pPr>
            <w:r w:rsidRPr="003475CE">
              <w:rPr>
                <w:i/>
                <w:sz w:val="20"/>
              </w:rPr>
              <w:t>0</w:t>
            </w:r>
          </w:p>
        </w:tc>
        <w:tc>
          <w:tcPr>
            <w:tcW w:w="1125" w:type="dxa"/>
            <w:tcBorders>
              <w:top w:val="nil"/>
              <w:left w:val="single" w:sz="4" w:space="0" w:color="auto"/>
              <w:bottom w:val="single" w:sz="4" w:space="0" w:color="auto"/>
              <w:right w:val="single" w:sz="4" w:space="0" w:color="auto"/>
            </w:tcBorders>
            <w:vAlign w:val="center"/>
          </w:tcPr>
          <w:p w14:paraId="4E844F25" w14:textId="77777777" w:rsidR="00DE0323" w:rsidRPr="003C70F6" w:rsidRDefault="00DE0323" w:rsidP="00DE0323">
            <w:pPr>
              <w:jc w:val="right"/>
              <w:rPr>
                <w:i/>
                <w:sz w:val="20"/>
              </w:rPr>
            </w:pPr>
            <w:r w:rsidRPr="003C70F6">
              <w:rPr>
                <w:i/>
                <w:sz w:val="20"/>
              </w:rPr>
              <w:t>0</w:t>
            </w:r>
          </w:p>
        </w:tc>
        <w:tc>
          <w:tcPr>
            <w:tcW w:w="1125" w:type="dxa"/>
            <w:tcBorders>
              <w:top w:val="nil"/>
              <w:left w:val="single" w:sz="4" w:space="0" w:color="auto"/>
              <w:bottom w:val="single" w:sz="4" w:space="0" w:color="auto"/>
              <w:right w:val="single" w:sz="4" w:space="0" w:color="auto"/>
            </w:tcBorders>
            <w:vAlign w:val="center"/>
          </w:tcPr>
          <w:p w14:paraId="44DD2B2A" w14:textId="77777777" w:rsidR="00DE0323" w:rsidRPr="009B263E" w:rsidRDefault="00DE0323" w:rsidP="00DE0323">
            <w:pPr>
              <w:jc w:val="right"/>
              <w:rPr>
                <w:i/>
                <w:sz w:val="20"/>
              </w:rPr>
            </w:pPr>
            <w:r w:rsidRPr="009B263E">
              <w:rPr>
                <w:i/>
                <w:sz w:val="20"/>
              </w:rPr>
              <w:t>0</w:t>
            </w:r>
          </w:p>
        </w:tc>
        <w:tc>
          <w:tcPr>
            <w:tcW w:w="1125" w:type="dxa"/>
            <w:tcBorders>
              <w:top w:val="nil"/>
              <w:left w:val="single" w:sz="4" w:space="0" w:color="auto"/>
              <w:bottom w:val="single" w:sz="4" w:space="0" w:color="auto"/>
              <w:right w:val="single" w:sz="4" w:space="0" w:color="auto"/>
            </w:tcBorders>
            <w:vAlign w:val="center"/>
          </w:tcPr>
          <w:p w14:paraId="73CDB33C" w14:textId="77777777" w:rsidR="00DE0323" w:rsidRPr="009B263E" w:rsidRDefault="00DE0323" w:rsidP="00DE0323">
            <w:pPr>
              <w:jc w:val="right"/>
              <w:rPr>
                <w:i/>
                <w:sz w:val="20"/>
              </w:rPr>
            </w:pPr>
            <w:r w:rsidRPr="009B263E">
              <w:rPr>
                <w:i/>
                <w:sz w:val="20"/>
              </w:rPr>
              <w:t>0</w:t>
            </w:r>
          </w:p>
        </w:tc>
        <w:tc>
          <w:tcPr>
            <w:tcW w:w="859" w:type="dxa"/>
            <w:tcBorders>
              <w:top w:val="nil"/>
              <w:left w:val="single" w:sz="4" w:space="0" w:color="auto"/>
              <w:bottom w:val="single" w:sz="4" w:space="0" w:color="auto"/>
              <w:right w:val="single" w:sz="4" w:space="0" w:color="auto"/>
            </w:tcBorders>
            <w:vAlign w:val="center"/>
          </w:tcPr>
          <w:p w14:paraId="356201DA" w14:textId="77777777" w:rsidR="00DE0323" w:rsidRPr="009B263E" w:rsidRDefault="00DE0323" w:rsidP="00DE0323">
            <w:pPr>
              <w:jc w:val="right"/>
              <w:rPr>
                <w:i/>
                <w:sz w:val="20"/>
              </w:rPr>
            </w:pPr>
            <w:r w:rsidRPr="009B263E">
              <w:rPr>
                <w:i/>
                <w:sz w:val="20"/>
              </w:rPr>
              <w:t>x</w:t>
            </w:r>
          </w:p>
        </w:tc>
      </w:tr>
    </w:tbl>
    <w:p w14:paraId="40F0FA56" w14:textId="77777777" w:rsidR="00DE0323" w:rsidRPr="00AE68E6" w:rsidRDefault="00DE0323" w:rsidP="00DE0323">
      <w:pPr>
        <w:pStyle w:val="KOMtext"/>
        <w:spacing w:before="240"/>
      </w:pPr>
      <w:r w:rsidRPr="00AE68E6">
        <w:t xml:space="preserve">Schválený rozpočet běžných výdajů ve výši 98 856 tis. Kč byl v průběhu roku 2019 posílen </w:t>
      </w:r>
      <w:r w:rsidRPr="00AE68E6">
        <w:br/>
        <w:t xml:space="preserve">o 2 960 tis. Kč. Došlo k navýšení rozpočtu o 1 900 tis. Kč (finanční prostředky byly určené zejména na vybavení pracoviště Olomouc regály do archívu, na obnovu kancelářského nábytku na pracovišti Plzeň, na provozování ICT – navýšení provozu spisové služby, nápravná opatření ve vztahu k Národnímu rejstříku licencí strojvedoucích) a přesun částky 1 060 tis. Kč z programového financování EDS/SMVS do běžných výdajů (z důvodu pořízení výpočetní techniky, u které jednotlivé položky nepřesahovaly částku 40 tis. Kč vč. DPH, a jednalo se </w:t>
      </w:r>
      <w:r w:rsidRPr="00AE68E6">
        <w:br/>
        <w:t xml:space="preserve">o pořízení drobného dlouhodobého hmotného majetku). </w:t>
      </w:r>
    </w:p>
    <w:p w14:paraId="1F315381" w14:textId="2AAE527C" w:rsidR="00835A0C" w:rsidRPr="00057AA5" w:rsidRDefault="00DE0323" w:rsidP="00835A0C">
      <w:pPr>
        <w:pStyle w:val="KOMtext"/>
      </w:pPr>
      <w:r w:rsidRPr="00AE68E6">
        <w:lastRenderedPageBreak/>
        <w:t xml:space="preserve">Běžné výdaje byly čerpány ve výši 102 001 tis. Kč, tj. plnění upraveného rozpočtu ve výši </w:t>
      </w:r>
      <w:r w:rsidRPr="00AE68E6">
        <w:br/>
        <w:t>100,18 %, nároky z nespotřebovaných výdajů minulých let byly čerpané ve výši 3 459</w:t>
      </w:r>
      <w:r>
        <w:t xml:space="preserve"> tis. Kč (prostředky byly použité zejména na nájemné ve výši 1 517 tis. Kč, na platy a ostatní platby za provedenou práci a s tím související povinné platby ve výši 1 573 tis. Kč).</w:t>
      </w:r>
      <w:r w:rsidRPr="00AE68E6">
        <w:rPr>
          <w:color w:val="FF0000"/>
        </w:rPr>
        <w:t xml:space="preserve"> </w:t>
      </w:r>
      <w:r w:rsidR="00835A0C" w:rsidRPr="00057AA5">
        <w:rPr>
          <w:rStyle w:val="ZnormalChar"/>
        </w:rPr>
        <w:t>Prostředky na běžné výdaje byly čerpány v průběhu roku poměrně rovnoměrně, přičemž nejvyšší čerpání se uskutečnilo ve 4. čtvrtletí</w:t>
      </w:r>
      <w:r w:rsidR="00835A0C">
        <w:rPr>
          <w:rStyle w:val="ZnormalChar"/>
        </w:rPr>
        <w:t>.</w:t>
      </w:r>
    </w:p>
    <w:p w14:paraId="32465E67" w14:textId="77777777" w:rsidR="00DE0323" w:rsidRPr="009955E7" w:rsidRDefault="00DE0323" w:rsidP="00DE0323">
      <w:pPr>
        <w:pStyle w:val="KOMtext"/>
      </w:pPr>
      <w:r w:rsidRPr="009955E7">
        <w:t xml:space="preserve">Čerpání prostředků běžných výdajů tvořily zejména výdaje na platy zaměstnanců a ostatní platby za provedenou práci a s tím související povinné platby (pojistné a převod FKSP), které se podílí na celkovém objemu čerpání běžných výdajů 72,22 % (tj. ve výši 73 668 tis. Kč). </w:t>
      </w:r>
      <w:r w:rsidRPr="009955E7">
        <w:br/>
        <w:t>Z ostatních neinvestičních výdajů tvoří nejvyšší položku nájemné, nákup drobného hmotného dlouhodobého majetku, právní služby ve věci zastoupení právníka v souvislosti se soudním řízením a nákup ostatních služeb.</w:t>
      </w:r>
    </w:p>
    <w:p w14:paraId="50A07374" w14:textId="77777777" w:rsidR="00FA7E1E" w:rsidRPr="00007AD4" w:rsidRDefault="00FA7E1E" w:rsidP="003F3157">
      <w:pPr>
        <w:pStyle w:val="Nadpis6"/>
      </w:pPr>
      <w:r w:rsidRPr="00007AD4">
        <w:t>Drážní inspekce</w:t>
      </w:r>
    </w:p>
    <w:p w14:paraId="367A0168" w14:textId="77777777" w:rsidR="00007AD4" w:rsidRDefault="00345C67" w:rsidP="00007AD4">
      <w:pPr>
        <w:pStyle w:val="KOMtext"/>
      </w:pPr>
      <w:r w:rsidRPr="004B11AC">
        <w:t xml:space="preserve">Organizační složka státu Drážní inspekce vznikla jako správní úřad k 1. 1. 2003 podle zákona </w:t>
      </w:r>
      <w:r w:rsidR="00007AD4">
        <w:br/>
      </w:r>
      <w:r w:rsidRPr="004B11AC">
        <w:t xml:space="preserve">č. 77/2002 Sb., o akciové společnosti České dráhy, státní organizaci Správa železniční dopravní cesty a o změně zákona č. 266/1994 Sb., o dráhách, ve znění pozdějších předpisů, a zákona </w:t>
      </w:r>
      <w:r w:rsidR="00007AD4">
        <w:br/>
      </w:r>
      <w:r w:rsidRPr="004B11AC">
        <w:t xml:space="preserve">č. 77/1997 Sb., o státním podniku, ve znění pozdějších předpisů. </w:t>
      </w:r>
    </w:p>
    <w:p w14:paraId="0194CB93" w14:textId="77777777" w:rsidR="00345C67" w:rsidRPr="004B11AC" w:rsidRDefault="00345C67" w:rsidP="00007AD4">
      <w:pPr>
        <w:pStyle w:val="KOMtext"/>
      </w:pPr>
      <w:r w:rsidRPr="004B11AC">
        <w:t>Hlavní činností organizace je zjišťování příčin a okolností vzniku mimořádných událostí v drážní dopravě, a to na drahách železničních, tramvajo</w:t>
      </w:r>
      <w:r w:rsidR="00ED21FD" w:rsidRPr="004B11AC">
        <w:t xml:space="preserve">vých, trolejbusových, lanových </w:t>
      </w:r>
      <w:r w:rsidRPr="004B11AC">
        <w:t xml:space="preserve">a speciálních (metro) s cílem zabránit jejich opakování. </w:t>
      </w:r>
    </w:p>
    <w:p w14:paraId="4452833F" w14:textId="77777777" w:rsidR="00F962B6" w:rsidRPr="00007AD4" w:rsidRDefault="00F8657F" w:rsidP="00DB2320">
      <w:pPr>
        <w:keepNext/>
        <w:ind w:left="357" w:right="1"/>
        <w:jc w:val="right"/>
      </w:pPr>
      <w:r w:rsidRPr="00007AD4">
        <w:t>v</w:t>
      </w:r>
      <w:r w:rsidR="00F962B6" w:rsidRPr="00007AD4">
        <w:t> tis. Kč</w:t>
      </w: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1"/>
        <w:gridCol w:w="1294"/>
        <w:gridCol w:w="1125"/>
        <w:gridCol w:w="1125"/>
        <w:gridCol w:w="1125"/>
        <w:gridCol w:w="859"/>
      </w:tblGrid>
      <w:tr w:rsidR="00262718" w:rsidRPr="000D77C8" w14:paraId="5828F3D9" w14:textId="77777777" w:rsidTr="00DB2320">
        <w:trPr>
          <w:tblHeader/>
        </w:trPr>
        <w:tc>
          <w:tcPr>
            <w:tcW w:w="3611" w:type="dxa"/>
          </w:tcPr>
          <w:p w14:paraId="2C81CE3F" w14:textId="77777777" w:rsidR="00262718" w:rsidRPr="00A97563" w:rsidRDefault="00262718" w:rsidP="009308DF">
            <w:pPr>
              <w:jc w:val="center"/>
              <w:rPr>
                <w:sz w:val="22"/>
              </w:rPr>
            </w:pPr>
          </w:p>
          <w:p w14:paraId="0AD21B56" w14:textId="77777777" w:rsidR="00262718" w:rsidRPr="00A97563" w:rsidRDefault="00262718" w:rsidP="009308DF">
            <w:pPr>
              <w:jc w:val="center"/>
              <w:rPr>
                <w:sz w:val="22"/>
              </w:rPr>
            </w:pPr>
            <w:r w:rsidRPr="00A97563">
              <w:rPr>
                <w:sz w:val="22"/>
              </w:rPr>
              <w:t>Ukazatel</w:t>
            </w:r>
          </w:p>
        </w:tc>
        <w:tc>
          <w:tcPr>
            <w:tcW w:w="1294" w:type="dxa"/>
            <w:vAlign w:val="center"/>
          </w:tcPr>
          <w:p w14:paraId="396F5A8E" w14:textId="77777777" w:rsidR="00262718" w:rsidRPr="00A97563" w:rsidRDefault="00262718" w:rsidP="009308DF">
            <w:pPr>
              <w:jc w:val="center"/>
              <w:rPr>
                <w:sz w:val="22"/>
              </w:rPr>
            </w:pPr>
            <w:r w:rsidRPr="00A97563">
              <w:rPr>
                <w:sz w:val="22"/>
              </w:rPr>
              <w:t>Skutečnost</w:t>
            </w:r>
          </w:p>
          <w:p w14:paraId="7FF1C8C8" w14:textId="77777777" w:rsidR="00262718" w:rsidRPr="00A97563" w:rsidRDefault="00262718" w:rsidP="009308DF">
            <w:pPr>
              <w:jc w:val="center"/>
              <w:rPr>
                <w:sz w:val="22"/>
              </w:rPr>
            </w:pPr>
            <w:r w:rsidRPr="00A97563">
              <w:rPr>
                <w:sz w:val="22"/>
              </w:rPr>
              <w:t>2018</w:t>
            </w:r>
          </w:p>
        </w:tc>
        <w:tc>
          <w:tcPr>
            <w:tcW w:w="1125" w:type="dxa"/>
            <w:vAlign w:val="center"/>
          </w:tcPr>
          <w:p w14:paraId="79B0A0A1" w14:textId="77777777" w:rsidR="00262718" w:rsidRPr="00A97563" w:rsidRDefault="00262718" w:rsidP="009308DF">
            <w:pPr>
              <w:jc w:val="center"/>
              <w:rPr>
                <w:sz w:val="22"/>
              </w:rPr>
            </w:pPr>
            <w:r w:rsidRPr="00A97563">
              <w:rPr>
                <w:sz w:val="22"/>
              </w:rPr>
              <w:t>Schválený</w:t>
            </w:r>
          </w:p>
          <w:p w14:paraId="080F49FC" w14:textId="77777777" w:rsidR="00262718" w:rsidRPr="00A97563" w:rsidRDefault="00262718" w:rsidP="009308DF">
            <w:pPr>
              <w:jc w:val="center"/>
              <w:rPr>
                <w:sz w:val="22"/>
              </w:rPr>
            </w:pPr>
            <w:r w:rsidRPr="00A97563">
              <w:rPr>
                <w:sz w:val="22"/>
              </w:rPr>
              <w:t>rozpočet</w:t>
            </w:r>
          </w:p>
          <w:p w14:paraId="4D960803" w14:textId="77777777" w:rsidR="00262718" w:rsidRPr="00A97563" w:rsidRDefault="00262718" w:rsidP="009308DF">
            <w:pPr>
              <w:jc w:val="center"/>
              <w:rPr>
                <w:sz w:val="22"/>
              </w:rPr>
            </w:pPr>
            <w:r w:rsidRPr="00A97563">
              <w:rPr>
                <w:sz w:val="22"/>
              </w:rPr>
              <w:t>2019</w:t>
            </w:r>
          </w:p>
        </w:tc>
        <w:tc>
          <w:tcPr>
            <w:tcW w:w="1125" w:type="dxa"/>
            <w:vAlign w:val="center"/>
          </w:tcPr>
          <w:p w14:paraId="0FBE2F2A" w14:textId="77777777" w:rsidR="00262718" w:rsidRPr="00A97563" w:rsidRDefault="00262718" w:rsidP="009308DF">
            <w:pPr>
              <w:jc w:val="center"/>
              <w:rPr>
                <w:sz w:val="22"/>
              </w:rPr>
            </w:pPr>
            <w:r w:rsidRPr="00A97563">
              <w:rPr>
                <w:sz w:val="22"/>
              </w:rPr>
              <w:t>Upravený</w:t>
            </w:r>
          </w:p>
          <w:p w14:paraId="0E240A18" w14:textId="77777777" w:rsidR="00262718" w:rsidRPr="00A97563" w:rsidRDefault="00262718" w:rsidP="009308DF">
            <w:pPr>
              <w:jc w:val="center"/>
              <w:rPr>
                <w:sz w:val="22"/>
              </w:rPr>
            </w:pPr>
            <w:r w:rsidRPr="00A97563">
              <w:rPr>
                <w:sz w:val="22"/>
              </w:rPr>
              <w:t>rozpočet</w:t>
            </w:r>
          </w:p>
          <w:p w14:paraId="17A3F82A" w14:textId="77777777" w:rsidR="00262718" w:rsidRPr="00A97563" w:rsidRDefault="00262718" w:rsidP="009308DF">
            <w:pPr>
              <w:jc w:val="center"/>
              <w:rPr>
                <w:sz w:val="22"/>
              </w:rPr>
            </w:pPr>
            <w:r w:rsidRPr="00A97563">
              <w:rPr>
                <w:sz w:val="22"/>
              </w:rPr>
              <w:t>2019</w:t>
            </w:r>
          </w:p>
        </w:tc>
        <w:tc>
          <w:tcPr>
            <w:tcW w:w="1125" w:type="dxa"/>
            <w:vAlign w:val="center"/>
          </w:tcPr>
          <w:p w14:paraId="087414A4" w14:textId="77777777" w:rsidR="00262718" w:rsidRPr="00A97563" w:rsidRDefault="00262718" w:rsidP="009308DF">
            <w:pPr>
              <w:jc w:val="center"/>
              <w:rPr>
                <w:sz w:val="22"/>
              </w:rPr>
            </w:pPr>
            <w:r w:rsidRPr="00A97563">
              <w:rPr>
                <w:sz w:val="22"/>
              </w:rPr>
              <w:t>Skutečnost</w:t>
            </w:r>
          </w:p>
          <w:p w14:paraId="68487F96" w14:textId="77777777" w:rsidR="00262718" w:rsidRPr="00A97563" w:rsidRDefault="00262718" w:rsidP="009308DF">
            <w:pPr>
              <w:jc w:val="center"/>
              <w:rPr>
                <w:sz w:val="22"/>
              </w:rPr>
            </w:pPr>
            <w:r w:rsidRPr="00A97563">
              <w:rPr>
                <w:sz w:val="22"/>
              </w:rPr>
              <w:t>2019</w:t>
            </w:r>
          </w:p>
        </w:tc>
        <w:tc>
          <w:tcPr>
            <w:tcW w:w="859" w:type="dxa"/>
            <w:vAlign w:val="center"/>
          </w:tcPr>
          <w:p w14:paraId="40539D8C" w14:textId="77777777" w:rsidR="00262718" w:rsidRPr="00A97563" w:rsidRDefault="00262718" w:rsidP="009308DF">
            <w:pPr>
              <w:jc w:val="center"/>
              <w:rPr>
                <w:sz w:val="22"/>
              </w:rPr>
            </w:pPr>
            <w:r w:rsidRPr="00A97563">
              <w:rPr>
                <w:sz w:val="22"/>
              </w:rPr>
              <w:t>Index</w:t>
            </w:r>
          </w:p>
          <w:p w14:paraId="62CFC798" w14:textId="77777777" w:rsidR="00262718" w:rsidRPr="00A97563" w:rsidRDefault="00262718" w:rsidP="009308DF">
            <w:pPr>
              <w:jc w:val="center"/>
              <w:rPr>
                <w:sz w:val="22"/>
              </w:rPr>
            </w:pPr>
            <w:r w:rsidRPr="00A97563">
              <w:rPr>
                <w:sz w:val="22"/>
              </w:rPr>
              <w:t>19/18         (v %)</w:t>
            </w:r>
          </w:p>
        </w:tc>
      </w:tr>
      <w:tr w:rsidR="00262718" w:rsidRPr="000D77C8" w14:paraId="23026BA4" w14:textId="77777777" w:rsidTr="00DB2320">
        <w:trPr>
          <w:tblHeader/>
        </w:trPr>
        <w:tc>
          <w:tcPr>
            <w:tcW w:w="3611" w:type="dxa"/>
            <w:tcBorders>
              <w:bottom w:val="single" w:sz="4" w:space="0" w:color="auto"/>
            </w:tcBorders>
          </w:tcPr>
          <w:p w14:paraId="361FBFAC" w14:textId="77777777" w:rsidR="00262718" w:rsidRPr="00A97563" w:rsidRDefault="00262718" w:rsidP="009308DF">
            <w:pPr>
              <w:jc w:val="center"/>
              <w:rPr>
                <w:sz w:val="22"/>
              </w:rPr>
            </w:pPr>
            <w:r w:rsidRPr="00A97563">
              <w:rPr>
                <w:sz w:val="22"/>
              </w:rPr>
              <w:t>a</w:t>
            </w:r>
          </w:p>
        </w:tc>
        <w:tc>
          <w:tcPr>
            <w:tcW w:w="1294" w:type="dxa"/>
            <w:tcBorders>
              <w:bottom w:val="single" w:sz="4" w:space="0" w:color="auto"/>
            </w:tcBorders>
          </w:tcPr>
          <w:p w14:paraId="7B08FC47" w14:textId="77777777" w:rsidR="00262718" w:rsidRPr="00A97563" w:rsidRDefault="00262718" w:rsidP="009308DF">
            <w:pPr>
              <w:jc w:val="center"/>
              <w:rPr>
                <w:sz w:val="22"/>
              </w:rPr>
            </w:pPr>
            <w:r w:rsidRPr="00A97563">
              <w:rPr>
                <w:sz w:val="22"/>
              </w:rPr>
              <w:t>1</w:t>
            </w:r>
          </w:p>
        </w:tc>
        <w:tc>
          <w:tcPr>
            <w:tcW w:w="1125" w:type="dxa"/>
            <w:tcBorders>
              <w:bottom w:val="single" w:sz="4" w:space="0" w:color="auto"/>
            </w:tcBorders>
          </w:tcPr>
          <w:p w14:paraId="22C324FC" w14:textId="77777777" w:rsidR="00262718" w:rsidRPr="00A97563" w:rsidRDefault="00262718" w:rsidP="009308DF">
            <w:pPr>
              <w:jc w:val="center"/>
              <w:rPr>
                <w:sz w:val="22"/>
              </w:rPr>
            </w:pPr>
            <w:r w:rsidRPr="00A97563">
              <w:rPr>
                <w:sz w:val="22"/>
              </w:rPr>
              <w:t>2</w:t>
            </w:r>
          </w:p>
        </w:tc>
        <w:tc>
          <w:tcPr>
            <w:tcW w:w="1125" w:type="dxa"/>
            <w:tcBorders>
              <w:bottom w:val="single" w:sz="4" w:space="0" w:color="auto"/>
            </w:tcBorders>
          </w:tcPr>
          <w:p w14:paraId="336E8E52" w14:textId="77777777" w:rsidR="00262718" w:rsidRPr="00A97563" w:rsidRDefault="00262718" w:rsidP="009308DF">
            <w:pPr>
              <w:jc w:val="center"/>
              <w:rPr>
                <w:sz w:val="22"/>
              </w:rPr>
            </w:pPr>
            <w:r w:rsidRPr="00A97563">
              <w:rPr>
                <w:sz w:val="22"/>
              </w:rPr>
              <w:t>3</w:t>
            </w:r>
          </w:p>
        </w:tc>
        <w:tc>
          <w:tcPr>
            <w:tcW w:w="1125" w:type="dxa"/>
            <w:tcBorders>
              <w:bottom w:val="single" w:sz="4" w:space="0" w:color="auto"/>
            </w:tcBorders>
          </w:tcPr>
          <w:p w14:paraId="3356B12A" w14:textId="77777777" w:rsidR="00262718" w:rsidRPr="00A97563" w:rsidRDefault="00262718" w:rsidP="009308DF">
            <w:pPr>
              <w:jc w:val="center"/>
              <w:rPr>
                <w:sz w:val="22"/>
              </w:rPr>
            </w:pPr>
            <w:r w:rsidRPr="00A97563">
              <w:rPr>
                <w:sz w:val="22"/>
              </w:rPr>
              <w:t>4</w:t>
            </w:r>
          </w:p>
        </w:tc>
        <w:tc>
          <w:tcPr>
            <w:tcW w:w="859" w:type="dxa"/>
            <w:tcBorders>
              <w:bottom w:val="single" w:sz="4" w:space="0" w:color="auto"/>
            </w:tcBorders>
          </w:tcPr>
          <w:p w14:paraId="1FD755C7" w14:textId="77777777" w:rsidR="00262718" w:rsidRPr="00A97563" w:rsidRDefault="00262718" w:rsidP="009308DF">
            <w:pPr>
              <w:jc w:val="center"/>
              <w:rPr>
                <w:sz w:val="22"/>
              </w:rPr>
            </w:pPr>
            <w:r w:rsidRPr="00A97563">
              <w:rPr>
                <w:sz w:val="22"/>
              </w:rPr>
              <w:t>5</w:t>
            </w:r>
          </w:p>
        </w:tc>
      </w:tr>
      <w:tr w:rsidR="00262718" w:rsidRPr="000D77C8" w14:paraId="3E56F72E" w14:textId="77777777" w:rsidTr="00DB2320">
        <w:trPr>
          <w:trHeight w:val="388"/>
          <w:tblHeader/>
        </w:trPr>
        <w:tc>
          <w:tcPr>
            <w:tcW w:w="3611" w:type="dxa"/>
            <w:tcBorders>
              <w:top w:val="single" w:sz="4" w:space="0" w:color="auto"/>
              <w:left w:val="single" w:sz="4" w:space="0" w:color="auto"/>
              <w:bottom w:val="nil"/>
              <w:right w:val="single" w:sz="4" w:space="0" w:color="auto"/>
            </w:tcBorders>
          </w:tcPr>
          <w:p w14:paraId="2EE83CD5" w14:textId="77777777" w:rsidR="00262718" w:rsidRPr="00A97563" w:rsidRDefault="00262718" w:rsidP="009308DF">
            <w:pPr>
              <w:pStyle w:val="Zkladntext"/>
              <w:rPr>
                <w:b/>
                <w:bCs/>
                <w:sz w:val="20"/>
              </w:rPr>
            </w:pPr>
            <w:r w:rsidRPr="00A97563">
              <w:rPr>
                <w:b/>
                <w:bCs/>
                <w:sz w:val="20"/>
              </w:rPr>
              <w:t xml:space="preserve">Běžné výdaje </w:t>
            </w:r>
          </w:p>
          <w:p w14:paraId="1E729172" w14:textId="77777777" w:rsidR="00262718" w:rsidRPr="00A97563" w:rsidRDefault="00262718" w:rsidP="009308DF">
            <w:pPr>
              <w:jc w:val="both"/>
              <w:rPr>
                <w:sz w:val="20"/>
              </w:rPr>
            </w:pPr>
            <w:r w:rsidRPr="00A97563">
              <w:rPr>
                <w:sz w:val="20"/>
              </w:rPr>
              <w:t xml:space="preserve">v tom: </w:t>
            </w:r>
          </w:p>
        </w:tc>
        <w:tc>
          <w:tcPr>
            <w:tcW w:w="1294" w:type="dxa"/>
            <w:tcBorders>
              <w:top w:val="single" w:sz="4" w:space="0" w:color="auto"/>
              <w:left w:val="single" w:sz="4" w:space="0" w:color="auto"/>
              <w:bottom w:val="nil"/>
              <w:right w:val="single" w:sz="4" w:space="0" w:color="auto"/>
            </w:tcBorders>
            <w:vAlign w:val="center"/>
          </w:tcPr>
          <w:p w14:paraId="2C4282A1" w14:textId="77777777" w:rsidR="00262718" w:rsidRPr="00A97563" w:rsidRDefault="00262718" w:rsidP="009308DF">
            <w:pPr>
              <w:spacing w:before="120"/>
              <w:jc w:val="right"/>
              <w:rPr>
                <w:b/>
                <w:bCs/>
                <w:sz w:val="20"/>
              </w:rPr>
            </w:pPr>
            <w:r w:rsidRPr="00A97563">
              <w:rPr>
                <w:b/>
                <w:bCs/>
                <w:sz w:val="20"/>
              </w:rPr>
              <w:t>34 315</w:t>
            </w:r>
          </w:p>
        </w:tc>
        <w:tc>
          <w:tcPr>
            <w:tcW w:w="1125" w:type="dxa"/>
            <w:tcBorders>
              <w:top w:val="single" w:sz="4" w:space="0" w:color="auto"/>
              <w:left w:val="single" w:sz="4" w:space="0" w:color="auto"/>
              <w:bottom w:val="nil"/>
              <w:right w:val="single" w:sz="4" w:space="0" w:color="auto"/>
            </w:tcBorders>
            <w:vAlign w:val="center"/>
          </w:tcPr>
          <w:p w14:paraId="0E9A2785" w14:textId="77777777" w:rsidR="00262718" w:rsidRPr="00642DDF" w:rsidRDefault="00262718" w:rsidP="009308DF">
            <w:pPr>
              <w:spacing w:before="120"/>
              <w:jc w:val="right"/>
              <w:rPr>
                <w:b/>
                <w:bCs/>
                <w:sz w:val="20"/>
              </w:rPr>
            </w:pPr>
            <w:r w:rsidRPr="00642DDF">
              <w:rPr>
                <w:b/>
                <w:bCs/>
                <w:sz w:val="20"/>
              </w:rPr>
              <w:t>36 846</w:t>
            </w:r>
          </w:p>
        </w:tc>
        <w:tc>
          <w:tcPr>
            <w:tcW w:w="1125" w:type="dxa"/>
            <w:tcBorders>
              <w:top w:val="single" w:sz="4" w:space="0" w:color="auto"/>
              <w:left w:val="single" w:sz="4" w:space="0" w:color="auto"/>
              <w:bottom w:val="nil"/>
              <w:right w:val="single" w:sz="4" w:space="0" w:color="auto"/>
            </w:tcBorders>
            <w:vAlign w:val="center"/>
          </w:tcPr>
          <w:p w14:paraId="4AEAC24D" w14:textId="77777777" w:rsidR="00262718" w:rsidRPr="00642DDF" w:rsidRDefault="00262718" w:rsidP="009308DF">
            <w:pPr>
              <w:spacing w:before="120"/>
              <w:jc w:val="right"/>
              <w:rPr>
                <w:b/>
                <w:bCs/>
                <w:sz w:val="20"/>
              </w:rPr>
            </w:pPr>
            <w:r w:rsidRPr="00642DDF">
              <w:rPr>
                <w:b/>
                <w:bCs/>
                <w:sz w:val="20"/>
              </w:rPr>
              <w:t>39 653</w:t>
            </w:r>
          </w:p>
        </w:tc>
        <w:tc>
          <w:tcPr>
            <w:tcW w:w="1125" w:type="dxa"/>
            <w:tcBorders>
              <w:top w:val="single" w:sz="4" w:space="0" w:color="auto"/>
              <w:left w:val="single" w:sz="4" w:space="0" w:color="auto"/>
              <w:bottom w:val="nil"/>
              <w:right w:val="single" w:sz="4" w:space="0" w:color="auto"/>
            </w:tcBorders>
            <w:vAlign w:val="center"/>
          </w:tcPr>
          <w:p w14:paraId="2B2CEB86" w14:textId="77777777" w:rsidR="00262718" w:rsidRPr="000D77C8" w:rsidRDefault="00262718" w:rsidP="009308DF">
            <w:pPr>
              <w:spacing w:before="120"/>
              <w:jc w:val="right"/>
              <w:rPr>
                <w:b/>
                <w:bCs/>
                <w:color w:val="FF0000"/>
                <w:sz w:val="20"/>
              </w:rPr>
            </w:pPr>
            <w:r w:rsidRPr="00642DDF">
              <w:rPr>
                <w:b/>
                <w:bCs/>
                <w:sz w:val="20"/>
              </w:rPr>
              <w:t>37 858</w:t>
            </w:r>
          </w:p>
        </w:tc>
        <w:tc>
          <w:tcPr>
            <w:tcW w:w="859" w:type="dxa"/>
            <w:tcBorders>
              <w:top w:val="single" w:sz="4" w:space="0" w:color="auto"/>
              <w:left w:val="single" w:sz="4" w:space="0" w:color="auto"/>
              <w:bottom w:val="nil"/>
              <w:right w:val="single" w:sz="4" w:space="0" w:color="auto"/>
            </w:tcBorders>
            <w:vAlign w:val="center"/>
          </w:tcPr>
          <w:p w14:paraId="75544E91" w14:textId="77777777" w:rsidR="00262718" w:rsidRPr="00E07B82" w:rsidRDefault="00262718" w:rsidP="009308DF">
            <w:pPr>
              <w:spacing w:before="120"/>
              <w:jc w:val="right"/>
              <w:rPr>
                <w:b/>
                <w:bCs/>
                <w:sz w:val="20"/>
              </w:rPr>
            </w:pPr>
            <w:r w:rsidRPr="00E07B82">
              <w:rPr>
                <w:b/>
                <w:bCs/>
                <w:sz w:val="20"/>
              </w:rPr>
              <w:t>110,32</w:t>
            </w:r>
          </w:p>
        </w:tc>
      </w:tr>
      <w:tr w:rsidR="00262718" w:rsidRPr="000D77C8" w14:paraId="0F132A6B" w14:textId="77777777" w:rsidTr="00DB2320">
        <w:trPr>
          <w:tblHeader/>
        </w:trPr>
        <w:tc>
          <w:tcPr>
            <w:tcW w:w="3611" w:type="dxa"/>
            <w:tcBorders>
              <w:top w:val="nil"/>
              <w:left w:val="single" w:sz="4" w:space="0" w:color="auto"/>
              <w:bottom w:val="nil"/>
              <w:right w:val="single" w:sz="4" w:space="0" w:color="auto"/>
            </w:tcBorders>
          </w:tcPr>
          <w:p w14:paraId="295565C5" w14:textId="77777777" w:rsidR="00262718" w:rsidRPr="00A97563" w:rsidRDefault="00262718" w:rsidP="009308DF">
            <w:pPr>
              <w:jc w:val="both"/>
              <w:rPr>
                <w:sz w:val="20"/>
              </w:rPr>
            </w:pPr>
            <w:r w:rsidRPr="00A97563">
              <w:rPr>
                <w:sz w:val="20"/>
              </w:rPr>
              <w:t xml:space="preserve">platy zaměstnanců a ostatní platby </w:t>
            </w:r>
          </w:p>
          <w:p w14:paraId="4C2E0A09" w14:textId="77777777" w:rsidR="00262718" w:rsidRPr="00A97563" w:rsidRDefault="00262718" w:rsidP="009308DF">
            <w:pPr>
              <w:jc w:val="both"/>
              <w:rPr>
                <w:sz w:val="20"/>
              </w:rPr>
            </w:pPr>
            <w:r w:rsidRPr="00A97563">
              <w:rPr>
                <w:sz w:val="20"/>
              </w:rPr>
              <w:t>za provedenou práci</w:t>
            </w:r>
          </w:p>
        </w:tc>
        <w:tc>
          <w:tcPr>
            <w:tcW w:w="1294" w:type="dxa"/>
            <w:tcBorders>
              <w:top w:val="nil"/>
              <w:left w:val="single" w:sz="4" w:space="0" w:color="auto"/>
              <w:bottom w:val="nil"/>
              <w:right w:val="single" w:sz="4" w:space="0" w:color="auto"/>
            </w:tcBorders>
            <w:vAlign w:val="center"/>
          </w:tcPr>
          <w:p w14:paraId="1D43E273" w14:textId="77777777" w:rsidR="00262718" w:rsidRPr="00A97563" w:rsidRDefault="00262718" w:rsidP="009308DF">
            <w:pPr>
              <w:jc w:val="right"/>
              <w:rPr>
                <w:sz w:val="20"/>
              </w:rPr>
            </w:pPr>
          </w:p>
          <w:p w14:paraId="50530DD3" w14:textId="77777777" w:rsidR="00262718" w:rsidRPr="00A97563" w:rsidRDefault="00262718" w:rsidP="009308DF">
            <w:pPr>
              <w:jc w:val="right"/>
              <w:rPr>
                <w:sz w:val="20"/>
              </w:rPr>
            </w:pPr>
            <w:r w:rsidRPr="00A97563">
              <w:rPr>
                <w:sz w:val="20"/>
              </w:rPr>
              <w:t>19 323</w:t>
            </w:r>
          </w:p>
        </w:tc>
        <w:tc>
          <w:tcPr>
            <w:tcW w:w="1125" w:type="dxa"/>
            <w:tcBorders>
              <w:top w:val="nil"/>
              <w:left w:val="single" w:sz="4" w:space="0" w:color="auto"/>
              <w:bottom w:val="nil"/>
              <w:right w:val="single" w:sz="4" w:space="0" w:color="auto"/>
            </w:tcBorders>
            <w:vAlign w:val="center"/>
          </w:tcPr>
          <w:p w14:paraId="1D462C66" w14:textId="77777777" w:rsidR="00262718" w:rsidRPr="00642DDF" w:rsidRDefault="00262718" w:rsidP="009308DF">
            <w:pPr>
              <w:jc w:val="right"/>
              <w:rPr>
                <w:sz w:val="20"/>
              </w:rPr>
            </w:pPr>
          </w:p>
          <w:p w14:paraId="2822093E" w14:textId="77777777" w:rsidR="00262718" w:rsidRPr="00642DDF" w:rsidRDefault="00262718" w:rsidP="009308DF">
            <w:pPr>
              <w:jc w:val="right"/>
              <w:rPr>
                <w:sz w:val="20"/>
              </w:rPr>
            </w:pPr>
            <w:r w:rsidRPr="00642DDF">
              <w:rPr>
                <w:sz w:val="20"/>
              </w:rPr>
              <w:t>20 021</w:t>
            </w:r>
          </w:p>
        </w:tc>
        <w:tc>
          <w:tcPr>
            <w:tcW w:w="1125" w:type="dxa"/>
            <w:tcBorders>
              <w:top w:val="nil"/>
              <w:left w:val="single" w:sz="4" w:space="0" w:color="auto"/>
              <w:bottom w:val="nil"/>
              <w:right w:val="single" w:sz="4" w:space="0" w:color="auto"/>
            </w:tcBorders>
            <w:vAlign w:val="center"/>
          </w:tcPr>
          <w:p w14:paraId="3CC94E3D" w14:textId="77777777" w:rsidR="00262718" w:rsidRPr="00642DDF" w:rsidRDefault="00262718" w:rsidP="009308DF">
            <w:pPr>
              <w:jc w:val="right"/>
              <w:rPr>
                <w:sz w:val="20"/>
              </w:rPr>
            </w:pPr>
          </w:p>
          <w:p w14:paraId="11CB5547" w14:textId="77777777" w:rsidR="00262718" w:rsidRPr="00642DDF" w:rsidRDefault="00262718" w:rsidP="009308DF">
            <w:pPr>
              <w:jc w:val="right"/>
              <w:rPr>
                <w:sz w:val="20"/>
              </w:rPr>
            </w:pPr>
            <w:r w:rsidRPr="00642DDF">
              <w:rPr>
                <w:sz w:val="20"/>
              </w:rPr>
              <w:t>22 216</w:t>
            </w:r>
          </w:p>
        </w:tc>
        <w:tc>
          <w:tcPr>
            <w:tcW w:w="1125" w:type="dxa"/>
            <w:tcBorders>
              <w:top w:val="nil"/>
              <w:left w:val="single" w:sz="4" w:space="0" w:color="auto"/>
              <w:bottom w:val="nil"/>
              <w:right w:val="single" w:sz="4" w:space="0" w:color="auto"/>
            </w:tcBorders>
            <w:vAlign w:val="center"/>
          </w:tcPr>
          <w:p w14:paraId="40933379" w14:textId="77777777" w:rsidR="00262718" w:rsidRPr="000D77C8" w:rsidRDefault="00262718" w:rsidP="009308DF">
            <w:pPr>
              <w:jc w:val="right"/>
              <w:rPr>
                <w:color w:val="FF0000"/>
                <w:sz w:val="20"/>
              </w:rPr>
            </w:pPr>
          </w:p>
          <w:p w14:paraId="6A2A8903" w14:textId="77777777" w:rsidR="00262718" w:rsidRPr="000D77C8" w:rsidRDefault="00262718" w:rsidP="009308DF">
            <w:pPr>
              <w:jc w:val="right"/>
              <w:rPr>
                <w:color w:val="FF0000"/>
                <w:sz w:val="20"/>
              </w:rPr>
            </w:pPr>
            <w:r w:rsidRPr="00642DDF">
              <w:rPr>
                <w:sz w:val="20"/>
              </w:rPr>
              <w:t>22 217</w:t>
            </w:r>
          </w:p>
        </w:tc>
        <w:tc>
          <w:tcPr>
            <w:tcW w:w="859" w:type="dxa"/>
            <w:tcBorders>
              <w:top w:val="nil"/>
              <w:left w:val="single" w:sz="4" w:space="0" w:color="auto"/>
              <w:bottom w:val="nil"/>
              <w:right w:val="single" w:sz="4" w:space="0" w:color="auto"/>
            </w:tcBorders>
            <w:vAlign w:val="center"/>
          </w:tcPr>
          <w:p w14:paraId="7CD7330B" w14:textId="77777777" w:rsidR="00262718" w:rsidRPr="00E07B82" w:rsidRDefault="00262718" w:rsidP="009308DF">
            <w:pPr>
              <w:jc w:val="right"/>
              <w:rPr>
                <w:sz w:val="20"/>
              </w:rPr>
            </w:pPr>
          </w:p>
          <w:p w14:paraId="66CE2FF8" w14:textId="77777777" w:rsidR="00262718" w:rsidRPr="00E07B82" w:rsidRDefault="00262718" w:rsidP="009308DF">
            <w:pPr>
              <w:jc w:val="right"/>
              <w:rPr>
                <w:sz w:val="20"/>
              </w:rPr>
            </w:pPr>
            <w:r w:rsidRPr="00E07B82">
              <w:rPr>
                <w:sz w:val="20"/>
              </w:rPr>
              <w:t>114,98</w:t>
            </w:r>
          </w:p>
        </w:tc>
      </w:tr>
      <w:tr w:rsidR="00262718" w:rsidRPr="000D77C8" w14:paraId="7BA14762" w14:textId="77777777" w:rsidTr="00DB2320">
        <w:trPr>
          <w:tblHeader/>
        </w:trPr>
        <w:tc>
          <w:tcPr>
            <w:tcW w:w="3611" w:type="dxa"/>
            <w:tcBorders>
              <w:top w:val="nil"/>
              <w:left w:val="single" w:sz="4" w:space="0" w:color="auto"/>
              <w:bottom w:val="nil"/>
              <w:right w:val="single" w:sz="4" w:space="0" w:color="auto"/>
            </w:tcBorders>
          </w:tcPr>
          <w:p w14:paraId="6D4EFEDE" w14:textId="77777777" w:rsidR="00262718" w:rsidRPr="00A97563" w:rsidRDefault="00262718" w:rsidP="009308DF">
            <w:pPr>
              <w:jc w:val="both"/>
              <w:rPr>
                <w:sz w:val="20"/>
              </w:rPr>
            </w:pPr>
            <w:r w:rsidRPr="00A97563">
              <w:rPr>
                <w:sz w:val="20"/>
              </w:rPr>
              <w:t>povinné pojistné placené zaměstnavatelem</w:t>
            </w:r>
          </w:p>
        </w:tc>
        <w:tc>
          <w:tcPr>
            <w:tcW w:w="1294" w:type="dxa"/>
            <w:tcBorders>
              <w:top w:val="nil"/>
              <w:left w:val="single" w:sz="4" w:space="0" w:color="auto"/>
              <w:bottom w:val="nil"/>
              <w:right w:val="single" w:sz="4" w:space="0" w:color="auto"/>
            </w:tcBorders>
            <w:vAlign w:val="center"/>
          </w:tcPr>
          <w:p w14:paraId="0A948D1A" w14:textId="77777777" w:rsidR="00262718" w:rsidRPr="00A97563" w:rsidRDefault="00262718" w:rsidP="009308DF">
            <w:pPr>
              <w:jc w:val="right"/>
              <w:rPr>
                <w:sz w:val="20"/>
              </w:rPr>
            </w:pPr>
            <w:r w:rsidRPr="00A97563">
              <w:rPr>
                <w:sz w:val="20"/>
              </w:rPr>
              <w:t>6 572</w:t>
            </w:r>
          </w:p>
        </w:tc>
        <w:tc>
          <w:tcPr>
            <w:tcW w:w="1125" w:type="dxa"/>
            <w:tcBorders>
              <w:top w:val="nil"/>
              <w:left w:val="single" w:sz="4" w:space="0" w:color="auto"/>
              <w:bottom w:val="nil"/>
              <w:right w:val="single" w:sz="4" w:space="0" w:color="auto"/>
            </w:tcBorders>
            <w:vAlign w:val="center"/>
          </w:tcPr>
          <w:p w14:paraId="7FF5DB0F" w14:textId="77777777" w:rsidR="00262718" w:rsidRPr="000D77C8" w:rsidRDefault="00262718" w:rsidP="009308DF">
            <w:pPr>
              <w:jc w:val="right"/>
              <w:rPr>
                <w:color w:val="FF0000"/>
                <w:sz w:val="20"/>
              </w:rPr>
            </w:pPr>
            <w:r w:rsidRPr="00642DDF">
              <w:rPr>
                <w:sz w:val="20"/>
              </w:rPr>
              <w:t>6 807</w:t>
            </w:r>
          </w:p>
        </w:tc>
        <w:tc>
          <w:tcPr>
            <w:tcW w:w="1125" w:type="dxa"/>
            <w:tcBorders>
              <w:top w:val="nil"/>
              <w:left w:val="single" w:sz="4" w:space="0" w:color="auto"/>
              <w:bottom w:val="nil"/>
              <w:right w:val="single" w:sz="4" w:space="0" w:color="auto"/>
            </w:tcBorders>
            <w:vAlign w:val="center"/>
          </w:tcPr>
          <w:p w14:paraId="15E1CCA2" w14:textId="77777777" w:rsidR="00262718" w:rsidRPr="000D77C8" w:rsidRDefault="00262718" w:rsidP="009308DF">
            <w:pPr>
              <w:jc w:val="right"/>
              <w:rPr>
                <w:color w:val="FF0000"/>
                <w:sz w:val="20"/>
              </w:rPr>
            </w:pPr>
            <w:r w:rsidRPr="00642DDF">
              <w:rPr>
                <w:sz w:val="20"/>
              </w:rPr>
              <w:t>7 385</w:t>
            </w:r>
          </w:p>
        </w:tc>
        <w:tc>
          <w:tcPr>
            <w:tcW w:w="1125" w:type="dxa"/>
            <w:tcBorders>
              <w:top w:val="nil"/>
              <w:left w:val="single" w:sz="4" w:space="0" w:color="auto"/>
              <w:bottom w:val="nil"/>
              <w:right w:val="single" w:sz="4" w:space="0" w:color="auto"/>
            </w:tcBorders>
            <w:vAlign w:val="center"/>
          </w:tcPr>
          <w:p w14:paraId="127411D6" w14:textId="77777777" w:rsidR="00262718" w:rsidRPr="000D77C8" w:rsidRDefault="00262718" w:rsidP="009308DF">
            <w:pPr>
              <w:jc w:val="right"/>
              <w:rPr>
                <w:color w:val="FF0000"/>
                <w:sz w:val="20"/>
              </w:rPr>
            </w:pPr>
            <w:r w:rsidRPr="00642DDF">
              <w:rPr>
                <w:sz w:val="20"/>
              </w:rPr>
              <w:t>7 553</w:t>
            </w:r>
          </w:p>
        </w:tc>
        <w:tc>
          <w:tcPr>
            <w:tcW w:w="859" w:type="dxa"/>
            <w:tcBorders>
              <w:top w:val="nil"/>
              <w:left w:val="single" w:sz="4" w:space="0" w:color="auto"/>
              <w:bottom w:val="nil"/>
              <w:right w:val="single" w:sz="4" w:space="0" w:color="auto"/>
            </w:tcBorders>
            <w:vAlign w:val="center"/>
          </w:tcPr>
          <w:p w14:paraId="09DCEDF3" w14:textId="77777777" w:rsidR="00262718" w:rsidRPr="00E07B82" w:rsidRDefault="00262718" w:rsidP="009308DF">
            <w:pPr>
              <w:jc w:val="right"/>
              <w:rPr>
                <w:sz w:val="20"/>
              </w:rPr>
            </w:pPr>
            <w:r w:rsidRPr="00E07B82">
              <w:rPr>
                <w:sz w:val="20"/>
              </w:rPr>
              <w:t>114,93</w:t>
            </w:r>
          </w:p>
        </w:tc>
      </w:tr>
      <w:tr w:rsidR="00262718" w:rsidRPr="000D77C8" w14:paraId="25CAE669" w14:textId="77777777" w:rsidTr="00DB2320">
        <w:trPr>
          <w:tblHeader/>
        </w:trPr>
        <w:tc>
          <w:tcPr>
            <w:tcW w:w="3611" w:type="dxa"/>
            <w:tcBorders>
              <w:top w:val="nil"/>
              <w:left w:val="single" w:sz="4" w:space="0" w:color="auto"/>
              <w:bottom w:val="nil"/>
              <w:right w:val="single" w:sz="4" w:space="0" w:color="auto"/>
            </w:tcBorders>
          </w:tcPr>
          <w:p w14:paraId="753C7F12" w14:textId="77777777" w:rsidR="00262718" w:rsidRPr="00A97563" w:rsidRDefault="00262718" w:rsidP="009308DF">
            <w:pPr>
              <w:jc w:val="both"/>
              <w:rPr>
                <w:sz w:val="20"/>
              </w:rPr>
            </w:pPr>
            <w:r w:rsidRPr="00A97563">
              <w:rPr>
                <w:sz w:val="20"/>
              </w:rPr>
              <w:t>základní příděl FKPS</w:t>
            </w:r>
          </w:p>
        </w:tc>
        <w:tc>
          <w:tcPr>
            <w:tcW w:w="1294" w:type="dxa"/>
            <w:tcBorders>
              <w:top w:val="nil"/>
              <w:left w:val="single" w:sz="4" w:space="0" w:color="auto"/>
              <w:bottom w:val="nil"/>
              <w:right w:val="single" w:sz="4" w:space="0" w:color="auto"/>
            </w:tcBorders>
            <w:vAlign w:val="center"/>
          </w:tcPr>
          <w:p w14:paraId="2CE3DB23" w14:textId="77777777" w:rsidR="00262718" w:rsidRPr="00A97563" w:rsidRDefault="00262718" w:rsidP="009308DF">
            <w:pPr>
              <w:jc w:val="right"/>
              <w:rPr>
                <w:sz w:val="20"/>
              </w:rPr>
            </w:pPr>
            <w:r w:rsidRPr="00A97563">
              <w:rPr>
                <w:sz w:val="20"/>
              </w:rPr>
              <w:t>386</w:t>
            </w:r>
          </w:p>
        </w:tc>
        <w:tc>
          <w:tcPr>
            <w:tcW w:w="1125" w:type="dxa"/>
            <w:tcBorders>
              <w:top w:val="nil"/>
              <w:left w:val="single" w:sz="4" w:space="0" w:color="auto"/>
              <w:bottom w:val="nil"/>
              <w:right w:val="single" w:sz="4" w:space="0" w:color="auto"/>
            </w:tcBorders>
            <w:vAlign w:val="center"/>
          </w:tcPr>
          <w:p w14:paraId="3C5AA276" w14:textId="77777777" w:rsidR="00262718" w:rsidRPr="00642DDF" w:rsidRDefault="00262718" w:rsidP="009308DF">
            <w:pPr>
              <w:jc w:val="right"/>
              <w:rPr>
                <w:sz w:val="20"/>
              </w:rPr>
            </w:pPr>
            <w:r w:rsidRPr="00642DDF">
              <w:rPr>
                <w:sz w:val="20"/>
              </w:rPr>
              <w:t>400</w:t>
            </w:r>
          </w:p>
        </w:tc>
        <w:tc>
          <w:tcPr>
            <w:tcW w:w="1125" w:type="dxa"/>
            <w:tcBorders>
              <w:top w:val="nil"/>
              <w:left w:val="single" w:sz="4" w:space="0" w:color="auto"/>
              <w:bottom w:val="nil"/>
              <w:right w:val="single" w:sz="4" w:space="0" w:color="auto"/>
            </w:tcBorders>
            <w:vAlign w:val="center"/>
          </w:tcPr>
          <w:p w14:paraId="7C174D0C" w14:textId="77777777" w:rsidR="00262718" w:rsidRPr="00642DDF" w:rsidRDefault="00262718" w:rsidP="009308DF">
            <w:pPr>
              <w:jc w:val="right"/>
              <w:rPr>
                <w:sz w:val="20"/>
              </w:rPr>
            </w:pPr>
            <w:r w:rsidRPr="00642DDF">
              <w:rPr>
                <w:sz w:val="20"/>
              </w:rPr>
              <w:t>434</w:t>
            </w:r>
          </w:p>
        </w:tc>
        <w:tc>
          <w:tcPr>
            <w:tcW w:w="1125" w:type="dxa"/>
            <w:tcBorders>
              <w:top w:val="nil"/>
              <w:left w:val="single" w:sz="4" w:space="0" w:color="auto"/>
              <w:bottom w:val="nil"/>
              <w:right w:val="single" w:sz="4" w:space="0" w:color="auto"/>
            </w:tcBorders>
            <w:vAlign w:val="center"/>
          </w:tcPr>
          <w:p w14:paraId="24F3D0CE" w14:textId="77777777" w:rsidR="00262718" w:rsidRPr="00642DDF" w:rsidRDefault="00262718" w:rsidP="009308DF">
            <w:pPr>
              <w:jc w:val="right"/>
              <w:rPr>
                <w:sz w:val="20"/>
              </w:rPr>
            </w:pPr>
            <w:r>
              <w:rPr>
                <w:sz w:val="20"/>
              </w:rPr>
              <w:t>44</w:t>
            </w:r>
            <w:r w:rsidRPr="00642DDF">
              <w:rPr>
                <w:sz w:val="20"/>
              </w:rPr>
              <w:t>4</w:t>
            </w:r>
          </w:p>
        </w:tc>
        <w:tc>
          <w:tcPr>
            <w:tcW w:w="859" w:type="dxa"/>
            <w:tcBorders>
              <w:top w:val="nil"/>
              <w:left w:val="single" w:sz="4" w:space="0" w:color="auto"/>
              <w:bottom w:val="nil"/>
              <w:right w:val="single" w:sz="4" w:space="0" w:color="auto"/>
            </w:tcBorders>
            <w:vAlign w:val="center"/>
          </w:tcPr>
          <w:p w14:paraId="389E23A9" w14:textId="77777777" w:rsidR="00262718" w:rsidRPr="00E07B82" w:rsidRDefault="00262718" w:rsidP="009308DF">
            <w:pPr>
              <w:jc w:val="right"/>
              <w:rPr>
                <w:sz w:val="20"/>
              </w:rPr>
            </w:pPr>
            <w:r w:rsidRPr="00E07B82">
              <w:rPr>
                <w:sz w:val="20"/>
              </w:rPr>
              <w:t>115,03</w:t>
            </w:r>
          </w:p>
        </w:tc>
      </w:tr>
      <w:tr w:rsidR="00262718" w:rsidRPr="000D77C8" w14:paraId="580BAFD6" w14:textId="77777777" w:rsidTr="00DB2320">
        <w:trPr>
          <w:tblHeader/>
        </w:trPr>
        <w:tc>
          <w:tcPr>
            <w:tcW w:w="3611" w:type="dxa"/>
            <w:tcBorders>
              <w:top w:val="nil"/>
              <w:left w:val="single" w:sz="4" w:space="0" w:color="auto"/>
              <w:bottom w:val="nil"/>
              <w:right w:val="single" w:sz="4" w:space="0" w:color="auto"/>
            </w:tcBorders>
          </w:tcPr>
          <w:p w14:paraId="73F5FFB7" w14:textId="77777777" w:rsidR="00262718" w:rsidRPr="00A97563" w:rsidRDefault="00262718" w:rsidP="009308DF">
            <w:pPr>
              <w:jc w:val="both"/>
              <w:rPr>
                <w:sz w:val="20"/>
              </w:rPr>
            </w:pPr>
            <w:r w:rsidRPr="00A97563">
              <w:rPr>
                <w:sz w:val="20"/>
              </w:rPr>
              <w:t>ostatní neinvestiční výdaje</w:t>
            </w:r>
          </w:p>
        </w:tc>
        <w:tc>
          <w:tcPr>
            <w:tcW w:w="1294" w:type="dxa"/>
            <w:tcBorders>
              <w:top w:val="nil"/>
              <w:left w:val="single" w:sz="4" w:space="0" w:color="auto"/>
              <w:bottom w:val="nil"/>
              <w:right w:val="single" w:sz="4" w:space="0" w:color="auto"/>
            </w:tcBorders>
            <w:vAlign w:val="center"/>
          </w:tcPr>
          <w:p w14:paraId="3F600AD0" w14:textId="77777777" w:rsidR="00262718" w:rsidRPr="00A97563" w:rsidRDefault="00262718" w:rsidP="009308DF">
            <w:pPr>
              <w:jc w:val="right"/>
              <w:rPr>
                <w:sz w:val="20"/>
              </w:rPr>
            </w:pPr>
            <w:r>
              <w:rPr>
                <w:sz w:val="20"/>
              </w:rPr>
              <w:t>8 03</w:t>
            </w:r>
            <w:r w:rsidRPr="00A97563">
              <w:rPr>
                <w:sz w:val="20"/>
              </w:rPr>
              <w:t>4</w:t>
            </w:r>
          </w:p>
        </w:tc>
        <w:tc>
          <w:tcPr>
            <w:tcW w:w="1125" w:type="dxa"/>
            <w:tcBorders>
              <w:top w:val="nil"/>
              <w:left w:val="single" w:sz="4" w:space="0" w:color="auto"/>
              <w:bottom w:val="nil"/>
              <w:right w:val="single" w:sz="4" w:space="0" w:color="auto"/>
            </w:tcBorders>
            <w:vAlign w:val="center"/>
          </w:tcPr>
          <w:p w14:paraId="628BA6CD" w14:textId="77777777" w:rsidR="00262718" w:rsidRPr="00642DDF" w:rsidRDefault="00262718" w:rsidP="009308DF">
            <w:pPr>
              <w:jc w:val="right"/>
              <w:rPr>
                <w:sz w:val="20"/>
              </w:rPr>
            </w:pPr>
            <w:r>
              <w:rPr>
                <w:sz w:val="20"/>
              </w:rPr>
              <w:t>9 618</w:t>
            </w:r>
          </w:p>
        </w:tc>
        <w:tc>
          <w:tcPr>
            <w:tcW w:w="1125" w:type="dxa"/>
            <w:tcBorders>
              <w:top w:val="nil"/>
              <w:left w:val="single" w:sz="4" w:space="0" w:color="auto"/>
              <w:bottom w:val="nil"/>
              <w:right w:val="single" w:sz="4" w:space="0" w:color="auto"/>
            </w:tcBorders>
            <w:vAlign w:val="center"/>
          </w:tcPr>
          <w:p w14:paraId="228AED20" w14:textId="77777777" w:rsidR="00262718" w:rsidRPr="00642DDF" w:rsidRDefault="00262718" w:rsidP="009308DF">
            <w:pPr>
              <w:jc w:val="right"/>
              <w:rPr>
                <w:sz w:val="20"/>
              </w:rPr>
            </w:pPr>
            <w:r>
              <w:rPr>
                <w:sz w:val="20"/>
              </w:rPr>
              <w:t>9 618</w:t>
            </w:r>
          </w:p>
        </w:tc>
        <w:tc>
          <w:tcPr>
            <w:tcW w:w="1125" w:type="dxa"/>
            <w:tcBorders>
              <w:top w:val="nil"/>
              <w:left w:val="single" w:sz="4" w:space="0" w:color="auto"/>
              <w:bottom w:val="nil"/>
              <w:right w:val="single" w:sz="4" w:space="0" w:color="auto"/>
            </w:tcBorders>
            <w:vAlign w:val="center"/>
          </w:tcPr>
          <w:p w14:paraId="46B7B89F" w14:textId="77777777" w:rsidR="00262718" w:rsidRPr="00642DDF" w:rsidRDefault="00262718" w:rsidP="009308DF">
            <w:pPr>
              <w:jc w:val="right"/>
              <w:rPr>
                <w:sz w:val="20"/>
              </w:rPr>
            </w:pPr>
            <w:r>
              <w:rPr>
                <w:sz w:val="20"/>
              </w:rPr>
              <w:t>7 644</w:t>
            </w:r>
          </w:p>
        </w:tc>
        <w:tc>
          <w:tcPr>
            <w:tcW w:w="859" w:type="dxa"/>
            <w:tcBorders>
              <w:top w:val="nil"/>
              <w:left w:val="single" w:sz="4" w:space="0" w:color="auto"/>
              <w:bottom w:val="nil"/>
              <w:right w:val="single" w:sz="4" w:space="0" w:color="auto"/>
            </w:tcBorders>
            <w:vAlign w:val="center"/>
          </w:tcPr>
          <w:p w14:paraId="113276FE" w14:textId="77777777" w:rsidR="00262718" w:rsidRPr="00E07B82" w:rsidRDefault="00262718" w:rsidP="009308DF">
            <w:pPr>
              <w:jc w:val="right"/>
              <w:rPr>
                <w:sz w:val="20"/>
              </w:rPr>
            </w:pPr>
            <w:r w:rsidRPr="00E07B82">
              <w:rPr>
                <w:sz w:val="20"/>
              </w:rPr>
              <w:t>95,15</w:t>
            </w:r>
          </w:p>
        </w:tc>
      </w:tr>
      <w:tr w:rsidR="00262718" w:rsidRPr="000D77C8" w14:paraId="6951AFB2" w14:textId="77777777" w:rsidTr="00DB2320">
        <w:trPr>
          <w:tblHeader/>
        </w:trPr>
        <w:tc>
          <w:tcPr>
            <w:tcW w:w="3611" w:type="dxa"/>
            <w:tcBorders>
              <w:top w:val="nil"/>
              <w:left w:val="single" w:sz="4" w:space="0" w:color="auto"/>
              <w:bottom w:val="single" w:sz="4" w:space="0" w:color="auto"/>
              <w:right w:val="single" w:sz="4" w:space="0" w:color="auto"/>
            </w:tcBorders>
          </w:tcPr>
          <w:p w14:paraId="53657C1C" w14:textId="77777777" w:rsidR="00262718" w:rsidRPr="00A97563" w:rsidRDefault="00E2031D" w:rsidP="00E2031D">
            <w:pPr>
              <w:jc w:val="both"/>
              <w:rPr>
                <w:i/>
                <w:sz w:val="20"/>
              </w:rPr>
            </w:pPr>
            <w:r>
              <w:rPr>
                <w:i/>
                <w:sz w:val="20"/>
              </w:rPr>
              <w:t>z toho</w:t>
            </w:r>
            <w:r w:rsidR="00262718" w:rsidRPr="00A97563">
              <w:rPr>
                <w:i/>
                <w:sz w:val="20"/>
              </w:rPr>
              <w:t>: programové financování</w:t>
            </w:r>
          </w:p>
        </w:tc>
        <w:tc>
          <w:tcPr>
            <w:tcW w:w="1294" w:type="dxa"/>
            <w:tcBorders>
              <w:top w:val="nil"/>
              <w:left w:val="single" w:sz="4" w:space="0" w:color="auto"/>
              <w:bottom w:val="single" w:sz="4" w:space="0" w:color="auto"/>
              <w:right w:val="single" w:sz="4" w:space="0" w:color="auto"/>
            </w:tcBorders>
            <w:vAlign w:val="center"/>
          </w:tcPr>
          <w:p w14:paraId="77571011" w14:textId="77777777" w:rsidR="00262718" w:rsidRPr="00A97563" w:rsidRDefault="00262718" w:rsidP="009308DF">
            <w:pPr>
              <w:jc w:val="right"/>
              <w:rPr>
                <w:i/>
                <w:sz w:val="20"/>
              </w:rPr>
            </w:pPr>
            <w:r w:rsidRPr="00A97563">
              <w:rPr>
                <w:i/>
                <w:sz w:val="20"/>
              </w:rPr>
              <w:t>0</w:t>
            </w:r>
          </w:p>
        </w:tc>
        <w:tc>
          <w:tcPr>
            <w:tcW w:w="1125" w:type="dxa"/>
            <w:tcBorders>
              <w:top w:val="nil"/>
              <w:left w:val="single" w:sz="4" w:space="0" w:color="auto"/>
              <w:bottom w:val="single" w:sz="4" w:space="0" w:color="auto"/>
              <w:right w:val="single" w:sz="4" w:space="0" w:color="auto"/>
            </w:tcBorders>
            <w:vAlign w:val="center"/>
          </w:tcPr>
          <w:p w14:paraId="62104A78" w14:textId="77777777" w:rsidR="00262718" w:rsidRPr="00642DDF" w:rsidRDefault="00262718" w:rsidP="009308DF">
            <w:pPr>
              <w:jc w:val="right"/>
              <w:rPr>
                <w:i/>
                <w:sz w:val="20"/>
              </w:rPr>
            </w:pPr>
            <w:r w:rsidRPr="00642DDF">
              <w:rPr>
                <w:i/>
                <w:sz w:val="20"/>
              </w:rPr>
              <w:t>0</w:t>
            </w:r>
          </w:p>
        </w:tc>
        <w:tc>
          <w:tcPr>
            <w:tcW w:w="1125" w:type="dxa"/>
            <w:tcBorders>
              <w:top w:val="nil"/>
              <w:left w:val="single" w:sz="4" w:space="0" w:color="auto"/>
              <w:bottom w:val="single" w:sz="4" w:space="0" w:color="auto"/>
              <w:right w:val="single" w:sz="4" w:space="0" w:color="auto"/>
            </w:tcBorders>
            <w:vAlign w:val="center"/>
          </w:tcPr>
          <w:p w14:paraId="2605C5D2" w14:textId="77777777" w:rsidR="00262718" w:rsidRPr="00642DDF" w:rsidRDefault="00262718" w:rsidP="009308DF">
            <w:pPr>
              <w:jc w:val="right"/>
              <w:rPr>
                <w:i/>
                <w:sz w:val="20"/>
              </w:rPr>
            </w:pPr>
            <w:r w:rsidRPr="00642DDF">
              <w:rPr>
                <w:i/>
                <w:sz w:val="20"/>
              </w:rPr>
              <w:t>0</w:t>
            </w:r>
          </w:p>
        </w:tc>
        <w:tc>
          <w:tcPr>
            <w:tcW w:w="1125" w:type="dxa"/>
            <w:tcBorders>
              <w:top w:val="nil"/>
              <w:left w:val="single" w:sz="4" w:space="0" w:color="auto"/>
              <w:bottom w:val="single" w:sz="4" w:space="0" w:color="auto"/>
              <w:right w:val="single" w:sz="4" w:space="0" w:color="auto"/>
            </w:tcBorders>
            <w:vAlign w:val="center"/>
          </w:tcPr>
          <w:p w14:paraId="4682D62A" w14:textId="77777777" w:rsidR="00262718" w:rsidRPr="00642DDF" w:rsidRDefault="00262718" w:rsidP="009308DF">
            <w:pPr>
              <w:jc w:val="right"/>
              <w:rPr>
                <w:i/>
                <w:sz w:val="20"/>
              </w:rPr>
            </w:pPr>
            <w:r w:rsidRPr="00642DDF">
              <w:rPr>
                <w:i/>
                <w:sz w:val="20"/>
              </w:rPr>
              <w:t>0</w:t>
            </w:r>
          </w:p>
        </w:tc>
        <w:tc>
          <w:tcPr>
            <w:tcW w:w="859" w:type="dxa"/>
            <w:tcBorders>
              <w:top w:val="nil"/>
              <w:left w:val="single" w:sz="4" w:space="0" w:color="auto"/>
              <w:bottom w:val="single" w:sz="4" w:space="0" w:color="auto"/>
              <w:right w:val="single" w:sz="4" w:space="0" w:color="auto"/>
            </w:tcBorders>
            <w:vAlign w:val="center"/>
          </w:tcPr>
          <w:p w14:paraId="245EF109" w14:textId="77777777" w:rsidR="00262718" w:rsidRPr="00642DDF" w:rsidRDefault="00262718" w:rsidP="009308DF">
            <w:pPr>
              <w:jc w:val="right"/>
              <w:rPr>
                <w:i/>
                <w:sz w:val="20"/>
              </w:rPr>
            </w:pPr>
            <w:r w:rsidRPr="00642DDF">
              <w:rPr>
                <w:i/>
                <w:sz w:val="20"/>
              </w:rPr>
              <w:t>x</w:t>
            </w:r>
          </w:p>
        </w:tc>
      </w:tr>
    </w:tbl>
    <w:p w14:paraId="7DCE402A" w14:textId="77777777" w:rsidR="00262718" w:rsidRPr="00E07B82" w:rsidRDefault="00262718" w:rsidP="00262718">
      <w:pPr>
        <w:pStyle w:val="KOMtext"/>
      </w:pPr>
      <w:r w:rsidRPr="00E07B82">
        <w:t xml:space="preserve">V průběhu roku 2019 byl rozpočet běžných výdajů organizace upravován a to dle Usnesení vlády č. 138 </w:t>
      </w:r>
      <w:r w:rsidRPr="00262718">
        <w:t>ze</w:t>
      </w:r>
      <w:r w:rsidRPr="00E07B82">
        <w:t xml:space="preserve"> dne 27. 2. 2019, kterou byla schválena změna systemizace služebních a pracovních míst s účinnosti od 1. 3. 2019</w:t>
      </w:r>
      <w:r>
        <w:t xml:space="preserve"> a dle Usnesení vlády č. 591 ze dne 26. 8.2019, kterou došlo k navýšení prostředků na platy.</w:t>
      </w:r>
    </w:p>
    <w:p w14:paraId="6C8078CD" w14:textId="77777777" w:rsidR="00853727" w:rsidRPr="00FB1AA7" w:rsidRDefault="00262718" w:rsidP="00345C67">
      <w:pPr>
        <w:pStyle w:val="KOMtext"/>
        <w:rPr>
          <w:rStyle w:val="ZnormalChar"/>
          <w:color w:val="FF0000"/>
        </w:rPr>
      </w:pPr>
      <w:r w:rsidRPr="00E07B82">
        <w:t xml:space="preserve">Běžné výdaje byly čerpány ve výši 37 858 tis. Kč, tj. plnění upraveného rozpočtu </w:t>
      </w:r>
      <w:r w:rsidR="003F3157">
        <w:rPr>
          <w:color w:val="FF0000"/>
        </w:rPr>
        <w:br/>
      </w:r>
      <w:r w:rsidRPr="00E07B82">
        <w:t xml:space="preserve">ve výši 95,47 %, z toho čerpání nároků z nespotřebovaných výdajů minulých let činilo </w:t>
      </w:r>
      <w:r w:rsidRPr="00E07B82">
        <w:br/>
        <w:t>178 tis. Kč.</w:t>
      </w:r>
      <w:r w:rsidR="00FB1AA7">
        <w:rPr>
          <w:color w:val="FF0000"/>
        </w:rPr>
        <w:t xml:space="preserve">  </w:t>
      </w:r>
      <w:r w:rsidR="00853727" w:rsidRPr="00FB1AA7">
        <w:rPr>
          <w:rStyle w:val="ZnormalChar"/>
        </w:rPr>
        <w:t xml:space="preserve">Prostředky na běžné výdaje byly čerpány v průběhu 1. – 3. čtvrtletí roku poměrně rovnoměrně, nejvyšší podíl čerpání byl ve 4. čtvrtletí. </w:t>
      </w:r>
    </w:p>
    <w:p w14:paraId="17A73FE5" w14:textId="77777777" w:rsidR="00262718" w:rsidRPr="000D77C8" w:rsidRDefault="00262718" w:rsidP="00262718">
      <w:pPr>
        <w:pStyle w:val="KOMtext"/>
        <w:rPr>
          <w:color w:val="FF0000"/>
        </w:rPr>
      </w:pPr>
      <w:bookmarkStart w:id="285" w:name="_Toc508879856"/>
      <w:bookmarkStart w:id="286" w:name="_Toc508880132"/>
      <w:r w:rsidRPr="00E07B82">
        <w:lastRenderedPageBreak/>
        <w:t>Výdaje na platy zaměstnanců a ostatní platby za provedenou práci a s tím související povinné platby (pojistné a převod FKSP) ve výši 30 214 tis. Kč se podílejí na celkovém objemu čerpání běžných výdajů</w:t>
      </w:r>
      <w:r w:rsidRPr="000D77C8">
        <w:rPr>
          <w:color w:val="FF0000"/>
        </w:rPr>
        <w:t xml:space="preserve"> </w:t>
      </w:r>
      <w:r w:rsidRPr="00E07B82">
        <w:t xml:space="preserve">79,81 %, z toho 178 tis. Kč činilo čerpání nároků. </w:t>
      </w:r>
    </w:p>
    <w:p w14:paraId="064AEB91" w14:textId="77777777" w:rsidR="00262718" w:rsidRPr="00E07B82" w:rsidRDefault="00262718" w:rsidP="00262718">
      <w:pPr>
        <w:pStyle w:val="KOMtext"/>
      </w:pPr>
      <w:r w:rsidRPr="00E07B82">
        <w:t>Nejvyšší výdaje v rámci ostatních běžných výdajů činily výdaje za nájemné včetně energií, konzultační služby, nákup ostatních služeb, dále pak služby elektronických komunikací, výdaje za cestovné a pohonné hmoty tj. výdaje přímo související se šetřením mimořádných událostí v drážní dopravě.</w:t>
      </w:r>
    </w:p>
    <w:p w14:paraId="033BD612" w14:textId="77777777" w:rsidR="00FA7E1E" w:rsidRPr="009E108D" w:rsidRDefault="00FA7E1E" w:rsidP="003F3157">
      <w:pPr>
        <w:pStyle w:val="Nadpis6"/>
      </w:pPr>
      <w:r w:rsidRPr="009E108D">
        <w:t>Ředitelství vodních cest ČR</w:t>
      </w:r>
      <w:bookmarkEnd w:id="285"/>
      <w:bookmarkEnd w:id="286"/>
      <w:r w:rsidRPr="009E108D">
        <w:t xml:space="preserve">  </w:t>
      </w:r>
    </w:p>
    <w:p w14:paraId="29903374" w14:textId="77777777" w:rsidR="009E108D" w:rsidRPr="005A420D" w:rsidRDefault="009E108D" w:rsidP="003F3157">
      <w:pPr>
        <w:pStyle w:val="KOMtext"/>
      </w:pPr>
      <w:r w:rsidRPr="005A420D">
        <w:t>Ředitelství vodních cest ČR je organizační složka státu, která zabezpečuje výstavbu a modernizaci součástí dopravně významných vodních cest a dalších staveb nutných pro provoz na vodních cestách a pro jejich správu a údržbu a pořizování dalšího majetku nutného pro správu a údržbu vodních cest. Vykonává vlastnická práva státu k nemovitostem tvořícím nově zřizované součásti vodních cest, zabezpečuje podklady pro stanovení koncepcí v oblasti vodních cest. Koordinuje provádění velkých oprav s rekonstrukcemi a modernizacemi součástí vodních cest. Dále zajišťuje provoz servisního plavidla v majetku státu, provozuje některé říční přístavy v ČR a spravuje majetek státu v Hamburku, v SRN.</w:t>
      </w:r>
    </w:p>
    <w:p w14:paraId="1C12A47D" w14:textId="77777777" w:rsidR="009E108D" w:rsidRPr="00924002" w:rsidRDefault="009E108D" w:rsidP="00DB2320">
      <w:pPr>
        <w:keepNext/>
        <w:ind w:left="357" w:right="1"/>
        <w:jc w:val="right"/>
      </w:pPr>
      <w:r w:rsidRPr="00924002">
        <w:t>v tis. Kč</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3"/>
        <w:gridCol w:w="1134"/>
        <w:gridCol w:w="1080"/>
        <w:gridCol w:w="1080"/>
        <w:gridCol w:w="1242"/>
        <w:gridCol w:w="851"/>
      </w:tblGrid>
      <w:tr w:rsidR="009E108D" w:rsidRPr="00924002" w14:paraId="52692B2C" w14:textId="77777777" w:rsidTr="003F3157">
        <w:trPr>
          <w:tblHeader/>
        </w:trPr>
        <w:tc>
          <w:tcPr>
            <w:tcW w:w="3753" w:type="dxa"/>
          </w:tcPr>
          <w:p w14:paraId="123D147F" w14:textId="77777777" w:rsidR="009E108D" w:rsidRPr="00924002" w:rsidRDefault="009E108D" w:rsidP="00016A1A">
            <w:pPr>
              <w:jc w:val="center"/>
              <w:rPr>
                <w:sz w:val="22"/>
              </w:rPr>
            </w:pPr>
          </w:p>
          <w:p w14:paraId="4C4811BF" w14:textId="77777777" w:rsidR="009E108D" w:rsidRPr="00924002" w:rsidRDefault="009E108D" w:rsidP="00016A1A">
            <w:pPr>
              <w:jc w:val="center"/>
              <w:rPr>
                <w:sz w:val="22"/>
              </w:rPr>
            </w:pPr>
            <w:r w:rsidRPr="00924002">
              <w:rPr>
                <w:sz w:val="22"/>
              </w:rPr>
              <w:t>Ukazatel</w:t>
            </w:r>
          </w:p>
        </w:tc>
        <w:tc>
          <w:tcPr>
            <w:tcW w:w="1134" w:type="dxa"/>
            <w:vAlign w:val="center"/>
          </w:tcPr>
          <w:p w14:paraId="03DD9C6A" w14:textId="77777777" w:rsidR="009E108D" w:rsidRPr="00924002" w:rsidRDefault="009E108D" w:rsidP="00016A1A">
            <w:pPr>
              <w:jc w:val="center"/>
              <w:rPr>
                <w:sz w:val="22"/>
              </w:rPr>
            </w:pPr>
            <w:r w:rsidRPr="00924002">
              <w:rPr>
                <w:sz w:val="22"/>
              </w:rPr>
              <w:t>Skutečnost</w:t>
            </w:r>
          </w:p>
          <w:p w14:paraId="67C641AF" w14:textId="77777777" w:rsidR="009E108D" w:rsidRPr="00924002" w:rsidRDefault="009E108D" w:rsidP="00016A1A">
            <w:pPr>
              <w:jc w:val="center"/>
              <w:rPr>
                <w:sz w:val="22"/>
              </w:rPr>
            </w:pPr>
            <w:r w:rsidRPr="00924002">
              <w:rPr>
                <w:sz w:val="22"/>
              </w:rPr>
              <w:t>2018</w:t>
            </w:r>
          </w:p>
        </w:tc>
        <w:tc>
          <w:tcPr>
            <w:tcW w:w="1080" w:type="dxa"/>
            <w:vAlign w:val="center"/>
          </w:tcPr>
          <w:p w14:paraId="3BD2B2BD" w14:textId="77777777" w:rsidR="009E108D" w:rsidRPr="00924002" w:rsidRDefault="009E108D" w:rsidP="00016A1A">
            <w:pPr>
              <w:jc w:val="center"/>
              <w:rPr>
                <w:sz w:val="22"/>
              </w:rPr>
            </w:pPr>
            <w:r w:rsidRPr="00924002">
              <w:rPr>
                <w:sz w:val="22"/>
              </w:rPr>
              <w:t>Schválený</w:t>
            </w:r>
          </w:p>
          <w:p w14:paraId="1D1FC02C" w14:textId="77777777" w:rsidR="009E108D" w:rsidRPr="00924002" w:rsidRDefault="009E108D" w:rsidP="00016A1A">
            <w:pPr>
              <w:jc w:val="center"/>
              <w:rPr>
                <w:sz w:val="22"/>
              </w:rPr>
            </w:pPr>
            <w:r w:rsidRPr="00924002">
              <w:rPr>
                <w:sz w:val="22"/>
              </w:rPr>
              <w:t>rozpočet 2019</w:t>
            </w:r>
          </w:p>
        </w:tc>
        <w:tc>
          <w:tcPr>
            <w:tcW w:w="1080" w:type="dxa"/>
            <w:vAlign w:val="center"/>
          </w:tcPr>
          <w:p w14:paraId="661C24B5" w14:textId="77777777" w:rsidR="009E108D" w:rsidRPr="00924002" w:rsidRDefault="009E108D" w:rsidP="00016A1A">
            <w:pPr>
              <w:jc w:val="center"/>
              <w:rPr>
                <w:sz w:val="22"/>
              </w:rPr>
            </w:pPr>
            <w:r w:rsidRPr="00924002">
              <w:rPr>
                <w:sz w:val="22"/>
              </w:rPr>
              <w:t>Upravený</w:t>
            </w:r>
          </w:p>
          <w:p w14:paraId="60B933F4" w14:textId="77777777" w:rsidR="009E108D" w:rsidRPr="00924002" w:rsidRDefault="009E108D" w:rsidP="00016A1A">
            <w:pPr>
              <w:jc w:val="center"/>
              <w:rPr>
                <w:sz w:val="22"/>
              </w:rPr>
            </w:pPr>
            <w:r w:rsidRPr="00924002">
              <w:rPr>
                <w:sz w:val="22"/>
              </w:rPr>
              <w:t>rozpočet</w:t>
            </w:r>
          </w:p>
          <w:p w14:paraId="3C0B0FAD" w14:textId="77777777" w:rsidR="009E108D" w:rsidRPr="00924002" w:rsidRDefault="009E108D" w:rsidP="00016A1A">
            <w:pPr>
              <w:jc w:val="center"/>
              <w:rPr>
                <w:sz w:val="22"/>
              </w:rPr>
            </w:pPr>
            <w:r w:rsidRPr="00924002">
              <w:rPr>
                <w:sz w:val="22"/>
              </w:rPr>
              <w:t>2019</w:t>
            </w:r>
          </w:p>
        </w:tc>
        <w:tc>
          <w:tcPr>
            <w:tcW w:w="1242" w:type="dxa"/>
            <w:vAlign w:val="center"/>
          </w:tcPr>
          <w:p w14:paraId="0F65393E" w14:textId="77777777" w:rsidR="009E108D" w:rsidRPr="00924002" w:rsidRDefault="009E108D" w:rsidP="00016A1A">
            <w:pPr>
              <w:jc w:val="center"/>
              <w:rPr>
                <w:sz w:val="22"/>
              </w:rPr>
            </w:pPr>
            <w:r w:rsidRPr="00924002">
              <w:rPr>
                <w:sz w:val="22"/>
              </w:rPr>
              <w:t>Skutečnost</w:t>
            </w:r>
          </w:p>
          <w:p w14:paraId="3951A763" w14:textId="77777777" w:rsidR="009E108D" w:rsidRPr="00924002" w:rsidRDefault="009E108D" w:rsidP="00016A1A">
            <w:pPr>
              <w:jc w:val="center"/>
              <w:rPr>
                <w:sz w:val="22"/>
              </w:rPr>
            </w:pPr>
            <w:r w:rsidRPr="00924002">
              <w:rPr>
                <w:sz w:val="22"/>
              </w:rPr>
              <w:t>2019</w:t>
            </w:r>
          </w:p>
        </w:tc>
        <w:tc>
          <w:tcPr>
            <w:tcW w:w="851" w:type="dxa"/>
            <w:vAlign w:val="center"/>
          </w:tcPr>
          <w:p w14:paraId="0C8F4CB9" w14:textId="77777777" w:rsidR="009E108D" w:rsidRPr="00924002" w:rsidRDefault="009E108D" w:rsidP="00016A1A">
            <w:pPr>
              <w:jc w:val="center"/>
              <w:rPr>
                <w:sz w:val="22"/>
              </w:rPr>
            </w:pPr>
            <w:r w:rsidRPr="00924002">
              <w:rPr>
                <w:sz w:val="22"/>
              </w:rPr>
              <w:t>Index</w:t>
            </w:r>
          </w:p>
          <w:p w14:paraId="707EFAD2" w14:textId="77777777" w:rsidR="009E108D" w:rsidRPr="00924002" w:rsidRDefault="009E108D" w:rsidP="00016A1A">
            <w:pPr>
              <w:jc w:val="center"/>
              <w:rPr>
                <w:sz w:val="22"/>
              </w:rPr>
            </w:pPr>
            <w:r w:rsidRPr="00924002">
              <w:rPr>
                <w:sz w:val="22"/>
              </w:rPr>
              <w:t>19/18         (v %)</w:t>
            </w:r>
          </w:p>
        </w:tc>
      </w:tr>
      <w:tr w:rsidR="009E108D" w:rsidRPr="00924002" w14:paraId="730C9209" w14:textId="77777777" w:rsidTr="003F3157">
        <w:trPr>
          <w:tblHeader/>
        </w:trPr>
        <w:tc>
          <w:tcPr>
            <w:tcW w:w="3753" w:type="dxa"/>
            <w:tcBorders>
              <w:bottom w:val="single" w:sz="4" w:space="0" w:color="auto"/>
            </w:tcBorders>
          </w:tcPr>
          <w:p w14:paraId="27AA0B95" w14:textId="77777777" w:rsidR="009E108D" w:rsidRPr="00924002" w:rsidRDefault="009E108D" w:rsidP="00016A1A">
            <w:pPr>
              <w:jc w:val="center"/>
              <w:rPr>
                <w:sz w:val="22"/>
              </w:rPr>
            </w:pPr>
            <w:r w:rsidRPr="00924002">
              <w:rPr>
                <w:sz w:val="22"/>
              </w:rPr>
              <w:t>a</w:t>
            </w:r>
          </w:p>
        </w:tc>
        <w:tc>
          <w:tcPr>
            <w:tcW w:w="1134" w:type="dxa"/>
            <w:tcBorders>
              <w:bottom w:val="single" w:sz="4" w:space="0" w:color="auto"/>
            </w:tcBorders>
          </w:tcPr>
          <w:p w14:paraId="418B0961" w14:textId="77777777" w:rsidR="009E108D" w:rsidRPr="00924002" w:rsidRDefault="009E108D" w:rsidP="00016A1A">
            <w:pPr>
              <w:jc w:val="center"/>
              <w:rPr>
                <w:sz w:val="22"/>
              </w:rPr>
            </w:pPr>
            <w:r w:rsidRPr="00924002">
              <w:rPr>
                <w:sz w:val="22"/>
              </w:rPr>
              <w:t>1</w:t>
            </w:r>
          </w:p>
        </w:tc>
        <w:tc>
          <w:tcPr>
            <w:tcW w:w="1080" w:type="dxa"/>
            <w:tcBorders>
              <w:bottom w:val="single" w:sz="4" w:space="0" w:color="auto"/>
            </w:tcBorders>
          </w:tcPr>
          <w:p w14:paraId="0DF39533" w14:textId="77777777" w:rsidR="009E108D" w:rsidRPr="00924002" w:rsidRDefault="009E108D" w:rsidP="00016A1A">
            <w:pPr>
              <w:jc w:val="center"/>
              <w:rPr>
                <w:sz w:val="22"/>
              </w:rPr>
            </w:pPr>
            <w:r w:rsidRPr="00924002">
              <w:rPr>
                <w:sz w:val="22"/>
              </w:rPr>
              <w:t>2</w:t>
            </w:r>
          </w:p>
        </w:tc>
        <w:tc>
          <w:tcPr>
            <w:tcW w:w="1080" w:type="dxa"/>
            <w:tcBorders>
              <w:bottom w:val="single" w:sz="4" w:space="0" w:color="auto"/>
            </w:tcBorders>
          </w:tcPr>
          <w:p w14:paraId="54AF7987" w14:textId="77777777" w:rsidR="009E108D" w:rsidRPr="00924002" w:rsidRDefault="009E108D" w:rsidP="00016A1A">
            <w:pPr>
              <w:jc w:val="center"/>
              <w:rPr>
                <w:sz w:val="22"/>
              </w:rPr>
            </w:pPr>
            <w:r w:rsidRPr="00924002">
              <w:rPr>
                <w:sz w:val="22"/>
              </w:rPr>
              <w:t>3</w:t>
            </w:r>
          </w:p>
        </w:tc>
        <w:tc>
          <w:tcPr>
            <w:tcW w:w="1242" w:type="dxa"/>
            <w:tcBorders>
              <w:bottom w:val="single" w:sz="4" w:space="0" w:color="auto"/>
            </w:tcBorders>
          </w:tcPr>
          <w:p w14:paraId="6AD60C21" w14:textId="77777777" w:rsidR="009E108D" w:rsidRPr="00924002" w:rsidRDefault="009E108D" w:rsidP="00016A1A">
            <w:pPr>
              <w:jc w:val="center"/>
              <w:rPr>
                <w:sz w:val="22"/>
              </w:rPr>
            </w:pPr>
            <w:r w:rsidRPr="00924002">
              <w:rPr>
                <w:sz w:val="22"/>
              </w:rPr>
              <w:t>4</w:t>
            </w:r>
          </w:p>
        </w:tc>
        <w:tc>
          <w:tcPr>
            <w:tcW w:w="851" w:type="dxa"/>
            <w:tcBorders>
              <w:bottom w:val="single" w:sz="4" w:space="0" w:color="auto"/>
            </w:tcBorders>
          </w:tcPr>
          <w:p w14:paraId="309C30E5" w14:textId="77777777" w:rsidR="009E108D" w:rsidRPr="00924002" w:rsidRDefault="009E108D" w:rsidP="00016A1A">
            <w:pPr>
              <w:jc w:val="center"/>
              <w:rPr>
                <w:sz w:val="22"/>
              </w:rPr>
            </w:pPr>
            <w:r w:rsidRPr="00924002">
              <w:rPr>
                <w:sz w:val="22"/>
              </w:rPr>
              <w:t>5</w:t>
            </w:r>
          </w:p>
        </w:tc>
      </w:tr>
      <w:tr w:rsidR="009E108D" w:rsidRPr="004B11AC" w14:paraId="542CCD2D" w14:textId="77777777" w:rsidTr="003F3157">
        <w:trPr>
          <w:trHeight w:val="468"/>
          <w:tblHeader/>
        </w:trPr>
        <w:tc>
          <w:tcPr>
            <w:tcW w:w="3753" w:type="dxa"/>
            <w:tcBorders>
              <w:top w:val="single" w:sz="4" w:space="0" w:color="auto"/>
              <w:left w:val="single" w:sz="4" w:space="0" w:color="auto"/>
              <w:bottom w:val="nil"/>
              <w:right w:val="single" w:sz="4" w:space="0" w:color="auto"/>
            </w:tcBorders>
          </w:tcPr>
          <w:p w14:paraId="444B6319" w14:textId="77777777" w:rsidR="009E108D" w:rsidRPr="00924002" w:rsidRDefault="009E108D" w:rsidP="00016A1A">
            <w:pPr>
              <w:pStyle w:val="Zkladntext"/>
              <w:rPr>
                <w:b/>
                <w:bCs/>
                <w:sz w:val="20"/>
              </w:rPr>
            </w:pPr>
            <w:r w:rsidRPr="00924002">
              <w:rPr>
                <w:b/>
                <w:bCs/>
                <w:sz w:val="20"/>
              </w:rPr>
              <w:t xml:space="preserve">Běžné výdaje </w:t>
            </w:r>
          </w:p>
          <w:p w14:paraId="1B258B6E" w14:textId="77777777" w:rsidR="009E108D" w:rsidRPr="00924002" w:rsidRDefault="009E108D" w:rsidP="00016A1A">
            <w:pPr>
              <w:jc w:val="both"/>
              <w:rPr>
                <w:sz w:val="20"/>
              </w:rPr>
            </w:pPr>
            <w:r w:rsidRPr="00924002">
              <w:rPr>
                <w:sz w:val="20"/>
              </w:rPr>
              <w:t xml:space="preserve">v tom: </w:t>
            </w:r>
          </w:p>
        </w:tc>
        <w:tc>
          <w:tcPr>
            <w:tcW w:w="1134" w:type="dxa"/>
            <w:tcBorders>
              <w:top w:val="single" w:sz="4" w:space="0" w:color="auto"/>
              <w:left w:val="single" w:sz="4" w:space="0" w:color="auto"/>
              <w:bottom w:val="nil"/>
              <w:right w:val="single" w:sz="4" w:space="0" w:color="auto"/>
            </w:tcBorders>
          </w:tcPr>
          <w:p w14:paraId="0A62AA2B" w14:textId="77777777" w:rsidR="009E108D" w:rsidRPr="00924002" w:rsidRDefault="009E108D" w:rsidP="00016A1A">
            <w:pPr>
              <w:spacing w:before="120"/>
              <w:jc w:val="right"/>
              <w:rPr>
                <w:b/>
                <w:bCs/>
                <w:sz w:val="20"/>
              </w:rPr>
            </w:pPr>
            <w:r w:rsidRPr="00924002">
              <w:rPr>
                <w:b/>
                <w:bCs/>
                <w:sz w:val="20"/>
              </w:rPr>
              <w:t xml:space="preserve">17 400 </w:t>
            </w:r>
          </w:p>
        </w:tc>
        <w:tc>
          <w:tcPr>
            <w:tcW w:w="1080" w:type="dxa"/>
            <w:tcBorders>
              <w:top w:val="single" w:sz="4" w:space="0" w:color="auto"/>
              <w:left w:val="single" w:sz="4" w:space="0" w:color="auto"/>
              <w:bottom w:val="nil"/>
              <w:right w:val="single" w:sz="4" w:space="0" w:color="auto"/>
            </w:tcBorders>
          </w:tcPr>
          <w:p w14:paraId="0626F7BC" w14:textId="77777777" w:rsidR="009E108D" w:rsidRPr="00924002" w:rsidRDefault="009E108D" w:rsidP="00016A1A">
            <w:pPr>
              <w:spacing w:before="120"/>
              <w:jc w:val="right"/>
              <w:rPr>
                <w:b/>
                <w:bCs/>
                <w:sz w:val="20"/>
              </w:rPr>
            </w:pPr>
            <w:r w:rsidRPr="00924002">
              <w:rPr>
                <w:b/>
                <w:bCs/>
                <w:sz w:val="20"/>
              </w:rPr>
              <w:t>22 878</w:t>
            </w:r>
          </w:p>
        </w:tc>
        <w:tc>
          <w:tcPr>
            <w:tcW w:w="1080" w:type="dxa"/>
            <w:tcBorders>
              <w:top w:val="single" w:sz="4" w:space="0" w:color="auto"/>
              <w:left w:val="single" w:sz="4" w:space="0" w:color="auto"/>
              <w:bottom w:val="nil"/>
              <w:right w:val="single" w:sz="4" w:space="0" w:color="auto"/>
            </w:tcBorders>
          </w:tcPr>
          <w:p w14:paraId="1FFA9F0C" w14:textId="77777777" w:rsidR="009E108D" w:rsidRPr="008967EC" w:rsidRDefault="009E108D" w:rsidP="00016A1A">
            <w:pPr>
              <w:spacing w:before="120"/>
              <w:jc w:val="right"/>
              <w:rPr>
                <w:b/>
                <w:bCs/>
                <w:sz w:val="20"/>
              </w:rPr>
            </w:pPr>
            <w:r w:rsidRPr="008967EC">
              <w:rPr>
                <w:b/>
                <w:bCs/>
                <w:sz w:val="20"/>
              </w:rPr>
              <w:t>42 018</w:t>
            </w:r>
          </w:p>
        </w:tc>
        <w:tc>
          <w:tcPr>
            <w:tcW w:w="1242" w:type="dxa"/>
            <w:tcBorders>
              <w:top w:val="single" w:sz="4" w:space="0" w:color="auto"/>
              <w:left w:val="single" w:sz="4" w:space="0" w:color="auto"/>
              <w:bottom w:val="nil"/>
              <w:right w:val="single" w:sz="4" w:space="0" w:color="auto"/>
            </w:tcBorders>
          </w:tcPr>
          <w:p w14:paraId="6CB4483A" w14:textId="77777777" w:rsidR="009E108D" w:rsidRPr="004B11AC" w:rsidRDefault="009E108D" w:rsidP="00016A1A">
            <w:pPr>
              <w:spacing w:before="120"/>
              <w:jc w:val="right"/>
              <w:rPr>
                <w:b/>
                <w:bCs/>
                <w:color w:val="FF0000"/>
                <w:sz w:val="20"/>
              </w:rPr>
            </w:pPr>
            <w:r w:rsidRPr="008967EC">
              <w:rPr>
                <w:b/>
                <w:bCs/>
                <w:sz w:val="20"/>
              </w:rPr>
              <w:t xml:space="preserve">42 468 </w:t>
            </w:r>
          </w:p>
        </w:tc>
        <w:tc>
          <w:tcPr>
            <w:tcW w:w="851" w:type="dxa"/>
            <w:tcBorders>
              <w:top w:val="single" w:sz="4" w:space="0" w:color="auto"/>
              <w:left w:val="single" w:sz="4" w:space="0" w:color="auto"/>
              <w:bottom w:val="nil"/>
              <w:right w:val="single" w:sz="4" w:space="0" w:color="auto"/>
            </w:tcBorders>
          </w:tcPr>
          <w:p w14:paraId="5B43D41A" w14:textId="77777777" w:rsidR="009E108D" w:rsidRPr="008967EC" w:rsidRDefault="009E108D" w:rsidP="00016A1A">
            <w:pPr>
              <w:spacing w:before="120"/>
              <w:jc w:val="right"/>
              <w:rPr>
                <w:b/>
                <w:bCs/>
                <w:sz w:val="20"/>
                <w:szCs w:val="20"/>
              </w:rPr>
            </w:pPr>
            <w:r w:rsidRPr="008967EC">
              <w:rPr>
                <w:b/>
                <w:bCs/>
                <w:sz w:val="20"/>
                <w:szCs w:val="20"/>
              </w:rPr>
              <w:t>244,07</w:t>
            </w:r>
          </w:p>
        </w:tc>
      </w:tr>
      <w:tr w:rsidR="009E108D" w:rsidRPr="004B11AC" w14:paraId="43FC7176" w14:textId="77777777" w:rsidTr="003F3157">
        <w:trPr>
          <w:tblHeader/>
        </w:trPr>
        <w:tc>
          <w:tcPr>
            <w:tcW w:w="3753" w:type="dxa"/>
            <w:tcBorders>
              <w:top w:val="nil"/>
              <w:left w:val="single" w:sz="4" w:space="0" w:color="auto"/>
              <w:bottom w:val="nil"/>
              <w:right w:val="single" w:sz="4" w:space="0" w:color="auto"/>
            </w:tcBorders>
          </w:tcPr>
          <w:p w14:paraId="55C8081F" w14:textId="77777777" w:rsidR="009E108D" w:rsidRPr="00924002" w:rsidRDefault="009E108D" w:rsidP="00016A1A">
            <w:pPr>
              <w:jc w:val="both"/>
              <w:rPr>
                <w:sz w:val="20"/>
              </w:rPr>
            </w:pPr>
            <w:r w:rsidRPr="00924002">
              <w:rPr>
                <w:sz w:val="20"/>
              </w:rPr>
              <w:t>platy zaměstnanců a ostatní platby</w:t>
            </w:r>
          </w:p>
          <w:p w14:paraId="75EC5FC1" w14:textId="77777777" w:rsidR="009E108D" w:rsidRPr="00924002" w:rsidRDefault="009E108D" w:rsidP="00016A1A">
            <w:pPr>
              <w:jc w:val="both"/>
              <w:rPr>
                <w:sz w:val="20"/>
              </w:rPr>
            </w:pPr>
            <w:r w:rsidRPr="00924002">
              <w:rPr>
                <w:sz w:val="20"/>
              </w:rPr>
              <w:t>za provedenou práci</w:t>
            </w:r>
          </w:p>
        </w:tc>
        <w:tc>
          <w:tcPr>
            <w:tcW w:w="1134" w:type="dxa"/>
            <w:tcBorders>
              <w:top w:val="nil"/>
              <w:left w:val="single" w:sz="4" w:space="0" w:color="auto"/>
              <w:bottom w:val="nil"/>
              <w:right w:val="single" w:sz="4" w:space="0" w:color="auto"/>
            </w:tcBorders>
          </w:tcPr>
          <w:p w14:paraId="08226ECB" w14:textId="77777777" w:rsidR="009E108D" w:rsidRPr="00924002" w:rsidRDefault="009E108D" w:rsidP="00016A1A">
            <w:pPr>
              <w:jc w:val="right"/>
              <w:rPr>
                <w:sz w:val="20"/>
              </w:rPr>
            </w:pPr>
          </w:p>
          <w:p w14:paraId="2C012901" w14:textId="77777777" w:rsidR="009E108D" w:rsidRPr="00924002" w:rsidRDefault="009E108D" w:rsidP="00016A1A">
            <w:pPr>
              <w:jc w:val="right"/>
              <w:rPr>
                <w:sz w:val="20"/>
              </w:rPr>
            </w:pPr>
            <w:r w:rsidRPr="00924002">
              <w:rPr>
                <w:sz w:val="20"/>
              </w:rPr>
              <w:t>6 161</w:t>
            </w:r>
          </w:p>
        </w:tc>
        <w:tc>
          <w:tcPr>
            <w:tcW w:w="1080" w:type="dxa"/>
            <w:tcBorders>
              <w:top w:val="nil"/>
              <w:left w:val="single" w:sz="4" w:space="0" w:color="auto"/>
              <w:bottom w:val="nil"/>
              <w:right w:val="single" w:sz="4" w:space="0" w:color="auto"/>
            </w:tcBorders>
          </w:tcPr>
          <w:p w14:paraId="438EDB3D" w14:textId="77777777" w:rsidR="009E108D" w:rsidRPr="00924002" w:rsidRDefault="009E108D" w:rsidP="00016A1A">
            <w:pPr>
              <w:jc w:val="right"/>
              <w:rPr>
                <w:sz w:val="20"/>
              </w:rPr>
            </w:pPr>
          </w:p>
          <w:p w14:paraId="5A7D7EC3" w14:textId="77777777" w:rsidR="009E108D" w:rsidRPr="00924002" w:rsidRDefault="009E108D" w:rsidP="00016A1A">
            <w:pPr>
              <w:jc w:val="right"/>
              <w:rPr>
                <w:sz w:val="20"/>
              </w:rPr>
            </w:pPr>
            <w:r w:rsidRPr="00924002">
              <w:rPr>
                <w:sz w:val="20"/>
              </w:rPr>
              <w:t>6 644</w:t>
            </w:r>
          </w:p>
        </w:tc>
        <w:tc>
          <w:tcPr>
            <w:tcW w:w="1080" w:type="dxa"/>
            <w:tcBorders>
              <w:top w:val="nil"/>
              <w:left w:val="single" w:sz="4" w:space="0" w:color="auto"/>
              <w:bottom w:val="nil"/>
              <w:right w:val="single" w:sz="4" w:space="0" w:color="auto"/>
            </w:tcBorders>
          </w:tcPr>
          <w:p w14:paraId="1B74E33F" w14:textId="77777777" w:rsidR="009E108D" w:rsidRPr="008967EC" w:rsidRDefault="009E108D" w:rsidP="00016A1A">
            <w:pPr>
              <w:jc w:val="right"/>
              <w:rPr>
                <w:sz w:val="20"/>
              </w:rPr>
            </w:pPr>
          </w:p>
          <w:p w14:paraId="6E3EAAA5" w14:textId="77777777" w:rsidR="009E108D" w:rsidRPr="008967EC" w:rsidRDefault="009E108D" w:rsidP="00016A1A">
            <w:pPr>
              <w:jc w:val="right"/>
              <w:rPr>
                <w:sz w:val="20"/>
              </w:rPr>
            </w:pPr>
            <w:r w:rsidRPr="008967EC">
              <w:rPr>
                <w:sz w:val="20"/>
              </w:rPr>
              <w:t>6 644</w:t>
            </w:r>
          </w:p>
        </w:tc>
        <w:tc>
          <w:tcPr>
            <w:tcW w:w="1242" w:type="dxa"/>
            <w:tcBorders>
              <w:top w:val="nil"/>
              <w:left w:val="single" w:sz="4" w:space="0" w:color="auto"/>
              <w:bottom w:val="nil"/>
              <w:right w:val="single" w:sz="4" w:space="0" w:color="auto"/>
            </w:tcBorders>
          </w:tcPr>
          <w:p w14:paraId="75257612" w14:textId="77777777" w:rsidR="009E108D" w:rsidRPr="008967EC" w:rsidRDefault="009E108D" w:rsidP="00016A1A">
            <w:pPr>
              <w:jc w:val="right"/>
              <w:rPr>
                <w:sz w:val="20"/>
              </w:rPr>
            </w:pPr>
          </w:p>
          <w:p w14:paraId="392F93BD" w14:textId="77777777" w:rsidR="009E108D" w:rsidRPr="008967EC" w:rsidRDefault="009E108D" w:rsidP="00016A1A">
            <w:pPr>
              <w:jc w:val="right"/>
              <w:rPr>
                <w:sz w:val="20"/>
              </w:rPr>
            </w:pPr>
            <w:r w:rsidRPr="008967EC">
              <w:rPr>
                <w:sz w:val="20"/>
              </w:rPr>
              <w:t>6 638</w:t>
            </w:r>
          </w:p>
        </w:tc>
        <w:tc>
          <w:tcPr>
            <w:tcW w:w="851" w:type="dxa"/>
            <w:tcBorders>
              <w:top w:val="nil"/>
              <w:left w:val="single" w:sz="4" w:space="0" w:color="auto"/>
              <w:bottom w:val="nil"/>
              <w:right w:val="single" w:sz="4" w:space="0" w:color="auto"/>
            </w:tcBorders>
          </w:tcPr>
          <w:p w14:paraId="71439598" w14:textId="77777777" w:rsidR="009E108D" w:rsidRPr="008967EC" w:rsidRDefault="009E108D" w:rsidP="00016A1A">
            <w:pPr>
              <w:jc w:val="right"/>
              <w:rPr>
                <w:sz w:val="20"/>
                <w:szCs w:val="20"/>
              </w:rPr>
            </w:pPr>
          </w:p>
          <w:p w14:paraId="48CEE38D" w14:textId="77777777" w:rsidR="009E108D" w:rsidRPr="008967EC" w:rsidRDefault="009E108D" w:rsidP="00016A1A">
            <w:pPr>
              <w:jc w:val="right"/>
              <w:rPr>
                <w:sz w:val="20"/>
                <w:szCs w:val="20"/>
              </w:rPr>
            </w:pPr>
            <w:r w:rsidRPr="008967EC">
              <w:rPr>
                <w:sz w:val="20"/>
                <w:szCs w:val="20"/>
              </w:rPr>
              <w:t>107,74</w:t>
            </w:r>
          </w:p>
        </w:tc>
      </w:tr>
      <w:tr w:rsidR="009E108D" w:rsidRPr="004B11AC" w14:paraId="145B1156" w14:textId="77777777" w:rsidTr="003F3157">
        <w:trPr>
          <w:tblHeader/>
        </w:trPr>
        <w:tc>
          <w:tcPr>
            <w:tcW w:w="3753" w:type="dxa"/>
            <w:tcBorders>
              <w:top w:val="nil"/>
              <w:left w:val="single" w:sz="4" w:space="0" w:color="auto"/>
              <w:bottom w:val="nil"/>
              <w:right w:val="single" w:sz="4" w:space="0" w:color="auto"/>
            </w:tcBorders>
          </w:tcPr>
          <w:p w14:paraId="4699A285" w14:textId="77777777" w:rsidR="009E108D" w:rsidRPr="00924002" w:rsidRDefault="009E108D" w:rsidP="00016A1A">
            <w:pPr>
              <w:jc w:val="both"/>
              <w:rPr>
                <w:sz w:val="20"/>
                <w:szCs w:val="20"/>
              </w:rPr>
            </w:pPr>
            <w:r w:rsidRPr="00924002">
              <w:rPr>
                <w:sz w:val="20"/>
                <w:szCs w:val="20"/>
              </w:rPr>
              <w:t>povinné pojistné placené zaměstnavatelem</w:t>
            </w:r>
          </w:p>
        </w:tc>
        <w:tc>
          <w:tcPr>
            <w:tcW w:w="1134" w:type="dxa"/>
            <w:tcBorders>
              <w:top w:val="nil"/>
              <w:left w:val="single" w:sz="4" w:space="0" w:color="auto"/>
              <w:bottom w:val="nil"/>
              <w:right w:val="single" w:sz="4" w:space="0" w:color="auto"/>
            </w:tcBorders>
          </w:tcPr>
          <w:p w14:paraId="0EFC9C50" w14:textId="77777777" w:rsidR="009E108D" w:rsidRPr="00924002" w:rsidRDefault="009E108D" w:rsidP="00016A1A">
            <w:pPr>
              <w:jc w:val="right"/>
              <w:rPr>
                <w:sz w:val="20"/>
                <w:szCs w:val="20"/>
              </w:rPr>
            </w:pPr>
            <w:r w:rsidRPr="00924002">
              <w:rPr>
                <w:sz w:val="20"/>
                <w:szCs w:val="20"/>
              </w:rPr>
              <w:t>2 094</w:t>
            </w:r>
          </w:p>
        </w:tc>
        <w:tc>
          <w:tcPr>
            <w:tcW w:w="1080" w:type="dxa"/>
            <w:tcBorders>
              <w:top w:val="nil"/>
              <w:left w:val="single" w:sz="4" w:space="0" w:color="auto"/>
              <w:bottom w:val="nil"/>
              <w:right w:val="single" w:sz="4" w:space="0" w:color="auto"/>
            </w:tcBorders>
          </w:tcPr>
          <w:p w14:paraId="0C05744B" w14:textId="77777777" w:rsidR="009E108D" w:rsidRPr="00924002" w:rsidRDefault="009E108D" w:rsidP="00016A1A">
            <w:pPr>
              <w:jc w:val="right"/>
              <w:rPr>
                <w:sz w:val="20"/>
                <w:szCs w:val="20"/>
              </w:rPr>
            </w:pPr>
            <w:r w:rsidRPr="00924002">
              <w:rPr>
                <w:sz w:val="20"/>
                <w:szCs w:val="20"/>
              </w:rPr>
              <w:t>2 259</w:t>
            </w:r>
          </w:p>
        </w:tc>
        <w:tc>
          <w:tcPr>
            <w:tcW w:w="1080" w:type="dxa"/>
            <w:tcBorders>
              <w:top w:val="nil"/>
              <w:left w:val="single" w:sz="4" w:space="0" w:color="auto"/>
              <w:bottom w:val="nil"/>
              <w:right w:val="single" w:sz="4" w:space="0" w:color="auto"/>
            </w:tcBorders>
          </w:tcPr>
          <w:p w14:paraId="484B22CF" w14:textId="77777777" w:rsidR="009E108D" w:rsidRPr="008967EC" w:rsidRDefault="009E108D" w:rsidP="00016A1A">
            <w:pPr>
              <w:jc w:val="right"/>
              <w:rPr>
                <w:sz w:val="20"/>
                <w:szCs w:val="20"/>
              </w:rPr>
            </w:pPr>
            <w:r w:rsidRPr="008967EC">
              <w:rPr>
                <w:sz w:val="20"/>
                <w:szCs w:val="20"/>
              </w:rPr>
              <w:t>2 259</w:t>
            </w:r>
          </w:p>
        </w:tc>
        <w:tc>
          <w:tcPr>
            <w:tcW w:w="1242" w:type="dxa"/>
            <w:tcBorders>
              <w:top w:val="nil"/>
              <w:left w:val="single" w:sz="4" w:space="0" w:color="auto"/>
              <w:bottom w:val="nil"/>
              <w:right w:val="single" w:sz="4" w:space="0" w:color="auto"/>
            </w:tcBorders>
          </w:tcPr>
          <w:p w14:paraId="05833692" w14:textId="77777777" w:rsidR="009E108D" w:rsidRPr="008967EC" w:rsidRDefault="009E108D" w:rsidP="00016A1A">
            <w:pPr>
              <w:jc w:val="right"/>
              <w:rPr>
                <w:sz w:val="20"/>
                <w:szCs w:val="20"/>
              </w:rPr>
            </w:pPr>
            <w:r w:rsidRPr="008967EC">
              <w:rPr>
                <w:sz w:val="20"/>
                <w:szCs w:val="20"/>
              </w:rPr>
              <w:t>2 259</w:t>
            </w:r>
          </w:p>
        </w:tc>
        <w:tc>
          <w:tcPr>
            <w:tcW w:w="851" w:type="dxa"/>
            <w:tcBorders>
              <w:top w:val="nil"/>
              <w:left w:val="single" w:sz="4" w:space="0" w:color="auto"/>
              <w:bottom w:val="nil"/>
              <w:right w:val="single" w:sz="4" w:space="0" w:color="auto"/>
            </w:tcBorders>
          </w:tcPr>
          <w:p w14:paraId="15D12A93" w14:textId="77777777" w:rsidR="009E108D" w:rsidRPr="008967EC" w:rsidRDefault="009E108D" w:rsidP="00016A1A">
            <w:pPr>
              <w:jc w:val="right"/>
              <w:rPr>
                <w:sz w:val="20"/>
                <w:szCs w:val="20"/>
              </w:rPr>
            </w:pPr>
            <w:r w:rsidRPr="008967EC">
              <w:rPr>
                <w:sz w:val="20"/>
                <w:szCs w:val="20"/>
              </w:rPr>
              <w:t>107,88</w:t>
            </w:r>
          </w:p>
        </w:tc>
      </w:tr>
      <w:tr w:rsidR="009E108D" w:rsidRPr="004B11AC" w14:paraId="1EA7C2DF" w14:textId="77777777" w:rsidTr="003F3157">
        <w:trPr>
          <w:tblHeader/>
        </w:trPr>
        <w:tc>
          <w:tcPr>
            <w:tcW w:w="3753" w:type="dxa"/>
            <w:tcBorders>
              <w:top w:val="nil"/>
              <w:left w:val="single" w:sz="4" w:space="0" w:color="auto"/>
              <w:bottom w:val="nil"/>
              <w:right w:val="single" w:sz="4" w:space="0" w:color="auto"/>
            </w:tcBorders>
          </w:tcPr>
          <w:p w14:paraId="04B4D21C" w14:textId="77777777" w:rsidR="009E108D" w:rsidRPr="00924002" w:rsidRDefault="009E108D" w:rsidP="00016A1A">
            <w:pPr>
              <w:jc w:val="both"/>
              <w:rPr>
                <w:sz w:val="20"/>
                <w:szCs w:val="20"/>
              </w:rPr>
            </w:pPr>
            <w:r w:rsidRPr="00924002">
              <w:rPr>
                <w:sz w:val="20"/>
                <w:szCs w:val="20"/>
              </w:rPr>
              <w:t>převod FKSP</w:t>
            </w:r>
          </w:p>
        </w:tc>
        <w:tc>
          <w:tcPr>
            <w:tcW w:w="1134" w:type="dxa"/>
            <w:tcBorders>
              <w:top w:val="nil"/>
              <w:left w:val="single" w:sz="4" w:space="0" w:color="auto"/>
              <w:bottom w:val="nil"/>
              <w:right w:val="single" w:sz="4" w:space="0" w:color="auto"/>
            </w:tcBorders>
          </w:tcPr>
          <w:p w14:paraId="27ED22B0" w14:textId="77777777" w:rsidR="009E108D" w:rsidRPr="00924002" w:rsidRDefault="009E108D" w:rsidP="00016A1A">
            <w:pPr>
              <w:jc w:val="right"/>
              <w:rPr>
                <w:sz w:val="20"/>
                <w:szCs w:val="20"/>
              </w:rPr>
            </w:pPr>
            <w:r w:rsidRPr="00924002">
              <w:rPr>
                <w:sz w:val="20"/>
                <w:szCs w:val="20"/>
              </w:rPr>
              <w:t>122</w:t>
            </w:r>
          </w:p>
        </w:tc>
        <w:tc>
          <w:tcPr>
            <w:tcW w:w="1080" w:type="dxa"/>
            <w:tcBorders>
              <w:top w:val="nil"/>
              <w:left w:val="single" w:sz="4" w:space="0" w:color="auto"/>
              <w:bottom w:val="nil"/>
              <w:right w:val="single" w:sz="4" w:space="0" w:color="auto"/>
            </w:tcBorders>
          </w:tcPr>
          <w:p w14:paraId="4F587B59" w14:textId="77777777" w:rsidR="009E108D" w:rsidRPr="00924002" w:rsidRDefault="009E108D" w:rsidP="00016A1A">
            <w:pPr>
              <w:jc w:val="right"/>
              <w:rPr>
                <w:sz w:val="20"/>
                <w:szCs w:val="20"/>
              </w:rPr>
            </w:pPr>
            <w:r w:rsidRPr="00924002">
              <w:rPr>
                <w:sz w:val="20"/>
                <w:szCs w:val="20"/>
              </w:rPr>
              <w:t>132</w:t>
            </w:r>
          </w:p>
        </w:tc>
        <w:tc>
          <w:tcPr>
            <w:tcW w:w="1080" w:type="dxa"/>
            <w:tcBorders>
              <w:top w:val="nil"/>
              <w:left w:val="single" w:sz="4" w:space="0" w:color="auto"/>
              <w:bottom w:val="nil"/>
              <w:right w:val="single" w:sz="4" w:space="0" w:color="auto"/>
            </w:tcBorders>
          </w:tcPr>
          <w:p w14:paraId="1080F521" w14:textId="77777777" w:rsidR="009E108D" w:rsidRPr="008967EC" w:rsidRDefault="009E108D" w:rsidP="00016A1A">
            <w:pPr>
              <w:jc w:val="right"/>
              <w:rPr>
                <w:sz w:val="20"/>
                <w:szCs w:val="20"/>
              </w:rPr>
            </w:pPr>
            <w:r w:rsidRPr="008967EC">
              <w:rPr>
                <w:sz w:val="20"/>
                <w:szCs w:val="20"/>
              </w:rPr>
              <w:t>132</w:t>
            </w:r>
          </w:p>
        </w:tc>
        <w:tc>
          <w:tcPr>
            <w:tcW w:w="1242" w:type="dxa"/>
            <w:tcBorders>
              <w:top w:val="nil"/>
              <w:left w:val="single" w:sz="4" w:space="0" w:color="auto"/>
              <w:bottom w:val="nil"/>
              <w:right w:val="single" w:sz="4" w:space="0" w:color="auto"/>
            </w:tcBorders>
          </w:tcPr>
          <w:p w14:paraId="3E48A6C4" w14:textId="77777777" w:rsidR="009E108D" w:rsidRPr="008967EC" w:rsidRDefault="009E108D" w:rsidP="00016A1A">
            <w:pPr>
              <w:jc w:val="right"/>
              <w:rPr>
                <w:sz w:val="20"/>
                <w:szCs w:val="20"/>
              </w:rPr>
            </w:pPr>
            <w:r w:rsidRPr="008967EC">
              <w:rPr>
                <w:sz w:val="20"/>
                <w:szCs w:val="20"/>
              </w:rPr>
              <w:t>132</w:t>
            </w:r>
          </w:p>
        </w:tc>
        <w:tc>
          <w:tcPr>
            <w:tcW w:w="851" w:type="dxa"/>
            <w:tcBorders>
              <w:top w:val="nil"/>
              <w:left w:val="single" w:sz="4" w:space="0" w:color="auto"/>
              <w:bottom w:val="nil"/>
              <w:right w:val="single" w:sz="4" w:space="0" w:color="auto"/>
            </w:tcBorders>
          </w:tcPr>
          <w:p w14:paraId="04327464" w14:textId="77777777" w:rsidR="009E108D" w:rsidRPr="008967EC" w:rsidRDefault="009E108D" w:rsidP="00016A1A">
            <w:pPr>
              <w:jc w:val="right"/>
              <w:rPr>
                <w:sz w:val="20"/>
                <w:szCs w:val="20"/>
              </w:rPr>
            </w:pPr>
            <w:r w:rsidRPr="008967EC">
              <w:rPr>
                <w:sz w:val="20"/>
                <w:szCs w:val="20"/>
              </w:rPr>
              <w:t>108,20</w:t>
            </w:r>
          </w:p>
        </w:tc>
      </w:tr>
      <w:tr w:rsidR="009E108D" w:rsidRPr="004B11AC" w14:paraId="314FBFF5" w14:textId="77777777" w:rsidTr="003F3157">
        <w:trPr>
          <w:tblHeader/>
        </w:trPr>
        <w:tc>
          <w:tcPr>
            <w:tcW w:w="3753" w:type="dxa"/>
            <w:tcBorders>
              <w:top w:val="nil"/>
              <w:left w:val="single" w:sz="4" w:space="0" w:color="auto"/>
              <w:bottom w:val="nil"/>
              <w:right w:val="single" w:sz="4" w:space="0" w:color="auto"/>
            </w:tcBorders>
          </w:tcPr>
          <w:p w14:paraId="24EBB4BD" w14:textId="77777777" w:rsidR="009E108D" w:rsidRPr="00924002" w:rsidRDefault="009E108D" w:rsidP="00016A1A">
            <w:pPr>
              <w:jc w:val="both"/>
              <w:rPr>
                <w:sz w:val="20"/>
                <w:szCs w:val="20"/>
              </w:rPr>
            </w:pPr>
            <w:r w:rsidRPr="00924002">
              <w:rPr>
                <w:sz w:val="20"/>
                <w:szCs w:val="20"/>
              </w:rPr>
              <w:t>ostatní neinvestiční výdaje</w:t>
            </w:r>
          </w:p>
        </w:tc>
        <w:tc>
          <w:tcPr>
            <w:tcW w:w="1134" w:type="dxa"/>
            <w:tcBorders>
              <w:top w:val="nil"/>
              <w:left w:val="single" w:sz="4" w:space="0" w:color="auto"/>
              <w:bottom w:val="nil"/>
              <w:right w:val="single" w:sz="4" w:space="0" w:color="auto"/>
            </w:tcBorders>
          </w:tcPr>
          <w:p w14:paraId="01817455" w14:textId="77777777" w:rsidR="009E108D" w:rsidRPr="00924002" w:rsidRDefault="009E108D" w:rsidP="00016A1A">
            <w:pPr>
              <w:jc w:val="right"/>
              <w:rPr>
                <w:sz w:val="20"/>
                <w:szCs w:val="20"/>
              </w:rPr>
            </w:pPr>
            <w:r w:rsidRPr="00924002">
              <w:rPr>
                <w:sz w:val="20"/>
                <w:szCs w:val="20"/>
              </w:rPr>
              <w:t>9 023</w:t>
            </w:r>
          </w:p>
        </w:tc>
        <w:tc>
          <w:tcPr>
            <w:tcW w:w="1080" w:type="dxa"/>
            <w:tcBorders>
              <w:top w:val="nil"/>
              <w:left w:val="single" w:sz="4" w:space="0" w:color="auto"/>
              <w:bottom w:val="nil"/>
              <w:right w:val="single" w:sz="4" w:space="0" w:color="auto"/>
            </w:tcBorders>
          </w:tcPr>
          <w:p w14:paraId="5E5880CC" w14:textId="77777777" w:rsidR="009E108D" w:rsidRPr="00924002" w:rsidRDefault="009E108D" w:rsidP="00016A1A">
            <w:pPr>
              <w:jc w:val="right"/>
              <w:rPr>
                <w:sz w:val="20"/>
                <w:szCs w:val="20"/>
              </w:rPr>
            </w:pPr>
            <w:r w:rsidRPr="00924002">
              <w:rPr>
                <w:sz w:val="20"/>
                <w:szCs w:val="20"/>
              </w:rPr>
              <w:t>13 843</w:t>
            </w:r>
          </w:p>
        </w:tc>
        <w:tc>
          <w:tcPr>
            <w:tcW w:w="1080" w:type="dxa"/>
            <w:tcBorders>
              <w:top w:val="nil"/>
              <w:left w:val="single" w:sz="4" w:space="0" w:color="auto"/>
              <w:bottom w:val="nil"/>
              <w:right w:val="single" w:sz="4" w:space="0" w:color="auto"/>
            </w:tcBorders>
          </w:tcPr>
          <w:p w14:paraId="0451FA7D" w14:textId="77777777" w:rsidR="009E108D" w:rsidRPr="008967EC" w:rsidRDefault="009E108D" w:rsidP="00016A1A">
            <w:pPr>
              <w:jc w:val="right"/>
              <w:rPr>
                <w:sz w:val="20"/>
                <w:szCs w:val="20"/>
              </w:rPr>
            </w:pPr>
            <w:r w:rsidRPr="008967EC">
              <w:rPr>
                <w:sz w:val="20"/>
                <w:szCs w:val="20"/>
              </w:rPr>
              <w:t>32 983</w:t>
            </w:r>
          </w:p>
        </w:tc>
        <w:tc>
          <w:tcPr>
            <w:tcW w:w="1242" w:type="dxa"/>
            <w:tcBorders>
              <w:top w:val="nil"/>
              <w:left w:val="single" w:sz="4" w:space="0" w:color="auto"/>
              <w:bottom w:val="nil"/>
              <w:right w:val="single" w:sz="4" w:space="0" w:color="auto"/>
            </w:tcBorders>
          </w:tcPr>
          <w:p w14:paraId="58034D53" w14:textId="77777777" w:rsidR="009E108D" w:rsidRPr="008967EC" w:rsidRDefault="009E108D" w:rsidP="00016A1A">
            <w:pPr>
              <w:jc w:val="right"/>
              <w:rPr>
                <w:sz w:val="20"/>
                <w:szCs w:val="20"/>
              </w:rPr>
            </w:pPr>
            <w:r w:rsidRPr="008967EC">
              <w:rPr>
                <w:sz w:val="20"/>
                <w:szCs w:val="20"/>
              </w:rPr>
              <w:t>33 439</w:t>
            </w:r>
          </w:p>
        </w:tc>
        <w:tc>
          <w:tcPr>
            <w:tcW w:w="851" w:type="dxa"/>
            <w:tcBorders>
              <w:top w:val="nil"/>
              <w:left w:val="single" w:sz="4" w:space="0" w:color="auto"/>
              <w:bottom w:val="nil"/>
              <w:right w:val="single" w:sz="4" w:space="0" w:color="auto"/>
            </w:tcBorders>
          </w:tcPr>
          <w:p w14:paraId="11BA40AC" w14:textId="77777777" w:rsidR="009E108D" w:rsidRPr="008967EC" w:rsidRDefault="009E108D" w:rsidP="00016A1A">
            <w:pPr>
              <w:jc w:val="right"/>
              <w:rPr>
                <w:sz w:val="20"/>
                <w:szCs w:val="20"/>
              </w:rPr>
            </w:pPr>
            <w:r w:rsidRPr="008967EC">
              <w:rPr>
                <w:sz w:val="20"/>
                <w:szCs w:val="20"/>
              </w:rPr>
              <w:t>370,60</w:t>
            </w:r>
          </w:p>
        </w:tc>
      </w:tr>
      <w:tr w:rsidR="009E108D" w:rsidRPr="004B11AC" w14:paraId="4409CC53" w14:textId="77777777" w:rsidTr="003F3157">
        <w:trPr>
          <w:tblHeader/>
        </w:trPr>
        <w:tc>
          <w:tcPr>
            <w:tcW w:w="3753" w:type="dxa"/>
            <w:tcBorders>
              <w:top w:val="nil"/>
              <w:left w:val="single" w:sz="4" w:space="0" w:color="auto"/>
              <w:bottom w:val="single" w:sz="4" w:space="0" w:color="auto"/>
              <w:right w:val="single" w:sz="4" w:space="0" w:color="auto"/>
            </w:tcBorders>
          </w:tcPr>
          <w:p w14:paraId="5B83D9B1" w14:textId="77777777" w:rsidR="009E108D" w:rsidRPr="00924002" w:rsidRDefault="009E108D" w:rsidP="00016A1A">
            <w:pPr>
              <w:jc w:val="both"/>
              <w:rPr>
                <w:i/>
                <w:sz w:val="20"/>
                <w:szCs w:val="20"/>
              </w:rPr>
            </w:pPr>
            <w:r w:rsidRPr="00924002">
              <w:rPr>
                <w:i/>
                <w:sz w:val="20"/>
                <w:szCs w:val="20"/>
              </w:rPr>
              <w:t>z toho: programové financování</w:t>
            </w:r>
          </w:p>
        </w:tc>
        <w:tc>
          <w:tcPr>
            <w:tcW w:w="1134" w:type="dxa"/>
            <w:tcBorders>
              <w:top w:val="nil"/>
              <w:left w:val="single" w:sz="4" w:space="0" w:color="auto"/>
              <w:bottom w:val="single" w:sz="4" w:space="0" w:color="auto"/>
              <w:right w:val="single" w:sz="4" w:space="0" w:color="auto"/>
            </w:tcBorders>
          </w:tcPr>
          <w:p w14:paraId="6C434446" w14:textId="77777777" w:rsidR="009E108D" w:rsidRPr="00924002" w:rsidRDefault="009E108D" w:rsidP="00016A1A">
            <w:pPr>
              <w:jc w:val="right"/>
              <w:rPr>
                <w:i/>
                <w:sz w:val="20"/>
                <w:szCs w:val="20"/>
              </w:rPr>
            </w:pPr>
            <w:r w:rsidRPr="00924002">
              <w:rPr>
                <w:i/>
                <w:sz w:val="20"/>
                <w:szCs w:val="20"/>
              </w:rPr>
              <w:t>0</w:t>
            </w:r>
          </w:p>
        </w:tc>
        <w:tc>
          <w:tcPr>
            <w:tcW w:w="1080" w:type="dxa"/>
            <w:tcBorders>
              <w:top w:val="nil"/>
              <w:left w:val="single" w:sz="4" w:space="0" w:color="auto"/>
              <w:bottom w:val="single" w:sz="4" w:space="0" w:color="auto"/>
              <w:right w:val="single" w:sz="4" w:space="0" w:color="auto"/>
            </w:tcBorders>
          </w:tcPr>
          <w:p w14:paraId="6B9F1DA0" w14:textId="77777777" w:rsidR="009E108D" w:rsidRPr="00924002" w:rsidRDefault="009E108D" w:rsidP="00016A1A">
            <w:pPr>
              <w:jc w:val="right"/>
              <w:rPr>
                <w:i/>
                <w:sz w:val="20"/>
                <w:szCs w:val="20"/>
              </w:rPr>
            </w:pPr>
            <w:r w:rsidRPr="00924002">
              <w:rPr>
                <w:i/>
                <w:sz w:val="20"/>
                <w:szCs w:val="20"/>
              </w:rPr>
              <w:t>0</w:t>
            </w:r>
          </w:p>
        </w:tc>
        <w:tc>
          <w:tcPr>
            <w:tcW w:w="1080" w:type="dxa"/>
            <w:tcBorders>
              <w:top w:val="nil"/>
              <w:left w:val="single" w:sz="4" w:space="0" w:color="auto"/>
              <w:bottom w:val="single" w:sz="4" w:space="0" w:color="auto"/>
              <w:right w:val="single" w:sz="4" w:space="0" w:color="auto"/>
            </w:tcBorders>
          </w:tcPr>
          <w:p w14:paraId="5240680D" w14:textId="77777777" w:rsidR="009E108D" w:rsidRPr="008967EC" w:rsidRDefault="009E108D" w:rsidP="00016A1A">
            <w:pPr>
              <w:jc w:val="right"/>
              <w:rPr>
                <w:i/>
                <w:sz w:val="20"/>
                <w:szCs w:val="20"/>
              </w:rPr>
            </w:pPr>
            <w:r w:rsidRPr="008967EC">
              <w:rPr>
                <w:i/>
                <w:sz w:val="20"/>
                <w:szCs w:val="20"/>
              </w:rPr>
              <w:t>0</w:t>
            </w:r>
          </w:p>
        </w:tc>
        <w:tc>
          <w:tcPr>
            <w:tcW w:w="1242" w:type="dxa"/>
            <w:tcBorders>
              <w:top w:val="nil"/>
              <w:left w:val="single" w:sz="4" w:space="0" w:color="auto"/>
              <w:bottom w:val="single" w:sz="4" w:space="0" w:color="auto"/>
              <w:right w:val="single" w:sz="4" w:space="0" w:color="auto"/>
            </w:tcBorders>
          </w:tcPr>
          <w:p w14:paraId="0BE4AE57" w14:textId="77777777" w:rsidR="009E108D" w:rsidRPr="008967EC" w:rsidRDefault="009E108D" w:rsidP="00016A1A">
            <w:pPr>
              <w:jc w:val="right"/>
              <w:rPr>
                <w:i/>
                <w:sz w:val="20"/>
                <w:szCs w:val="20"/>
              </w:rPr>
            </w:pPr>
            <w:r w:rsidRPr="008967EC">
              <w:rPr>
                <w:i/>
                <w:sz w:val="20"/>
                <w:szCs w:val="20"/>
              </w:rPr>
              <w:t>0</w:t>
            </w:r>
          </w:p>
        </w:tc>
        <w:tc>
          <w:tcPr>
            <w:tcW w:w="851" w:type="dxa"/>
            <w:tcBorders>
              <w:top w:val="nil"/>
              <w:left w:val="single" w:sz="4" w:space="0" w:color="auto"/>
              <w:bottom w:val="single" w:sz="4" w:space="0" w:color="auto"/>
              <w:right w:val="single" w:sz="4" w:space="0" w:color="auto"/>
            </w:tcBorders>
          </w:tcPr>
          <w:p w14:paraId="5F00FD7F" w14:textId="77777777" w:rsidR="009E108D" w:rsidRPr="008967EC" w:rsidRDefault="009E108D" w:rsidP="00016A1A">
            <w:pPr>
              <w:jc w:val="right"/>
              <w:rPr>
                <w:i/>
                <w:sz w:val="20"/>
                <w:szCs w:val="20"/>
              </w:rPr>
            </w:pPr>
            <w:r w:rsidRPr="008967EC">
              <w:rPr>
                <w:i/>
                <w:sz w:val="20"/>
                <w:szCs w:val="20"/>
              </w:rPr>
              <w:t>x</w:t>
            </w:r>
          </w:p>
        </w:tc>
      </w:tr>
    </w:tbl>
    <w:p w14:paraId="46F0682A" w14:textId="386DFCB2" w:rsidR="009E108D" w:rsidRPr="008967EC" w:rsidRDefault="009E108D" w:rsidP="009E108D">
      <w:pPr>
        <w:pStyle w:val="KOMtext"/>
      </w:pPr>
      <w:r>
        <w:t>S</w:t>
      </w:r>
      <w:r w:rsidRPr="008967EC">
        <w:t>chválený rozpočet běžných výdajů ve výši 22 878 tis. Kč</w:t>
      </w:r>
      <w:r>
        <w:t xml:space="preserve"> byl v průběhu roku 2019</w:t>
      </w:r>
      <w:r w:rsidRPr="008967EC">
        <w:t xml:space="preserve"> navýšen</w:t>
      </w:r>
      <w:r>
        <w:t xml:space="preserve"> </w:t>
      </w:r>
      <w:r w:rsidR="00835A0C">
        <w:br/>
      </w:r>
      <w:r w:rsidRPr="008967EC">
        <w:t xml:space="preserve">o 19 140 tis. </w:t>
      </w:r>
      <w:r w:rsidR="00E2031D" w:rsidRPr="008967EC">
        <w:t>Kč na</w:t>
      </w:r>
      <w:r w:rsidRPr="008967EC">
        <w:t xml:space="preserve"> 42 018 tis. Kč. Tyto prostředky byly </w:t>
      </w:r>
      <w:r w:rsidR="006622C8">
        <w:t>vratkou</w:t>
      </w:r>
      <w:r w:rsidRPr="008967EC">
        <w:t xml:space="preserve"> Státnímu fondu dopravní infrastruktury dle § 3 zákona 104/2000 Sb., o Státním fondu dopravní infrastruktury.</w:t>
      </w:r>
    </w:p>
    <w:p w14:paraId="0FD8EF33" w14:textId="77777777" w:rsidR="009E108D" w:rsidRDefault="009E108D" w:rsidP="003F3157">
      <w:pPr>
        <w:pStyle w:val="KOMtext"/>
      </w:pPr>
      <w:r w:rsidRPr="005C79C2">
        <w:t xml:space="preserve">Běžné výdaje byly čerpány ve výši 42 468 tis. Kč, tj. 101,07 % upraveného rozpočtu, z toho použití nároků z nespotřebovaných výdajů minulých let činilo 6 213 tis. Kč. </w:t>
      </w:r>
      <w:r>
        <w:t xml:space="preserve"> Čerpání prostředků v průběhu roku 2019 bylo nejvyšší ve 2. čtvrtletí (66,53 %), a to z důvodu úhrady vratky Státnímu fondu dopravní infrastruktury za možné p</w:t>
      </w:r>
      <w:r w:rsidR="003F3157">
        <w:t>orušení zákona 137/2006 Sb.,</w:t>
      </w:r>
      <w:r>
        <w:t xml:space="preserve"> o veřejných zakázkách.                                                                                                                                                                                                                                                                                                                                                                                                                                                                                                                                                                                                                                                                                                                                                                                                                                                                                                                                                                                                                                                                                                                                                                                                                                                                                                                                                                                                                                                                                                                                                                                                                                                                                                                                                                                                                                                                                                                                                                                                                                                                                                                                                                                                                                                                                                                                                                                                                                                                                                                                                                                                                                                                                                                                                                                                                                                                                                                                                                                                                                                                                                                                                                                                                                                                                                                                                                                                                                                                                                                                                                                                                                                                                                                                                                                                                                                                                                                                                                                                                                                                                                                                                                                                                                                                                                                                                                                                                                                                                                                                                                                                                                                                                                                                                                                                                                                                                                                                                                                                                                                                                                                                                                                                                                                                                                                                                                                                                                                                                                                                                                                                                                                                                                                                                                                                                                                                                                                                                                                                                                                                                                                                                                                                                                                                                                                                                                                                                                                                                                                                                                                                                                                                                                                                                                                                                                                                                                                                                                                                                                                                                                                                                                                                                                                                                                                                                                                                                                                                                                                                                                                                                                                                                                                                                                                                                                                                                                                                                                                                                                                                                                                                                                                                                                                                                                                                                                                                                                                                                                                                                                                                                                                                                                                                                                                                                                                                                                                                                                                                                                                                                                                                                                                                                                                                                                                                                                                                                                                                                                                                                                                                                                                                                                                                                                                                                                                                                                                                                                                                                                                                                                                                                                                                                                                                                                                                                                                                                                                                                                                                                                                                                                                                                                                                                                                                                                                                                                                                                                                                                                                                                                                                                                                                                                                                                                                                                                                                                                                                                                                                                                                                                                                                                                                                                                                                                                                                                                                                                                                                                                                                                                                                                                                                                                                                                                                                                                                                                                                                                                                                                                                                                                                                                                                                                                                                                                                                                                                                                                                                                                                                                                                                                                                                                                                                                                                                                                                                                                                                                                                                                                                                                                                                                                                                                                                                                                                                                                                                                                                                                                                                                                                                                                                                                                                                                                                                                                                                                                                                                                                                                                                                                                                                                                                                                                                                                                                                                                                                                                                                                                                                                                                                                                                                                                                                                                                                                                                                                                                                                                                                                                                                                                                                                                                                                                                                                                                                                                                                                                                                                                                                                                                                                                                                                                                                                                                                                                                                                                                                                                                                                                                                                                                                                                                                                                                                                                                                                                                                                                                                                                                                                                                                                                                                                                                                                                                                                                                                                                                                                                                                                                                                                                                                                                                                                                                                                                                                                                                                                                                                                                                                                                                                                                                                                                                                                                                                                                                                                                                                                                                                                                                                                                                                                                                                                                                                                                                                                                                                                                                                                                                                                                                                                                                                                                                                                                                                                                                                                                                                                                                                                                                                                                                                                                                                                                                                                                                                                                                                                                                                                                                                                                                                                                                                                                                                                                                                                                                                                                                                                                                                                                                                                                                                                                                                                                                                                                                                                                                                                                                                                                                                                                                                                                                                                                                                                                                                                                                                                                                                                                                                                                                                                                                                                                                                                                                                                                                                                                                                                                                                                                                                                                                                                                                                                                                                                                                                                                                                                                                                                                                                                                                                                                                                                                                                                                                                                                                                                                                                                                                                                                                                                                                                                                                                                                                                                                                                                                                                                                                                                                                                                                                                                                                                                                                                                                                                                                                                                                                                                                                                                                                                                                                                                                                                                                                                                                                                                                                                                                                                                                                                                                                                                                                                                                                                                                                                                                                                                                                                                                                                                                                                                                                                                                                                                                                                                                                                                                                                                                                                                                                                                                                                                                                                                                                                                                                                                                                                                                                                                                                                                                                                                                                                                                                                                                                                                                                                                                                                                                                                                                                                                                                                                                                                                                                                                                                                                                                                                                                                                                                                                                                                                                                                                                                                                                                                                                                                                                                                                                                                                                                                                                                                                                                                                                                                                                                                                                                                                                                                                                                                                                                                                                                                                                                                                                                                                                                                                                                                                                                                                                                                                                                                                                                                                                                                                                                                                                                                                                                                                                                                                                                                                                                                                                                                                                                                                                                                                                                                                                                                                                                                                                                                                                                                                                                                                                                                                                                                                                                                                                                                                                                                                                                                                                                                                                                                                    </w:t>
      </w:r>
    </w:p>
    <w:p w14:paraId="105D2623" w14:textId="77777777" w:rsidR="009E108D" w:rsidRDefault="009E108D" w:rsidP="003F3157">
      <w:pPr>
        <w:pStyle w:val="KOMtext"/>
      </w:pPr>
      <w:r w:rsidRPr="005C79C2">
        <w:t xml:space="preserve">Výdaje na platy zaměstnanců a ostatní platby za provedenou práci a s tím související povinné platby (pojistné a převod FKSP) ve výši 9 029 tis. Kč se podílejí na celkovém objemu čerpání běžných výdajů 21,26 %. </w:t>
      </w:r>
    </w:p>
    <w:p w14:paraId="608CBF71" w14:textId="77777777" w:rsidR="009E108D" w:rsidRPr="005C79C2" w:rsidRDefault="009E108D" w:rsidP="003F3157">
      <w:pPr>
        <w:pStyle w:val="KOMtext"/>
      </w:pPr>
      <w:r>
        <w:lastRenderedPageBreak/>
        <w:t>Čerpání</w:t>
      </w:r>
      <w:r w:rsidRPr="005C79C2">
        <w:t xml:space="preserve"> ostatních běžných výdajů bylo ovlivněno vrácením prostředků Státnímu fondu dopravní infrastruktury ve výši 23 837 tis. Kč, z toho nároky 4 464 tis. Kč</w:t>
      </w:r>
      <w:r w:rsidRPr="005C79C2">
        <w:rPr>
          <w:color w:val="FF0000"/>
        </w:rPr>
        <w:t xml:space="preserve">. </w:t>
      </w:r>
      <w:r w:rsidRPr="005C79C2">
        <w:t xml:space="preserve">Dále byly čerpány prostředky na ostatní služby (zejména za služby spojené s provozováním říčních přístavů), </w:t>
      </w:r>
      <w:r w:rsidRPr="005C79C2">
        <w:br/>
        <w:t>na nájemné (zejména za pozemky pronajaté v Hamburku), na konzultační, poradenské a právní služby související s řešením právních sporů, které vznikají při přípravě a výstavbě staveb nutných pro provoz na vodních cestách, dále pak výdaje na cestovné, elektrickou energii, IT služby, telekomunikační služby a pohonné hmoty. Zbývající nároky ve výši 1 749 tis. Kč byly použity na nákup ostatních služeb.</w:t>
      </w:r>
    </w:p>
    <w:p w14:paraId="12992AC5" w14:textId="77777777" w:rsidR="00FA7E1E" w:rsidRPr="008F6CE7" w:rsidRDefault="00FA7E1E" w:rsidP="003F3157">
      <w:pPr>
        <w:pStyle w:val="Nadpis6"/>
      </w:pPr>
      <w:r w:rsidRPr="008F6CE7">
        <w:t>Ústav pro odborné zjišťování příčin leteckých nehod</w:t>
      </w:r>
    </w:p>
    <w:p w14:paraId="190A7D71" w14:textId="77777777" w:rsidR="00DC6B51" w:rsidRPr="008F6CE7" w:rsidRDefault="00DC6B51" w:rsidP="00DC6B51">
      <w:pPr>
        <w:pStyle w:val="KOMtext"/>
      </w:pPr>
      <w:bookmarkStart w:id="287" w:name="_Toc413413657"/>
      <w:bookmarkStart w:id="288" w:name="_Toc255297639"/>
      <w:bookmarkEnd w:id="284"/>
      <w:r w:rsidRPr="008F6CE7">
        <w:t>Organizační složka státu vznikla k </w:t>
      </w:r>
      <w:r w:rsidR="00E2031D" w:rsidRPr="008F6CE7">
        <w:t>1. 1. 2003</w:t>
      </w:r>
      <w:r w:rsidRPr="008F6CE7">
        <w:t xml:space="preserve"> na základě zákona č. 49/1997 Sb., o civilním letectví, ve znění pozdějších předpisů. Hlavní činností je shromažďování a analýza informací </w:t>
      </w:r>
      <w:r w:rsidRPr="008F6CE7">
        <w:br/>
        <w:t xml:space="preserve">o leteckých nehodách včetně určování příčin leteckých nehod a vypracování závěrů </w:t>
      </w:r>
      <w:r w:rsidRPr="008F6CE7">
        <w:br/>
        <w:t>a bezpečnostních doporučení k jejich předcházení.</w:t>
      </w:r>
    </w:p>
    <w:p w14:paraId="427B2288" w14:textId="77777777" w:rsidR="00F962B6" w:rsidRPr="008F6CE7" w:rsidRDefault="00F962B6" w:rsidP="00DB2320">
      <w:pPr>
        <w:keepNext/>
        <w:ind w:left="357" w:right="1"/>
        <w:jc w:val="right"/>
      </w:pPr>
      <w:r w:rsidRPr="008F6CE7">
        <w:t>v tis. Kč</w:t>
      </w: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80"/>
        <w:gridCol w:w="1125"/>
        <w:gridCol w:w="1125"/>
        <w:gridCol w:w="1125"/>
        <w:gridCol w:w="1125"/>
        <w:gridCol w:w="859"/>
      </w:tblGrid>
      <w:tr w:rsidR="008F6CE7" w:rsidRPr="000D77C8" w14:paraId="5C2A6E51" w14:textId="77777777" w:rsidTr="00DB2320">
        <w:trPr>
          <w:tblHeader/>
        </w:trPr>
        <w:tc>
          <w:tcPr>
            <w:tcW w:w="3780" w:type="dxa"/>
          </w:tcPr>
          <w:p w14:paraId="08E88404" w14:textId="77777777" w:rsidR="008F6CE7" w:rsidRPr="006E740C" w:rsidRDefault="008F6CE7" w:rsidP="008F6CE7">
            <w:pPr>
              <w:jc w:val="center"/>
              <w:rPr>
                <w:sz w:val="22"/>
              </w:rPr>
            </w:pPr>
          </w:p>
          <w:p w14:paraId="5B1D414D" w14:textId="77777777" w:rsidR="008F6CE7" w:rsidRPr="006E740C" w:rsidRDefault="008F6CE7" w:rsidP="008F6CE7">
            <w:pPr>
              <w:jc w:val="center"/>
              <w:rPr>
                <w:sz w:val="22"/>
              </w:rPr>
            </w:pPr>
            <w:r w:rsidRPr="006E740C">
              <w:rPr>
                <w:sz w:val="22"/>
              </w:rPr>
              <w:t>Ukazatel</w:t>
            </w:r>
          </w:p>
        </w:tc>
        <w:tc>
          <w:tcPr>
            <w:tcW w:w="1125" w:type="dxa"/>
            <w:vAlign w:val="center"/>
          </w:tcPr>
          <w:p w14:paraId="0C5F1B7D" w14:textId="77777777" w:rsidR="008F6CE7" w:rsidRPr="006E740C" w:rsidRDefault="008F6CE7" w:rsidP="008F6CE7">
            <w:pPr>
              <w:jc w:val="center"/>
              <w:rPr>
                <w:sz w:val="22"/>
              </w:rPr>
            </w:pPr>
            <w:r w:rsidRPr="006E740C">
              <w:rPr>
                <w:sz w:val="22"/>
              </w:rPr>
              <w:t>Skutečnost</w:t>
            </w:r>
          </w:p>
          <w:p w14:paraId="37AE4F32" w14:textId="77777777" w:rsidR="008F6CE7" w:rsidRPr="006E740C" w:rsidRDefault="008F6CE7" w:rsidP="008F6CE7">
            <w:pPr>
              <w:jc w:val="center"/>
              <w:rPr>
                <w:sz w:val="22"/>
              </w:rPr>
            </w:pPr>
            <w:r w:rsidRPr="006E740C">
              <w:rPr>
                <w:sz w:val="22"/>
              </w:rPr>
              <w:t>2018</w:t>
            </w:r>
          </w:p>
        </w:tc>
        <w:tc>
          <w:tcPr>
            <w:tcW w:w="1125" w:type="dxa"/>
            <w:vAlign w:val="center"/>
          </w:tcPr>
          <w:p w14:paraId="35210143" w14:textId="77777777" w:rsidR="008F6CE7" w:rsidRPr="006E740C" w:rsidRDefault="008F6CE7" w:rsidP="008F6CE7">
            <w:pPr>
              <w:jc w:val="center"/>
              <w:rPr>
                <w:sz w:val="22"/>
              </w:rPr>
            </w:pPr>
            <w:r w:rsidRPr="006E740C">
              <w:rPr>
                <w:sz w:val="22"/>
              </w:rPr>
              <w:t>Schválený</w:t>
            </w:r>
          </w:p>
          <w:p w14:paraId="4E3A47D9" w14:textId="77777777" w:rsidR="008F6CE7" w:rsidRPr="006E740C" w:rsidRDefault="008F6CE7" w:rsidP="008F6CE7">
            <w:pPr>
              <w:jc w:val="center"/>
              <w:rPr>
                <w:sz w:val="22"/>
              </w:rPr>
            </w:pPr>
            <w:r w:rsidRPr="006E740C">
              <w:rPr>
                <w:sz w:val="22"/>
              </w:rPr>
              <w:t>rozpočet</w:t>
            </w:r>
          </w:p>
          <w:p w14:paraId="2CE327E0" w14:textId="77777777" w:rsidR="008F6CE7" w:rsidRPr="006E740C" w:rsidRDefault="008F6CE7" w:rsidP="008F6CE7">
            <w:pPr>
              <w:jc w:val="center"/>
              <w:rPr>
                <w:sz w:val="22"/>
              </w:rPr>
            </w:pPr>
            <w:r w:rsidRPr="006E740C">
              <w:rPr>
                <w:sz w:val="22"/>
              </w:rPr>
              <w:t>2019</w:t>
            </w:r>
          </w:p>
        </w:tc>
        <w:tc>
          <w:tcPr>
            <w:tcW w:w="1125" w:type="dxa"/>
            <w:vAlign w:val="center"/>
          </w:tcPr>
          <w:p w14:paraId="217D8043" w14:textId="77777777" w:rsidR="008F6CE7" w:rsidRPr="006E740C" w:rsidRDefault="008F6CE7" w:rsidP="008F6CE7">
            <w:pPr>
              <w:jc w:val="center"/>
              <w:rPr>
                <w:sz w:val="22"/>
              </w:rPr>
            </w:pPr>
            <w:r w:rsidRPr="006E740C">
              <w:rPr>
                <w:sz w:val="22"/>
              </w:rPr>
              <w:t>Upravený</w:t>
            </w:r>
          </w:p>
          <w:p w14:paraId="66AE538B" w14:textId="77777777" w:rsidR="008F6CE7" w:rsidRPr="006E740C" w:rsidRDefault="008F6CE7" w:rsidP="008F6CE7">
            <w:pPr>
              <w:jc w:val="center"/>
              <w:rPr>
                <w:sz w:val="22"/>
              </w:rPr>
            </w:pPr>
            <w:r w:rsidRPr="006E740C">
              <w:rPr>
                <w:sz w:val="22"/>
              </w:rPr>
              <w:t>rozpočet</w:t>
            </w:r>
          </w:p>
          <w:p w14:paraId="48C7E718" w14:textId="77777777" w:rsidR="008F6CE7" w:rsidRPr="006E740C" w:rsidRDefault="008F6CE7" w:rsidP="008F6CE7">
            <w:pPr>
              <w:jc w:val="center"/>
              <w:rPr>
                <w:sz w:val="22"/>
              </w:rPr>
            </w:pPr>
            <w:r w:rsidRPr="006E740C">
              <w:rPr>
                <w:sz w:val="22"/>
              </w:rPr>
              <w:t>2019</w:t>
            </w:r>
          </w:p>
        </w:tc>
        <w:tc>
          <w:tcPr>
            <w:tcW w:w="1125" w:type="dxa"/>
            <w:vAlign w:val="center"/>
          </w:tcPr>
          <w:p w14:paraId="37F95744" w14:textId="77777777" w:rsidR="008F6CE7" w:rsidRPr="006E740C" w:rsidRDefault="008F6CE7" w:rsidP="008F6CE7">
            <w:pPr>
              <w:jc w:val="center"/>
              <w:rPr>
                <w:sz w:val="22"/>
              </w:rPr>
            </w:pPr>
            <w:r w:rsidRPr="006E740C">
              <w:rPr>
                <w:sz w:val="22"/>
              </w:rPr>
              <w:t>Skutečnost</w:t>
            </w:r>
          </w:p>
          <w:p w14:paraId="7395937B" w14:textId="77777777" w:rsidR="008F6CE7" w:rsidRPr="006E740C" w:rsidRDefault="008F6CE7" w:rsidP="008F6CE7">
            <w:pPr>
              <w:jc w:val="center"/>
              <w:rPr>
                <w:sz w:val="22"/>
              </w:rPr>
            </w:pPr>
            <w:r w:rsidRPr="006E740C">
              <w:rPr>
                <w:sz w:val="22"/>
              </w:rPr>
              <w:t>2019</w:t>
            </w:r>
          </w:p>
        </w:tc>
        <w:tc>
          <w:tcPr>
            <w:tcW w:w="859" w:type="dxa"/>
            <w:vAlign w:val="center"/>
          </w:tcPr>
          <w:p w14:paraId="4C47D656" w14:textId="77777777" w:rsidR="008F6CE7" w:rsidRPr="006E740C" w:rsidRDefault="008F6CE7" w:rsidP="008F6CE7">
            <w:pPr>
              <w:jc w:val="center"/>
              <w:rPr>
                <w:sz w:val="22"/>
              </w:rPr>
            </w:pPr>
            <w:r w:rsidRPr="006E740C">
              <w:rPr>
                <w:sz w:val="22"/>
              </w:rPr>
              <w:t>Index</w:t>
            </w:r>
          </w:p>
          <w:p w14:paraId="7AF6766F" w14:textId="77777777" w:rsidR="008F6CE7" w:rsidRPr="006E740C" w:rsidRDefault="008F6CE7" w:rsidP="008F6CE7">
            <w:pPr>
              <w:jc w:val="center"/>
              <w:rPr>
                <w:sz w:val="22"/>
              </w:rPr>
            </w:pPr>
            <w:r w:rsidRPr="006E740C">
              <w:rPr>
                <w:sz w:val="22"/>
              </w:rPr>
              <w:t>19/18         (v %)</w:t>
            </w:r>
          </w:p>
        </w:tc>
      </w:tr>
      <w:tr w:rsidR="008F6CE7" w:rsidRPr="000D77C8" w14:paraId="1B47F743" w14:textId="77777777" w:rsidTr="00DB2320">
        <w:trPr>
          <w:tblHeader/>
        </w:trPr>
        <w:tc>
          <w:tcPr>
            <w:tcW w:w="3780" w:type="dxa"/>
            <w:tcBorders>
              <w:bottom w:val="single" w:sz="4" w:space="0" w:color="auto"/>
            </w:tcBorders>
          </w:tcPr>
          <w:p w14:paraId="62D70C24" w14:textId="77777777" w:rsidR="008F6CE7" w:rsidRPr="006E740C" w:rsidRDefault="008F6CE7" w:rsidP="008F6CE7">
            <w:pPr>
              <w:jc w:val="center"/>
              <w:rPr>
                <w:sz w:val="22"/>
              </w:rPr>
            </w:pPr>
            <w:r w:rsidRPr="006E740C">
              <w:rPr>
                <w:sz w:val="22"/>
              </w:rPr>
              <w:t>a</w:t>
            </w:r>
          </w:p>
        </w:tc>
        <w:tc>
          <w:tcPr>
            <w:tcW w:w="1125" w:type="dxa"/>
            <w:tcBorders>
              <w:bottom w:val="single" w:sz="4" w:space="0" w:color="auto"/>
            </w:tcBorders>
          </w:tcPr>
          <w:p w14:paraId="6EF99E70" w14:textId="77777777" w:rsidR="008F6CE7" w:rsidRPr="006E740C" w:rsidRDefault="008F6CE7" w:rsidP="008F6CE7">
            <w:pPr>
              <w:jc w:val="center"/>
              <w:rPr>
                <w:sz w:val="22"/>
              </w:rPr>
            </w:pPr>
            <w:r w:rsidRPr="006E740C">
              <w:rPr>
                <w:sz w:val="22"/>
              </w:rPr>
              <w:t>1</w:t>
            </w:r>
          </w:p>
        </w:tc>
        <w:tc>
          <w:tcPr>
            <w:tcW w:w="1125" w:type="dxa"/>
            <w:tcBorders>
              <w:bottom w:val="single" w:sz="4" w:space="0" w:color="auto"/>
            </w:tcBorders>
          </w:tcPr>
          <w:p w14:paraId="794014F6" w14:textId="77777777" w:rsidR="008F6CE7" w:rsidRPr="006E740C" w:rsidRDefault="008F6CE7" w:rsidP="008F6CE7">
            <w:pPr>
              <w:jc w:val="center"/>
              <w:rPr>
                <w:sz w:val="22"/>
              </w:rPr>
            </w:pPr>
            <w:r w:rsidRPr="006E740C">
              <w:rPr>
                <w:sz w:val="22"/>
              </w:rPr>
              <w:t>2</w:t>
            </w:r>
          </w:p>
        </w:tc>
        <w:tc>
          <w:tcPr>
            <w:tcW w:w="1125" w:type="dxa"/>
            <w:tcBorders>
              <w:bottom w:val="single" w:sz="4" w:space="0" w:color="auto"/>
            </w:tcBorders>
          </w:tcPr>
          <w:p w14:paraId="2A711F53" w14:textId="77777777" w:rsidR="008F6CE7" w:rsidRPr="006E740C" w:rsidRDefault="008F6CE7" w:rsidP="008F6CE7">
            <w:pPr>
              <w:jc w:val="center"/>
              <w:rPr>
                <w:sz w:val="22"/>
              </w:rPr>
            </w:pPr>
            <w:r w:rsidRPr="006E740C">
              <w:rPr>
                <w:sz w:val="22"/>
              </w:rPr>
              <w:t>3</w:t>
            </w:r>
          </w:p>
        </w:tc>
        <w:tc>
          <w:tcPr>
            <w:tcW w:w="1125" w:type="dxa"/>
            <w:tcBorders>
              <w:bottom w:val="single" w:sz="4" w:space="0" w:color="auto"/>
            </w:tcBorders>
          </w:tcPr>
          <w:p w14:paraId="50CB73AA" w14:textId="77777777" w:rsidR="008F6CE7" w:rsidRPr="006E740C" w:rsidRDefault="008F6CE7" w:rsidP="008F6CE7">
            <w:pPr>
              <w:jc w:val="center"/>
              <w:rPr>
                <w:sz w:val="22"/>
              </w:rPr>
            </w:pPr>
            <w:r w:rsidRPr="006E740C">
              <w:rPr>
                <w:sz w:val="22"/>
              </w:rPr>
              <w:t>4</w:t>
            </w:r>
          </w:p>
        </w:tc>
        <w:tc>
          <w:tcPr>
            <w:tcW w:w="859" w:type="dxa"/>
            <w:tcBorders>
              <w:bottom w:val="single" w:sz="4" w:space="0" w:color="auto"/>
            </w:tcBorders>
          </w:tcPr>
          <w:p w14:paraId="282129A9" w14:textId="77777777" w:rsidR="008F6CE7" w:rsidRPr="006E740C" w:rsidRDefault="008F6CE7" w:rsidP="008F6CE7">
            <w:pPr>
              <w:jc w:val="center"/>
              <w:rPr>
                <w:sz w:val="22"/>
              </w:rPr>
            </w:pPr>
            <w:r w:rsidRPr="006E740C">
              <w:rPr>
                <w:sz w:val="22"/>
              </w:rPr>
              <w:t>5</w:t>
            </w:r>
          </w:p>
        </w:tc>
      </w:tr>
      <w:tr w:rsidR="008F6CE7" w:rsidRPr="000D77C8" w14:paraId="006F0404" w14:textId="77777777" w:rsidTr="00DB2320">
        <w:trPr>
          <w:tblHeader/>
        </w:trPr>
        <w:tc>
          <w:tcPr>
            <w:tcW w:w="3780" w:type="dxa"/>
            <w:tcBorders>
              <w:top w:val="nil"/>
              <w:left w:val="single" w:sz="4" w:space="0" w:color="auto"/>
              <w:bottom w:val="nil"/>
              <w:right w:val="single" w:sz="4" w:space="0" w:color="auto"/>
            </w:tcBorders>
          </w:tcPr>
          <w:p w14:paraId="32E58807" w14:textId="77777777" w:rsidR="008F6CE7" w:rsidRPr="006E740C" w:rsidRDefault="008F6CE7" w:rsidP="008F6CE7">
            <w:pPr>
              <w:spacing w:before="120"/>
              <w:jc w:val="both"/>
              <w:rPr>
                <w:b/>
                <w:sz w:val="20"/>
              </w:rPr>
            </w:pPr>
            <w:r w:rsidRPr="006E740C">
              <w:rPr>
                <w:b/>
                <w:sz w:val="20"/>
              </w:rPr>
              <w:t>Běžné výdaje</w:t>
            </w:r>
          </w:p>
        </w:tc>
        <w:tc>
          <w:tcPr>
            <w:tcW w:w="1125" w:type="dxa"/>
            <w:tcBorders>
              <w:top w:val="nil"/>
              <w:left w:val="single" w:sz="4" w:space="0" w:color="auto"/>
              <w:bottom w:val="nil"/>
              <w:right w:val="single" w:sz="4" w:space="0" w:color="auto"/>
            </w:tcBorders>
            <w:vAlign w:val="center"/>
          </w:tcPr>
          <w:p w14:paraId="2AA04159" w14:textId="77777777" w:rsidR="008F6CE7" w:rsidRPr="006E740C" w:rsidRDefault="008F6CE7" w:rsidP="008F6CE7">
            <w:pPr>
              <w:spacing w:before="120"/>
              <w:jc w:val="right"/>
              <w:rPr>
                <w:b/>
                <w:sz w:val="20"/>
              </w:rPr>
            </w:pPr>
            <w:r w:rsidRPr="006E740C">
              <w:rPr>
                <w:b/>
                <w:sz w:val="20"/>
              </w:rPr>
              <w:t>17 069</w:t>
            </w:r>
          </w:p>
        </w:tc>
        <w:tc>
          <w:tcPr>
            <w:tcW w:w="1125" w:type="dxa"/>
            <w:tcBorders>
              <w:top w:val="nil"/>
              <w:left w:val="single" w:sz="4" w:space="0" w:color="auto"/>
              <w:bottom w:val="nil"/>
              <w:right w:val="single" w:sz="4" w:space="0" w:color="auto"/>
            </w:tcBorders>
            <w:vAlign w:val="center"/>
          </w:tcPr>
          <w:p w14:paraId="60F7ADC6" w14:textId="77777777" w:rsidR="008F6CE7" w:rsidRPr="006E740C" w:rsidRDefault="008F6CE7" w:rsidP="008F6CE7">
            <w:pPr>
              <w:spacing w:before="120"/>
              <w:jc w:val="right"/>
              <w:rPr>
                <w:b/>
                <w:sz w:val="20"/>
              </w:rPr>
            </w:pPr>
            <w:r w:rsidRPr="006E740C">
              <w:rPr>
                <w:b/>
                <w:sz w:val="20"/>
              </w:rPr>
              <w:t>17 903</w:t>
            </w:r>
          </w:p>
        </w:tc>
        <w:tc>
          <w:tcPr>
            <w:tcW w:w="1125" w:type="dxa"/>
            <w:tcBorders>
              <w:top w:val="nil"/>
              <w:left w:val="single" w:sz="4" w:space="0" w:color="auto"/>
              <w:bottom w:val="nil"/>
              <w:right w:val="single" w:sz="4" w:space="0" w:color="auto"/>
            </w:tcBorders>
            <w:vAlign w:val="center"/>
          </w:tcPr>
          <w:p w14:paraId="18D278D9" w14:textId="77777777" w:rsidR="008F6CE7" w:rsidRPr="006E740C" w:rsidRDefault="008F6CE7" w:rsidP="008F6CE7">
            <w:pPr>
              <w:spacing w:before="120"/>
              <w:jc w:val="right"/>
              <w:rPr>
                <w:b/>
                <w:sz w:val="20"/>
              </w:rPr>
            </w:pPr>
            <w:r w:rsidRPr="006E740C">
              <w:rPr>
                <w:b/>
                <w:sz w:val="20"/>
              </w:rPr>
              <w:t>17 903</w:t>
            </w:r>
          </w:p>
        </w:tc>
        <w:tc>
          <w:tcPr>
            <w:tcW w:w="1125" w:type="dxa"/>
            <w:tcBorders>
              <w:top w:val="nil"/>
              <w:left w:val="single" w:sz="4" w:space="0" w:color="auto"/>
              <w:bottom w:val="nil"/>
              <w:right w:val="single" w:sz="4" w:space="0" w:color="auto"/>
            </w:tcBorders>
            <w:vAlign w:val="center"/>
          </w:tcPr>
          <w:p w14:paraId="5D72D03B" w14:textId="77777777" w:rsidR="008F6CE7" w:rsidRPr="000D77C8" w:rsidRDefault="008F6CE7" w:rsidP="008F6CE7">
            <w:pPr>
              <w:spacing w:before="120"/>
              <w:jc w:val="right"/>
              <w:rPr>
                <w:b/>
                <w:color w:val="FF0000"/>
                <w:sz w:val="20"/>
              </w:rPr>
            </w:pPr>
            <w:r w:rsidRPr="006E740C">
              <w:rPr>
                <w:b/>
                <w:sz w:val="20"/>
              </w:rPr>
              <w:t>17 681</w:t>
            </w:r>
          </w:p>
        </w:tc>
        <w:tc>
          <w:tcPr>
            <w:tcW w:w="859" w:type="dxa"/>
            <w:tcBorders>
              <w:top w:val="nil"/>
              <w:left w:val="single" w:sz="4" w:space="0" w:color="auto"/>
              <w:bottom w:val="nil"/>
              <w:right w:val="single" w:sz="4" w:space="0" w:color="auto"/>
            </w:tcBorders>
            <w:vAlign w:val="center"/>
          </w:tcPr>
          <w:p w14:paraId="18AB5881" w14:textId="77777777" w:rsidR="008F6CE7" w:rsidRPr="00081AFB" w:rsidRDefault="008F6CE7" w:rsidP="008F6CE7">
            <w:pPr>
              <w:spacing w:before="120"/>
              <w:jc w:val="right"/>
              <w:rPr>
                <w:b/>
                <w:sz w:val="20"/>
              </w:rPr>
            </w:pPr>
            <w:r w:rsidRPr="00081AFB">
              <w:rPr>
                <w:b/>
                <w:sz w:val="20"/>
              </w:rPr>
              <w:t>103,59</w:t>
            </w:r>
          </w:p>
        </w:tc>
      </w:tr>
      <w:tr w:rsidR="008F6CE7" w:rsidRPr="000D77C8" w14:paraId="12C6DE3C" w14:textId="77777777" w:rsidTr="00DB2320">
        <w:trPr>
          <w:tblHeader/>
        </w:trPr>
        <w:tc>
          <w:tcPr>
            <w:tcW w:w="3780" w:type="dxa"/>
            <w:tcBorders>
              <w:top w:val="nil"/>
              <w:left w:val="single" w:sz="4" w:space="0" w:color="auto"/>
              <w:bottom w:val="nil"/>
              <w:right w:val="single" w:sz="4" w:space="0" w:color="auto"/>
            </w:tcBorders>
          </w:tcPr>
          <w:p w14:paraId="3DF9B4F1" w14:textId="77777777" w:rsidR="008F6CE7" w:rsidRPr="006E740C" w:rsidRDefault="008F6CE7" w:rsidP="008F6CE7">
            <w:pPr>
              <w:jc w:val="both"/>
              <w:rPr>
                <w:sz w:val="20"/>
              </w:rPr>
            </w:pPr>
            <w:r w:rsidRPr="006E740C">
              <w:rPr>
                <w:sz w:val="20"/>
              </w:rPr>
              <w:t>v tom:</w:t>
            </w:r>
          </w:p>
        </w:tc>
        <w:tc>
          <w:tcPr>
            <w:tcW w:w="1125" w:type="dxa"/>
            <w:tcBorders>
              <w:top w:val="nil"/>
              <w:left w:val="single" w:sz="4" w:space="0" w:color="auto"/>
              <w:bottom w:val="nil"/>
              <w:right w:val="single" w:sz="4" w:space="0" w:color="auto"/>
            </w:tcBorders>
            <w:vAlign w:val="center"/>
          </w:tcPr>
          <w:p w14:paraId="2F9F50D4" w14:textId="77777777" w:rsidR="008F6CE7" w:rsidRPr="006E740C" w:rsidRDefault="008F6CE7" w:rsidP="008F6CE7">
            <w:pPr>
              <w:jc w:val="right"/>
              <w:rPr>
                <w:sz w:val="20"/>
              </w:rPr>
            </w:pPr>
          </w:p>
        </w:tc>
        <w:tc>
          <w:tcPr>
            <w:tcW w:w="1125" w:type="dxa"/>
            <w:tcBorders>
              <w:top w:val="nil"/>
              <w:left w:val="single" w:sz="4" w:space="0" w:color="auto"/>
              <w:bottom w:val="nil"/>
              <w:right w:val="single" w:sz="4" w:space="0" w:color="auto"/>
            </w:tcBorders>
            <w:vAlign w:val="center"/>
          </w:tcPr>
          <w:p w14:paraId="0DEC9AB4" w14:textId="77777777" w:rsidR="008F6CE7" w:rsidRPr="000D77C8" w:rsidRDefault="008F6CE7" w:rsidP="008F6CE7">
            <w:pPr>
              <w:jc w:val="right"/>
              <w:rPr>
                <w:color w:val="FF0000"/>
                <w:sz w:val="20"/>
              </w:rPr>
            </w:pPr>
          </w:p>
        </w:tc>
        <w:tc>
          <w:tcPr>
            <w:tcW w:w="1125" w:type="dxa"/>
            <w:tcBorders>
              <w:top w:val="nil"/>
              <w:left w:val="single" w:sz="4" w:space="0" w:color="auto"/>
              <w:bottom w:val="nil"/>
              <w:right w:val="single" w:sz="4" w:space="0" w:color="auto"/>
            </w:tcBorders>
            <w:vAlign w:val="center"/>
          </w:tcPr>
          <w:p w14:paraId="48F79C05" w14:textId="77777777" w:rsidR="008F6CE7" w:rsidRPr="000D77C8" w:rsidRDefault="008F6CE7" w:rsidP="008F6CE7">
            <w:pPr>
              <w:jc w:val="right"/>
              <w:rPr>
                <w:color w:val="FF0000"/>
                <w:sz w:val="20"/>
              </w:rPr>
            </w:pPr>
          </w:p>
        </w:tc>
        <w:tc>
          <w:tcPr>
            <w:tcW w:w="1125" w:type="dxa"/>
            <w:tcBorders>
              <w:top w:val="nil"/>
              <w:left w:val="single" w:sz="4" w:space="0" w:color="auto"/>
              <w:bottom w:val="nil"/>
              <w:right w:val="single" w:sz="4" w:space="0" w:color="auto"/>
            </w:tcBorders>
            <w:vAlign w:val="center"/>
          </w:tcPr>
          <w:p w14:paraId="5E29413C" w14:textId="77777777" w:rsidR="008F6CE7" w:rsidRPr="000D77C8" w:rsidRDefault="008F6CE7" w:rsidP="008F6CE7">
            <w:pPr>
              <w:jc w:val="right"/>
              <w:rPr>
                <w:color w:val="FF0000"/>
                <w:sz w:val="20"/>
              </w:rPr>
            </w:pPr>
          </w:p>
        </w:tc>
        <w:tc>
          <w:tcPr>
            <w:tcW w:w="859" w:type="dxa"/>
            <w:tcBorders>
              <w:top w:val="nil"/>
              <w:left w:val="single" w:sz="4" w:space="0" w:color="auto"/>
              <w:bottom w:val="nil"/>
              <w:right w:val="single" w:sz="4" w:space="0" w:color="auto"/>
            </w:tcBorders>
            <w:vAlign w:val="center"/>
          </w:tcPr>
          <w:p w14:paraId="6FB87755" w14:textId="77777777" w:rsidR="008F6CE7" w:rsidRPr="00081AFB" w:rsidRDefault="008F6CE7" w:rsidP="008F6CE7">
            <w:pPr>
              <w:jc w:val="right"/>
              <w:rPr>
                <w:sz w:val="20"/>
              </w:rPr>
            </w:pPr>
          </w:p>
        </w:tc>
      </w:tr>
      <w:tr w:rsidR="008F6CE7" w:rsidRPr="000D77C8" w14:paraId="63415DF9" w14:textId="77777777" w:rsidTr="00DB2320">
        <w:trPr>
          <w:tblHeader/>
        </w:trPr>
        <w:tc>
          <w:tcPr>
            <w:tcW w:w="3780" w:type="dxa"/>
            <w:tcBorders>
              <w:top w:val="nil"/>
              <w:left w:val="single" w:sz="4" w:space="0" w:color="auto"/>
              <w:bottom w:val="nil"/>
              <w:right w:val="single" w:sz="4" w:space="0" w:color="auto"/>
            </w:tcBorders>
          </w:tcPr>
          <w:p w14:paraId="72485C11" w14:textId="77777777" w:rsidR="008F6CE7" w:rsidRPr="006E740C" w:rsidRDefault="008F6CE7" w:rsidP="008F6CE7">
            <w:pPr>
              <w:jc w:val="both"/>
              <w:rPr>
                <w:sz w:val="20"/>
              </w:rPr>
            </w:pPr>
            <w:r w:rsidRPr="006E740C">
              <w:rPr>
                <w:sz w:val="20"/>
              </w:rPr>
              <w:t xml:space="preserve">platy zaměstnanců a ostatní platby </w:t>
            </w:r>
          </w:p>
          <w:p w14:paraId="5D00E1D3" w14:textId="77777777" w:rsidR="008F6CE7" w:rsidRPr="006E740C" w:rsidRDefault="008F6CE7" w:rsidP="008F6CE7">
            <w:pPr>
              <w:jc w:val="both"/>
              <w:rPr>
                <w:sz w:val="20"/>
              </w:rPr>
            </w:pPr>
            <w:r w:rsidRPr="006E740C">
              <w:rPr>
                <w:sz w:val="20"/>
              </w:rPr>
              <w:t>za provedenou práci</w:t>
            </w:r>
          </w:p>
        </w:tc>
        <w:tc>
          <w:tcPr>
            <w:tcW w:w="1125" w:type="dxa"/>
            <w:tcBorders>
              <w:top w:val="nil"/>
              <w:left w:val="single" w:sz="4" w:space="0" w:color="auto"/>
              <w:bottom w:val="nil"/>
              <w:right w:val="single" w:sz="4" w:space="0" w:color="auto"/>
            </w:tcBorders>
            <w:vAlign w:val="bottom"/>
          </w:tcPr>
          <w:p w14:paraId="05E439FE" w14:textId="77777777" w:rsidR="008F6CE7" w:rsidRPr="006E740C" w:rsidRDefault="008F6CE7" w:rsidP="008F6CE7">
            <w:pPr>
              <w:jc w:val="right"/>
              <w:rPr>
                <w:sz w:val="20"/>
              </w:rPr>
            </w:pPr>
            <w:r w:rsidRPr="006E740C">
              <w:rPr>
                <w:sz w:val="20"/>
              </w:rPr>
              <w:t>8 169</w:t>
            </w:r>
          </w:p>
        </w:tc>
        <w:tc>
          <w:tcPr>
            <w:tcW w:w="1125" w:type="dxa"/>
            <w:tcBorders>
              <w:top w:val="nil"/>
              <w:left w:val="single" w:sz="4" w:space="0" w:color="auto"/>
              <w:bottom w:val="nil"/>
              <w:right w:val="single" w:sz="4" w:space="0" w:color="auto"/>
            </w:tcBorders>
            <w:vAlign w:val="center"/>
          </w:tcPr>
          <w:p w14:paraId="1F916CB0" w14:textId="77777777" w:rsidR="008F6CE7" w:rsidRPr="006E740C" w:rsidRDefault="008F6CE7" w:rsidP="008F6CE7">
            <w:pPr>
              <w:jc w:val="right"/>
              <w:rPr>
                <w:sz w:val="20"/>
              </w:rPr>
            </w:pPr>
          </w:p>
          <w:p w14:paraId="2903643F" w14:textId="77777777" w:rsidR="008F6CE7" w:rsidRPr="006E740C" w:rsidRDefault="008F6CE7" w:rsidP="008F6CE7">
            <w:pPr>
              <w:jc w:val="right"/>
              <w:rPr>
                <w:sz w:val="20"/>
              </w:rPr>
            </w:pPr>
            <w:r w:rsidRPr="006E740C">
              <w:rPr>
                <w:sz w:val="20"/>
              </w:rPr>
              <w:t>8 441</w:t>
            </w:r>
          </w:p>
        </w:tc>
        <w:tc>
          <w:tcPr>
            <w:tcW w:w="1125" w:type="dxa"/>
            <w:tcBorders>
              <w:top w:val="nil"/>
              <w:left w:val="single" w:sz="4" w:space="0" w:color="auto"/>
              <w:bottom w:val="nil"/>
              <w:right w:val="single" w:sz="4" w:space="0" w:color="auto"/>
            </w:tcBorders>
            <w:vAlign w:val="center"/>
          </w:tcPr>
          <w:p w14:paraId="0229833B" w14:textId="77777777" w:rsidR="008F6CE7" w:rsidRPr="006E740C" w:rsidRDefault="008F6CE7" w:rsidP="008F6CE7">
            <w:pPr>
              <w:jc w:val="right"/>
              <w:rPr>
                <w:sz w:val="20"/>
              </w:rPr>
            </w:pPr>
          </w:p>
          <w:p w14:paraId="0D9C26B5" w14:textId="77777777" w:rsidR="008F6CE7" w:rsidRPr="006E740C" w:rsidRDefault="008F6CE7" w:rsidP="008F6CE7">
            <w:pPr>
              <w:jc w:val="right"/>
              <w:rPr>
                <w:sz w:val="20"/>
              </w:rPr>
            </w:pPr>
            <w:r w:rsidRPr="006E740C">
              <w:rPr>
                <w:sz w:val="20"/>
              </w:rPr>
              <w:t>8 441</w:t>
            </w:r>
          </w:p>
        </w:tc>
        <w:tc>
          <w:tcPr>
            <w:tcW w:w="1125" w:type="dxa"/>
            <w:tcBorders>
              <w:top w:val="nil"/>
              <w:left w:val="single" w:sz="4" w:space="0" w:color="auto"/>
              <w:bottom w:val="nil"/>
              <w:right w:val="single" w:sz="4" w:space="0" w:color="auto"/>
            </w:tcBorders>
            <w:vAlign w:val="center"/>
          </w:tcPr>
          <w:p w14:paraId="3A85B10B" w14:textId="77777777" w:rsidR="008F6CE7" w:rsidRPr="000D77C8" w:rsidRDefault="008F6CE7" w:rsidP="008F6CE7">
            <w:pPr>
              <w:jc w:val="right"/>
              <w:rPr>
                <w:color w:val="FF0000"/>
                <w:sz w:val="20"/>
              </w:rPr>
            </w:pPr>
          </w:p>
          <w:p w14:paraId="35E5C1D2" w14:textId="77777777" w:rsidR="008F6CE7" w:rsidRPr="000D77C8" w:rsidRDefault="008F6CE7" w:rsidP="008F6CE7">
            <w:pPr>
              <w:jc w:val="right"/>
              <w:rPr>
                <w:color w:val="FF0000"/>
                <w:sz w:val="20"/>
              </w:rPr>
            </w:pPr>
            <w:r w:rsidRPr="006E740C">
              <w:rPr>
                <w:sz w:val="20"/>
              </w:rPr>
              <w:t>8 390</w:t>
            </w:r>
          </w:p>
        </w:tc>
        <w:tc>
          <w:tcPr>
            <w:tcW w:w="859" w:type="dxa"/>
            <w:tcBorders>
              <w:top w:val="nil"/>
              <w:left w:val="single" w:sz="4" w:space="0" w:color="auto"/>
              <w:bottom w:val="nil"/>
              <w:right w:val="single" w:sz="4" w:space="0" w:color="auto"/>
            </w:tcBorders>
            <w:vAlign w:val="center"/>
          </w:tcPr>
          <w:p w14:paraId="4A49726D" w14:textId="77777777" w:rsidR="008F6CE7" w:rsidRPr="00081AFB" w:rsidRDefault="008F6CE7" w:rsidP="008F6CE7">
            <w:pPr>
              <w:jc w:val="right"/>
              <w:rPr>
                <w:sz w:val="20"/>
              </w:rPr>
            </w:pPr>
          </w:p>
          <w:p w14:paraId="7EB790F7" w14:textId="77777777" w:rsidR="008F6CE7" w:rsidRPr="00081AFB" w:rsidRDefault="008F6CE7" w:rsidP="008F6CE7">
            <w:pPr>
              <w:jc w:val="right"/>
              <w:rPr>
                <w:sz w:val="20"/>
              </w:rPr>
            </w:pPr>
            <w:r w:rsidRPr="00081AFB">
              <w:rPr>
                <w:sz w:val="20"/>
              </w:rPr>
              <w:t>102,71</w:t>
            </w:r>
          </w:p>
        </w:tc>
      </w:tr>
      <w:tr w:rsidR="008F6CE7" w:rsidRPr="000D77C8" w14:paraId="696D114B" w14:textId="77777777" w:rsidTr="00DB2320">
        <w:trPr>
          <w:tblHeader/>
        </w:trPr>
        <w:tc>
          <w:tcPr>
            <w:tcW w:w="3780" w:type="dxa"/>
            <w:tcBorders>
              <w:top w:val="nil"/>
              <w:left w:val="single" w:sz="4" w:space="0" w:color="auto"/>
              <w:bottom w:val="nil"/>
              <w:right w:val="single" w:sz="4" w:space="0" w:color="auto"/>
            </w:tcBorders>
          </w:tcPr>
          <w:p w14:paraId="5DBEF83D" w14:textId="77777777" w:rsidR="008F6CE7" w:rsidRPr="006E740C" w:rsidRDefault="008F6CE7" w:rsidP="008F6CE7">
            <w:pPr>
              <w:jc w:val="both"/>
              <w:rPr>
                <w:sz w:val="20"/>
              </w:rPr>
            </w:pPr>
            <w:r w:rsidRPr="006E740C">
              <w:rPr>
                <w:sz w:val="20"/>
              </w:rPr>
              <w:t>povinné pojistné placené zaměstnavatelem</w:t>
            </w:r>
          </w:p>
        </w:tc>
        <w:tc>
          <w:tcPr>
            <w:tcW w:w="1125" w:type="dxa"/>
            <w:tcBorders>
              <w:top w:val="nil"/>
              <w:left w:val="single" w:sz="4" w:space="0" w:color="auto"/>
              <w:bottom w:val="nil"/>
              <w:right w:val="single" w:sz="4" w:space="0" w:color="auto"/>
            </w:tcBorders>
            <w:vAlign w:val="center"/>
          </w:tcPr>
          <w:p w14:paraId="024633C0" w14:textId="77777777" w:rsidR="008F6CE7" w:rsidRPr="006E740C" w:rsidRDefault="008F6CE7" w:rsidP="008F6CE7">
            <w:pPr>
              <w:jc w:val="right"/>
              <w:rPr>
                <w:sz w:val="20"/>
              </w:rPr>
            </w:pPr>
            <w:r w:rsidRPr="006E740C">
              <w:rPr>
                <w:sz w:val="20"/>
              </w:rPr>
              <w:t>2 782</w:t>
            </w:r>
          </w:p>
        </w:tc>
        <w:tc>
          <w:tcPr>
            <w:tcW w:w="1125" w:type="dxa"/>
            <w:tcBorders>
              <w:top w:val="nil"/>
              <w:left w:val="single" w:sz="4" w:space="0" w:color="auto"/>
              <w:bottom w:val="nil"/>
              <w:right w:val="single" w:sz="4" w:space="0" w:color="auto"/>
            </w:tcBorders>
            <w:vAlign w:val="center"/>
          </w:tcPr>
          <w:p w14:paraId="5A3BFC54" w14:textId="77777777" w:rsidR="008F6CE7" w:rsidRPr="006E740C" w:rsidRDefault="008F6CE7" w:rsidP="008F6CE7">
            <w:pPr>
              <w:jc w:val="right"/>
              <w:rPr>
                <w:sz w:val="20"/>
              </w:rPr>
            </w:pPr>
            <w:r w:rsidRPr="006E740C">
              <w:rPr>
                <w:sz w:val="20"/>
              </w:rPr>
              <w:t>2 870</w:t>
            </w:r>
          </w:p>
        </w:tc>
        <w:tc>
          <w:tcPr>
            <w:tcW w:w="1125" w:type="dxa"/>
            <w:tcBorders>
              <w:top w:val="nil"/>
              <w:left w:val="single" w:sz="4" w:space="0" w:color="auto"/>
              <w:bottom w:val="nil"/>
              <w:right w:val="single" w:sz="4" w:space="0" w:color="auto"/>
            </w:tcBorders>
            <w:vAlign w:val="center"/>
          </w:tcPr>
          <w:p w14:paraId="4A4C0978" w14:textId="77777777" w:rsidR="008F6CE7" w:rsidRPr="006E740C" w:rsidRDefault="008F6CE7" w:rsidP="008F6CE7">
            <w:pPr>
              <w:jc w:val="right"/>
              <w:rPr>
                <w:sz w:val="20"/>
              </w:rPr>
            </w:pPr>
            <w:r w:rsidRPr="006E740C">
              <w:rPr>
                <w:sz w:val="20"/>
              </w:rPr>
              <w:t>2 870</w:t>
            </w:r>
          </w:p>
        </w:tc>
        <w:tc>
          <w:tcPr>
            <w:tcW w:w="1125" w:type="dxa"/>
            <w:tcBorders>
              <w:top w:val="nil"/>
              <w:left w:val="single" w:sz="4" w:space="0" w:color="auto"/>
              <w:bottom w:val="nil"/>
              <w:right w:val="single" w:sz="4" w:space="0" w:color="auto"/>
            </w:tcBorders>
            <w:vAlign w:val="center"/>
          </w:tcPr>
          <w:p w14:paraId="6214211A" w14:textId="77777777" w:rsidR="008F6CE7" w:rsidRPr="006E740C" w:rsidRDefault="008F6CE7" w:rsidP="008F6CE7">
            <w:pPr>
              <w:jc w:val="right"/>
              <w:rPr>
                <w:sz w:val="20"/>
              </w:rPr>
            </w:pPr>
            <w:r w:rsidRPr="006E740C">
              <w:rPr>
                <w:sz w:val="20"/>
              </w:rPr>
              <w:t>2 853</w:t>
            </w:r>
          </w:p>
        </w:tc>
        <w:tc>
          <w:tcPr>
            <w:tcW w:w="859" w:type="dxa"/>
            <w:tcBorders>
              <w:top w:val="nil"/>
              <w:left w:val="single" w:sz="4" w:space="0" w:color="auto"/>
              <w:bottom w:val="nil"/>
              <w:right w:val="single" w:sz="4" w:space="0" w:color="auto"/>
            </w:tcBorders>
            <w:vAlign w:val="center"/>
          </w:tcPr>
          <w:p w14:paraId="3946BA7D" w14:textId="77777777" w:rsidR="008F6CE7" w:rsidRPr="00081AFB" w:rsidRDefault="008F6CE7" w:rsidP="008F6CE7">
            <w:pPr>
              <w:jc w:val="right"/>
              <w:rPr>
                <w:sz w:val="20"/>
                <w:szCs w:val="20"/>
              </w:rPr>
            </w:pPr>
            <w:r w:rsidRPr="00081AFB">
              <w:rPr>
                <w:sz w:val="20"/>
                <w:szCs w:val="20"/>
              </w:rPr>
              <w:t>102,55</w:t>
            </w:r>
          </w:p>
        </w:tc>
      </w:tr>
      <w:tr w:rsidR="008F6CE7" w:rsidRPr="000D77C8" w14:paraId="26103B30" w14:textId="77777777" w:rsidTr="00DB2320">
        <w:trPr>
          <w:tblHeader/>
        </w:trPr>
        <w:tc>
          <w:tcPr>
            <w:tcW w:w="3780" w:type="dxa"/>
            <w:tcBorders>
              <w:top w:val="nil"/>
              <w:left w:val="single" w:sz="4" w:space="0" w:color="auto"/>
              <w:bottom w:val="nil"/>
              <w:right w:val="single" w:sz="4" w:space="0" w:color="auto"/>
            </w:tcBorders>
          </w:tcPr>
          <w:p w14:paraId="183D59D1" w14:textId="77777777" w:rsidR="008F6CE7" w:rsidRPr="006E740C" w:rsidRDefault="008F6CE7" w:rsidP="008F6CE7">
            <w:pPr>
              <w:jc w:val="both"/>
              <w:rPr>
                <w:sz w:val="20"/>
              </w:rPr>
            </w:pPr>
            <w:r w:rsidRPr="006E740C">
              <w:rPr>
                <w:sz w:val="20"/>
              </w:rPr>
              <w:t>základní příděl FKSP</w:t>
            </w:r>
          </w:p>
        </w:tc>
        <w:tc>
          <w:tcPr>
            <w:tcW w:w="1125" w:type="dxa"/>
            <w:tcBorders>
              <w:top w:val="nil"/>
              <w:left w:val="single" w:sz="4" w:space="0" w:color="auto"/>
              <w:bottom w:val="nil"/>
              <w:right w:val="single" w:sz="4" w:space="0" w:color="auto"/>
            </w:tcBorders>
            <w:vAlign w:val="center"/>
          </w:tcPr>
          <w:p w14:paraId="04AB6C2A" w14:textId="77777777" w:rsidR="008F6CE7" w:rsidRPr="006E740C" w:rsidRDefault="008F6CE7" w:rsidP="008F6CE7">
            <w:pPr>
              <w:jc w:val="right"/>
              <w:rPr>
                <w:sz w:val="20"/>
              </w:rPr>
            </w:pPr>
            <w:r w:rsidRPr="006E740C">
              <w:rPr>
                <w:sz w:val="20"/>
              </w:rPr>
              <w:t>163</w:t>
            </w:r>
          </w:p>
        </w:tc>
        <w:tc>
          <w:tcPr>
            <w:tcW w:w="1125" w:type="dxa"/>
            <w:tcBorders>
              <w:top w:val="nil"/>
              <w:left w:val="single" w:sz="4" w:space="0" w:color="auto"/>
              <w:bottom w:val="nil"/>
              <w:right w:val="single" w:sz="4" w:space="0" w:color="auto"/>
            </w:tcBorders>
            <w:vAlign w:val="center"/>
          </w:tcPr>
          <w:p w14:paraId="3F613471" w14:textId="77777777" w:rsidR="008F6CE7" w:rsidRPr="006E740C" w:rsidRDefault="008F6CE7" w:rsidP="008F6CE7">
            <w:pPr>
              <w:jc w:val="right"/>
              <w:rPr>
                <w:sz w:val="20"/>
              </w:rPr>
            </w:pPr>
            <w:r w:rsidRPr="006E740C">
              <w:rPr>
                <w:sz w:val="20"/>
              </w:rPr>
              <w:t>168</w:t>
            </w:r>
          </w:p>
        </w:tc>
        <w:tc>
          <w:tcPr>
            <w:tcW w:w="1125" w:type="dxa"/>
            <w:tcBorders>
              <w:top w:val="nil"/>
              <w:left w:val="single" w:sz="4" w:space="0" w:color="auto"/>
              <w:bottom w:val="nil"/>
              <w:right w:val="single" w:sz="4" w:space="0" w:color="auto"/>
            </w:tcBorders>
            <w:vAlign w:val="center"/>
          </w:tcPr>
          <w:p w14:paraId="0F259AD6" w14:textId="77777777" w:rsidR="008F6CE7" w:rsidRPr="006E740C" w:rsidRDefault="008F6CE7" w:rsidP="008F6CE7">
            <w:pPr>
              <w:jc w:val="right"/>
              <w:rPr>
                <w:sz w:val="20"/>
              </w:rPr>
            </w:pPr>
            <w:r w:rsidRPr="006E740C">
              <w:rPr>
                <w:sz w:val="20"/>
              </w:rPr>
              <w:t>168</w:t>
            </w:r>
          </w:p>
        </w:tc>
        <w:tc>
          <w:tcPr>
            <w:tcW w:w="1125" w:type="dxa"/>
            <w:tcBorders>
              <w:top w:val="nil"/>
              <w:left w:val="single" w:sz="4" w:space="0" w:color="auto"/>
              <w:bottom w:val="nil"/>
              <w:right w:val="single" w:sz="4" w:space="0" w:color="auto"/>
            </w:tcBorders>
            <w:vAlign w:val="center"/>
          </w:tcPr>
          <w:p w14:paraId="30B1B7AB" w14:textId="77777777" w:rsidR="008F6CE7" w:rsidRPr="006E740C" w:rsidRDefault="008F6CE7" w:rsidP="008F6CE7">
            <w:pPr>
              <w:jc w:val="right"/>
              <w:rPr>
                <w:sz w:val="20"/>
              </w:rPr>
            </w:pPr>
            <w:r w:rsidRPr="006E740C">
              <w:rPr>
                <w:sz w:val="20"/>
              </w:rPr>
              <w:t>168</w:t>
            </w:r>
          </w:p>
        </w:tc>
        <w:tc>
          <w:tcPr>
            <w:tcW w:w="859" w:type="dxa"/>
            <w:tcBorders>
              <w:top w:val="nil"/>
              <w:left w:val="single" w:sz="4" w:space="0" w:color="auto"/>
              <w:bottom w:val="nil"/>
              <w:right w:val="single" w:sz="4" w:space="0" w:color="auto"/>
            </w:tcBorders>
            <w:vAlign w:val="center"/>
          </w:tcPr>
          <w:p w14:paraId="2CDFF03E" w14:textId="77777777" w:rsidR="008F6CE7" w:rsidRPr="00081AFB" w:rsidRDefault="008F6CE7" w:rsidP="008F6CE7">
            <w:pPr>
              <w:jc w:val="right"/>
              <w:rPr>
                <w:sz w:val="20"/>
                <w:szCs w:val="20"/>
              </w:rPr>
            </w:pPr>
            <w:r w:rsidRPr="00081AFB">
              <w:rPr>
                <w:sz w:val="20"/>
                <w:szCs w:val="20"/>
              </w:rPr>
              <w:t>103,07</w:t>
            </w:r>
          </w:p>
        </w:tc>
      </w:tr>
      <w:tr w:rsidR="008F6CE7" w:rsidRPr="000D77C8" w14:paraId="123CD5E0" w14:textId="77777777" w:rsidTr="00DB2320">
        <w:trPr>
          <w:tblHeader/>
        </w:trPr>
        <w:tc>
          <w:tcPr>
            <w:tcW w:w="3780" w:type="dxa"/>
            <w:tcBorders>
              <w:top w:val="nil"/>
              <w:left w:val="single" w:sz="4" w:space="0" w:color="auto"/>
              <w:bottom w:val="nil"/>
              <w:right w:val="single" w:sz="4" w:space="0" w:color="auto"/>
            </w:tcBorders>
          </w:tcPr>
          <w:p w14:paraId="57BB70E9" w14:textId="77777777" w:rsidR="008F6CE7" w:rsidRPr="006E740C" w:rsidRDefault="008F6CE7" w:rsidP="008F6CE7">
            <w:pPr>
              <w:jc w:val="both"/>
              <w:rPr>
                <w:sz w:val="20"/>
              </w:rPr>
            </w:pPr>
            <w:r w:rsidRPr="006E740C">
              <w:rPr>
                <w:sz w:val="20"/>
              </w:rPr>
              <w:t>ostatní neinvestiční výdaje</w:t>
            </w:r>
          </w:p>
        </w:tc>
        <w:tc>
          <w:tcPr>
            <w:tcW w:w="1125" w:type="dxa"/>
            <w:tcBorders>
              <w:top w:val="nil"/>
              <w:left w:val="single" w:sz="4" w:space="0" w:color="auto"/>
              <w:bottom w:val="nil"/>
              <w:right w:val="single" w:sz="4" w:space="0" w:color="auto"/>
            </w:tcBorders>
            <w:vAlign w:val="center"/>
          </w:tcPr>
          <w:p w14:paraId="4CE777A1" w14:textId="77777777" w:rsidR="008F6CE7" w:rsidRPr="006E740C" w:rsidRDefault="008F6CE7" w:rsidP="008F6CE7">
            <w:pPr>
              <w:jc w:val="right"/>
              <w:rPr>
                <w:sz w:val="20"/>
              </w:rPr>
            </w:pPr>
            <w:r w:rsidRPr="006E740C">
              <w:rPr>
                <w:sz w:val="20"/>
              </w:rPr>
              <w:t>5 955</w:t>
            </w:r>
          </w:p>
        </w:tc>
        <w:tc>
          <w:tcPr>
            <w:tcW w:w="1125" w:type="dxa"/>
            <w:tcBorders>
              <w:top w:val="nil"/>
              <w:left w:val="single" w:sz="4" w:space="0" w:color="auto"/>
              <w:bottom w:val="nil"/>
              <w:right w:val="single" w:sz="4" w:space="0" w:color="auto"/>
            </w:tcBorders>
            <w:vAlign w:val="center"/>
          </w:tcPr>
          <w:p w14:paraId="66E54549" w14:textId="77777777" w:rsidR="008F6CE7" w:rsidRPr="00C32BA1" w:rsidRDefault="008F6CE7" w:rsidP="008F6CE7">
            <w:pPr>
              <w:jc w:val="right"/>
              <w:rPr>
                <w:sz w:val="20"/>
              </w:rPr>
            </w:pPr>
            <w:r w:rsidRPr="00C32BA1">
              <w:rPr>
                <w:sz w:val="20"/>
              </w:rPr>
              <w:t>6 424</w:t>
            </w:r>
          </w:p>
        </w:tc>
        <w:tc>
          <w:tcPr>
            <w:tcW w:w="1125" w:type="dxa"/>
            <w:tcBorders>
              <w:top w:val="nil"/>
              <w:left w:val="single" w:sz="4" w:space="0" w:color="auto"/>
              <w:bottom w:val="nil"/>
              <w:right w:val="single" w:sz="4" w:space="0" w:color="auto"/>
            </w:tcBorders>
            <w:vAlign w:val="center"/>
          </w:tcPr>
          <w:p w14:paraId="049FEDA5" w14:textId="77777777" w:rsidR="008F6CE7" w:rsidRPr="00C32BA1" w:rsidRDefault="008F6CE7" w:rsidP="008F6CE7">
            <w:pPr>
              <w:jc w:val="right"/>
              <w:rPr>
                <w:sz w:val="20"/>
              </w:rPr>
            </w:pPr>
            <w:r w:rsidRPr="00C32BA1">
              <w:rPr>
                <w:sz w:val="20"/>
              </w:rPr>
              <w:t>6 424</w:t>
            </w:r>
          </w:p>
        </w:tc>
        <w:tc>
          <w:tcPr>
            <w:tcW w:w="1125" w:type="dxa"/>
            <w:tcBorders>
              <w:top w:val="nil"/>
              <w:left w:val="single" w:sz="4" w:space="0" w:color="auto"/>
              <w:bottom w:val="nil"/>
              <w:right w:val="single" w:sz="4" w:space="0" w:color="auto"/>
            </w:tcBorders>
            <w:vAlign w:val="center"/>
          </w:tcPr>
          <w:p w14:paraId="066C8A8B" w14:textId="77777777" w:rsidR="008F6CE7" w:rsidRPr="00C32BA1" w:rsidRDefault="008F6CE7" w:rsidP="008F6CE7">
            <w:pPr>
              <w:jc w:val="right"/>
              <w:rPr>
                <w:sz w:val="20"/>
              </w:rPr>
            </w:pPr>
            <w:r w:rsidRPr="00C32BA1">
              <w:rPr>
                <w:sz w:val="20"/>
              </w:rPr>
              <w:t>6 271</w:t>
            </w:r>
          </w:p>
        </w:tc>
        <w:tc>
          <w:tcPr>
            <w:tcW w:w="859" w:type="dxa"/>
            <w:tcBorders>
              <w:top w:val="nil"/>
              <w:left w:val="single" w:sz="4" w:space="0" w:color="auto"/>
              <w:bottom w:val="nil"/>
              <w:right w:val="single" w:sz="4" w:space="0" w:color="auto"/>
            </w:tcBorders>
            <w:vAlign w:val="center"/>
          </w:tcPr>
          <w:p w14:paraId="0D0BA16F" w14:textId="77777777" w:rsidR="008F6CE7" w:rsidRPr="00081AFB" w:rsidRDefault="008F6CE7" w:rsidP="008F6CE7">
            <w:pPr>
              <w:jc w:val="right"/>
              <w:rPr>
                <w:sz w:val="20"/>
                <w:szCs w:val="20"/>
              </w:rPr>
            </w:pPr>
            <w:r w:rsidRPr="00081AFB">
              <w:rPr>
                <w:sz w:val="20"/>
                <w:szCs w:val="20"/>
              </w:rPr>
              <w:t>105,31</w:t>
            </w:r>
          </w:p>
        </w:tc>
      </w:tr>
      <w:tr w:rsidR="008F6CE7" w:rsidRPr="000D77C8" w14:paraId="7E35EB3F" w14:textId="77777777" w:rsidTr="00DB2320">
        <w:trPr>
          <w:tblHeader/>
        </w:trPr>
        <w:tc>
          <w:tcPr>
            <w:tcW w:w="3780" w:type="dxa"/>
            <w:tcBorders>
              <w:top w:val="nil"/>
              <w:left w:val="single" w:sz="4" w:space="0" w:color="auto"/>
              <w:bottom w:val="single" w:sz="4" w:space="0" w:color="auto"/>
              <w:right w:val="single" w:sz="4" w:space="0" w:color="auto"/>
            </w:tcBorders>
          </w:tcPr>
          <w:p w14:paraId="42E5AED8" w14:textId="0237C46E" w:rsidR="008F6CE7" w:rsidRPr="006E740C" w:rsidRDefault="008F6CE7" w:rsidP="00B23766">
            <w:pPr>
              <w:jc w:val="both"/>
              <w:rPr>
                <w:i/>
                <w:sz w:val="20"/>
              </w:rPr>
            </w:pPr>
            <w:r w:rsidRPr="006E740C">
              <w:rPr>
                <w:i/>
                <w:sz w:val="20"/>
              </w:rPr>
              <w:t>z toho:  programové financování</w:t>
            </w:r>
          </w:p>
        </w:tc>
        <w:tc>
          <w:tcPr>
            <w:tcW w:w="1125" w:type="dxa"/>
            <w:tcBorders>
              <w:top w:val="nil"/>
              <w:left w:val="single" w:sz="4" w:space="0" w:color="auto"/>
              <w:bottom w:val="single" w:sz="4" w:space="0" w:color="auto"/>
              <w:right w:val="single" w:sz="4" w:space="0" w:color="auto"/>
            </w:tcBorders>
            <w:vAlign w:val="center"/>
          </w:tcPr>
          <w:p w14:paraId="00715E5A" w14:textId="77777777" w:rsidR="008F6CE7" w:rsidRPr="006E740C" w:rsidRDefault="008F6CE7" w:rsidP="008F6CE7">
            <w:pPr>
              <w:jc w:val="right"/>
              <w:rPr>
                <w:i/>
                <w:sz w:val="20"/>
              </w:rPr>
            </w:pPr>
            <w:r w:rsidRPr="006E740C">
              <w:rPr>
                <w:i/>
                <w:sz w:val="20"/>
              </w:rPr>
              <w:t>0</w:t>
            </w:r>
          </w:p>
        </w:tc>
        <w:tc>
          <w:tcPr>
            <w:tcW w:w="1125" w:type="dxa"/>
            <w:tcBorders>
              <w:top w:val="nil"/>
              <w:left w:val="single" w:sz="4" w:space="0" w:color="auto"/>
              <w:bottom w:val="single" w:sz="4" w:space="0" w:color="auto"/>
              <w:right w:val="single" w:sz="4" w:space="0" w:color="auto"/>
            </w:tcBorders>
            <w:vAlign w:val="center"/>
          </w:tcPr>
          <w:p w14:paraId="183D59EC" w14:textId="77777777" w:rsidR="008F6CE7" w:rsidRPr="00C32BA1" w:rsidRDefault="008F6CE7" w:rsidP="008F6CE7">
            <w:pPr>
              <w:jc w:val="right"/>
              <w:rPr>
                <w:i/>
                <w:sz w:val="20"/>
              </w:rPr>
            </w:pPr>
            <w:r w:rsidRPr="00C32BA1">
              <w:rPr>
                <w:i/>
                <w:sz w:val="20"/>
              </w:rPr>
              <w:t>0</w:t>
            </w:r>
          </w:p>
        </w:tc>
        <w:tc>
          <w:tcPr>
            <w:tcW w:w="1125" w:type="dxa"/>
            <w:tcBorders>
              <w:top w:val="nil"/>
              <w:left w:val="single" w:sz="4" w:space="0" w:color="auto"/>
              <w:bottom w:val="single" w:sz="4" w:space="0" w:color="auto"/>
              <w:right w:val="single" w:sz="4" w:space="0" w:color="auto"/>
            </w:tcBorders>
            <w:vAlign w:val="center"/>
          </w:tcPr>
          <w:p w14:paraId="04AF6132" w14:textId="77777777" w:rsidR="008F6CE7" w:rsidRPr="00C32BA1" w:rsidRDefault="008F6CE7" w:rsidP="008F6CE7">
            <w:pPr>
              <w:jc w:val="right"/>
              <w:rPr>
                <w:i/>
                <w:sz w:val="20"/>
              </w:rPr>
            </w:pPr>
            <w:r w:rsidRPr="00C32BA1">
              <w:rPr>
                <w:i/>
                <w:sz w:val="20"/>
              </w:rPr>
              <w:t>0</w:t>
            </w:r>
          </w:p>
        </w:tc>
        <w:tc>
          <w:tcPr>
            <w:tcW w:w="1125" w:type="dxa"/>
            <w:tcBorders>
              <w:top w:val="nil"/>
              <w:left w:val="single" w:sz="4" w:space="0" w:color="auto"/>
              <w:bottom w:val="single" w:sz="4" w:space="0" w:color="auto"/>
              <w:right w:val="single" w:sz="4" w:space="0" w:color="auto"/>
            </w:tcBorders>
            <w:vAlign w:val="center"/>
          </w:tcPr>
          <w:p w14:paraId="57306B74" w14:textId="77777777" w:rsidR="008F6CE7" w:rsidRPr="00C32BA1" w:rsidRDefault="008F6CE7" w:rsidP="008F6CE7">
            <w:pPr>
              <w:jc w:val="right"/>
              <w:rPr>
                <w:i/>
                <w:sz w:val="20"/>
              </w:rPr>
            </w:pPr>
            <w:r w:rsidRPr="00C32BA1">
              <w:rPr>
                <w:i/>
                <w:sz w:val="20"/>
              </w:rPr>
              <w:t>0</w:t>
            </w:r>
          </w:p>
        </w:tc>
        <w:tc>
          <w:tcPr>
            <w:tcW w:w="859" w:type="dxa"/>
            <w:tcBorders>
              <w:top w:val="nil"/>
              <w:left w:val="single" w:sz="4" w:space="0" w:color="auto"/>
              <w:bottom w:val="single" w:sz="4" w:space="0" w:color="auto"/>
              <w:right w:val="single" w:sz="4" w:space="0" w:color="auto"/>
            </w:tcBorders>
            <w:vAlign w:val="center"/>
          </w:tcPr>
          <w:p w14:paraId="779730BE" w14:textId="77777777" w:rsidR="008F6CE7" w:rsidRPr="00081AFB" w:rsidRDefault="008F6CE7" w:rsidP="008F6CE7">
            <w:pPr>
              <w:jc w:val="right"/>
              <w:rPr>
                <w:i/>
                <w:sz w:val="20"/>
                <w:szCs w:val="20"/>
              </w:rPr>
            </w:pPr>
            <w:r w:rsidRPr="00081AFB">
              <w:rPr>
                <w:i/>
                <w:sz w:val="20"/>
                <w:szCs w:val="20"/>
              </w:rPr>
              <w:t>x</w:t>
            </w:r>
          </w:p>
        </w:tc>
      </w:tr>
    </w:tbl>
    <w:p w14:paraId="758EC466" w14:textId="77777777" w:rsidR="008F6CE7" w:rsidRPr="00081AFB" w:rsidRDefault="008F6CE7" w:rsidP="008F6CE7">
      <w:pPr>
        <w:pStyle w:val="KOMtext"/>
      </w:pPr>
      <w:r w:rsidRPr="00081AFB">
        <w:t>V průběhu roku 2019 nebyl schválený rozpočet běžných výdajů organizace upravován.</w:t>
      </w:r>
    </w:p>
    <w:p w14:paraId="01116848" w14:textId="33B5E3E6" w:rsidR="00312023" w:rsidRPr="003F3157" w:rsidRDefault="008F6CE7" w:rsidP="003F3157">
      <w:pPr>
        <w:pStyle w:val="KOMtext"/>
      </w:pPr>
      <w:r w:rsidRPr="003F3157">
        <w:t xml:space="preserve">Běžné výdaje byly čerpány ve výši 17 681 tis. Kč, tj. plnění upraveného rozpočtu ve výši  </w:t>
      </w:r>
      <w:r w:rsidRPr="003F3157">
        <w:br/>
        <w:t>98,77 %, z toho použití nároků z nespotřebovaných výdajů minulých let činilo 1</w:t>
      </w:r>
      <w:r w:rsidR="00835A0C">
        <w:t xml:space="preserve"> </w:t>
      </w:r>
      <w:r w:rsidRPr="003F3157">
        <w:t xml:space="preserve">066 tis. Kč. </w:t>
      </w:r>
      <w:r w:rsidR="00312023" w:rsidRPr="003F3157">
        <w:rPr>
          <w:rStyle w:val="ZnormalChar"/>
        </w:rPr>
        <w:t xml:space="preserve">Prostředky na běžné výdaje byly čerpány v průběhu </w:t>
      </w:r>
      <w:r w:rsidR="004432B6" w:rsidRPr="003F3157">
        <w:rPr>
          <w:rStyle w:val="ZnormalChar"/>
        </w:rPr>
        <w:t xml:space="preserve">1. – 3. čtvrtletí </w:t>
      </w:r>
      <w:r w:rsidR="00312023" w:rsidRPr="003F3157">
        <w:rPr>
          <w:rStyle w:val="ZnormalChar"/>
        </w:rPr>
        <w:t xml:space="preserve">poměrně rovnoměrně, částečně v závislosti na šetření především závažných událostí v civilní letecké dopravě. </w:t>
      </w:r>
      <w:r w:rsidR="004432B6" w:rsidRPr="003F3157">
        <w:rPr>
          <w:rStyle w:val="ZnormalChar"/>
        </w:rPr>
        <w:t>Vyšší výdaje ve 4. čtvrtletí byly způsobeny zvýšenými výdaji na platy zaměstnanců.</w:t>
      </w:r>
    </w:p>
    <w:p w14:paraId="13DA42F0" w14:textId="77777777" w:rsidR="008F6CE7" w:rsidRPr="000D77C8" w:rsidRDefault="008F6CE7" w:rsidP="008F6CE7">
      <w:pPr>
        <w:pStyle w:val="KOMtext"/>
        <w:rPr>
          <w:color w:val="FF0000"/>
        </w:rPr>
      </w:pPr>
      <w:bookmarkStart w:id="289" w:name="_Toc508879857"/>
      <w:bookmarkStart w:id="290" w:name="_Toc508880133"/>
      <w:bookmarkStart w:id="291" w:name="_Toc1376816"/>
      <w:r w:rsidRPr="00512446">
        <w:t xml:space="preserve">Výdaje na platy zaměstnanců a ostatní platby za provedenou práci a s tím související povinné platby (pojistné a převod FKSP) ve výši </w:t>
      </w:r>
      <w:r>
        <w:t>11 411</w:t>
      </w:r>
      <w:r w:rsidRPr="00512446">
        <w:t xml:space="preserve"> tis. Kč se podílejí na celkovém objemu čerpání běžných výdajů</w:t>
      </w:r>
      <w:r w:rsidRPr="000D77C8">
        <w:rPr>
          <w:color w:val="FF0000"/>
        </w:rPr>
        <w:t xml:space="preserve"> </w:t>
      </w:r>
      <w:r w:rsidRPr="00512446">
        <w:t>64,54 %, z toho použití nároků činilo 0 tis. Kč.</w:t>
      </w:r>
    </w:p>
    <w:p w14:paraId="3746AE2E" w14:textId="77777777" w:rsidR="008F6CE7" w:rsidRPr="003F3157" w:rsidRDefault="008F6CE7" w:rsidP="003F3157">
      <w:pPr>
        <w:pStyle w:val="KOMtext"/>
        <w:rPr>
          <w:rStyle w:val="ZnormalChar"/>
        </w:rPr>
      </w:pPr>
      <w:r w:rsidRPr="003F3157">
        <w:rPr>
          <w:rStyle w:val="ZnormalChar"/>
        </w:rPr>
        <w:t>Mezi nejvyšší výdaje v rámci ostatních běžných výdajů patřily výdaje na nájemné včetně energií, dále pak výdaje související s šetřením leteckých nehod, tj. výdaje na nákup služeb, konzultační/poradenské a právní služby, cestovné, školení, pohonné hmoty a opravy, služby elektronických komunikací.</w:t>
      </w:r>
    </w:p>
    <w:p w14:paraId="2D94FA82" w14:textId="77777777" w:rsidR="00B460BF" w:rsidRPr="009E108D" w:rsidRDefault="00B460BF" w:rsidP="00121BA0">
      <w:pPr>
        <w:pStyle w:val="Nadpis3"/>
      </w:pPr>
      <w:bookmarkStart w:id="292" w:name="_Toc34286462"/>
      <w:r w:rsidRPr="009E108D">
        <w:t>Běžné výdaje zřízených příspěvkových organizací</w:t>
      </w:r>
      <w:bookmarkEnd w:id="287"/>
      <w:bookmarkEnd w:id="289"/>
      <w:bookmarkEnd w:id="290"/>
      <w:bookmarkEnd w:id="291"/>
      <w:bookmarkEnd w:id="292"/>
      <w:r w:rsidRPr="009E108D">
        <w:t xml:space="preserve"> </w:t>
      </w:r>
    </w:p>
    <w:p w14:paraId="475B1CA7" w14:textId="77777777" w:rsidR="00E85668" w:rsidRPr="009E108D" w:rsidRDefault="00E85668" w:rsidP="00AE6AE1">
      <w:pPr>
        <w:pStyle w:val="Zkladntext"/>
        <w:spacing w:after="80"/>
        <w:rPr>
          <w:b/>
          <w:bCs/>
        </w:rPr>
      </w:pPr>
      <w:bookmarkStart w:id="293" w:name="_Toc317489629"/>
      <w:r w:rsidRPr="009E108D">
        <w:rPr>
          <w:b/>
          <w:bCs/>
        </w:rPr>
        <w:t>Zřízené příspěvkové organizace</w:t>
      </w:r>
      <w:r w:rsidR="00C73AB1" w:rsidRPr="009E108D">
        <w:rPr>
          <w:b/>
          <w:bCs/>
        </w:rPr>
        <w:t>:</w:t>
      </w:r>
    </w:p>
    <w:p w14:paraId="0D66FAD4" w14:textId="77777777" w:rsidR="00E85668" w:rsidRPr="009E108D" w:rsidRDefault="00E85668" w:rsidP="002712C4">
      <w:pPr>
        <w:pStyle w:val="Zkladntext"/>
        <w:numPr>
          <w:ilvl w:val="0"/>
          <w:numId w:val="1"/>
        </w:numPr>
        <w:tabs>
          <w:tab w:val="clear" w:pos="1428"/>
          <w:tab w:val="num" w:pos="360"/>
        </w:tabs>
        <w:ind w:left="0" w:firstLine="284"/>
        <w:rPr>
          <w:bCs/>
        </w:rPr>
      </w:pPr>
      <w:r w:rsidRPr="009E108D">
        <w:rPr>
          <w:bCs/>
        </w:rPr>
        <w:t xml:space="preserve">Ředitelství silnic a dálnic ČR </w:t>
      </w:r>
    </w:p>
    <w:p w14:paraId="42B1476B" w14:textId="77777777" w:rsidR="00E85668" w:rsidRPr="009E108D" w:rsidRDefault="00E85668" w:rsidP="00C73AB1">
      <w:pPr>
        <w:pStyle w:val="Zkladntext"/>
        <w:numPr>
          <w:ilvl w:val="0"/>
          <w:numId w:val="1"/>
        </w:numPr>
        <w:tabs>
          <w:tab w:val="clear" w:pos="1428"/>
          <w:tab w:val="num" w:pos="360"/>
        </w:tabs>
        <w:spacing w:before="0"/>
        <w:ind w:left="0" w:firstLine="284"/>
        <w:rPr>
          <w:bCs/>
        </w:rPr>
      </w:pPr>
      <w:r w:rsidRPr="009E108D">
        <w:rPr>
          <w:bCs/>
        </w:rPr>
        <w:t xml:space="preserve">Centrum služeb pro silniční dopravu </w:t>
      </w:r>
    </w:p>
    <w:p w14:paraId="260DBAC0" w14:textId="760F8039" w:rsidR="009E108D" w:rsidRPr="0080458B" w:rsidRDefault="009E108D" w:rsidP="003F3157">
      <w:pPr>
        <w:pStyle w:val="KOMtext"/>
      </w:pPr>
      <w:bookmarkStart w:id="294" w:name="_Toc508879858"/>
      <w:bookmarkStart w:id="295" w:name="_Toc508880134"/>
      <w:bookmarkStart w:id="296" w:name="_Toc508879860"/>
      <w:bookmarkStart w:id="297" w:name="_Toc508880136"/>
      <w:bookmarkEnd w:id="293"/>
      <w:r w:rsidRPr="0080458B">
        <w:lastRenderedPageBreak/>
        <w:t>Schválený rozpočet neinvestičního příspěvku a transferů zřízeným příspěvkovým organizacím ve výši 644 637 tis. Kč byl v průběhu roku 2019 navýšen o částku 341 tis. K</w:t>
      </w:r>
      <w:r w:rsidR="003F3157">
        <w:t xml:space="preserve">č </w:t>
      </w:r>
      <w:r w:rsidRPr="0080458B">
        <w:t xml:space="preserve"> na částku </w:t>
      </w:r>
      <w:r w:rsidR="003F3157">
        <w:br/>
      </w:r>
      <w:r w:rsidRPr="0080458B">
        <w:t>644 978 tis. Kč.</w:t>
      </w:r>
    </w:p>
    <w:p w14:paraId="77C21A49" w14:textId="77777777" w:rsidR="009E108D" w:rsidRPr="004B11AC" w:rsidRDefault="009E108D" w:rsidP="003F3157">
      <w:pPr>
        <w:pStyle w:val="KOMtext"/>
        <w:rPr>
          <w:color w:val="FF0000"/>
        </w:rPr>
      </w:pPr>
      <w:r w:rsidRPr="0080458B">
        <w:t>Upravený rozpočet</w:t>
      </w:r>
      <w:r w:rsidRPr="0080458B">
        <w:rPr>
          <w:b/>
          <w:bCs/>
        </w:rPr>
        <w:t xml:space="preserve"> </w:t>
      </w:r>
      <w:r w:rsidRPr="0080458B">
        <w:rPr>
          <w:bCs/>
        </w:rPr>
        <w:t xml:space="preserve">neinvestičního příspěvku a transferů zřízeným příspěvkovým organizacím </w:t>
      </w:r>
      <w:r w:rsidRPr="0080458B">
        <w:t>byl čerpán ve výši 497 297 tis. Kč, tj. 77,10 % stanoveného objemu</w:t>
      </w:r>
      <w:r>
        <w:t>.</w:t>
      </w:r>
      <w:r w:rsidRPr="0080458B">
        <w:t xml:space="preserve"> </w:t>
      </w:r>
    </w:p>
    <w:p w14:paraId="6C7747BF" w14:textId="5A8BAC2D" w:rsidR="009E108D" w:rsidRPr="0095113E" w:rsidRDefault="009E108D" w:rsidP="009E108D">
      <w:pPr>
        <w:pStyle w:val="Titulek"/>
        <w:spacing w:after="0"/>
      </w:pPr>
      <w:bookmarkStart w:id="298" w:name="_Toc34288677"/>
      <w:r w:rsidRPr="0095113E">
        <w:t xml:space="preserve">Graf č. </w:t>
      </w:r>
      <w:r w:rsidRPr="0095113E">
        <w:rPr>
          <w:noProof/>
        </w:rPr>
        <w:fldChar w:fldCharType="begin"/>
      </w:r>
      <w:r w:rsidRPr="0095113E">
        <w:rPr>
          <w:noProof/>
        </w:rPr>
        <w:instrText xml:space="preserve"> SEQ Graf_č. \* ARABIC </w:instrText>
      </w:r>
      <w:r w:rsidRPr="0095113E">
        <w:rPr>
          <w:noProof/>
        </w:rPr>
        <w:fldChar w:fldCharType="separate"/>
      </w:r>
      <w:r w:rsidR="00DF450F">
        <w:rPr>
          <w:noProof/>
        </w:rPr>
        <w:t>10</w:t>
      </w:r>
      <w:r w:rsidRPr="0095113E">
        <w:rPr>
          <w:noProof/>
        </w:rPr>
        <w:fldChar w:fldCharType="end"/>
      </w:r>
      <w:r w:rsidRPr="0095113E">
        <w:t>:  Přehled běžných výdajů příspěvkových organizací poskytnutých z kapitoly</w:t>
      </w:r>
      <w:bookmarkEnd w:id="294"/>
      <w:bookmarkEnd w:id="295"/>
      <w:bookmarkEnd w:id="298"/>
    </w:p>
    <w:p w14:paraId="37085383" w14:textId="77777777" w:rsidR="009E108D" w:rsidRPr="0095113E" w:rsidRDefault="009E108D" w:rsidP="009E108D">
      <w:pPr>
        <w:pStyle w:val="Titulek"/>
        <w:spacing w:before="0" w:after="120"/>
        <w:jc w:val="left"/>
      </w:pPr>
      <w:r w:rsidRPr="0095113E">
        <w:t xml:space="preserve">                    327-MD (v tis. Kč) </w:t>
      </w:r>
    </w:p>
    <w:p w14:paraId="55789C6F" w14:textId="77777777" w:rsidR="009E108D" w:rsidRPr="004B11AC" w:rsidRDefault="009E108D" w:rsidP="009E108D">
      <w:pPr>
        <w:rPr>
          <w:color w:val="FF0000"/>
        </w:rPr>
      </w:pPr>
      <w:r w:rsidRPr="004B11AC">
        <w:rPr>
          <w:noProof/>
          <w:color w:val="FF0000"/>
        </w:rPr>
        <w:drawing>
          <wp:inline distT="0" distB="0" distL="0" distR="0" wp14:anchorId="33957FA1" wp14:editId="094E1FA7">
            <wp:extent cx="5748655" cy="2121408"/>
            <wp:effectExtent l="0" t="0" r="4445" b="0"/>
            <wp:docPr id="12" name="objekt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0F1631FB" w14:textId="77777777" w:rsidR="009E108D" w:rsidRPr="0095113E" w:rsidRDefault="009E108D" w:rsidP="003F3157">
      <w:pPr>
        <w:pStyle w:val="KOMtext"/>
      </w:pPr>
      <w:bookmarkStart w:id="299" w:name="_Toc508879859"/>
      <w:bookmarkStart w:id="300" w:name="_Toc508880135"/>
      <w:r w:rsidRPr="0095113E">
        <w:t xml:space="preserve">Prostředky neinvestičního příspěvku a transferů čerpaly organizace </w:t>
      </w:r>
      <w:r w:rsidR="003F3157">
        <w:t>Ředitelství silnic</w:t>
      </w:r>
      <w:r w:rsidRPr="0095113E">
        <w:t xml:space="preserve"> a dálnic ČR a Centrum služeb pro silniční dopravu. </w:t>
      </w:r>
    </w:p>
    <w:p w14:paraId="618833FC" w14:textId="77777777" w:rsidR="009E108D" w:rsidRPr="0095113E" w:rsidRDefault="009E108D" w:rsidP="005475F2">
      <w:pPr>
        <w:pStyle w:val="Nadpis6"/>
        <w:spacing w:line="276" w:lineRule="auto"/>
      </w:pPr>
      <w:r w:rsidRPr="0095113E">
        <w:t>Ředitelství silnic a dálnic ČR</w:t>
      </w:r>
      <w:bookmarkEnd w:id="299"/>
      <w:bookmarkEnd w:id="300"/>
      <w:r w:rsidRPr="0095113E">
        <w:t xml:space="preserve"> </w:t>
      </w:r>
    </w:p>
    <w:p w14:paraId="413F4787" w14:textId="77777777" w:rsidR="009E108D" w:rsidRPr="004B11AC" w:rsidRDefault="009E108D" w:rsidP="005475F2">
      <w:pPr>
        <w:pStyle w:val="KOMtext"/>
        <w:rPr>
          <w:color w:val="FF0000"/>
        </w:rPr>
      </w:pPr>
      <w:r w:rsidRPr="0095113E">
        <w:t xml:space="preserve">Ministerstvo dopravy je zřizovatelem státní příspěvkové organizace Ředitelství silnic a dálnic ČR. Běžné výdaje organizace jsou kryty zejména prostředky rozpočtu Státního fondu dopravní infrastruktury. Tento stav přetrvává téměř beze změny od roku 2001, tj. od data, kdy Státní fond dopravní infrastruktury převzal plně financování této organizace ve smyslu zákona </w:t>
      </w:r>
      <w:r w:rsidR="00FE713B">
        <w:br/>
      </w:r>
      <w:r w:rsidRPr="0095113E">
        <w:t xml:space="preserve">č. 104/2000 Sb., o Státním fondu dopravní infrastruktury a o změně zákona </w:t>
      </w:r>
      <w:r w:rsidR="003F3157">
        <w:t>č. 171/1991 Sb.,</w:t>
      </w:r>
      <w:r w:rsidRPr="0095113E">
        <w:t xml:space="preserve"> </w:t>
      </w:r>
      <w:r w:rsidR="00FE713B">
        <w:br/>
      </w:r>
      <w:r w:rsidRPr="0095113E">
        <w:t>o působnosti orgánů České republiky ve věcech převodů majetku státu na jiné osoby a o Fondu národního majetku České republiky, ve znění pozdějších předpisů</w:t>
      </w:r>
      <w:r w:rsidRPr="003E46B3">
        <w:t xml:space="preserve">. </w:t>
      </w:r>
    </w:p>
    <w:p w14:paraId="33A7DEFC" w14:textId="77777777" w:rsidR="009E108D" w:rsidRPr="0095113E" w:rsidRDefault="009E108D" w:rsidP="00DB2320">
      <w:pPr>
        <w:keepNext/>
        <w:ind w:left="357" w:right="1"/>
        <w:jc w:val="right"/>
      </w:pP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95113E">
        <w:t xml:space="preserve">        v tis. Kč</w:t>
      </w:r>
    </w:p>
    <w:tbl>
      <w:tblPr>
        <w:tblW w:w="915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9"/>
        <w:gridCol w:w="1117"/>
        <w:gridCol w:w="1106"/>
        <w:gridCol w:w="1106"/>
        <w:gridCol w:w="1117"/>
        <w:gridCol w:w="737"/>
      </w:tblGrid>
      <w:tr w:rsidR="009E108D" w:rsidRPr="0095113E" w14:paraId="0AA56E0E" w14:textId="77777777" w:rsidTr="000B595D">
        <w:tc>
          <w:tcPr>
            <w:tcW w:w="3969" w:type="dxa"/>
          </w:tcPr>
          <w:p w14:paraId="4A223453" w14:textId="77777777" w:rsidR="009E108D" w:rsidRPr="0095113E" w:rsidRDefault="009E108D" w:rsidP="00016A1A">
            <w:pPr>
              <w:jc w:val="center"/>
              <w:rPr>
                <w:sz w:val="22"/>
              </w:rPr>
            </w:pPr>
          </w:p>
          <w:p w14:paraId="1D3E38A2" w14:textId="77777777" w:rsidR="009E108D" w:rsidRPr="0095113E" w:rsidRDefault="009E108D" w:rsidP="00016A1A">
            <w:pPr>
              <w:jc w:val="center"/>
              <w:rPr>
                <w:sz w:val="22"/>
              </w:rPr>
            </w:pPr>
            <w:r w:rsidRPr="0095113E">
              <w:rPr>
                <w:sz w:val="22"/>
              </w:rPr>
              <w:t>Ukazatel</w:t>
            </w:r>
          </w:p>
        </w:tc>
        <w:tc>
          <w:tcPr>
            <w:tcW w:w="1117" w:type="dxa"/>
            <w:vAlign w:val="center"/>
          </w:tcPr>
          <w:p w14:paraId="770F6894" w14:textId="77777777" w:rsidR="009E108D" w:rsidRPr="0095113E" w:rsidRDefault="009E108D" w:rsidP="00016A1A">
            <w:pPr>
              <w:jc w:val="center"/>
              <w:rPr>
                <w:sz w:val="22"/>
              </w:rPr>
            </w:pPr>
            <w:r w:rsidRPr="0095113E">
              <w:rPr>
                <w:sz w:val="22"/>
              </w:rPr>
              <w:t>Skutečnost</w:t>
            </w:r>
          </w:p>
          <w:p w14:paraId="252BEBC8" w14:textId="77777777" w:rsidR="009E108D" w:rsidRPr="0095113E" w:rsidRDefault="009E108D" w:rsidP="00016A1A">
            <w:pPr>
              <w:jc w:val="center"/>
              <w:rPr>
                <w:sz w:val="22"/>
              </w:rPr>
            </w:pPr>
            <w:r w:rsidRPr="0095113E">
              <w:rPr>
                <w:sz w:val="22"/>
              </w:rPr>
              <w:t>2018</w:t>
            </w:r>
          </w:p>
        </w:tc>
        <w:tc>
          <w:tcPr>
            <w:tcW w:w="1106" w:type="dxa"/>
            <w:vAlign w:val="center"/>
          </w:tcPr>
          <w:p w14:paraId="21010E6E" w14:textId="77777777" w:rsidR="009E108D" w:rsidRPr="0095113E" w:rsidRDefault="009E108D" w:rsidP="00016A1A">
            <w:pPr>
              <w:jc w:val="center"/>
              <w:rPr>
                <w:sz w:val="22"/>
              </w:rPr>
            </w:pPr>
            <w:r w:rsidRPr="0095113E">
              <w:rPr>
                <w:sz w:val="22"/>
              </w:rPr>
              <w:t>Schválený</w:t>
            </w:r>
          </w:p>
          <w:p w14:paraId="40936355" w14:textId="77777777" w:rsidR="009E108D" w:rsidRPr="0095113E" w:rsidRDefault="009E108D" w:rsidP="00016A1A">
            <w:pPr>
              <w:jc w:val="center"/>
              <w:rPr>
                <w:sz w:val="22"/>
              </w:rPr>
            </w:pPr>
            <w:r w:rsidRPr="0095113E">
              <w:rPr>
                <w:sz w:val="22"/>
              </w:rPr>
              <w:t>rozpočet</w:t>
            </w:r>
          </w:p>
          <w:p w14:paraId="715697C1" w14:textId="77777777" w:rsidR="009E108D" w:rsidRPr="0095113E" w:rsidRDefault="009E108D" w:rsidP="00016A1A">
            <w:pPr>
              <w:jc w:val="center"/>
              <w:rPr>
                <w:sz w:val="22"/>
              </w:rPr>
            </w:pPr>
            <w:r w:rsidRPr="0095113E">
              <w:rPr>
                <w:sz w:val="22"/>
              </w:rPr>
              <w:t>2019</w:t>
            </w:r>
          </w:p>
        </w:tc>
        <w:tc>
          <w:tcPr>
            <w:tcW w:w="1106" w:type="dxa"/>
            <w:vAlign w:val="center"/>
          </w:tcPr>
          <w:p w14:paraId="2208CC30" w14:textId="77777777" w:rsidR="009E108D" w:rsidRPr="0095113E" w:rsidRDefault="009E108D" w:rsidP="00016A1A">
            <w:pPr>
              <w:jc w:val="center"/>
              <w:rPr>
                <w:sz w:val="22"/>
              </w:rPr>
            </w:pPr>
            <w:r w:rsidRPr="0095113E">
              <w:rPr>
                <w:sz w:val="22"/>
              </w:rPr>
              <w:t>Upravený</w:t>
            </w:r>
          </w:p>
          <w:p w14:paraId="468E17B1" w14:textId="77777777" w:rsidR="009E108D" w:rsidRPr="0095113E" w:rsidRDefault="009E108D" w:rsidP="00016A1A">
            <w:pPr>
              <w:jc w:val="center"/>
              <w:rPr>
                <w:sz w:val="22"/>
              </w:rPr>
            </w:pPr>
            <w:r w:rsidRPr="0095113E">
              <w:rPr>
                <w:sz w:val="22"/>
              </w:rPr>
              <w:t>rozpočet</w:t>
            </w:r>
          </w:p>
          <w:p w14:paraId="542FBB5D" w14:textId="77777777" w:rsidR="009E108D" w:rsidRPr="0095113E" w:rsidRDefault="009E108D" w:rsidP="00016A1A">
            <w:pPr>
              <w:jc w:val="center"/>
              <w:rPr>
                <w:sz w:val="22"/>
              </w:rPr>
            </w:pPr>
            <w:r w:rsidRPr="0095113E">
              <w:rPr>
                <w:sz w:val="22"/>
              </w:rPr>
              <w:t>2019</w:t>
            </w:r>
          </w:p>
        </w:tc>
        <w:tc>
          <w:tcPr>
            <w:tcW w:w="1117" w:type="dxa"/>
            <w:vAlign w:val="center"/>
          </w:tcPr>
          <w:p w14:paraId="4633C55D" w14:textId="77777777" w:rsidR="009E108D" w:rsidRPr="0095113E" w:rsidRDefault="009E108D" w:rsidP="00016A1A">
            <w:pPr>
              <w:jc w:val="center"/>
              <w:rPr>
                <w:sz w:val="22"/>
              </w:rPr>
            </w:pPr>
            <w:r w:rsidRPr="0095113E">
              <w:rPr>
                <w:sz w:val="22"/>
              </w:rPr>
              <w:t>Skutečnost</w:t>
            </w:r>
          </w:p>
          <w:p w14:paraId="4B274DD0" w14:textId="77777777" w:rsidR="009E108D" w:rsidRPr="0095113E" w:rsidRDefault="009E108D" w:rsidP="00016A1A">
            <w:pPr>
              <w:jc w:val="center"/>
              <w:rPr>
                <w:sz w:val="22"/>
              </w:rPr>
            </w:pPr>
            <w:r w:rsidRPr="0095113E">
              <w:rPr>
                <w:sz w:val="22"/>
              </w:rPr>
              <w:t>2019</w:t>
            </w:r>
          </w:p>
        </w:tc>
        <w:tc>
          <w:tcPr>
            <w:tcW w:w="737" w:type="dxa"/>
            <w:vAlign w:val="center"/>
          </w:tcPr>
          <w:p w14:paraId="3DE0F3E9" w14:textId="77777777" w:rsidR="009E108D" w:rsidRPr="0095113E" w:rsidRDefault="009E108D" w:rsidP="00016A1A">
            <w:pPr>
              <w:jc w:val="center"/>
              <w:rPr>
                <w:sz w:val="22"/>
              </w:rPr>
            </w:pPr>
            <w:r w:rsidRPr="0095113E">
              <w:rPr>
                <w:sz w:val="22"/>
              </w:rPr>
              <w:t>Index</w:t>
            </w:r>
          </w:p>
          <w:p w14:paraId="79FA1931" w14:textId="77777777" w:rsidR="009E108D" w:rsidRPr="0095113E" w:rsidRDefault="009E108D" w:rsidP="00016A1A">
            <w:pPr>
              <w:jc w:val="center"/>
              <w:rPr>
                <w:sz w:val="22"/>
              </w:rPr>
            </w:pPr>
            <w:r w:rsidRPr="0095113E">
              <w:rPr>
                <w:sz w:val="22"/>
              </w:rPr>
              <w:t>19/18        (v %)</w:t>
            </w:r>
          </w:p>
        </w:tc>
      </w:tr>
      <w:tr w:rsidR="009E108D" w:rsidRPr="0095113E" w14:paraId="05988271" w14:textId="77777777" w:rsidTr="000B595D">
        <w:tc>
          <w:tcPr>
            <w:tcW w:w="3969" w:type="dxa"/>
            <w:tcBorders>
              <w:bottom w:val="single" w:sz="4" w:space="0" w:color="auto"/>
            </w:tcBorders>
          </w:tcPr>
          <w:p w14:paraId="077BCF4E" w14:textId="77777777" w:rsidR="009E108D" w:rsidRPr="0095113E" w:rsidRDefault="009E108D" w:rsidP="00016A1A">
            <w:pPr>
              <w:jc w:val="center"/>
              <w:rPr>
                <w:sz w:val="22"/>
              </w:rPr>
            </w:pPr>
            <w:r w:rsidRPr="0095113E">
              <w:rPr>
                <w:sz w:val="22"/>
              </w:rPr>
              <w:t>a</w:t>
            </w:r>
          </w:p>
        </w:tc>
        <w:tc>
          <w:tcPr>
            <w:tcW w:w="1117" w:type="dxa"/>
            <w:tcBorders>
              <w:bottom w:val="single" w:sz="4" w:space="0" w:color="auto"/>
            </w:tcBorders>
          </w:tcPr>
          <w:p w14:paraId="33CC8A00" w14:textId="77777777" w:rsidR="009E108D" w:rsidRPr="0095113E" w:rsidRDefault="009E108D" w:rsidP="00016A1A">
            <w:pPr>
              <w:jc w:val="center"/>
              <w:rPr>
                <w:sz w:val="22"/>
              </w:rPr>
            </w:pPr>
            <w:r w:rsidRPr="0095113E">
              <w:rPr>
                <w:sz w:val="22"/>
              </w:rPr>
              <w:t>1</w:t>
            </w:r>
          </w:p>
        </w:tc>
        <w:tc>
          <w:tcPr>
            <w:tcW w:w="1106" w:type="dxa"/>
            <w:tcBorders>
              <w:bottom w:val="single" w:sz="4" w:space="0" w:color="auto"/>
            </w:tcBorders>
          </w:tcPr>
          <w:p w14:paraId="48D6F159" w14:textId="77777777" w:rsidR="009E108D" w:rsidRPr="0095113E" w:rsidRDefault="009E108D" w:rsidP="00016A1A">
            <w:pPr>
              <w:jc w:val="center"/>
              <w:rPr>
                <w:sz w:val="22"/>
              </w:rPr>
            </w:pPr>
            <w:r w:rsidRPr="0095113E">
              <w:rPr>
                <w:sz w:val="22"/>
              </w:rPr>
              <w:t>2</w:t>
            </w:r>
          </w:p>
        </w:tc>
        <w:tc>
          <w:tcPr>
            <w:tcW w:w="1106" w:type="dxa"/>
            <w:tcBorders>
              <w:bottom w:val="single" w:sz="4" w:space="0" w:color="auto"/>
            </w:tcBorders>
          </w:tcPr>
          <w:p w14:paraId="78F5CAE1" w14:textId="77777777" w:rsidR="009E108D" w:rsidRPr="0095113E" w:rsidRDefault="009E108D" w:rsidP="00016A1A">
            <w:pPr>
              <w:jc w:val="center"/>
              <w:rPr>
                <w:sz w:val="22"/>
              </w:rPr>
            </w:pPr>
            <w:r w:rsidRPr="0095113E">
              <w:rPr>
                <w:sz w:val="22"/>
              </w:rPr>
              <w:t>3</w:t>
            </w:r>
          </w:p>
        </w:tc>
        <w:tc>
          <w:tcPr>
            <w:tcW w:w="1117" w:type="dxa"/>
            <w:tcBorders>
              <w:bottom w:val="single" w:sz="4" w:space="0" w:color="auto"/>
            </w:tcBorders>
          </w:tcPr>
          <w:p w14:paraId="08751AFE" w14:textId="77777777" w:rsidR="009E108D" w:rsidRPr="0095113E" w:rsidRDefault="009E108D" w:rsidP="00016A1A">
            <w:pPr>
              <w:jc w:val="center"/>
              <w:rPr>
                <w:sz w:val="22"/>
              </w:rPr>
            </w:pPr>
            <w:r w:rsidRPr="0095113E">
              <w:rPr>
                <w:sz w:val="22"/>
              </w:rPr>
              <w:t>4</w:t>
            </w:r>
          </w:p>
        </w:tc>
        <w:tc>
          <w:tcPr>
            <w:tcW w:w="737" w:type="dxa"/>
            <w:tcBorders>
              <w:bottom w:val="single" w:sz="4" w:space="0" w:color="auto"/>
            </w:tcBorders>
          </w:tcPr>
          <w:p w14:paraId="0F99427E" w14:textId="77777777" w:rsidR="009E108D" w:rsidRPr="0095113E" w:rsidRDefault="009E108D" w:rsidP="00016A1A">
            <w:pPr>
              <w:jc w:val="center"/>
              <w:rPr>
                <w:sz w:val="22"/>
              </w:rPr>
            </w:pPr>
            <w:r w:rsidRPr="0095113E">
              <w:rPr>
                <w:sz w:val="22"/>
              </w:rPr>
              <w:t>5</w:t>
            </w:r>
          </w:p>
        </w:tc>
      </w:tr>
      <w:tr w:rsidR="009E108D" w:rsidRPr="0095113E" w14:paraId="730D5C3E" w14:textId="77777777" w:rsidTr="000B595D">
        <w:trPr>
          <w:trHeight w:val="388"/>
        </w:trPr>
        <w:tc>
          <w:tcPr>
            <w:tcW w:w="3969" w:type="dxa"/>
            <w:tcBorders>
              <w:top w:val="single" w:sz="4" w:space="0" w:color="auto"/>
              <w:left w:val="single" w:sz="4" w:space="0" w:color="auto"/>
              <w:bottom w:val="nil"/>
              <w:right w:val="single" w:sz="4" w:space="0" w:color="auto"/>
            </w:tcBorders>
          </w:tcPr>
          <w:p w14:paraId="46D0D209" w14:textId="77777777" w:rsidR="009E108D" w:rsidRPr="0095113E" w:rsidRDefault="009E108D" w:rsidP="00016A1A">
            <w:pPr>
              <w:pStyle w:val="Zkladntext"/>
              <w:rPr>
                <w:b/>
                <w:bCs/>
                <w:sz w:val="20"/>
              </w:rPr>
            </w:pPr>
            <w:r w:rsidRPr="0095113E">
              <w:rPr>
                <w:b/>
                <w:bCs/>
                <w:sz w:val="20"/>
              </w:rPr>
              <w:t xml:space="preserve">Neinvestiční příspěvek a transfery                          zřízeným PO </w:t>
            </w:r>
          </w:p>
          <w:p w14:paraId="54168AD2" w14:textId="77777777" w:rsidR="009E108D" w:rsidRPr="0095113E" w:rsidRDefault="009E108D" w:rsidP="00016A1A">
            <w:pPr>
              <w:pStyle w:val="Zkladntext"/>
              <w:rPr>
                <w:sz w:val="20"/>
              </w:rPr>
            </w:pPr>
            <w:r w:rsidRPr="0095113E">
              <w:rPr>
                <w:sz w:val="20"/>
              </w:rPr>
              <w:t xml:space="preserve">z toho: </w:t>
            </w:r>
          </w:p>
        </w:tc>
        <w:tc>
          <w:tcPr>
            <w:tcW w:w="1117" w:type="dxa"/>
            <w:tcBorders>
              <w:top w:val="single" w:sz="4" w:space="0" w:color="auto"/>
              <w:left w:val="single" w:sz="4" w:space="0" w:color="auto"/>
              <w:bottom w:val="nil"/>
              <w:right w:val="single" w:sz="4" w:space="0" w:color="auto"/>
            </w:tcBorders>
          </w:tcPr>
          <w:p w14:paraId="7FD8752C" w14:textId="77777777" w:rsidR="009E108D" w:rsidRPr="0095113E" w:rsidRDefault="009E108D" w:rsidP="00016A1A">
            <w:pPr>
              <w:spacing w:before="120"/>
              <w:jc w:val="right"/>
              <w:rPr>
                <w:b/>
                <w:bCs/>
                <w:sz w:val="20"/>
              </w:rPr>
            </w:pPr>
            <w:r w:rsidRPr="0095113E">
              <w:rPr>
                <w:b/>
                <w:bCs/>
                <w:sz w:val="20"/>
              </w:rPr>
              <w:t xml:space="preserve">              817 887</w:t>
            </w:r>
          </w:p>
        </w:tc>
        <w:tc>
          <w:tcPr>
            <w:tcW w:w="1106" w:type="dxa"/>
            <w:tcBorders>
              <w:top w:val="single" w:sz="4" w:space="0" w:color="auto"/>
              <w:left w:val="single" w:sz="4" w:space="0" w:color="auto"/>
              <w:bottom w:val="nil"/>
              <w:right w:val="single" w:sz="4" w:space="0" w:color="auto"/>
            </w:tcBorders>
          </w:tcPr>
          <w:p w14:paraId="2E1425DA" w14:textId="77777777" w:rsidR="009E108D" w:rsidRPr="0095113E" w:rsidRDefault="009E108D" w:rsidP="00016A1A">
            <w:pPr>
              <w:spacing w:before="120"/>
              <w:jc w:val="right"/>
              <w:rPr>
                <w:b/>
                <w:bCs/>
                <w:sz w:val="20"/>
              </w:rPr>
            </w:pPr>
            <w:r w:rsidRPr="0095113E">
              <w:rPr>
                <w:b/>
                <w:bCs/>
                <w:sz w:val="20"/>
              </w:rPr>
              <w:t xml:space="preserve">                      543 500</w:t>
            </w:r>
          </w:p>
        </w:tc>
        <w:tc>
          <w:tcPr>
            <w:tcW w:w="1106" w:type="dxa"/>
            <w:tcBorders>
              <w:top w:val="single" w:sz="4" w:space="0" w:color="auto"/>
              <w:left w:val="single" w:sz="4" w:space="0" w:color="auto"/>
              <w:bottom w:val="nil"/>
              <w:right w:val="single" w:sz="4" w:space="0" w:color="auto"/>
            </w:tcBorders>
          </w:tcPr>
          <w:p w14:paraId="55FCE241" w14:textId="77777777" w:rsidR="009E108D" w:rsidRPr="0095113E" w:rsidRDefault="009E108D" w:rsidP="00016A1A">
            <w:pPr>
              <w:spacing w:before="120"/>
              <w:jc w:val="right"/>
              <w:rPr>
                <w:b/>
                <w:bCs/>
                <w:sz w:val="20"/>
              </w:rPr>
            </w:pPr>
            <w:r w:rsidRPr="0095113E">
              <w:rPr>
                <w:b/>
                <w:bCs/>
                <w:sz w:val="20"/>
              </w:rPr>
              <w:t xml:space="preserve">                      543 361</w:t>
            </w:r>
          </w:p>
        </w:tc>
        <w:tc>
          <w:tcPr>
            <w:tcW w:w="1117" w:type="dxa"/>
            <w:tcBorders>
              <w:top w:val="single" w:sz="4" w:space="0" w:color="auto"/>
              <w:left w:val="single" w:sz="4" w:space="0" w:color="auto"/>
              <w:bottom w:val="nil"/>
              <w:right w:val="single" w:sz="4" w:space="0" w:color="auto"/>
            </w:tcBorders>
          </w:tcPr>
          <w:p w14:paraId="6180AB15" w14:textId="77777777" w:rsidR="009E108D" w:rsidRPr="0095113E" w:rsidRDefault="009E108D" w:rsidP="00016A1A">
            <w:pPr>
              <w:spacing w:before="120"/>
              <w:jc w:val="right"/>
              <w:rPr>
                <w:b/>
                <w:bCs/>
                <w:sz w:val="20"/>
              </w:rPr>
            </w:pPr>
            <w:r w:rsidRPr="0095113E">
              <w:rPr>
                <w:b/>
                <w:bCs/>
                <w:sz w:val="20"/>
              </w:rPr>
              <w:t xml:space="preserve">                     395 680</w:t>
            </w:r>
          </w:p>
        </w:tc>
        <w:tc>
          <w:tcPr>
            <w:tcW w:w="737" w:type="dxa"/>
            <w:tcBorders>
              <w:top w:val="single" w:sz="4" w:space="0" w:color="auto"/>
              <w:left w:val="single" w:sz="4" w:space="0" w:color="auto"/>
              <w:bottom w:val="nil"/>
              <w:right w:val="single" w:sz="4" w:space="0" w:color="auto"/>
            </w:tcBorders>
          </w:tcPr>
          <w:p w14:paraId="20302BCF" w14:textId="77777777" w:rsidR="009E108D" w:rsidRPr="0095113E" w:rsidRDefault="009E108D" w:rsidP="00016A1A">
            <w:pPr>
              <w:spacing w:before="120"/>
              <w:ind w:left="-70" w:firstLine="70"/>
              <w:jc w:val="right"/>
              <w:rPr>
                <w:b/>
                <w:bCs/>
                <w:sz w:val="20"/>
              </w:rPr>
            </w:pPr>
            <w:r w:rsidRPr="0095113E">
              <w:rPr>
                <w:b/>
                <w:bCs/>
                <w:sz w:val="20"/>
              </w:rPr>
              <w:t xml:space="preserve">          48,38</w:t>
            </w:r>
          </w:p>
        </w:tc>
      </w:tr>
      <w:tr w:rsidR="009E108D" w:rsidRPr="0095113E" w14:paraId="1EB938E4" w14:textId="77777777" w:rsidTr="000B595D">
        <w:tc>
          <w:tcPr>
            <w:tcW w:w="3969" w:type="dxa"/>
            <w:tcBorders>
              <w:top w:val="nil"/>
              <w:left w:val="single" w:sz="4" w:space="0" w:color="auto"/>
              <w:bottom w:val="nil"/>
              <w:right w:val="single" w:sz="4" w:space="0" w:color="auto"/>
            </w:tcBorders>
          </w:tcPr>
          <w:p w14:paraId="6298B1A1" w14:textId="77777777" w:rsidR="009E108D" w:rsidRPr="0095113E" w:rsidRDefault="009E108D" w:rsidP="00016A1A">
            <w:pPr>
              <w:jc w:val="both"/>
              <w:rPr>
                <w:sz w:val="20"/>
              </w:rPr>
            </w:pPr>
            <w:r w:rsidRPr="0095113E">
              <w:rPr>
                <w:sz w:val="20"/>
              </w:rPr>
              <w:t>na zajištění provozu VS Kojetín</w:t>
            </w:r>
          </w:p>
        </w:tc>
        <w:tc>
          <w:tcPr>
            <w:tcW w:w="1117" w:type="dxa"/>
            <w:tcBorders>
              <w:top w:val="nil"/>
              <w:left w:val="single" w:sz="4" w:space="0" w:color="auto"/>
              <w:bottom w:val="nil"/>
              <w:right w:val="single" w:sz="4" w:space="0" w:color="auto"/>
            </w:tcBorders>
          </w:tcPr>
          <w:p w14:paraId="16E3581D" w14:textId="77777777" w:rsidR="009E108D" w:rsidRPr="0095113E" w:rsidRDefault="009E108D" w:rsidP="00016A1A">
            <w:pPr>
              <w:jc w:val="right"/>
              <w:rPr>
                <w:sz w:val="20"/>
              </w:rPr>
            </w:pPr>
            <w:r w:rsidRPr="0095113E">
              <w:rPr>
                <w:sz w:val="20"/>
              </w:rPr>
              <w:t>2 953</w:t>
            </w:r>
          </w:p>
        </w:tc>
        <w:tc>
          <w:tcPr>
            <w:tcW w:w="1106" w:type="dxa"/>
            <w:tcBorders>
              <w:top w:val="nil"/>
              <w:left w:val="single" w:sz="4" w:space="0" w:color="auto"/>
              <w:bottom w:val="nil"/>
              <w:right w:val="single" w:sz="4" w:space="0" w:color="auto"/>
            </w:tcBorders>
          </w:tcPr>
          <w:p w14:paraId="2AB81638" w14:textId="77777777" w:rsidR="009E108D" w:rsidRPr="0095113E" w:rsidRDefault="009E108D" w:rsidP="00016A1A">
            <w:pPr>
              <w:jc w:val="right"/>
              <w:rPr>
                <w:sz w:val="20"/>
              </w:rPr>
            </w:pPr>
            <w:r w:rsidRPr="0095113E">
              <w:rPr>
                <w:sz w:val="20"/>
              </w:rPr>
              <w:t>3 500</w:t>
            </w:r>
          </w:p>
        </w:tc>
        <w:tc>
          <w:tcPr>
            <w:tcW w:w="1106" w:type="dxa"/>
            <w:tcBorders>
              <w:top w:val="nil"/>
              <w:left w:val="single" w:sz="4" w:space="0" w:color="auto"/>
              <w:bottom w:val="nil"/>
              <w:right w:val="single" w:sz="4" w:space="0" w:color="auto"/>
            </w:tcBorders>
          </w:tcPr>
          <w:p w14:paraId="73393955" w14:textId="77777777" w:rsidR="009E108D" w:rsidRPr="0095113E" w:rsidRDefault="009E108D" w:rsidP="00016A1A">
            <w:pPr>
              <w:jc w:val="right"/>
              <w:rPr>
                <w:sz w:val="20"/>
              </w:rPr>
            </w:pPr>
            <w:r w:rsidRPr="0095113E">
              <w:rPr>
                <w:sz w:val="20"/>
              </w:rPr>
              <w:t>3 500</w:t>
            </w:r>
          </w:p>
        </w:tc>
        <w:tc>
          <w:tcPr>
            <w:tcW w:w="1117" w:type="dxa"/>
            <w:tcBorders>
              <w:top w:val="nil"/>
              <w:left w:val="single" w:sz="4" w:space="0" w:color="auto"/>
              <w:bottom w:val="nil"/>
              <w:right w:val="single" w:sz="4" w:space="0" w:color="auto"/>
            </w:tcBorders>
          </w:tcPr>
          <w:p w14:paraId="75596DA8" w14:textId="77777777" w:rsidR="009E108D" w:rsidRPr="0095113E" w:rsidRDefault="009E108D" w:rsidP="00016A1A">
            <w:pPr>
              <w:jc w:val="right"/>
              <w:rPr>
                <w:sz w:val="20"/>
              </w:rPr>
            </w:pPr>
            <w:r w:rsidRPr="0095113E">
              <w:rPr>
                <w:sz w:val="20"/>
              </w:rPr>
              <w:t>3 188</w:t>
            </w:r>
          </w:p>
        </w:tc>
        <w:tc>
          <w:tcPr>
            <w:tcW w:w="737" w:type="dxa"/>
            <w:tcBorders>
              <w:top w:val="nil"/>
              <w:left w:val="single" w:sz="4" w:space="0" w:color="auto"/>
              <w:bottom w:val="nil"/>
              <w:right w:val="single" w:sz="4" w:space="0" w:color="auto"/>
            </w:tcBorders>
          </w:tcPr>
          <w:p w14:paraId="02D0C8EF" w14:textId="77777777" w:rsidR="009E108D" w:rsidRPr="0095113E" w:rsidRDefault="009E108D" w:rsidP="00016A1A">
            <w:pPr>
              <w:jc w:val="right"/>
              <w:rPr>
                <w:sz w:val="20"/>
              </w:rPr>
            </w:pPr>
            <w:r w:rsidRPr="0095113E">
              <w:rPr>
                <w:sz w:val="20"/>
              </w:rPr>
              <w:t>107,96</w:t>
            </w:r>
          </w:p>
        </w:tc>
      </w:tr>
      <w:tr w:rsidR="009E108D" w:rsidRPr="0095113E" w14:paraId="6D2C5106" w14:textId="77777777" w:rsidTr="000B595D">
        <w:tc>
          <w:tcPr>
            <w:tcW w:w="3969" w:type="dxa"/>
            <w:tcBorders>
              <w:top w:val="nil"/>
              <w:left w:val="single" w:sz="4" w:space="0" w:color="auto"/>
              <w:bottom w:val="nil"/>
              <w:right w:val="single" w:sz="4" w:space="0" w:color="auto"/>
            </w:tcBorders>
          </w:tcPr>
          <w:p w14:paraId="42C841EC" w14:textId="77777777" w:rsidR="009E108D" w:rsidRPr="0095113E" w:rsidRDefault="009E108D" w:rsidP="00016A1A">
            <w:pPr>
              <w:jc w:val="both"/>
              <w:rPr>
                <w:sz w:val="20"/>
              </w:rPr>
            </w:pPr>
            <w:r>
              <w:rPr>
                <w:sz w:val="20"/>
              </w:rPr>
              <w:t>n</w:t>
            </w:r>
            <w:r w:rsidRPr="0095113E">
              <w:rPr>
                <w:sz w:val="20"/>
              </w:rPr>
              <w:t>a zaplacení pokut a penále vyměřené FÚ, na úhradu pokut, úroků a nákladů řízení vycházející z rozsudku soudu a na vrácení příspěvku SFDI</w:t>
            </w:r>
          </w:p>
        </w:tc>
        <w:tc>
          <w:tcPr>
            <w:tcW w:w="1117" w:type="dxa"/>
            <w:tcBorders>
              <w:top w:val="nil"/>
              <w:left w:val="single" w:sz="4" w:space="0" w:color="auto"/>
              <w:bottom w:val="nil"/>
              <w:right w:val="single" w:sz="4" w:space="0" w:color="auto"/>
            </w:tcBorders>
          </w:tcPr>
          <w:p w14:paraId="1795C2F8" w14:textId="77777777" w:rsidR="009E108D" w:rsidRPr="0095113E" w:rsidRDefault="009E108D" w:rsidP="00016A1A">
            <w:pPr>
              <w:jc w:val="right"/>
              <w:rPr>
                <w:sz w:val="20"/>
              </w:rPr>
            </w:pPr>
          </w:p>
          <w:p w14:paraId="67655B77" w14:textId="77777777" w:rsidR="009E108D" w:rsidRPr="0095113E" w:rsidRDefault="009E108D" w:rsidP="00016A1A">
            <w:pPr>
              <w:jc w:val="right"/>
              <w:rPr>
                <w:sz w:val="20"/>
              </w:rPr>
            </w:pPr>
          </w:p>
          <w:p w14:paraId="3672C6FD" w14:textId="77777777" w:rsidR="009E108D" w:rsidRPr="0095113E" w:rsidRDefault="009E108D" w:rsidP="00016A1A">
            <w:pPr>
              <w:jc w:val="right"/>
              <w:rPr>
                <w:sz w:val="20"/>
              </w:rPr>
            </w:pPr>
          </w:p>
          <w:p w14:paraId="6C489AD2" w14:textId="77777777" w:rsidR="009E108D" w:rsidRPr="0095113E" w:rsidRDefault="009E108D" w:rsidP="00016A1A">
            <w:pPr>
              <w:jc w:val="right"/>
              <w:rPr>
                <w:sz w:val="20"/>
              </w:rPr>
            </w:pPr>
            <w:r w:rsidRPr="0095113E">
              <w:rPr>
                <w:sz w:val="20"/>
              </w:rPr>
              <w:t>814 934</w:t>
            </w:r>
          </w:p>
        </w:tc>
        <w:tc>
          <w:tcPr>
            <w:tcW w:w="1106" w:type="dxa"/>
            <w:tcBorders>
              <w:top w:val="nil"/>
              <w:left w:val="single" w:sz="4" w:space="0" w:color="auto"/>
              <w:bottom w:val="nil"/>
              <w:right w:val="single" w:sz="4" w:space="0" w:color="auto"/>
            </w:tcBorders>
          </w:tcPr>
          <w:p w14:paraId="38684BFF" w14:textId="77777777" w:rsidR="009E108D" w:rsidRPr="0095113E" w:rsidRDefault="009E108D" w:rsidP="00016A1A">
            <w:pPr>
              <w:jc w:val="right"/>
              <w:rPr>
                <w:sz w:val="20"/>
              </w:rPr>
            </w:pPr>
          </w:p>
          <w:p w14:paraId="14384A15" w14:textId="77777777" w:rsidR="009E108D" w:rsidRPr="0095113E" w:rsidRDefault="009E108D" w:rsidP="00016A1A">
            <w:pPr>
              <w:jc w:val="right"/>
              <w:rPr>
                <w:sz w:val="20"/>
              </w:rPr>
            </w:pPr>
          </w:p>
          <w:p w14:paraId="4E7ED64E" w14:textId="77777777" w:rsidR="009E108D" w:rsidRPr="0095113E" w:rsidRDefault="009E108D" w:rsidP="00016A1A">
            <w:pPr>
              <w:jc w:val="right"/>
              <w:rPr>
                <w:sz w:val="20"/>
              </w:rPr>
            </w:pPr>
          </w:p>
          <w:p w14:paraId="72F03D88" w14:textId="77777777" w:rsidR="009E108D" w:rsidRPr="0095113E" w:rsidRDefault="009E108D" w:rsidP="00016A1A">
            <w:pPr>
              <w:jc w:val="right"/>
              <w:rPr>
                <w:sz w:val="20"/>
              </w:rPr>
            </w:pPr>
            <w:r w:rsidRPr="0095113E">
              <w:rPr>
                <w:sz w:val="20"/>
              </w:rPr>
              <w:t>540 000</w:t>
            </w:r>
          </w:p>
        </w:tc>
        <w:tc>
          <w:tcPr>
            <w:tcW w:w="1106" w:type="dxa"/>
            <w:tcBorders>
              <w:top w:val="nil"/>
              <w:left w:val="single" w:sz="4" w:space="0" w:color="auto"/>
              <w:bottom w:val="nil"/>
              <w:right w:val="single" w:sz="4" w:space="0" w:color="auto"/>
            </w:tcBorders>
          </w:tcPr>
          <w:p w14:paraId="05758A63" w14:textId="77777777" w:rsidR="009E108D" w:rsidRPr="0095113E" w:rsidRDefault="009E108D" w:rsidP="00016A1A">
            <w:pPr>
              <w:jc w:val="right"/>
              <w:rPr>
                <w:sz w:val="20"/>
              </w:rPr>
            </w:pPr>
          </w:p>
          <w:p w14:paraId="094AB4BC" w14:textId="77777777" w:rsidR="009E108D" w:rsidRPr="0095113E" w:rsidRDefault="009E108D" w:rsidP="00016A1A">
            <w:pPr>
              <w:jc w:val="right"/>
              <w:rPr>
                <w:sz w:val="20"/>
              </w:rPr>
            </w:pPr>
          </w:p>
          <w:p w14:paraId="12044FB0" w14:textId="77777777" w:rsidR="009E108D" w:rsidRPr="0095113E" w:rsidRDefault="009E108D" w:rsidP="00016A1A">
            <w:pPr>
              <w:jc w:val="right"/>
              <w:rPr>
                <w:sz w:val="20"/>
              </w:rPr>
            </w:pPr>
          </w:p>
          <w:p w14:paraId="4A71E00A" w14:textId="77777777" w:rsidR="009E108D" w:rsidRPr="0095113E" w:rsidRDefault="009E108D" w:rsidP="00016A1A">
            <w:pPr>
              <w:jc w:val="right"/>
              <w:rPr>
                <w:sz w:val="20"/>
              </w:rPr>
            </w:pPr>
            <w:r w:rsidRPr="0095113E">
              <w:rPr>
                <w:sz w:val="20"/>
              </w:rPr>
              <w:t>539 861</w:t>
            </w:r>
          </w:p>
        </w:tc>
        <w:tc>
          <w:tcPr>
            <w:tcW w:w="1117" w:type="dxa"/>
            <w:tcBorders>
              <w:top w:val="nil"/>
              <w:left w:val="single" w:sz="4" w:space="0" w:color="auto"/>
              <w:bottom w:val="nil"/>
              <w:right w:val="single" w:sz="4" w:space="0" w:color="auto"/>
            </w:tcBorders>
          </w:tcPr>
          <w:p w14:paraId="0DACB5F4" w14:textId="77777777" w:rsidR="009E108D" w:rsidRPr="0095113E" w:rsidRDefault="009E108D" w:rsidP="00016A1A">
            <w:pPr>
              <w:jc w:val="right"/>
              <w:rPr>
                <w:sz w:val="20"/>
              </w:rPr>
            </w:pPr>
          </w:p>
          <w:p w14:paraId="35CD0EB5" w14:textId="77777777" w:rsidR="009E108D" w:rsidRPr="0095113E" w:rsidRDefault="009E108D" w:rsidP="00016A1A">
            <w:pPr>
              <w:jc w:val="right"/>
              <w:rPr>
                <w:sz w:val="20"/>
              </w:rPr>
            </w:pPr>
          </w:p>
          <w:p w14:paraId="16BA1105" w14:textId="77777777" w:rsidR="009E108D" w:rsidRPr="0095113E" w:rsidRDefault="009E108D" w:rsidP="00016A1A">
            <w:pPr>
              <w:jc w:val="right"/>
              <w:rPr>
                <w:sz w:val="20"/>
              </w:rPr>
            </w:pPr>
          </w:p>
          <w:p w14:paraId="7B2BA96E" w14:textId="77777777" w:rsidR="009E108D" w:rsidRPr="0095113E" w:rsidRDefault="009E108D" w:rsidP="00016A1A">
            <w:pPr>
              <w:jc w:val="right"/>
              <w:rPr>
                <w:sz w:val="20"/>
              </w:rPr>
            </w:pPr>
            <w:r w:rsidRPr="0095113E">
              <w:rPr>
                <w:sz w:val="20"/>
              </w:rPr>
              <w:t>392 492</w:t>
            </w:r>
          </w:p>
        </w:tc>
        <w:tc>
          <w:tcPr>
            <w:tcW w:w="737" w:type="dxa"/>
            <w:tcBorders>
              <w:top w:val="nil"/>
              <w:left w:val="single" w:sz="4" w:space="0" w:color="auto"/>
              <w:bottom w:val="nil"/>
              <w:right w:val="single" w:sz="4" w:space="0" w:color="auto"/>
            </w:tcBorders>
          </w:tcPr>
          <w:p w14:paraId="550FDF24" w14:textId="77777777" w:rsidR="009E108D" w:rsidRPr="0095113E" w:rsidRDefault="009E108D" w:rsidP="00016A1A">
            <w:pPr>
              <w:jc w:val="right"/>
              <w:rPr>
                <w:sz w:val="20"/>
              </w:rPr>
            </w:pPr>
          </w:p>
          <w:p w14:paraId="5CF03D6C" w14:textId="77777777" w:rsidR="009E108D" w:rsidRPr="0095113E" w:rsidRDefault="009E108D" w:rsidP="00016A1A">
            <w:pPr>
              <w:jc w:val="right"/>
              <w:rPr>
                <w:sz w:val="20"/>
              </w:rPr>
            </w:pPr>
          </w:p>
          <w:p w14:paraId="07712DCE" w14:textId="77777777" w:rsidR="009E108D" w:rsidRPr="0095113E" w:rsidRDefault="009E108D" w:rsidP="00016A1A">
            <w:pPr>
              <w:jc w:val="right"/>
              <w:rPr>
                <w:sz w:val="20"/>
              </w:rPr>
            </w:pPr>
          </w:p>
          <w:p w14:paraId="1BF6FBF3" w14:textId="77777777" w:rsidR="009E108D" w:rsidRPr="0095113E" w:rsidRDefault="009E108D" w:rsidP="00016A1A">
            <w:pPr>
              <w:jc w:val="right"/>
              <w:rPr>
                <w:sz w:val="20"/>
              </w:rPr>
            </w:pPr>
            <w:r w:rsidRPr="0095113E">
              <w:rPr>
                <w:sz w:val="20"/>
              </w:rPr>
              <w:t>48,16</w:t>
            </w:r>
          </w:p>
        </w:tc>
      </w:tr>
      <w:tr w:rsidR="009E108D" w:rsidRPr="0095113E" w14:paraId="42A5CBC3" w14:textId="77777777" w:rsidTr="000B595D">
        <w:tc>
          <w:tcPr>
            <w:tcW w:w="3969" w:type="dxa"/>
            <w:tcBorders>
              <w:top w:val="nil"/>
              <w:left w:val="single" w:sz="4" w:space="0" w:color="auto"/>
              <w:bottom w:val="nil"/>
              <w:right w:val="single" w:sz="4" w:space="0" w:color="auto"/>
            </w:tcBorders>
          </w:tcPr>
          <w:p w14:paraId="582D326A" w14:textId="77777777" w:rsidR="009E108D" w:rsidRPr="0095113E" w:rsidRDefault="009E108D" w:rsidP="00016A1A">
            <w:pPr>
              <w:jc w:val="both"/>
              <w:rPr>
                <w:sz w:val="20"/>
              </w:rPr>
            </w:pPr>
            <w:r w:rsidRPr="0095113E">
              <w:rPr>
                <w:sz w:val="20"/>
              </w:rPr>
              <w:t xml:space="preserve">dotace na neinvestiční náklady související </w:t>
            </w:r>
          </w:p>
        </w:tc>
        <w:tc>
          <w:tcPr>
            <w:tcW w:w="1117" w:type="dxa"/>
            <w:tcBorders>
              <w:top w:val="nil"/>
              <w:left w:val="single" w:sz="4" w:space="0" w:color="auto"/>
              <w:bottom w:val="nil"/>
              <w:right w:val="single" w:sz="4" w:space="0" w:color="auto"/>
            </w:tcBorders>
          </w:tcPr>
          <w:p w14:paraId="58F3E140" w14:textId="77777777" w:rsidR="009E108D" w:rsidRPr="0095113E" w:rsidRDefault="009E108D" w:rsidP="00016A1A">
            <w:pPr>
              <w:jc w:val="right"/>
              <w:rPr>
                <w:sz w:val="20"/>
              </w:rPr>
            </w:pPr>
          </w:p>
        </w:tc>
        <w:tc>
          <w:tcPr>
            <w:tcW w:w="1106" w:type="dxa"/>
            <w:tcBorders>
              <w:top w:val="nil"/>
              <w:left w:val="single" w:sz="4" w:space="0" w:color="auto"/>
              <w:bottom w:val="nil"/>
              <w:right w:val="single" w:sz="4" w:space="0" w:color="auto"/>
            </w:tcBorders>
          </w:tcPr>
          <w:p w14:paraId="1F153ECD" w14:textId="77777777" w:rsidR="009E108D" w:rsidRPr="0095113E" w:rsidRDefault="009E108D" w:rsidP="00016A1A">
            <w:pPr>
              <w:jc w:val="right"/>
              <w:rPr>
                <w:sz w:val="20"/>
              </w:rPr>
            </w:pPr>
          </w:p>
        </w:tc>
        <w:tc>
          <w:tcPr>
            <w:tcW w:w="1106" w:type="dxa"/>
            <w:tcBorders>
              <w:top w:val="nil"/>
              <w:left w:val="single" w:sz="4" w:space="0" w:color="auto"/>
              <w:bottom w:val="nil"/>
              <w:right w:val="single" w:sz="4" w:space="0" w:color="auto"/>
            </w:tcBorders>
          </w:tcPr>
          <w:p w14:paraId="0D16FD31" w14:textId="77777777" w:rsidR="009E108D" w:rsidRPr="0095113E" w:rsidRDefault="009E108D" w:rsidP="00016A1A">
            <w:pPr>
              <w:jc w:val="right"/>
              <w:rPr>
                <w:sz w:val="20"/>
              </w:rPr>
            </w:pPr>
          </w:p>
        </w:tc>
        <w:tc>
          <w:tcPr>
            <w:tcW w:w="1117" w:type="dxa"/>
            <w:tcBorders>
              <w:top w:val="nil"/>
              <w:left w:val="single" w:sz="4" w:space="0" w:color="auto"/>
              <w:bottom w:val="nil"/>
              <w:right w:val="single" w:sz="4" w:space="0" w:color="auto"/>
            </w:tcBorders>
          </w:tcPr>
          <w:p w14:paraId="45FBF58D" w14:textId="77777777" w:rsidR="009E108D" w:rsidRPr="0095113E" w:rsidRDefault="009E108D" w:rsidP="00016A1A">
            <w:pPr>
              <w:jc w:val="right"/>
              <w:rPr>
                <w:sz w:val="20"/>
              </w:rPr>
            </w:pPr>
          </w:p>
        </w:tc>
        <w:tc>
          <w:tcPr>
            <w:tcW w:w="737" w:type="dxa"/>
            <w:tcBorders>
              <w:top w:val="nil"/>
              <w:left w:val="single" w:sz="4" w:space="0" w:color="auto"/>
              <w:bottom w:val="nil"/>
              <w:right w:val="single" w:sz="4" w:space="0" w:color="auto"/>
            </w:tcBorders>
          </w:tcPr>
          <w:p w14:paraId="6E07F744" w14:textId="77777777" w:rsidR="009E108D" w:rsidRPr="0095113E" w:rsidRDefault="009E108D" w:rsidP="00016A1A">
            <w:pPr>
              <w:jc w:val="right"/>
              <w:rPr>
                <w:sz w:val="20"/>
              </w:rPr>
            </w:pPr>
          </w:p>
        </w:tc>
      </w:tr>
      <w:tr w:rsidR="009E108D" w:rsidRPr="0095113E" w14:paraId="5B7F8679" w14:textId="77777777" w:rsidTr="000B595D">
        <w:tc>
          <w:tcPr>
            <w:tcW w:w="3969" w:type="dxa"/>
            <w:tcBorders>
              <w:top w:val="nil"/>
              <w:left w:val="single" w:sz="4" w:space="0" w:color="auto"/>
              <w:bottom w:val="single" w:sz="4" w:space="0" w:color="auto"/>
              <w:right w:val="single" w:sz="4" w:space="0" w:color="auto"/>
            </w:tcBorders>
          </w:tcPr>
          <w:p w14:paraId="6D86CC95" w14:textId="77777777" w:rsidR="009E108D" w:rsidRPr="0095113E" w:rsidRDefault="009E108D" w:rsidP="00016A1A">
            <w:pPr>
              <w:rPr>
                <w:sz w:val="20"/>
              </w:rPr>
            </w:pPr>
            <w:r w:rsidRPr="0095113E">
              <w:rPr>
                <w:sz w:val="20"/>
              </w:rPr>
              <w:t>s financ. programů evidovaných v  EDS/SMVS</w:t>
            </w:r>
          </w:p>
        </w:tc>
        <w:tc>
          <w:tcPr>
            <w:tcW w:w="1117" w:type="dxa"/>
            <w:tcBorders>
              <w:top w:val="nil"/>
              <w:left w:val="single" w:sz="4" w:space="0" w:color="auto"/>
              <w:bottom w:val="single" w:sz="4" w:space="0" w:color="auto"/>
              <w:right w:val="single" w:sz="4" w:space="0" w:color="auto"/>
            </w:tcBorders>
          </w:tcPr>
          <w:p w14:paraId="67635AAD" w14:textId="77777777" w:rsidR="009E108D" w:rsidRPr="0095113E" w:rsidRDefault="009E108D" w:rsidP="00016A1A">
            <w:pPr>
              <w:jc w:val="right"/>
              <w:rPr>
                <w:sz w:val="20"/>
              </w:rPr>
            </w:pPr>
            <w:r w:rsidRPr="0095113E">
              <w:rPr>
                <w:sz w:val="20"/>
              </w:rPr>
              <w:t>0</w:t>
            </w:r>
          </w:p>
        </w:tc>
        <w:tc>
          <w:tcPr>
            <w:tcW w:w="1106" w:type="dxa"/>
            <w:tcBorders>
              <w:top w:val="nil"/>
              <w:left w:val="single" w:sz="4" w:space="0" w:color="auto"/>
              <w:bottom w:val="single" w:sz="4" w:space="0" w:color="auto"/>
              <w:right w:val="single" w:sz="4" w:space="0" w:color="auto"/>
            </w:tcBorders>
          </w:tcPr>
          <w:p w14:paraId="699A8413" w14:textId="77777777" w:rsidR="009E108D" w:rsidRPr="0095113E" w:rsidRDefault="009E108D" w:rsidP="00016A1A">
            <w:pPr>
              <w:jc w:val="right"/>
              <w:rPr>
                <w:sz w:val="20"/>
              </w:rPr>
            </w:pPr>
            <w:r w:rsidRPr="0095113E">
              <w:rPr>
                <w:sz w:val="20"/>
              </w:rPr>
              <w:t>0</w:t>
            </w:r>
          </w:p>
        </w:tc>
        <w:tc>
          <w:tcPr>
            <w:tcW w:w="1106" w:type="dxa"/>
            <w:tcBorders>
              <w:top w:val="nil"/>
              <w:left w:val="single" w:sz="4" w:space="0" w:color="auto"/>
              <w:bottom w:val="single" w:sz="4" w:space="0" w:color="auto"/>
              <w:right w:val="single" w:sz="4" w:space="0" w:color="auto"/>
            </w:tcBorders>
          </w:tcPr>
          <w:p w14:paraId="67C9B5F3" w14:textId="77777777" w:rsidR="009E108D" w:rsidRPr="0095113E" w:rsidRDefault="009E108D" w:rsidP="00016A1A">
            <w:pPr>
              <w:jc w:val="right"/>
              <w:rPr>
                <w:sz w:val="20"/>
              </w:rPr>
            </w:pPr>
            <w:r w:rsidRPr="0095113E">
              <w:rPr>
                <w:sz w:val="20"/>
              </w:rPr>
              <w:t>0</w:t>
            </w:r>
          </w:p>
        </w:tc>
        <w:tc>
          <w:tcPr>
            <w:tcW w:w="1117" w:type="dxa"/>
            <w:tcBorders>
              <w:top w:val="nil"/>
              <w:left w:val="single" w:sz="4" w:space="0" w:color="auto"/>
              <w:bottom w:val="single" w:sz="4" w:space="0" w:color="auto"/>
              <w:right w:val="single" w:sz="4" w:space="0" w:color="auto"/>
            </w:tcBorders>
          </w:tcPr>
          <w:p w14:paraId="40561E71" w14:textId="77777777" w:rsidR="009E108D" w:rsidRPr="0095113E" w:rsidRDefault="009E108D" w:rsidP="00016A1A">
            <w:pPr>
              <w:jc w:val="right"/>
              <w:rPr>
                <w:sz w:val="20"/>
              </w:rPr>
            </w:pPr>
            <w:r w:rsidRPr="0095113E">
              <w:rPr>
                <w:sz w:val="20"/>
              </w:rPr>
              <w:t>0</w:t>
            </w:r>
          </w:p>
        </w:tc>
        <w:tc>
          <w:tcPr>
            <w:tcW w:w="737" w:type="dxa"/>
            <w:tcBorders>
              <w:top w:val="nil"/>
              <w:left w:val="single" w:sz="4" w:space="0" w:color="auto"/>
              <w:bottom w:val="single" w:sz="4" w:space="0" w:color="auto"/>
              <w:right w:val="single" w:sz="4" w:space="0" w:color="auto"/>
            </w:tcBorders>
          </w:tcPr>
          <w:p w14:paraId="42DAB5DC" w14:textId="77777777" w:rsidR="009E108D" w:rsidRPr="0095113E" w:rsidRDefault="009E108D" w:rsidP="00016A1A">
            <w:pPr>
              <w:jc w:val="right"/>
              <w:rPr>
                <w:sz w:val="20"/>
              </w:rPr>
            </w:pPr>
            <w:r w:rsidRPr="0095113E">
              <w:rPr>
                <w:sz w:val="20"/>
              </w:rPr>
              <w:t>x</w:t>
            </w:r>
          </w:p>
        </w:tc>
      </w:tr>
    </w:tbl>
    <w:p w14:paraId="4656A9B9" w14:textId="77777777" w:rsidR="009E108D" w:rsidRPr="00202E49" w:rsidRDefault="009E108D" w:rsidP="003F3157">
      <w:pPr>
        <w:pStyle w:val="KOMtext"/>
      </w:pPr>
      <w:r w:rsidRPr="00202E49">
        <w:lastRenderedPageBreak/>
        <w:t xml:space="preserve">Příspěvkové organizaci Ředitelství silnic a dálnic ČR byl stanoven objem neinvestičního příspěvku a transferů na rok 2019 ve výši 543 500 tis. Kč. V průběhu roku 2019 byl tento objem snížen o 139 tis. Kč na 543 361 tis. Kč. </w:t>
      </w:r>
    </w:p>
    <w:p w14:paraId="05B9E8EA" w14:textId="77777777" w:rsidR="009E108D" w:rsidRPr="00202E49" w:rsidRDefault="009E108D" w:rsidP="003F3157">
      <w:pPr>
        <w:pStyle w:val="KOMtext"/>
      </w:pPr>
      <w:r w:rsidRPr="00202E49">
        <w:t>Neinvestiční prostředky byly čerpány ve  výši 395 680 tis. Kč,  tj. 72,82 % upraveného rozpočtu ŘSD ČR.</w:t>
      </w:r>
    </w:p>
    <w:p w14:paraId="48291028" w14:textId="77777777" w:rsidR="009E108D" w:rsidRPr="00202E49" w:rsidRDefault="009E108D" w:rsidP="00CD1704">
      <w:pPr>
        <w:pStyle w:val="KOMtext"/>
        <w:keepNext/>
      </w:pPr>
      <w:r w:rsidRPr="00202E49">
        <w:t>Prostředky byly použity:</w:t>
      </w:r>
    </w:p>
    <w:p w14:paraId="6A5D9C61" w14:textId="77777777" w:rsidR="009E108D" w:rsidRPr="00202E49" w:rsidRDefault="009E108D" w:rsidP="00815EEB">
      <w:pPr>
        <w:numPr>
          <w:ilvl w:val="0"/>
          <w:numId w:val="31"/>
        </w:numPr>
        <w:spacing w:before="120"/>
        <w:ind w:hanging="436"/>
        <w:jc w:val="both"/>
        <w:rPr>
          <w:szCs w:val="20"/>
        </w:rPr>
      </w:pPr>
      <w:r w:rsidRPr="00202E49">
        <w:rPr>
          <w:b/>
          <w:szCs w:val="20"/>
        </w:rPr>
        <w:t>na zajištění správy a provozu Výcvikového střediska Kojetín</w:t>
      </w:r>
      <w:r w:rsidRPr="00202E49">
        <w:rPr>
          <w:szCs w:val="20"/>
        </w:rPr>
        <w:t xml:space="preserve"> ve výši 3 188 tis. Kč,</w:t>
      </w:r>
    </w:p>
    <w:p w14:paraId="24452AE1" w14:textId="77777777" w:rsidR="009E108D" w:rsidRPr="00202E49" w:rsidRDefault="009E108D" w:rsidP="00815EEB">
      <w:pPr>
        <w:numPr>
          <w:ilvl w:val="0"/>
          <w:numId w:val="31"/>
        </w:numPr>
        <w:tabs>
          <w:tab w:val="left" w:pos="1134"/>
        </w:tabs>
        <w:spacing w:before="120"/>
        <w:ind w:hanging="436"/>
        <w:jc w:val="both"/>
        <w:rPr>
          <w:szCs w:val="20"/>
        </w:rPr>
      </w:pPr>
      <w:r w:rsidRPr="00202E49">
        <w:rPr>
          <w:b/>
          <w:szCs w:val="20"/>
        </w:rPr>
        <w:t>na úhradu pokut a penále</w:t>
      </w:r>
      <w:r w:rsidRPr="00202E49">
        <w:rPr>
          <w:szCs w:val="20"/>
        </w:rPr>
        <w:t xml:space="preserve">, které organizaci vyměřil finanční úřad za porušení rozpočtové kázně ve výši 7 862 tis. Kč, </w:t>
      </w:r>
    </w:p>
    <w:p w14:paraId="0C8AB3F6" w14:textId="77777777" w:rsidR="009E108D" w:rsidRPr="00202E49" w:rsidRDefault="009E108D" w:rsidP="00815EEB">
      <w:pPr>
        <w:numPr>
          <w:ilvl w:val="0"/>
          <w:numId w:val="31"/>
        </w:numPr>
        <w:tabs>
          <w:tab w:val="left" w:pos="1134"/>
        </w:tabs>
        <w:spacing w:before="120"/>
        <w:ind w:left="721" w:hanging="437"/>
        <w:jc w:val="both"/>
        <w:rPr>
          <w:szCs w:val="20"/>
        </w:rPr>
      </w:pPr>
      <w:r w:rsidRPr="00202E49">
        <w:rPr>
          <w:b/>
          <w:szCs w:val="20"/>
        </w:rPr>
        <w:t>na úhradu pokut, úroků a nákladů řízení vycházející z rozsudku soudu</w:t>
      </w:r>
      <w:r w:rsidRPr="00202E49">
        <w:rPr>
          <w:szCs w:val="20"/>
        </w:rPr>
        <w:t xml:space="preserve"> ve výši                     66 568 tis. Kč, </w:t>
      </w:r>
    </w:p>
    <w:p w14:paraId="40269D03" w14:textId="77777777" w:rsidR="009E108D" w:rsidRPr="00202E49" w:rsidRDefault="009E108D" w:rsidP="00815EEB">
      <w:pPr>
        <w:numPr>
          <w:ilvl w:val="0"/>
          <w:numId w:val="31"/>
        </w:numPr>
        <w:tabs>
          <w:tab w:val="left" w:pos="1134"/>
        </w:tabs>
        <w:spacing w:before="120"/>
        <w:ind w:hanging="436"/>
        <w:jc w:val="both"/>
        <w:rPr>
          <w:szCs w:val="20"/>
        </w:rPr>
      </w:pPr>
      <w:r w:rsidRPr="00202E49">
        <w:rPr>
          <w:b/>
          <w:szCs w:val="20"/>
        </w:rPr>
        <w:t>na úhradu příspěvku, který byl určen k vrácení Státnímu fondu dopravní infrastruktury</w:t>
      </w:r>
      <w:r w:rsidRPr="00202E49">
        <w:rPr>
          <w:szCs w:val="20"/>
        </w:rPr>
        <w:t xml:space="preserve"> (dle § 3 zákona 104/2000 Sb., o Státním fondu dopravní infrastruktury) ve výši 318 062 tis. Kč.</w:t>
      </w:r>
    </w:p>
    <w:p w14:paraId="24626238" w14:textId="77777777" w:rsidR="00FA7E1E" w:rsidRPr="004B11AC" w:rsidRDefault="00FA7E1E" w:rsidP="00B7632A">
      <w:pPr>
        <w:pStyle w:val="Nadpis6"/>
      </w:pPr>
      <w:r w:rsidRPr="004B11AC">
        <w:t>Centrum služeb pro silniční dopravu</w:t>
      </w:r>
      <w:bookmarkEnd w:id="296"/>
      <w:bookmarkEnd w:id="297"/>
      <w:r w:rsidRPr="004B11AC">
        <w:t xml:space="preserve"> </w:t>
      </w:r>
    </w:p>
    <w:p w14:paraId="6D5EC7EC" w14:textId="77777777" w:rsidR="00B7632A" w:rsidRPr="009A360C" w:rsidRDefault="00B7632A" w:rsidP="00C76E30">
      <w:pPr>
        <w:pStyle w:val="KOMtext"/>
      </w:pPr>
      <w:bookmarkStart w:id="301" w:name="_Toc285037591"/>
      <w:bookmarkStart w:id="302" w:name="_Toc413413658"/>
      <w:r w:rsidRPr="009A360C">
        <w:t xml:space="preserve">Centrum služeb pro silniční dopravu je státní příspěvkovou organizací rezortu Ministerstva dopravy, která zabezpečuje zejména profesní vzdělávání pracovníků státní správy v oboru silniční dopravy, školení techniků stanic technické kontroly, kontrolních mechaniků měření emisí, zabezpečuje distribuci tiskopisů pro potřeby dopravně správních činností, distribuci registračních značek a logistiku na úseku centralizované výroby řidičského průkazu vzoru EU. Dále zabezpečuje systém kontrolního vážení vozidel, dodržování právního řádu a mezinárodních smluv, kterými je vázána Česká republika v oblasti práce osádek silniční dopravy (AETR) </w:t>
      </w:r>
      <w:r w:rsidR="00FE713B">
        <w:br/>
      </w:r>
      <w:r w:rsidRPr="009A360C">
        <w:t xml:space="preserve">a přepravy nebezpečných věcí (ADR), a delegované činnosti na úseku BESIP. </w:t>
      </w:r>
    </w:p>
    <w:p w14:paraId="682890CF" w14:textId="77777777" w:rsidR="00B7632A" w:rsidRPr="009A360C" w:rsidRDefault="00B7632A" w:rsidP="00DB2320">
      <w:pPr>
        <w:keepNext/>
        <w:ind w:left="357" w:right="1"/>
        <w:jc w:val="right"/>
      </w:pP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9A360C">
        <w:t xml:space="preserve">        v tis. Kč</w:t>
      </w:r>
    </w:p>
    <w:tbl>
      <w:tblPr>
        <w:tblW w:w="911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83"/>
        <w:gridCol w:w="1134"/>
        <w:gridCol w:w="1125"/>
        <w:gridCol w:w="1125"/>
        <w:gridCol w:w="1125"/>
        <w:gridCol w:w="720"/>
      </w:tblGrid>
      <w:tr w:rsidR="00B7632A" w:rsidRPr="004B11AC" w14:paraId="0783669E" w14:textId="77777777" w:rsidTr="000B595D">
        <w:tc>
          <w:tcPr>
            <w:tcW w:w="3883" w:type="dxa"/>
            <w:tcBorders>
              <w:top w:val="single" w:sz="4" w:space="0" w:color="auto"/>
              <w:left w:val="single" w:sz="4" w:space="0" w:color="auto"/>
              <w:bottom w:val="single" w:sz="4" w:space="0" w:color="auto"/>
              <w:right w:val="single" w:sz="4" w:space="0" w:color="auto"/>
            </w:tcBorders>
          </w:tcPr>
          <w:p w14:paraId="77483A93" w14:textId="77777777" w:rsidR="00B7632A" w:rsidRPr="009A360C" w:rsidRDefault="00B7632A" w:rsidP="00CD1704">
            <w:pPr>
              <w:jc w:val="center"/>
              <w:rPr>
                <w:sz w:val="22"/>
              </w:rPr>
            </w:pPr>
          </w:p>
          <w:p w14:paraId="28FC1064" w14:textId="77777777" w:rsidR="00B7632A" w:rsidRPr="009A360C" w:rsidRDefault="00B7632A" w:rsidP="00CD1704">
            <w:pPr>
              <w:jc w:val="center"/>
              <w:rPr>
                <w:sz w:val="22"/>
              </w:rPr>
            </w:pPr>
            <w:r w:rsidRPr="009A360C">
              <w:rPr>
                <w:sz w:val="22"/>
              </w:rPr>
              <w:t>Ukazatel</w:t>
            </w:r>
          </w:p>
        </w:tc>
        <w:tc>
          <w:tcPr>
            <w:tcW w:w="1134" w:type="dxa"/>
            <w:tcBorders>
              <w:top w:val="single" w:sz="4" w:space="0" w:color="auto"/>
              <w:left w:val="single" w:sz="4" w:space="0" w:color="auto"/>
              <w:bottom w:val="single" w:sz="4" w:space="0" w:color="auto"/>
              <w:right w:val="single" w:sz="4" w:space="0" w:color="auto"/>
            </w:tcBorders>
            <w:vAlign w:val="center"/>
          </w:tcPr>
          <w:p w14:paraId="690D90E3" w14:textId="77777777" w:rsidR="00B7632A" w:rsidRPr="009A360C" w:rsidRDefault="00B7632A" w:rsidP="00CD1704">
            <w:pPr>
              <w:jc w:val="center"/>
              <w:rPr>
                <w:sz w:val="22"/>
              </w:rPr>
            </w:pPr>
            <w:r w:rsidRPr="009A360C">
              <w:rPr>
                <w:sz w:val="22"/>
              </w:rPr>
              <w:t>Skutečnost</w:t>
            </w:r>
          </w:p>
          <w:p w14:paraId="487C3605" w14:textId="77777777" w:rsidR="00B7632A" w:rsidRPr="009A360C" w:rsidRDefault="00B7632A" w:rsidP="00CD1704">
            <w:pPr>
              <w:jc w:val="center"/>
              <w:rPr>
                <w:sz w:val="22"/>
              </w:rPr>
            </w:pPr>
            <w:r w:rsidRPr="009A360C">
              <w:rPr>
                <w:sz w:val="22"/>
              </w:rPr>
              <w:t>2018</w:t>
            </w:r>
          </w:p>
        </w:tc>
        <w:tc>
          <w:tcPr>
            <w:tcW w:w="1125" w:type="dxa"/>
            <w:tcBorders>
              <w:top w:val="single" w:sz="4" w:space="0" w:color="auto"/>
              <w:left w:val="single" w:sz="4" w:space="0" w:color="auto"/>
              <w:bottom w:val="single" w:sz="4" w:space="0" w:color="auto"/>
              <w:right w:val="single" w:sz="4" w:space="0" w:color="auto"/>
            </w:tcBorders>
            <w:vAlign w:val="center"/>
          </w:tcPr>
          <w:p w14:paraId="60314AB0" w14:textId="77777777" w:rsidR="00B7632A" w:rsidRPr="009A360C" w:rsidRDefault="00B7632A" w:rsidP="00CD1704">
            <w:pPr>
              <w:jc w:val="center"/>
              <w:rPr>
                <w:sz w:val="22"/>
              </w:rPr>
            </w:pPr>
            <w:r w:rsidRPr="009A360C">
              <w:rPr>
                <w:sz w:val="22"/>
              </w:rPr>
              <w:t>Schválený</w:t>
            </w:r>
          </w:p>
          <w:p w14:paraId="5E0B18DA" w14:textId="77777777" w:rsidR="00B7632A" w:rsidRPr="009A360C" w:rsidRDefault="00B7632A" w:rsidP="00CD1704">
            <w:pPr>
              <w:jc w:val="center"/>
              <w:rPr>
                <w:sz w:val="22"/>
              </w:rPr>
            </w:pPr>
            <w:r w:rsidRPr="009A360C">
              <w:rPr>
                <w:sz w:val="22"/>
              </w:rPr>
              <w:t>rozpočet</w:t>
            </w:r>
          </w:p>
          <w:p w14:paraId="6AC55802" w14:textId="77777777" w:rsidR="00B7632A" w:rsidRPr="009A360C" w:rsidRDefault="00B7632A" w:rsidP="00CD1704">
            <w:pPr>
              <w:jc w:val="center"/>
              <w:rPr>
                <w:sz w:val="22"/>
              </w:rPr>
            </w:pPr>
            <w:r w:rsidRPr="009A360C">
              <w:rPr>
                <w:sz w:val="22"/>
              </w:rPr>
              <w:t>2019</w:t>
            </w:r>
          </w:p>
        </w:tc>
        <w:tc>
          <w:tcPr>
            <w:tcW w:w="1125" w:type="dxa"/>
            <w:tcBorders>
              <w:top w:val="single" w:sz="4" w:space="0" w:color="auto"/>
              <w:left w:val="single" w:sz="4" w:space="0" w:color="auto"/>
              <w:bottom w:val="single" w:sz="4" w:space="0" w:color="auto"/>
              <w:right w:val="single" w:sz="4" w:space="0" w:color="auto"/>
            </w:tcBorders>
            <w:vAlign w:val="center"/>
          </w:tcPr>
          <w:p w14:paraId="2FCE2563" w14:textId="77777777" w:rsidR="00B7632A" w:rsidRPr="009A360C" w:rsidRDefault="00B7632A" w:rsidP="00CD1704">
            <w:pPr>
              <w:jc w:val="center"/>
              <w:rPr>
                <w:sz w:val="22"/>
              </w:rPr>
            </w:pPr>
            <w:r w:rsidRPr="009A360C">
              <w:rPr>
                <w:sz w:val="22"/>
              </w:rPr>
              <w:t>Upravený</w:t>
            </w:r>
          </w:p>
          <w:p w14:paraId="127D06BB" w14:textId="77777777" w:rsidR="00B7632A" w:rsidRPr="009A360C" w:rsidRDefault="00B7632A" w:rsidP="00CD1704">
            <w:pPr>
              <w:jc w:val="center"/>
              <w:rPr>
                <w:sz w:val="22"/>
              </w:rPr>
            </w:pPr>
            <w:r w:rsidRPr="009A360C">
              <w:rPr>
                <w:sz w:val="22"/>
              </w:rPr>
              <w:t>rozpočet</w:t>
            </w:r>
          </w:p>
          <w:p w14:paraId="6177FD83" w14:textId="77777777" w:rsidR="00B7632A" w:rsidRPr="009A360C" w:rsidRDefault="00B7632A" w:rsidP="00CD1704">
            <w:pPr>
              <w:jc w:val="center"/>
              <w:rPr>
                <w:sz w:val="22"/>
              </w:rPr>
            </w:pPr>
            <w:r w:rsidRPr="009A360C">
              <w:rPr>
                <w:sz w:val="22"/>
              </w:rPr>
              <w:t>2019</w:t>
            </w:r>
          </w:p>
        </w:tc>
        <w:tc>
          <w:tcPr>
            <w:tcW w:w="1125" w:type="dxa"/>
            <w:tcBorders>
              <w:top w:val="single" w:sz="4" w:space="0" w:color="auto"/>
              <w:left w:val="single" w:sz="4" w:space="0" w:color="auto"/>
              <w:bottom w:val="single" w:sz="4" w:space="0" w:color="auto"/>
              <w:right w:val="single" w:sz="4" w:space="0" w:color="auto"/>
            </w:tcBorders>
            <w:vAlign w:val="center"/>
          </w:tcPr>
          <w:p w14:paraId="534572AA" w14:textId="77777777" w:rsidR="00B7632A" w:rsidRPr="009A360C" w:rsidRDefault="00B7632A" w:rsidP="00CD1704">
            <w:pPr>
              <w:jc w:val="center"/>
              <w:rPr>
                <w:sz w:val="22"/>
              </w:rPr>
            </w:pPr>
            <w:r w:rsidRPr="009A360C">
              <w:rPr>
                <w:sz w:val="22"/>
              </w:rPr>
              <w:t>Skutečnost</w:t>
            </w:r>
          </w:p>
          <w:p w14:paraId="2A4CC910" w14:textId="77777777" w:rsidR="00B7632A" w:rsidRPr="009A360C" w:rsidRDefault="00B7632A" w:rsidP="00CD1704">
            <w:pPr>
              <w:jc w:val="center"/>
              <w:rPr>
                <w:sz w:val="22"/>
              </w:rPr>
            </w:pPr>
            <w:r w:rsidRPr="009A360C">
              <w:rPr>
                <w:sz w:val="22"/>
              </w:rPr>
              <w:t>2019</w:t>
            </w:r>
          </w:p>
        </w:tc>
        <w:tc>
          <w:tcPr>
            <w:tcW w:w="720" w:type="dxa"/>
            <w:tcBorders>
              <w:top w:val="single" w:sz="4" w:space="0" w:color="auto"/>
              <w:left w:val="single" w:sz="4" w:space="0" w:color="auto"/>
              <w:bottom w:val="single" w:sz="4" w:space="0" w:color="auto"/>
              <w:right w:val="single" w:sz="4" w:space="0" w:color="auto"/>
            </w:tcBorders>
            <w:vAlign w:val="center"/>
          </w:tcPr>
          <w:p w14:paraId="5ECA3477" w14:textId="77777777" w:rsidR="00B7632A" w:rsidRPr="009A360C" w:rsidRDefault="00B7632A" w:rsidP="00CD1704">
            <w:pPr>
              <w:jc w:val="center"/>
              <w:rPr>
                <w:sz w:val="22"/>
              </w:rPr>
            </w:pPr>
            <w:r w:rsidRPr="009A360C">
              <w:rPr>
                <w:sz w:val="22"/>
              </w:rPr>
              <w:t>Index</w:t>
            </w:r>
          </w:p>
          <w:p w14:paraId="0E4BA847" w14:textId="77777777" w:rsidR="00B7632A" w:rsidRPr="009A360C" w:rsidRDefault="00B7632A" w:rsidP="00CD1704">
            <w:pPr>
              <w:jc w:val="center"/>
              <w:rPr>
                <w:sz w:val="22"/>
              </w:rPr>
            </w:pPr>
            <w:r w:rsidRPr="009A360C">
              <w:rPr>
                <w:sz w:val="22"/>
              </w:rPr>
              <w:t>19/18         (v %)</w:t>
            </w:r>
          </w:p>
        </w:tc>
      </w:tr>
      <w:tr w:rsidR="00B7632A" w:rsidRPr="004B11AC" w14:paraId="6D9D7B87" w14:textId="77777777" w:rsidTr="000B595D">
        <w:tc>
          <w:tcPr>
            <w:tcW w:w="3883" w:type="dxa"/>
            <w:tcBorders>
              <w:top w:val="single" w:sz="4" w:space="0" w:color="auto"/>
              <w:left w:val="single" w:sz="4" w:space="0" w:color="auto"/>
              <w:bottom w:val="single" w:sz="4" w:space="0" w:color="auto"/>
              <w:right w:val="single" w:sz="4" w:space="0" w:color="auto"/>
            </w:tcBorders>
          </w:tcPr>
          <w:p w14:paraId="57045F10" w14:textId="77777777" w:rsidR="00B7632A" w:rsidRPr="009A360C" w:rsidRDefault="00B7632A" w:rsidP="00CD1704">
            <w:pPr>
              <w:jc w:val="center"/>
              <w:rPr>
                <w:sz w:val="22"/>
              </w:rPr>
            </w:pPr>
            <w:r w:rsidRPr="009A360C">
              <w:rPr>
                <w:sz w:val="22"/>
              </w:rPr>
              <w:t>a</w:t>
            </w:r>
          </w:p>
        </w:tc>
        <w:tc>
          <w:tcPr>
            <w:tcW w:w="1134" w:type="dxa"/>
            <w:tcBorders>
              <w:top w:val="single" w:sz="4" w:space="0" w:color="auto"/>
              <w:left w:val="single" w:sz="4" w:space="0" w:color="auto"/>
              <w:bottom w:val="single" w:sz="4" w:space="0" w:color="auto"/>
              <w:right w:val="single" w:sz="4" w:space="0" w:color="auto"/>
            </w:tcBorders>
          </w:tcPr>
          <w:p w14:paraId="5DBFD455" w14:textId="77777777" w:rsidR="00B7632A" w:rsidRPr="009A360C" w:rsidRDefault="00B7632A" w:rsidP="00CD1704">
            <w:pPr>
              <w:jc w:val="center"/>
              <w:rPr>
                <w:sz w:val="22"/>
              </w:rPr>
            </w:pPr>
            <w:r w:rsidRPr="009A360C">
              <w:rPr>
                <w:sz w:val="22"/>
              </w:rPr>
              <w:t>1</w:t>
            </w:r>
          </w:p>
        </w:tc>
        <w:tc>
          <w:tcPr>
            <w:tcW w:w="1125" w:type="dxa"/>
            <w:tcBorders>
              <w:top w:val="single" w:sz="4" w:space="0" w:color="auto"/>
              <w:left w:val="single" w:sz="4" w:space="0" w:color="auto"/>
              <w:bottom w:val="single" w:sz="4" w:space="0" w:color="auto"/>
              <w:right w:val="single" w:sz="4" w:space="0" w:color="auto"/>
            </w:tcBorders>
          </w:tcPr>
          <w:p w14:paraId="2341B3D2" w14:textId="77777777" w:rsidR="00B7632A" w:rsidRPr="009A360C" w:rsidRDefault="00B7632A" w:rsidP="00CD1704">
            <w:pPr>
              <w:jc w:val="center"/>
              <w:rPr>
                <w:sz w:val="22"/>
              </w:rPr>
            </w:pPr>
            <w:r w:rsidRPr="009A360C">
              <w:rPr>
                <w:sz w:val="22"/>
              </w:rPr>
              <w:t>2</w:t>
            </w:r>
          </w:p>
        </w:tc>
        <w:tc>
          <w:tcPr>
            <w:tcW w:w="1125" w:type="dxa"/>
            <w:tcBorders>
              <w:top w:val="single" w:sz="4" w:space="0" w:color="auto"/>
              <w:left w:val="single" w:sz="4" w:space="0" w:color="auto"/>
              <w:bottom w:val="single" w:sz="4" w:space="0" w:color="auto"/>
              <w:right w:val="single" w:sz="4" w:space="0" w:color="auto"/>
            </w:tcBorders>
          </w:tcPr>
          <w:p w14:paraId="2A9C4B31" w14:textId="77777777" w:rsidR="00B7632A" w:rsidRPr="009A360C" w:rsidRDefault="00B7632A" w:rsidP="00CD1704">
            <w:pPr>
              <w:jc w:val="center"/>
              <w:rPr>
                <w:sz w:val="22"/>
              </w:rPr>
            </w:pPr>
            <w:r w:rsidRPr="009A360C">
              <w:rPr>
                <w:sz w:val="22"/>
              </w:rPr>
              <w:t>3</w:t>
            </w:r>
          </w:p>
        </w:tc>
        <w:tc>
          <w:tcPr>
            <w:tcW w:w="1125" w:type="dxa"/>
            <w:tcBorders>
              <w:top w:val="single" w:sz="4" w:space="0" w:color="auto"/>
              <w:left w:val="single" w:sz="4" w:space="0" w:color="auto"/>
              <w:bottom w:val="single" w:sz="4" w:space="0" w:color="auto"/>
              <w:right w:val="single" w:sz="4" w:space="0" w:color="auto"/>
            </w:tcBorders>
          </w:tcPr>
          <w:p w14:paraId="48FD70B7" w14:textId="77777777" w:rsidR="00B7632A" w:rsidRPr="009A360C" w:rsidRDefault="00B7632A" w:rsidP="00CD1704">
            <w:pPr>
              <w:jc w:val="center"/>
              <w:rPr>
                <w:sz w:val="22"/>
              </w:rPr>
            </w:pPr>
            <w:r w:rsidRPr="009A360C">
              <w:rPr>
                <w:sz w:val="22"/>
              </w:rPr>
              <w:t>4</w:t>
            </w:r>
          </w:p>
        </w:tc>
        <w:tc>
          <w:tcPr>
            <w:tcW w:w="720" w:type="dxa"/>
            <w:tcBorders>
              <w:top w:val="single" w:sz="4" w:space="0" w:color="auto"/>
              <w:left w:val="single" w:sz="4" w:space="0" w:color="auto"/>
              <w:bottom w:val="single" w:sz="4" w:space="0" w:color="auto"/>
              <w:right w:val="single" w:sz="4" w:space="0" w:color="auto"/>
            </w:tcBorders>
          </w:tcPr>
          <w:p w14:paraId="3DD9F51F" w14:textId="77777777" w:rsidR="00B7632A" w:rsidRPr="009A360C" w:rsidRDefault="00B7632A" w:rsidP="00CD1704">
            <w:pPr>
              <w:jc w:val="center"/>
              <w:rPr>
                <w:sz w:val="22"/>
              </w:rPr>
            </w:pPr>
            <w:r w:rsidRPr="009A360C">
              <w:rPr>
                <w:sz w:val="22"/>
              </w:rPr>
              <w:t>5</w:t>
            </w:r>
          </w:p>
        </w:tc>
      </w:tr>
      <w:tr w:rsidR="00B7632A" w:rsidRPr="004B11AC" w14:paraId="1E2D2323" w14:textId="77777777" w:rsidTr="000B595D">
        <w:trPr>
          <w:trHeight w:val="388"/>
        </w:trPr>
        <w:tc>
          <w:tcPr>
            <w:tcW w:w="3883" w:type="dxa"/>
            <w:tcBorders>
              <w:top w:val="single" w:sz="4" w:space="0" w:color="auto"/>
              <w:left w:val="single" w:sz="4" w:space="0" w:color="auto"/>
              <w:bottom w:val="nil"/>
              <w:right w:val="single" w:sz="4" w:space="0" w:color="auto"/>
            </w:tcBorders>
          </w:tcPr>
          <w:p w14:paraId="4D98DF01" w14:textId="77777777" w:rsidR="00B7632A" w:rsidRPr="009A360C" w:rsidRDefault="00B7632A" w:rsidP="00CD1704">
            <w:pPr>
              <w:pStyle w:val="Zkladntext"/>
              <w:rPr>
                <w:b/>
                <w:bCs/>
                <w:sz w:val="20"/>
              </w:rPr>
            </w:pPr>
            <w:r w:rsidRPr="009A360C">
              <w:rPr>
                <w:b/>
                <w:bCs/>
                <w:sz w:val="20"/>
              </w:rPr>
              <w:t xml:space="preserve">Neinvestiční příspěvek zřízeným PO </w:t>
            </w:r>
          </w:p>
          <w:p w14:paraId="7CB01807" w14:textId="77777777" w:rsidR="00B7632A" w:rsidRPr="009A360C" w:rsidRDefault="00B7632A" w:rsidP="00CD1704">
            <w:pPr>
              <w:jc w:val="both"/>
              <w:rPr>
                <w:sz w:val="20"/>
              </w:rPr>
            </w:pPr>
            <w:r w:rsidRPr="009A360C">
              <w:rPr>
                <w:sz w:val="20"/>
              </w:rPr>
              <w:t xml:space="preserve">z toho: </w:t>
            </w:r>
          </w:p>
        </w:tc>
        <w:tc>
          <w:tcPr>
            <w:tcW w:w="1134" w:type="dxa"/>
            <w:tcBorders>
              <w:top w:val="single" w:sz="4" w:space="0" w:color="auto"/>
              <w:left w:val="single" w:sz="4" w:space="0" w:color="auto"/>
              <w:bottom w:val="nil"/>
              <w:right w:val="single" w:sz="4" w:space="0" w:color="auto"/>
            </w:tcBorders>
            <w:vAlign w:val="center"/>
          </w:tcPr>
          <w:p w14:paraId="0A96CF9D" w14:textId="77777777" w:rsidR="00B7632A" w:rsidRPr="004C705D" w:rsidRDefault="00B7632A" w:rsidP="00CD1704">
            <w:pPr>
              <w:spacing w:before="120"/>
              <w:jc w:val="right"/>
              <w:rPr>
                <w:b/>
                <w:bCs/>
                <w:sz w:val="20"/>
              </w:rPr>
            </w:pPr>
            <w:r w:rsidRPr="004C705D">
              <w:rPr>
                <w:b/>
                <w:bCs/>
                <w:sz w:val="20"/>
              </w:rPr>
              <w:t>86 862</w:t>
            </w:r>
          </w:p>
        </w:tc>
        <w:tc>
          <w:tcPr>
            <w:tcW w:w="1125" w:type="dxa"/>
            <w:tcBorders>
              <w:top w:val="single" w:sz="4" w:space="0" w:color="auto"/>
              <w:left w:val="single" w:sz="4" w:space="0" w:color="auto"/>
              <w:bottom w:val="nil"/>
              <w:right w:val="single" w:sz="4" w:space="0" w:color="auto"/>
            </w:tcBorders>
            <w:vAlign w:val="center"/>
          </w:tcPr>
          <w:p w14:paraId="56A7724E" w14:textId="77777777" w:rsidR="00B7632A" w:rsidRPr="004C705D" w:rsidRDefault="00B7632A" w:rsidP="00CD1704">
            <w:pPr>
              <w:spacing w:before="120"/>
              <w:jc w:val="right"/>
              <w:rPr>
                <w:b/>
                <w:bCs/>
                <w:sz w:val="20"/>
              </w:rPr>
            </w:pPr>
            <w:r w:rsidRPr="004C705D">
              <w:rPr>
                <w:b/>
                <w:bCs/>
                <w:sz w:val="20"/>
              </w:rPr>
              <w:t>101 137</w:t>
            </w:r>
          </w:p>
        </w:tc>
        <w:tc>
          <w:tcPr>
            <w:tcW w:w="1125" w:type="dxa"/>
            <w:tcBorders>
              <w:top w:val="single" w:sz="4" w:space="0" w:color="auto"/>
              <w:left w:val="single" w:sz="4" w:space="0" w:color="auto"/>
              <w:bottom w:val="nil"/>
              <w:right w:val="single" w:sz="4" w:space="0" w:color="auto"/>
            </w:tcBorders>
            <w:vAlign w:val="center"/>
          </w:tcPr>
          <w:p w14:paraId="70D903FB" w14:textId="77777777" w:rsidR="00B7632A" w:rsidRPr="00316D7D" w:rsidRDefault="00B7632A" w:rsidP="00CD1704">
            <w:pPr>
              <w:spacing w:before="120"/>
              <w:jc w:val="right"/>
              <w:rPr>
                <w:b/>
                <w:bCs/>
                <w:sz w:val="20"/>
              </w:rPr>
            </w:pPr>
            <w:r w:rsidRPr="00316D7D">
              <w:rPr>
                <w:b/>
                <w:bCs/>
                <w:sz w:val="20"/>
              </w:rPr>
              <w:t>101 618</w:t>
            </w:r>
          </w:p>
        </w:tc>
        <w:tc>
          <w:tcPr>
            <w:tcW w:w="1125" w:type="dxa"/>
            <w:tcBorders>
              <w:top w:val="single" w:sz="4" w:space="0" w:color="auto"/>
              <w:left w:val="single" w:sz="4" w:space="0" w:color="auto"/>
              <w:bottom w:val="nil"/>
              <w:right w:val="single" w:sz="4" w:space="0" w:color="auto"/>
            </w:tcBorders>
            <w:vAlign w:val="center"/>
          </w:tcPr>
          <w:p w14:paraId="507AB8BB" w14:textId="77777777" w:rsidR="00B7632A" w:rsidRPr="00316D7D" w:rsidRDefault="00B7632A" w:rsidP="00CD1704">
            <w:pPr>
              <w:spacing w:before="120"/>
              <w:jc w:val="right"/>
              <w:rPr>
                <w:b/>
                <w:bCs/>
                <w:sz w:val="20"/>
              </w:rPr>
            </w:pPr>
            <w:r w:rsidRPr="00316D7D">
              <w:rPr>
                <w:b/>
                <w:bCs/>
                <w:sz w:val="20"/>
              </w:rPr>
              <w:t>101 618</w:t>
            </w:r>
          </w:p>
        </w:tc>
        <w:tc>
          <w:tcPr>
            <w:tcW w:w="720" w:type="dxa"/>
            <w:tcBorders>
              <w:top w:val="single" w:sz="4" w:space="0" w:color="auto"/>
              <w:left w:val="single" w:sz="4" w:space="0" w:color="auto"/>
              <w:bottom w:val="nil"/>
              <w:right w:val="single" w:sz="4" w:space="0" w:color="auto"/>
            </w:tcBorders>
            <w:vAlign w:val="center"/>
          </w:tcPr>
          <w:p w14:paraId="0F0DC437" w14:textId="77777777" w:rsidR="00B7632A" w:rsidRPr="00316D7D" w:rsidRDefault="00B7632A" w:rsidP="00CD1704">
            <w:pPr>
              <w:spacing w:before="120"/>
              <w:jc w:val="right"/>
              <w:rPr>
                <w:b/>
                <w:bCs/>
                <w:sz w:val="20"/>
              </w:rPr>
            </w:pPr>
            <w:r w:rsidRPr="00316D7D">
              <w:rPr>
                <w:b/>
                <w:bCs/>
                <w:sz w:val="20"/>
              </w:rPr>
              <w:t>116,98</w:t>
            </w:r>
          </w:p>
        </w:tc>
      </w:tr>
      <w:tr w:rsidR="00B7632A" w:rsidRPr="004B11AC" w14:paraId="29DC4485" w14:textId="77777777" w:rsidTr="000B595D">
        <w:tc>
          <w:tcPr>
            <w:tcW w:w="3883" w:type="dxa"/>
            <w:tcBorders>
              <w:top w:val="nil"/>
              <w:left w:val="single" w:sz="4" w:space="0" w:color="auto"/>
              <w:bottom w:val="nil"/>
              <w:right w:val="single" w:sz="4" w:space="0" w:color="auto"/>
            </w:tcBorders>
          </w:tcPr>
          <w:p w14:paraId="44A9AF2F" w14:textId="77777777" w:rsidR="00B7632A" w:rsidRPr="009A360C" w:rsidRDefault="00B7632A" w:rsidP="00CD1704">
            <w:pPr>
              <w:jc w:val="both"/>
              <w:rPr>
                <w:sz w:val="20"/>
              </w:rPr>
            </w:pPr>
            <w:r w:rsidRPr="009A360C">
              <w:rPr>
                <w:sz w:val="20"/>
              </w:rPr>
              <w:t xml:space="preserve">platy zaměstnanců a ostatní platby </w:t>
            </w:r>
          </w:p>
          <w:p w14:paraId="3CB28421" w14:textId="77777777" w:rsidR="00B7632A" w:rsidRPr="009A360C" w:rsidRDefault="00B7632A" w:rsidP="00CD1704">
            <w:pPr>
              <w:jc w:val="both"/>
              <w:rPr>
                <w:sz w:val="20"/>
              </w:rPr>
            </w:pPr>
            <w:r w:rsidRPr="009A360C">
              <w:rPr>
                <w:sz w:val="20"/>
              </w:rPr>
              <w:t>za provedenou práci</w:t>
            </w:r>
          </w:p>
        </w:tc>
        <w:tc>
          <w:tcPr>
            <w:tcW w:w="1134" w:type="dxa"/>
            <w:tcBorders>
              <w:top w:val="nil"/>
              <w:left w:val="single" w:sz="4" w:space="0" w:color="auto"/>
              <w:bottom w:val="nil"/>
              <w:right w:val="single" w:sz="4" w:space="0" w:color="auto"/>
            </w:tcBorders>
          </w:tcPr>
          <w:p w14:paraId="2783A89A" w14:textId="77777777" w:rsidR="00B7632A" w:rsidRPr="00207124" w:rsidRDefault="00B7632A" w:rsidP="00CD1704">
            <w:pPr>
              <w:jc w:val="right"/>
              <w:rPr>
                <w:color w:val="FF0000"/>
                <w:sz w:val="20"/>
              </w:rPr>
            </w:pPr>
          </w:p>
          <w:p w14:paraId="00E7E1C8" w14:textId="77777777" w:rsidR="00B7632A" w:rsidRPr="00207124" w:rsidRDefault="00B7632A" w:rsidP="00CD1704">
            <w:pPr>
              <w:jc w:val="right"/>
              <w:rPr>
                <w:color w:val="FF0000"/>
                <w:sz w:val="20"/>
              </w:rPr>
            </w:pPr>
            <w:r w:rsidRPr="001C3C96">
              <w:rPr>
                <w:sz w:val="20"/>
              </w:rPr>
              <w:t>29 548</w:t>
            </w:r>
          </w:p>
        </w:tc>
        <w:tc>
          <w:tcPr>
            <w:tcW w:w="1125" w:type="dxa"/>
            <w:tcBorders>
              <w:top w:val="nil"/>
              <w:left w:val="single" w:sz="4" w:space="0" w:color="auto"/>
              <w:bottom w:val="nil"/>
              <w:right w:val="single" w:sz="4" w:space="0" w:color="auto"/>
            </w:tcBorders>
          </w:tcPr>
          <w:p w14:paraId="5ACD7438" w14:textId="77777777" w:rsidR="00B7632A" w:rsidRPr="002412A0" w:rsidRDefault="00B7632A" w:rsidP="00CD1704">
            <w:pPr>
              <w:jc w:val="right"/>
              <w:rPr>
                <w:sz w:val="20"/>
              </w:rPr>
            </w:pPr>
          </w:p>
          <w:p w14:paraId="16F07BE3" w14:textId="77777777" w:rsidR="00B7632A" w:rsidRPr="002412A0" w:rsidRDefault="00B7632A" w:rsidP="00CD1704">
            <w:pPr>
              <w:jc w:val="right"/>
              <w:rPr>
                <w:sz w:val="20"/>
              </w:rPr>
            </w:pPr>
            <w:r w:rsidRPr="002412A0">
              <w:rPr>
                <w:sz w:val="20"/>
              </w:rPr>
              <w:t>31 524</w:t>
            </w:r>
          </w:p>
        </w:tc>
        <w:tc>
          <w:tcPr>
            <w:tcW w:w="1125" w:type="dxa"/>
            <w:tcBorders>
              <w:top w:val="nil"/>
              <w:left w:val="single" w:sz="4" w:space="0" w:color="auto"/>
              <w:bottom w:val="nil"/>
              <w:right w:val="single" w:sz="4" w:space="0" w:color="auto"/>
            </w:tcBorders>
          </w:tcPr>
          <w:p w14:paraId="22CD75DA" w14:textId="77777777" w:rsidR="00B7632A" w:rsidRPr="002412A0" w:rsidRDefault="00B7632A" w:rsidP="00CD1704">
            <w:pPr>
              <w:jc w:val="right"/>
              <w:rPr>
                <w:sz w:val="20"/>
              </w:rPr>
            </w:pPr>
          </w:p>
          <w:p w14:paraId="3F2F037D" w14:textId="77777777" w:rsidR="00B7632A" w:rsidRPr="002412A0" w:rsidRDefault="00B7632A" w:rsidP="00CD1704">
            <w:pPr>
              <w:jc w:val="right"/>
              <w:rPr>
                <w:sz w:val="20"/>
              </w:rPr>
            </w:pPr>
            <w:r w:rsidRPr="002412A0">
              <w:rPr>
                <w:sz w:val="20"/>
              </w:rPr>
              <w:t>31 843</w:t>
            </w:r>
          </w:p>
        </w:tc>
        <w:tc>
          <w:tcPr>
            <w:tcW w:w="1125" w:type="dxa"/>
            <w:tcBorders>
              <w:top w:val="nil"/>
              <w:left w:val="single" w:sz="4" w:space="0" w:color="auto"/>
              <w:bottom w:val="nil"/>
              <w:right w:val="single" w:sz="4" w:space="0" w:color="auto"/>
            </w:tcBorders>
          </w:tcPr>
          <w:p w14:paraId="09A59D58" w14:textId="77777777" w:rsidR="00B7632A" w:rsidRPr="004B11AC" w:rsidRDefault="00B7632A" w:rsidP="00CD1704">
            <w:pPr>
              <w:jc w:val="right"/>
              <w:rPr>
                <w:color w:val="FF0000"/>
                <w:sz w:val="20"/>
              </w:rPr>
            </w:pPr>
          </w:p>
          <w:p w14:paraId="3191DEA9" w14:textId="77777777" w:rsidR="00B7632A" w:rsidRPr="00046E13" w:rsidRDefault="00B7632A" w:rsidP="00CD1704">
            <w:pPr>
              <w:jc w:val="right"/>
              <w:rPr>
                <w:sz w:val="20"/>
              </w:rPr>
            </w:pPr>
            <w:r w:rsidRPr="00046E13">
              <w:rPr>
                <w:sz w:val="20"/>
              </w:rPr>
              <w:t>31 302</w:t>
            </w:r>
          </w:p>
        </w:tc>
        <w:tc>
          <w:tcPr>
            <w:tcW w:w="720" w:type="dxa"/>
            <w:tcBorders>
              <w:top w:val="nil"/>
              <w:left w:val="single" w:sz="4" w:space="0" w:color="auto"/>
              <w:bottom w:val="nil"/>
              <w:right w:val="single" w:sz="4" w:space="0" w:color="auto"/>
            </w:tcBorders>
          </w:tcPr>
          <w:p w14:paraId="4417BAE2" w14:textId="77777777" w:rsidR="00B7632A" w:rsidRPr="004B11AC" w:rsidRDefault="00B7632A" w:rsidP="00CD1704">
            <w:pPr>
              <w:jc w:val="right"/>
              <w:rPr>
                <w:color w:val="FF0000"/>
                <w:sz w:val="20"/>
              </w:rPr>
            </w:pPr>
          </w:p>
          <w:p w14:paraId="5D694080" w14:textId="77777777" w:rsidR="00B7632A" w:rsidRPr="00046E13" w:rsidRDefault="00B7632A" w:rsidP="00CD1704">
            <w:pPr>
              <w:jc w:val="right"/>
              <w:rPr>
                <w:sz w:val="20"/>
              </w:rPr>
            </w:pPr>
            <w:r w:rsidRPr="00046E13">
              <w:rPr>
                <w:sz w:val="20"/>
              </w:rPr>
              <w:t>105,94</w:t>
            </w:r>
          </w:p>
        </w:tc>
      </w:tr>
      <w:tr w:rsidR="00B7632A" w:rsidRPr="004B11AC" w14:paraId="647B7EB8" w14:textId="77777777" w:rsidTr="000B595D">
        <w:tc>
          <w:tcPr>
            <w:tcW w:w="3883" w:type="dxa"/>
            <w:tcBorders>
              <w:top w:val="nil"/>
              <w:left w:val="single" w:sz="4" w:space="0" w:color="auto"/>
              <w:bottom w:val="nil"/>
              <w:right w:val="single" w:sz="4" w:space="0" w:color="auto"/>
            </w:tcBorders>
          </w:tcPr>
          <w:p w14:paraId="023D69E1" w14:textId="77777777" w:rsidR="00B7632A" w:rsidRPr="009A360C" w:rsidRDefault="00B7632A" w:rsidP="00CD1704">
            <w:pPr>
              <w:jc w:val="both"/>
              <w:rPr>
                <w:sz w:val="20"/>
              </w:rPr>
            </w:pPr>
            <w:r w:rsidRPr="009A360C">
              <w:rPr>
                <w:sz w:val="20"/>
              </w:rPr>
              <w:t>povinné pojistné placené zaměstnavatelem</w:t>
            </w:r>
          </w:p>
        </w:tc>
        <w:tc>
          <w:tcPr>
            <w:tcW w:w="1134" w:type="dxa"/>
            <w:tcBorders>
              <w:top w:val="nil"/>
              <w:left w:val="single" w:sz="4" w:space="0" w:color="auto"/>
              <w:bottom w:val="nil"/>
              <w:right w:val="single" w:sz="4" w:space="0" w:color="auto"/>
            </w:tcBorders>
          </w:tcPr>
          <w:p w14:paraId="09137BC3" w14:textId="77777777" w:rsidR="00B7632A" w:rsidRPr="00207124" w:rsidRDefault="00B7632A" w:rsidP="00CD1704">
            <w:pPr>
              <w:jc w:val="right"/>
              <w:rPr>
                <w:color w:val="FF0000"/>
                <w:sz w:val="20"/>
              </w:rPr>
            </w:pPr>
            <w:r w:rsidRPr="001C3C96">
              <w:rPr>
                <w:sz w:val="20"/>
              </w:rPr>
              <w:t>10 046</w:t>
            </w:r>
          </w:p>
        </w:tc>
        <w:tc>
          <w:tcPr>
            <w:tcW w:w="1125" w:type="dxa"/>
            <w:tcBorders>
              <w:top w:val="nil"/>
              <w:left w:val="single" w:sz="4" w:space="0" w:color="auto"/>
              <w:bottom w:val="nil"/>
              <w:right w:val="single" w:sz="4" w:space="0" w:color="auto"/>
            </w:tcBorders>
          </w:tcPr>
          <w:p w14:paraId="4B7FA2F6" w14:textId="77777777" w:rsidR="00B7632A" w:rsidRPr="002412A0" w:rsidRDefault="00B7632A" w:rsidP="00CD1704">
            <w:pPr>
              <w:jc w:val="right"/>
              <w:rPr>
                <w:sz w:val="20"/>
              </w:rPr>
            </w:pPr>
            <w:r w:rsidRPr="002412A0">
              <w:rPr>
                <w:sz w:val="20"/>
              </w:rPr>
              <w:t>10 718</w:t>
            </w:r>
          </w:p>
        </w:tc>
        <w:tc>
          <w:tcPr>
            <w:tcW w:w="1125" w:type="dxa"/>
            <w:tcBorders>
              <w:top w:val="nil"/>
              <w:left w:val="single" w:sz="4" w:space="0" w:color="auto"/>
              <w:bottom w:val="nil"/>
              <w:right w:val="single" w:sz="4" w:space="0" w:color="auto"/>
            </w:tcBorders>
          </w:tcPr>
          <w:p w14:paraId="7A9B8DE6" w14:textId="77777777" w:rsidR="00B7632A" w:rsidRPr="002412A0" w:rsidRDefault="00B7632A" w:rsidP="00CD1704">
            <w:pPr>
              <w:jc w:val="right"/>
              <w:rPr>
                <w:sz w:val="20"/>
              </w:rPr>
            </w:pPr>
            <w:r w:rsidRPr="002412A0">
              <w:rPr>
                <w:sz w:val="20"/>
              </w:rPr>
              <w:t>10 718</w:t>
            </w:r>
          </w:p>
        </w:tc>
        <w:tc>
          <w:tcPr>
            <w:tcW w:w="1125" w:type="dxa"/>
            <w:tcBorders>
              <w:top w:val="nil"/>
              <w:left w:val="single" w:sz="4" w:space="0" w:color="auto"/>
              <w:bottom w:val="nil"/>
              <w:right w:val="single" w:sz="4" w:space="0" w:color="auto"/>
            </w:tcBorders>
          </w:tcPr>
          <w:p w14:paraId="3C9F999B" w14:textId="77777777" w:rsidR="00B7632A" w:rsidRPr="00F83958" w:rsidRDefault="00B7632A" w:rsidP="00CD1704">
            <w:pPr>
              <w:jc w:val="right"/>
              <w:rPr>
                <w:sz w:val="20"/>
              </w:rPr>
            </w:pPr>
            <w:r w:rsidRPr="00F83958">
              <w:rPr>
                <w:sz w:val="20"/>
              </w:rPr>
              <w:t>10 643</w:t>
            </w:r>
          </w:p>
        </w:tc>
        <w:tc>
          <w:tcPr>
            <w:tcW w:w="720" w:type="dxa"/>
            <w:tcBorders>
              <w:top w:val="nil"/>
              <w:left w:val="single" w:sz="4" w:space="0" w:color="auto"/>
              <w:bottom w:val="nil"/>
              <w:right w:val="single" w:sz="4" w:space="0" w:color="auto"/>
            </w:tcBorders>
          </w:tcPr>
          <w:p w14:paraId="51D49C42" w14:textId="77777777" w:rsidR="00B7632A" w:rsidRPr="00F83958" w:rsidRDefault="00B7632A" w:rsidP="00CD1704">
            <w:pPr>
              <w:jc w:val="right"/>
              <w:rPr>
                <w:sz w:val="20"/>
              </w:rPr>
            </w:pPr>
            <w:r w:rsidRPr="00F83958">
              <w:rPr>
                <w:sz w:val="20"/>
              </w:rPr>
              <w:t>105,94</w:t>
            </w:r>
          </w:p>
        </w:tc>
      </w:tr>
      <w:tr w:rsidR="00B7632A" w:rsidRPr="004B11AC" w14:paraId="5D4CD018" w14:textId="77777777" w:rsidTr="000B595D">
        <w:tc>
          <w:tcPr>
            <w:tcW w:w="3883" w:type="dxa"/>
            <w:tcBorders>
              <w:top w:val="nil"/>
              <w:left w:val="single" w:sz="4" w:space="0" w:color="auto"/>
              <w:bottom w:val="nil"/>
              <w:right w:val="single" w:sz="4" w:space="0" w:color="auto"/>
            </w:tcBorders>
          </w:tcPr>
          <w:p w14:paraId="70B94483" w14:textId="77777777" w:rsidR="00B7632A" w:rsidRPr="009A360C" w:rsidRDefault="00B7632A" w:rsidP="00CD1704">
            <w:pPr>
              <w:jc w:val="both"/>
              <w:rPr>
                <w:sz w:val="20"/>
              </w:rPr>
            </w:pPr>
            <w:r w:rsidRPr="009A360C">
              <w:rPr>
                <w:sz w:val="20"/>
              </w:rPr>
              <w:t>převod FKSP</w:t>
            </w:r>
          </w:p>
        </w:tc>
        <w:tc>
          <w:tcPr>
            <w:tcW w:w="1134" w:type="dxa"/>
            <w:tcBorders>
              <w:top w:val="nil"/>
              <w:left w:val="single" w:sz="4" w:space="0" w:color="auto"/>
              <w:bottom w:val="nil"/>
              <w:right w:val="single" w:sz="4" w:space="0" w:color="auto"/>
            </w:tcBorders>
          </w:tcPr>
          <w:p w14:paraId="0E865678" w14:textId="77777777" w:rsidR="00B7632A" w:rsidRPr="00207124" w:rsidRDefault="00B7632A" w:rsidP="00CD1704">
            <w:pPr>
              <w:jc w:val="right"/>
              <w:rPr>
                <w:color w:val="FF0000"/>
                <w:sz w:val="20"/>
              </w:rPr>
            </w:pPr>
            <w:r w:rsidRPr="001C3C96">
              <w:rPr>
                <w:sz w:val="20"/>
              </w:rPr>
              <w:t>581</w:t>
            </w:r>
          </w:p>
        </w:tc>
        <w:tc>
          <w:tcPr>
            <w:tcW w:w="1125" w:type="dxa"/>
            <w:tcBorders>
              <w:top w:val="nil"/>
              <w:left w:val="single" w:sz="4" w:space="0" w:color="auto"/>
              <w:bottom w:val="nil"/>
              <w:right w:val="single" w:sz="4" w:space="0" w:color="auto"/>
            </w:tcBorders>
          </w:tcPr>
          <w:p w14:paraId="52AFFD41" w14:textId="77777777" w:rsidR="00B7632A" w:rsidRPr="002412A0" w:rsidRDefault="00B7632A" w:rsidP="00CD1704">
            <w:pPr>
              <w:jc w:val="right"/>
              <w:rPr>
                <w:sz w:val="20"/>
              </w:rPr>
            </w:pPr>
            <w:r w:rsidRPr="002412A0">
              <w:rPr>
                <w:sz w:val="20"/>
              </w:rPr>
              <w:t>602</w:t>
            </w:r>
          </w:p>
        </w:tc>
        <w:tc>
          <w:tcPr>
            <w:tcW w:w="1125" w:type="dxa"/>
            <w:tcBorders>
              <w:top w:val="nil"/>
              <w:left w:val="single" w:sz="4" w:space="0" w:color="auto"/>
              <w:bottom w:val="nil"/>
              <w:right w:val="single" w:sz="4" w:space="0" w:color="auto"/>
            </w:tcBorders>
          </w:tcPr>
          <w:p w14:paraId="44938147" w14:textId="77777777" w:rsidR="00B7632A" w:rsidRPr="002412A0" w:rsidRDefault="00B7632A" w:rsidP="00CD1704">
            <w:pPr>
              <w:jc w:val="right"/>
              <w:rPr>
                <w:sz w:val="20"/>
              </w:rPr>
            </w:pPr>
            <w:r w:rsidRPr="002412A0">
              <w:rPr>
                <w:sz w:val="20"/>
              </w:rPr>
              <w:t>602</w:t>
            </w:r>
          </w:p>
        </w:tc>
        <w:tc>
          <w:tcPr>
            <w:tcW w:w="1125" w:type="dxa"/>
            <w:tcBorders>
              <w:top w:val="nil"/>
              <w:left w:val="single" w:sz="4" w:space="0" w:color="auto"/>
              <w:bottom w:val="nil"/>
              <w:right w:val="single" w:sz="4" w:space="0" w:color="auto"/>
            </w:tcBorders>
          </w:tcPr>
          <w:p w14:paraId="69D35263" w14:textId="77777777" w:rsidR="00B7632A" w:rsidRPr="00F83958" w:rsidRDefault="00B7632A" w:rsidP="00CD1704">
            <w:pPr>
              <w:jc w:val="right"/>
              <w:rPr>
                <w:sz w:val="20"/>
              </w:rPr>
            </w:pPr>
            <w:r w:rsidRPr="00F83958">
              <w:rPr>
                <w:sz w:val="20"/>
              </w:rPr>
              <w:t>608</w:t>
            </w:r>
          </w:p>
        </w:tc>
        <w:tc>
          <w:tcPr>
            <w:tcW w:w="720" w:type="dxa"/>
            <w:tcBorders>
              <w:top w:val="nil"/>
              <w:left w:val="single" w:sz="4" w:space="0" w:color="auto"/>
              <w:bottom w:val="nil"/>
              <w:right w:val="single" w:sz="4" w:space="0" w:color="auto"/>
            </w:tcBorders>
          </w:tcPr>
          <w:p w14:paraId="6B0C98BF" w14:textId="77777777" w:rsidR="00B7632A" w:rsidRPr="00F83958" w:rsidRDefault="00B7632A" w:rsidP="00CD1704">
            <w:pPr>
              <w:jc w:val="right"/>
              <w:rPr>
                <w:sz w:val="20"/>
              </w:rPr>
            </w:pPr>
            <w:r w:rsidRPr="00F83958">
              <w:rPr>
                <w:sz w:val="20"/>
              </w:rPr>
              <w:t>104,65</w:t>
            </w:r>
          </w:p>
        </w:tc>
      </w:tr>
      <w:tr w:rsidR="00B7632A" w:rsidRPr="004B11AC" w14:paraId="5B3AA9A3" w14:textId="77777777" w:rsidTr="000B595D">
        <w:tc>
          <w:tcPr>
            <w:tcW w:w="3883" w:type="dxa"/>
            <w:tcBorders>
              <w:top w:val="nil"/>
              <w:left w:val="single" w:sz="4" w:space="0" w:color="auto"/>
              <w:bottom w:val="nil"/>
              <w:right w:val="single" w:sz="4" w:space="0" w:color="auto"/>
            </w:tcBorders>
          </w:tcPr>
          <w:p w14:paraId="66D81A88" w14:textId="77777777" w:rsidR="00B7632A" w:rsidRPr="009A360C" w:rsidRDefault="00B7632A" w:rsidP="00CD1704">
            <w:pPr>
              <w:jc w:val="both"/>
              <w:rPr>
                <w:sz w:val="20"/>
              </w:rPr>
            </w:pPr>
            <w:r w:rsidRPr="009A360C">
              <w:rPr>
                <w:sz w:val="20"/>
              </w:rPr>
              <w:t xml:space="preserve">dotace na neinvestiční náklady související </w:t>
            </w:r>
          </w:p>
        </w:tc>
        <w:tc>
          <w:tcPr>
            <w:tcW w:w="1134" w:type="dxa"/>
            <w:tcBorders>
              <w:top w:val="nil"/>
              <w:left w:val="single" w:sz="4" w:space="0" w:color="auto"/>
              <w:bottom w:val="nil"/>
              <w:right w:val="single" w:sz="4" w:space="0" w:color="auto"/>
            </w:tcBorders>
          </w:tcPr>
          <w:p w14:paraId="0B7ED03E" w14:textId="77777777" w:rsidR="00B7632A" w:rsidRPr="00207124" w:rsidRDefault="00B7632A" w:rsidP="00CD1704">
            <w:pPr>
              <w:jc w:val="right"/>
              <w:rPr>
                <w:color w:val="FF0000"/>
                <w:sz w:val="20"/>
              </w:rPr>
            </w:pPr>
          </w:p>
        </w:tc>
        <w:tc>
          <w:tcPr>
            <w:tcW w:w="1125" w:type="dxa"/>
            <w:tcBorders>
              <w:top w:val="nil"/>
              <w:left w:val="single" w:sz="4" w:space="0" w:color="auto"/>
              <w:bottom w:val="nil"/>
              <w:right w:val="single" w:sz="4" w:space="0" w:color="auto"/>
            </w:tcBorders>
          </w:tcPr>
          <w:p w14:paraId="1B077F2A" w14:textId="77777777" w:rsidR="00B7632A" w:rsidRPr="002412A0" w:rsidRDefault="00B7632A" w:rsidP="00CD1704">
            <w:pPr>
              <w:jc w:val="right"/>
              <w:rPr>
                <w:sz w:val="20"/>
              </w:rPr>
            </w:pPr>
          </w:p>
        </w:tc>
        <w:tc>
          <w:tcPr>
            <w:tcW w:w="1125" w:type="dxa"/>
            <w:tcBorders>
              <w:top w:val="nil"/>
              <w:left w:val="single" w:sz="4" w:space="0" w:color="auto"/>
              <w:bottom w:val="nil"/>
              <w:right w:val="single" w:sz="4" w:space="0" w:color="auto"/>
            </w:tcBorders>
          </w:tcPr>
          <w:p w14:paraId="09A64148" w14:textId="77777777" w:rsidR="00B7632A" w:rsidRPr="002412A0" w:rsidRDefault="00B7632A" w:rsidP="00CD1704">
            <w:pPr>
              <w:jc w:val="right"/>
              <w:rPr>
                <w:sz w:val="20"/>
              </w:rPr>
            </w:pPr>
          </w:p>
        </w:tc>
        <w:tc>
          <w:tcPr>
            <w:tcW w:w="1125" w:type="dxa"/>
            <w:tcBorders>
              <w:top w:val="nil"/>
              <w:left w:val="single" w:sz="4" w:space="0" w:color="auto"/>
              <w:bottom w:val="nil"/>
              <w:right w:val="single" w:sz="4" w:space="0" w:color="auto"/>
            </w:tcBorders>
          </w:tcPr>
          <w:p w14:paraId="4A232486" w14:textId="77777777" w:rsidR="00B7632A" w:rsidRPr="00F83958" w:rsidRDefault="00B7632A" w:rsidP="00CD1704">
            <w:pPr>
              <w:jc w:val="right"/>
              <w:rPr>
                <w:sz w:val="20"/>
              </w:rPr>
            </w:pPr>
          </w:p>
        </w:tc>
        <w:tc>
          <w:tcPr>
            <w:tcW w:w="720" w:type="dxa"/>
            <w:tcBorders>
              <w:top w:val="nil"/>
              <w:left w:val="single" w:sz="4" w:space="0" w:color="auto"/>
              <w:bottom w:val="nil"/>
              <w:right w:val="single" w:sz="4" w:space="0" w:color="auto"/>
            </w:tcBorders>
          </w:tcPr>
          <w:p w14:paraId="413CF974" w14:textId="77777777" w:rsidR="00B7632A" w:rsidRPr="00F83958" w:rsidRDefault="00B7632A" w:rsidP="00CD1704">
            <w:pPr>
              <w:jc w:val="right"/>
              <w:rPr>
                <w:sz w:val="20"/>
              </w:rPr>
            </w:pPr>
          </w:p>
        </w:tc>
      </w:tr>
      <w:tr w:rsidR="00B7632A" w:rsidRPr="004B11AC" w14:paraId="6D7ECBE6" w14:textId="77777777" w:rsidTr="000B595D">
        <w:tc>
          <w:tcPr>
            <w:tcW w:w="3883" w:type="dxa"/>
            <w:tcBorders>
              <w:top w:val="nil"/>
              <w:left w:val="single" w:sz="4" w:space="0" w:color="auto"/>
              <w:bottom w:val="single" w:sz="4" w:space="0" w:color="auto"/>
              <w:right w:val="single" w:sz="4" w:space="0" w:color="auto"/>
            </w:tcBorders>
          </w:tcPr>
          <w:p w14:paraId="748AAB87" w14:textId="77777777" w:rsidR="00B7632A" w:rsidRPr="009A360C" w:rsidRDefault="00B7632A" w:rsidP="00CD1704">
            <w:pPr>
              <w:jc w:val="both"/>
              <w:rPr>
                <w:sz w:val="20"/>
              </w:rPr>
            </w:pPr>
            <w:r w:rsidRPr="009A360C">
              <w:rPr>
                <w:sz w:val="20"/>
              </w:rPr>
              <w:t>s financ. programů evidovaných v EDS/SMVS</w:t>
            </w:r>
          </w:p>
        </w:tc>
        <w:tc>
          <w:tcPr>
            <w:tcW w:w="1134" w:type="dxa"/>
            <w:tcBorders>
              <w:top w:val="nil"/>
              <w:left w:val="single" w:sz="4" w:space="0" w:color="auto"/>
              <w:bottom w:val="single" w:sz="4" w:space="0" w:color="auto"/>
              <w:right w:val="single" w:sz="4" w:space="0" w:color="auto"/>
            </w:tcBorders>
          </w:tcPr>
          <w:p w14:paraId="06E347AB" w14:textId="77777777" w:rsidR="00B7632A" w:rsidRPr="00D0262A" w:rsidRDefault="00B7632A" w:rsidP="00CD1704">
            <w:pPr>
              <w:jc w:val="right"/>
              <w:rPr>
                <w:sz w:val="20"/>
              </w:rPr>
            </w:pPr>
            <w:r w:rsidRPr="00D0262A">
              <w:rPr>
                <w:sz w:val="20"/>
              </w:rPr>
              <w:t>0</w:t>
            </w:r>
          </w:p>
        </w:tc>
        <w:tc>
          <w:tcPr>
            <w:tcW w:w="1125" w:type="dxa"/>
            <w:tcBorders>
              <w:top w:val="nil"/>
              <w:left w:val="single" w:sz="4" w:space="0" w:color="auto"/>
              <w:bottom w:val="single" w:sz="4" w:space="0" w:color="auto"/>
              <w:right w:val="single" w:sz="4" w:space="0" w:color="auto"/>
            </w:tcBorders>
          </w:tcPr>
          <w:p w14:paraId="584114B5" w14:textId="77777777" w:rsidR="00B7632A" w:rsidRPr="002412A0" w:rsidRDefault="00B7632A" w:rsidP="00CD1704">
            <w:pPr>
              <w:jc w:val="right"/>
              <w:rPr>
                <w:sz w:val="20"/>
              </w:rPr>
            </w:pPr>
            <w:r w:rsidRPr="002412A0">
              <w:rPr>
                <w:sz w:val="20"/>
              </w:rPr>
              <w:t>0</w:t>
            </w:r>
          </w:p>
        </w:tc>
        <w:tc>
          <w:tcPr>
            <w:tcW w:w="1125" w:type="dxa"/>
            <w:tcBorders>
              <w:top w:val="nil"/>
              <w:left w:val="single" w:sz="4" w:space="0" w:color="auto"/>
              <w:bottom w:val="single" w:sz="4" w:space="0" w:color="auto"/>
              <w:right w:val="single" w:sz="4" w:space="0" w:color="auto"/>
            </w:tcBorders>
          </w:tcPr>
          <w:p w14:paraId="53C43653" w14:textId="77777777" w:rsidR="00B7632A" w:rsidRPr="002412A0" w:rsidRDefault="00B7632A" w:rsidP="00CD1704">
            <w:pPr>
              <w:jc w:val="right"/>
              <w:rPr>
                <w:sz w:val="20"/>
              </w:rPr>
            </w:pPr>
            <w:r w:rsidRPr="002412A0">
              <w:rPr>
                <w:sz w:val="20"/>
              </w:rPr>
              <w:t>0</w:t>
            </w:r>
          </w:p>
        </w:tc>
        <w:tc>
          <w:tcPr>
            <w:tcW w:w="1125" w:type="dxa"/>
            <w:tcBorders>
              <w:top w:val="nil"/>
              <w:left w:val="single" w:sz="4" w:space="0" w:color="auto"/>
              <w:bottom w:val="single" w:sz="4" w:space="0" w:color="auto"/>
              <w:right w:val="single" w:sz="4" w:space="0" w:color="auto"/>
            </w:tcBorders>
          </w:tcPr>
          <w:p w14:paraId="2964EE70" w14:textId="77777777" w:rsidR="00B7632A" w:rsidRPr="00F83958" w:rsidRDefault="00B7632A" w:rsidP="00CD1704">
            <w:pPr>
              <w:jc w:val="right"/>
              <w:rPr>
                <w:sz w:val="20"/>
              </w:rPr>
            </w:pPr>
            <w:r w:rsidRPr="00F83958">
              <w:rPr>
                <w:sz w:val="20"/>
              </w:rPr>
              <w:t>0</w:t>
            </w:r>
          </w:p>
        </w:tc>
        <w:tc>
          <w:tcPr>
            <w:tcW w:w="720" w:type="dxa"/>
            <w:tcBorders>
              <w:top w:val="nil"/>
              <w:left w:val="single" w:sz="4" w:space="0" w:color="auto"/>
              <w:bottom w:val="single" w:sz="4" w:space="0" w:color="auto"/>
              <w:right w:val="single" w:sz="4" w:space="0" w:color="auto"/>
            </w:tcBorders>
          </w:tcPr>
          <w:p w14:paraId="201C01D3" w14:textId="77777777" w:rsidR="00B7632A" w:rsidRPr="00F83958" w:rsidRDefault="00B7632A" w:rsidP="00CD1704">
            <w:pPr>
              <w:jc w:val="right"/>
              <w:rPr>
                <w:sz w:val="20"/>
              </w:rPr>
            </w:pPr>
            <w:r w:rsidRPr="00F83958">
              <w:rPr>
                <w:sz w:val="20"/>
              </w:rPr>
              <w:t>x</w:t>
            </w:r>
          </w:p>
        </w:tc>
      </w:tr>
    </w:tbl>
    <w:p w14:paraId="34612500" w14:textId="77777777" w:rsidR="00B7632A" w:rsidRPr="00046E13" w:rsidRDefault="00B7632A" w:rsidP="00C76E30">
      <w:pPr>
        <w:pStyle w:val="KOMtext"/>
        <w:rPr>
          <w:color w:val="FF0000"/>
        </w:rPr>
      </w:pPr>
      <w:r w:rsidRPr="00046E13">
        <w:lastRenderedPageBreak/>
        <w:t>Centru služeb pro silniční dopravu byl schválen neinvestiční příspěvek pro rok 2019 ve</w:t>
      </w:r>
      <w:r w:rsidRPr="00046E13">
        <w:rPr>
          <w:bCs/>
        </w:rPr>
        <w:t xml:space="preserve"> výši </w:t>
      </w:r>
      <w:r w:rsidR="00FE713B">
        <w:rPr>
          <w:bCs/>
        </w:rPr>
        <w:br/>
      </w:r>
      <w:r w:rsidRPr="00046E13">
        <w:rPr>
          <w:bCs/>
        </w:rPr>
        <w:t>101 137</w:t>
      </w:r>
      <w:r w:rsidRPr="00046E13">
        <w:t xml:space="preserve"> tis. Kč, z toho 50 221 tis. Kč výdaje na dopravně správní a</w:t>
      </w:r>
      <w:r w:rsidR="00C76E30">
        <w:t xml:space="preserve">gendy, </w:t>
      </w:r>
      <w:r w:rsidRPr="00046E13">
        <w:t>37 721 tis. Kč výdaje na zabezpečení delegovaných činností</w:t>
      </w:r>
      <w:r w:rsidR="00C76E30">
        <w:t xml:space="preserve"> BESIP a 13 195 tis. Kč výdaje</w:t>
      </w:r>
      <w:r w:rsidRPr="00046E13">
        <w:t xml:space="preserve"> na činnost organizace. V průběhu 2. čtvrtletí roku 2019 došlo k přesunu 3 000 tis. Kč z části na činnost organizace do části BESIP. Rovněž v průběhu 2. čtvrtletí roku 2019 došlo k navýšení příspěvku o 4 673 tis. Kč na realizaci tisku výukových a osvětově popularizačních materiálů na 105 811 tis. Kč. Ve </w:t>
      </w:r>
      <w:r w:rsidR="00FE713B">
        <w:br/>
      </w:r>
      <w:r w:rsidRPr="00046E13">
        <w:t>4. čtvrtletí roku 2019 byl navýšen příspěvek o 319 </w:t>
      </w:r>
      <w:r>
        <w:t xml:space="preserve">tis. </w:t>
      </w:r>
      <w:r w:rsidRPr="00046E13">
        <w:t>Kč na zajištění dokrytí rozpočtově nezajištěných míst dle usnesen</w:t>
      </w:r>
      <w:r w:rsidR="00C76E30">
        <w:t xml:space="preserve">í vlády č. 591/2019. V průběhu </w:t>
      </w:r>
      <w:r w:rsidRPr="00046E13">
        <w:t xml:space="preserve">4. čtvrtletí byl v důsledku </w:t>
      </w:r>
      <w:r w:rsidRPr="00046E13">
        <w:rPr>
          <w:bCs/>
        </w:rPr>
        <w:t xml:space="preserve">úspory nákladů a nerealizování </w:t>
      </w:r>
      <w:r w:rsidR="00C76E30">
        <w:rPr>
          <w:bCs/>
        </w:rPr>
        <w:t xml:space="preserve">některých plánovaných činností </w:t>
      </w:r>
      <w:r w:rsidRPr="00046E13">
        <w:rPr>
          <w:bCs/>
        </w:rPr>
        <w:t xml:space="preserve">a zakázek v oblasti BESIP a zajišťování tiskových materiálů </w:t>
      </w:r>
      <w:r w:rsidRPr="00046E13">
        <w:t xml:space="preserve">příspěvek snížen o 4 512 tis. Kč </w:t>
      </w:r>
      <w:r w:rsidRPr="00046E13">
        <w:rPr>
          <w:bCs/>
        </w:rPr>
        <w:t>na 101 618 tis. Kč, v tom 50 457 tis. Kč na dopravně správní a</w:t>
      </w:r>
      <w:r w:rsidR="00C76E30">
        <w:rPr>
          <w:bCs/>
        </w:rPr>
        <w:t xml:space="preserve">gendy, 40 895 tis. Kč na BESIP </w:t>
      </w:r>
      <w:r w:rsidRPr="00046E13">
        <w:rPr>
          <w:bCs/>
        </w:rPr>
        <w:t>a 10 265 tis. Kč na činnost organizace.</w:t>
      </w:r>
      <w:r w:rsidRPr="00046E13">
        <w:rPr>
          <w:color w:val="FF0000"/>
        </w:rPr>
        <w:t xml:space="preserve"> </w:t>
      </w:r>
    </w:p>
    <w:p w14:paraId="0DD540F4" w14:textId="77777777" w:rsidR="00B7632A" w:rsidRPr="008A2E8D" w:rsidRDefault="00B7632A" w:rsidP="005475F2">
      <w:pPr>
        <w:pStyle w:val="KOMtext"/>
      </w:pPr>
      <w:r w:rsidRPr="00046E13">
        <w:t xml:space="preserve">K 31.12.2019 čerpalo CSPSD neinvestiční prostředky ve výši 101 618 tis. Kč, tj. 100,00 % upraveného rozpočtu, z toho prostředky ve výši 40 895 tis. Kč byly použity na zabezpečení delegovaných činností BESIP, 50 457 tis. Kč byly výdaje stanovené na dopravně správní agendy a 10 265 tis. Kč výdaje na činnost organizace.  </w:t>
      </w:r>
    </w:p>
    <w:p w14:paraId="49297CD9" w14:textId="77777777" w:rsidR="00B7632A" w:rsidRPr="00046E13" w:rsidRDefault="00B7632A" w:rsidP="005475F2">
      <w:pPr>
        <w:spacing w:before="120" w:after="120" w:line="276" w:lineRule="auto"/>
        <w:jc w:val="both"/>
        <w:rPr>
          <w:i/>
        </w:rPr>
      </w:pPr>
      <w:r w:rsidRPr="00046E13">
        <w:t xml:space="preserve">Pozn.: </w:t>
      </w:r>
      <w:r w:rsidRPr="00046E13">
        <w:rPr>
          <w:i/>
        </w:rPr>
        <w:t xml:space="preserve">Limit mzdových nákladů příspěvkové organizace Centrum služeb pro silniční dopravu po změnách v objemu 31 843 tis. Kč byl čerpán ve výši 37 764 tis. Kč, tj. na 118,59 %, v důsledku překročení limitu prostředků na platy po změnách (30 411 tis. Kč) o 6 462 tis. Kč, které bylo uhrazeno podle § 59 zákona č. 218/2000 Sb., rozpočtová pravidla, z fondu odměn. </w:t>
      </w:r>
    </w:p>
    <w:p w14:paraId="57A7711D" w14:textId="77777777" w:rsidR="009E108D" w:rsidRPr="00202E49" w:rsidRDefault="009E108D" w:rsidP="005475F2">
      <w:pPr>
        <w:pStyle w:val="KOMtext"/>
      </w:pPr>
      <w:r w:rsidRPr="00F915F4">
        <w:rPr>
          <w:u w:val="single"/>
        </w:rPr>
        <w:t>Srovnání neinvestičních příspěvku a transferů zří</w:t>
      </w:r>
      <w:r w:rsidR="004E2AB4">
        <w:rPr>
          <w:u w:val="single"/>
        </w:rPr>
        <w:t xml:space="preserve">zeným příspěvkovým organizacím </w:t>
      </w:r>
      <w:r w:rsidRPr="00F915F4">
        <w:rPr>
          <w:u w:val="single"/>
        </w:rPr>
        <w:t>ve vývojové řadě 2015 – 2019</w:t>
      </w:r>
      <w:r w:rsidRPr="00202E49">
        <w:t xml:space="preserve"> je provedeno v následující tabulce.</w:t>
      </w:r>
    </w:p>
    <w:p w14:paraId="4DAB4F09" w14:textId="77777777" w:rsidR="009E108D" w:rsidRPr="00862493" w:rsidRDefault="009E108D" w:rsidP="005475F2">
      <w:pPr>
        <w:keepNext/>
        <w:spacing w:line="276" w:lineRule="auto"/>
        <w:ind w:left="357" w:right="1"/>
        <w:jc w:val="right"/>
      </w:pPr>
      <w:r w:rsidRPr="00862493">
        <w:rPr>
          <w:szCs w:val="20"/>
        </w:rPr>
        <w:t xml:space="preserve">                                                                                                                               </w:t>
      </w:r>
      <w:r w:rsidRPr="00862493">
        <w:t xml:space="preserve">v tis. Kč </w:t>
      </w:r>
    </w:p>
    <w:tbl>
      <w:tblPr>
        <w:tblW w:w="9139" w:type="dxa"/>
        <w:tblInd w:w="70" w:type="dxa"/>
        <w:tblLayout w:type="fixed"/>
        <w:tblCellMar>
          <w:left w:w="70" w:type="dxa"/>
          <w:right w:w="70" w:type="dxa"/>
        </w:tblCellMar>
        <w:tblLook w:val="0000" w:firstRow="0" w:lastRow="0" w:firstColumn="0" w:lastColumn="0" w:noHBand="0" w:noVBand="0"/>
      </w:tblPr>
      <w:tblGrid>
        <w:gridCol w:w="3402"/>
        <w:gridCol w:w="1134"/>
        <w:gridCol w:w="1134"/>
        <w:gridCol w:w="1134"/>
        <w:gridCol w:w="1134"/>
        <w:gridCol w:w="1201"/>
      </w:tblGrid>
      <w:tr w:rsidR="009E108D" w:rsidRPr="004B11AC" w14:paraId="05A987CA" w14:textId="77777777" w:rsidTr="000B595D">
        <w:trPr>
          <w:tblHeader/>
        </w:trPr>
        <w:tc>
          <w:tcPr>
            <w:tcW w:w="3402" w:type="dxa"/>
            <w:tcBorders>
              <w:top w:val="single" w:sz="4" w:space="0" w:color="auto"/>
              <w:left w:val="single" w:sz="4" w:space="0" w:color="auto"/>
              <w:bottom w:val="single" w:sz="4" w:space="0" w:color="000000"/>
            </w:tcBorders>
          </w:tcPr>
          <w:p w14:paraId="4003DC85" w14:textId="77777777" w:rsidR="009E108D" w:rsidRPr="00862493" w:rsidRDefault="009E108D" w:rsidP="005475F2">
            <w:pPr>
              <w:snapToGrid w:val="0"/>
              <w:spacing w:line="276" w:lineRule="auto"/>
              <w:jc w:val="center"/>
              <w:rPr>
                <w:sz w:val="22"/>
                <w:szCs w:val="22"/>
              </w:rPr>
            </w:pPr>
          </w:p>
          <w:p w14:paraId="6F2FA265" w14:textId="77777777" w:rsidR="009E108D" w:rsidRPr="00862493" w:rsidRDefault="009E108D" w:rsidP="005475F2">
            <w:pPr>
              <w:spacing w:line="276" w:lineRule="auto"/>
              <w:jc w:val="center"/>
              <w:rPr>
                <w:sz w:val="22"/>
                <w:szCs w:val="22"/>
              </w:rPr>
            </w:pPr>
            <w:r w:rsidRPr="00862493">
              <w:rPr>
                <w:sz w:val="22"/>
                <w:szCs w:val="22"/>
              </w:rPr>
              <w:t>Ukazatel</w:t>
            </w:r>
          </w:p>
        </w:tc>
        <w:tc>
          <w:tcPr>
            <w:tcW w:w="1134" w:type="dxa"/>
            <w:tcBorders>
              <w:top w:val="single" w:sz="4" w:space="0" w:color="auto"/>
              <w:left w:val="single" w:sz="4" w:space="0" w:color="000000"/>
              <w:bottom w:val="single" w:sz="4" w:space="0" w:color="000000"/>
            </w:tcBorders>
            <w:vAlign w:val="center"/>
          </w:tcPr>
          <w:p w14:paraId="1175F2DB" w14:textId="77777777" w:rsidR="009E108D" w:rsidRPr="00862493" w:rsidRDefault="009E108D" w:rsidP="005475F2">
            <w:pPr>
              <w:snapToGrid w:val="0"/>
              <w:spacing w:line="276" w:lineRule="auto"/>
              <w:jc w:val="center"/>
              <w:rPr>
                <w:sz w:val="22"/>
                <w:szCs w:val="22"/>
              </w:rPr>
            </w:pPr>
            <w:r w:rsidRPr="00862493">
              <w:rPr>
                <w:sz w:val="22"/>
                <w:szCs w:val="22"/>
              </w:rPr>
              <w:t>Skutečnost</w:t>
            </w:r>
          </w:p>
          <w:p w14:paraId="74F28044" w14:textId="77777777" w:rsidR="009E108D" w:rsidRPr="00862493" w:rsidRDefault="009E108D" w:rsidP="005475F2">
            <w:pPr>
              <w:spacing w:line="276" w:lineRule="auto"/>
              <w:jc w:val="center"/>
              <w:rPr>
                <w:sz w:val="22"/>
                <w:szCs w:val="22"/>
              </w:rPr>
            </w:pPr>
            <w:r w:rsidRPr="00862493">
              <w:rPr>
                <w:sz w:val="22"/>
                <w:szCs w:val="22"/>
              </w:rPr>
              <w:t>2015</w:t>
            </w:r>
          </w:p>
        </w:tc>
        <w:tc>
          <w:tcPr>
            <w:tcW w:w="1134" w:type="dxa"/>
            <w:tcBorders>
              <w:top w:val="single" w:sz="4" w:space="0" w:color="auto"/>
              <w:left w:val="single" w:sz="4" w:space="0" w:color="000000"/>
              <w:bottom w:val="single" w:sz="4" w:space="0" w:color="000000"/>
            </w:tcBorders>
            <w:vAlign w:val="center"/>
          </w:tcPr>
          <w:p w14:paraId="162FA033" w14:textId="77777777" w:rsidR="009E108D" w:rsidRPr="00862493" w:rsidRDefault="009E108D" w:rsidP="005475F2">
            <w:pPr>
              <w:snapToGrid w:val="0"/>
              <w:spacing w:line="276" w:lineRule="auto"/>
              <w:jc w:val="center"/>
              <w:rPr>
                <w:sz w:val="22"/>
                <w:szCs w:val="22"/>
              </w:rPr>
            </w:pPr>
            <w:r w:rsidRPr="00862493">
              <w:rPr>
                <w:sz w:val="22"/>
                <w:szCs w:val="22"/>
              </w:rPr>
              <w:t>Skutečnost</w:t>
            </w:r>
          </w:p>
          <w:p w14:paraId="3C2182CB" w14:textId="77777777" w:rsidR="009E108D" w:rsidRPr="00862493" w:rsidRDefault="009E108D" w:rsidP="005475F2">
            <w:pPr>
              <w:spacing w:line="276" w:lineRule="auto"/>
              <w:jc w:val="center"/>
              <w:rPr>
                <w:sz w:val="22"/>
                <w:szCs w:val="22"/>
              </w:rPr>
            </w:pPr>
            <w:r w:rsidRPr="00862493">
              <w:rPr>
                <w:sz w:val="22"/>
                <w:szCs w:val="22"/>
              </w:rPr>
              <w:t>2016</w:t>
            </w:r>
          </w:p>
        </w:tc>
        <w:tc>
          <w:tcPr>
            <w:tcW w:w="1134" w:type="dxa"/>
            <w:tcBorders>
              <w:top w:val="single" w:sz="4" w:space="0" w:color="auto"/>
              <w:left w:val="single" w:sz="4" w:space="0" w:color="000000"/>
              <w:bottom w:val="single" w:sz="4" w:space="0" w:color="000000"/>
            </w:tcBorders>
            <w:vAlign w:val="center"/>
          </w:tcPr>
          <w:p w14:paraId="6CA37D69" w14:textId="77777777" w:rsidR="009E108D" w:rsidRPr="00862493" w:rsidRDefault="009E108D" w:rsidP="005475F2">
            <w:pPr>
              <w:snapToGrid w:val="0"/>
              <w:spacing w:line="276" w:lineRule="auto"/>
              <w:jc w:val="center"/>
              <w:rPr>
                <w:sz w:val="22"/>
                <w:szCs w:val="22"/>
              </w:rPr>
            </w:pPr>
            <w:r w:rsidRPr="00862493">
              <w:rPr>
                <w:sz w:val="22"/>
                <w:szCs w:val="22"/>
              </w:rPr>
              <w:t>Skutečnost</w:t>
            </w:r>
          </w:p>
          <w:p w14:paraId="570F12EA" w14:textId="77777777" w:rsidR="009E108D" w:rsidRPr="00862493" w:rsidRDefault="009E108D" w:rsidP="005475F2">
            <w:pPr>
              <w:spacing w:line="276" w:lineRule="auto"/>
              <w:jc w:val="center"/>
              <w:rPr>
                <w:sz w:val="22"/>
                <w:szCs w:val="22"/>
              </w:rPr>
            </w:pPr>
            <w:r w:rsidRPr="00862493">
              <w:rPr>
                <w:sz w:val="22"/>
                <w:szCs w:val="22"/>
              </w:rPr>
              <w:t>2017</w:t>
            </w:r>
          </w:p>
        </w:tc>
        <w:tc>
          <w:tcPr>
            <w:tcW w:w="1134" w:type="dxa"/>
            <w:tcBorders>
              <w:top w:val="single" w:sz="4" w:space="0" w:color="auto"/>
              <w:left w:val="single" w:sz="4" w:space="0" w:color="000000"/>
              <w:bottom w:val="single" w:sz="4" w:space="0" w:color="000000"/>
            </w:tcBorders>
            <w:vAlign w:val="center"/>
          </w:tcPr>
          <w:p w14:paraId="785578E4" w14:textId="77777777" w:rsidR="009E108D" w:rsidRPr="00862493" w:rsidRDefault="009E108D" w:rsidP="005475F2">
            <w:pPr>
              <w:snapToGrid w:val="0"/>
              <w:spacing w:line="276" w:lineRule="auto"/>
              <w:jc w:val="center"/>
              <w:rPr>
                <w:sz w:val="22"/>
                <w:szCs w:val="22"/>
              </w:rPr>
            </w:pPr>
            <w:r w:rsidRPr="00862493">
              <w:rPr>
                <w:sz w:val="22"/>
                <w:szCs w:val="22"/>
              </w:rPr>
              <w:t>Skutečnost</w:t>
            </w:r>
          </w:p>
          <w:p w14:paraId="020BB386" w14:textId="77777777" w:rsidR="009E108D" w:rsidRPr="00862493" w:rsidRDefault="009E108D" w:rsidP="005475F2">
            <w:pPr>
              <w:spacing w:line="276" w:lineRule="auto"/>
              <w:jc w:val="center"/>
              <w:rPr>
                <w:sz w:val="22"/>
                <w:szCs w:val="22"/>
              </w:rPr>
            </w:pPr>
            <w:r w:rsidRPr="00862493">
              <w:rPr>
                <w:sz w:val="22"/>
                <w:szCs w:val="22"/>
              </w:rPr>
              <w:t>2018</w:t>
            </w:r>
          </w:p>
        </w:tc>
        <w:tc>
          <w:tcPr>
            <w:tcW w:w="1201" w:type="dxa"/>
            <w:tcBorders>
              <w:top w:val="single" w:sz="4" w:space="0" w:color="auto"/>
              <w:left w:val="single" w:sz="4" w:space="0" w:color="000000"/>
              <w:bottom w:val="single" w:sz="4" w:space="0" w:color="000000"/>
              <w:right w:val="single" w:sz="4" w:space="0" w:color="auto"/>
            </w:tcBorders>
            <w:vAlign w:val="center"/>
          </w:tcPr>
          <w:p w14:paraId="15F2D65A" w14:textId="77777777" w:rsidR="009E108D" w:rsidRPr="00862493" w:rsidRDefault="009E108D" w:rsidP="005475F2">
            <w:pPr>
              <w:snapToGrid w:val="0"/>
              <w:spacing w:line="276" w:lineRule="auto"/>
              <w:jc w:val="center"/>
              <w:rPr>
                <w:sz w:val="22"/>
                <w:szCs w:val="22"/>
              </w:rPr>
            </w:pPr>
            <w:r w:rsidRPr="00862493">
              <w:rPr>
                <w:sz w:val="22"/>
                <w:szCs w:val="22"/>
              </w:rPr>
              <w:t>Skutečnost</w:t>
            </w:r>
          </w:p>
          <w:p w14:paraId="2015F6CB" w14:textId="77777777" w:rsidR="009E108D" w:rsidRPr="00862493" w:rsidRDefault="009E108D" w:rsidP="005475F2">
            <w:pPr>
              <w:spacing w:line="276" w:lineRule="auto"/>
              <w:jc w:val="center"/>
              <w:rPr>
                <w:sz w:val="22"/>
                <w:szCs w:val="22"/>
              </w:rPr>
            </w:pPr>
            <w:r w:rsidRPr="00862493">
              <w:rPr>
                <w:sz w:val="22"/>
                <w:szCs w:val="22"/>
              </w:rPr>
              <w:t>2019</w:t>
            </w:r>
          </w:p>
        </w:tc>
      </w:tr>
      <w:tr w:rsidR="009E108D" w:rsidRPr="004B11AC" w14:paraId="339E483E" w14:textId="77777777" w:rsidTr="000B595D">
        <w:trPr>
          <w:tblHeader/>
        </w:trPr>
        <w:tc>
          <w:tcPr>
            <w:tcW w:w="3402" w:type="dxa"/>
            <w:tcBorders>
              <w:left w:val="single" w:sz="4" w:space="0" w:color="auto"/>
              <w:bottom w:val="single" w:sz="4" w:space="0" w:color="000000"/>
            </w:tcBorders>
          </w:tcPr>
          <w:p w14:paraId="53CB1325" w14:textId="77777777" w:rsidR="009E108D" w:rsidRPr="00862493" w:rsidRDefault="009E108D" w:rsidP="005475F2">
            <w:pPr>
              <w:snapToGrid w:val="0"/>
              <w:spacing w:line="276" w:lineRule="auto"/>
              <w:jc w:val="center"/>
              <w:rPr>
                <w:sz w:val="22"/>
                <w:szCs w:val="22"/>
              </w:rPr>
            </w:pPr>
            <w:r w:rsidRPr="00862493">
              <w:rPr>
                <w:sz w:val="22"/>
                <w:szCs w:val="22"/>
              </w:rPr>
              <w:t>a</w:t>
            </w:r>
          </w:p>
        </w:tc>
        <w:tc>
          <w:tcPr>
            <w:tcW w:w="1134" w:type="dxa"/>
            <w:tcBorders>
              <w:left w:val="single" w:sz="4" w:space="0" w:color="000000"/>
              <w:bottom w:val="single" w:sz="4" w:space="0" w:color="000000"/>
            </w:tcBorders>
          </w:tcPr>
          <w:p w14:paraId="30AA4636" w14:textId="77777777" w:rsidR="009E108D" w:rsidRPr="00862493" w:rsidRDefault="009E108D" w:rsidP="005475F2">
            <w:pPr>
              <w:snapToGrid w:val="0"/>
              <w:spacing w:line="276" w:lineRule="auto"/>
              <w:jc w:val="center"/>
              <w:rPr>
                <w:sz w:val="22"/>
                <w:szCs w:val="22"/>
              </w:rPr>
            </w:pPr>
          </w:p>
        </w:tc>
        <w:tc>
          <w:tcPr>
            <w:tcW w:w="1134" w:type="dxa"/>
            <w:tcBorders>
              <w:left w:val="single" w:sz="4" w:space="0" w:color="000000"/>
              <w:bottom w:val="single" w:sz="4" w:space="0" w:color="000000"/>
            </w:tcBorders>
          </w:tcPr>
          <w:p w14:paraId="0F54624F" w14:textId="77777777" w:rsidR="009E108D" w:rsidRPr="00862493" w:rsidRDefault="009E108D" w:rsidP="005475F2">
            <w:pPr>
              <w:snapToGrid w:val="0"/>
              <w:spacing w:line="276" w:lineRule="auto"/>
              <w:jc w:val="center"/>
              <w:rPr>
                <w:sz w:val="22"/>
                <w:szCs w:val="22"/>
              </w:rPr>
            </w:pPr>
            <w:r w:rsidRPr="00862493">
              <w:rPr>
                <w:sz w:val="22"/>
                <w:szCs w:val="22"/>
              </w:rPr>
              <w:t>2</w:t>
            </w:r>
          </w:p>
        </w:tc>
        <w:tc>
          <w:tcPr>
            <w:tcW w:w="1134" w:type="dxa"/>
            <w:tcBorders>
              <w:left w:val="single" w:sz="4" w:space="0" w:color="000000"/>
              <w:bottom w:val="single" w:sz="4" w:space="0" w:color="000000"/>
            </w:tcBorders>
          </w:tcPr>
          <w:p w14:paraId="334C1843" w14:textId="77777777" w:rsidR="009E108D" w:rsidRPr="00862493" w:rsidRDefault="009E108D" w:rsidP="005475F2">
            <w:pPr>
              <w:snapToGrid w:val="0"/>
              <w:spacing w:line="276" w:lineRule="auto"/>
              <w:jc w:val="center"/>
              <w:rPr>
                <w:sz w:val="22"/>
                <w:szCs w:val="22"/>
              </w:rPr>
            </w:pPr>
            <w:r w:rsidRPr="00862493">
              <w:rPr>
                <w:sz w:val="22"/>
                <w:szCs w:val="22"/>
              </w:rPr>
              <w:t>3</w:t>
            </w:r>
          </w:p>
        </w:tc>
        <w:tc>
          <w:tcPr>
            <w:tcW w:w="1134" w:type="dxa"/>
            <w:tcBorders>
              <w:left w:val="single" w:sz="4" w:space="0" w:color="000000"/>
              <w:bottom w:val="single" w:sz="4" w:space="0" w:color="000000"/>
            </w:tcBorders>
          </w:tcPr>
          <w:p w14:paraId="094B9896" w14:textId="77777777" w:rsidR="009E108D" w:rsidRPr="00862493" w:rsidRDefault="009E108D" w:rsidP="005475F2">
            <w:pPr>
              <w:snapToGrid w:val="0"/>
              <w:spacing w:line="276" w:lineRule="auto"/>
              <w:jc w:val="center"/>
              <w:rPr>
                <w:sz w:val="22"/>
                <w:szCs w:val="22"/>
              </w:rPr>
            </w:pPr>
            <w:r w:rsidRPr="00862493">
              <w:rPr>
                <w:sz w:val="22"/>
                <w:szCs w:val="22"/>
              </w:rPr>
              <w:t>4</w:t>
            </w:r>
          </w:p>
        </w:tc>
        <w:tc>
          <w:tcPr>
            <w:tcW w:w="1201" w:type="dxa"/>
            <w:tcBorders>
              <w:left w:val="single" w:sz="4" w:space="0" w:color="000000"/>
              <w:bottom w:val="single" w:sz="4" w:space="0" w:color="000000"/>
              <w:right w:val="single" w:sz="4" w:space="0" w:color="auto"/>
            </w:tcBorders>
          </w:tcPr>
          <w:p w14:paraId="34296897" w14:textId="77777777" w:rsidR="009E108D" w:rsidRPr="00862493" w:rsidRDefault="009E108D" w:rsidP="005475F2">
            <w:pPr>
              <w:snapToGrid w:val="0"/>
              <w:spacing w:line="276" w:lineRule="auto"/>
              <w:jc w:val="center"/>
              <w:rPr>
                <w:sz w:val="22"/>
                <w:szCs w:val="22"/>
              </w:rPr>
            </w:pPr>
            <w:r w:rsidRPr="00862493">
              <w:rPr>
                <w:sz w:val="22"/>
                <w:szCs w:val="22"/>
              </w:rPr>
              <w:t>5</w:t>
            </w:r>
          </w:p>
        </w:tc>
      </w:tr>
      <w:tr w:rsidR="009E108D" w:rsidRPr="004B11AC" w14:paraId="35955369" w14:textId="77777777" w:rsidTr="000B595D">
        <w:trPr>
          <w:trHeight w:val="388"/>
          <w:tblHeader/>
        </w:trPr>
        <w:tc>
          <w:tcPr>
            <w:tcW w:w="3402" w:type="dxa"/>
            <w:tcBorders>
              <w:left w:val="single" w:sz="4" w:space="0" w:color="auto"/>
            </w:tcBorders>
          </w:tcPr>
          <w:p w14:paraId="5A462EC4" w14:textId="77777777" w:rsidR="009E108D" w:rsidRPr="00862493" w:rsidRDefault="009E108D" w:rsidP="005475F2">
            <w:pPr>
              <w:snapToGrid w:val="0"/>
              <w:spacing w:line="276" w:lineRule="auto"/>
              <w:rPr>
                <w:b/>
                <w:sz w:val="20"/>
                <w:szCs w:val="20"/>
              </w:rPr>
            </w:pPr>
            <w:r w:rsidRPr="00862493">
              <w:rPr>
                <w:b/>
                <w:sz w:val="20"/>
                <w:szCs w:val="20"/>
              </w:rPr>
              <w:t>Zřízené příspěvkové organizace</w:t>
            </w:r>
          </w:p>
          <w:p w14:paraId="517CF08A" w14:textId="77777777" w:rsidR="009E108D" w:rsidRPr="00862493" w:rsidRDefault="009E108D" w:rsidP="005475F2">
            <w:pPr>
              <w:spacing w:line="276" w:lineRule="auto"/>
              <w:jc w:val="both"/>
              <w:rPr>
                <w:sz w:val="20"/>
                <w:szCs w:val="20"/>
              </w:rPr>
            </w:pPr>
            <w:r w:rsidRPr="00862493">
              <w:rPr>
                <w:sz w:val="20"/>
                <w:szCs w:val="20"/>
              </w:rPr>
              <w:t>v tom:</w:t>
            </w:r>
          </w:p>
        </w:tc>
        <w:tc>
          <w:tcPr>
            <w:tcW w:w="1134" w:type="dxa"/>
            <w:tcBorders>
              <w:left w:val="single" w:sz="4" w:space="0" w:color="000000"/>
              <w:right w:val="single" w:sz="4" w:space="0" w:color="auto"/>
            </w:tcBorders>
          </w:tcPr>
          <w:p w14:paraId="4124C815" w14:textId="77777777" w:rsidR="009E108D" w:rsidRPr="00862493" w:rsidRDefault="009E108D" w:rsidP="005475F2">
            <w:pPr>
              <w:snapToGrid w:val="0"/>
              <w:spacing w:line="276" w:lineRule="auto"/>
              <w:jc w:val="right"/>
              <w:rPr>
                <w:b/>
                <w:bCs/>
                <w:sz w:val="20"/>
                <w:szCs w:val="20"/>
              </w:rPr>
            </w:pPr>
            <w:r w:rsidRPr="00862493">
              <w:rPr>
                <w:b/>
                <w:bCs/>
                <w:sz w:val="20"/>
                <w:szCs w:val="20"/>
              </w:rPr>
              <w:t>423 250</w:t>
            </w:r>
          </w:p>
        </w:tc>
        <w:tc>
          <w:tcPr>
            <w:tcW w:w="1134" w:type="dxa"/>
            <w:tcBorders>
              <w:left w:val="single" w:sz="4" w:space="0" w:color="000000"/>
              <w:right w:val="single" w:sz="4" w:space="0" w:color="auto"/>
            </w:tcBorders>
          </w:tcPr>
          <w:p w14:paraId="3B1CA153" w14:textId="77777777" w:rsidR="009E108D" w:rsidRPr="00862493" w:rsidRDefault="009E108D" w:rsidP="005475F2">
            <w:pPr>
              <w:snapToGrid w:val="0"/>
              <w:spacing w:line="276" w:lineRule="auto"/>
              <w:jc w:val="right"/>
              <w:rPr>
                <w:b/>
                <w:bCs/>
                <w:sz w:val="20"/>
                <w:szCs w:val="20"/>
              </w:rPr>
            </w:pPr>
            <w:r w:rsidRPr="00862493">
              <w:rPr>
                <w:b/>
                <w:bCs/>
                <w:sz w:val="20"/>
                <w:szCs w:val="20"/>
              </w:rPr>
              <w:t>1 390 105</w:t>
            </w:r>
          </w:p>
        </w:tc>
        <w:tc>
          <w:tcPr>
            <w:tcW w:w="1134" w:type="dxa"/>
            <w:tcBorders>
              <w:left w:val="single" w:sz="4" w:space="0" w:color="000000"/>
              <w:right w:val="single" w:sz="4" w:space="0" w:color="auto"/>
            </w:tcBorders>
          </w:tcPr>
          <w:p w14:paraId="5465C2DF" w14:textId="77777777" w:rsidR="009E108D" w:rsidRPr="00862493" w:rsidRDefault="009E108D" w:rsidP="005475F2">
            <w:pPr>
              <w:snapToGrid w:val="0"/>
              <w:spacing w:line="276" w:lineRule="auto"/>
              <w:jc w:val="right"/>
              <w:rPr>
                <w:b/>
                <w:bCs/>
                <w:sz w:val="20"/>
                <w:szCs w:val="20"/>
              </w:rPr>
            </w:pPr>
            <w:r w:rsidRPr="00862493">
              <w:rPr>
                <w:b/>
                <w:bCs/>
                <w:sz w:val="20"/>
                <w:szCs w:val="20"/>
              </w:rPr>
              <w:t>3 751 135</w:t>
            </w:r>
          </w:p>
        </w:tc>
        <w:tc>
          <w:tcPr>
            <w:tcW w:w="1134" w:type="dxa"/>
            <w:tcBorders>
              <w:left w:val="single" w:sz="4" w:space="0" w:color="000000"/>
              <w:right w:val="single" w:sz="4" w:space="0" w:color="auto"/>
            </w:tcBorders>
          </w:tcPr>
          <w:p w14:paraId="5EF1B70E" w14:textId="77777777" w:rsidR="009E108D" w:rsidRPr="00862493" w:rsidRDefault="009E108D" w:rsidP="005475F2">
            <w:pPr>
              <w:snapToGrid w:val="0"/>
              <w:spacing w:line="276" w:lineRule="auto"/>
              <w:jc w:val="right"/>
              <w:rPr>
                <w:b/>
                <w:bCs/>
                <w:sz w:val="20"/>
                <w:szCs w:val="20"/>
              </w:rPr>
            </w:pPr>
            <w:r w:rsidRPr="00862493">
              <w:rPr>
                <w:b/>
                <w:bCs/>
                <w:sz w:val="20"/>
                <w:szCs w:val="20"/>
              </w:rPr>
              <w:t>904 749</w:t>
            </w:r>
          </w:p>
        </w:tc>
        <w:tc>
          <w:tcPr>
            <w:tcW w:w="1201" w:type="dxa"/>
            <w:tcBorders>
              <w:left w:val="single" w:sz="4" w:space="0" w:color="000000"/>
              <w:right w:val="single" w:sz="4" w:space="0" w:color="auto"/>
            </w:tcBorders>
          </w:tcPr>
          <w:p w14:paraId="7A089050" w14:textId="77777777" w:rsidR="009E108D" w:rsidRPr="00862493" w:rsidRDefault="009E108D" w:rsidP="005475F2">
            <w:pPr>
              <w:snapToGrid w:val="0"/>
              <w:spacing w:line="276" w:lineRule="auto"/>
              <w:jc w:val="right"/>
              <w:rPr>
                <w:b/>
                <w:bCs/>
                <w:sz w:val="20"/>
                <w:szCs w:val="20"/>
              </w:rPr>
            </w:pPr>
            <w:r w:rsidRPr="00862493">
              <w:rPr>
                <w:b/>
                <w:bCs/>
                <w:sz w:val="20"/>
                <w:szCs w:val="20"/>
              </w:rPr>
              <w:t>497 297</w:t>
            </w:r>
          </w:p>
        </w:tc>
      </w:tr>
      <w:tr w:rsidR="009E108D" w:rsidRPr="004B11AC" w14:paraId="616DF409" w14:textId="77777777" w:rsidTr="000B595D">
        <w:trPr>
          <w:tblHeader/>
        </w:trPr>
        <w:tc>
          <w:tcPr>
            <w:tcW w:w="3402" w:type="dxa"/>
            <w:tcBorders>
              <w:left w:val="single" w:sz="4" w:space="0" w:color="auto"/>
            </w:tcBorders>
          </w:tcPr>
          <w:p w14:paraId="3CADB0D8" w14:textId="77777777" w:rsidR="009E108D" w:rsidRPr="00862493" w:rsidRDefault="009E108D" w:rsidP="005475F2">
            <w:pPr>
              <w:snapToGrid w:val="0"/>
              <w:spacing w:line="276" w:lineRule="auto"/>
              <w:jc w:val="both"/>
              <w:rPr>
                <w:sz w:val="20"/>
                <w:szCs w:val="20"/>
              </w:rPr>
            </w:pPr>
            <w:r w:rsidRPr="00862493">
              <w:rPr>
                <w:sz w:val="20"/>
                <w:szCs w:val="20"/>
              </w:rPr>
              <w:t>Ředitelství silnic a dálnic ČR</w:t>
            </w:r>
          </w:p>
        </w:tc>
        <w:tc>
          <w:tcPr>
            <w:tcW w:w="1134" w:type="dxa"/>
            <w:tcBorders>
              <w:left w:val="single" w:sz="4" w:space="0" w:color="000000"/>
              <w:right w:val="single" w:sz="4" w:space="0" w:color="auto"/>
            </w:tcBorders>
          </w:tcPr>
          <w:p w14:paraId="6E66362B" w14:textId="77777777" w:rsidR="009E108D" w:rsidRPr="00862493" w:rsidRDefault="009E108D" w:rsidP="005475F2">
            <w:pPr>
              <w:snapToGrid w:val="0"/>
              <w:spacing w:line="276" w:lineRule="auto"/>
              <w:jc w:val="right"/>
              <w:rPr>
                <w:sz w:val="20"/>
                <w:szCs w:val="20"/>
              </w:rPr>
            </w:pPr>
            <w:r w:rsidRPr="00862493">
              <w:rPr>
                <w:sz w:val="20"/>
                <w:szCs w:val="20"/>
              </w:rPr>
              <w:t>359 287</w:t>
            </w:r>
          </w:p>
        </w:tc>
        <w:tc>
          <w:tcPr>
            <w:tcW w:w="1134" w:type="dxa"/>
            <w:tcBorders>
              <w:left w:val="single" w:sz="4" w:space="0" w:color="000000"/>
              <w:right w:val="single" w:sz="4" w:space="0" w:color="auto"/>
            </w:tcBorders>
          </w:tcPr>
          <w:p w14:paraId="6238F872" w14:textId="77777777" w:rsidR="009E108D" w:rsidRPr="00862493" w:rsidRDefault="009E108D" w:rsidP="005475F2">
            <w:pPr>
              <w:snapToGrid w:val="0"/>
              <w:spacing w:line="276" w:lineRule="auto"/>
              <w:jc w:val="right"/>
              <w:rPr>
                <w:sz w:val="20"/>
                <w:szCs w:val="20"/>
              </w:rPr>
            </w:pPr>
            <w:r w:rsidRPr="00862493">
              <w:rPr>
                <w:sz w:val="20"/>
                <w:szCs w:val="20"/>
              </w:rPr>
              <w:t>1 314 680</w:t>
            </w:r>
          </w:p>
        </w:tc>
        <w:tc>
          <w:tcPr>
            <w:tcW w:w="1134" w:type="dxa"/>
            <w:tcBorders>
              <w:left w:val="single" w:sz="4" w:space="0" w:color="000000"/>
              <w:right w:val="single" w:sz="4" w:space="0" w:color="auto"/>
            </w:tcBorders>
          </w:tcPr>
          <w:p w14:paraId="3EA00BC0" w14:textId="77777777" w:rsidR="009E108D" w:rsidRPr="00862493" w:rsidRDefault="009E108D" w:rsidP="005475F2">
            <w:pPr>
              <w:snapToGrid w:val="0"/>
              <w:spacing w:line="276" w:lineRule="auto"/>
              <w:jc w:val="right"/>
              <w:rPr>
                <w:sz w:val="20"/>
                <w:szCs w:val="20"/>
              </w:rPr>
            </w:pPr>
            <w:r w:rsidRPr="00862493">
              <w:rPr>
                <w:sz w:val="20"/>
                <w:szCs w:val="20"/>
              </w:rPr>
              <w:t>3 671 962</w:t>
            </w:r>
          </w:p>
        </w:tc>
        <w:tc>
          <w:tcPr>
            <w:tcW w:w="1134" w:type="dxa"/>
            <w:tcBorders>
              <w:left w:val="single" w:sz="4" w:space="0" w:color="000000"/>
              <w:right w:val="single" w:sz="4" w:space="0" w:color="auto"/>
            </w:tcBorders>
          </w:tcPr>
          <w:p w14:paraId="1CEF9287" w14:textId="77777777" w:rsidR="009E108D" w:rsidRPr="00862493" w:rsidRDefault="009E108D" w:rsidP="005475F2">
            <w:pPr>
              <w:snapToGrid w:val="0"/>
              <w:spacing w:line="276" w:lineRule="auto"/>
              <w:jc w:val="right"/>
              <w:rPr>
                <w:sz w:val="20"/>
                <w:szCs w:val="20"/>
              </w:rPr>
            </w:pPr>
            <w:r w:rsidRPr="00862493">
              <w:rPr>
                <w:sz w:val="20"/>
                <w:szCs w:val="20"/>
              </w:rPr>
              <w:t>817 887</w:t>
            </w:r>
          </w:p>
        </w:tc>
        <w:tc>
          <w:tcPr>
            <w:tcW w:w="1201" w:type="dxa"/>
            <w:tcBorders>
              <w:left w:val="single" w:sz="4" w:space="0" w:color="000000"/>
              <w:right w:val="single" w:sz="4" w:space="0" w:color="auto"/>
            </w:tcBorders>
          </w:tcPr>
          <w:p w14:paraId="2DD50D5A" w14:textId="77777777" w:rsidR="009E108D" w:rsidRPr="00862493" w:rsidRDefault="009E108D" w:rsidP="005475F2">
            <w:pPr>
              <w:snapToGrid w:val="0"/>
              <w:spacing w:line="276" w:lineRule="auto"/>
              <w:jc w:val="right"/>
              <w:rPr>
                <w:sz w:val="20"/>
                <w:szCs w:val="20"/>
              </w:rPr>
            </w:pPr>
            <w:r w:rsidRPr="00862493">
              <w:rPr>
                <w:sz w:val="20"/>
                <w:szCs w:val="20"/>
              </w:rPr>
              <w:t>395 680</w:t>
            </w:r>
          </w:p>
        </w:tc>
      </w:tr>
      <w:tr w:rsidR="009E108D" w:rsidRPr="004B11AC" w14:paraId="68C9DF67" w14:textId="77777777" w:rsidTr="000B595D">
        <w:trPr>
          <w:tblHeader/>
        </w:trPr>
        <w:tc>
          <w:tcPr>
            <w:tcW w:w="3402" w:type="dxa"/>
            <w:tcBorders>
              <w:left w:val="single" w:sz="4" w:space="0" w:color="auto"/>
              <w:bottom w:val="single" w:sz="4" w:space="0" w:color="auto"/>
            </w:tcBorders>
          </w:tcPr>
          <w:p w14:paraId="5237DBE7" w14:textId="77777777" w:rsidR="009E108D" w:rsidRPr="00862493" w:rsidRDefault="009E108D" w:rsidP="005475F2">
            <w:pPr>
              <w:snapToGrid w:val="0"/>
              <w:spacing w:line="276" w:lineRule="auto"/>
              <w:jc w:val="both"/>
              <w:rPr>
                <w:sz w:val="20"/>
                <w:szCs w:val="20"/>
              </w:rPr>
            </w:pPr>
            <w:r w:rsidRPr="00862493">
              <w:rPr>
                <w:sz w:val="20"/>
                <w:szCs w:val="20"/>
              </w:rPr>
              <w:t>Centrum služeb pro silniční dopravu</w:t>
            </w:r>
          </w:p>
        </w:tc>
        <w:tc>
          <w:tcPr>
            <w:tcW w:w="1134" w:type="dxa"/>
            <w:tcBorders>
              <w:left w:val="single" w:sz="4" w:space="0" w:color="000000"/>
              <w:bottom w:val="single" w:sz="4" w:space="0" w:color="auto"/>
              <w:right w:val="single" w:sz="4" w:space="0" w:color="auto"/>
            </w:tcBorders>
          </w:tcPr>
          <w:p w14:paraId="43FC1691" w14:textId="77777777" w:rsidR="009E108D" w:rsidRPr="00862493" w:rsidRDefault="009E108D" w:rsidP="005475F2">
            <w:pPr>
              <w:snapToGrid w:val="0"/>
              <w:spacing w:line="276" w:lineRule="auto"/>
              <w:jc w:val="right"/>
              <w:rPr>
                <w:sz w:val="20"/>
                <w:szCs w:val="20"/>
              </w:rPr>
            </w:pPr>
            <w:r w:rsidRPr="00862493">
              <w:rPr>
                <w:sz w:val="20"/>
                <w:szCs w:val="20"/>
              </w:rPr>
              <w:t>63 963</w:t>
            </w:r>
          </w:p>
        </w:tc>
        <w:tc>
          <w:tcPr>
            <w:tcW w:w="1134" w:type="dxa"/>
            <w:tcBorders>
              <w:left w:val="single" w:sz="4" w:space="0" w:color="000000"/>
              <w:bottom w:val="single" w:sz="4" w:space="0" w:color="auto"/>
              <w:right w:val="single" w:sz="4" w:space="0" w:color="auto"/>
            </w:tcBorders>
          </w:tcPr>
          <w:p w14:paraId="38FA96DD" w14:textId="77777777" w:rsidR="009E108D" w:rsidRPr="00862493" w:rsidRDefault="009E108D" w:rsidP="005475F2">
            <w:pPr>
              <w:snapToGrid w:val="0"/>
              <w:spacing w:line="276" w:lineRule="auto"/>
              <w:jc w:val="right"/>
              <w:rPr>
                <w:sz w:val="20"/>
                <w:szCs w:val="20"/>
              </w:rPr>
            </w:pPr>
            <w:r w:rsidRPr="00862493">
              <w:rPr>
                <w:sz w:val="20"/>
                <w:szCs w:val="20"/>
              </w:rPr>
              <w:t>75 425</w:t>
            </w:r>
          </w:p>
        </w:tc>
        <w:tc>
          <w:tcPr>
            <w:tcW w:w="1134" w:type="dxa"/>
            <w:tcBorders>
              <w:left w:val="single" w:sz="4" w:space="0" w:color="000000"/>
              <w:bottom w:val="single" w:sz="4" w:space="0" w:color="auto"/>
              <w:right w:val="single" w:sz="4" w:space="0" w:color="auto"/>
            </w:tcBorders>
          </w:tcPr>
          <w:p w14:paraId="007A5C21" w14:textId="77777777" w:rsidR="009E108D" w:rsidRPr="00862493" w:rsidRDefault="009E108D" w:rsidP="005475F2">
            <w:pPr>
              <w:snapToGrid w:val="0"/>
              <w:spacing w:line="276" w:lineRule="auto"/>
              <w:jc w:val="right"/>
              <w:rPr>
                <w:sz w:val="20"/>
                <w:szCs w:val="20"/>
              </w:rPr>
            </w:pPr>
            <w:r w:rsidRPr="00862493">
              <w:rPr>
                <w:sz w:val="20"/>
                <w:szCs w:val="20"/>
              </w:rPr>
              <w:t>79 173</w:t>
            </w:r>
          </w:p>
        </w:tc>
        <w:tc>
          <w:tcPr>
            <w:tcW w:w="1134" w:type="dxa"/>
            <w:tcBorders>
              <w:left w:val="single" w:sz="4" w:space="0" w:color="000000"/>
              <w:bottom w:val="single" w:sz="4" w:space="0" w:color="auto"/>
              <w:right w:val="single" w:sz="4" w:space="0" w:color="auto"/>
            </w:tcBorders>
          </w:tcPr>
          <w:p w14:paraId="712D082C" w14:textId="77777777" w:rsidR="009E108D" w:rsidRPr="00862493" w:rsidRDefault="009E108D" w:rsidP="005475F2">
            <w:pPr>
              <w:snapToGrid w:val="0"/>
              <w:spacing w:line="276" w:lineRule="auto"/>
              <w:jc w:val="right"/>
              <w:rPr>
                <w:sz w:val="20"/>
                <w:szCs w:val="20"/>
              </w:rPr>
            </w:pPr>
            <w:r w:rsidRPr="00862493">
              <w:rPr>
                <w:sz w:val="20"/>
                <w:szCs w:val="20"/>
              </w:rPr>
              <w:t>86 862</w:t>
            </w:r>
          </w:p>
        </w:tc>
        <w:tc>
          <w:tcPr>
            <w:tcW w:w="1201" w:type="dxa"/>
            <w:tcBorders>
              <w:left w:val="single" w:sz="4" w:space="0" w:color="000000"/>
              <w:bottom w:val="single" w:sz="4" w:space="0" w:color="auto"/>
              <w:right w:val="single" w:sz="4" w:space="0" w:color="auto"/>
            </w:tcBorders>
          </w:tcPr>
          <w:p w14:paraId="679F63F0" w14:textId="77777777" w:rsidR="009E108D" w:rsidRPr="00862493" w:rsidRDefault="009E108D" w:rsidP="005475F2">
            <w:pPr>
              <w:snapToGrid w:val="0"/>
              <w:spacing w:line="276" w:lineRule="auto"/>
              <w:jc w:val="right"/>
              <w:rPr>
                <w:sz w:val="20"/>
                <w:szCs w:val="20"/>
              </w:rPr>
            </w:pPr>
            <w:r w:rsidRPr="00862493">
              <w:rPr>
                <w:sz w:val="20"/>
                <w:szCs w:val="20"/>
              </w:rPr>
              <w:t>101 618</w:t>
            </w:r>
          </w:p>
        </w:tc>
      </w:tr>
    </w:tbl>
    <w:p w14:paraId="238C5DDE" w14:textId="77777777" w:rsidR="009E108D" w:rsidRPr="0070309E" w:rsidRDefault="009E108D" w:rsidP="005475F2">
      <w:pPr>
        <w:pStyle w:val="KOMtext"/>
      </w:pPr>
      <w:r w:rsidRPr="0070309E">
        <w:t xml:space="preserve">Z vývojové řady je patrné u Ředitelství silnic a dálnic ČR navyšování čerpání prostředků od roku 2015. Tento nárůst byl způsoben čerpáním příspěvku na úhradu pokut a penále, které organizaci vyměřil finanční úřad za porušení rozpočtové kázně v roce 2015 (ve výši </w:t>
      </w:r>
      <w:r w:rsidRPr="0070309E">
        <w:br/>
        <w:t xml:space="preserve">348 853 tis. Kč), v roce 2016 (ve výši 1 310 898 tis. Kč), v roce 2017 (ve výši 703 095 tis. Kč) </w:t>
      </w:r>
      <w:r w:rsidRPr="0070309E">
        <w:br/>
        <w:t xml:space="preserve">a v roce 2018 (ve výši 748 243 tis. Kč). V roce 2017 došlo k dalšímu navýšení, které bylo způsobeno úhradou příspěvku, který byl určen k vrácení Státnímu fondu dopravní infrastruktury (dle § 3 zákona č. 104/2000 Sb., o Státním fondu dopravní infrastruktury) ve výši </w:t>
      </w:r>
      <w:r w:rsidRPr="0070309E">
        <w:br/>
        <w:t>2 966 317 tis. Kč. V roce 2018 došlo ke snížení čerpání, které bylo způsobeno snížením příspěvku, který byl určen k vrácení Státnímu fondu dopravní infrastruktury (66 691 tis. Kč).</w:t>
      </w:r>
      <w:r>
        <w:t xml:space="preserve"> V roce 2019 došlo k dalšímu snížení celkového čerpání, které bylo způsobeno snížením příspěvku, který byl určen na úhradu pokut a penále, které organizaci vyměřil finanční úřad za porušení rozpočtové kázně ve výši 7 862 tis. Kč. Současně došlo však k navýšení příspěvku, který byl určen k vrácení Státnímu fondu dopravní infrastruktury (318 062 tis. Kč). </w:t>
      </w:r>
    </w:p>
    <w:p w14:paraId="5AF9D341" w14:textId="40E79471" w:rsidR="009E108D" w:rsidRDefault="009E108D" w:rsidP="005475F2">
      <w:pPr>
        <w:pStyle w:val="KOMtext"/>
        <w:keepLines w:val="0"/>
        <w:rPr>
          <w:rFonts w:eastAsia="Calibri"/>
          <w:lang w:eastAsia="en-US"/>
        </w:rPr>
      </w:pPr>
      <w:r w:rsidRPr="004B11AC">
        <w:rPr>
          <w:color w:val="FF0000"/>
        </w:rPr>
        <w:lastRenderedPageBreak/>
        <w:t xml:space="preserve"> </w:t>
      </w:r>
      <w:r w:rsidRPr="0062776C">
        <w:t xml:space="preserve">V roce 2015 došlo u Centra služeb pro silniční dopravu ke snížení čerpání příspěvku </w:t>
      </w:r>
      <w:r w:rsidRPr="0062776C">
        <w:br/>
        <w:t xml:space="preserve">na činnost, které bylo ovlivněno přijatými racionalizačními opatřeními. V roce 2016 došlo oproti roku 2015 k navýšení  čerpání příspěvku na činnost o 11 463 tis. Kč. Nárůst byl způsoben především vyšším čerpáním prostředků určených na zabezpečení delegovaných činností BESIP a současně snížením výdajů stanovených na dopravně správní agendy. V roce 2017 došlo oproti roku 2016 k navýšení čerpání příspěvku na činnost o 3 748 tis. Kč. Nárůst byl způsobem vyšším čerpáním prostředků na platy včetně příslušenství. Organizaci byly v roce 2017 navýšeny prostředky na platy včetně příslušenství již ve schváleném rozpočtu dle UV č. 563/2016. Tento objem byl upraven (dále navýšen) v průběhu roku 2017  dle UV č. 408/2017, dle UV  č. 674/2017 a UV č. 736/2017. V roce 2018 došlo k navýšení čerpání oproti roku 2017 o 7 689 tis. Kč. Zvýšení bylo způsobeno zejména nárůstem prostředků na platy včetně příslušenství již ve schváleném rozpočtu dle UV č. 674/2017 a dále plněním mimořádných úkolů jako např. zajištění výroby mezinárodních řidičských průkazů (navýšení příspěvku na dopravně správní agenty) nebo zajištění rozšíření provozu na dětských dopravních hřištích (navýšení příspěvku na BESIP). </w:t>
      </w:r>
      <w:r w:rsidRPr="00E81F1F">
        <w:t>CSPSD zvýšilo v roce 2019 čerpání příspěvku o 14</w:t>
      </w:r>
      <w:r>
        <w:t xml:space="preserve"> </w:t>
      </w:r>
      <w:r w:rsidRPr="00E81F1F">
        <w:t>75</w:t>
      </w:r>
      <w:r>
        <w:t>6 tis</w:t>
      </w:r>
      <w:r w:rsidRPr="00E81F1F">
        <w:t xml:space="preserve">. Kč v porovnání s rokem 2018. </w:t>
      </w:r>
      <w:r w:rsidRPr="00BB0AC0">
        <w:rPr>
          <w:rFonts w:eastAsia="Calibri"/>
          <w:lang w:eastAsia="en-US"/>
        </w:rPr>
        <w:t>Zvýšení čerpání na provoz organizace bylo způsobeno zvýšením výdajů ve mzdové oblasti a dále plněním úkolů jako např. zajištění výroby mezinárodních řidičských průkazů nebo zajištění rozšíření provozu na </w:t>
      </w:r>
      <w:r>
        <w:rPr>
          <w:rFonts w:eastAsia="Calibri"/>
          <w:lang w:eastAsia="en-US"/>
        </w:rPr>
        <w:t>dětských dopravních hřištích</w:t>
      </w:r>
      <w:r w:rsidRPr="00BB0AC0">
        <w:rPr>
          <w:rFonts w:eastAsia="Calibri"/>
          <w:lang w:eastAsia="en-US"/>
        </w:rPr>
        <w:t xml:space="preserve">. Současně také došlo k navýšení výdajů na BESIP realizaci tisku výukových a osvětově popularizačních materiálů BESIP. Zvýšené čerpání dotace na zajištění </w:t>
      </w:r>
      <w:r>
        <w:rPr>
          <w:rFonts w:eastAsia="Calibri"/>
          <w:lang w:eastAsia="en-US"/>
        </w:rPr>
        <w:t>dopravně správní agendy</w:t>
      </w:r>
      <w:r w:rsidRPr="00BB0AC0">
        <w:rPr>
          <w:rFonts w:eastAsia="Calibri"/>
          <w:lang w:eastAsia="en-US"/>
        </w:rPr>
        <w:t xml:space="preserve"> ovlivnilo také to, že v loňském roce došlo k velké výměně </w:t>
      </w:r>
      <w:r>
        <w:rPr>
          <w:rFonts w:eastAsia="Calibri"/>
          <w:lang w:eastAsia="en-US"/>
        </w:rPr>
        <w:t>řidičských průkazů</w:t>
      </w:r>
      <w:r w:rsidRPr="00BB0AC0">
        <w:rPr>
          <w:rFonts w:eastAsia="Calibri"/>
          <w:lang w:eastAsia="en-US"/>
        </w:rPr>
        <w:t xml:space="preserve"> a v průběhu roku došlo k rozšíření počtu dokladů distribuovaných prostřednictvím CSPSD na </w:t>
      </w:r>
      <w:r>
        <w:rPr>
          <w:rFonts w:eastAsia="Calibri"/>
          <w:lang w:eastAsia="en-US"/>
        </w:rPr>
        <w:t xml:space="preserve">obce z rozšířenou působností z </w:t>
      </w:r>
      <w:r w:rsidRPr="00BB0AC0">
        <w:rPr>
          <w:rFonts w:eastAsia="Calibri"/>
          <w:lang w:eastAsia="en-US"/>
        </w:rPr>
        <w:t> pracoviště ve Státní tiskárně cenin. Docházelo také k distribuci čipových karet do digitálního tachografu.</w:t>
      </w:r>
      <w:r>
        <w:rPr>
          <w:rFonts w:eastAsia="Calibri"/>
          <w:lang w:eastAsia="en-US"/>
        </w:rPr>
        <w:t xml:space="preserve"> </w:t>
      </w:r>
      <w:r w:rsidRPr="00BB0AC0">
        <w:rPr>
          <w:rFonts w:eastAsia="Calibri"/>
          <w:lang w:eastAsia="en-US"/>
        </w:rPr>
        <w:t xml:space="preserve">Obě okolnosti způsobily navýšení počtu speciálních poštovních zásilek a tím i zvýšení nákladů na poštovné. </w:t>
      </w:r>
    </w:p>
    <w:p w14:paraId="774A3250" w14:textId="77777777" w:rsidR="000E6CE0" w:rsidRPr="000E6CE0" w:rsidRDefault="000E6CE0" w:rsidP="005475F2">
      <w:pPr>
        <w:spacing w:before="240" w:after="120" w:line="276" w:lineRule="auto"/>
        <w:jc w:val="both"/>
        <w:rPr>
          <w:bCs/>
          <w:szCs w:val="20"/>
        </w:rPr>
      </w:pPr>
      <w:r w:rsidRPr="000E6CE0">
        <w:rPr>
          <w:bCs/>
          <w:szCs w:val="20"/>
        </w:rPr>
        <w:t>Kromě prostředků státního rozpočtu hospodařily příspěvkové organizace:</w:t>
      </w:r>
    </w:p>
    <w:p w14:paraId="747927A3" w14:textId="77777777" w:rsidR="000E6CE0" w:rsidRPr="000E6CE0" w:rsidRDefault="000E6CE0" w:rsidP="005475F2">
      <w:pPr>
        <w:numPr>
          <w:ilvl w:val="0"/>
          <w:numId w:val="98"/>
        </w:numPr>
        <w:tabs>
          <w:tab w:val="clear" w:pos="1077"/>
          <w:tab w:val="num" w:pos="709"/>
        </w:tabs>
        <w:suppressAutoHyphens/>
        <w:spacing w:before="120" w:line="276" w:lineRule="auto"/>
        <w:ind w:left="709" w:hanging="425"/>
        <w:jc w:val="both"/>
      </w:pPr>
      <w:bookmarkStart w:id="303" w:name="_Toc507592339"/>
      <w:bookmarkStart w:id="304" w:name="_Toc507592440"/>
      <w:bookmarkStart w:id="305" w:name="_Toc508879861"/>
      <w:bookmarkStart w:id="306" w:name="_Toc508880137"/>
      <w:r w:rsidRPr="000E6CE0">
        <w:t xml:space="preserve">s neinvestiční dotací SFDI ve vazbě na zákon č. 104/2000 Sb., o Státním fondu dopravní infrastruktury, v celkovém objemu 20 952 297 </w:t>
      </w:r>
      <w:r w:rsidRPr="000E6CE0">
        <w:rPr>
          <w:bCs/>
        </w:rPr>
        <w:t>tis. Kč (ŘSD ČR),</w:t>
      </w:r>
      <w:bookmarkEnd w:id="303"/>
      <w:bookmarkEnd w:id="304"/>
      <w:bookmarkEnd w:id="305"/>
      <w:bookmarkEnd w:id="306"/>
      <w:r w:rsidRPr="000E6CE0">
        <w:t xml:space="preserve"> </w:t>
      </w:r>
    </w:p>
    <w:p w14:paraId="66F28CBA" w14:textId="77777777" w:rsidR="000E6CE0" w:rsidRPr="000E6CE0" w:rsidRDefault="000E6CE0" w:rsidP="005475F2">
      <w:pPr>
        <w:numPr>
          <w:ilvl w:val="0"/>
          <w:numId w:val="98"/>
        </w:numPr>
        <w:tabs>
          <w:tab w:val="clear" w:pos="1077"/>
          <w:tab w:val="num" w:pos="709"/>
        </w:tabs>
        <w:suppressAutoHyphens/>
        <w:spacing w:before="120" w:line="276" w:lineRule="auto"/>
        <w:ind w:left="709" w:hanging="425"/>
        <w:jc w:val="both"/>
        <w:rPr>
          <w:bCs/>
        </w:rPr>
      </w:pPr>
      <w:r w:rsidRPr="000E6CE0">
        <w:rPr>
          <w:bCs/>
        </w:rPr>
        <w:t>s prostředky vlastních fondů (rezervní fond, fond odměn, fond reprodukce majetku)                v celkové výši 17 604 tis. Kč (ŘSD ČR 11 142 tis. Kč, CSPSD 6 462 tis. Kč),</w:t>
      </w:r>
    </w:p>
    <w:p w14:paraId="020DA6CC" w14:textId="77777777" w:rsidR="000E6CE0" w:rsidRPr="000E6CE0" w:rsidRDefault="000E6CE0" w:rsidP="005475F2">
      <w:pPr>
        <w:numPr>
          <w:ilvl w:val="0"/>
          <w:numId w:val="98"/>
        </w:numPr>
        <w:tabs>
          <w:tab w:val="clear" w:pos="1077"/>
          <w:tab w:val="num" w:pos="709"/>
        </w:tabs>
        <w:suppressAutoHyphens/>
        <w:spacing w:before="120" w:line="276" w:lineRule="auto"/>
        <w:ind w:left="709" w:hanging="425"/>
        <w:jc w:val="both"/>
        <w:rPr>
          <w:bCs/>
        </w:rPr>
      </w:pPr>
      <w:r w:rsidRPr="000E6CE0">
        <w:rPr>
          <w:bCs/>
        </w:rPr>
        <w:t>s prostředky poskytnutými z rozpočtů územních samosprávních celků ve výši                           6 398 tis. Kč (CSPSD 6 398 tis. Kč),</w:t>
      </w:r>
    </w:p>
    <w:p w14:paraId="60C490D0" w14:textId="77777777" w:rsidR="000E6CE0" w:rsidRPr="000E6CE0" w:rsidRDefault="000E6CE0" w:rsidP="005475F2">
      <w:pPr>
        <w:numPr>
          <w:ilvl w:val="0"/>
          <w:numId w:val="98"/>
        </w:numPr>
        <w:tabs>
          <w:tab w:val="clear" w:pos="1077"/>
          <w:tab w:val="num" w:pos="709"/>
        </w:tabs>
        <w:suppressAutoHyphens/>
        <w:spacing w:before="120" w:line="276" w:lineRule="auto"/>
        <w:ind w:left="709" w:hanging="425"/>
        <w:jc w:val="both"/>
        <w:rPr>
          <w:bCs/>
        </w:rPr>
      </w:pPr>
      <w:r w:rsidRPr="000E6CE0">
        <w:rPr>
          <w:bCs/>
        </w:rPr>
        <w:t>s prostředky získanými:</w:t>
      </w:r>
    </w:p>
    <w:p w14:paraId="6FF457F3" w14:textId="51A32CBE" w:rsidR="000E6CE0" w:rsidRPr="000E6CE0" w:rsidRDefault="000E6CE0" w:rsidP="005475F2">
      <w:pPr>
        <w:numPr>
          <w:ilvl w:val="0"/>
          <w:numId w:val="99"/>
        </w:numPr>
        <w:tabs>
          <w:tab w:val="left" w:pos="720"/>
        </w:tabs>
        <w:suppressAutoHyphens/>
        <w:spacing w:before="120" w:line="276" w:lineRule="auto"/>
        <w:ind w:left="1276" w:hanging="425"/>
        <w:jc w:val="both"/>
        <w:rPr>
          <w:bCs/>
        </w:rPr>
      </w:pPr>
      <w:r w:rsidRPr="000E6CE0">
        <w:rPr>
          <w:bCs/>
        </w:rPr>
        <w:t>z hlavní činnost</w:t>
      </w:r>
      <w:r w:rsidR="008D5781">
        <w:rPr>
          <w:bCs/>
        </w:rPr>
        <w:t>i</w:t>
      </w:r>
      <w:r w:rsidRPr="000E6CE0">
        <w:rPr>
          <w:bCs/>
        </w:rPr>
        <w:t xml:space="preserve"> ve výši 627 519 tis. Kč (ŘSD ČR 572 906 tis. Kč, CSPSD                   54 613 tis. Kč), jedná se např. o prostředky získané z prodeje materiálu, z pronájmu odpočívek a reklamních zařízení, ze smluvních pokut, z úroků, z poplatků za vážení vozidel, školení kontrolních techniků STK a z prodeje zboží (kontrolní nálepky TK, tiskopisy a materiály pro stanice technické kontroly a stanice měření emisí). </w:t>
      </w:r>
    </w:p>
    <w:p w14:paraId="0BDEF4B3" w14:textId="7AD5EE4C" w:rsidR="000E6CE0" w:rsidRPr="000E6CE0" w:rsidRDefault="000E6CE0" w:rsidP="005475F2">
      <w:pPr>
        <w:numPr>
          <w:ilvl w:val="0"/>
          <w:numId w:val="99"/>
        </w:numPr>
        <w:tabs>
          <w:tab w:val="left" w:pos="720"/>
        </w:tabs>
        <w:suppressAutoHyphens/>
        <w:spacing w:before="120" w:line="276" w:lineRule="auto"/>
        <w:ind w:left="1276" w:hanging="425"/>
        <w:jc w:val="both"/>
        <w:rPr>
          <w:bCs/>
        </w:rPr>
      </w:pPr>
      <w:r w:rsidRPr="000E6CE0">
        <w:rPr>
          <w:bCs/>
        </w:rPr>
        <w:t>z hospodářsk</w:t>
      </w:r>
      <w:r w:rsidR="008D5781">
        <w:rPr>
          <w:bCs/>
        </w:rPr>
        <w:t>é</w:t>
      </w:r>
      <w:r w:rsidRPr="000E6CE0">
        <w:rPr>
          <w:bCs/>
        </w:rPr>
        <w:t xml:space="preserve"> činnost</w:t>
      </w:r>
      <w:r w:rsidR="008D5781">
        <w:rPr>
          <w:bCs/>
        </w:rPr>
        <w:t>i</w:t>
      </w:r>
      <w:r w:rsidRPr="000E6CE0">
        <w:rPr>
          <w:bCs/>
        </w:rPr>
        <w:t xml:space="preserve"> ve výši 23 653 tis. Kč (ŘSD ČR 5 385 tis. Kč, CSPSD                18 268 tis. Kč), jedná se především o prostředky získané z prodeje služeb (dopravní zabezpečovací práce, školení dispečerů zimní údržby, zkoušky betonu, služby STK </w:t>
      </w:r>
      <w:r w:rsidRPr="000E6CE0">
        <w:rPr>
          <w:bCs/>
        </w:rPr>
        <w:lastRenderedPageBreak/>
        <w:t>a SME) a z prodeje zboží (doplňkový prodej zboží pro STK a SME – např. děrovací kleště, světelné reklamy).</w:t>
      </w:r>
    </w:p>
    <w:p w14:paraId="035E2E67" w14:textId="77777777" w:rsidR="000E6CE0" w:rsidRPr="000E6CE0" w:rsidRDefault="000E6CE0" w:rsidP="005475F2">
      <w:pPr>
        <w:spacing w:before="120" w:line="276" w:lineRule="auto"/>
        <w:jc w:val="both"/>
        <w:rPr>
          <w:szCs w:val="20"/>
        </w:rPr>
      </w:pPr>
      <w:r w:rsidRPr="000E6CE0">
        <w:rPr>
          <w:b/>
          <w:szCs w:val="20"/>
        </w:rPr>
        <w:t>Hospodaření příspěvkových organizací za rok 2019</w:t>
      </w:r>
      <w:r w:rsidRPr="000E6CE0">
        <w:rPr>
          <w:szCs w:val="20"/>
        </w:rPr>
        <w:t xml:space="preserve"> skončilo podle účetních výkazů zlepšeným hospodářským výsledkem celkem (hlavní a hospodářská činnost) před zdaněním ve výši 45 841 tis. Kč (ŘSD ČR zlepšený hospodářský výsledek celkem ve výši 29 624 tis. Kč, CSPSD ve výši 16 217 tis. Kč). Celkový dosažený zlepšený hospodářský výsledek běžného období je 21 512 tis. Kč (ŘSD ČR hospodářský výsledek ve výši 8 662 tis. Kč, CSPSD hospodářský výsledek ve výši 12 850 tis. Kč).</w:t>
      </w:r>
    </w:p>
    <w:p w14:paraId="4F26E1CF" w14:textId="6669FDD2" w:rsidR="000E6CE0" w:rsidRPr="000E6CE0" w:rsidRDefault="000E6CE0" w:rsidP="005475F2">
      <w:pPr>
        <w:spacing w:before="120" w:line="276" w:lineRule="auto"/>
        <w:jc w:val="both"/>
        <w:rPr>
          <w:szCs w:val="20"/>
        </w:rPr>
      </w:pPr>
      <w:r w:rsidRPr="000E6CE0">
        <w:rPr>
          <w:szCs w:val="20"/>
        </w:rPr>
        <w:t>Posouzení hospodářského výsledku včetně jeho rozdělení je v souladu s</w:t>
      </w:r>
      <w:r w:rsidR="00D37DF3">
        <w:rPr>
          <w:szCs w:val="20"/>
        </w:rPr>
        <w:t> </w:t>
      </w:r>
      <w:r w:rsidRPr="000E6CE0">
        <w:rPr>
          <w:szCs w:val="20"/>
        </w:rPr>
        <w:t>vyhl</w:t>
      </w:r>
      <w:r w:rsidR="00D37DF3">
        <w:rPr>
          <w:szCs w:val="20"/>
        </w:rPr>
        <w:t>.</w:t>
      </w:r>
      <w:r w:rsidRPr="000E6CE0">
        <w:rPr>
          <w:szCs w:val="20"/>
        </w:rPr>
        <w:t xml:space="preserve"> č. 220/2013 Sb., </w:t>
      </w:r>
      <w:r w:rsidR="00D37DF3">
        <w:rPr>
          <w:szCs w:val="20"/>
        </w:rPr>
        <w:br/>
      </w:r>
      <w:r w:rsidRPr="000E6CE0">
        <w:rPr>
          <w:szCs w:val="20"/>
        </w:rPr>
        <w:t>o požadavcích na schvalování účetních závěrek některých vybraných účetních jednotek, součástí schválení účetních závěrek.</w:t>
      </w:r>
    </w:p>
    <w:p w14:paraId="3BB6DD4E" w14:textId="1E0BC573" w:rsidR="00685D5F" w:rsidRPr="00815EEB" w:rsidRDefault="000E6CE0" w:rsidP="005475F2">
      <w:pPr>
        <w:spacing w:line="276" w:lineRule="auto"/>
        <w:jc w:val="both"/>
        <w:rPr>
          <w:u w:val="single"/>
        </w:rPr>
      </w:pPr>
      <w:r w:rsidRPr="00815EEB">
        <w:rPr>
          <w:szCs w:val="20"/>
          <w:u w:val="single"/>
        </w:rPr>
        <w:t xml:space="preserve">V následující tabulce je provedeno srovnání dosaženého hospodářského výsledku (po zdanění) </w:t>
      </w:r>
      <w:r w:rsidR="00685D5F" w:rsidRPr="00815EEB">
        <w:rPr>
          <w:szCs w:val="20"/>
          <w:u w:val="single"/>
        </w:rPr>
        <w:br/>
      </w:r>
      <w:r w:rsidR="00643107" w:rsidRPr="00815EEB">
        <w:rPr>
          <w:szCs w:val="20"/>
          <w:u w:val="single"/>
        </w:rPr>
        <w:t>v letech 2015 – 2019:</w:t>
      </w:r>
      <w:r w:rsidRPr="00815EEB">
        <w:rPr>
          <w:u w:val="single"/>
        </w:rPr>
        <w:t xml:space="preserve">            </w:t>
      </w:r>
    </w:p>
    <w:p w14:paraId="449AA834" w14:textId="33A0A996" w:rsidR="000E6CE0" w:rsidRPr="000E6CE0" w:rsidRDefault="006A0A74" w:rsidP="006A0A74">
      <w:pPr>
        <w:spacing w:before="120"/>
        <w:ind w:right="-567" w:firstLine="709"/>
        <w:jc w:val="center"/>
      </w:pPr>
      <w:r>
        <w:t xml:space="preserve">                                                                                                                      </w:t>
      </w:r>
      <w:r w:rsidR="005475F2">
        <w:t>t</w:t>
      </w:r>
      <w:r w:rsidR="000E6CE0" w:rsidRPr="000E6CE0">
        <w:t>is. Kč</w:t>
      </w:r>
    </w:p>
    <w:tbl>
      <w:tblPr>
        <w:tblW w:w="9072" w:type="dxa"/>
        <w:tblInd w:w="70" w:type="dxa"/>
        <w:tblLayout w:type="fixed"/>
        <w:tblCellMar>
          <w:left w:w="70" w:type="dxa"/>
          <w:right w:w="70" w:type="dxa"/>
        </w:tblCellMar>
        <w:tblLook w:val="0000" w:firstRow="0" w:lastRow="0" w:firstColumn="0" w:lastColumn="0" w:noHBand="0" w:noVBand="0"/>
      </w:tblPr>
      <w:tblGrid>
        <w:gridCol w:w="3402"/>
        <w:gridCol w:w="1134"/>
        <w:gridCol w:w="1134"/>
        <w:gridCol w:w="1134"/>
        <w:gridCol w:w="1134"/>
        <w:gridCol w:w="1134"/>
      </w:tblGrid>
      <w:tr w:rsidR="000E6CE0" w:rsidRPr="000E6CE0" w14:paraId="6541AB1C" w14:textId="77777777" w:rsidTr="005475F2">
        <w:tc>
          <w:tcPr>
            <w:tcW w:w="3402" w:type="dxa"/>
            <w:tcBorders>
              <w:top w:val="single" w:sz="4" w:space="0" w:color="auto"/>
              <w:left w:val="single" w:sz="4" w:space="0" w:color="auto"/>
              <w:bottom w:val="single" w:sz="4" w:space="0" w:color="000000"/>
            </w:tcBorders>
            <w:vAlign w:val="center"/>
          </w:tcPr>
          <w:p w14:paraId="7C33A190" w14:textId="77777777" w:rsidR="000E6CE0" w:rsidRPr="000E6CE0" w:rsidRDefault="000E6CE0" w:rsidP="005475F2">
            <w:pPr>
              <w:snapToGrid w:val="0"/>
              <w:jc w:val="center"/>
              <w:rPr>
                <w:sz w:val="22"/>
                <w:szCs w:val="22"/>
              </w:rPr>
            </w:pPr>
          </w:p>
          <w:p w14:paraId="63CA06E0" w14:textId="77777777" w:rsidR="000E6CE0" w:rsidRPr="000E6CE0" w:rsidRDefault="000E6CE0" w:rsidP="005475F2">
            <w:pPr>
              <w:jc w:val="center"/>
              <w:rPr>
                <w:sz w:val="22"/>
                <w:szCs w:val="22"/>
              </w:rPr>
            </w:pPr>
            <w:r w:rsidRPr="000E6CE0">
              <w:rPr>
                <w:sz w:val="22"/>
                <w:szCs w:val="22"/>
              </w:rPr>
              <w:t>Ukazatel</w:t>
            </w:r>
          </w:p>
        </w:tc>
        <w:tc>
          <w:tcPr>
            <w:tcW w:w="1134" w:type="dxa"/>
            <w:tcBorders>
              <w:top w:val="single" w:sz="4" w:space="0" w:color="auto"/>
              <w:left w:val="single" w:sz="4" w:space="0" w:color="000000"/>
              <w:bottom w:val="single" w:sz="4" w:space="0" w:color="000000"/>
            </w:tcBorders>
            <w:vAlign w:val="center"/>
          </w:tcPr>
          <w:p w14:paraId="58769910" w14:textId="77777777" w:rsidR="000E6CE0" w:rsidRPr="000E6CE0" w:rsidRDefault="000E6CE0" w:rsidP="005475F2">
            <w:pPr>
              <w:jc w:val="center"/>
              <w:rPr>
                <w:sz w:val="22"/>
                <w:szCs w:val="22"/>
              </w:rPr>
            </w:pPr>
            <w:r w:rsidRPr="000E6CE0">
              <w:rPr>
                <w:sz w:val="22"/>
                <w:szCs w:val="22"/>
              </w:rPr>
              <w:t>Rok 2015</w:t>
            </w:r>
          </w:p>
        </w:tc>
        <w:tc>
          <w:tcPr>
            <w:tcW w:w="1134" w:type="dxa"/>
            <w:tcBorders>
              <w:top w:val="single" w:sz="4" w:space="0" w:color="auto"/>
              <w:left w:val="single" w:sz="4" w:space="0" w:color="000000"/>
              <w:bottom w:val="single" w:sz="4" w:space="0" w:color="000000"/>
            </w:tcBorders>
            <w:vAlign w:val="center"/>
          </w:tcPr>
          <w:p w14:paraId="58DAE4E9" w14:textId="77777777" w:rsidR="000E6CE0" w:rsidRPr="000E6CE0" w:rsidRDefault="000E6CE0" w:rsidP="005475F2">
            <w:pPr>
              <w:jc w:val="center"/>
              <w:rPr>
                <w:sz w:val="22"/>
                <w:szCs w:val="22"/>
              </w:rPr>
            </w:pPr>
            <w:r w:rsidRPr="000E6CE0">
              <w:rPr>
                <w:sz w:val="22"/>
                <w:szCs w:val="22"/>
              </w:rPr>
              <w:t>Rok 2016</w:t>
            </w:r>
          </w:p>
        </w:tc>
        <w:tc>
          <w:tcPr>
            <w:tcW w:w="1134" w:type="dxa"/>
            <w:tcBorders>
              <w:top w:val="single" w:sz="4" w:space="0" w:color="auto"/>
              <w:left w:val="single" w:sz="4" w:space="0" w:color="000000"/>
              <w:bottom w:val="single" w:sz="4" w:space="0" w:color="000000"/>
            </w:tcBorders>
            <w:vAlign w:val="center"/>
          </w:tcPr>
          <w:p w14:paraId="608CA046" w14:textId="77777777" w:rsidR="000E6CE0" w:rsidRPr="000E6CE0" w:rsidRDefault="000E6CE0" w:rsidP="005475F2">
            <w:pPr>
              <w:jc w:val="center"/>
              <w:rPr>
                <w:sz w:val="22"/>
                <w:szCs w:val="22"/>
              </w:rPr>
            </w:pPr>
            <w:r w:rsidRPr="000E6CE0">
              <w:rPr>
                <w:sz w:val="22"/>
                <w:szCs w:val="22"/>
              </w:rPr>
              <w:t>Rok 2017</w:t>
            </w:r>
          </w:p>
        </w:tc>
        <w:tc>
          <w:tcPr>
            <w:tcW w:w="1134" w:type="dxa"/>
            <w:tcBorders>
              <w:top w:val="single" w:sz="4" w:space="0" w:color="auto"/>
              <w:left w:val="single" w:sz="4" w:space="0" w:color="000000"/>
              <w:bottom w:val="single" w:sz="4" w:space="0" w:color="000000"/>
            </w:tcBorders>
            <w:vAlign w:val="center"/>
          </w:tcPr>
          <w:p w14:paraId="0DED9146" w14:textId="77777777" w:rsidR="000E6CE0" w:rsidRPr="000E6CE0" w:rsidRDefault="000E6CE0" w:rsidP="005475F2">
            <w:pPr>
              <w:jc w:val="center"/>
              <w:rPr>
                <w:sz w:val="22"/>
                <w:szCs w:val="22"/>
              </w:rPr>
            </w:pPr>
            <w:r w:rsidRPr="000E6CE0">
              <w:rPr>
                <w:sz w:val="22"/>
                <w:szCs w:val="22"/>
              </w:rPr>
              <w:t>Rok 2018</w:t>
            </w:r>
          </w:p>
        </w:tc>
        <w:tc>
          <w:tcPr>
            <w:tcW w:w="1134" w:type="dxa"/>
            <w:tcBorders>
              <w:top w:val="single" w:sz="4" w:space="0" w:color="auto"/>
              <w:left w:val="single" w:sz="4" w:space="0" w:color="000000"/>
              <w:bottom w:val="single" w:sz="4" w:space="0" w:color="000000"/>
              <w:right w:val="single" w:sz="4" w:space="0" w:color="auto"/>
            </w:tcBorders>
            <w:vAlign w:val="center"/>
          </w:tcPr>
          <w:p w14:paraId="6DEAD6DC" w14:textId="77777777" w:rsidR="000E6CE0" w:rsidRPr="000E6CE0" w:rsidRDefault="000E6CE0" w:rsidP="005475F2">
            <w:pPr>
              <w:jc w:val="center"/>
              <w:rPr>
                <w:sz w:val="22"/>
                <w:szCs w:val="22"/>
              </w:rPr>
            </w:pPr>
            <w:r w:rsidRPr="000E6CE0">
              <w:rPr>
                <w:sz w:val="22"/>
                <w:szCs w:val="22"/>
              </w:rPr>
              <w:t>Rok 2019</w:t>
            </w:r>
          </w:p>
        </w:tc>
      </w:tr>
      <w:tr w:rsidR="000E6CE0" w:rsidRPr="000E6CE0" w14:paraId="0587B257" w14:textId="77777777" w:rsidTr="005475F2">
        <w:tc>
          <w:tcPr>
            <w:tcW w:w="3402" w:type="dxa"/>
            <w:tcBorders>
              <w:left w:val="single" w:sz="4" w:space="0" w:color="auto"/>
              <w:bottom w:val="single" w:sz="4" w:space="0" w:color="000000"/>
            </w:tcBorders>
          </w:tcPr>
          <w:p w14:paraId="234E2E4F" w14:textId="77777777" w:rsidR="000E6CE0" w:rsidRPr="000E6CE0" w:rsidRDefault="000E6CE0" w:rsidP="005475F2">
            <w:pPr>
              <w:snapToGrid w:val="0"/>
              <w:jc w:val="center"/>
              <w:rPr>
                <w:sz w:val="22"/>
                <w:szCs w:val="22"/>
              </w:rPr>
            </w:pPr>
            <w:r w:rsidRPr="000E6CE0">
              <w:rPr>
                <w:sz w:val="22"/>
                <w:szCs w:val="22"/>
              </w:rPr>
              <w:t>a</w:t>
            </w:r>
          </w:p>
        </w:tc>
        <w:tc>
          <w:tcPr>
            <w:tcW w:w="1134" w:type="dxa"/>
            <w:tcBorders>
              <w:left w:val="single" w:sz="4" w:space="0" w:color="000000"/>
              <w:bottom w:val="single" w:sz="4" w:space="0" w:color="000000"/>
            </w:tcBorders>
          </w:tcPr>
          <w:p w14:paraId="09535E13" w14:textId="77777777" w:rsidR="000E6CE0" w:rsidRPr="000E6CE0" w:rsidRDefault="000E6CE0" w:rsidP="005475F2">
            <w:pPr>
              <w:snapToGrid w:val="0"/>
              <w:jc w:val="center"/>
              <w:rPr>
                <w:sz w:val="22"/>
                <w:szCs w:val="22"/>
              </w:rPr>
            </w:pPr>
            <w:r w:rsidRPr="000E6CE0">
              <w:rPr>
                <w:sz w:val="22"/>
                <w:szCs w:val="22"/>
              </w:rPr>
              <w:t>1</w:t>
            </w:r>
          </w:p>
        </w:tc>
        <w:tc>
          <w:tcPr>
            <w:tcW w:w="1134" w:type="dxa"/>
            <w:tcBorders>
              <w:left w:val="single" w:sz="4" w:space="0" w:color="000000"/>
              <w:bottom w:val="single" w:sz="4" w:space="0" w:color="000000"/>
            </w:tcBorders>
          </w:tcPr>
          <w:p w14:paraId="5E4CBC6B" w14:textId="77777777" w:rsidR="000E6CE0" w:rsidRPr="000E6CE0" w:rsidRDefault="000E6CE0" w:rsidP="005475F2">
            <w:pPr>
              <w:snapToGrid w:val="0"/>
              <w:jc w:val="center"/>
              <w:rPr>
                <w:sz w:val="22"/>
                <w:szCs w:val="22"/>
              </w:rPr>
            </w:pPr>
            <w:r w:rsidRPr="000E6CE0">
              <w:rPr>
                <w:sz w:val="22"/>
                <w:szCs w:val="22"/>
              </w:rPr>
              <w:t>2</w:t>
            </w:r>
          </w:p>
        </w:tc>
        <w:tc>
          <w:tcPr>
            <w:tcW w:w="1134" w:type="dxa"/>
            <w:tcBorders>
              <w:left w:val="single" w:sz="4" w:space="0" w:color="000000"/>
              <w:bottom w:val="single" w:sz="4" w:space="0" w:color="000000"/>
            </w:tcBorders>
          </w:tcPr>
          <w:p w14:paraId="40E53395" w14:textId="77777777" w:rsidR="000E6CE0" w:rsidRPr="000E6CE0" w:rsidRDefault="000E6CE0" w:rsidP="005475F2">
            <w:pPr>
              <w:snapToGrid w:val="0"/>
              <w:jc w:val="center"/>
              <w:rPr>
                <w:sz w:val="22"/>
                <w:szCs w:val="22"/>
              </w:rPr>
            </w:pPr>
            <w:r w:rsidRPr="000E6CE0">
              <w:rPr>
                <w:sz w:val="22"/>
                <w:szCs w:val="22"/>
              </w:rPr>
              <w:t>3</w:t>
            </w:r>
          </w:p>
        </w:tc>
        <w:tc>
          <w:tcPr>
            <w:tcW w:w="1134" w:type="dxa"/>
            <w:tcBorders>
              <w:left w:val="single" w:sz="4" w:space="0" w:color="000000"/>
              <w:bottom w:val="single" w:sz="4" w:space="0" w:color="000000"/>
            </w:tcBorders>
          </w:tcPr>
          <w:p w14:paraId="33F8A562" w14:textId="77777777" w:rsidR="000E6CE0" w:rsidRPr="000E6CE0" w:rsidRDefault="000E6CE0" w:rsidP="005475F2">
            <w:pPr>
              <w:snapToGrid w:val="0"/>
              <w:jc w:val="center"/>
              <w:rPr>
                <w:sz w:val="22"/>
                <w:szCs w:val="22"/>
              </w:rPr>
            </w:pPr>
            <w:r w:rsidRPr="000E6CE0">
              <w:rPr>
                <w:sz w:val="22"/>
                <w:szCs w:val="22"/>
              </w:rPr>
              <w:t>4</w:t>
            </w:r>
          </w:p>
        </w:tc>
        <w:tc>
          <w:tcPr>
            <w:tcW w:w="1134" w:type="dxa"/>
            <w:tcBorders>
              <w:left w:val="single" w:sz="4" w:space="0" w:color="000000"/>
              <w:bottom w:val="single" w:sz="4" w:space="0" w:color="000000"/>
              <w:right w:val="single" w:sz="4" w:space="0" w:color="auto"/>
            </w:tcBorders>
          </w:tcPr>
          <w:p w14:paraId="64ED7AAA" w14:textId="77777777" w:rsidR="000E6CE0" w:rsidRPr="000E6CE0" w:rsidRDefault="000E6CE0" w:rsidP="005475F2">
            <w:pPr>
              <w:snapToGrid w:val="0"/>
              <w:jc w:val="center"/>
              <w:rPr>
                <w:sz w:val="22"/>
                <w:szCs w:val="22"/>
              </w:rPr>
            </w:pPr>
            <w:r w:rsidRPr="000E6CE0">
              <w:rPr>
                <w:sz w:val="22"/>
                <w:szCs w:val="22"/>
              </w:rPr>
              <w:t>5</w:t>
            </w:r>
          </w:p>
        </w:tc>
      </w:tr>
      <w:tr w:rsidR="000E6CE0" w:rsidRPr="000E6CE0" w14:paraId="22F49B48" w14:textId="77777777" w:rsidTr="005475F2">
        <w:trPr>
          <w:trHeight w:val="388"/>
        </w:trPr>
        <w:tc>
          <w:tcPr>
            <w:tcW w:w="3402" w:type="dxa"/>
            <w:tcBorders>
              <w:left w:val="single" w:sz="4" w:space="0" w:color="auto"/>
            </w:tcBorders>
          </w:tcPr>
          <w:p w14:paraId="41D15A45" w14:textId="77777777" w:rsidR="000E6CE0" w:rsidRPr="000E6CE0" w:rsidRDefault="000E6CE0" w:rsidP="005475F2">
            <w:pPr>
              <w:snapToGrid w:val="0"/>
              <w:rPr>
                <w:b/>
                <w:sz w:val="20"/>
                <w:szCs w:val="20"/>
              </w:rPr>
            </w:pPr>
            <w:r w:rsidRPr="000E6CE0">
              <w:rPr>
                <w:b/>
                <w:sz w:val="20"/>
                <w:szCs w:val="20"/>
              </w:rPr>
              <w:t xml:space="preserve">Celkem hospodářský výsledek </w:t>
            </w:r>
          </w:p>
          <w:p w14:paraId="1780D86B" w14:textId="77777777" w:rsidR="000E6CE0" w:rsidRPr="000E6CE0" w:rsidRDefault="000E6CE0" w:rsidP="005475F2">
            <w:pPr>
              <w:jc w:val="both"/>
              <w:rPr>
                <w:sz w:val="20"/>
                <w:szCs w:val="20"/>
              </w:rPr>
            </w:pPr>
            <w:r w:rsidRPr="000E6CE0">
              <w:rPr>
                <w:sz w:val="20"/>
                <w:szCs w:val="20"/>
              </w:rPr>
              <w:t>v tom:</w:t>
            </w:r>
          </w:p>
        </w:tc>
        <w:tc>
          <w:tcPr>
            <w:tcW w:w="1134" w:type="dxa"/>
            <w:tcBorders>
              <w:left w:val="single" w:sz="4" w:space="0" w:color="000000"/>
              <w:right w:val="single" w:sz="4" w:space="0" w:color="auto"/>
            </w:tcBorders>
          </w:tcPr>
          <w:p w14:paraId="44FB420F" w14:textId="77777777" w:rsidR="000E6CE0" w:rsidRPr="000E6CE0" w:rsidRDefault="000E6CE0" w:rsidP="005475F2">
            <w:pPr>
              <w:snapToGrid w:val="0"/>
              <w:jc w:val="right"/>
              <w:rPr>
                <w:b/>
                <w:bCs/>
                <w:sz w:val="20"/>
                <w:szCs w:val="20"/>
              </w:rPr>
            </w:pPr>
            <w:r w:rsidRPr="000E6CE0">
              <w:rPr>
                <w:b/>
                <w:bCs/>
                <w:sz w:val="20"/>
                <w:szCs w:val="20"/>
              </w:rPr>
              <w:t>22 524</w:t>
            </w:r>
          </w:p>
        </w:tc>
        <w:tc>
          <w:tcPr>
            <w:tcW w:w="1134" w:type="dxa"/>
            <w:tcBorders>
              <w:left w:val="single" w:sz="4" w:space="0" w:color="000000"/>
              <w:right w:val="single" w:sz="4" w:space="0" w:color="auto"/>
            </w:tcBorders>
          </w:tcPr>
          <w:p w14:paraId="76221456" w14:textId="77777777" w:rsidR="000E6CE0" w:rsidRPr="000E6CE0" w:rsidRDefault="000E6CE0" w:rsidP="005475F2">
            <w:pPr>
              <w:snapToGrid w:val="0"/>
              <w:jc w:val="right"/>
              <w:rPr>
                <w:b/>
                <w:bCs/>
                <w:sz w:val="20"/>
                <w:szCs w:val="20"/>
              </w:rPr>
            </w:pPr>
            <w:r w:rsidRPr="000E6CE0">
              <w:rPr>
                <w:b/>
                <w:bCs/>
                <w:sz w:val="20"/>
                <w:szCs w:val="20"/>
              </w:rPr>
              <w:t>19 883</w:t>
            </w:r>
          </w:p>
        </w:tc>
        <w:tc>
          <w:tcPr>
            <w:tcW w:w="1134" w:type="dxa"/>
            <w:tcBorders>
              <w:left w:val="single" w:sz="4" w:space="0" w:color="000000"/>
              <w:right w:val="single" w:sz="4" w:space="0" w:color="auto"/>
            </w:tcBorders>
          </w:tcPr>
          <w:p w14:paraId="14730DBF" w14:textId="77777777" w:rsidR="000E6CE0" w:rsidRPr="000E6CE0" w:rsidRDefault="000E6CE0" w:rsidP="005475F2">
            <w:pPr>
              <w:snapToGrid w:val="0"/>
              <w:jc w:val="right"/>
              <w:rPr>
                <w:b/>
                <w:bCs/>
                <w:sz w:val="20"/>
                <w:szCs w:val="20"/>
              </w:rPr>
            </w:pPr>
            <w:r w:rsidRPr="000E6CE0">
              <w:rPr>
                <w:b/>
                <w:bCs/>
                <w:sz w:val="20"/>
                <w:szCs w:val="20"/>
              </w:rPr>
              <w:t>23 500</w:t>
            </w:r>
          </w:p>
        </w:tc>
        <w:tc>
          <w:tcPr>
            <w:tcW w:w="1134" w:type="dxa"/>
            <w:tcBorders>
              <w:left w:val="single" w:sz="4" w:space="0" w:color="000000"/>
              <w:right w:val="single" w:sz="4" w:space="0" w:color="auto"/>
            </w:tcBorders>
          </w:tcPr>
          <w:p w14:paraId="1CE31E72" w14:textId="77777777" w:rsidR="000E6CE0" w:rsidRPr="000E6CE0" w:rsidRDefault="000E6CE0" w:rsidP="005475F2">
            <w:pPr>
              <w:snapToGrid w:val="0"/>
              <w:jc w:val="right"/>
              <w:rPr>
                <w:b/>
                <w:bCs/>
                <w:sz w:val="20"/>
                <w:szCs w:val="20"/>
              </w:rPr>
            </w:pPr>
            <w:r w:rsidRPr="000E6CE0">
              <w:rPr>
                <w:b/>
                <w:bCs/>
                <w:sz w:val="20"/>
                <w:szCs w:val="20"/>
              </w:rPr>
              <w:t>20 249</w:t>
            </w:r>
          </w:p>
        </w:tc>
        <w:tc>
          <w:tcPr>
            <w:tcW w:w="1134" w:type="dxa"/>
            <w:tcBorders>
              <w:left w:val="single" w:sz="4" w:space="0" w:color="000000"/>
              <w:right w:val="single" w:sz="4" w:space="0" w:color="auto"/>
            </w:tcBorders>
          </w:tcPr>
          <w:p w14:paraId="5013CEE2" w14:textId="77777777" w:rsidR="000E6CE0" w:rsidRPr="000E6CE0" w:rsidRDefault="000E6CE0" w:rsidP="005475F2">
            <w:pPr>
              <w:snapToGrid w:val="0"/>
              <w:jc w:val="right"/>
              <w:rPr>
                <w:b/>
                <w:bCs/>
                <w:sz w:val="20"/>
                <w:szCs w:val="20"/>
              </w:rPr>
            </w:pPr>
            <w:r w:rsidRPr="000E6CE0">
              <w:rPr>
                <w:b/>
                <w:bCs/>
                <w:sz w:val="20"/>
                <w:szCs w:val="20"/>
              </w:rPr>
              <w:t>21 512</w:t>
            </w:r>
          </w:p>
        </w:tc>
      </w:tr>
      <w:tr w:rsidR="000E6CE0" w:rsidRPr="000E6CE0" w14:paraId="72336D7C" w14:textId="77777777" w:rsidTr="005475F2">
        <w:tc>
          <w:tcPr>
            <w:tcW w:w="3402" w:type="dxa"/>
            <w:tcBorders>
              <w:left w:val="single" w:sz="4" w:space="0" w:color="auto"/>
            </w:tcBorders>
          </w:tcPr>
          <w:p w14:paraId="1CF5D135" w14:textId="77777777" w:rsidR="000E6CE0" w:rsidRPr="000E6CE0" w:rsidRDefault="000E6CE0" w:rsidP="005475F2">
            <w:pPr>
              <w:snapToGrid w:val="0"/>
              <w:jc w:val="both"/>
              <w:rPr>
                <w:sz w:val="20"/>
                <w:szCs w:val="20"/>
              </w:rPr>
            </w:pPr>
            <w:r w:rsidRPr="000E6CE0">
              <w:rPr>
                <w:sz w:val="20"/>
                <w:szCs w:val="20"/>
              </w:rPr>
              <w:t>Ředitelství silnic a dálnic ČR</w:t>
            </w:r>
          </w:p>
        </w:tc>
        <w:tc>
          <w:tcPr>
            <w:tcW w:w="1134" w:type="dxa"/>
            <w:tcBorders>
              <w:left w:val="single" w:sz="4" w:space="0" w:color="000000"/>
              <w:right w:val="single" w:sz="4" w:space="0" w:color="auto"/>
            </w:tcBorders>
          </w:tcPr>
          <w:p w14:paraId="1D678CA3" w14:textId="77777777" w:rsidR="000E6CE0" w:rsidRPr="000E6CE0" w:rsidRDefault="000E6CE0" w:rsidP="005475F2">
            <w:pPr>
              <w:snapToGrid w:val="0"/>
              <w:jc w:val="right"/>
              <w:rPr>
                <w:sz w:val="20"/>
                <w:szCs w:val="20"/>
              </w:rPr>
            </w:pPr>
            <w:r w:rsidRPr="000E6CE0">
              <w:rPr>
                <w:sz w:val="20"/>
                <w:szCs w:val="20"/>
              </w:rPr>
              <w:t>12 415</w:t>
            </w:r>
          </w:p>
        </w:tc>
        <w:tc>
          <w:tcPr>
            <w:tcW w:w="1134" w:type="dxa"/>
            <w:tcBorders>
              <w:left w:val="single" w:sz="4" w:space="0" w:color="000000"/>
              <w:right w:val="single" w:sz="4" w:space="0" w:color="auto"/>
            </w:tcBorders>
          </w:tcPr>
          <w:p w14:paraId="288B0D67" w14:textId="77777777" w:rsidR="000E6CE0" w:rsidRPr="000E6CE0" w:rsidRDefault="000E6CE0" w:rsidP="005475F2">
            <w:pPr>
              <w:snapToGrid w:val="0"/>
              <w:jc w:val="right"/>
              <w:rPr>
                <w:sz w:val="20"/>
                <w:szCs w:val="20"/>
              </w:rPr>
            </w:pPr>
            <w:r w:rsidRPr="000E6CE0">
              <w:rPr>
                <w:sz w:val="20"/>
                <w:szCs w:val="20"/>
              </w:rPr>
              <w:t>9 426</w:t>
            </w:r>
          </w:p>
        </w:tc>
        <w:tc>
          <w:tcPr>
            <w:tcW w:w="1134" w:type="dxa"/>
            <w:tcBorders>
              <w:left w:val="single" w:sz="4" w:space="0" w:color="000000"/>
              <w:right w:val="single" w:sz="4" w:space="0" w:color="auto"/>
            </w:tcBorders>
          </w:tcPr>
          <w:p w14:paraId="798DE721" w14:textId="77777777" w:rsidR="000E6CE0" w:rsidRPr="000E6CE0" w:rsidRDefault="000E6CE0" w:rsidP="005475F2">
            <w:pPr>
              <w:snapToGrid w:val="0"/>
              <w:jc w:val="right"/>
              <w:rPr>
                <w:sz w:val="20"/>
                <w:szCs w:val="20"/>
              </w:rPr>
            </w:pPr>
            <w:r w:rsidRPr="000E6CE0">
              <w:rPr>
                <w:sz w:val="20"/>
                <w:szCs w:val="20"/>
              </w:rPr>
              <w:t>9 648</w:t>
            </w:r>
          </w:p>
        </w:tc>
        <w:tc>
          <w:tcPr>
            <w:tcW w:w="1134" w:type="dxa"/>
            <w:tcBorders>
              <w:left w:val="single" w:sz="4" w:space="0" w:color="000000"/>
              <w:right w:val="single" w:sz="4" w:space="0" w:color="auto"/>
            </w:tcBorders>
          </w:tcPr>
          <w:p w14:paraId="53E8DE77" w14:textId="77777777" w:rsidR="000E6CE0" w:rsidRPr="000E6CE0" w:rsidRDefault="000E6CE0" w:rsidP="005475F2">
            <w:pPr>
              <w:snapToGrid w:val="0"/>
              <w:jc w:val="right"/>
              <w:rPr>
                <w:sz w:val="20"/>
                <w:szCs w:val="20"/>
              </w:rPr>
            </w:pPr>
            <w:r w:rsidRPr="000E6CE0">
              <w:rPr>
                <w:sz w:val="20"/>
                <w:szCs w:val="20"/>
              </w:rPr>
              <w:t>6 317</w:t>
            </w:r>
          </w:p>
        </w:tc>
        <w:tc>
          <w:tcPr>
            <w:tcW w:w="1134" w:type="dxa"/>
            <w:tcBorders>
              <w:left w:val="single" w:sz="4" w:space="0" w:color="000000"/>
              <w:right w:val="single" w:sz="4" w:space="0" w:color="auto"/>
            </w:tcBorders>
          </w:tcPr>
          <w:p w14:paraId="27AB5047" w14:textId="77777777" w:rsidR="000E6CE0" w:rsidRPr="000E6CE0" w:rsidRDefault="000E6CE0" w:rsidP="005475F2">
            <w:pPr>
              <w:snapToGrid w:val="0"/>
              <w:jc w:val="right"/>
              <w:rPr>
                <w:sz w:val="20"/>
                <w:szCs w:val="20"/>
              </w:rPr>
            </w:pPr>
            <w:r w:rsidRPr="000E6CE0">
              <w:rPr>
                <w:sz w:val="20"/>
                <w:szCs w:val="20"/>
              </w:rPr>
              <w:t>8 662</w:t>
            </w:r>
          </w:p>
        </w:tc>
      </w:tr>
      <w:tr w:rsidR="000E6CE0" w:rsidRPr="000E6CE0" w14:paraId="63014497" w14:textId="77777777" w:rsidTr="005475F2">
        <w:tc>
          <w:tcPr>
            <w:tcW w:w="3402" w:type="dxa"/>
            <w:tcBorders>
              <w:left w:val="single" w:sz="4" w:space="0" w:color="auto"/>
              <w:bottom w:val="single" w:sz="4" w:space="0" w:color="auto"/>
            </w:tcBorders>
          </w:tcPr>
          <w:p w14:paraId="39FC2901" w14:textId="77777777" w:rsidR="000E6CE0" w:rsidRPr="000E6CE0" w:rsidRDefault="000E6CE0" w:rsidP="005475F2">
            <w:pPr>
              <w:snapToGrid w:val="0"/>
              <w:jc w:val="both"/>
              <w:rPr>
                <w:sz w:val="20"/>
                <w:szCs w:val="20"/>
              </w:rPr>
            </w:pPr>
            <w:r w:rsidRPr="000E6CE0">
              <w:rPr>
                <w:sz w:val="20"/>
                <w:szCs w:val="20"/>
              </w:rPr>
              <w:t>Centrum služeb pro silniční dopravu</w:t>
            </w:r>
          </w:p>
        </w:tc>
        <w:tc>
          <w:tcPr>
            <w:tcW w:w="1134" w:type="dxa"/>
            <w:tcBorders>
              <w:left w:val="single" w:sz="4" w:space="0" w:color="000000"/>
              <w:bottom w:val="single" w:sz="4" w:space="0" w:color="auto"/>
              <w:right w:val="single" w:sz="4" w:space="0" w:color="auto"/>
            </w:tcBorders>
          </w:tcPr>
          <w:p w14:paraId="19BDE80D" w14:textId="77777777" w:rsidR="000E6CE0" w:rsidRPr="000E6CE0" w:rsidRDefault="000E6CE0" w:rsidP="005475F2">
            <w:pPr>
              <w:snapToGrid w:val="0"/>
              <w:jc w:val="right"/>
              <w:rPr>
                <w:sz w:val="20"/>
                <w:szCs w:val="20"/>
              </w:rPr>
            </w:pPr>
            <w:r w:rsidRPr="000E6CE0">
              <w:rPr>
                <w:sz w:val="20"/>
                <w:szCs w:val="20"/>
              </w:rPr>
              <w:t>10 109</w:t>
            </w:r>
          </w:p>
        </w:tc>
        <w:tc>
          <w:tcPr>
            <w:tcW w:w="1134" w:type="dxa"/>
            <w:tcBorders>
              <w:left w:val="single" w:sz="4" w:space="0" w:color="000000"/>
              <w:bottom w:val="single" w:sz="4" w:space="0" w:color="auto"/>
              <w:right w:val="single" w:sz="4" w:space="0" w:color="auto"/>
            </w:tcBorders>
          </w:tcPr>
          <w:p w14:paraId="257C08A6" w14:textId="77777777" w:rsidR="000E6CE0" w:rsidRPr="000E6CE0" w:rsidRDefault="000E6CE0" w:rsidP="005475F2">
            <w:pPr>
              <w:snapToGrid w:val="0"/>
              <w:jc w:val="right"/>
              <w:rPr>
                <w:sz w:val="20"/>
                <w:szCs w:val="20"/>
              </w:rPr>
            </w:pPr>
            <w:r w:rsidRPr="000E6CE0">
              <w:rPr>
                <w:sz w:val="20"/>
                <w:szCs w:val="20"/>
              </w:rPr>
              <w:t>10 457</w:t>
            </w:r>
          </w:p>
        </w:tc>
        <w:tc>
          <w:tcPr>
            <w:tcW w:w="1134" w:type="dxa"/>
            <w:tcBorders>
              <w:left w:val="single" w:sz="4" w:space="0" w:color="000000"/>
              <w:bottom w:val="single" w:sz="4" w:space="0" w:color="auto"/>
              <w:right w:val="single" w:sz="4" w:space="0" w:color="auto"/>
            </w:tcBorders>
          </w:tcPr>
          <w:p w14:paraId="22649E8D" w14:textId="77777777" w:rsidR="000E6CE0" w:rsidRPr="000E6CE0" w:rsidRDefault="000E6CE0" w:rsidP="005475F2">
            <w:pPr>
              <w:snapToGrid w:val="0"/>
              <w:jc w:val="right"/>
              <w:rPr>
                <w:sz w:val="20"/>
                <w:szCs w:val="20"/>
              </w:rPr>
            </w:pPr>
            <w:r w:rsidRPr="000E6CE0">
              <w:rPr>
                <w:sz w:val="20"/>
                <w:szCs w:val="20"/>
              </w:rPr>
              <w:t>13 852</w:t>
            </w:r>
          </w:p>
        </w:tc>
        <w:tc>
          <w:tcPr>
            <w:tcW w:w="1134" w:type="dxa"/>
            <w:tcBorders>
              <w:left w:val="single" w:sz="4" w:space="0" w:color="000000"/>
              <w:bottom w:val="single" w:sz="4" w:space="0" w:color="auto"/>
              <w:right w:val="single" w:sz="4" w:space="0" w:color="auto"/>
            </w:tcBorders>
          </w:tcPr>
          <w:p w14:paraId="09233D53" w14:textId="77777777" w:rsidR="000E6CE0" w:rsidRPr="000E6CE0" w:rsidRDefault="000E6CE0" w:rsidP="005475F2">
            <w:pPr>
              <w:snapToGrid w:val="0"/>
              <w:jc w:val="right"/>
              <w:rPr>
                <w:sz w:val="20"/>
                <w:szCs w:val="20"/>
              </w:rPr>
            </w:pPr>
            <w:r w:rsidRPr="000E6CE0">
              <w:rPr>
                <w:sz w:val="20"/>
                <w:szCs w:val="20"/>
              </w:rPr>
              <w:t>13 932</w:t>
            </w:r>
          </w:p>
        </w:tc>
        <w:tc>
          <w:tcPr>
            <w:tcW w:w="1134" w:type="dxa"/>
            <w:tcBorders>
              <w:left w:val="single" w:sz="4" w:space="0" w:color="000000"/>
              <w:bottom w:val="single" w:sz="4" w:space="0" w:color="auto"/>
              <w:right w:val="single" w:sz="4" w:space="0" w:color="auto"/>
            </w:tcBorders>
          </w:tcPr>
          <w:p w14:paraId="27F4522D" w14:textId="77777777" w:rsidR="000E6CE0" w:rsidRPr="000E6CE0" w:rsidRDefault="000E6CE0" w:rsidP="005475F2">
            <w:pPr>
              <w:snapToGrid w:val="0"/>
              <w:jc w:val="right"/>
              <w:rPr>
                <w:sz w:val="20"/>
                <w:szCs w:val="20"/>
              </w:rPr>
            </w:pPr>
            <w:r w:rsidRPr="000E6CE0">
              <w:rPr>
                <w:sz w:val="20"/>
                <w:szCs w:val="20"/>
              </w:rPr>
              <w:t>12 850</w:t>
            </w:r>
          </w:p>
        </w:tc>
      </w:tr>
    </w:tbl>
    <w:p w14:paraId="42B13031" w14:textId="0CD968CE" w:rsidR="000E6CE0" w:rsidRPr="000E6CE0" w:rsidRDefault="000E6CE0" w:rsidP="005475F2">
      <w:pPr>
        <w:spacing w:before="240" w:line="276" w:lineRule="auto"/>
        <w:jc w:val="both"/>
      </w:pPr>
      <w:r w:rsidRPr="000E6CE0">
        <w:t>Vývoj hospodářského výsledku u Centra služeb pro silniční dopravu v letech 2014-2019 je ovlivněn přijatými racionalizačními opatřeními organizace v oblasti nákladů a současně neustále se zvyšujícím podílem tržeb (výnosů) organizace, a to jak v hlavní činnosti, tak i v hospodářské činnosti.</w:t>
      </w:r>
    </w:p>
    <w:p w14:paraId="2292B1C0" w14:textId="77777777" w:rsidR="000E6CE0" w:rsidRPr="000E6CE0" w:rsidRDefault="000E6CE0" w:rsidP="005475F2">
      <w:pPr>
        <w:spacing w:before="120" w:line="276" w:lineRule="auto"/>
        <w:jc w:val="both"/>
      </w:pPr>
      <w:r w:rsidRPr="000E6CE0">
        <w:t xml:space="preserve"> Výše hospodářského výsledku v letech 2015 a 2016 je na srovnatelné úrovni. </w:t>
      </w:r>
    </w:p>
    <w:p w14:paraId="70B9E671" w14:textId="77777777" w:rsidR="000E6CE0" w:rsidRPr="000E6CE0" w:rsidRDefault="000E6CE0" w:rsidP="005475F2">
      <w:pPr>
        <w:spacing w:before="120" w:line="276" w:lineRule="auto"/>
        <w:jc w:val="both"/>
      </w:pPr>
      <w:r w:rsidRPr="000E6CE0">
        <w:t xml:space="preserve">Zvýšení hospodářského výsledku mezi roky 2016 a 2017 u Centra služeb pro silniční dopravu bylo způsobeno především zvýšením výnosů spojených se směnou pozemků (výnosy z prodeje pozemků, výnosy z přecenění reálnou hodnotou) a zvýšením výnosů za zajištění svolávacích akcí pro výrobce respektive distributory automobilů (jedná se o obeslání majitelů vozidel s výzvou k mimořádné návštěv servisu za účelem kontroly jejich vozidla v případě podezření, že jejich vozidlo bylo vyrobeno se skrytou závadou).  </w:t>
      </w:r>
    </w:p>
    <w:p w14:paraId="26CA7922" w14:textId="77777777" w:rsidR="000E6CE0" w:rsidRPr="000E6CE0" w:rsidRDefault="000E6CE0" w:rsidP="005475F2">
      <w:pPr>
        <w:spacing w:before="120" w:line="276" w:lineRule="auto"/>
        <w:jc w:val="both"/>
      </w:pPr>
      <w:r w:rsidRPr="000E6CE0">
        <w:t xml:space="preserve">Hospodářský výsledek v roce 2017 a 2018 u Centra služeb pro silniční dopravu </w:t>
      </w:r>
      <w:r w:rsidRPr="000E6CE0">
        <w:br/>
        <w:t>je na srovnatelné úrovni. V roce 2019 došlo ke snížení hospodářského výsledků. Důvodem bylo snížení výnosů organizace z důvodů legislativních změn (omezení používání kontrolních nálepek na měření emisí, způsobilo snížení výnosů z prodeje zboží). Přestože došlo k výraznému snížení  výnosů, podařilo se CSPSD snížit i náklady a zlepšení hospodářský výsledek byl nižší než v roce 2018 jen o 1 082 tis. Kč.</w:t>
      </w:r>
    </w:p>
    <w:p w14:paraId="4095DF66" w14:textId="31EA5591" w:rsidR="000E6CE0" w:rsidRPr="000E6CE0" w:rsidRDefault="000E6CE0" w:rsidP="005475F2">
      <w:pPr>
        <w:spacing w:before="120" w:line="276" w:lineRule="auto"/>
        <w:jc w:val="both"/>
      </w:pPr>
      <w:r w:rsidRPr="000E6CE0">
        <w:t xml:space="preserve">V roce 2015 došlo k nárůstu hospodářského výsledku ŘSD ČR, důvodem byly úspory nákladů </w:t>
      </w:r>
      <w:r w:rsidR="00685D5F">
        <w:br/>
      </w:r>
      <w:r w:rsidRPr="000E6CE0">
        <w:t>a především úhrada výměrů finančního úřadu za porušení rozpočtové kázně z neinvestičního příspěvku na provoz. Výše hospodářského výsledku v letech 2016 až 2017 je na srovnatelné úrovni. V roce 2019 došlo k nárůstu hospodářského výsledku</w:t>
      </w:r>
      <w:r w:rsidR="00B90919">
        <w:t>.</w:t>
      </w:r>
    </w:p>
    <w:p w14:paraId="50A821EC" w14:textId="77777777" w:rsidR="000E6CE0" w:rsidRPr="000E6CE0" w:rsidRDefault="000E6CE0" w:rsidP="005475F2">
      <w:pPr>
        <w:spacing w:before="120" w:line="276" w:lineRule="auto"/>
        <w:jc w:val="both"/>
      </w:pPr>
      <w:r w:rsidRPr="000E6CE0">
        <w:lastRenderedPageBreak/>
        <w:t>Vzhledem k celkovému objemu nákladů a výnosů, které se ročně pohybují v řádech miliard korun, je nárůst či snížení hospodářského výsledku v jednotlivých letech u ŘSD ČR  nevýznamné.</w:t>
      </w:r>
    </w:p>
    <w:p w14:paraId="3D2A5B00" w14:textId="77777777" w:rsidR="00B564EE" w:rsidRPr="004B11AC" w:rsidRDefault="00B564EE" w:rsidP="00121BA0">
      <w:pPr>
        <w:pStyle w:val="Nadpis3"/>
      </w:pPr>
      <w:bookmarkStart w:id="307" w:name="_Toc508879862"/>
      <w:bookmarkStart w:id="308" w:name="_Toc508880138"/>
      <w:bookmarkStart w:id="309" w:name="_Toc1376817"/>
      <w:bookmarkStart w:id="310" w:name="_Toc34286463"/>
      <w:bookmarkEnd w:id="301"/>
      <w:bookmarkEnd w:id="302"/>
      <w:r w:rsidRPr="004B11AC">
        <w:t>Vybrané výdaje organizačních složek státu a příspěvkových organizací</w:t>
      </w:r>
      <w:bookmarkEnd w:id="307"/>
      <w:bookmarkEnd w:id="308"/>
      <w:bookmarkEnd w:id="309"/>
      <w:bookmarkEnd w:id="310"/>
    </w:p>
    <w:p w14:paraId="77839B7E" w14:textId="77777777" w:rsidR="005475F2" w:rsidRDefault="005475F2" w:rsidP="005475F2">
      <w:pPr>
        <w:pStyle w:val="Zkladntextodsazen"/>
        <w:spacing w:before="240" w:after="120"/>
        <w:ind w:firstLine="0"/>
        <w:rPr>
          <w:b/>
          <w:u w:val="single"/>
        </w:rPr>
      </w:pPr>
      <w:bookmarkStart w:id="311" w:name="_Toc413413659"/>
      <w:bookmarkStart w:id="312" w:name="_Toc508879867"/>
      <w:bookmarkStart w:id="313" w:name="_Toc508880143"/>
      <w:bookmarkStart w:id="314" w:name="_Toc1376818"/>
      <w:r w:rsidRPr="008A2E8D">
        <w:rPr>
          <w:b/>
          <w:u w:val="single"/>
        </w:rPr>
        <w:t>Zahraniční pracovní cesty</w:t>
      </w:r>
    </w:p>
    <w:p w14:paraId="48343E43" w14:textId="77777777" w:rsidR="005475F2" w:rsidRDefault="005475F2" w:rsidP="005475F2">
      <w:pPr>
        <w:pStyle w:val="Zkladntextodsazen"/>
        <w:spacing w:before="240" w:after="120" w:line="276" w:lineRule="auto"/>
        <w:ind w:firstLine="0"/>
      </w:pPr>
      <w:bookmarkStart w:id="315" w:name="_Toc508879863"/>
      <w:bookmarkStart w:id="316" w:name="_Toc508880139"/>
      <w:bookmarkStart w:id="317" w:name="_Toc870977"/>
      <w:bookmarkStart w:id="318" w:name="_Toc255558903"/>
      <w:bookmarkStart w:id="319" w:name="_Toc285636943"/>
      <w:bookmarkStart w:id="320" w:name="_Toc317489630"/>
      <w:r w:rsidRPr="008A2E8D">
        <w:t>Výdaje na zahraniční pracovní cesty</w:t>
      </w:r>
      <w:r w:rsidRPr="008A2E8D">
        <w:rPr>
          <w:b/>
        </w:rPr>
        <w:t xml:space="preserve"> </w:t>
      </w:r>
      <w:r w:rsidRPr="008A2E8D">
        <w:t xml:space="preserve">za rok 2019 uvádějí organizační složky státu a příspěvkové organizace ve </w:t>
      </w:r>
      <w:r w:rsidRPr="00667EED">
        <w:t>výši 14 677 tis. Kč při účasti 1 233 pracovníků</w:t>
      </w:r>
      <w:r w:rsidRPr="008A2E8D">
        <w:t>.</w:t>
      </w:r>
      <w:r w:rsidRPr="004B11AC">
        <w:rPr>
          <w:color w:val="FF0000"/>
        </w:rPr>
        <w:t xml:space="preserve"> </w:t>
      </w:r>
      <w:r w:rsidRPr="00667EED">
        <w:t xml:space="preserve">Nejčastěji </w:t>
      </w:r>
      <w:r w:rsidRPr="009B3854">
        <w:t>zahraniční pracovní cesty směřovaly do</w:t>
      </w:r>
      <w:r w:rsidRPr="004B11AC">
        <w:rPr>
          <w:color w:val="FF0000"/>
        </w:rPr>
        <w:t xml:space="preserve"> </w:t>
      </w:r>
      <w:r w:rsidRPr="008A2E8D">
        <w:t>Belgie,</w:t>
      </w:r>
      <w:r w:rsidRPr="004B11AC">
        <w:rPr>
          <w:color w:val="FF0000"/>
        </w:rPr>
        <w:t xml:space="preserve"> </w:t>
      </w:r>
      <w:r w:rsidRPr="008A2E8D">
        <w:t>Německa, Francie</w:t>
      </w:r>
      <w:r w:rsidRPr="009B3854">
        <w:t>, Slovenska,</w:t>
      </w:r>
      <w:r w:rsidRPr="004B11AC">
        <w:rPr>
          <w:color w:val="FF0000"/>
        </w:rPr>
        <w:t xml:space="preserve"> </w:t>
      </w:r>
      <w:r w:rsidRPr="009B3854">
        <w:t>Rakouska,</w:t>
      </w:r>
      <w:r w:rsidRPr="004B11AC">
        <w:rPr>
          <w:color w:val="FF0000"/>
        </w:rPr>
        <w:t xml:space="preserve"> </w:t>
      </w:r>
      <w:r w:rsidRPr="009B3854">
        <w:t>Polska,</w:t>
      </w:r>
      <w:r w:rsidRPr="004B11AC">
        <w:rPr>
          <w:color w:val="FF0000"/>
        </w:rPr>
        <w:t xml:space="preserve"> </w:t>
      </w:r>
      <w:r w:rsidRPr="009B3854">
        <w:t>Švýcarska,</w:t>
      </w:r>
      <w:r w:rsidRPr="004B11AC">
        <w:rPr>
          <w:color w:val="FF0000"/>
        </w:rPr>
        <w:t xml:space="preserve"> </w:t>
      </w:r>
      <w:r w:rsidRPr="008A2E8D">
        <w:t>Maďarska,</w:t>
      </w:r>
      <w:r w:rsidRPr="004B11AC">
        <w:rPr>
          <w:color w:val="FF0000"/>
        </w:rPr>
        <w:t xml:space="preserve"> </w:t>
      </w:r>
      <w:r w:rsidRPr="009B3854">
        <w:t>Lucemburska,</w:t>
      </w:r>
      <w:r w:rsidRPr="008A2E8D">
        <w:t xml:space="preserve"> Holandska,</w:t>
      </w:r>
      <w:r w:rsidRPr="004B11AC">
        <w:rPr>
          <w:color w:val="FF0000"/>
        </w:rPr>
        <w:t xml:space="preserve"> </w:t>
      </w:r>
      <w:r w:rsidRPr="008A2E8D">
        <w:t>Velké Británie</w:t>
      </w:r>
      <w:r>
        <w:t>.</w:t>
      </w:r>
    </w:p>
    <w:p w14:paraId="722AB09A" w14:textId="77777777" w:rsidR="005475F2" w:rsidRDefault="005475F2" w:rsidP="005475F2">
      <w:pPr>
        <w:pStyle w:val="Zkladntextodsazen"/>
        <w:spacing w:before="240" w:after="120" w:line="276" w:lineRule="auto"/>
        <w:ind w:firstLine="0"/>
      </w:pPr>
      <w:r w:rsidRPr="009B3854">
        <w:rPr>
          <w:bCs/>
        </w:rPr>
        <w:t xml:space="preserve">U </w:t>
      </w:r>
      <w:r w:rsidRPr="009B3854">
        <w:t xml:space="preserve">organizačních složek státu </w:t>
      </w:r>
      <w:r w:rsidRPr="009B3854">
        <w:rPr>
          <w:bCs/>
        </w:rPr>
        <w:t>bylo na zahraniční pracovní cesty vydáno celkem</w:t>
      </w:r>
      <w:r w:rsidRPr="004B11AC">
        <w:rPr>
          <w:bCs/>
          <w:color w:val="FF0000"/>
        </w:rPr>
        <w:t xml:space="preserve"> </w:t>
      </w:r>
      <w:r w:rsidRPr="00C445F2">
        <w:rPr>
          <w:bCs/>
        </w:rPr>
        <w:t>14 119 </w:t>
      </w:r>
      <w:r w:rsidRPr="00C445F2">
        <w:t>tis.</w:t>
      </w:r>
      <w:r w:rsidRPr="00C445F2">
        <w:rPr>
          <w:bCs/>
        </w:rPr>
        <w:t xml:space="preserve"> Kč,</w:t>
      </w:r>
      <w:r w:rsidRPr="004B11AC">
        <w:rPr>
          <w:bCs/>
          <w:color w:val="FF0000"/>
        </w:rPr>
        <w:t xml:space="preserve"> </w:t>
      </w:r>
      <w:r>
        <w:rPr>
          <w:bCs/>
          <w:color w:val="FF0000"/>
        </w:rPr>
        <w:br/>
      </w:r>
      <w:r w:rsidRPr="009B3854">
        <w:rPr>
          <w:bCs/>
        </w:rPr>
        <w:t>a to za účasti</w:t>
      </w:r>
      <w:r w:rsidRPr="004B11AC">
        <w:rPr>
          <w:bCs/>
          <w:color w:val="FF0000"/>
        </w:rPr>
        <w:t xml:space="preserve"> </w:t>
      </w:r>
      <w:r w:rsidRPr="00C445F2">
        <w:rPr>
          <w:bCs/>
        </w:rPr>
        <w:t xml:space="preserve">1 146 </w:t>
      </w:r>
      <w:r w:rsidRPr="009B3854">
        <w:rPr>
          <w:bCs/>
        </w:rPr>
        <w:t>pracovníků.</w:t>
      </w:r>
      <w:r w:rsidRPr="004B11AC">
        <w:rPr>
          <w:bCs/>
          <w:color w:val="FF0000"/>
        </w:rPr>
        <w:t xml:space="preserve"> </w:t>
      </w:r>
      <w:r w:rsidRPr="009B3854">
        <w:rPr>
          <w:bCs/>
        </w:rPr>
        <w:t>Ve srovnání s rokem 2018 došlo ke</w:t>
      </w:r>
      <w:r w:rsidRPr="004B11AC">
        <w:rPr>
          <w:bCs/>
          <w:color w:val="FF0000"/>
        </w:rPr>
        <w:t xml:space="preserve"> </w:t>
      </w:r>
      <w:r w:rsidRPr="00501127">
        <w:rPr>
          <w:bCs/>
        </w:rPr>
        <w:t xml:space="preserve">snížení </w:t>
      </w:r>
      <w:r w:rsidRPr="009B3854">
        <w:rPr>
          <w:bCs/>
        </w:rPr>
        <w:t>výdajů na zahraniční pracovní cesty celkem o</w:t>
      </w:r>
      <w:r w:rsidRPr="004B11AC">
        <w:rPr>
          <w:bCs/>
          <w:color w:val="FF0000"/>
        </w:rPr>
        <w:t xml:space="preserve"> </w:t>
      </w:r>
      <w:r w:rsidRPr="00501127">
        <w:rPr>
          <w:bCs/>
        </w:rPr>
        <w:t xml:space="preserve">407 </w:t>
      </w:r>
      <w:r w:rsidRPr="00501127">
        <w:t>tis.</w:t>
      </w:r>
      <w:r w:rsidRPr="00501127">
        <w:rPr>
          <w:bCs/>
        </w:rPr>
        <w:t xml:space="preserve"> Kč.</w:t>
      </w:r>
      <w:r w:rsidRPr="004B11AC">
        <w:rPr>
          <w:bCs/>
          <w:color w:val="FF0000"/>
        </w:rPr>
        <w:t xml:space="preserve"> </w:t>
      </w:r>
      <w:r w:rsidRPr="009B3854">
        <w:rPr>
          <w:bCs/>
        </w:rPr>
        <w:t>Nárůst výdajů byl vykázán u Státní plavební správy, Úřadu pro civilní letectví a Ústavu pro odborné zjišťování příčin leteckých nehod.</w:t>
      </w:r>
      <w:r w:rsidRPr="004B11AC">
        <w:rPr>
          <w:bCs/>
          <w:color w:val="FF0000"/>
        </w:rPr>
        <w:t xml:space="preserve"> </w:t>
      </w:r>
      <w:r w:rsidRPr="00723F4B">
        <w:rPr>
          <w:bCs/>
        </w:rPr>
        <w:t>Ostatní organizační složky státu v působnosti MD vykázaly pokles výdajů na zahraniční pracovní cesty. Z</w:t>
      </w:r>
      <w:r w:rsidRPr="009B3854">
        <w:rPr>
          <w:bCs/>
        </w:rPr>
        <w:t>ahraniční pracovní cesty byly zaměřeny především na účast pracovníků rezortu v pracovních orgánech EU a dále na činnosti expertních pracovních skupin a na účast na mezinárodních konferencích pojednávajících o problematice dopravy. Významná byla činnost v oborových mezinárodních vládních organizacích. Na úseku železniční dopravy byla zaměřena činnost zejména na spolupráci v rámci Evropské železniční agentury (ERA) a</w:t>
      </w:r>
      <w:r w:rsidRPr="004B11AC">
        <w:rPr>
          <w:bCs/>
          <w:color w:val="FF0000"/>
        </w:rPr>
        <w:t xml:space="preserve"> </w:t>
      </w:r>
      <w:r w:rsidRPr="00252FE8">
        <w:rPr>
          <w:bCs/>
        </w:rPr>
        <w:t>na mezinárodní jednání v otázkách tranzitního nákladního koridoru. V oblasti civilního letectví</w:t>
      </w:r>
      <w:r w:rsidRPr="00A96E07">
        <w:rPr>
          <w:bCs/>
        </w:rPr>
        <w:t xml:space="preserve"> byly zahraniční pracovní cesty zaměřeny na činnost v Mezinárodní organ</w:t>
      </w:r>
      <w:r>
        <w:rPr>
          <w:bCs/>
        </w:rPr>
        <w:t>izaci civilního letectví (ICAO) a v organizaci</w:t>
      </w:r>
      <w:r w:rsidRPr="00A96E07">
        <w:rPr>
          <w:bCs/>
        </w:rPr>
        <w:t xml:space="preserve"> Eurocontrol a v Agentuře EU pro bezpečnost letectví (EASA). V oblasti silniční dopravy nadále probíhala jednání ve smíšených komisích a mezinárodních organizacích o mezinárodní silniční nákladní i osobní dopravě a</w:t>
      </w:r>
      <w:r w:rsidRPr="004B11AC">
        <w:rPr>
          <w:bCs/>
          <w:color w:val="FF0000"/>
        </w:rPr>
        <w:t xml:space="preserve"> </w:t>
      </w:r>
      <w:r w:rsidRPr="00A96E07">
        <w:rPr>
          <w:bCs/>
        </w:rPr>
        <w:t>také probíhala jednání v rámci Světové asociace silnic PIARC.</w:t>
      </w:r>
      <w:r w:rsidRPr="004B11AC">
        <w:rPr>
          <w:bCs/>
          <w:color w:val="FF0000"/>
        </w:rPr>
        <w:t xml:space="preserve"> </w:t>
      </w:r>
      <w:r w:rsidRPr="00A96E07">
        <w:rPr>
          <w:bCs/>
        </w:rPr>
        <w:t>V oboru vodní dopravy především probíhala jednání k mezinárodnímu projektu RIS COMEX,</w:t>
      </w:r>
      <w:r w:rsidRPr="004B11AC">
        <w:rPr>
          <w:bCs/>
          <w:color w:val="FF0000"/>
        </w:rPr>
        <w:t xml:space="preserve"> </w:t>
      </w:r>
      <w:r w:rsidRPr="001B388C">
        <w:rPr>
          <w:bCs/>
        </w:rPr>
        <w:t xml:space="preserve">jednání pracovní skupiny Aquapolu a jednání s Mezinárodním plavebním sdružením PIANC. </w:t>
      </w:r>
      <w:r>
        <w:rPr>
          <w:bCs/>
        </w:rPr>
        <w:br/>
      </w:r>
      <w:r w:rsidRPr="001B388C">
        <w:rPr>
          <w:bCs/>
        </w:rPr>
        <w:t>V oblas</w:t>
      </w:r>
      <w:r>
        <w:rPr>
          <w:bCs/>
        </w:rPr>
        <w:t xml:space="preserve">ti rozvoje kosmických programů </w:t>
      </w:r>
      <w:r w:rsidRPr="001B388C">
        <w:rPr>
          <w:bCs/>
        </w:rPr>
        <w:t>a technologií převažovala jednání</w:t>
      </w:r>
      <w:r w:rsidRPr="001B388C">
        <w:t xml:space="preserve"> v rámci orgánů ESA.  </w:t>
      </w:r>
    </w:p>
    <w:p w14:paraId="136781A5" w14:textId="7194BD2F" w:rsidR="005475F2" w:rsidRPr="005475F2" w:rsidRDefault="005475F2" w:rsidP="005475F2">
      <w:pPr>
        <w:pStyle w:val="Zkladntextodsazen"/>
        <w:spacing w:before="240" w:after="120" w:line="276" w:lineRule="auto"/>
        <w:ind w:firstLine="0"/>
        <w:rPr>
          <w:b/>
          <w:u w:val="single"/>
        </w:rPr>
      </w:pPr>
      <w:r w:rsidRPr="001B388C">
        <w:rPr>
          <w:bCs/>
          <w:szCs w:val="20"/>
        </w:rPr>
        <w:t xml:space="preserve">Příspěvkové organizace na zahraniční pracovní cesty </w:t>
      </w:r>
      <w:r w:rsidRPr="00667EED">
        <w:rPr>
          <w:bCs/>
          <w:szCs w:val="20"/>
        </w:rPr>
        <w:t>vynaložily 558 t</w:t>
      </w:r>
      <w:r w:rsidRPr="00667EED">
        <w:rPr>
          <w:szCs w:val="20"/>
        </w:rPr>
        <w:t>is.</w:t>
      </w:r>
      <w:r w:rsidRPr="00667EED">
        <w:rPr>
          <w:bCs/>
          <w:szCs w:val="20"/>
        </w:rPr>
        <w:t xml:space="preserve"> Kč při účasti </w:t>
      </w:r>
      <w:r w:rsidRPr="00667EED">
        <w:rPr>
          <w:bCs/>
          <w:szCs w:val="20"/>
        </w:rPr>
        <w:br/>
        <w:t>87 pracovníků. V</w:t>
      </w:r>
      <w:r w:rsidRPr="001B388C">
        <w:rPr>
          <w:bCs/>
          <w:szCs w:val="20"/>
        </w:rPr>
        <w:t xml:space="preserve">e srovnání s rokem 2018 </w:t>
      </w:r>
      <w:r w:rsidRPr="00667EED">
        <w:rPr>
          <w:bCs/>
          <w:szCs w:val="20"/>
        </w:rPr>
        <w:t xml:space="preserve">došlo k poklesu výdajů na zahraniční pracovní cesty celkem o 104 </w:t>
      </w:r>
      <w:r w:rsidRPr="00667EED">
        <w:rPr>
          <w:szCs w:val="20"/>
        </w:rPr>
        <w:t>tis.</w:t>
      </w:r>
      <w:r w:rsidRPr="00667EED">
        <w:rPr>
          <w:bCs/>
          <w:szCs w:val="20"/>
        </w:rPr>
        <w:t xml:space="preserve"> Kč. Pokles výdajů byl vykázán u Ředitelství silnic a dálnic ČR </w:t>
      </w:r>
      <w:r w:rsidRPr="00667EED">
        <w:rPr>
          <w:bCs/>
          <w:szCs w:val="20"/>
        </w:rPr>
        <w:br/>
        <w:t>i u Centrum služeb pro silniční dopravu</w:t>
      </w:r>
      <w:r w:rsidRPr="004208B8">
        <w:rPr>
          <w:bCs/>
          <w:szCs w:val="20"/>
        </w:rPr>
        <w:t xml:space="preserve">. Pracovní cesty byly zaměřeny především na účast pracovníků organizací na zasedáních v mezinárodních pracovních skupinách silniční dopravní infrastruktury, na účast v mezinárodních konferencích a na součinnost v mezinárodních silničních kontrolách.  </w:t>
      </w:r>
    </w:p>
    <w:p w14:paraId="04E565D8" w14:textId="3186036A" w:rsidR="005475F2" w:rsidRPr="001B388C" w:rsidRDefault="005475F2" w:rsidP="005475F2">
      <w:pPr>
        <w:pStyle w:val="Titulek"/>
      </w:pPr>
      <w:bookmarkStart w:id="321" w:name="_Toc2855765"/>
      <w:bookmarkStart w:id="322" w:name="_Toc34288678"/>
      <w:r w:rsidRPr="001B388C">
        <w:t xml:space="preserve">Graf č. </w:t>
      </w:r>
      <w:r w:rsidRPr="001B388C">
        <w:rPr>
          <w:noProof/>
        </w:rPr>
        <w:fldChar w:fldCharType="begin"/>
      </w:r>
      <w:r w:rsidRPr="001B388C">
        <w:rPr>
          <w:noProof/>
        </w:rPr>
        <w:instrText xml:space="preserve"> SEQ Graf_č. \* ARABIC </w:instrText>
      </w:r>
      <w:r w:rsidRPr="001B388C">
        <w:rPr>
          <w:noProof/>
        </w:rPr>
        <w:fldChar w:fldCharType="separate"/>
      </w:r>
      <w:r w:rsidR="00DF450F">
        <w:rPr>
          <w:noProof/>
        </w:rPr>
        <w:t>11</w:t>
      </w:r>
      <w:r w:rsidRPr="001B388C">
        <w:rPr>
          <w:noProof/>
        </w:rPr>
        <w:fldChar w:fldCharType="end"/>
      </w:r>
      <w:r w:rsidRPr="001B388C">
        <w:t>:  Porovnání výdajů na zahraniční pracovní cesty kapitoly 327-MD (v tis. Kč)</w:t>
      </w:r>
      <w:bookmarkEnd w:id="315"/>
      <w:bookmarkEnd w:id="316"/>
      <w:bookmarkEnd w:id="317"/>
      <w:bookmarkEnd w:id="321"/>
      <w:bookmarkEnd w:id="322"/>
    </w:p>
    <w:p w14:paraId="79FAF4FD" w14:textId="77777777" w:rsidR="00CA6C9A" w:rsidRDefault="00CA6C9A" w:rsidP="005475F2">
      <w:pPr>
        <w:pStyle w:val="Znormal"/>
        <w:spacing w:before="480"/>
        <w:ind w:left="431" w:firstLine="0"/>
        <w:rPr>
          <w:b/>
          <w:u w:val="single"/>
        </w:rPr>
      </w:pPr>
    </w:p>
    <w:p w14:paraId="6F80CD35" w14:textId="0C5521AB" w:rsidR="005475F2" w:rsidRPr="009A781E" w:rsidRDefault="005475F2" w:rsidP="005475F2">
      <w:pPr>
        <w:pStyle w:val="Znormal"/>
        <w:spacing w:before="480"/>
        <w:ind w:left="431" w:firstLine="0"/>
        <w:rPr>
          <w:b/>
          <w:u w:val="single"/>
        </w:rPr>
      </w:pPr>
      <w:r w:rsidRPr="009A781E">
        <w:rPr>
          <w:noProof/>
        </w:rPr>
        <w:lastRenderedPageBreak/>
        <w:drawing>
          <wp:anchor distT="0" distB="0" distL="114300" distR="114300" simplePos="0" relativeHeight="251665408" behindDoc="0" locked="0" layoutInCell="1" allowOverlap="1" wp14:anchorId="63455036" wp14:editId="5250DC5C">
            <wp:simplePos x="0" y="0"/>
            <wp:positionH relativeFrom="column">
              <wp:align>left</wp:align>
            </wp:positionH>
            <wp:positionV relativeFrom="paragraph">
              <wp:align>top</wp:align>
            </wp:positionV>
            <wp:extent cx="5942965" cy="2257425"/>
            <wp:effectExtent l="0" t="0" r="635" b="4445"/>
            <wp:wrapSquare wrapText="bothSides"/>
            <wp:docPr id="13" name="Graf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page">
              <wp14:pctWidth>0</wp14:pctWidth>
            </wp14:sizeRelH>
            <wp14:sizeRelV relativeFrom="page">
              <wp14:pctHeight>0</wp14:pctHeight>
            </wp14:sizeRelV>
          </wp:anchor>
        </w:drawing>
      </w:r>
    </w:p>
    <w:p w14:paraId="261F85F7" w14:textId="226F4428" w:rsidR="00CA6C9A" w:rsidRPr="00CA6C9A" w:rsidRDefault="00CA6C9A" w:rsidP="005475F2">
      <w:pPr>
        <w:pStyle w:val="Znormal"/>
        <w:spacing w:line="276" w:lineRule="auto"/>
        <w:ind w:firstLine="0"/>
        <w:rPr>
          <w:b/>
          <w:u w:val="single"/>
        </w:rPr>
      </w:pPr>
      <w:bookmarkStart w:id="323" w:name="_Toc508879864"/>
      <w:bookmarkStart w:id="324" w:name="_Toc508880140"/>
      <w:bookmarkStart w:id="325" w:name="_Toc870978"/>
      <w:bookmarkEnd w:id="318"/>
      <w:bookmarkEnd w:id="319"/>
      <w:bookmarkEnd w:id="320"/>
      <w:r w:rsidRPr="00CA6C9A">
        <w:rPr>
          <w:b/>
          <w:u w:val="single"/>
        </w:rPr>
        <w:t>Zálohové platby</w:t>
      </w:r>
    </w:p>
    <w:p w14:paraId="3B4D5DDE" w14:textId="0CF8213B" w:rsidR="005475F2" w:rsidRDefault="005475F2" w:rsidP="005475F2">
      <w:pPr>
        <w:pStyle w:val="Znormal"/>
        <w:spacing w:line="276" w:lineRule="auto"/>
        <w:ind w:firstLine="0"/>
        <w:rPr>
          <w:color w:val="FF0000"/>
        </w:rPr>
      </w:pPr>
      <w:r w:rsidRPr="009A781E">
        <w:t>Zálohové platby na neinvestiční dodávky a práce nerealizované k 31.12.2019 činily celkem</w:t>
      </w:r>
      <w:r w:rsidRPr="004B11AC">
        <w:rPr>
          <w:color w:val="FF0000"/>
        </w:rPr>
        <w:t xml:space="preserve"> </w:t>
      </w:r>
      <w:r>
        <w:rPr>
          <w:color w:val="FF0000"/>
        </w:rPr>
        <w:br/>
      </w:r>
      <w:r w:rsidRPr="004208B8">
        <w:t xml:space="preserve">212 895 tis. Kč, v tom organizační složky státu 2 881 tis. Kč a příspěvkové organizace </w:t>
      </w:r>
      <w:r w:rsidRPr="004208B8">
        <w:br/>
        <w:t xml:space="preserve">210 013 tis. Kč. Oproti roku 2018 došlo v saldu ke zvýšení poskytnutých záloh </w:t>
      </w:r>
      <w:r>
        <w:br/>
      </w:r>
      <w:r w:rsidRPr="004208B8">
        <w:t>o 191 217 tis. Kč. U příspěvkových organizací došlo k nárůstu objemu poskytnutých záloh oproti roku 2018 o 193 676 tis. Kč a u or</w:t>
      </w:r>
      <w:r w:rsidRPr="009A781E">
        <w:t xml:space="preserve">ganizačních složek </w:t>
      </w:r>
      <w:r w:rsidRPr="00445703">
        <w:t>státu došlo k nárůstu o 422 tis. Kč.</w:t>
      </w:r>
      <w:r w:rsidRPr="004B11AC">
        <w:rPr>
          <w:color w:val="FF0000"/>
        </w:rPr>
        <w:t xml:space="preserve"> </w:t>
      </w:r>
    </w:p>
    <w:p w14:paraId="2216F1FB" w14:textId="5BE4F390" w:rsidR="005475F2" w:rsidRPr="003E0148" w:rsidRDefault="005475F2" w:rsidP="005475F2">
      <w:pPr>
        <w:pStyle w:val="Znormal"/>
        <w:spacing w:line="276" w:lineRule="auto"/>
        <w:ind w:firstLine="0"/>
      </w:pPr>
      <w:r w:rsidRPr="009A781E">
        <w:t>Provozní zálohy poskytnuté organizačními složkami státu a příspěvkovými organizacemi jsou orientovány zejména na platby za dodávky elektřiny, plynu, vody, tepla, p</w:t>
      </w:r>
      <w:r>
        <w:t xml:space="preserve">ohonných hmot (platební karty) </w:t>
      </w:r>
      <w:r w:rsidRPr="009A781E">
        <w:t xml:space="preserve">a na úhradu předplatného novin a odborných časopisů. </w:t>
      </w:r>
      <w:r w:rsidRPr="003E0148">
        <w:t xml:space="preserve">Příspěvková organizace Ředitelství silnic a dálnic ČR dále poskytla provozní zálohy na opravy a údržba silnic, zálohy na správu budov a zálohy mobilním operátorům. Rozdíl v celkovém saldu oproti roku 2018 představují především zálohové platby Ředitelství silnic a dálnic ČR na opravu a údržbu silnic, které byly oproti minulému roku zvýšeny. </w:t>
      </w:r>
    </w:p>
    <w:p w14:paraId="502DC87E" w14:textId="77777777" w:rsidR="005475F2" w:rsidRDefault="005475F2" w:rsidP="005475F2">
      <w:pPr>
        <w:pStyle w:val="Znormal"/>
        <w:spacing w:line="276" w:lineRule="auto"/>
        <w:ind w:firstLine="0"/>
      </w:pPr>
      <w:r w:rsidRPr="00172FD4">
        <w:t>Zálohy na dodávky a práce investičního charakteru k 31. 12. 2019 jsou vykázány pouze Ředitelstvím vodním cest ČR a Ředitelstvím silnic a dálnic ČR</w:t>
      </w:r>
      <w:r w:rsidRPr="00FA0730">
        <w:t>. Ředitelství vodních cest ČR poskytlo zálohové platby zhotovitelům staveb a provozovateli distribuční sítě za přeložky elektrického vedení hrazené z investičních prostředků SFDI v celkové výši 132 466 tis. Kč.</w:t>
      </w:r>
    </w:p>
    <w:p w14:paraId="654DE5F9" w14:textId="70EE45D5" w:rsidR="005475F2" w:rsidRPr="00FB156E" w:rsidRDefault="005475F2" w:rsidP="005475F2">
      <w:pPr>
        <w:pStyle w:val="Znormal"/>
        <w:spacing w:line="276" w:lineRule="auto"/>
        <w:ind w:firstLine="0"/>
      </w:pPr>
      <w:r w:rsidRPr="003E0148">
        <w:t xml:space="preserve">Ředitelství silnic a dálnic ČR </w:t>
      </w:r>
      <w:r>
        <w:t xml:space="preserve">vykázalo investiční zálohy </w:t>
      </w:r>
      <w:r w:rsidRPr="003E0148">
        <w:t>v celkové výši 5 392 999 tis. Kč. Oproti roku 2018 došlo ke zvýšení těchto poskytnutých záloh o 2 533 621 tis. Kč</w:t>
      </w:r>
      <w:r w:rsidRPr="00FB156E">
        <w:t xml:space="preserve">. Navýšení částky záloh bylo způsobeno větším počtem staveb. Jedná se o zálohy za přeložky sítí, které se dle smlouvy se Státním fondem dopravní infrastruktury nemusí u investičních akcí vyúčtovávat do konce roku a o zálohy na stavební práce. </w:t>
      </w:r>
    </w:p>
    <w:p w14:paraId="787C7FB5" w14:textId="6C0793DB" w:rsidR="005475F2" w:rsidRPr="00FB156E" w:rsidRDefault="005475F2" w:rsidP="005475F2">
      <w:pPr>
        <w:pStyle w:val="Titulek"/>
      </w:pPr>
      <w:bookmarkStart w:id="326" w:name="_Toc2855766"/>
      <w:bookmarkStart w:id="327" w:name="_Toc34288679"/>
      <w:r w:rsidRPr="00FB156E">
        <w:lastRenderedPageBreak/>
        <w:t xml:space="preserve">Graf č. </w:t>
      </w:r>
      <w:r w:rsidRPr="00FB156E">
        <w:rPr>
          <w:noProof/>
        </w:rPr>
        <w:fldChar w:fldCharType="begin"/>
      </w:r>
      <w:r w:rsidRPr="00FB156E">
        <w:rPr>
          <w:noProof/>
        </w:rPr>
        <w:instrText xml:space="preserve"> SEQ Graf_č. \* ARABIC </w:instrText>
      </w:r>
      <w:r w:rsidRPr="00FB156E">
        <w:rPr>
          <w:noProof/>
        </w:rPr>
        <w:fldChar w:fldCharType="separate"/>
      </w:r>
      <w:r w:rsidR="00DF450F">
        <w:rPr>
          <w:noProof/>
        </w:rPr>
        <w:t>12</w:t>
      </w:r>
      <w:r w:rsidRPr="00FB156E">
        <w:rPr>
          <w:noProof/>
        </w:rPr>
        <w:fldChar w:fldCharType="end"/>
      </w:r>
      <w:r w:rsidRPr="00FB156E">
        <w:t xml:space="preserve">:  Přehled zálohových plateb na neinvestiční dodávky a práce nerealizované </w:t>
      </w:r>
      <w:r w:rsidRPr="00FB156E">
        <w:br/>
        <w:t>k 31.12.201</w:t>
      </w:r>
      <w:bookmarkEnd w:id="323"/>
      <w:bookmarkEnd w:id="324"/>
      <w:bookmarkEnd w:id="325"/>
      <w:bookmarkEnd w:id="326"/>
      <w:r w:rsidRPr="00FB156E">
        <w:t>9</w:t>
      </w:r>
      <w:bookmarkEnd w:id="327"/>
    </w:p>
    <w:p w14:paraId="5B3C456D" w14:textId="693CC256" w:rsidR="005475F2" w:rsidRPr="004B11AC" w:rsidRDefault="005475F2" w:rsidP="005475F2">
      <w:pPr>
        <w:pStyle w:val="Znormal"/>
        <w:ind w:left="432" w:firstLine="0"/>
        <w:rPr>
          <w:color w:val="FF0000"/>
        </w:rPr>
      </w:pPr>
      <w:r w:rsidRPr="00900BF0">
        <w:rPr>
          <w:noProof/>
          <w:color w:val="FF0000"/>
        </w:rPr>
        <w:drawing>
          <wp:inline distT="0" distB="0" distL="0" distR="0" wp14:anchorId="7523099F" wp14:editId="2711998F">
            <wp:extent cx="5495925" cy="2276475"/>
            <wp:effectExtent l="0" t="0" r="0" b="0"/>
            <wp:docPr id="11" name="Graf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2405E69" w14:textId="77777777" w:rsidR="005475F2" w:rsidRPr="00FA0730" w:rsidRDefault="005475F2" w:rsidP="005475F2">
      <w:pPr>
        <w:pStyle w:val="Zkladntextodsazen"/>
        <w:spacing w:before="360" w:after="120"/>
        <w:ind w:firstLine="0"/>
        <w:rPr>
          <w:b/>
          <w:u w:val="single"/>
        </w:rPr>
      </w:pPr>
      <w:bookmarkStart w:id="328" w:name="_Toc255558904"/>
      <w:bookmarkStart w:id="329" w:name="_Toc285636944"/>
      <w:bookmarkStart w:id="330" w:name="_Toc317489631"/>
      <w:r w:rsidRPr="00FA0730">
        <w:rPr>
          <w:b/>
          <w:u w:val="single"/>
        </w:rPr>
        <w:t>Stav pohledávek</w:t>
      </w:r>
    </w:p>
    <w:p w14:paraId="6A72A6A0" w14:textId="77777777" w:rsidR="005475F2" w:rsidRPr="00FB156E" w:rsidRDefault="005475F2" w:rsidP="005475F2">
      <w:pPr>
        <w:pStyle w:val="Zkladntextodsazen"/>
        <w:spacing w:before="120" w:after="120" w:line="276" w:lineRule="auto"/>
        <w:ind w:firstLine="0"/>
      </w:pPr>
      <w:r w:rsidRPr="00FA0730">
        <w:t xml:space="preserve">Celkový </w:t>
      </w:r>
      <w:r w:rsidRPr="00FA0730">
        <w:rPr>
          <w:bCs/>
        </w:rPr>
        <w:t xml:space="preserve">stav </w:t>
      </w:r>
      <w:r w:rsidRPr="00FA0730">
        <w:t xml:space="preserve">pohledávek vykázaný organizačními složkami státu a příspěvkovými organizacemi k 31.12.2019 </w:t>
      </w:r>
      <w:r w:rsidRPr="00FB156E">
        <w:t xml:space="preserve">činil 21 331 214 tis. Kč, což představuje zvýšení pohledávek v absolutní hodnotě oproti vykázanému stavu k 31.12.2018 o 4 445 921 tis. Kč. </w:t>
      </w:r>
    </w:p>
    <w:p w14:paraId="4B6F4914" w14:textId="41FBDFBA" w:rsidR="005475F2" w:rsidRPr="00EF0385" w:rsidRDefault="005475F2" w:rsidP="005475F2">
      <w:pPr>
        <w:pStyle w:val="Znormal"/>
        <w:spacing w:line="276" w:lineRule="auto"/>
        <w:ind w:firstLine="0"/>
      </w:pPr>
      <w:r w:rsidRPr="00FA0730">
        <w:t xml:space="preserve">Stav pohledávek vykázaný organizačními složkami </w:t>
      </w:r>
      <w:r w:rsidRPr="00817F56">
        <w:t>státu k 31.12.2019 ve výši 13 675 722 tis. Kč znamenal zvýšení oproti stavu k 31.12.2018 o 3 452 347 tis. Kč</w:t>
      </w:r>
      <w:r w:rsidRPr="004B11AC">
        <w:rPr>
          <w:color w:val="FF0000"/>
        </w:rPr>
        <w:t xml:space="preserve">. </w:t>
      </w:r>
      <w:r w:rsidRPr="00FA0730">
        <w:t>Ke</w:t>
      </w:r>
      <w:r w:rsidRPr="004B11AC">
        <w:rPr>
          <w:color w:val="FF0000"/>
        </w:rPr>
        <w:t xml:space="preserve"> </w:t>
      </w:r>
      <w:r w:rsidRPr="00817F56">
        <w:t>zvýšení stavu pohledávek v celkovém saldu došlo především u ústředního orgánu MD z důvodu</w:t>
      </w:r>
      <w:r w:rsidRPr="004B11AC">
        <w:rPr>
          <w:color w:val="FF0000"/>
        </w:rPr>
        <w:t xml:space="preserve"> </w:t>
      </w:r>
      <w:r w:rsidRPr="00EF0385">
        <w:t xml:space="preserve">zvýšení pohledávek vůči Evropské komisi (zálohy na projekty CEF).     </w:t>
      </w:r>
    </w:p>
    <w:p w14:paraId="07534EE6" w14:textId="29482F94" w:rsidR="005475F2" w:rsidRPr="00EF0385" w:rsidRDefault="005475F2" w:rsidP="005475F2">
      <w:pPr>
        <w:pStyle w:val="Znormal"/>
        <w:spacing w:line="276" w:lineRule="auto"/>
        <w:ind w:firstLine="0"/>
      </w:pPr>
      <w:r w:rsidRPr="00EF0385">
        <w:t>Příspěvkové organizace vykázaly k 31.12.2019 pohledávky ve výši 7 655 492 tis. Kč a oproti stavu k 31.12.2018 je vykázán nárůst v celkové výši 1 734 231 tis. Kč. N</w:t>
      </w:r>
      <w:r w:rsidRPr="00FA0730">
        <w:t xml:space="preserve">a celkovém vykázaném objemu pohledávek příspěvkových organizací se největší měrou </w:t>
      </w:r>
      <w:r w:rsidRPr="00EF0385">
        <w:t xml:space="preserve">podílí Ředitelství silnic </w:t>
      </w:r>
      <w:r w:rsidR="00D24979">
        <w:br/>
      </w:r>
      <w:r w:rsidRPr="00EF0385">
        <w:t xml:space="preserve">a dálnic ČR částkou 7 650 202 tis. Kč. Největší podíl na celkovém objemu pohledávek tvoří dohadné účty aktivní, kam se účtuje příjem dotace OPD II, u které nebylo ještě provedeno vyúčtování vůči SFDI. </w:t>
      </w:r>
    </w:p>
    <w:p w14:paraId="22067DBC" w14:textId="2BEAC06F" w:rsidR="005475F2" w:rsidRPr="00FA0730" w:rsidRDefault="005475F2" w:rsidP="005475F2">
      <w:pPr>
        <w:pStyle w:val="Titulek"/>
      </w:pPr>
      <w:bookmarkStart w:id="331" w:name="_Toc508879865"/>
      <w:bookmarkStart w:id="332" w:name="_Toc508880141"/>
      <w:bookmarkStart w:id="333" w:name="_Toc870979"/>
      <w:bookmarkStart w:id="334" w:name="_Toc2855767"/>
      <w:bookmarkStart w:id="335" w:name="_Toc34288680"/>
      <w:bookmarkStart w:id="336" w:name="_Toc255558905"/>
      <w:bookmarkStart w:id="337" w:name="_Toc285636945"/>
      <w:bookmarkStart w:id="338" w:name="_Toc317489632"/>
      <w:bookmarkEnd w:id="328"/>
      <w:bookmarkEnd w:id="329"/>
      <w:bookmarkEnd w:id="330"/>
      <w:r w:rsidRPr="00FA0730">
        <w:t xml:space="preserve">Graf č. </w:t>
      </w:r>
      <w:r w:rsidRPr="00FA0730">
        <w:rPr>
          <w:noProof/>
        </w:rPr>
        <w:fldChar w:fldCharType="begin"/>
      </w:r>
      <w:r w:rsidRPr="00FA0730">
        <w:rPr>
          <w:noProof/>
        </w:rPr>
        <w:instrText xml:space="preserve"> SEQ Graf_č. \* ARABIC </w:instrText>
      </w:r>
      <w:r w:rsidRPr="00FA0730">
        <w:rPr>
          <w:noProof/>
        </w:rPr>
        <w:fldChar w:fldCharType="separate"/>
      </w:r>
      <w:r w:rsidR="00DF450F">
        <w:rPr>
          <w:noProof/>
        </w:rPr>
        <w:t>13</w:t>
      </w:r>
      <w:r w:rsidRPr="00FA0730">
        <w:rPr>
          <w:noProof/>
        </w:rPr>
        <w:fldChar w:fldCharType="end"/>
      </w:r>
      <w:r w:rsidRPr="00FA0730">
        <w:t>:  Porovnání stavu pohledávek kapitoly 327-MD (v tis. Kč)</w:t>
      </w:r>
      <w:bookmarkEnd w:id="331"/>
      <w:bookmarkEnd w:id="332"/>
      <w:bookmarkEnd w:id="333"/>
      <w:bookmarkEnd w:id="334"/>
      <w:bookmarkEnd w:id="335"/>
    </w:p>
    <w:p w14:paraId="6E126744" w14:textId="3729D978" w:rsidR="005475F2" w:rsidRPr="004B11AC" w:rsidRDefault="005475F2" w:rsidP="005475F2">
      <w:pPr>
        <w:pStyle w:val="Odstavecseseznamem"/>
        <w:ind w:left="432"/>
        <w:rPr>
          <w:color w:val="FF0000"/>
        </w:rPr>
      </w:pPr>
      <w:r w:rsidRPr="00900BF0">
        <w:rPr>
          <w:noProof/>
          <w:color w:val="FF0000"/>
        </w:rPr>
        <w:drawing>
          <wp:inline distT="0" distB="0" distL="0" distR="0" wp14:anchorId="5C350914" wp14:editId="1C505077">
            <wp:extent cx="5657850" cy="2105025"/>
            <wp:effectExtent l="0" t="0" r="0" b="0"/>
            <wp:docPr id="9" name="Graf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531090F7" w14:textId="77777777" w:rsidR="005475F2" w:rsidRDefault="005475F2" w:rsidP="005475F2">
      <w:pPr>
        <w:spacing w:before="240" w:after="120"/>
        <w:jc w:val="both"/>
        <w:rPr>
          <w:b/>
          <w:bCs/>
          <w:u w:val="single"/>
        </w:rPr>
      </w:pPr>
    </w:p>
    <w:p w14:paraId="3D9637E9" w14:textId="77777777" w:rsidR="005475F2" w:rsidRPr="00FA0730" w:rsidRDefault="005475F2" w:rsidP="005475F2">
      <w:pPr>
        <w:spacing w:before="240" w:after="120"/>
        <w:jc w:val="both"/>
        <w:rPr>
          <w:b/>
          <w:bCs/>
          <w:u w:val="single"/>
        </w:rPr>
      </w:pPr>
      <w:r w:rsidRPr="00FA0730">
        <w:rPr>
          <w:b/>
          <w:bCs/>
          <w:u w:val="single"/>
        </w:rPr>
        <w:t>Stav závazků</w:t>
      </w:r>
    </w:p>
    <w:p w14:paraId="46EBB9DD" w14:textId="7CDA5E07" w:rsidR="005475F2" w:rsidRPr="007A43BC" w:rsidRDefault="005475F2" w:rsidP="005475F2">
      <w:pPr>
        <w:pStyle w:val="Znormal"/>
        <w:spacing w:line="276" w:lineRule="auto"/>
        <w:ind w:firstLine="0"/>
        <w:rPr>
          <w:bCs/>
        </w:rPr>
      </w:pPr>
      <w:bookmarkStart w:id="339" w:name="_Toc870980"/>
      <w:r w:rsidRPr="00FA0730">
        <w:rPr>
          <w:bCs/>
        </w:rPr>
        <w:t>Celkový stav závazků vykázaný organizačními složkami státu a příspěvkovými organizacemi byl k</w:t>
      </w:r>
      <w:r w:rsidRPr="004B11AC">
        <w:rPr>
          <w:bCs/>
          <w:color w:val="FF0000"/>
        </w:rPr>
        <w:t xml:space="preserve"> </w:t>
      </w:r>
      <w:r w:rsidRPr="00FA0730">
        <w:rPr>
          <w:bCs/>
        </w:rPr>
        <w:t>31.12.2019</w:t>
      </w:r>
      <w:r w:rsidRPr="004B11AC">
        <w:rPr>
          <w:bCs/>
          <w:color w:val="FF0000"/>
        </w:rPr>
        <w:t xml:space="preserve"> </w:t>
      </w:r>
      <w:r w:rsidRPr="007A43BC">
        <w:rPr>
          <w:bCs/>
        </w:rPr>
        <w:t xml:space="preserve">zvýšen o 8 011 302 tis. Kč na absolutní částku 20 236 734 tis. Kč, v tom závazky organizačních složek státu 4 934 180  tis. Kč a příspěvkových organizací 15 302 554 tis. Kč. </w:t>
      </w:r>
    </w:p>
    <w:p w14:paraId="5C46336B" w14:textId="77777777" w:rsidR="005475F2" w:rsidRPr="007A43BC" w:rsidRDefault="005475F2" w:rsidP="005475F2">
      <w:pPr>
        <w:pStyle w:val="Znormal"/>
        <w:spacing w:line="276" w:lineRule="auto"/>
        <w:ind w:firstLine="0"/>
        <w:rPr>
          <w:bCs/>
        </w:rPr>
      </w:pPr>
      <w:r w:rsidRPr="00FA0730">
        <w:rPr>
          <w:bCs/>
        </w:rPr>
        <w:t>U organizačních složek státu vykázaný stav v absolutní částce</w:t>
      </w:r>
      <w:r w:rsidRPr="004B11AC">
        <w:rPr>
          <w:bCs/>
          <w:color w:val="FF0000"/>
        </w:rPr>
        <w:t xml:space="preserve"> </w:t>
      </w:r>
      <w:r w:rsidRPr="002F2EA7">
        <w:rPr>
          <w:bCs/>
        </w:rPr>
        <w:t>4 934 180 tis. Kč</w:t>
      </w:r>
      <w:r w:rsidRPr="004B11AC">
        <w:rPr>
          <w:bCs/>
          <w:color w:val="FF0000"/>
        </w:rPr>
        <w:t xml:space="preserve"> </w:t>
      </w:r>
      <w:r w:rsidRPr="002F2EA7">
        <w:rPr>
          <w:bCs/>
        </w:rPr>
        <w:t xml:space="preserve">znamená zvýšení závazků o 2 339 734 tis. Kč. </w:t>
      </w:r>
      <w:r w:rsidRPr="00FA0730">
        <w:rPr>
          <w:bCs/>
        </w:rPr>
        <w:t>Na výsledném saldu</w:t>
      </w:r>
      <w:r w:rsidRPr="004B11AC">
        <w:rPr>
          <w:bCs/>
          <w:color w:val="FF0000"/>
        </w:rPr>
        <w:t xml:space="preserve"> </w:t>
      </w:r>
      <w:r w:rsidRPr="002F2EA7">
        <w:rPr>
          <w:bCs/>
        </w:rPr>
        <w:t>zvýšení závazků se podílí zejména ústřední orgán MD</w:t>
      </w:r>
      <w:r w:rsidRPr="007A43BC">
        <w:rPr>
          <w:bCs/>
        </w:rPr>
        <w:t>. Rozdíl ve stavu závazků představuje především zvýšení stavu dlouhodobých přijatých záloh na projekty CEF.</w:t>
      </w:r>
    </w:p>
    <w:p w14:paraId="0C2F6B70" w14:textId="77777777" w:rsidR="005475F2" w:rsidRPr="00B070BE" w:rsidRDefault="005475F2" w:rsidP="005475F2">
      <w:pPr>
        <w:pStyle w:val="Znormal"/>
        <w:spacing w:line="276" w:lineRule="auto"/>
        <w:ind w:firstLine="0"/>
        <w:rPr>
          <w:bCs/>
        </w:rPr>
      </w:pPr>
      <w:r w:rsidRPr="007A43BC">
        <w:rPr>
          <w:bCs/>
        </w:rPr>
        <w:t>Vykázaný stav</w:t>
      </w:r>
      <w:r w:rsidRPr="007A43BC">
        <w:rPr>
          <w:b/>
          <w:bCs/>
        </w:rPr>
        <w:t xml:space="preserve"> </w:t>
      </w:r>
      <w:r w:rsidRPr="007A43BC">
        <w:rPr>
          <w:bCs/>
        </w:rPr>
        <w:t xml:space="preserve">závazků k 31.12.2019 příspěvkových organizací v absolutní částce  </w:t>
      </w:r>
      <w:r w:rsidRPr="007A43BC">
        <w:rPr>
          <w:bCs/>
        </w:rPr>
        <w:br/>
        <w:t xml:space="preserve">15 286 852 tis. Kč je oproti 31.12.2018 vyšší o 5 655 866 tis. Kč. </w:t>
      </w:r>
      <w:r w:rsidRPr="00E108EB">
        <w:rPr>
          <w:bCs/>
        </w:rPr>
        <w:t xml:space="preserve">Na výsledném </w:t>
      </w:r>
      <w:r w:rsidRPr="00FD49B5">
        <w:rPr>
          <w:bCs/>
        </w:rPr>
        <w:t xml:space="preserve">saldu zvýšení závazků se podílí zejména Ředitelství silnic a dálnic ČR, a to především navýšením závazků dodavatelům. To způsobil větší počet faktur na účtu a časový nesoulad příjmu dotace </w:t>
      </w:r>
      <w:r w:rsidRPr="00FD49B5">
        <w:rPr>
          <w:bCs/>
        </w:rPr>
        <w:br/>
        <w:t xml:space="preserve">a fakturace. </w:t>
      </w:r>
      <w:r w:rsidRPr="00E108EB">
        <w:rPr>
          <w:bCs/>
        </w:rPr>
        <w:t>Podle sdělení organizačních složek státu nebylo do konce roku</w:t>
      </w:r>
      <w:r w:rsidRPr="004B11AC">
        <w:rPr>
          <w:bCs/>
          <w:color w:val="FF0000"/>
        </w:rPr>
        <w:t xml:space="preserve"> </w:t>
      </w:r>
      <w:r w:rsidRPr="00E108EB">
        <w:rPr>
          <w:bCs/>
        </w:rPr>
        <w:t>2019 uhrazeno celkem</w:t>
      </w:r>
      <w:r w:rsidRPr="004B11AC">
        <w:rPr>
          <w:bCs/>
          <w:color w:val="FF0000"/>
        </w:rPr>
        <w:t xml:space="preserve">  </w:t>
      </w:r>
      <w:r w:rsidRPr="002F2EA7">
        <w:rPr>
          <w:bCs/>
        </w:rPr>
        <w:t>593 ks faktur.</w:t>
      </w:r>
      <w:r w:rsidRPr="004B11AC">
        <w:rPr>
          <w:bCs/>
          <w:color w:val="FF0000"/>
        </w:rPr>
        <w:t xml:space="preserve"> </w:t>
      </w:r>
      <w:r w:rsidRPr="00E108EB">
        <w:rPr>
          <w:bCs/>
        </w:rPr>
        <w:t xml:space="preserve">U příspěvkových organizací nebylo uhrazeno </w:t>
      </w:r>
      <w:r w:rsidRPr="00B070BE">
        <w:rPr>
          <w:bCs/>
        </w:rPr>
        <w:t xml:space="preserve">celkem 2 489 ks faktur, z toho 2 387 ks u Ředitelství silnic a dálnic ČR. </w:t>
      </w:r>
    </w:p>
    <w:p w14:paraId="123959D1" w14:textId="42BB9CD8" w:rsidR="005475F2" w:rsidRPr="00E108EB" w:rsidRDefault="005475F2" w:rsidP="005475F2">
      <w:pPr>
        <w:pStyle w:val="Titulek"/>
      </w:pPr>
      <w:bookmarkStart w:id="340" w:name="_Toc2855768"/>
      <w:bookmarkStart w:id="341" w:name="_Toc34288681"/>
      <w:r w:rsidRPr="00E108EB">
        <w:t xml:space="preserve">Graf č. </w:t>
      </w:r>
      <w:r w:rsidRPr="00E108EB">
        <w:rPr>
          <w:noProof/>
        </w:rPr>
        <w:fldChar w:fldCharType="begin"/>
      </w:r>
      <w:r w:rsidRPr="00E108EB">
        <w:rPr>
          <w:noProof/>
        </w:rPr>
        <w:instrText xml:space="preserve"> SEQ Graf_č. \* ARABIC </w:instrText>
      </w:r>
      <w:r w:rsidRPr="00E108EB">
        <w:rPr>
          <w:noProof/>
        </w:rPr>
        <w:fldChar w:fldCharType="separate"/>
      </w:r>
      <w:r w:rsidR="00DF450F">
        <w:rPr>
          <w:noProof/>
        </w:rPr>
        <w:t>14</w:t>
      </w:r>
      <w:r w:rsidRPr="00E108EB">
        <w:rPr>
          <w:noProof/>
        </w:rPr>
        <w:fldChar w:fldCharType="end"/>
      </w:r>
      <w:r w:rsidRPr="00E108EB">
        <w:t>:  Porovnání stavu závazků kapitoly 327-MD (v tis. Kč)</w:t>
      </w:r>
      <w:bookmarkEnd w:id="339"/>
      <w:bookmarkEnd w:id="340"/>
      <w:bookmarkEnd w:id="341"/>
    </w:p>
    <w:bookmarkEnd w:id="336"/>
    <w:bookmarkEnd w:id="337"/>
    <w:bookmarkEnd w:id="338"/>
    <w:p w14:paraId="3D376E42" w14:textId="75FC8820" w:rsidR="005475F2" w:rsidRPr="004B11AC" w:rsidRDefault="005475F2" w:rsidP="005475F2">
      <w:pPr>
        <w:pStyle w:val="Zkladntextodsazen"/>
        <w:tabs>
          <w:tab w:val="left" w:pos="2325"/>
        </w:tabs>
        <w:spacing w:before="240" w:after="120"/>
        <w:ind w:firstLine="0"/>
        <w:rPr>
          <w:b/>
          <w:color w:val="FF0000"/>
          <w:u w:val="single"/>
        </w:rPr>
      </w:pPr>
      <w:r w:rsidRPr="00900BF0">
        <w:rPr>
          <w:noProof/>
          <w:color w:val="FF0000"/>
        </w:rPr>
        <w:drawing>
          <wp:inline distT="0" distB="0" distL="0" distR="0" wp14:anchorId="79AA28E4" wp14:editId="520A391C">
            <wp:extent cx="5657850" cy="2105025"/>
            <wp:effectExtent l="0" t="0" r="0" b="0"/>
            <wp:docPr id="2" name="Graf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128DB0D2" w14:textId="77777777" w:rsidR="005475F2" w:rsidRPr="00E108EB" w:rsidRDefault="005475F2" w:rsidP="005475F2">
      <w:pPr>
        <w:pStyle w:val="Zkladntextodsazen"/>
        <w:tabs>
          <w:tab w:val="left" w:pos="2325"/>
        </w:tabs>
        <w:spacing w:before="240" w:after="120"/>
        <w:ind w:firstLine="0"/>
        <w:rPr>
          <w:u w:val="single"/>
        </w:rPr>
      </w:pPr>
      <w:r w:rsidRPr="00E108EB">
        <w:rPr>
          <w:b/>
          <w:u w:val="single"/>
        </w:rPr>
        <w:t>Zůstatky na jednotlivých účtech u bank</w:t>
      </w:r>
    </w:p>
    <w:p w14:paraId="60C52FC5" w14:textId="77777777" w:rsidR="005475F2" w:rsidRPr="00E108EB" w:rsidRDefault="005475F2" w:rsidP="005475F2">
      <w:pPr>
        <w:pStyle w:val="Znormal"/>
        <w:spacing w:line="276" w:lineRule="auto"/>
        <w:ind w:firstLine="0"/>
      </w:pPr>
      <w:r w:rsidRPr="00E108EB">
        <w:t xml:space="preserve">Všechny organizační složky státu realizovaly výdaje na činnost prostřednictvím svých výdajových účtů u České národní banky. </w:t>
      </w:r>
    </w:p>
    <w:p w14:paraId="07C67D59" w14:textId="70B6CBB5" w:rsidR="005475F2" w:rsidRPr="00B070BE" w:rsidRDefault="005475F2" w:rsidP="005475F2">
      <w:pPr>
        <w:pStyle w:val="Znormal"/>
        <w:spacing w:line="276" w:lineRule="auto"/>
        <w:ind w:firstLine="0"/>
      </w:pPr>
      <w:r w:rsidRPr="00E108EB">
        <w:t xml:space="preserve">Na účtech u bank byly k 31.12.2019 organizacemi rezortu dopravy evidovány finanční prostředky v celkové výši </w:t>
      </w:r>
      <w:r w:rsidRPr="00B070BE">
        <w:t>3 770 488 tis. Kč, přičemž jde především o prostředky příspěvkových organizací</w:t>
      </w:r>
      <w:r w:rsidR="007C3490">
        <w:t xml:space="preserve"> </w:t>
      </w:r>
      <w:r w:rsidR="007C3490" w:rsidRPr="00B070BE">
        <w:t>(3 426 486 tis. Kč)</w:t>
      </w:r>
      <w:r w:rsidRPr="00B070BE">
        <w:t>, a to Ředitelství silnic a dálnic ČR a Centra služeb pro silniční do</w:t>
      </w:r>
      <w:r w:rsidR="007C3490">
        <w:t>pravu</w:t>
      </w:r>
      <w:r w:rsidRPr="00B070BE">
        <w:t xml:space="preserve">, z toho Ředitelství silnic a dálnic ČR 3 359 789 tis. Kč. </w:t>
      </w:r>
    </w:p>
    <w:p w14:paraId="64C37E92" w14:textId="6D3BC9AD" w:rsidR="005475F2" w:rsidRPr="00E108EB" w:rsidRDefault="005475F2" w:rsidP="005475F2">
      <w:pPr>
        <w:pStyle w:val="Znormal"/>
        <w:spacing w:line="276" w:lineRule="auto"/>
        <w:ind w:firstLine="0"/>
      </w:pPr>
      <w:r w:rsidRPr="00E108EB">
        <w:t xml:space="preserve">Příspěvkové organizace ŘSD ČR a CSPSD ke konci roku 2016 zřídily na základě zákona </w:t>
      </w:r>
      <w:r>
        <w:br/>
      </w:r>
      <w:r w:rsidRPr="00E108EB">
        <w:t>č. 128/2016 Sb., kterým došlo ke změně zákona č. 218/2000 Sb., o rozpočtových pravidlech, nové účty u České národní banky a převedly na ně větší část finančních  prostředků.</w:t>
      </w:r>
      <w:r w:rsidRPr="004B11AC">
        <w:rPr>
          <w:color w:val="FF0000"/>
        </w:rPr>
        <w:t xml:space="preserve"> </w:t>
      </w:r>
      <w:r w:rsidRPr="00E108EB">
        <w:t xml:space="preserve">Z tohoto </w:t>
      </w:r>
      <w:r w:rsidRPr="00E108EB">
        <w:lastRenderedPageBreak/>
        <w:t>důvodu je k 31.12.2019 n</w:t>
      </w:r>
      <w:r w:rsidR="00D24979">
        <w:t>ejvětší objem zůstatků u</w:t>
      </w:r>
      <w:r w:rsidRPr="00E108EB">
        <w:t xml:space="preserve"> příspěvkových organizací na účtech vedených v ČNB. </w:t>
      </w:r>
    </w:p>
    <w:p w14:paraId="69AEC2D2" w14:textId="77777777" w:rsidR="004615AA" w:rsidRDefault="005475F2" w:rsidP="005475F2">
      <w:pPr>
        <w:pStyle w:val="Znormal"/>
        <w:spacing w:line="276" w:lineRule="auto"/>
        <w:ind w:firstLine="0"/>
      </w:pPr>
      <w:r w:rsidRPr="00E108EB">
        <w:t>Zůstatek na účtech příspěvkových organizací v České národní bance činí</w:t>
      </w:r>
      <w:r w:rsidRPr="004B11AC">
        <w:rPr>
          <w:color w:val="FF0000"/>
        </w:rPr>
        <w:t xml:space="preserve">                   </w:t>
      </w:r>
      <w:r w:rsidRPr="004B11AC">
        <w:rPr>
          <w:color w:val="FF0000"/>
        </w:rPr>
        <w:br/>
      </w:r>
      <w:r w:rsidRPr="00B53B5D">
        <w:t xml:space="preserve">3 214 178 tis. Kč. Na těchto účtech jsou vedeny prostředky fondu reprodukce majetku, fondu odměn, fondu kulturních a sociálních potřeb, deponované prostředky, běžné provozní prostředky a poskytnuté zálohy na Operační program Doprava. </w:t>
      </w:r>
    </w:p>
    <w:p w14:paraId="3ADB8C91" w14:textId="48EFD128" w:rsidR="005475F2" w:rsidRPr="00B53B5D" w:rsidRDefault="005475F2" w:rsidP="005475F2">
      <w:pPr>
        <w:pStyle w:val="Znormal"/>
        <w:spacing w:line="276" w:lineRule="auto"/>
        <w:ind w:firstLine="0"/>
      </w:pPr>
      <w:r w:rsidRPr="00B53B5D">
        <w:t xml:space="preserve">Ředitelství silnic a dálnic ČR </w:t>
      </w:r>
      <w:r w:rsidR="004615AA">
        <w:t xml:space="preserve">na účtech v ČNB a ČSOB </w:t>
      </w:r>
      <w:r w:rsidRPr="00B53B5D">
        <w:t xml:space="preserve">eviduje prostředky, které jsou tvořeny zejména složenými kaucemi za OBU jednotky (palubní jednotky pro výpočet mýtného) </w:t>
      </w:r>
      <w:r w:rsidR="004615AA">
        <w:br/>
      </w:r>
      <w:r w:rsidRPr="00B53B5D">
        <w:t xml:space="preserve">a zálohami za předplacené mýto (pre-pay). </w:t>
      </w:r>
    </w:p>
    <w:p w14:paraId="13AC753D" w14:textId="4C392361" w:rsidR="005475F2" w:rsidRPr="00E108EB" w:rsidRDefault="005475F2" w:rsidP="005475F2">
      <w:pPr>
        <w:pStyle w:val="Znormal"/>
        <w:spacing w:line="276" w:lineRule="auto"/>
        <w:ind w:firstLine="0"/>
      </w:pPr>
      <w:r w:rsidRPr="00E108EB">
        <w:t>Na základě souhlasu Ministerstva financí mají organizační složky státu Úřad pro civilní letectví a Ústav pro odborné zjišťování příčin leteckých nehod (u Komerční banky, a.s.),</w:t>
      </w:r>
      <w:r w:rsidRPr="004B11AC">
        <w:rPr>
          <w:color w:val="FF0000"/>
        </w:rPr>
        <w:t xml:space="preserve"> </w:t>
      </w:r>
      <w:r w:rsidRPr="00481CA2">
        <w:t>Ústřední orgán MD (u Československé obchodní banky, a.s.) a</w:t>
      </w:r>
      <w:r w:rsidRPr="00E108EB">
        <w:t xml:space="preserve"> Drážní inspekce (u Fio banky, a.s.) zřízen účet </w:t>
      </w:r>
      <w:r>
        <w:br/>
      </w:r>
      <w:r w:rsidRPr="00E108EB">
        <w:t xml:space="preserve">k úhradě výdajů souvisejících s pracovními cestami vybraných zaměstnanců a se službami v zahraničí prostřednictvím platebních karet. </w:t>
      </w:r>
    </w:p>
    <w:p w14:paraId="5A1A617A" w14:textId="77777777" w:rsidR="005475F2" w:rsidRPr="004B11AC" w:rsidRDefault="005475F2" w:rsidP="005475F2">
      <w:pPr>
        <w:pStyle w:val="Znormal"/>
        <w:spacing w:line="276" w:lineRule="auto"/>
        <w:ind w:firstLine="0"/>
        <w:rPr>
          <w:color w:val="FF0000"/>
        </w:rPr>
      </w:pPr>
      <w:r w:rsidRPr="00E108EB">
        <w:t xml:space="preserve">Zůstatky na účtech organizačních složek státu, kterým byly Ministerstvem financí povoleny platební karty, činí k 31.12.2019 </w:t>
      </w:r>
      <w:r w:rsidRPr="00481CA2">
        <w:t>celkem 8 tis. Kč.</w:t>
      </w:r>
      <w:r w:rsidRPr="004B11AC">
        <w:rPr>
          <w:color w:val="FF0000"/>
        </w:rPr>
        <w:t xml:space="preserve"> </w:t>
      </w:r>
    </w:p>
    <w:p w14:paraId="6670C261" w14:textId="77777777" w:rsidR="00CA6C9A" w:rsidRDefault="00CA6C9A" w:rsidP="005475F2">
      <w:pPr>
        <w:pStyle w:val="Znormal"/>
        <w:spacing w:before="240" w:line="276" w:lineRule="auto"/>
        <w:ind w:firstLine="0"/>
      </w:pPr>
    </w:p>
    <w:p w14:paraId="411A67A0" w14:textId="15A8328F" w:rsidR="005475F2" w:rsidRPr="00E108EB" w:rsidRDefault="005475F2" w:rsidP="005475F2">
      <w:pPr>
        <w:pStyle w:val="Znormal"/>
        <w:spacing w:before="240" w:line="276" w:lineRule="auto"/>
        <w:ind w:firstLine="0"/>
      </w:pPr>
      <w:r w:rsidRPr="00E108EB">
        <w:t>Zůstatky na jednotlivých účtech u bank jsou uvedeny v tabulce:</w:t>
      </w:r>
    </w:p>
    <w:p w14:paraId="2D064AF4" w14:textId="77777777" w:rsidR="005475F2" w:rsidRPr="00A600F1" w:rsidRDefault="005475F2" w:rsidP="005475F2">
      <w:pPr>
        <w:pStyle w:val="Zkladntext"/>
        <w:ind w:left="431"/>
      </w:pPr>
      <w:r w:rsidRPr="004B11AC">
        <w:rPr>
          <w:color w:val="FF0000"/>
        </w:rPr>
        <w:t xml:space="preserve">                                                                                                                                    </w:t>
      </w:r>
      <w:r w:rsidRPr="00A600F1">
        <w:t>v tis. Kč</w:t>
      </w:r>
    </w:p>
    <w:tbl>
      <w:tblPr>
        <w:tblW w:w="9180" w:type="dxa"/>
        <w:tblLook w:val="04A0" w:firstRow="1" w:lastRow="0" w:firstColumn="1" w:lastColumn="0" w:noHBand="0" w:noVBand="1"/>
      </w:tblPr>
      <w:tblGrid>
        <w:gridCol w:w="2878"/>
        <w:gridCol w:w="1601"/>
        <w:gridCol w:w="1299"/>
        <w:gridCol w:w="1134"/>
        <w:gridCol w:w="1134"/>
        <w:gridCol w:w="1134"/>
      </w:tblGrid>
      <w:tr w:rsidR="005475F2" w:rsidRPr="00A600F1" w14:paraId="6D2DA45D" w14:textId="77777777" w:rsidTr="005475F2">
        <w:trPr>
          <w:trHeight w:val="340"/>
        </w:trPr>
        <w:tc>
          <w:tcPr>
            <w:tcW w:w="2878" w:type="dxa"/>
            <w:vMerge w:val="restart"/>
            <w:tcBorders>
              <w:top w:val="single" w:sz="4" w:space="0" w:color="auto"/>
              <w:left w:val="single" w:sz="4" w:space="0" w:color="auto"/>
              <w:right w:val="single" w:sz="4" w:space="0" w:color="auto"/>
            </w:tcBorders>
            <w:shd w:val="clear" w:color="auto" w:fill="auto"/>
            <w:vAlign w:val="center"/>
          </w:tcPr>
          <w:p w14:paraId="657646B5" w14:textId="77777777" w:rsidR="005475F2" w:rsidRPr="00A600F1" w:rsidRDefault="005475F2" w:rsidP="005475F2">
            <w:pPr>
              <w:pStyle w:val="Zkladntext"/>
              <w:spacing w:before="0"/>
              <w:jc w:val="left"/>
              <w:rPr>
                <w:b/>
              </w:rPr>
            </w:pPr>
            <w:r w:rsidRPr="00A600F1">
              <w:rPr>
                <w:b/>
              </w:rPr>
              <w:t>Název účtu</w:t>
            </w:r>
          </w:p>
        </w:tc>
        <w:tc>
          <w:tcPr>
            <w:tcW w:w="1601" w:type="dxa"/>
            <w:tcBorders>
              <w:top w:val="single" w:sz="4" w:space="0" w:color="auto"/>
              <w:left w:val="single" w:sz="4" w:space="0" w:color="auto"/>
              <w:right w:val="single" w:sz="4" w:space="0" w:color="auto"/>
            </w:tcBorders>
            <w:shd w:val="clear" w:color="auto" w:fill="auto"/>
          </w:tcPr>
          <w:p w14:paraId="05838651" w14:textId="77777777" w:rsidR="005475F2" w:rsidRPr="00A600F1" w:rsidRDefault="005475F2" w:rsidP="005475F2">
            <w:pPr>
              <w:pStyle w:val="Zkladntext"/>
              <w:spacing w:before="0"/>
              <w:rPr>
                <w:b/>
              </w:rPr>
            </w:pPr>
            <w:r w:rsidRPr="00A600F1">
              <w:rPr>
                <w:b/>
              </w:rPr>
              <w:t>Zůstatek</w:t>
            </w:r>
          </w:p>
        </w:tc>
        <w:tc>
          <w:tcPr>
            <w:tcW w:w="1299" w:type="dxa"/>
            <w:tcBorders>
              <w:top w:val="single" w:sz="4" w:space="0" w:color="auto"/>
              <w:left w:val="single" w:sz="4" w:space="0" w:color="auto"/>
              <w:right w:val="single" w:sz="4" w:space="0" w:color="auto"/>
            </w:tcBorders>
            <w:shd w:val="clear" w:color="auto" w:fill="auto"/>
          </w:tcPr>
          <w:p w14:paraId="21C48EDF" w14:textId="77777777" w:rsidR="005475F2" w:rsidRPr="00A600F1" w:rsidRDefault="005475F2" w:rsidP="005475F2">
            <w:pPr>
              <w:pStyle w:val="Zkladntext"/>
              <w:spacing w:before="0"/>
            </w:pPr>
            <w:r w:rsidRPr="00A600F1">
              <w:t>v tom:</w:t>
            </w:r>
          </w:p>
        </w:tc>
        <w:tc>
          <w:tcPr>
            <w:tcW w:w="1134" w:type="dxa"/>
            <w:tcBorders>
              <w:top w:val="single" w:sz="4" w:space="0" w:color="auto"/>
              <w:left w:val="single" w:sz="4" w:space="0" w:color="auto"/>
              <w:right w:val="single" w:sz="4" w:space="0" w:color="auto"/>
            </w:tcBorders>
            <w:shd w:val="clear" w:color="auto" w:fill="auto"/>
          </w:tcPr>
          <w:p w14:paraId="0CA9B265" w14:textId="77777777" w:rsidR="005475F2" w:rsidRPr="00A600F1" w:rsidRDefault="005475F2" w:rsidP="005475F2">
            <w:pPr>
              <w:pStyle w:val="Zkladntext"/>
              <w:spacing w:before="0"/>
              <w:rPr>
                <w:b/>
                <w:u w:val="single"/>
              </w:rPr>
            </w:pPr>
          </w:p>
        </w:tc>
        <w:tc>
          <w:tcPr>
            <w:tcW w:w="1134" w:type="dxa"/>
            <w:tcBorders>
              <w:top w:val="single" w:sz="4" w:space="0" w:color="auto"/>
              <w:left w:val="single" w:sz="4" w:space="0" w:color="auto"/>
              <w:right w:val="single" w:sz="4" w:space="0" w:color="auto"/>
            </w:tcBorders>
            <w:shd w:val="clear" w:color="auto" w:fill="auto"/>
          </w:tcPr>
          <w:p w14:paraId="652D74B4" w14:textId="77777777" w:rsidR="005475F2" w:rsidRPr="00A600F1" w:rsidRDefault="005475F2" w:rsidP="005475F2">
            <w:pPr>
              <w:pStyle w:val="Zkladntext"/>
              <w:spacing w:before="0"/>
              <w:rPr>
                <w:b/>
                <w:u w:val="single"/>
              </w:rPr>
            </w:pPr>
          </w:p>
        </w:tc>
        <w:tc>
          <w:tcPr>
            <w:tcW w:w="1134" w:type="dxa"/>
            <w:tcBorders>
              <w:top w:val="single" w:sz="4" w:space="0" w:color="auto"/>
              <w:left w:val="single" w:sz="4" w:space="0" w:color="auto"/>
              <w:right w:val="single" w:sz="4" w:space="0" w:color="auto"/>
            </w:tcBorders>
            <w:shd w:val="clear" w:color="auto" w:fill="auto"/>
          </w:tcPr>
          <w:p w14:paraId="1BE2F715" w14:textId="77777777" w:rsidR="005475F2" w:rsidRPr="00A600F1" w:rsidRDefault="005475F2" w:rsidP="005475F2">
            <w:pPr>
              <w:pStyle w:val="Zkladntext"/>
              <w:spacing w:before="0"/>
              <w:rPr>
                <w:b/>
                <w:u w:val="single"/>
              </w:rPr>
            </w:pPr>
          </w:p>
        </w:tc>
      </w:tr>
      <w:tr w:rsidR="005475F2" w:rsidRPr="00A600F1" w14:paraId="28917FD8" w14:textId="77777777" w:rsidTr="005475F2">
        <w:trPr>
          <w:trHeight w:val="340"/>
        </w:trPr>
        <w:tc>
          <w:tcPr>
            <w:tcW w:w="2878" w:type="dxa"/>
            <w:vMerge/>
            <w:tcBorders>
              <w:left w:val="single" w:sz="4" w:space="0" w:color="auto"/>
              <w:bottom w:val="single" w:sz="4" w:space="0" w:color="auto"/>
              <w:right w:val="single" w:sz="4" w:space="0" w:color="auto"/>
            </w:tcBorders>
            <w:shd w:val="clear" w:color="auto" w:fill="auto"/>
          </w:tcPr>
          <w:p w14:paraId="0B07656C" w14:textId="77777777" w:rsidR="005475F2" w:rsidRPr="00A600F1" w:rsidRDefault="005475F2" w:rsidP="005475F2">
            <w:pPr>
              <w:pStyle w:val="Zkladntext"/>
              <w:spacing w:before="0"/>
              <w:rPr>
                <w:b/>
              </w:rPr>
            </w:pPr>
          </w:p>
        </w:tc>
        <w:tc>
          <w:tcPr>
            <w:tcW w:w="1601" w:type="dxa"/>
            <w:tcBorders>
              <w:left w:val="single" w:sz="4" w:space="0" w:color="auto"/>
              <w:bottom w:val="single" w:sz="4" w:space="0" w:color="auto"/>
              <w:right w:val="single" w:sz="4" w:space="0" w:color="auto"/>
            </w:tcBorders>
            <w:shd w:val="clear" w:color="auto" w:fill="auto"/>
          </w:tcPr>
          <w:p w14:paraId="35CA876C" w14:textId="77777777" w:rsidR="005475F2" w:rsidRPr="00A600F1" w:rsidRDefault="005475F2" w:rsidP="005475F2">
            <w:pPr>
              <w:pStyle w:val="Zkladntext"/>
              <w:spacing w:before="0"/>
              <w:rPr>
                <w:b/>
              </w:rPr>
            </w:pPr>
            <w:r w:rsidRPr="00A600F1">
              <w:rPr>
                <w:b/>
              </w:rPr>
              <w:t>k 31.12.2019</w:t>
            </w:r>
          </w:p>
        </w:tc>
        <w:tc>
          <w:tcPr>
            <w:tcW w:w="1299" w:type="dxa"/>
            <w:tcBorders>
              <w:left w:val="single" w:sz="4" w:space="0" w:color="auto"/>
              <w:bottom w:val="single" w:sz="4" w:space="0" w:color="auto"/>
              <w:right w:val="single" w:sz="4" w:space="0" w:color="auto"/>
            </w:tcBorders>
            <w:shd w:val="clear" w:color="auto" w:fill="auto"/>
          </w:tcPr>
          <w:p w14:paraId="35BA1400" w14:textId="77777777" w:rsidR="005475F2" w:rsidRPr="00A600F1" w:rsidRDefault="005475F2" w:rsidP="005475F2">
            <w:pPr>
              <w:pStyle w:val="Zkladntext"/>
              <w:spacing w:before="0"/>
              <w:jc w:val="center"/>
              <w:rPr>
                <w:b/>
              </w:rPr>
            </w:pPr>
            <w:r w:rsidRPr="00A600F1">
              <w:rPr>
                <w:b/>
              </w:rPr>
              <w:t>ČNB</w:t>
            </w:r>
          </w:p>
        </w:tc>
        <w:tc>
          <w:tcPr>
            <w:tcW w:w="1134" w:type="dxa"/>
            <w:tcBorders>
              <w:left w:val="single" w:sz="4" w:space="0" w:color="auto"/>
              <w:bottom w:val="single" w:sz="4" w:space="0" w:color="auto"/>
              <w:right w:val="single" w:sz="4" w:space="0" w:color="auto"/>
            </w:tcBorders>
            <w:shd w:val="clear" w:color="auto" w:fill="auto"/>
          </w:tcPr>
          <w:p w14:paraId="3E9E0EB4" w14:textId="77777777" w:rsidR="005475F2" w:rsidRPr="00A600F1" w:rsidRDefault="005475F2" w:rsidP="005475F2">
            <w:pPr>
              <w:pStyle w:val="Zkladntext"/>
              <w:spacing w:before="0"/>
              <w:jc w:val="center"/>
              <w:rPr>
                <w:b/>
              </w:rPr>
            </w:pPr>
            <w:r w:rsidRPr="00A600F1">
              <w:rPr>
                <w:b/>
              </w:rPr>
              <w:t>KB</w:t>
            </w:r>
          </w:p>
        </w:tc>
        <w:tc>
          <w:tcPr>
            <w:tcW w:w="1134" w:type="dxa"/>
            <w:tcBorders>
              <w:left w:val="single" w:sz="4" w:space="0" w:color="auto"/>
              <w:bottom w:val="single" w:sz="4" w:space="0" w:color="auto"/>
              <w:right w:val="single" w:sz="4" w:space="0" w:color="auto"/>
            </w:tcBorders>
            <w:shd w:val="clear" w:color="auto" w:fill="auto"/>
          </w:tcPr>
          <w:p w14:paraId="50A6ECE7" w14:textId="77777777" w:rsidR="005475F2" w:rsidRPr="00A600F1" w:rsidRDefault="005475F2" w:rsidP="005475F2">
            <w:pPr>
              <w:pStyle w:val="Zkladntext"/>
              <w:spacing w:before="0"/>
              <w:jc w:val="center"/>
              <w:rPr>
                <w:b/>
              </w:rPr>
            </w:pPr>
            <w:r w:rsidRPr="00A600F1">
              <w:rPr>
                <w:b/>
              </w:rPr>
              <w:t>ČSOB</w:t>
            </w:r>
          </w:p>
        </w:tc>
        <w:tc>
          <w:tcPr>
            <w:tcW w:w="1134" w:type="dxa"/>
            <w:tcBorders>
              <w:left w:val="single" w:sz="4" w:space="0" w:color="auto"/>
              <w:bottom w:val="single" w:sz="4" w:space="0" w:color="auto"/>
              <w:right w:val="single" w:sz="4" w:space="0" w:color="auto"/>
            </w:tcBorders>
            <w:shd w:val="clear" w:color="auto" w:fill="auto"/>
          </w:tcPr>
          <w:p w14:paraId="2EDB27C5" w14:textId="77777777" w:rsidR="005475F2" w:rsidRPr="00A600F1" w:rsidRDefault="005475F2" w:rsidP="005475F2">
            <w:pPr>
              <w:pStyle w:val="Zkladntext"/>
              <w:spacing w:before="0"/>
              <w:jc w:val="center"/>
              <w:rPr>
                <w:b/>
              </w:rPr>
            </w:pPr>
            <w:r w:rsidRPr="00A600F1">
              <w:rPr>
                <w:b/>
              </w:rPr>
              <w:t>Ostatní</w:t>
            </w:r>
          </w:p>
        </w:tc>
      </w:tr>
      <w:tr w:rsidR="005475F2" w:rsidRPr="004B11AC" w14:paraId="7881358F" w14:textId="77777777" w:rsidTr="005475F2">
        <w:trPr>
          <w:trHeight w:val="340"/>
        </w:trPr>
        <w:tc>
          <w:tcPr>
            <w:tcW w:w="2878" w:type="dxa"/>
            <w:tcBorders>
              <w:top w:val="single" w:sz="4" w:space="0" w:color="auto"/>
              <w:left w:val="single" w:sz="4" w:space="0" w:color="auto"/>
              <w:bottom w:val="single" w:sz="4" w:space="0" w:color="auto"/>
              <w:right w:val="single" w:sz="4" w:space="0" w:color="auto"/>
            </w:tcBorders>
            <w:shd w:val="clear" w:color="auto" w:fill="auto"/>
            <w:vAlign w:val="bottom"/>
          </w:tcPr>
          <w:p w14:paraId="70E23BAF" w14:textId="77777777" w:rsidR="005475F2" w:rsidRPr="00A600F1" w:rsidRDefault="005475F2" w:rsidP="005475F2">
            <w:pPr>
              <w:pStyle w:val="Zkladntext"/>
              <w:spacing w:before="0"/>
              <w:jc w:val="left"/>
            </w:pPr>
            <w:r w:rsidRPr="00A600F1">
              <w:t>Cizí prostředky</w:t>
            </w:r>
          </w:p>
        </w:tc>
        <w:tc>
          <w:tcPr>
            <w:tcW w:w="1601" w:type="dxa"/>
            <w:tcBorders>
              <w:top w:val="single" w:sz="4" w:space="0" w:color="auto"/>
              <w:left w:val="single" w:sz="4" w:space="0" w:color="auto"/>
              <w:bottom w:val="single" w:sz="4" w:space="0" w:color="auto"/>
              <w:right w:val="single" w:sz="4" w:space="0" w:color="auto"/>
            </w:tcBorders>
            <w:shd w:val="clear" w:color="auto" w:fill="auto"/>
          </w:tcPr>
          <w:p w14:paraId="3218ADF3" w14:textId="77777777" w:rsidR="005475F2" w:rsidRPr="002F13CB" w:rsidRDefault="005475F2" w:rsidP="005475F2">
            <w:pPr>
              <w:jc w:val="right"/>
            </w:pPr>
            <w:r w:rsidRPr="002F13CB">
              <w:t>61 679</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77D6030A" w14:textId="77777777" w:rsidR="005475F2" w:rsidRPr="002F13CB" w:rsidRDefault="005475F2" w:rsidP="005475F2">
            <w:pPr>
              <w:jc w:val="right"/>
            </w:pPr>
            <w:r w:rsidRPr="002F13CB">
              <w:t>61 679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3F8693" w14:textId="77777777" w:rsidR="005475F2" w:rsidRPr="002F13CB" w:rsidRDefault="005475F2" w:rsidP="005475F2">
            <w:pPr>
              <w:jc w:val="right"/>
            </w:pPr>
            <w:r w:rsidRPr="002F13CB">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1A9DA0" w14:textId="77777777" w:rsidR="005475F2" w:rsidRPr="002F13CB" w:rsidRDefault="005475F2" w:rsidP="005475F2">
            <w:pPr>
              <w:jc w:val="right"/>
            </w:pPr>
            <w:r w:rsidRPr="002F13CB">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1DF65D" w14:textId="77777777" w:rsidR="005475F2" w:rsidRPr="002F13CB" w:rsidRDefault="005475F2" w:rsidP="005475F2">
            <w:pPr>
              <w:jc w:val="right"/>
            </w:pPr>
            <w:r w:rsidRPr="002F13CB">
              <w:t>0</w:t>
            </w:r>
          </w:p>
        </w:tc>
      </w:tr>
      <w:tr w:rsidR="005475F2" w:rsidRPr="004B11AC" w14:paraId="1126714E" w14:textId="77777777" w:rsidTr="005475F2">
        <w:trPr>
          <w:trHeight w:val="340"/>
        </w:trPr>
        <w:tc>
          <w:tcPr>
            <w:tcW w:w="2878" w:type="dxa"/>
            <w:tcBorders>
              <w:top w:val="single" w:sz="4" w:space="0" w:color="auto"/>
              <w:left w:val="single" w:sz="4" w:space="0" w:color="auto"/>
              <w:bottom w:val="single" w:sz="4" w:space="0" w:color="auto"/>
              <w:right w:val="single" w:sz="4" w:space="0" w:color="auto"/>
            </w:tcBorders>
            <w:shd w:val="clear" w:color="auto" w:fill="auto"/>
            <w:vAlign w:val="bottom"/>
          </w:tcPr>
          <w:p w14:paraId="0FF09EBF" w14:textId="77777777" w:rsidR="005475F2" w:rsidRPr="00A600F1" w:rsidRDefault="005475F2" w:rsidP="005475F2">
            <w:pPr>
              <w:pStyle w:val="Zkladntext"/>
              <w:spacing w:before="0"/>
              <w:jc w:val="left"/>
            </w:pPr>
            <w:r w:rsidRPr="00A600F1">
              <w:t>FKSP</w:t>
            </w:r>
          </w:p>
        </w:tc>
        <w:tc>
          <w:tcPr>
            <w:tcW w:w="1601" w:type="dxa"/>
            <w:tcBorders>
              <w:top w:val="single" w:sz="4" w:space="0" w:color="auto"/>
              <w:left w:val="single" w:sz="4" w:space="0" w:color="auto"/>
              <w:bottom w:val="single" w:sz="4" w:space="0" w:color="auto"/>
              <w:right w:val="single" w:sz="4" w:space="0" w:color="auto"/>
            </w:tcBorders>
            <w:shd w:val="clear" w:color="auto" w:fill="auto"/>
          </w:tcPr>
          <w:p w14:paraId="1D06B92A" w14:textId="77777777" w:rsidR="005475F2" w:rsidRPr="002F13CB" w:rsidRDefault="005475F2" w:rsidP="005475F2">
            <w:pPr>
              <w:jc w:val="right"/>
            </w:pPr>
            <w:r w:rsidRPr="002F13CB">
              <w:t>4 663</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5FA4771" w14:textId="77777777" w:rsidR="005475F2" w:rsidRPr="002F13CB" w:rsidRDefault="005475F2" w:rsidP="005475F2">
            <w:pPr>
              <w:jc w:val="right"/>
            </w:pPr>
            <w:r w:rsidRPr="002F13CB">
              <w:t>4 663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9382F6" w14:textId="77777777" w:rsidR="005475F2" w:rsidRPr="002F13CB" w:rsidRDefault="005475F2" w:rsidP="005475F2">
            <w:pPr>
              <w:jc w:val="right"/>
            </w:pPr>
            <w:r w:rsidRPr="002F13CB">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13C0BA" w14:textId="77777777" w:rsidR="005475F2" w:rsidRPr="002F13CB" w:rsidRDefault="005475F2" w:rsidP="005475F2">
            <w:pPr>
              <w:jc w:val="right"/>
            </w:pPr>
            <w:r w:rsidRPr="002F13CB">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3D58399" w14:textId="77777777" w:rsidR="005475F2" w:rsidRPr="002F13CB" w:rsidRDefault="005475F2" w:rsidP="005475F2">
            <w:pPr>
              <w:jc w:val="right"/>
            </w:pPr>
            <w:r w:rsidRPr="002F13CB">
              <w:t>0</w:t>
            </w:r>
          </w:p>
        </w:tc>
      </w:tr>
      <w:tr w:rsidR="005475F2" w:rsidRPr="004B11AC" w14:paraId="7EA778E2" w14:textId="77777777" w:rsidTr="005475F2">
        <w:trPr>
          <w:trHeight w:val="340"/>
        </w:trPr>
        <w:tc>
          <w:tcPr>
            <w:tcW w:w="2878" w:type="dxa"/>
            <w:tcBorders>
              <w:top w:val="single" w:sz="4" w:space="0" w:color="auto"/>
              <w:left w:val="single" w:sz="4" w:space="0" w:color="auto"/>
              <w:bottom w:val="single" w:sz="4" w:space="0" w:color="auto"/>
              <w:right w:val="single" w:sz="4" w:space="0" w:color="auto"/>
            </w:tcBorders>
            <w:shd w:val="clear" w:color="auto" w:fill="auto"/>
            <w:vAlign w:val="bottom"/>
          </w:tcPr>
          <w:p w14:paraId="0AD58652" w14:textId="77777777" w:rsidR="005475F2" w:rsidRPr="00A600F1" w:rsidRDefault="005475F2" w:rsidP="005475F2">
            <w:pPr>
              <w:pStyle w:val="Zkladntext"/>
              <w:spacing w:before="0"/>
              <w:jc w:val="left"/>
            </w:pPr>
            <w:r w:rsidRPr="00A600F1">
              <w:t>Rezervní fond</w:t>
            </w:r>
          </w:p>
        </w:tc>
        <w:tc>
          <w:tcPr>
            <w:tcW w:w="1601" w:type="dxa"/>
            <w:tcBorders>
              <w:top w:val="single" w:sz="4" w:space="0" w:color="auto"/>
              <w:left w:val="single" w:sz="4" w:space="0" w:color="auto"/>
              <w:bottom w:val="single" w:sz="4" w:space="0" w:color="auto"/>
              <w:right w:val="single" w:sz="4" w:space="0" w:color="auto"/>
            </w:tcBorders>
            <w:shd w:val="clear" w:color="auto" w:fill="auto"/>
          </w:tcPr>
          <w:p w14:paraId="3C8EA81E" w14:textId="77777777" w:rsidR="005475F2" w:rsidRPr="002F13CB" w:rsidRDefault="005475F2" w:rsidP="005475F2">
            <w:pPr>
              <w:jc w:val="right"/>
            </w:pPr>
            <w:r w:rsidRPr="002F13CB">
              <w:t>278 800</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47D466CE" w14:textId="77777777" w:rsidR="005475F2" w:rsidRPr="002F13CB" w:rsidRDefault="005475F2" w:rsidP="005475F2">
            <w:pPr>
              <w:jc w:val="right"/>
            </w:pPr>
            <w:r w:rsidRPr="002F13CB">
              <w:t>278 800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A78D9DB" w14:textId="77777777" w:rsidR="005475F2" w:rsidRPr="002F13CB" w:rsidRDefault="005475F2" w:rsidP="005475F2">
            <w:pPr>
              <w:jc w:val="right"/>
            </w:pPr>
            <w:r w:rsidRPr="002F13CB">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4A8B69" w14:textId="77777777" w:rsidR="005475F2" w:rsidRPr="002F13CB" w:rsidRDefault="005475F2" w:rsidP="005475F2">
            <w:pPr>
              <w:jc w:val="right"/>
            </w:pPr>
            <w:r w:rsidRPr="002F13CB">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D327B7" w14:textId="77777777" w:rsidR="005475F2" w:rsidRPr="002F13CB" w:rsidRDefault="005475F2" w:rsidP="005475F2">
            <w:pPr>
              <w:jc w:val="right"/>
            </w:pPr>
            <w:r w:rsidRPr="002F13CB">
              <w:t>0</w:t>
            </w:r>
          </w:p>
        </w:tc>
      </w:tr>
      <w:tr w:rsidR="005475F2" w:rsidRPr="004B11AC" w14:paraId="20DDFA97" w14:textId="77777777" w:rsidTr="005475F2">
        <w:trPr>
          <w:trHeight w:val="340"/>
        </w:trPr>
        <w:tc>
          <w:tcPr>
            <w:tcW w:w="2878" w:type="dxa"/>
            <w:tcBorders>
              <w:top w:val="single" w:sz="4" w:space="0" w:color="auto"/>
              <w:left w:val="single" w:sz="4" w:space="0" w:color="auto"/>
              <w:bottom w:val="single" w:sz="4" w:space="0" w:color="auto"/>
              <w:right w:val="single" w:sz="4" w:space="0" w:color="auto"/>
            </w:tcBorders>
            <w:shd w:val="clear" w:color="auto" w:fill="auto"/>
            <w:vAlign w:val="bottom"/>
          </w:tcPr>
          <w:p w14:paraId="79D57B65" w14:textId="77777777" w:rsidR="005475F2" w:rsidRPr="00A600F1" w:rsidRDefault="005475F2" w:rsidP="005475F2">
            <w:pPr>
              <w:pStyle w:val="Zkladntext"/>
              <w:spacing w:before="0"/>
              <w:jc w:val="left"/>
            </w:pPr>
            <w:r w:rsidRPr="00A600F1">
              <w:t>Běžný účet</w:t>
            </w:r>
          </w:p>
        </w:tc>
        <w:tc>
          <w:tcPr>
            <w:tcW w:w="1601" w:type="dxa"/>
            <w:tcBorders>
              <w:top w:val="single" w:sz="4" w:space="0" w:color="auto"/>
              <w:left w:val="single" w:sz="4" w:space="0" w:color="auto"/>
              <w:bottom w:val="single" w:sz="4" w:space="0" w:color="auto"/>
              <w:right w:val="single" w:sz="4" w:space="0" w:color="auto"/>
            </w:tcBorders>
            <w:shd w:val="clear" w:color="auto" w:fill="auto"/>
          </w:tcPr>
          <w:p w14:paraId="0DEBD74B" w14:textId="77777777" w:rsidR="005475F2" w:rsidRPr="002F13CB" w:rsidRDefault="005475F2" w:rsidP="005475F2">
            <w:pPr>
              <w:jc w:val="right"/>
            </w:pPr>
            <w:r w:rsidRPr="002F13CB">
              <w:t>3 425 347</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BAF06A1" w14:textId="77777777" w:rsidR="005475F2" w:rsidRPr="002F13CB" w:rsidRDefault="005475F2" w:rsidP="005475F2">
            <w:pPr>
              <w:jc w:val="right"/>
            </w:pPr>
            <w:r w:rsidRPr="002F13CB">
              <w:t>3 213 031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9E12AC" w14:textId="77777777" w:rsidR="005475F2" w:rsidRPr="002F13CB" w:rsidRDefault="005475F2" w:rsidP="005475F2">
            <w:pPr>
              <w:jc w:val="right"/>
            </w:pPr>
            <w:r w:rsidRPr="002F13CB">
              <w:t>2 345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3F358F" w14:textId="77777777" w:rsidR="005475F2" w:rsidRPr="002F13CB" w:rsidRDefault="005475F2" w:rsidP="005475F2">
            <w:pPr>
              <w:jc w:val="right"/>
            </w:pPr>
            <w:r w:rsidRPr="002F13CB">
              <w:t>209 970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F6B080" w14:textId="77777777" w:rsidR="005475F2" w:rsidRPr="002F13CB" w:rsidRDefault="005475F2" w:rsidP="005475F2">
            <w:pPr>
              <w:jc w:val="right"/>
            </w:pPr>
            <w:r w:rsidRPr="002F13CB">
              <w:t>0,1</w:t>
            </w:r>
          </w:p>
        </w:tc>
      </w:tr>
      <w:tr w:rsidR="005475F2" w:rsidRPr="004B11AC" w14:paraId="7C0BD0CE" w14:textId="77777777" w:rsidTr="005475F2">
        <w:trPr>
          <w:trHeight w:val="340"/>
        </w:trPr>
        <w:tc>
          <w:tcPr>
            <w:tcW w:w="2878" w:type="dxa"/>
            <w:tcBorders>
              <w:top w:val="single" w:sz="4" w:space="0" w:color="auto"/>
              <w:left w:val="single" w:sz="4" w:space="0" w:color="auto"/>
              <w:bottom w:val="single" w:sz="4" w:space="0" w:color="auto"/>
              <w:right w:val="single" w:sz="4" w:space="0" w:color="auto"/>
            </w:tcBorders>
            <w:shd w:val="clear" w:color="auto" w:fill="auto"/>
            <w:vAlign w:val="bottom"/>
          </w:tcPr>
          <w:p w14:paraId="7EE32F65" w14:textId="77777777" w:rsidR="005475F2" w:rsidRPr="00A600F1" w:rsidRDefault="005475F2" w:rsidP="005475F2">
            <w:pPr>
              <w:pStyle w:val="Zkladntext"/>
              <w:spacing w:before="0"/>
              <w:jc w:val="left"/>
              <w:rPr>
                <w:b/>
              </w:rPr>
            </w:pPr>
            <w:r w:rsidRPr="00A600F1">
              <w:rPr>
                <w:b/>
              </w:rPr>
              <w:t>Celkem</w:t>
            </w:r>
          </w:p>
        </w:tc>
        <w:tc>
          <w:tcPr>
            <w:tcW w:w="1601" w:type="dxa"/>
            <w:tcBorders>
              <w:top w:val="single" w:sz="4" w:space="0" w:color="auto"/>
              <w:left w:val="single" w:sz="4" w:space="0" w:color="auto"/>
              <w:bottom w:val="single" w:sz="4" w:space="0" w:color="auto"/>
              <w:right w:val="single" w:sz="4" w:space="0" w:color="auto"/>
            </w:tcBorders>
            <w:shd w:val="clear" w:color="auto" w:fill="auto"/>
          </w:tcPr>
          <w:p w14:paraId="6C9E2CE6" w14:textId="77777777" w:rsidR="005475F2" w:rsidRPr="002F13CB" w:rsidRDefault="005475F2" w:rsidP="005475F2">
            <w:pPr>
              <w:jc w:val="right"/>
            </w:pPr>
            <w:r w:rsidRPr="002F13CB">
              <w:t>3 770 488</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B2D7376" w14:textId="77777777" w:rsidR="005475F2" w:rsidRPr="002F13CB" w:rsidRDefault="005475F2" w:rsidP="005475F2">
            <w:pPr>
              <w:jc w:val="right"/>
            </w:pPr>
            <w:r w:rsidRPr="002F13CB">
              <w:t>3 558 173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B32BBD" w14:textId="77777777" w:rsidR="005475F2" w:rsidRPr="002F13CB" w:rsidRDefault="005475F2" w:rsidP="005475F2">
            <w:pPr>
              <w:jc w:val="right"/>
            </w:pPr>
            <w:r w:rsidRPr="002F13CB">
              <w:t>2 345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A1E281" w14:textId="77777777" w:rsidR="005475F2" w:rsidRPr="002F13CB" w:rsidRDefault="005475F2" w:rsidP="005475F2">
            <w:pPr>
              <w:jc w:val="right"/>
            </w:pPr>
            <w:r w:rsidRPr="002F13CB">
              <w:t>209 970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7B3777" w14:textId="77777777" w:rsidR="005475F2" w:rsidRPr="002F13CB" w:rsidRDefault="005475F2" w:rsidP="005475F2">
            <w:pPr>
              <w:jc w:val="right"/>
            </w:pPr>
            <w:r w:rsidRPr="002F13CB">
              <w:t>0,1</w:t>
            </w:r>
          </w:p>
        </w:tc>
      </w:tr>
      <w:tr w:rsidR="005475F2" w:rsidRPr="004B11AC" w14:paraId="71100266" w14:textId="77777777" w:rsidTr="005475F2">
        <w:trPr>
          <w:trHeight w:val="340"/>
        </w:trPr>
        <w:tc>
          <w:tcPr>
            <w:tcW w:w="2878" w:type="dxa"/>
            <w:tcBorders>
              <w:top w:val="single" w:sz="4" w:space="0" w:color="auto"/>
              <w:left w:val="single" w:sz="4" w:space="0" w:color="auto"/>
              <w:bottom w:val="single" w:sz="4" w:space="0" w:color="auto"/>
              <w:right w:val="single" w:sz="4" w:space="0" w:color="auto"/>
            </w:tcBorders>
            <w:shd w:val="clear" w:color="auto" w:fill="auto"/>
            <w:vAlign w:val="bottom"/>
          </w:tcPr>
          <w:p w14:paraId="6C566359" w14:textId="77777777" w:rsidR="005475F2" w:rsidRPr="00A600F1" w:rsidRDefault="005475F2" w:rsidP="005475F2">
            <w:pPr>
              <w:pStyle w:val="Zkladntext"/>
              <w:spacing w:before="0"/>
              <w:jc w:val="left"/>
            </w:pPr>
            <w:r w:rsidRPr="00A600F1">
              <w:t>z toho : platební karty</w:t>
            </w:r>
          </w:p>
        </w:tc>
        <w:tc>
          <w:tcPr>
            <w:tcW w:w="1601" w:type="dxa"/>
            <w:tcBorders>
              <w:top w:val="single" w:sz="4" w:space="0" w:color="auto"/>
              <w:left w:val="single" w:sz="4" w:space="0" w:color="auto"/>
              <w:bottom w:val="single" w:sz="4" w:space="0" w:color="auto"/>
              <w:right w:val="single" w:sz="4" w:space="0" w:color="auto"/>
            </w:tcBorders>
            <w:shd w:val="clear" w:color="auto" w:fill="auto"/>
          </w:tcPr>
          <w:p w14:paraId="492E388E" w14:textId="77777777" w:rsidR="005475F2" w:rsidRPr="002F13CB" w:rsidRDefault="005475F2" w:rsidP="005475F2">
            <w:pPr>
              <w:jc w:val="right"/>
            </w:pPr>
            <w:r w:rsidRPr="002F13CB">
              <w:t xml:space="preserve"> 8,0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D3C76BB" w14:textId="77777777" w:rsidR="005475F2" w:rsidRPr="002F13CB" w:rsidRDefault="005475F2" w:rsidP="005475F2">
            <w:pPr>
              <w:jc w:val="right"/>
            </w:pPr>
            <w:r w:rsidRPr="002F13CB">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3A3A0EC" w14:textId="77777777" w:rsidR="005475F2" w:rsidRPr="002F13CB" w:rsidRDefault="005475F2" w:rsidP="005475F2">
            <w:pPr>
              <w:jc w:val="right"/>
            </w:pPr>
            <w:r w:rsidRPr="002F13CB">
              <w:t>7,2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617865" w14:textId="77777777" w:rsidR="005475F2" w:rsidRPr="002F13CB" w:rsidRDefault="005475F2" w:rsidP="005475F2">
            <w:pPr>
              <w:jc w:val="right"/>
            </w:pPr>
            <w:r w:rsidRPr="002F13CB">
              <w:t>0,7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547B6F" w14:textId="77777777" w:rsidR="005475F2" w:rsidRDefault="005475F2" w:rsidP="005475F2">
            <w:pPr>
              <w:jc w:val="right"/>
            </w:pPr>
            <w:r w:rsidRPr="002F13CB">
              <w:t>0,1</w:t>
            </w:r>
          </w:p>
        </w:tc>
      </w:tr>
    </w:tbl>
    <w:p w14:paraId="0E390249" w14:textId="77777777" w:rsidR="005475F2" w:rsidRPr="00A600F1" w:rsidRDefault="005475F2" w:rsidP="005475F2">
      <w:pPr>
        <w:pStyle w:val="Zkladntext"/>
        <w:spacing w:before="360" w:after="120"/>
        <w:rPr>
          <w:b/>
          <w:bCs/>
          <w:u w:val="single"/>
        </w:rPr>
      </w:pPr>
      <w:r w:rsidRPr="00A600F1">
        <w:rPr>
          <w:b/>
          <w:u w:val="single"/>
        </w:rPr>
        <w:t xml:space="preserve">Prostředky určené na </w:t>
      </w:r>
      <w:r w:rsidRPr="00A600F1">
        <w:rPr>
          <w:b/>
          <w:bCs/>
          <w:u w:val="single"/>
        </w:rPr>
        <w:t>rozvojovou zahraniční pomoc</w:t>
      </w:r>
    </w:p>
    <w:p w14:paraId="3C196E7B" w14:textId="47D46386" w:rsidR="005475F2" w:rsidRPr="00A600F1" w:rsidRDefault="005475F2" w:rsidP="00E30069">
      <w:pPr>
        <w:pStyle w:val="Znormal"/>
        <w:spacing w:line="276" w:lineRule="auto"/>
        <w:ind w:firstLine="0"/>
      </w:pPr>
      <w:r w:rsidRPr="00A600F1">
        <w:t xml:space="preserve">Od roku 2010 již není rozvojová zahraniční pomoc Ministerstvem dopravy realizována. V roce 2009 byly všechny projekty ukončeny a agenda spojená se zahraniční rozvojovou pomocí byla delimitována na Ministerstvo zahraničních věcí. </w:t>
      </w:r>
    </w:p>
    <w:p w14:paraId="54D27EFD" w14:textId="77777777" w:rsidR="00185BC4" w:rsidRPr="004B11AC" w:rsidRDefault="00185BC4" w:rsidP="00804818">
      <w:pPr>
        <w:pStyle w:val="Nadpis3"/>
      </w:pPr>
      <w:bookmarkStart w:id="342" w:name="_Toc34286464"/>
      <w:r w:rsidRPr="004B11AC">
        <w:lastRenderedPageBreak/>
        <w:t>Mzdová politika a zaměstnanost</w:t>
      </w:r>
      <w:bookmarkEnd w:id="288"/>
      <w:bookmarkEnd w:id="311"/>
      <w:bookmarkEnd w:id="312"/>
      <w:bookmarkEnd w:id="313"/>
      <w:bookmarkEnd w:id="314"/>
      <w:bookmarkEnd w:id="342"/>
    </w:p>
    <w:p w14:paraId="2A5E89C0" w14:textId="1FAF1826" w:rsidR="00DE0323" w:rsidRPr="004E2A1D" w:rsidRDefault="00DE0323" w:rsidP="00F915F4">
      <w:pPr>
        <w:pStyle w:val="KOMtext"/>
      </w:pPr>
      <w:bookmarkStart w:id="343" w:name="_Toc255297640"/>
      <w:bookmarkStart w:id="344" w:name="_Toc256066171"/>
      <w:bookmarkStart w:id="345" w:name="_Toc413413660"/>
      <w:bookmarkStart w:id="346" w:name="_Toc508879868"/>
      <w:bookmarkStart w:id="347" w:name="_Toc508880144"/>
      <w:bookmarkStart w:id="348" w:name="_Toc255297644"/>
      <w:r w:rsidRPr="004E2A1D">
        <w:t xml:space="preserve">Mzdovou politiku a zaměstnanost ve státní správě předurčuje státní rozpočet schválený vládou </w:t>
      </w:r>
      <w:r w:rsidR="00FE713B">
        <w:br/>
      </w:r>
      <w:r w:rsidRPr="004E2A1D">
        <w:t xml:space="preserve">a PSP ČR na příslušný rozpočtový rok, stanovením objemu </w:t>
      </w:r>
      <w:r w:rsidR="00E2031D" w:rsidRPr="004E2A1D">
        <w:t>prostředků na</w:t>
      </w:r>
      <w:r w:rsidRPr="004E2A1D">
        <w:t xml:space="preserve"> platy a ostatní platby za provedenou práci a počtu zaměstnanců. V rámc</w:t>
      </w:r>
      <w:r w:rsidR="00F915F4">
        <w:t xml:space="preserve">i rozpočtové kapitoly 327 – MD </w:t>
      </w:r>
      <w:r w:rsidRPr="004E2A1D">
        <w:t xml:space="preserve">se jedná </w:t>
      </w:r>
      <w:r w:rsidR="00E30069">
        <w:br/>
      </w:r>
      <w:r w:rsidRPr="004E2A1D">
        <w:t>o organizační složky státu – ústřední orgán MD, Úřad pro civilní le</w:t>
      </w:r>
      <w:r w:rsidR="00F915F4">
        <w:t xml:space="preserve">tectví, Státní plavební správu, </w:t>
      </w:r>
      <w:r w:rsidRPr="004E2A1D">
        <w:t xml:space="preserve">Drážní úřad, Drážní inspekci, Ústav pro odborné zjišťování příčin leteckých nehod </w:t>
      </w:r>
      <w:r w:rsidRPr="004E2A1D">
        <w:br/>
        <w:t xml:space="preserve">a Ředitelství vodních cest ČR. </w:t>
      </w:r>
    </w:p>
    <w:p w14:paraId="07D75C6D" w14:textId="77777777" w:rsidR="00DE0323" w:rsidRPr="004E2A1D" w:rsidRDefault="00DE0323" w:rsidP="00F915F4">
      <w:pPr>
        <w:pStyle w:val="KOMtext"/>
      </w:pPr>
      <w:r w:rsidRPr="004E2A1D">
        <w:t>Pro příspěvkové organizace, jejichž náklady na platy a odměny za pracovní pohotovost jsou plně zabezpečovány z příspěvku na provoz, stanoví státní rozpočet limit mzdových nákladů a počty zaměstnanců na hlavní činnost, tj. na poskytované služby pro stát (v rozpočtu kapitoly 327 – MD jde jen o Centrum služeb pro silniční dopravu).</w:t>
      </w:r>
    </w:p>
    <w:p w14:paraId="6C01749F" w14:textId="77777777" w:rsidR="00DE0323" w:rsidRPr="004E2A1D" w:rsidRDefault="00DE0323" w:rsidP="00F915F4">
      <w:pPr>
        <w:pStyle w:val="Nadpis9"/>
      </w:pPr>
      <w:r w:rsidRPr="004E2A1D">
        <w:t xml:space="preserve">Ke změně závazných ukazatelů došlo v průběhu roku 2019 u: </w:t>
      </w:r>
    </w:p>
    <w:p w14:paraId="0EE3EC5A" w14:textId="77777777" w:rsidR="00DE0323" w:rsidRPr="0082047D" w:rsidRDefault="00DE0323" w:rsidP="00275CE2">
      <w:pPr>
        <w:pStyle w:val="Nadpis7"/>
        <w:numPr>
          <w:ilvl w:val="0"/>
          <w:numId w:val="67"/>
        </w:numPr>
      </w:pPr>
      <w:r w:rsidRPr="0082047D">
        <w:t xml:space="preserve">Ústředního orgánu MD </w:t>
      </w:r>
    </w:p>
    <w:p w14:paraId="58EF0472" w14:textId="77777777" w:rsidR="00DE0323" w:rsidRPr="0082047D" w:rsidRDefault="00F915F4" w:rsidP="00275CE2">
      <w:pPr>
        <w:pStyle w:val="KOMtext"/>
        <w:numPr>
          <w:ilvl w:val="0"/>
          <w:numId w:val="68"/>
        </w:numPr>
        <w:ind w:left="709" w:hanging="349"/>
      </w:pPr>
      <w:r>
        <w:t>V</w:t>
      </w:r>
      <w:r w:rsidR="00DE0323" w:rsidRPr="0082047D">
        <w:t xml:space="preserve"> souvislosti se změnou systemizace služebních a pracovních míst s účinnosti od 1.3.2019 schválenou usnesením vlády č. 138 ze dne 27.2.2019, došlo ke snížení prostředků na platy ve výši 1 700 tis. Kč (2 312 tis. Kč vč. příslušenství) ve prospěch Drážní inspekce. </w:t>
      </w:r>
    </w:p>
    <w:p w14:paraId="648A7BC1" w14:textId="77777777" w:rsidR="00DE0323" w:rsidRPr="00AB26AB" w:rsidRDefault="00F915F4" w:rsidP="00275CE2">
      <w:pPr>
        <w:pStyle w:val="KOMtext"/>
        <w:numPr>
          <w:ilvl w:val="0"/>
          <w:numId w:val="68"/>
        </w:numPr>
      </w:pPr>
      <w:r>
        <w:t>V</w:t>
      </w:r>
      <w:r w:rsidR="00DE0323" w:rsidRPr="00AB26AB">
        <w:t> souvislosti s realizací úsporného vládního opatření při návrhu státního rozpočtu na rok 2020 došlo</w:t>
      </w:r>
      <w:r w:rsidR="00DE0323">
        <w:t xml:space="preserve"> u SPS</w:t>
      </w:r>
      <w:r w:rsidR="00DE0323" w:rsidRPr="00AB26AB">
        <w:t xml:space="preserve"> k rozvázání pracovního poměru se dvěma zaměstnanci, kterým náleželo odstupné ve výši nejméně trojnásobku jejich průměrného výdělku. Navýšení položky odstupné ve výši 153 tis. Kč</w:t>
      </w:r>
      <w:r w:rsidR="00DE0323">
        <w:t xml:space="preserve"> pro SPS</w:t>
      </w:r>
      <w:r w:rsidR="00DE0323" w:rsidRPr="00AB26AB">
        <w:t xml:space="preserve"> bylo provedeno na vrub ÚO MD.  </w:t>
      </w:r>
    </w:p>
    <w:p w14:paraId="2FBA7BFF" w14:textId="77777777" w:rsidR="00DE0323" w:rsidRPr="0082047D" w:rsidRDefault="00DE0323" w:rsidP="00F915F4">
      <w:pPr>
        <w:pStyle w:val="Nadpis7"/>
      </w:pPr>
      <w:r w:rsidRPr="0082047D">
        <w:t xml:space="preserve">Drážní inspekce </w:t>
      </w:r>
    </w:p>
    <w:p w14:paraId="2033BA28" w14:textId="77777777" w:rsidR="00DE0323" w:rsidRPr="0082047D" w:rsidRDefault="00F915F4" w:rsidP="00275CE2">
      <w:pPr>
        <w:pStyle w:val="KOMtext"/>
        <w:numPr>
          <w:ilvl w:val="0"/>
          <w:numId w:val="70"/>
        </w:numPr>
      </w:pPr>
      <w:r>
        <w:t>V</w:t>
      </w:r>
      <w:r w:rsidR="00DE0323" w:rsidRPr="0082047D">
        <w:t xml:space="preserve"> souvislosti se změnou systemizace služebních a pracovních míst s účinnosti od 1.3.2019 schválenou usnesením vlády č. 138 ze dne 27.2.2019, došlo k navýšení prostředků na platy ve výši 1 700 tis. Kč (2 312 tis. Kč vč. příslušenství) na vrub ÚO MD. </w:t>
      </w:r>
    </w:p>
    <w:p w14:paraId="7B79662C" w14:textId="17EF9FF1" w:rsidR="00DE0323" w:rsidRPr="0082047D" w:rsidRDefault="00F915F4" w:rsidP="00275CE2">
      <w:pPr>
        <w:pStyle w:val="KOMtext"/>
        <w:numPr>
          <w:ilvl w:val="0"/>
          <w:numId w:val="69"/>
        </w:numPr>
      </w:pPr>
      <w:r>
        <w:t>V</w:t>
      </w:r>
      <w:r w:rsidR="00DE0323" w:rsidRPr="0082047D">
        <w:t xml:space="preserve"> návaznosti na vyhodnocení údajů o neobsazenosti za 1. pol 2019 byla dokryta rozpočtově nezajištěná místa, jednalo se o navýšení prostředků na platy ve výši </w:t>
      </w:r>
      <w:r w:rsidR="00FE713B">
        <w:br/>
      </w:r>
      <w:r w:rsidR="00CF0350">
        <w:t>49</w:t>
      </w:r>
      <w:r w:rsidR="004B12F9">
        <w:t>5</w:t>
      </w:r>
      <w:bookmarkStart w:id="349" w:name="_GoBack"/>
      <w:bookmarkEnd w:id="349"/>
      <w:r w:rsidR="00CF0350">
        <w:t xml:space="preserve"> tis. Kč</w:t>
      </w:r>
      <w:r w:rsidR="00DE0323" w:rsidRPr="0082047D">
        <w:t xml:space="preserve"> z kapitoly 398-VPS.</w:t>
      </w:r>
    </w:p>
    <w:p w14:paraId="7B51976C" w14:textId="07EA271F" w:rsidR="00DE0323" w:rsidRPr="0082047D" w:rsidRDefault="0033453B" w:rsidP="00C0463D">
      <w:pPr>
        <w:pStyle w:val="Nadpis7"/>
      </w:pPr>
      <w:r>
        <w:t>Centra</w:t>
      </w:r>
      <w:r w:rsidR="00DE0323" w:rsidRPr="0082047D">
        <w:t xml:space="preserve"> služeb pro silniční dopravu</w:t>
      </w:r>
    </w:p>
    <w:p w14:paraId="042B0ABE" w14:textId="2E001F5B" w:rsidR="00DE0323" w:rsidRPr="0082047D" w:rsidRDefault="00C0463D" w:rsidP="00643107">
      <w:pPr>
        <w:pStyle w:val="Odstavecseseznamem"/>
        <w:numPr>
          <w:ilvl w:val="0"/>
          <w:numId w:val="69"/>
        </w:numPr>
        <w:tabs>
          <w:tab w:val="left" w:pos="851"/>
        </w:tabs>
        <w:spacing w:before="60" w:after="60" w:line="276" w:lineRule="auto"/>
        <w:ind w:left="714" w:hanging="357"/>
        <w:jc w:val="both"/>
      </w:pPr>
      <w:r>
        <w:t>V</w:t>
      </w:r>
      <w:r w:rsidR="00DE0323" w:rsidRPr="0082047D">
        <w:t xml:space="preserve"> návaznosti na vyhodnocení údajů o neobsazenosti za 1. pol 2019 byla dokryta rozpočtově nezajištěná místa, jednalo se o navýšení prostředků na platy ve výši </w:t>
      </w:r>
      <w:r w:rsidR="00FE713B">
        <w:br/>
      </w:r>
      <w:r w:rsidR="00DE0323" w:rsidRPr="0082047D">
        <w:t>319 tis. Kč z kapitoly 398-VPS.</w:t>
      </w:r>
    </w:p>
    <w:p w14:paraId="0247BBEC" w14:textId="77777777" w:rsidR="00DE0323" w:rsidRPr="00AB26AB" w:rsidRDefault="00DE0323" w:rsidP="00C0463D">
      <w:pPr>
        <w:pStyle w:val="Nadpis7"/>
      </w:pPr>
      <w:r w:rsidRPr="00AB26AB">
        <w:t xml:space="preserve">Státní plavební správy </w:t>
      </w:r>
    </w:p>
    <w:p w14:paraId="1500F63F" w14:textId="21E215C0" w:rsidR="00DE0323" w:rsidRPr="00AB26AB" w:rsidRDefault="003F5268" w:rsidP="00643107">
      <w:pPr>
        <w:pStyle w:val="Odstavecseseznamem"/>
        <w:numPr>
          <w:ilvl w:val="0"/>
          <w:numId w:val="69"/>
        </w:numPr>
        <w:spacing w:before="60" w:after="60" w:line="276" w:lineRule="auto"/>
        <w:jc w:val="both"/>
      </w:pPr>
      <w:r>
        <w:t>V</w:t>
      </w:r>
      <w:r w:rsidR="00DE0323" w:rsidRPr="00AB26AB">
        <w:t xml:space="preserve"> souvislosti s realizací úsporného vládního opatření při návrhu státního rozpočtu na rok 2020 došlo k rozvázání pracovního poměru se dvěma zaměstnanci, kterým náleželo odstupné ve výši nejméně trojnásobku jejich průměrného výdělku. Navýšení položky odstupné ve výši 153 tis. Kč bylo provedeno na vrub ÚO MD.  </w:t>
      </w:r>
    </w:p>
    <w:p w14:paraId="60F39A7D" w14:textId="77777777" w:rsidR="00DE0323" w:rsidRPr="00BA620A" w:rsidRDefault="00DE0323" w:rsidP="00643107">
      <w:pPr>
        <w:pStyle w:val="KOMtext"/>
      </w:pPr>
      <w:r w:rsidRPr="00BA620A">
        <w:lastRenderedPageBreak/>
        <w:t xml:space="preserve">Regulace zaměstnanosti a čerpání mzdových prostředků je vyjádřena v předepsané tabulce č. 3, jejíž níže uvedený výčet ukazuje, že limity mzdových prostředků byly dodrženy, s výjimkou překročení prostředků na platy u organizačních složek států u ústředního orgánu MD, Úřadu pro civilní letectví, Státní plavební správy, Drážního úřadu a Drážní inspekce, které bylo hrazeno v souladu s § 47 zákona č. 218/2000 Sb., rozpočtová pravidla, v platném znění, z nároků z nespotřebovaných výdajů minulých let. U příspěvkové organizace Centrum služeb pro silniční dopravu bylo překročení prostředků na platy hrazeno z mimorozpočtových zdrojů, tj. fondu odměn v souladu s § 59 zákona č. 218/2000 Sb., rozpočtová pravidla, v platném znění.  </w:t>
      </w:r>
    </w:p>
    <w:p w14:paraId="7C7AA8D0" w14:textId="77777777" w:rsidR="00DE0323" w:rsidRPr="00122A5E" w:rsidRDefault="00DE0323" w:rsidP="00DB2320">
      <w:pPr>
        <w:keepNext/>
        <w:ind w:left="357" w:right="1"/>
        <w:jc w:val="right"/>
      </w:pPr>
      <w:r w:rsidRPr="00122A5E">
        <w:t>v tis. Kč</w:t>
      </w:r>
    </w:p>
    <w:tbl>
      <w:tblPr>
        <w:tblW w:w="9291" w:type="dxa"/>
        <w:tblInd w:w="55" w:type="dxa"/>
        <w:tblCellMar>
          <w:left w:w="70" w:type="dxa"/>
          <w:right w:w="70" w:type="dxa"/>
        </w:tblCellMar>
        <w:tblLook w:val="0000" w:firstRow="0" w:lastRow="0" w:firstColumn="0" w:lastColumn="0" w:noHBand="0" w:noVBand="0"/>
      </w:tblPr>
      <w:tblGrid>
        <w:gridCol w:w="2140"/>
        <w:gridCol w:w="1197"/>
        <w:gridCol w:w="993"/>
        <w:gridCol w:w="1275"/>
        <w:gridCol w:w="1324"/>
        <w:gridCol w:w="1276"/>
        <w:gridCol w:w="1086"/>
      </w:tblGrid>
      <w:tr w:rsidR="00DE0323" w:rsidRPr="00122A5E" w14:paraId="1780316F" w14:textId="77777777" w:rsidTr="00643107">
        <w:trPr>
          <w:trHeight w:val="255"/>
          <w:tblHeader/>
        </w:trPr>
        <w:tc>
          <w:tcPr>
            <w:tcW w:w="2140"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14:paraId="08AB39FD" w14:textId="77777777" w:rsidR="00DE0323" w:rsidRPr="00122A5E" w:rsidRDefault="00DE0323" w:rsidP="00643107">
            <w:pPr>
              <w:spacing w:after="480"/>
              <w:rPr>
                <w:b/>
                <w:bCs/>
                <w:sz w:val="22"/>
                <w:szCs w:val="22"/>
              </w:rPr>
            </w:pPr>
            <w:r w:rsidRPr="00122A5E">
              <w:rPr>
                <w:b/>
                <w:bCs/>
                <w:sz w:val="22"/>
                <w:szCs w:val="22"/>
              </w:rPr>
              <w:t>OSS, PO</w:t>
            </w:r>
          </w:p>
        </w:tc>
        <w:tc>
          <w:tcPr>
            <w:tcW w:w="2190" w:type="dxa"/>
            <w:gridSpan w:val="2"/>
            <w:tcBorders>
              <w:top w:val="single" w:sz="8" w:space="0" w:color="auto"/>
              <w:left w:val="nil"/>
              <w:bottom w:val="single" w:sz="4" w:space="0" w:color="auto"/>
              <w:right w:val="single" w:sz="4" w:space="0" w:color="000000"/>
            </w:tcBorders>
            <w:shd w:val="clear" w:color="auto" w:fill="auto"/>
            <w:noWrap/>
            <w:vAlign w:val="bottom"/>
          </w:tcPr>
          <w:p w14:paraId="2BDC4D4B" w14:textId="77777777" w:rsidR="00DE0323" w:rsidRPr="00122A5E" w:rsidRDefault="00DE0323" w:rsidP="00643107">
            <w:pPr>
              <w:jc w:val="center"/>
              <w:rPr>
                <w:sz w:val="22"/>
                <w:szCs w:val="22"/>
              </w:rPr>
            </w:pPr>
            <w:r w:rsidRPr="00122A5E">
              <w:rPr>
                <w:sz w:val="22"/>
                <w:szCs w:val="22"/>
              </w:rPr>
              <w:t>Rozpočet 2019</w:t>
            </w:r>
          </w:p>
          <w:p w14:paraId="3D8DFA6E" w14:textId="77777777" w:rsidR="00DE0323" w:rsidRPr="00122A5E" w:rsidRDefault="00DE0323" w:rsidP="00643107">
            <w:pPr>
              <w:spacing w:after="120"/>
              <w:jc w:val="center"/>
              <w:rPr>
                <w:sz w:val="22"/>
                <w:szCs w:val="22"/>
              </w:rPr>
            </w:pPr>
            <w:r w:rsidRPr="00122A5E">
              <w:rPr>
                <w:sz w:val="22"/>
                <w:szCs w:val="22"/>
              </w:rPr>
              <w:t>po změnách</w:t>
            </w:r>
          </w:p>
        </w:tc>
        <w:tc>
          <w:tcPr>
            <w:tcW w:w="2599" w:type="dxa"/>
            <w:gridSpan w:val="2"/>
            <w:tcBorders>
              <w:top w:val="single" w:sz="8" w:space="0" w:color="auto"/>
              <w:left w:val="nil"/>
              <w:bottom w:val="single" w:sz="4" w:space="0" w:color="auto"/>
              <w:right w:val="single" w:sz="4" w:space="0" w:color="000000"/>
            </w:tcBorders>
            <w:shd w:val="clear" w:color="auto" w:fill="auto"/>
            <w:noWrap/>
            <w:vAlign w:val="bottom"/>
          </w:tcPr>
          <w:p w14:paraId="0ACD330B" w14:textId="77777777" w:rsidR="00DE0323" w:rsidRPr="00122A5E" w:rsidRDefault="00DE0323" w:rsidP="00643107">
            <w:pPr>
              <w:spacing w:after="240"/>
              <w:jc w:val="center"/>
              <w:rPr>
                <w:sz w:val="22"/>
                <w:szCs w:val="22"/>
              </w:rPr>
            </w:pPr>
            <w:r w:rsidRPr="00122A5E">
              <w:rPr>
                <w:sz w:val="22"/>
                <w:szCs w:val="22"/>
              </w:rPr>
              <w:t>Skutečnost 2019</w:t>
            </w:r>
          </w:p>
        </w:tc>
        <w:tc>
          <w:tcPr>
            <w:tcW w:w="2362" w:type="dxa"/>
            <w:gridSpan w:val="2"/>
            <w:tcBorders>
              <w:top w:val="single" w:sz="8" w:space="0" w:color="auto"/>
              <w:left w:val="nil"/>
              <w:bottom w:val="single" w:sz="4" w:space="0" w:color="auto"/>
              <w:right w:val="single" w:sz="8" w:space="0" w:color="auto"/>
            </w:tcBorders>
            <w:shd w:val="clear" w:color="auto" w:fill="auto"/>
            <w:noWrap/>
            <w:vAlign w:val="bottom"/>
          </w:tcPr>
          <w:p w14:paraId="7D2BE1BE" w14:textId="7B3CCC21" w:rsidR="00DE0323" w:rsidRPr="00122A5E" w:rsidRDefault="00643107" w:rsidP="00DE0323">
            <w:pPr>
              <w:spacing w:after="120"/>
              <w:jc w:val="center"/>
              <w:rPr>
                <w:sz w:val="22"/>
                <w:szCs w:val="22"/>
              </w:rPr>
            </w:pPr>
            <w:r>
              <w:rPr>
                <w:sz w:val="22"/>
                <w:szCs w:val="22"/>
              </w:rPr>
              <w:t xml:space="preserve">        (S</w:t>
            </w:r>
            <w:r w:rsidR="00DE0323" w:rsidRPr="00122A5E">
              <w:rPr>
                <w:sz w:val="22"/>
                <w:szCs w:val="22"/>
              </w:rPr>
              <w:t>kutečnost/rozpočet po změnách)</w:t>
            </w:r>
            <w:r>
              <w:rPr>
                <w:sz w:val="22"/>
                <w:szCs w:val="22"/>
              </w:rPr>
              <w:t xml:space="preserve"> v %</w:t>
            </w:r>
          </w:p>
        </w:tc>
      </w:tr>
      <w:tr w:rsidR="00DE0323" w:rsidRPr="00122A5E" w14:paraId="015B306A" w14:textId="77777777" w:rsidTr="00643107">
        <w:trPr>
          <w:trHeight w:val="270"/>
          <w:tblHeader/>
        </w:trPr>
        <w:tc>
          <w:tcPr>
            <w:tcW w:w="2140" w:type="dxa"/>
            <w:vMerge/>
            <w:tcBorders>
              <w:top w:val="single" w:sz="8" w:space="0" w:color="auto"/>
              <w:left w:val="single" w:sz="8" w:space="0" w:color="auto"/>
              <w:bottom w:val="single" w:sz="8" w:space="0" w:color="000000"/>
              <w:right w:val="single" w:sz="8" w:space="0" w:color="auto"/>
            </w:tcBorders>
            <w:vAlign w:val="center"/>
          </w:tcPr>
          <w:p w14:paraId="2BF52918" w14:textId="77777777" w:rsidR="00DE0323" w:rsidRPr="00122A5E" w:rsidRDefault="00DE0323" w:rsidP="00DE0323">
            <w:pPr>
              <w:rPr>
                <w:b/>
                <w:bCs/>
                <w:sz w:val="22"/>
                <w:szCs w:val="22"/>
              </w:rPr>
            </w:pPr>
          </w:p>
        </w:tc>
        <w:tc>
          <w:tcPr>
            <w:tcW w:w="1197" w:type="dxa"/>
            <w:tcBorders>
              <w:top w:val="nil"/>
              <w:left w:val="nil"/>
              <w:bottom w:val="single" w:sz="8" w:space="0" w:color="auto"/>
              <w:right w:val="single" w:sz="4" w:space="0" w:color="auto"/>
            </w:tcBorders>
            <w:shd w:val="clear" w:color="auto" w:fill="auto"/>
            <w:noWrap/>
            <w:vAlign w:val="bottom"/>
          </w:tcPr>
          <w:p w14:paraId="77365947" w14:textId="77777777" w:rsidR="00DE0323" w:rsidRPr="00122A5E" w:rsidRDefault="00DE0323" w:rsidP="00DE0323">
            <w:pPr>
              <w:jc w:val="center"/>
              <w:rPr>
                <w:sz w:val="22"/>
                <w:szCs w:val="22"/>
              </w:rPr>
            </w:pPr>
            <w:r w:rsidRPr="00122A5E">
              <w:rPr>
                <w:sz w:val="22"/>
                <w:szCs w:val="22"/>
              </w:rPr>
              <w:t>MP</w:t>
            </w:r>
          </w:p>
        </w:tc>
        <w:tc>
          <w:tcPr>
            <w:tcW w:w="993" w:type="dxa"/>
            <w:tcBorders>
              <w:top w:val="nil"/>
              <w:left w:val="nil"/>
              <w:bottom w:val="single" w:sz="8" w:space="0" w:color="auto"/>
              <w:right w:val="single" w:sz="4" w:space="0" w:color="auto"/>
            </w:tcBorders>
            <w:shd w:val="clear" w:color="auto" w:fill="auto"/>
            <w:noWrap/>
            <w:vAlign w:val="bottom"/>
          </w:tcPr>
          <w:p w14:paraId="7B0BF7A5" w14:textId="77777777" w:rsidR="00DE0323" w:rsidRPr="00122A5E" w:rsidRDefault="00DE0323" w:rsidP="00DE0323">
            <w:pPr>
              <w:jc w:val="center"/>
              <w:rPr>
                <w:sz w:val="22"/>
                <w:szCs w:val="22"/>
              </w:rPr>
            </w:pPr>
            <w:r w:rsidRPr="00122A5E">
              <w:rPr>
                <w:sz w:val="22"/>
                <w:szCs w:val="22"/>
              </w:rPr>
              <w:t>zam.</w:t>
            </w:r>
          </w:p>
        </w:tc>
        <w:tc>
          <w:tcPr>
            <w:tcW w:w="1275" w:type="dxa"/>
            <w:tcBorders>
              <w:top w:val="nil"/>
              <w:left w:val="nil"/>
              <w:bottom w:val="single" w:sz="8" w:space="0" w:color="auto"/>
              <w:right w:val="single" w:sz="4" w:space="0" w:color="auto"/>
            </w:tcBorders>
            <w:shd w:val="clear" w:color="auto" w:fill="auto"/>
            <w:noWrap/>
            <w:vAlign w:val="bottom"/>
          </w:tcPr>
          <w:p w14:paraId="152862B7" w14:textId="77777777" w:rsidR="00DE0323" w:rsidRPr="00122A5E" w:rsidRDefault="00DE0323" w:rsidP="00DE0323">
            <w:pPr>
              <w:jc w:val="center"/>
              <w:rPr>
                <w:sz w:val="22"/>
                <w:szCs w:val="22"/>
              </w:rPr>
            </w:pPr>
            <w:r w:rsidRPr="00122A5E">
              <w:rPr>
                <w:sz w:val="22"/>
                <w:szCs w:val="22"/>
              </w:rPr>
              <w:t>MP</w:t>
            </w:r>
          </w:p>
        </w:tc>
        <w:tc>
          <w:tcPr>
            <w:tcW w:w="1324" w:type="dxa"/>
            <w:tcBorders>
              <w:top w:val="nil"/>
              <w:left w:val="nil"/>
              <w:bottom w:val="single" w:sz="8" w:space="0" w:color="auto"/>
              <w:right w:val="single" w:sz="4" w:space="0" w:color="auto"/>
            </w:tcBorders>
            <w:shd w:val="clear" w:color="auto" w:fill="auto"/>
            <w:noWrap/>
            <w:vAlign w:val="bottom"/>
          </w:tcPr>
          <w:p w14:paraId="495FBE01" w14:textId="77777777" w:rsidR="00DE0323" w:rsidRPr="00122A5E" w:rsidRDefault="00DE0323" w:rsidP="00DE0323">
            <w:pPr>
              <w:jc w:val="center"/>
              <w:rPr>
                <w:sz w:val="22"/>
                <w:szCs w:val="22"/>
              </w:rPr>
            </w:pPr>
            <w:r w:rsidRPr="00122A5E">
              <w:rPr>
                <w:sz w:val="22"/>
                <w:szCs w:val="22"/>
              </w:rPr>
              <w:t>zam.</w:t>
            </w:r>
          </w:p>
        </w:tc>
        <w:tc>
          <w:tcPr>
            <w:tcW w:w="1276" w:type="dxa"/>
            <w:tcBorders>
              <w:top w:val="nil"/>
              <w:left w:val="nil"/>
              <w:bottom w:val="single" w:sz="8" w:space="0" w:color="auto"/>
              <w:right w:val="single" w:sz="4" w:space="0" w:color="auto"/>
            </w:tcBorders>
            <w:shd w:val="clear" w:color="auto" w:fill="auto"/>
            <w:noWrap/>
            <w:vAlign w:val="bottom"/>
          </w:tcPr>
          <w:p w14:paraId="7908F6B0" w14:textId="77777777" w:rsidR="00DE0323" w:rsidRPr="00122A5E" w:rsidRDefault="00DE0323" w:rsidP="00DE0323">
            <w:pPr>
              <w:jc w:val="center"/>
              <w:rPr>
                <w:sz w:val="22"/>
                <w:szCs w:val="22"/>
              </w:rPr>
            </w:pPr>
            <w:r w:rsidRPr="00122A5E">
              <w:rPr>
                <w:sz w:val="22"/>
                <w:szCs w:val="22"/>
              </w:rPr>
              <w:t>MP</w:t>
            </w:r>
          </w:p>
        </w:tc>
        <w:tc>
          <w:tcPr>
            <w:tcW w:w="1086" w:type="dxa"/>
            <w:tcBorders>
              <w:top w:val="nil"/>
              <w:left w:val="nil"/>
              <w:bottom w:val="single" w:sz="8" w:space="0" w:color="auto"/>
              <w:right w:val="single" w:sz="8" w:space="0" w:color="auto"/>
            </w:tcBorders>
            <w:shd w:val="clear" w:color="auto" w:fill="auto"/>
            <w:noWrap/>
            <w:vAlign w:val="bottom"/>
          </w:tcPr>
          <w:p w14:paraId="67ECC555" w14:textId="77777777" w:rsidR="00DE0323" w:rsidRPr="00122A5E" w:rsidRDefault="00DE0323" w:rsidP="00DE0323">
            <w:pPr>
              <w:jc w:val="center"/>
              <w:rPr>
                <w:sz w:val="22"/>
                <w:szCs w:val="22"/>
              </w:rPr>
            </w:pPr>
            <w:r w:rsidRPr="00122A5E">
              <w:rPr>
                <w:sz w:val="22"/>
                <w:szCs w:val="22"/>
              </w:rPr>
              <w:t>zam.</w:t>
            </w:r>
          </w:p>
        </w:tc>
      </w:tr>
      <w:tr w:rsidR="00DE0323" w:rsidRPr="00122A5E" w14:paraId="2DD1DC71" w14:textId="77777777" w:rsidTr="00643107">
        <w:trPr>
          <w:trHeight w:val="255"/>
          <w:tblHeader/>
        </w:trPr>
        <w:tc>
          <w:tcPr>
            <w:tcW w:w="2140" w:type="dxa"/>
            <w:tcBorders>
              <w:top w:val="nil"/>
              <w:left w:val="single" w:sz="8" w:space="0" w:color="auto"/>
              <w:bottom w:val="single" w:sz="4" w:space="0" w:color="auto"/>
              <w:right w:val="single" w:sz="8" w:space="0" w:color="auto"/>
            </w:tcBorders>
            <w:shd w:val="clear" w:color="auto" w:fill="auto"/>
            <w:noWrap/>
            <w:vAlign w:val="bottom"/>
          </w:tcPr>
          <w:p w14:paraId="225D0084" w14:textId="77777777" w:rsidR="00DE0323" w:rsidRPr="00122A5E" w:rsidRDefault="00DE0323" w:rsidP="00DE0323">
            <w:pPr>
              <w:rPr>
                <w:sz w:val="22"/>
                <w:szCs w:val="22"/>
              </w:rPr>
            </w:pPr>
            <w:r w:rsidRPr="00122A5E">
              <w:rPr>
                <w:sz w:val="22"/>
                <w:szCs w:val="22"/>
              </w:rPr>
              <w:t>Ústřední orgán MD</w:t>
            </w:r>
          </w:p>
        </w:tc>
        <w:tc>
          <w:tcPr>
            <w:tcW w:w="1197" w:type="dxa"/>
            <w:tcBorders>
              <w:top w:val="nil"/>
              <w:left w:val="nil"/>
              <w:bottom w:val="single" w:sz="4" w:space="0" w:color="auto"/>
              <w:right w:val="single" w:sz="4" w:space="0" w:color="auto"/>
            </w:tcBorders>
            <w:shd w:val="clear" w:color="auto" w:fill="auto"/>
            <w:noWrap/>
            <w:vAlign w:val="bottom"/>
          </w:tcPr>
          <w:p w14:paraId="64E98FA9" w14:textId="77777777" w:rsidR="00DE0323" w:rsidRPr="00122A5E" w:rsidRDefault="00DE0323" w:rsidP="00DE0323">
            <w:pPr>
              <w:ind w:firstLineChars="100" w:firstLine="220"/>
              <w:jc w:val="right"/>
              <w:rPr>
                <w:sz w:val="22"/>
                <w:szCs w:val="22"/>
              </w:rPr>
            </w:pPr>
            <w:r w:rsidRPr="00122A5E">
              <w:rPr>
                <w:sz w:val="22"/>
                <w:szCs w:val="22"/>
              </w:rPr>
              <w:t>295 614</w:t>
            </w:r>
          </w:p>
        </w:tc>
        <w:tc>
          <w:tcPr>
            <w:tcW w:w="993" w:type="dxa"/>
            <w:tcBorders>
              <w:top w:val="nil"/>
              <w:left w:val="nil"/>
              <w:bottom w:val="single" w:sz="4" w:space="0" w:color="auto"/>
              <w:right w:val="single" w:sz="4" w:space="0" w:color="auto"/>
            </w:tcBorders>
            <w:shd w:val="clear" w:color="auto" w:fill="auto"/>
            <w:noWrap/>
            <w:vAlign w:val="bottom"/>
          </w:tcPr>
          <w:p w14:paraId="6F392537" w14:textId="77777777" w:rsidR="00DE0323" w:rsidRPr="00122A5E" w:rsidRDefault="00DE0323" w:rsidP="00DE0323">
            <w:pPr>
              <w:ind w:firstLineChars="100" w:firstLine="220"/>
              <w:jc w:val="right"/>
              <w:rPr>
                <w:sz w:val="22"/>
                <w:szCs w:val="22"/>
              </w:rPr>
            </w:pPr>
            <w:r w:rsidRPr="00122A5E">
              <w:rPr>
                <w:sz w:val="22"/>
                <w:szCs w:val="22"/>
              </w:rPr>
              <w:t>489</w:t>
            </w:r>
          </w:p>
        </w:tc>
        <w:tc>
          <w:tcPr>
            <w:tcW w:w="1275" w:type="dxa"/>
            <w:tcBorders>
              <w:top w:val="nil"/>
              <w:left w:val="nil"/>
              <w:bottom w:val="single" w:sz="4" w:space="0" w:color="auto"/>
              <w:right w:val="single" w:sz="4" w:space="0" w:color="auto"/>
            </w:tcBorders>
            <w:shd w:val="clear" w:color="auto" w:fill="auto"/>
            <w:noWrap/>
            <w:vAlign w:val="bottom"/>
          </w:tcPr>
          <w:p w14:paraId="7E5596D4" w14:textId="77777777" w:rsidR="00DE0323" w:rsidRPr="00122A5E" w:rsidRDefault="00DE0323" w:rsidP="00DE0323">
            <w:pPr>
              <w:ind w:firstLineChars="100" w:firstLine="220"/>
              <w:jc w:val="right"/>
              <w:rPr>
                <w:sz w:val="22"/>
                <w:szCs w:val="22"/>
              </w:rPr>
            </w:pPr>
            <w:r w:rsidRPr="00122A5E">
              <w:rPr>
                <w:sz w:val="22"/>
                <w:szCs w:val="22"/>
              </w:rPr>
              <w:t>314 642</w:t>
            </w:r>
          </w:p>
        </w:tc>
        <w:tc>
          <w:tcPr>
            <w:tcW w:w="1324" w:type="dxa"/>
            <w:tcBorders>
              <w:top w:val="nil"/>
              <w:left w:val="nil"/>
              <w:bottom w:val="single" w:sz="4" w:space="0" w:color="auto"/>
              <w:right w:val="single" w:sz="4" w:space="0" w:color="auto"/>
            </w:tcBorders>
            <w:shd w:val="clear" w:color="auto" w:fill="auto"/>
            <w:noWrap/>
            <w:vAlign w:val="bottom"/>
          </w:tcPr>
          <w:p w14:paraId="348839EE" w14:textId="77777777" w:rsidR="00DE0323" w:rsidRPr="00122A5E" w:rsidRDefault="00DE0323" w:rsidP="00DE0323">
            <w:pPr>
              <w:ind w:firstLineChars="100" w:firstLine="220"/>
              <w:jc w:val="right"/>
              <w:rPr>
                <w:sz w:val="22"/>
                <w:szCs w:val="22"/>
              </w:rPr>
            </w:pPr>
            <w:r w:rsidRPr="00122A5E">
              <w:rPr>
                <w:sz w:val="22"/>
                <w:szCs w:val="22"/>
              </w:rPr>
              <w:t>445,80</w:t>
            </w:r>
          </w:p>
        </w:tc>
        <w:tc>
          <w:tcPr>
            <w:tcW w:w="1276" w:type="dxa"/>
            <w:tcBorders>
              <w:top w:val="nil"/>
              <w:left w:val="nil"/>
              <w:bottom w:val="single" w:sz="4" w:space="0" w:color="auto"/>
              <w:right w:val="single" w:sz="4" w:space="0" w:color="auto"/>
            </w:tcBorders>
            <w:shd w:val="clear" w:color="auto" w:fill="auto"/>
            <w:noWrap/>
            <w:vAlign w:val="bottom"/>
          </w:tcPr>
          <w:p w14:paraId="69231D20" w14:textId="77777777" w:rsidR="00DE0323" w:rsidRPr="00122A5E" w:rsidRDefault="00DE0323" w:rsidP="00DE0323">
            <w:pPr>
              <w:jc w:val="center"/>
              <w:rPr>
                <w:sz w:val="22"/>
                <w:szCs w:val="22"/>
              </w:rPr>
            </w:pPr>
            <w:r w:rsidRPr="00122A5E">
              <w:rPr>
                <w:sz w:val="22"/>
                <w:szCs w:val="22"/>
              </w:rPr>
              <w:t>106,44</w:t>
            </w:r>
          </w:p>
        </w:tc>
        <w:tc>
          <w:tcPr>
            <w:tcW w:w="1086" w:type="dxa"/>
            <w:tcBorders>
              <w:top w:val="nil"/>
              <w:left w:val="nil"/>
              <w:bottom w:val="single" w:sz="4" w:space="0" w:color="auto"/>
              <w:right w:val="single" w:sz="8" w:space="0" w:color="auto"/>
            </w:tcBorders>
            <w:shd w:val="clear" w:color="auto" w:fill="auto"/>
            <w:noWrap/>
            <w:vAlign w:val="bottom"/>
          </w:tcPr>
          <w:p w14:paraId="03214146" w14:textId="77777777" w:rsidR="00DE0323" w:rsidRPr="00122A5E" w:rsidRDefault="00DE0323" w:rsidP="00DE0323">
            <w:pPr>
              <w:jc w:val="center"/>
              <w:rPr>
                <w:sz w:val="22"/>
                <w:szCs w:val="22"/>
              </w:rPr>
            </w:pPr>
            <w:r w:rsidRPr="00122A5E">
              <w:rPr>
                <w:sz w:val="22"/>
                <w:szCs w:val="22"/>
              </w:rPr>
              <w:t>91,17</w:t>
            </w:r>
          </w:p>
        </w:tc>
      </w:tr>
      <w:tr w:rsidR="00DE0323" w:rsidRPr="00122A5E" w14:paraId="094A6EE6" w14:textId="77777777" w:rsidTr="00643107">
        <w:trPr>
          <w:trHeight w:val="255"/>
          <w:tblHeader/>
        </w:trPr>
        <w:tc>
          <w:tcPr>
            <w:tcW w:w="2140" w:type="dxa"/>
            <w:tcBorders>
              <w:top w:val="nil"/>
              <w:left w:val="single" w:sz="8" w:space="0" w:color="auto"/>
              <w:bottom w:val="single" w:sz="4" w:space="0" w:color="auto"/>
              <w:right w:val="single" w:sz="8" w:space="0" w:color="auto"/>
            </w:tcBorders>
            <w:shd w:val="clear" w:color="auto" w:fill="auto"/>
            <w:noWrap/>
            <w:vAlign w:val="bottom"/>
          </w:tcPr>
          <w:p w14:paraId="6702B5DD" w14:textId="77777777" w:rsidR="00DE0323" w:rsidRPr="00122A5E" w:rsidRDefault="00DE0323" w:rsidP="00DE0323">
            <w:pPr>
              <w:rPr>
                <w:sz w:val="22"/>
                <w:szCs w:val="22"/>
              </w:rPr>
            </w:pPr>
            <w:r w:rsidRPr="00122A5E">
              <w:rPr>
                <w:sz w:val="22"/>
                <w:szCs w:val="22"/>
              </w:rPr>
              <w:t>ÚCL</w:t>
            </w:r>
          </w:p>
        </w:tc>
        <w:tc>
          <w:tcPr>
            <w:tcW w:w="1197" w:type="dxa"/>
            <w:tcBorders>
              <w:top w:val="nil"/>
              <w:left w:val="nil"/>
              <w:bottom w:val="single" w:sz="4" w:space="0" w:color="auto"/>
              <w:right w:val="single" w:sz="4" w:space="0" w:color="auto"/>
            </w:tcBorders>
            <w:shd w:val="clear" w:color="auto" w:fill="auto"/>
            <w:noWrap/>
            <w:vAlign w:val="bottom"/>
          </w:tcPr>
          <w:p w14:paraId="6E07D5D2" w14:textId="77777777" w:rsidR="00DE0323" w:rsidRPr="00122A5E" w:rsidRDefault="00DE0323" w:rsidP="00DE0323">
            <w:pPr>
              <w:ind w:firstLineChars="100" w:firstLine="220"/>
              <w:jc w:val="right"/>
              <w:rPr>
                <w:sz w:val="22"/>
                <w:szCs w:val="22"/>
              </w:rPr>
            </w:pPr>
            <w:r w:rsidRPr="00122A5E">
              <w:rPr>
                <w:sz w:val="22"/>
                <w:szCs w:val="22"/>
              </w:rPr>
              <w:t>104 326</w:t>
            </w:r>
          </w:p>
        </w:tc>
        <w:tc>
          <w:tcPr>
            <w:tcW w:w="993" w:type="dxa"/>
            <w:tcBorders>
              <w:top w:val="nil"/>
              <w:left w:val="nil"/>
              <w:bottom w:val="single" w:sz="4" w:space="0" w:color="auto"/>
              <w:right w:val="single" w:sz="4" w:space="0" w:color="auto"/>
            </w:tcBorders>
            <w:shd w:val="clear" w:color="auto" w:fill="auto"/>
            <w:noWrap/>
            <w:vAlign w:val="bottom"/>
          </w:tcPr>
          <w:p w14:paraId="3DA2C0C4" w14:textId="77777777" w:rsidR="00DE0323" w:rsidRPr="00122A5E" w:rsidRDefault="00DE0323" w:rsidP="00DE0323">
            <w:pPr>
              <w:ind w:firstLineChars="100" w:firstLine="220"/>
              <w:jc w:val="right"/>
              <w:rPr>
                <w:sz w:val="22"/>
                <w:szCs w:val="22"/>
              </w:rPr>
            </w:pPr>
            <w:r w:rsidRPr="00122A5E">
              <w:rPr>
                <w:sz w:val="22"/>
                <w:szCs w:val="22"/>
              </w:rPr>
              <w:t>167</w:t>
            </w:r>
          </w:p>
        </w:tc>
        <w:tc>
          <w:tcPr>
            <w:tcW w:w="1275" w:type="dxa"/>
            <w:tcBorders>
              <w:top w:val="nil"/>
              <w:left w:val="nil"/>
              <w:bottom w:val="single" w:sz="4" w:space="0" w:color="auto"/>
              <w:right w:val="single" w:sz="4" w:space="0" w:color="auto"/>
            </w:tcBorders>
            <w:shd w:val="clear" w:color="auto" w:fill="auto"/>
            <w:noWrap/>
            <w:vAlign w:val="bottom"/>
          </w:tcPr>
          <w:p w14:paraId="27C9F333" w14:textId="77777777" w:rsidR="00DE0323" w:rsidRPr="00122A5E" w:rsidRDefault="00DE0323" w:rsidP="00DE0323">
            <w:pPr>
              <w:ind w:firstLineChars="100" w:firstLine="220"/>
              <w:jc w:val="right"/>
              <w:rPr>
                <w:sz w:val="22"/>
                <w:szCs w:val="22"/>
              </w:rPr>
            </w:pPr>
            <w:r w:rsidRPr="00122A5E">
              <w:rPr>
                <w:sz w:val="22"/>
                <w:szCs w:val="22"/>
              </w:rPr>
              <w:t>103 434</w:t>
            </w:r>
          </w:p>
        </w:tc>
        <w:tc>
          <w:tcPr>
            <w:tcW w:w="1324" w:type="dxa"/>
            <w:tcBorders>
              <w:top w:val="nil"/>
              <w:left w:val="nil"/>
              <w:bottom w:val="single" w:sz="4" w:space="0" w:color="auto"/>
              <w:right w:val="single" w:sz="4" w:space="0" w:color="auto"/>
            </w:tcBorders>
            <w:shd w:val="clear" w:color="auto" w:fill="auto"/>
            <w:noWrap/>
            <w:vAlign w:val="bottom"/>
          </w:tcPr>
          <w:p w14:paraId="0983B6C2" w14:textId="77777777" w:rsidR="00DE0323" w:rsidRPr="00122A5E" w:rsidRDefault="00DE0323" w:rsidP="00DE0323">
            <w:pPr>
              <w:ind w:firstLineChars="100" w:firstLine="220"/>
              <w:jc w:val="right"/>
              <w:rPr>
                <w:sz w:val="22"/>
                <w:szCs w:val="22"/>
              </w:rPr>
            </w:pPr>
            <w:r w:rsidRPr="00122A5E">
              <w:rPr>
                <w:sz w:val="22"/>
                <w:szCs w:val="22"/>
              </w:rPr>
              <w:t>150,69</w:t>
            </w:r>
          </w:p>
        </w:tc>
        <w:tc>
          <w:tcPr>
            <w:tcW w:w="1276" w:type="dxa"/>
            <w:tcBorders>
              <w:top w:val="nil"/>
              <w:left w:val="nil"/>
              <w:bottom w:val="single" w:sz="4" w:space="0" w:color="auto"/>
              <w:right w:val="single" w:sz="4" w:space="0" w:color="auto"/>
            </w:tcBorders>
            <w:shd w:val="clear" w:color="auto" w:fill="auto"/>
            <w:noWrap/>
            <w:vAlign w:val="bottom"/>
          </w:tcPr>
          <w:p w14:paraId="1D06F20B" w14:textId="77777777" w:rsidR="00DE0323" w:rsidRPr="00122A5E" w:rsidRDefault="00DE0323" w:rsidP="00DE0323">
            <w:pPr>
              <w:jc w:val="center"/>
              <w:rPr>
                <w:sz w:val="22"/>
                <w:szCs w:val="22"/>
              </w:rPr>
            </w:pPr>
            <w:r w:rsidRPr="00122A5E">
              <w:rPr>
                <w:sz w:val="22"/>
                <w:szCs w:val="22"/>
              </w:rPr>
              <w:t>99,15</w:t>
            </w:r>
          </w:p>
        </w:tc>
        <w:tc>
          <w:tcPr>
            <w:tcW w:w="1086" w:type="dxa"/>
            <w:tcBorders>
              <w:top w:val="nil"/>
              <w:left w:val="nil"/>
              <w:bottom w:val="single" w:sz="4" w:space="0" w:color="auto"/>
              <w:right w:val="single" w:sz="8" w:space="0" w:color="auto"/>
            </w:tcBorders>
            <w:shd w:val="clear" w:color="auto" w:fill="auto"/>
            <w:noWrap/>
            <w:vAlign w:val="bottom"/>
          </w:tcPr>
          <w:p w14:paraId="2E804100" w14:textId="77777777" w:rsidR="00DE0323" w:rsidRPr="00122A5E" w:rsidRDefault="00DE0323" w:rsidP="00DE0323">
            <w:pPr>
              <w:jc w:val="center"/>
              <w:rPr>
                <w:sz w:val="22"/>
                <w:szCs w:val="22"/>
              </w:rPr>
            </w:pPr>
            <w:r w:rsidRPr="00122A5E">
              <w:rPr>
                <w:sz w:val="22"/>
                <w:szCs w:val="22"/>
              </w:rPr>
              <w:t>90,23</w:t>
            </w:r>
          </w:p>
        </w:tc>
      </w:tr>
      <w:tr w:rsidR="00DE0323" w:rsidRPr="00122A5E" w14:paraId="5D6CC311" w14:textId="77777777" w:rsidTr="00643107">
        <w:trPr>
          <w:trHeight w:val="255"/>
          <w:tblHeader/>
        </w:trPr>
        <w:tc>
          <w:tcPr>
            <w:tcW w:w="2140" w:type="dxa"/>
            <w:tcBorders>
              <w:top w:val="nil"/>
              <w:left w:val="single" w:sz="8" w:space="0" w:color="auto"/>
              <w:bottom w:val="single" w:sz="4" w:space="0" w:color="auto"/>
              <w:right w:val="single" w:sz="8" w:space="0" w:color="auto"/>
            </w:tcBorders>
            <w:shd w:val="clear" w:color="auto" w:fill="auto"/>
            <w:noWrap/>
            <w:vAlign w:val="bottom"/>
          </w:tcPr>
          <w:p w14:paraId="078D357D" w14:textId="77777777" w:rsidR="00DE0323" w:rsidRPr="00122A5E" w:rsidRDefault="00DE0323" w:rsidP="00DE0323">
            <w:pPr>
              <w:rPr>
                <w:sz w:val="22"/>
                <w:szCs w:val="22"/>
              </w:rPr>
            </w:pPr>
            <w:r w:rsidRPr="00122A5E">
              <w:rPr>
                <w:sz w:val="22"/>
                <w:szCs w:val="22"/>
              </w:rPr>
              <w:t>SPS</w:t>
            </w:r>
          </w:p>
        </w:tc>
        <w:tc>
          <w:tcPr>
            <w:tcW w:w="1197" w:type="dxa"/>
            <w:tcBorders>
              <w:top w:val="nil"/>
              <w:left w:val="nil"/>
              <w:bottom w:val="single" w:sz="4" w:space="0" w:color="auto"/>
              <w:right w:val="single" w:sz="4" w:space="0" w:color="auto"/>
            </w:tcBorders>
            <w:shd w:val="clear" w:color="auto" w:fill="auto"/>
            <w:noWrap/>
            <w:vAlign w:val="bottom"/>
          </w:tcPr>
          <w:p w14:paraId="4F49BE46" w14:textId="77777777" w:rsidR="00DE0323" w:rsidRPr="00122A5E" w:rsidRDefault="00DE0323" w:rsidP="00DE0323">
            <w:pPr>
              <w:ind w:firstLineChars="100" w:firstLine="220"/>
              <w:jc w:val="right"/>
              <w:rPr>
                <w:sz w:val="22"/>
                <w:szCs w:val="22"/>
              </w:rPr>
            </w:pPr>
            <w:r w:rsidRPr="00122A5E">
              <w:rPr>
                <w:sz w:val="22"/>
                <w:szCs w:val="22"/>
              </w:rPr>
              <w:t>40 315</w:t>
            </w:r>
          </w:p>
        </w:tc>
        <w:tc>
          <w:tcPr>
            <w:tcW w:w="993" w:type="dxa"/>
            <w:tcBorders>
              <w:top w:val="nil"/>
              <w:left w:val="nil"/>
              <w:bottom w:val="single" w:sz="4" w:space="0" w:color="auto"/>
              <w:right w:val="single" w:sz="4" w:space="0" w:color="auto"/>
            </w:tcBorders>
            <w:shd w:val="clear" w:color="auto" w:fill="auto"/>
            <w:noWrap/>
            <w:vAlign w:val="bottom"/>
          </w:tcPr>
          <w:p w14:paraId="5B15504E" w14:textId="77777777" w:rsidR="00DE0323" w:rsidRPr="00122A5E" w:rsidRDefault="00DE0323" w:rsidP="00DE0323">
            <w:pPr>
              <w:ind w:firstLineChars="100" w:firstLine="220"/>
              <w:jc w:val="right"/>
              <w:rPr>
                <w:sz w:val="22"/>
                <w:szCs w:val="22"/>
              </w:rPr>
            </w:pPr>
            <w:r w:rsidRPr="00122A5E">
              <w:rPr>
                <w:sz w:val="22"/>
                <w:szCs w:val="22"/>
              </w:rPr>
              <w:t>89</w:t>
            </w:r>
          </w:p>
        </w:tc>
        <w:tc>
          <w:tcPr>
            <w:tcW w:w="1275" w:type="dxa"/>
            <w:tcBorders>
              <w:top w:val="nil"/>
              <w:left w:val="nil"/>
              <w:bottom w:val="single" w:sz="4" w:space="0" w:color="auto"/>
              <w:right w:val="single" w:sz="4" w:space="0" w:color="auto"/>
            </w:tcBorders>
            <w:shd w:val="clear" w:color="auto" w:fill="auto"/>
            <w:noWrap/>
            <w:vAlign w:val="bottom"/>
          </w:tcPr>
          <w:p w14:paraId="5BB6A81C" w14:textId="77777777" w:rsidR="00DE0323" w:rsidRPr="00122A5E" w:rsidRDefault="00DE0323" w:rsidP="00DE0323">
            <w:pPr>
              <w:ind w:firstLineChars="100" w:firstLine="220"/>
              <w:jc w:val="right"/>
              <w:rPr>
                <w:sz w:val="22"/>
                <w:szCs w:val="22"/>
              </w:rPr>
            </w:pPr>
            <w:r w:rsidRPr="00122A5E">
              <w:rPr>
                <w:sz w:val="22"/>
                <w:szCs w:val="22"/>
              </w:rPr>
              <w:t>40 263</w:t>
            </w:r>
          </w:p>
        </w:tc>
        <w:tc>
          <w:tcPr>
            <w:tcW w:w="1324" w:type="dxa"/>
            <w:tcBorders>
              <w:top w:val="nil"/>
              <w:left w:val="nil"/>
              <w:bottom w:val="single" w:sz="4" w:space="0" w:color="auto"/>
              <w:right w:val="single" w:sz="4" w:space="0" w:color="auto"/>
            </w:tcBorders>
            <w:shd w:val="clear" w:color="auto" w:fill="auto"/>
            <w:noWrap/>
            <w:vAlign w:val="bottom"/>
          </w:tcPr>
          <w:p w14:paraId="095C29F8" w14:textId="77777777" w:rsidR="00DE0323" w:rsidRPr="00122A5E" w:rsidRDefault="00DE0323" w:rsidP="00DE0323">
            <w:pPr>
              <w:ind w:firstLineChars="100" w:firstLine="220"/>
              <w:jc w:val="right"/>
              <w:rPr>
                <w:sz w:val="22"/>
                <w:szCs w:val="22"/>
              </w:rPr>
            </w:pPr>
            <w:r w:rsidRPr="00122A5E">
              <w:rPr>
                <w:sz w:val="22"/>
                <w:szCs w:val="22"/>
              </w:rPr>
              <w:t>87,25</w:t>
            </w:r>
          </w:p>
        </w:tc>
        <w:tc>
          <w:tcPr>
            <w:tcW w:w="1276" w:type="dxa"/>
            <w:tcBorders>
              <w:top w:val="nil"/>
              <w:left w:val="nil"/>
              <w:bottom w:val="single" w:sz="4" w:space="0" w:color="auto"/>
              <w:right w:val="single" w:sz="4" w:space="0" w:color="auto"/>
            </w:tcBorders>
            <w:shd w:val="clear" w:color="auto" w:fill="auto"/>
            <w:noWrap/>
            <w:vAlign w:val="bottom"/>
          </w:tcPr>
          <w:p w14:paraId="2FC2C2DF" w14:textId="77777777" w:rsidR="00DE0323" w:rsidRPr="00122A5E" w:rsidRDefault="00DE0323" w:rsidP="00DE0323">
            <w:pPr>
              <w:jc w:val="center"/>
              <w:rPr>
                <w:sz w:val="22"/>
                <w:szCs w:val="22"/>
              </w:rPr>
            </w:pPr>
            <w:r w:rsidRPr="00122A5E">
              <w:rPr>
                <w:sz w:val="22"/>
                <w:szCs w:val="22"/>
              </w:rPr>
              <w:t>99,87</w:t>
            </w:r>
          </w:p>
        </w:tc>
        <w:tc>
          <w:tcPr>
            <w:tcW w:w="1086" w:type="dxa"/>
            <w:tcBorders>
              <w:top w:val="nil"/>
              <w:left w:val="nil"/>
              <w:bottom w:val="single" w:sz="4" w:space="0" w:color="auto"/>
              <w:right w:val="single" w:sz="8" w:space="0" w:color="auto"/>
            </w:tcBorders>
            <w:shd w:val="clear" w:color="auto" w:fill="auto"/>
            <w:noWrap/>
            <w:vAlign w:val="bottom"/>
          </w:tcPr>
          <w:p w14:paraId="5DBAAC31" w14:textId="77777777" w:rsidR="00DE0323" w:rsidRPr="00122A5E" w:rsidRDefault="00DE0323" w:rsidP="00DE0323">
            <w:pPr>
              <w:jc w:val="center"/>
              <w:rPr>
                <w:sz w:val="22"/>
                <w:szCs w:val="22"/>
              </w:rPr>
            </w:pPr>
            <w:r w:rsidRPr="00122A5E">
              <w:rPr>
                <w:sz w:val="22"/>
                <w:szCs w:val="22"/>
              </w:rPr>
              <w:t>98,03</w:t>
            </w:r>
          </w:p>
        </w:tc>
      </w:tr>
      <w:tr w:rsidR="00DE0323" w:rsidRPr="00122A5E" w14:paraId="53B312E5" w14:textId="77777777" w:rsidTr="00643107">
        <w:trPr>
          <w:trHeight w:val="255"/>
          <w:tblHeader/>
        </w:trPr>
        <w:tc>
          <w:tcPr>
            <w:tcW w:w="2140" w:type="dxa"/>
            <w:tcBorders>
              <w:top w:val="nil"/>
              <w:left w:val="single" w:sz="8" w:space="0" w:color="auto"/>
              <w:bottom w:val="single" w:sz="4" w:space="0" w:color="auto"/>
              <w:right w:val="single" w:sz="8" w:space="0" w:color="auto"/>
            </w:tcBorders>
            <w:shd w:val="clear" w:color="auto" w:fill="auto"/>
            <w:noWrap/>
            <w:vAlign w:val="bottom"/>
          </w:tcPr>
          <w:p w14:paraId="30845944" w14:textId="77777777" w:rsidR="00DE0323" w:rsidRPr="00122A5E" w:rsidRDefault="00DE0323" w:rsidP="00DE0323">
            <w:pPr>
              <w:rPr>
                <w:sz w:val="22"/>
                <w:szCs w:val="22"/>
              </w:rPr>
            </w:pPr>
            <w:r w:rsidRPr="00122A5E">
              <w:rPr>
                <w:sz w:val="22"/>
                <w:szCs w:val="22"/>
              </w:rPr>
              <w:t>DÚ</w:t>
            </w:r>
          </w:p>
        </w:tc>
        <w:tc>
          <w:tcPr>
            <w:tcW w:w="1197" w:type="dxa"/>
            <w:tcBorders>
              <w:top w:val="nil"/>
              <w:left w:val="nil"/>
              <w:bottom w:val="single" w:sz="4" w:space="0" w:color="auto"/>
              <w:right w:val="single" w:sz="4" w:space="0" w:color="auto"/>
            </w:tcBorders>
            <w:shd w:val="clear" w:color="auto" w:fill="auto"/>
            <w:noWrap/>
            <w:vAlign w:val="bottom"/>
          </w:tcPr>
          <w:p w14:paraId="6061435E" w14:textId="77777777" w:rsidR="00DE0323" w:rsidRPr="00122A5E" w:rsidRDefault="00DE0323" w:rsidP="00DE0323">
            <w:pPr>
              <w:ind w:firstLineChars="100" w:firstLine="220"/>
              <w:jc w:val="right"/>
              <w:rPr>
                <w:sz w:val="22"/>
                <w:szCs w:val="22"/>
              </w:rPr>
            </w:pPr>
            <w:r w:rsidRPr="00122A5E">
              <w:rPr>
                <w:sz w:val="22"/>
                <w:szCs w:val="22"/>
              </w:rPr>
              <w:t>53 105</w:t>
            </w:r>
          </w:p>
        </w:tc>
        <w:tc>
          <w:tcPr>
            <w:tcW w:w="993" w:type="dxa"/>
            <w:tcBorders>
              <w:top w:val="nil"/>
              <w:left w:val="nil"/>
              <w:bottom w:val="single" w:sz="4" w:space="0" w:color="auto"/>
              <w:right w:val="single" w:sz="4" w:space="0" w:color="auto"/>
            </w:tcBorders>
            <w:shd w:val="clear" w:color="auto" w:fill="auto"/>
            <w:noWrap/>
            <w:vAlign w:val="bottom"/>
          </w:tcPr>
          <w:p w14:paraId="0E6259CC" w14:textId="77777777" w:rsidR="00DE0323" w:rsidRPr="00122A5E" w:rsidRDefault="00DE0323" w:rsidP="00DE0323">
            <w:pPr>
              <w:ind w:firstLineChars="100" w:firstLine="220"/>
              <w:jc w:val="right"/>
              <w:rPr>
                <w:sz w:val="22"/>
                <w:szCs w:val="22"/>
              </w:rPr>
            </w:pPr>
            <w:r w:rsidRPr="00122A5E">
              <w:rPr>
                <w:sz w:val="22"/>
                <w:szCs w:val="22"/>
              </w:rPr>
              <w:t>115</w:t>
            </w:r>
          </w:p>
        </w:tc>
        <w:tc>
          <w:tcPr>
            <w:tcW w:w="1275" w:type="dxa"/>
            <w:tcBorders>
              <w:top w:val="nil"/>
              <w:left w:val="nil"/>
              <w:bottom w:val="single" w:sz="4" w:space="0" w:color="auto"/>
              <w:right w:val="single" w:sz="4" w:space="0" w:color="auto"/>
            </w:tcBorders>
            <w:shd w:val="clear" w:color="auto" w:fill="auto"/>
            <w:noWrap/>
            <w:vAlign w:val="bottom"/>
          </w:tcPr>
          <w:p w14:paraId="6E1BA91E" w14:textId="77777777" w:rsidR="00DE0323" w:rsidRPr="00122A5E" w:rsidRDefault="00DE0323" w:rsidP="00DE0323">
            <w:pPr>
              <w:ind w:firstLineChars="100" w:firstLine="220"/>
              <w:jc w:val="right"/>
              <w:rPr>
                <w:sz w:val="22"/>
                <w:szCs w:val="22"/>
              </w:rPr>
            </w:pPr>
            <w:r w:rsidRPr="00122A5E">
              <w:rPr>
                <w:sz w:val="22"/>
                <w:szCs w:val="22"/>
              </w:rPr>
              <w:t>54 205</w:t>
            </w:r>
          </w:p>
        </w:tc>
        <w:tc>
          <w:tcPr>
            <w:tcW w:w="1324" w:type="dxa"/>
            <w:tcBorders>
              <w:top w:val="nil"/>
              <w:left w:val="nil"/>
              <w:bottom w:val="single" w:sz="4" w:space="0" w:color="auto"/>
              <w:right w:val="single" w:sz="4" w:space="0" w:color="auto"/>
            </w:tcBorders>
            <w:shd w:val="clear" w:color="auto" w:fill="auto"/>
            <w:noWrap/>
            <w:vAlign w:val="bottom"/>
          </w:tcPr>
          <w:p w14:paraId="3633E513" w14:textId="77777777" w:rsidR="00DE0323" w:rsidRPr="00122A5E" w:rsidRDefault="00DE0323" w:rsidP="00DE0323">
            <w:pPr>
              <w:ind w:firstLineChars="100" w:firstLine="220"/>
              <w:jc w:val="right"/>
              <w:rPr>
                <w:sz w:val="22"/>
                <w:szCs w:val="22"/>
              </w:rPr>
            </w:pPr>
            <w:r w:rsidRPr="00122A5E">
              <w:rPr>
                <w:sz w:val="22"/>
                <w:szCs w:val="22"/>
              </w:rPr>
              <w:t>107,13</w:t>
            </w:r>
          </w:p>
        </w:tc>
        <w:tc>
          <w:tcPr>
            <w:tcW w:w="1276" w:type="dxa"/>
            <w:tcBorders>
              <w:top w:val="nil"/>
              <w:left w:val="nil"/>
              <w:bottom w:val="single" w:sz="4" w:space="0" w:color="auto"/>
              <w:right w:val="single" w:sz="4" w:space="0" w:color="auto"/>
            </w:tcBorders>
            <w:shd w:val="clear" w:color="auto" w:fill="auto"/>
            <w:noWrap/>
            <w:vAlign w:val="bottom"/>
          </w:tcPr>
          <w:p w14:paraId="7FE7E96F" w14:textId="77777777" w:rsidR="00DE0323" w:rsidRPr="00122A5E" w:rsidRDefault="00DE0323" w:rsidP="00DE0323">
            <w:pPr>
              <w:jc w:val="center"/>
              <w:rPr>
                <w:sz w:val="22"/>
                <w:szCs w:val="22"/>
              </w:rPr>
            </w:pPr>
            <w:r w:rsidRPr="00122A5E">
              <w:rPr>
                <w:sz w:val="22"/>
                <w:szCs w:val="22"/>
              </w:rPr>
              <w:t>102,07</w:t>
            </w:r>
          </w:p>
        </w:tc>
        <w:tc>
          <w:tcPr>
            <w:tcW w:w="1086" w:type="dxa"/>
            <w:tcBorders>
              <w:top w:val="nil"/>
              <w:left w:val="nil"/>
              <w:bottom w:val="single" w:sz="4" w:space="0" w:color="auto"/>
              <w:right w:val="single" w:sz="8" w:space="0" w:color="auto"/>
            </w:tcBorders>
            <w:shd w:val="clear" w:color="auto" w:fill="auto"/>
            <w:noWrap/>
            <w:vAlign w:val="bottom"/>
          </w:tcPr>
          <w:p w14:paraId="7EF337DD" w14:textId="77777777" w:rsidR="00DE0323" w:rsidRPr="00122A5E" w:rsidRDefault="00DE0323" w:rsidP="00DE0323">
            <w:pPr>
              <w:jc w:val="center"/>
              <w:rPr>
                <w:sz w:val="22"/>
                <w:szCs w:val="22"/>
              </w:rPr>
            </w:pPr>
            <w:r w:rsidRPr="00122A5E">
              <w:rPr>
                <w:sz w:val="22"/>
                <w:szCs w:val="22"/>
              </w:rPr>
              <w:t>93,16</w:t>
            </w:r>
          </w:p>
        </w:tc>
      </w:tr>
      <w:tr w:rsidR="00DE0323" w:rsidRPr="00122A5E" w14:paraId="19C4F2C1" w14:textId="77777777" w:rsidTr="00643107">
        <w:trPr>
          <w:trHeight w:val="255"/>
          <w:tblHeader/>
        </w:trPr>
        <w:tc>
          <w:tcPr>
            <w:tcW w:w="2140" w:type="dxa"/>
            <w:tcBorders>
              <w:top w:val="nil"/>
              <w:left w:val="single" w:sz="8" w:space="0" w:color="auto"/>
              <w:bottom w:val="single" w:sz="4" w:space="0" w:color="auto"/>
              <w:right w:val="single" w:sz="8" w:space="0" w:color="auto"/>
            </w:tcBorders>
            <w:shd w:val="clear" w:color="auto" w:fill="auto"/>
            <w:noWrap/>
            <w:vAlign w:val="bottom"/>
          </w:tcPr>
          <w:p w14:paraId="17E8AD8A" w14:textId="77777777" w:rsidR="00DE0323" w:rsidRPr="00122A5E" w:rsidRDefault="00DE0323" w:rsidP="00DE0323">
            <w:pPr>
              <w:rPr>
                <w:sz w:val="22"/>
                <w:szCs w:val="22"/>
              </w:rPr>
            </w:pPr>
            <w:r w:rsidRPr="00122A5E">
              <w:rPr>
                <w:sz w:val="22"/>
                <w:szCs w:val="22"/>
              </w:rPr>
              <w:t>DI</w:t>
            </w:r>
          </w:p>
        </w:tc>
        <w:tc>
          <w:tcPr>
            <w:tcW w:w="1197" w:type="dxa"/>
            <w:tcBorders>
              <w:top w:val="nil"/>
              <w:left w:val="nil"/>
              <w:bottom w:val="single" w:sz="4" w:space="0" w:color="auto"/>
              <w:right w:val="single" w:sz="4" w:space="0" w:color="auto"/>
            </w:tcBorders>
            <w:shd w:val="clear" w:color="auto" w:fill="auto"/>
            <w:noWrap/>
            <w:vAlign w:val="bottom"/>
          </w:tcPr>
          <w:p w14:paraId="54565282" w14:textId="77777777" w:rsidR="00DE0323" w:rsidRPr="00122A5E" w:rsidRDefault="00DE0323" w:rsidP="00DE0323">
            <w:pPr>
              <w:ind w:firstLineChars="100" w:firstLine="220"/>
              <w:jc w:val="right"/>
              <w:rPr>
                <w:sz w:val="22"/>
                <w:szCs w:val="22"/>
              </w:rPr>
            </w:pPr>
            <w:r w:rsidRPr="00122A5E">
              <w:rPr>
                <w:sz w:val="22"/>
                <w:szCs w:val="22"/>
              </w:rPr>
              <w:t>22 216</w:t>
            </w:r>
          </w:p>
        </w:tc>
        <w:tc>
          <w:tcPr>
            <w:tcW w:w="993" w:type="dxa"/>
            <w:tcBorders>
              <w:top w:val="nil"/>
              <w:left w:val="nil"/>
              <w:bottom w:val="single" w:sz="4" w:space="0" w:color="auto"/>
              <w:right w:val="single" w:sz="4" w:space="0" w:color="auto"/>
            </w:tcBorders>
            <w:shd w:val="clear" w:color="auto" w:fill="auto"/>
            <w:noWrap/>
            <w:vAlign w:val="bottom"/>
          </w:tcPr>
          <w:p w14:paraId="0EA83B18" w14:textId="77777777" w:rsidR="00DE0323" w:rsidRPr="00122A5E" w:rsidRDefault="00DE0323" w:rsidP="00DE0323">
            <w:pPr>
              <w:ind w:firstLineChars="100" w:firstLine="220"/>
              <w:jc w:val="right"/>
              <w:rPr>
                <w:sz w:val="22"/>
                <w:szCs w:val="22"/>
              </w:rPr>
            </w:pPr>
            <w:r w:rsidRPr="00122A5E">
              <w:rPr>
                <w:sz w:val="22"/>
                <w:szCs w:val="22"/>
              </w:rPr>
              <w:t>39</w:t>
            </w:r>
          </w:p>
        </w:tc>
        <w:tc>
          <w:tcPr>
            <w:tcW w:w="1275" w:type="dxa"/>
            <w:tcBorders>
              <w:top w:val="nil"/>
              <w:left w:val="nil"/>
              <w:bottom w:val="single" w:sz="4" w:space="0" w:color="auto"/>
              <w:right w:val="single" w:sz="4" w:space="0" w:color="auto"/>
            </w:tcBorders>
            <w:shd w:val="clear" w:color="auto" w:fill="auto"/>
            <w:noWrap/>
            <w:vAlign w:val="bottom"/>
          </w:tcPr>
          <w:p w14:paraId="66EFB07A" w14:textId="77777777" w:rsidR="00DE0323" w:rsidRPr="00122A5E" w:rsidRDefault="00DE0323" w:rsidP="00DE0323">
            <w:pPr>
              <w:ind w:firstLineChars="100" w:firstLine="220"/>
              <w:jc w:val="right"/>
              <w:rPr>
                <w:sz w:val="22"/>
                <w:szCs w:val="22"/>
              </w:rPr>
            </w:pPr>
            <w:r w:rsidRPr="00122A5E">
              <w:rPr>
                <w:sz w:val="22"/>
                <w:szCs w:val="22"/>
              </w:rPr>
              <w:t>22 217</w:t>
            </w:r>
          </w:p>
        </w:tc>
        <w:tc>
          <w:tcPr>
            <w:tcW w:w="1324" w:type="dxa"/>
            <w:tcBorders>
              <w:top w:val="nil"/>
              <w:left w:val="nil"/>
              <w:bottom w:val="single" w:sz="4" w:space="0" w:color="auto"/>
              <w:right w:val="single" w:sz="4" w:space="0" w:color="auto"/>
            </w:tcBorders>
            <w:shd w:val="clear" w:color="auto" w:fill="auto"/>
            <w:noWrap/>
            <w:vAlign w:val="bottom"/>
          </w:tcPr>
          <w:p w14:paraId="14523155" w14:textId="77777777" w:rsidR="00DE0323" w:rsidRPr="00122A5E" w:rsidRDefault="00DE0323" w:rsidP="00DE0323">
            <w:pPr>
              <w:ind w:firstLineChars="100" w:firstLine="220"/>
              <w:jc w:val="right"/>
              <w:rPr>
                <w:sz w:val="22"/>
                <w:szCs w:val="22"/>
              </w:rPr>
            </w:pPr>
            <w:r w:rsidRPr="00122A5E">
              <w:rPr>
                <w:sz w:val="22"/>
                <w:szCs w:val="22"/>
              </w:rPr>
              <w:t>38,63</w:t>
            </w:r>
          </w:p>
        </w:tc>
        <w:tc>
          <w:tcPr>
            <w:tcW w:w="1276" w:type="dxa"/>
            <w:tcBorders>
              <w:top w:val="nil"/>
              <w:left w:val="nil"/>
              <w:bottom w:val="single" w:sz="4" w:space="0" w:color="auto"/>
              <w:right w:val="single" w:sz="4" w:space="0" w:color="auto"/>
            </w:tcBorders>
            <w:shd w:val="clear" w:color="auto" w:fill="auto"/>
            <w:noWrap/>
            <w:vAlign w:val="bottom"/>
          </w:tcPr>
          <w:p w14:paraId="303B4AC5" w14:textId="77777777" w:rsidR="00DE0323" w:rsidRPr="00122A5E" w:rsidRDefault="00DE0323" w:rsidP="00DE0323">
            <w:pPr>
              <w:jc w:val="center"/>
              <w:rPr>
                <w:sz w:val="22"/>
                <w:szCs w:val="22"/>
              </w:rPr>
            </w:pPr>
            <w:r w:rsidRPr="00122A5E">
              <w:rPr>
                <w:sz w:val="22"/>
                <w:szCs w:val="22"/>
              </w:rPr>
              <w:t>100,00</w:t>
            </w:r>
          </w:p>
        </w:tc>
        <w:tc>
          <w:tcPr>
            <w:tcW w:w="1086" w:type="dxa"/>
            <w:tcBorders>
              <w:top w:val="nil"/>
              <w:left w:val="nil"/>
              <w:bottom w:val="single" w:sz="4" w:space="0" w:color="auto"/>
              <w:right w:val="single" w:sz="8" w:space="0" w:color="auto"/>
            </w:tcBorders>
            <w:shd w:val="clear" w:color="auto" w:fill="auto"/>
            <w:noWrap/>
            <w:vAlign w:val="bottom"/>
          </w:tcPr>
          <w:p w14:paraId="6DB02694" w14:textId="77777777" w:rsidR="00DE0323" w:rsidRPr="00122A5E" w:rsidRDefault="00DE0323" w:rsidP="00DE0323">
            <w:pPr>
              <w:jc w:val="center"/>
              <w:rPr>
                <w:sz w:val="22"/>
                <w:szCs w:val="22"/>
              </w:rPr>
            </w:pPr>
            <w:r w:rsidRPr="00122A5E">
              <w:rPr>
                <w:sz w:val="22"/>
                <w:szCs w:val="22"/>
              </w:rPr>
              <w:t>99,05</w:t>
            </w:r>
          </w:p>
        </w:tc>
      </w:tr>
      <w:tr w:rsidR="00DE0323" w:rsidRPr="00122A5E" w14:paraId="32627C27" w14:textId="77777777" w:rsidTr="00643107">
        <w:trPr>
          <w:trHeight w:val="255"/>
          <w:tblHeader/>
        </w:trPr>
        <w:tc>
          <w:tcPr>
            <w:tcW w:w="2140" w:type="dxa"/>
            <w:tcBorders>
              <w:top w:val="nil"/>
              <w:left w:val="single" w:sz="8" w:space="0" w:color="auto"/>
              <w:bottom w:val="single" w:sz="4" w:space="0" w:color="auto"/>
              <w:right w:val="single" w:sz="8" w:space="0" w:color="auto"/>
            </w:tcBorders>
            <w:shd w:val="clear" w:color="auto" w:fill="auto"/>
            <w:noWrap/>
            <w:vAlign w:val="bottom"/>
          </w:tcPr>
          <w:p w14:paraId="33A19AAC" w14:textId="77777777" w:rsidR="00DE0323" w:rsidRPr="00122A5E" w:rsidRDefault="00DE0323" w:rsidP="00DE0323">
            <w:pPr>
              <w:rPr>
                <w:sz w:val="22"/>
                <w:szCs w:val="22"/>
              </w:rPr>
            </w:pPr>
            <w:r w:rsidRPr="00122A5E">
              <w:rPr>
                <w:sz w:val="22"/>
                <w:szCs w:val="22"/>
              </w:rPr>
              <w:t>ÚZPLN</w:t>
            </w:r>
          </w:p>
        </w:tc>
        <w:tc>
          <w:tcPr>
            <w:tcW w:w="1197" w:type="dxa"/>
            <w:tcBorders>
              <w:top w:val="nil"/>
              <w:left w:val="nil"/>
              <w:bottom w:val="single" w:sz="4" w:space="0" w:color="auto"/>
              <w:right w:val="single" w:sz="4" w:space="0" w:color="auto"/>
            </w:tcBorders>
            <w:shd w:val="clear" w:color="auto" w:fill="auto"/>
            <w:noWrap/>
            <w:vAlign w:val="bottom"/>
          </w:tcPr>
          <w:p w14:paraId="59B79A0A" w14:textId="77777777" w:rsidR="00DE0323" w:rsidRPr="00122A5E" w:rsidRDefault="00DE0323" w:rsidP="00DE0323">
            <w:pPr>
              <w:ind w:firstLineChars="100" w:firstLine="220"/>
              <w:jc w:val="right"/>
              <w:rPr>
                <w:sz w:val="22"/>
                <w:szCs w:val="22"/>
              </w:rPr>
            </w:pPr>
            <w:r w:rsidRPr="00122A5E">
              <w:rPr>
                <w:sz w:val="22"/>
                <w:szCs w:val="22"/>
              </w:rPr>
              <w:t>8 441</w:t>
            </w:r>
          </w:p>
        </w:tc>
        <w:tc>
          <w:tcPr>
            <w:tcW w:w="993" w:type="dxa"/>
            <w:tcBorders>
              <w:top w:val="nil"/>
              <w:left w:val="nil"/>
              <w:bottom w:val="single" w:sz="4" w:space="0" w:color="auto"/>
              <w:right w:val="single" w:sz="4" w:space="0" w:color="auto"/>
            </w:tcBorders>
            <w:shd w:val="clear" w:color="auto" w:fill="auto"/>
            <w:noWrap/>
            <w:vAlign w:val="bottom"/>
          </w:tcPr>
          <w:p w14:paraId="739D5E80" w14:textId="77777777" w:rsidR="00DE0323" w:rsidRPr="00122A5E" w:rsidRDefault="00DE0323" w:rsidP="00DE0323">
            <w:pPr>
              <w:ind w:firstLineChars="100" w:firstLine="220"/>
              <w:jc w:val="right"/>
              <w:rPr>
                <w:sz w:val="22"/>
                <w:szCs w:val="22"/>
              </w:rPr>
            </w:pPr>
            <w:r w:rsidRPr="00122A5E">
              <w:rPr>
                <w:sz w:val="22"/>
                <w:szCs w:val="22"/>
              </w:rPr>
              <w:t>15</w:t>
            </w:r>
          </w:p>
        </w:tc>
        <w:tc>
          <w:tcPr>
            <w:tcW w:w="1275" w:type="dxa"/>
            <w:tcBorders>
              <w:top w:val="nil"/>
              <w:left w:val="nil"/>
              <w:bottom w:val="single" w:sz="4" w:space="0" w:color="auto"/>
              <w:right w:val="single" w:sz="4" w:space="0" w:color="auto"/>
            </w:tcBorders>
            <w:shd w:val="clear" w:color="auto" w:fill="auto"/>
            <w:noWrap/>
            <w:vAlign w:val="bottom"/>
          </w:tcPr>
          <w:p w14:paraId="773F51C7" w14:textId="77777777" w:rsidR="00DE0323" w:rsidRPr="00122A5E" w:rsidRDefault="00DE0323" w:rsidP="00DE0323">
            <w:pPr>
              <w:ind w:firstLineChars="100" w:firstLine="220"/>
              <w:jc w:val="right"/>
              <w:rPr>
                <w:sz w:val="22"/>
                <w:szCs w:val="22"/>
              </w:rPr>
            </w:pPr>
            <w:r w:rsidRPr="00122A5E">
              <w:rPr>
                <w:sz w:val="22"/>
                <w:szCs w:val="22"/>
              </w:rPr>
              <w:t>8 390</w:t>
            </w:r>
          </w:p>
        </w:tc>
        <w:tc>
          <w:tcPr>
            <w:tcW w:w="1324" w:type="dxa"/>
            <w:tcBorders>
              <w:top w:val="nil"/>
              <w:left w:val="nil"/>
              <w:bottom w:val="single" w:sz="4" w:space="0" w:color="auto"/>
              <w:right w:val="single" w:sz="4" w:space="0" w:color="auto"/>
            </w:tcBorders>
            <w:shd w:val="clear" w:color="auto" w:fill="auto"/>
            <w:noWrap/>
            <w:vAlign w:val="bottom"/>
          </w:tcPr>
          <w:p w14:paraId="5331341B" w14:textId="77777777" w:rsidR="00DE0323" w:rsidRPr="00122A5E" w:rsidRDefault="00DE0323" w:rsidP="00DE0323">
            <w:pPr>
              <w:ind w:firstLineChars="100" w:firstLine="220"/>
              <w:jc w:val="right"/>
              <w:rPr>
                <w:sz w:val="22"/>
                <w:szCs w:val="22"/>
              </w:rPr>
            </w:pPr>
            <w:r w:rsidRPr="00122A5E">
              <w:rPr>
                <w:sz w:val="22"/>
                <w:szCs w:val="22"/>
              </w:rPr>
              <w:t>14,00</w:t>
            </w:r>
          </w:p>
        </w:tc>
        <w:tc>
          <w:tcPr>
            <w:tcW w:w="1276" w:type="dxa"/>
            <w:tcBorders>
              <w:top w:val="nil"/>
              <w:left w:val="nil"/>
              <w:bottom w:val="single" w:sz="4" w:space="0" w:color="auto"/>
              <w:right w:val="single" w:sz="4" w:space="0" w:color="auto"/>
            </w:tcBorders>
            <w:shd w:val="clear" w:color="auto" w:fill="auto"/>
            <w:noWrap/>
            <w:vAlign w:val="bottom"/>
          </w:tcPr>
          <w:p w14:paraId="21A8D08B" w14:textId="77777777" w:rsidR="00DE0323" w:rsidRPr="00122A5E" w:rsidRDefault="00DE0323" w:rsidP="00DE0323">
            <w:pPr>
              <w:jc w:val="center"/>
              <w:rPr>
                <w:sz w:val="22"/>
                <w:szCs w:val="22"/>
              </w:rPr>
            </w:pPr>
            <w:r w:rsidRPr="00122A5E">
              <w:rPr>
                <w:sz w:val="22"/>
                <w:szCs w:val="22"/>
              </w:rPr>
              <w:t>99,40</w:t>
            </w:r>
          </w:p>
        </w:tc>
        <w:tc>
          <w:tcPr>
            <w:tcW w:w="1086" w:type="dxa"/>
            <w:tcBorders>
              <w:top w:val="nil"/>
              <w:left w:val="nil"/>
              <w:bottom w:val="single" w:sz="4" w:space="0" w:color="auto"/>
              <w:right w:val="single" w:sz="8" w:space="0" w:color="auto"/>
            </w:tcBorders>
            <w:shd w:val="clear" w:color="auto" w:fill="auto"/>
            <w:noWrap/>
            <w:vAlign w:val="bottom"/>
          </w:tcPr>
          <w:p w14:paraId="64552B14" w14:textId="77777777" w:rsidR="00DE0323" w:rsidRPr="00122A5E" w:rsidRDefault="00DE0323" w:rsidP="00DE0323">
            <w:pPr>
              <w:jc w:val="center"/>
              <w:rPr>
                <w:sz w:val="22"/>
                <w:szCs w:val="22"/>
              </w:rPr>
            </w:pPr>
            <w:r w:rsidRPr="00122A5E">
              <w:rPr>
                <w:sz w:val="22"/>
                <w:szCs w:val="22"/>
              </w:rPr>
              <w:t>93,33</w:t>
            </w:r>
          </w:p>
        </w:tc>
      </w:tr>
      <w:tr w:rsidR="00DE0323" w:rsidRPr="00122A5E" w14:paraId="6A8C3D39" w14:textId="77777777" w:rsidTr="00643107">
        <w:trPr>
          <w:trHeight w:val="255"/>
          <w:tblHeader/>
        </w:trPr>
        <w:tc>
          <w:tcPr>
            <w:tcW w:w="2140" w:type="dxa"/>
            <w:tcBorders>
              <w:top w:val="single" w:sz="4" w:space="0" w:color="auto"/>
              <w:left w:val="single" w:sz="8" w:space="0" w:color="auto"/>
              <w:bottom w:val="single" w:sz="4" w:space="0" w:color="auto"/>
              <w:right w:val="single" w:sz="8" w:space="0" w:color="auto"/>
            </w:tcBorders>
            <w:shd w:val="clear" w:color="auto" w:fill="auto"/>
            <w:noWrap/>
            <w:vAlign w:val="bottom"/>
          </w:tcPr>
          <w:p w14:paraId="0741AE80" w14:textId="77777777" w:rsidR="00DE0323" w:rsidRPr="00122A5E" w:rsidRDefault="00DE0323" w:rsidP="00DE0323">
            <w:pPr>
              <w:rPr>
                <w:b/>
                <w:bCs/>
                <w:sz w:val="22"/>
                <w:szCs w:val="22"/>
              </w:rPr>
            </w:pPr>
            <w:r w:rsidRPr="00122A5E">
              <w:rPr>
                <w:b/>
                <w:bCs/>
                <w:sz w:val="22"/>
                <w:szCs w:val="22"/>
              </w:rPr>
              <w:t>Státní správa celkem</w:t>
            </w:r>
          </w:p>
        </w:tc>
        <w:tc>
          <w:tcPr>
            <w:tcW w:w="1197" w:type="dxa"/>
            <w:tcBorders>
              <w:top w:val="nil"/>
              <w:left w:val="nil"/>
              <w:bottom w:val="single" w:sz="4" w:space="0" w:color="auto"/>
              <w:right w:val="single" w:sz="4" w:space="0" w:color="auto"/>
            </w:tcBorders>
            <w:shd w:val="clear" w:color="auto" w:fill="auto"/>
            <w:noWrap/>
            <w:vAlign w:val="bottom"/>
          </w:tcPr>
          <w:p w14:paraId="7DD01F2A" w14:textId="77777777" w:rsidR="00DE0323" w:rsidRPr="00122A5E" w:rsidRDefault="00DE0323" w:rsidP="00DE0323">
            <w:pPr>
              <w:ind w:firstLineChars="100" w:firstLine="220"/>
              <w:jc w:val="right"/>
              <w:rPr>
                <w:b/>
                <w:bCs/>
                <w:sz w:val="22"/>
                <w:szCs w:val="22"/>
              </w:rPr>
            </w:pPr>
            <w:r w:rsidRPr="00122A5E">
              <w:rPr>
                <w:b/>
                <w:bCs/>
                <w:sz w:val="22"/>
                <w:szCs w:val="22"/>
              </w:rPr>
              <w:t>524 017</w:t>
            </w:r>
          </w:p>
        </w:tc>
        <w:tc>
          <w:tcPr>
            <w:tcW w:w="993" w:type="dxa"/>
            <w:tcBorders>
              <w:top w:val="nil"/>
              <w:left w:val="nil"/>
              <w:bottom w:val="single" w:sz="4" w:space="0" w:color="auto"/>
              <w:right w:val="single" w:sz="4" w:space="0" w:color="auto"/>
            </w:tcBorders>
            <w:shd w:val="clear" w:color="auto" w:fill="auto"/>
            <w:noWrap/>
            <w:vAlign w:val="bottom"/>
          </w:tcPr>
          <w:p w14:paraId="34489714" w14:textId="77777777" w:rsidR="00DE0323" w:rsidRPr="00122A5E" w:rsidRDefault="00DE0323" w:rsidP="00DE0323">
            <w:pPr>
              <w:ind w:firstLineChars="100" w:firstLine="220"/>
              <w:jc w:val="right"/>
              <w:rPr>
                <w:b/>
                <w:bCs/>
                <w:sz w:val="22"/>
                <w:szCs w:val="22"/>
              </w:rPr>
            </w:pPr>
            <w:r w:rsidRPr="00122A5E">
              <w:rPr>
                <w:b/>
                <w:bCs/>
                <w:sz w:val="22"/>
                <w:szCs w:val="22"/>
              </w:rPr>
              <w:t>914</w:t>
            </w:r>
          </w:p>
        </w:tc>
        <w:tc>
          <w:tcPr>
            <w:tcW w:w="1275" w:type="dxa"/>
            <w:tcBorders>
              <w:top w:val="nil"/>
              <w:left w:val="nil"/>
              <w:bottom w:val="single" w:sz="4" w:space="0" w:color="auto"/>
              <w:right w:val="single" w:sz="4" w:space="0" w:color="auto"/>
            </w:tcBorders>
            <w:shd w:val="clear" w:color="auto" w:fill="auto"/>
            <w:noWrap/>
            <w:vAlign w:val="bottom"/>
          </w:tcPr>
          <w:p w14:paraId="5FD8A7D1" w14:textId="77777777" w:rsidR="00DE0323" w:rsidRPr="00122A5E" w:rsidRDefault="00DE0323" w:rsidP="00DE0323">
            <w:pPr>
              <w:ind w:firstLineChars="100" w:firstLine="220"/>
              <w:jc w:val="right"/>
              <w:rPr>
                <w:b/>
                <w:bCs/>
                <w:sz w:val="22"/>
                <w:szCs w:val="22"/>
              </w:rPr>
            </w:pPr>
            <w:r w:rsidRPr="00122A5E">
              <w:rPr>
                <w:b/>
                <w:bCs/>
                <w:sz w:val="22"/>
                <w:szCs w:val="22"/>
              </w:rPr>
              <w:t>543 153</w:t>
            </w:r>
          </w:p>
        </w:tc>
        <w:tc>
          <w:tcPr>
            <w:tcW w:w="1324" w:type="dxa"/>
            <w:tcBorders>
              <w:top w:val="nil"/>
              <w:left w:val="nil"/>
              <w:bottom w:val="single" w:sz="4" w:space="0" w:color="auto"/>
              <w:right w:val="single" w:sz="4" w:space="0" w:color="auto"/>
            </w:tcBorders>
            <w:shd w:val="clear" w:color="auto" w:fill="auto"/>
            <w:noWrap/>
            <w:vAlign w:val="bottom"/>
          </w:tcPr>
          <w:p w14:paraId="15AAD6B1" w14:textId="77777777" w:rsidR="00DE0323" w:rsidRPr="00122A5E" w:rsidRDefault="00DE0323" w:rsidP="00DE0323">
            <w:pPr>
              <w:ind w:firstLineChars="100" w:firstLine="220"/>
              <w:jc w:val="right"/>
              <w:rPr>
                <w:b/>
                <w:bCs/>
                <w:sz w:val="22"/>
                <w:szCs w:val="22"/>
              </w:rPr>
            </w:pPr>
            <w:r w:rsidRPr="00122A5E">
              <w:rPr>
                <w:b/>
                <w:bCs/>
                <w:sz w:val="22"/>
                <w:szCs w:val="22"/>
              </w:rPr>
              <w:t>843,50</w:t>
            </w:r>
          </w:p>
        </w:tc>
        <w:tc>
          <w:tcPr>
            <w:tcW w:w="1276" w:type="dxa"/>
            <w:tcBorders>
              <w:top w:val="nil"/>
              <w:left w:val="nil"/>
              <w:bottom w:val="single" w:sz="4" w:space="0" w:color="auto"/>
              <w:right w:val="single" w:sz="4" w:space="0" w:color="auto"/>
            </w:tcBorders>
            <w:shd w:val="clear" w:color="auto" w:fill="auto"/>
            <w:noWrap/>
            <w:vAlign w:val="bottom"/>
          </w:tcPr>
          <w:p w14:paraId="55FB0F01" w14:textId="77777777" w:rsidR="00DE0323" w:rsidRPr="00122A5E" w:rsidRDefault="00DE0323" w:rsidP="00DE0323">
            <w:pPr>
              <w:jc w:val="center"/>
              <w:rPr>
                <w:b/>
                <w:bCs/>
                <w:sz w:val="22"/>
                <w:szCs w:val="22"/>
              </w:rPr>
            </w:pPr>
            <w:r w:rsidRPr="00122A5E">
              <w:rPr>
                <w:b/>
                <w:bCs/>
                <w:sz w:val="22"/>
                <w:szCs w:val="22"/>
              </w:rPr>
              <w:t>103,65</w:t>
            </w:r>
          </w:p>
        </w:tc>
        <w:tc>
          <w:tcPr>
            <w:tcW w:w="1086" w:type="dxa"/>
            <w:tcBorders>
              <w:top w:val="nil"/>
              <w:left w:val="nil"/>
              <w:bottom w:val="single" w:sz="4" w:space="0" w:color="auto"/>
              <w:right w:val="single" w:sz="8" w:space="0" w:color="auto"/>
            </w:tcBorders>
            <w:shd w:val="clear" w:color="auto" w:fill="auto"/>
            <w:noWrap/>
            <w:vAlign w:val="bottom"/>
          </w:tcPr>
          <w:p w14:paraId="1B7B76E0" w14:textId="77777777" w:rsidR="00DE0323" w:rsidRPr="00122A5E" w:rsidRDefault="00DE0323" w:rsidP="00DE0323">
            <w:pPr>
              <w:jc w:val="center"/>
              <w:rPr>
                <w:b/>
                <w:bCs/>
                <w:sz w:val="22"/>
                <w:szCs w:val="22"/>
              </w:rPr>
            </w:pPr>
            <w:r w:rsidRPr="00122A5E">
              <w:rPr>
                <w:b/>
                <w:bCs/>
                <w:sz w:val="22"/>
                <w:szCs w:val="22"/>
              </w:rPr>
              <w:t>92,29</w:t>
            </w:r>
          </w:p>
        </w:tc>
      </w:tr>
      <w:tr w:rsidR="00DE0323" w:rsidRPr="00122A5E" w14:paraId="311AA3E7" w14:textId="77777777" w:rsidTr="00643107">
        <w:trPr>
          <w:trHeight w:val="255"/>
          <w:tblHeader/>
        </w:trPr>
        <w:tc>
          <w:tcPr>
            <w:tcW w:w="2140" w:type="dxa"/>
            <w:tcBorders>
              <w:top w:val="single" w:sz="4" w:space="0" w:color="auto"/>
              <w:left w:val="single" w:sz="8" w:space="0" w:color="auto"/>
              <w:bottom w:val="single" w:sz="4" w:space="0" w:color="auto"/>
              <w:right w:val="single" w:sz="8" w:space="0" w:color="auto"/>
            </w:tcBorders>
            <w:shd w:val="clear" w:color="auto" w:fill="auto"/>
            <w:noWrap/>
            <w:vAlign w:val="bottom"/>
          </w:tcPr>
          <w:p w14:paraId="2115A959" w14:textId="77777777" w:rsidR="00DE0323" w:rsidRPr="00122A5E" w:rsidRDefault="00DE0323" w:rsidP="00DE0323">
            <w:pPr>
              <w:rPr>
                <w:sz w:val="22"/>
                <w:szCs w:val="22"/>
              </w:rPr>
            </w:pPr>
            <w:r w:rsidRPr="00122A5E">
              <w:rPr>
                <w:sz w:val="22"/>
                <w:szCs w:val="22"/>
              </w:rPr>
              <w:t>ŘVC ČR</w:t>
            </w:r>
          </w:p>
        </w:tc>
        <w:tc>
          <w:tcPr>
            <w:tcW w:w="1197" w:type="dxa"/>
            <w:tcBorders>
              <w:top w:val="nil"/>
              <w:left w:val="nil"/>
              <w:bottom w:val="single" w:sz="4" w:space="0" w:color="auto"/>
              <w:right w:val="single" w:sz="4" w:space="0" w:color="auto"/>
            </w:tcBorders>
            <w:shd w:val="clear" w:color="auto" w:fill="auto"/>
            <w:noWrap/>
            <w:vAlign w:val="bottom"/>
          </w:tcPr>
          <w:p w14:paraId="570E758D" w14:textId="77777777" w:rsidR="00DE0323" w:rsidRPr="00122A5E" w:rsidRDefault="00DE0323" w:rsidP="00DE0323">
            <w:pPr>
              <w:ind w:firstLineChars="100" w:firstLine="220"/>
              <w:jc w:val="right"/>
              <w:rPr>
                <w:sz w:val="22"/>
                <w:szCs w:val="22"/>
              </w:rPr>
            </w:pPr>
            <w:r w:rsidRPr="00122A5E">
              <w:rPr>
                <w:sz w:val="22"/>
                <w:szCs w:val="22"/>
              </w:rPr>
              <w:t>6 644</w:t>
            </w:r>
          </w:p>
        </w:tc>
        <w:tc>
          <w:tcPr>
            <w:tcW w:w="993" w:type="dxa"/>
            <w:tcBorders>
              <w:top w:val="nil"/>
              <w:left w:val="nil"/>
              <w:bottom w:val="single" w:sz="4" w:space="0" w:color="auto"/>
              <w:right w:val="single" w:sz="4" w:space="0" w:color="auto"/>
            </w:tcBorders>
            <w:shd w:val="clear" w:color="auto" w:fill="auto"/>
            <w:noWrap/>
            <w:vAlign w:val="bottom"/>
          </w:tcPr>
          <w:p w14:paraId="60C0813B" w14:textId="77777777" w:rsidR="00DE0323" w:rsidRPr="00122A5E" w:rsidRDefault="00DE0323" w:rsidP="00DE0323">
            <w:pPr>
              <w:ind w:firstLineChars="100" w:firstLine="220"/>
              <w:jc w:val="right"/>
              <w:rPr>
                <w:sz w:val="22"/>
                <w:szCs w:val="22"/>
              </w:rPr>
            </w:pPr>
            <w:r w:rsidRPr="00122A5E">
              <w:rPr>
                <w:sz w:val="22"/>
                <w:szCs w:val="22"/>
              </w:rPr>
              <w:t>19</w:t>
            </w:r>
          </w:p>
        </w:tc>
        <w:tc>
          <w:tcPr>
            <w:tcW w:w="1275" w:type="dxa"/>
            <w:tcBorders>
              <w:top w:val="nil"/>
              <w:left w:val="nil"/>
              <w:bottom w:val="single" w:sz="4" w:space="0" w:color="auto"/>
              <w:right w:val="single" w:sz="4" w:space="0" w:color="auto"/>
            </w:tcBorders>
            <w:shd w:val="clear" w:color="auto" w:fill="auto"/>
            <w:noWrap/>
            <w:vAlign w:val="bottom"/>
          </w:tcPr>
          <w:p w14:paraId="542A9A8F" w14:textId="77777777" w:rsidR="00DE0323" w:rsidRPr="00122A5E" w:rsidRDefault="00C0463D" w:rsidP="00C0463D">
            <w:pPr>
              <w:ind w:firstLineChars="100" w:firstLine="220"/>
              <w:jc w:val="right"/>
              <w:rPr>
                <w:sz w:val="22"/>
                <w:szCs w:val="22"/>
              </w:rPr>
            </w:pPr>
            <w:r>
              <w:rPr>
                <w:sz w:val="22"/>
                <w:szCs w:val="22"/>
              </w:rPr>
              <w:t>6 638</w:t>
            </w:r>
            <w:r>
              <w:rPr>
                <w:b/>
              </w:rPr>
              <w:t>*</w:t>
            </w:r>
          </w:p>
        </w:tc>
        <w:tc>
          <w:tcPr>
            <w:tcW w:w="1324" w:type="dxa"/>
            <w:tcBorders>
              <w:top w:val="nil"/>
              <w:left w:val="nil"/>
              <w:bottom w:val="single" w:sz="4" w:space="0" w:color="auto"/>
              <w:right w:val="single" w:sz="4" w:space="0" w:color="auto"/>
            </w:tcBorders>
            <w:shd w:val="clear" w:color="auto" w:fill="auto"/>
            <w:noWrap/>
            <w:vAlign w:val="bottom"/>
          </w:tcPr>
          <w:p w14:paraId="01784FE5" w14:textId="77777777" w:rsidR="00DE0323" w:rsidRPr="00C0463D" w:rsidRDefault="00C0463D" w:rsidP="00C0463D">
            <w:pPr>
              <w:ind w:firstLineChars="100" w:firstLine="220"/>
              <w:jc w:val="right"/>
              <w:rPr>
                <w:sz w:val="22"/>
                <w:szCs w:val="22"/>
                <w:vertAlign w:val="superscript"/>
              </w:rPr>
            </w:pPr>
            <w:r>
              <w:rPr>
                <w:sz w:val="22"/>
                <w:szCs w:val="22"/>
              </w:rPr>
              <w:t>18,04*</w:t>
            </w:r>
          </w:p>
        </w:tc>
        <w:tc>
          <w:tcPr>
            <w:tcW w:w="1276" w:type="dxa"/>
            <w:tcBorders>
              <w:top w:val="nil"/>
              <w:left w:val="nil"/>
              <w:bottom w:val="single" w:sz="4" w:space="0" w:color="auto"/>
              <w:right w:val="single" w:sz="4" w:space="0" w:color="auto"/>
            </w:tcBorders>
            <w:shd w:val="clear" w:color="auto" w:fill="auto"/>
            <w:noWrap/>
            <w:vAlign w:val="bottom"/>
          </w:tcPr>
          <w:p w14:paraId="7F9DC5E6" w14:textId="77777777" w:rsidR="00DE0323" w:rsidRPr="00122A5E" w:rsidRDefault="00DE0323" w:rsidP="00DE0323">
            <w:pPr>
              <w:jc w:val="center"/>
              <w:rPr>
                <w:sz w:val="22"/>
                <w:szCs w:val="22"/>
              </w:rPr>
            </w:pPr>
            <w:r w:rsidRPr="00122A5E">
              <w:rPr>
                <w:sz w:val="22"/>
                <w:szCs w:val="22"/>
              </w:rPr>
              <w:t>99,91</w:t>
            </w:r>
          </w:p>
        </w:tc>
        <w:tc>
          <w:tcPr>
            <w:tcW w:w="1086" w:type="dxa"/>
            <w:tcBorders>
              <w:top w:val="nil"/>
              <w:left w:val="nil"/>
              <w:bottom w:val="single" w:sz="4" w:space="0" w:color="auto"/>
              <w:right w:val="single" w:sz="8" w:space="0" w:color="auto"/>
            </w:tcBorders>
            <w:shd w:val="clear" w:color="auto" w:fill="auto"/>
            <w:noWrap/>
            <w:vAlign w:val="bottom"/>
          </w:tcPr>
          <w:p w14:paraId="62BE1438" w14:textId="77777777" w:rsidR="00DE0323" w:rsidRPr="00122A5E" w:rsidRDefault="00DE0323" w:rsidP="00DE0323">
            <w:pPr>
              <w:jc w:val="center"/>
              <w:rPr>
                <w:sz w:val="22"/>
                <w:szCs w:val="22"/>
              </w:rPr>
            </w:pPr>
            <w:r w:rsidRPr="00122A5E">
              <w:rPr>
                <w:sz w:val="22"/>
                <w:szCs w:val="22"/>
              </w:rPr>
              <w:t>94,95</w:t>
            </w:r>
          </w:p>
        </w:tc>
      </w:tr>
      <w:tr w:rsidR="00DE0323" w:rsidRPr="00122A5E" w14:paraId="74341CF3" w14:textId="77777777" w:rsidTr="00643107">
        <w:trPr>
          <w:trHeight w:val="255"/>
          <w:tblHeader/>
        </w:trPr>
        <w:tc>
          <w:tcPr>
            <w:tcW w:w="2140" w:type="dxa"/>
            <w:tcBorders>
              <w:top w:val="single" w:sz="4" w:space="0" w:color="auto"/>
              <w:left w:val="single" w:sz="8" w:space="0" w:color="auto"/>
              <w:bottom w:val="single" w:sz="4" w:space="0" w:color="auto"/>
              <w:right w:val="single" w:sz="8" w:space="0" w:color="auto"/>
            </w:tcBorders>
            <w:shd w:val="clear" w:color="auto" w:fill="auto"/>
            <w:noWrap/>
            <w:vAlign w:val="bottom"/>
          </w:tcPr>
          <w:p w14:paraId="660E9C8C" w14:textId="77777777" w:rsidR="00DE0323" w:rsidRPr="00122A5E" w:rsidRDefault="00DE0323" w:rsidP="00DE0323">
            <w:pPr>
              <w:rPr>
                <w:b/>
                <w:bCs/>
                <w:sz w:val="22"/>
                <w:szCs w:val="22"/>
              </w:rPr>
            </w:pPr>
            <w:r w:rsidRPr="00122A5E">
              <w:rPr>
                <w:b/>
                <w:bCs/>
                <w:sz w:val="22"/>
                <w:szCs w:val="22"/>
              </w:rPr>
              <w:t>OSS celkem</w:t>
            </w:r>
          </w:p>
        </w:tc>
        <w:tc>
          <w:tcPr>
            <w:tcW w:w="1197" w:type="dxa"/>
            <w:tcBorders>
              <w:top w:val="nil"/>
              <w:left w:val="nil"/>
              <w:bottom w:val="single" w:sz="4" w:space="0" w:color="auto"/>
              <w:right w:val="single" w:sz="4" w:space="0" w:color="auto"/>
            </w:tcBorders>
            <w:shd w:val="clear" w:color="auto" w:fill="auto"/>
            <w:noWrap/>
            <w:vAlign w:val="bottom"/>
          </w:tcPr>
          <w:p w14:paraId="59989993" w14:textId="77777777" w:rsidR="00DE0323" w:rsidRPr="00122A5E" w:rsidRDefault="00DE0323" w:rsidP="00DE0323">
            <w:pPr>
              <w:ind w:firstLineChars="100" w:firstLine="220"/>
              <w:jc w:val="right"/>
              <w:rPr>
                <w:b/>
                <w:bCs/>
                <w:sz w:val="22"/>
                <w:szCs w:val="22"/>
              </w:rPr>
            </w:pPr>
            <w:r w:rsidRPr="00122A5E">
              <w:rPr>
                <w:b/>
                <w:bCs/>
                <w:sz w:val="22"/>
                <w:szCs w:val="22"/>
              </w:rPr>
              <w:t>530 661</w:t>
            </w:r>
          </w:p>
        </w:tc>
        <w:tc>
          <w:tcPr>
            <w:tcW w:w="993" w:type="dxa"/>
            <w:tcBorders>
              <w:top w:val="nil"/>
              <w:left w:val="nil"/>
              <w:bottom w:val="single" w:sz="4" w:space="0" w:color="auto"/>
              <w:right w:val="single" w:sz="4" w:space="0" w:color="auto"/>
            </w:tcBorders>
            <w:shd w:val="clear" w:color="auto" w:fill="auto"/>
            <w:noWrap/>
            <w:vAlign w:val="bottom"/>
          </w:tcPr>
          <w:p w14:paraId="4E4879C3" w14:textId="77777777" w:rsidR="00DE0323" w:rsidRPr="00122A5E" w:rsidRDefault="00DE0323" w:rsidP="00DE0323">
            <w:pPr>
              <w:ind w:firstLineChars="100" w:firstLine="220"/>
              <w:jc w:val="right"/>
              <w:rPr>
                <w:b/>
                <w:bCs/>
                <w:sz w:val="22"/>
                <w:szCs w:val="22"/>
              </w:rPr>
            </w:pPr>
            <w:r w:rsidRPr="00122A5E">
              <w:rPr>
                <w:b/>
                <w:bCs/>
                <w:sz w:val="22"/>
                <w:szCs w:val="22"/>
              </w:rPr>
              <w:t>933</w:t>
            </w:r>
          </w:p>
        </w:tc>
        <w:tc>
          <w:tcPr>
            <w:tcW w:w="1275" w:type="dxa"/>
            <w:tcBorders>
              <w:top w:val="nil"/>
              <w:left w:val="nil"/>
              <w:bottom w:val="single" w:sz="4" w:space="0" w:color="auto"/>
              <w:right w:val="single" w:sz="4" w:space="0" w:color="auto"/>
            </w:tcBorders>
            <w:shd w:val="clear" w:color="auto" w:fill="auto"/>
            <w:noWrap/>
            <w:vAlign w:val="bottom"/>
          </w:tcPr>
          <w:p w14:paraId="4D74141E" w14:textId="77777777" w:rsidR="00DE0323" w:rsidRPr="00122A5E" w:rsidRDefault="00DE0323" w:rsidP="00DE0323">
            <w:pPr>
              <w:ind w:firstLineChars="100" w:firstLine="220"/>
              <w:jc w:val="right"/>
              <w:rPr>
                <w:b/>
                <w:bCs/>
                <w:sz w:val="22"/>
                <w:szCs w:val="22"/>
              </w:rPr>
            </w:pPr>
            <w:r w:rsidRPr="00122A5E">
              <w:rPr>
                <w:b/>
                <w:bCs/>
                <w:sz w:val="22"/>
                <w:szCs w:val="22"/>
              </w:rPr>
              <w:t>549 791</w:t>
            </w:r>
          </w:p>
        </w:tc>
        <w:tc>
          <w:tcPr>
            <w:tcW w:w="1324" w:type="dxa"/>
            <w:tcBorders>
              <w:top w:val="nil"/>
              <w:left w:val="nil"/>
              <w:bottom w:val="single" w:sz="4" w:space="0" w:color="auto"/>
              <w:right w:val="single" w:sz="4" w:space="0" w:color="auto"/>
            </w:tcBorders>
            <w:shd w:val="clear" w:color="auto" w:fill="auto"/>
            <w:noWrap/>
            <w:vAlign w:val="bottom"/>
          </w:tcPr>
          <w:p w14:paraId="79349A69" w14:textId="77777777" w:rsidR="00DE0323" w:rsidRPr="00122A5E" w:rsidRDefault="00DE0323" w:rsidP="00DE0323">
            <w:pPr>
              <w:ind w:firstLineChars="100" w:firstLine="220"/>
              <w:jc w:val="right"/>
              <w:rPr>
                <w:b/>
                <w:bCs/>
                <w:sz w:val="22"/>
                <w:szCs w:val="22"/>
              </w:rPr>
            </w:pPr>
            <w:r w:rsidRPr="00122A5E">
              <w:rPr>
                <w:b/>
                <w:bCs/>
                <w:sz w:val="22"/>
                <w:szCs w:val="22"/>
              </w:rPr>
              <w:t>861,54</w:t>
            </w:r>
          </w:p>
        </w:tc>
        <w:tc>
          <w:tcPr>
            <w:tcW w:w="1276" w:type="dxa"/>
            <w:tcBorders>
              <w:top w:val="nil"/>
              <w:left w:val="nil"/>
              <w:bottom w:val="single" w:sz="4" w:space="0" w:color="auto"/>
              <w:right w:val="single" w:sz="4" w:space="0" w:color="auto"/>
            </w:tcBorders>
            <w:shd w:val="clear" w:color="auto" w:fill="auto"/>
            <w:noWrap/>
            <w:vAlign w:val="bottom"/>
          </w:tcPr>
          <w:p w14:paraId="7214B457" w14:textId="77777777" w:rsidR="00DE0323" w:rsidRPr="00122A5E" w:rsidRDefault="00DE0323" w:rsidP="00DE0323">
            <w:pPr>
              <w:jc w:val="center"/>
              <w:rPr>
                <w:b/>
                <w:bCs/>
                <w:sz w:val="22"/>
                <w:szCs w:val="22"/>
              </w:rPr>
            </w:pPr>
            <w:r w:rsidRPr="00122A5E">
              <w:rPr>
                <w:b/>
                <w:bCs/>
                <w:sz w:val="22"/>
                <w:szCs w:val="22"/>
              </w:rPr>
              <w:t>103,60</w:t>
            </w:r>
          </w:p>
        </w:tc>
        <w:tc>
          <w:tcPr>
            <w:tcW w:w="1086" w:type="dxa"/>
            <w:tcBorders>
              <w:top w:val="nil"/>
              <w:left w:val="nil"/>
              <w:bottom w:val="single" w:sz="4" w:space="0" w:color="auto"/>
              <w:right w:val="single" w:sz="8" w:space="0" w:color="auto"/>
            </w:tcBorders>
            <w:shd w:val="clear" w:color="auto" w:fill="auto"/>
            <w:noWrap/>
            <w:vAlign w:val="bottom"/>
          </w:tcPr>
          <w:p w14:paraId="1F5753BC" w14:textId="77777777" w:rsidR="00DE0323" w:rsidRPr="00122A5E" w:rsidRDefault="00DE0323" w:rsidP="00DE0323">
            <w:pPr>
              <w:jc w:val="center"/>
              <w:rPr>
                <w:b/>
                <w:bCs/>
                <w:sz w:val="22"/>
                <w:szCs w:val="22"/>
              </w:rPr>
            </w:pPr>
            <w:r w:rsidRPr="00122A5E">
              <w:rPr>
                <w:b/>
                <w:bCs/>
                <w:sz w:val="22"/>
                <w:szCs w:val="22"/>
              </w:rPr>
              <w:t>92,34</w:t>
            </w:r>
          </w:p>
        </w:tc>
      </w:tr>
      <w:tr w:rsidR="00DE0323" w:rsidRPr="00122A5E" w14:paraId="622F9BB1" w14:textId="77777777" w:rsidTr="00643107">
        <w:trPr>
          <w:trHeight w:val="270"/>
          <w:tblHeader/>
        </w:trPr>
        <w:tc>
          <w:tcPr>
            <w:tcW w:w="2140" w:type="dxa"/>
            <w:tcBorders>
              <w:top w:val="nil"/>
              <w:left w:val="single" w:sz="8" w:space="0" w:color="auto"/>
              <w:bottom w:val="nil"/>
              <w:right w:val="single" w:sz="8" w:space="0" w:color="auto"/>
            </w:tcBorders>
            <w:shd w:val="clear" w:color="auto" w:fill="auto"/>
            <w:noWrap/>
            <w:vAlign w:val="bottom"/>
          </w:tcPr>
          <w:p w14:paraId="0E478553" w14:textId="77777777" w:rsidR="00DE0323" w:rsidRPr="00122A5E" w:rsidRDefault="00DE0323" w:rsidP="00DE0323">
            <w:pPr>
              <w:rPr>
                <w:sz w:val="22"/>
                <w:szCs w:val="22"/>
              </w:rPr>
            </w:pPr>
            <w:r w:rsidRPr="00122A5E">
              <w:rPr>
                <w:sz w:val="22"/>
                <w:szCs w:val="22"/>
              </w:rPr>
              <w:t>CSPSD</w:t>
            </w:r>
          </w:p>
        </w:tc>
        <w:tc>
          <w:tcPr>
            <w:tcW w:w="1197" w:type="dxa"/>
            <w:tcBorders>
              <w:top w:val="nil"/>
              <w:left w:val="nil"/>
              <w:bottom w:val="nil"/>
              <w:right w:val="single" w:sz="4" w:space="0" w:color="auto"/>
            </w:tcBorders>
            <w:shd w:val="clear" w:color="auto" w:fill="auto"/>
            <w:noWrap/>
            <w:vAlign w:val="bottom"/>
          </w:tcPr>
          <w:p w14:paraId="68D27C1E" w14:textId="77777777" w:rsidR="00DE0323" w:rsidRPr="00122A5E" w:rsidRDefault="00DE0323" w:rsidP="00DE0323">
            <w:pPr>
              <w:ind w:firstLineChars="100" w:firstLine="220"/>
              <w:jc w:val="right"/>
              <w:rPr>
                <w:sz w:val="22"/>
                <w:szCs w:val="22"/>
              </w:rPr>
            </w:pPr>
            <w:r w:rsidRPr="00122A5E">
              <w:rPr>
                <w:sz w:val="22"/>
                <w:szCs w:val="22"/>
              </w:rPr>
              <w:t>31 843</w:t>
            </w:r>
          </w:p>
        </w:tc>
        <w:tc>
          <w:tcPr>
            <w:tcW w:w="993" w:type="dxa"/>
            <w:tcBorders>
              <w:top w:val="nil"/>
              <w:left w:val="nil"/>
              <w:bottom w:val="nil"/>
              <w:right w:val="single" w:sz="4" w:space="0" w:color="auto"/>
            </w:tcBorders>
            <w:shd w:val="clear" w:color="auto" w:fill="auto"/>
            <w:noWrap/>
            <w:vAlign w:val="bottom"/>
          </w:tcPr>
          <w:p w14:paraId="6DF0893A" w14:textId="77777777" w:rsidR="00DE0323" w:rsidRPr="00122A5E" w:rsidRDefault="00DE0323" w:rsidP="00DE0323">
            <w:pPr>
              <w:ind w:firstLineChars="100" w:firstLine="220"/>
              <w:jc w:val="right"/>
              <w:rPr>
                <w:sz w:val="22"/>
                <w:szCs w:val="22"/>
              </w:rPr>
            </w:pPr>
            <w:r w:rsidRPr="00122A5E">
              <w:rPr>
                <w:sz w:val="22"/>
                <w:szCs w:val="22"/>
              </w:rPr>
              <w:t>90</w:t>
            </w:r>
          </w:p>
        </w:tc>
        <w:tc>
          <w:tcPr>
            <w:tcW w:w="1275" w:type="dxa"/>
            <w:tcBorders>
              <w:top w:val="nil"/>
              <w:left w:val="nil"/>
              <w:bottom w:val="nil"/>
              <w:right w:val="single" w:sz="4" w:space="0" w:color="auto"/>
            </w:tcBorders>
            <w:shd w:val="clear" w:color="auto" w:fill="auto"/>
            <w:noWrap/>
            <w:vAlign w:val="bottom"/>
          </w:tcPr>
          <w:p w14:paraId="3FCD595A" w14:textId="77777777" w:rsidR="00DE0323" w:rsidRPr="00122A5E" w:rsidRDefault="00DE0323" w:rsidP="00DE0323">
            <w:pPr>
              <w:ind w:firstLineChars="100" w:firstLine="220"/>
              <w:jc w:val="right"/>
              <w:rPr>
                <w:sz w:val="22"/>
                <w:szCs w:val="22"/>
              </w:rPr>
            </w:pPr>
            <w:r w:rsidRPr="00122A5E">
              <w:rPr>
                <w:sz w:val="22"/>
                <w:szCs w:val="22"/>
              </w:rPr>
              <w:t>37 764**</w:t>
            </w:r>
          </w:p>
        </w:tc>
        <w:tc>
          <w:tcPr>
            <w:tcW w:w="1324" w:type="dxa"/>
            <w:tcBorders>
              <w:top w:val="nil"/>
              <w:left w:val="nil"/>
              <w:bottom w:val="nil"/>
              <w:right w:val="single" w:sz="4" w:space="0" w:color="auto"/>
            </w:tcBorders>
            <w:shd w:val="clear" w:color="auto" w:fill="auto"/>
            <w:noWrap/>
            <w:vAlign w:val="bottom"/>
          </w:tcPr>
          <w:p w14:paraId="43E99F19" w14:textId="77777777" w:rsidR="00DE0323" w:rsidRPr="00122A5E" w:rsidRDefault="00DE0323" w:rsidP="00DE0323">
            <w:pPr>
              <w:ind w:firstLineChars="100" w:firstLine="220"/>
              <w:jc w:val="right"/>
              <w:rPr>
                <w:sz w:val="22"/>
                <w:szCs w:val="22"/>
              </w:rPr>
            </w:pPr>
            <w:r w:rsidRPr="00122A5E">
              <w:rPr>
                <w:sz w:val="22"/>
                <w:szCs w:val="22"/>
              </w:rPr>
              <w:t>84,22</w:t>
            </w:r>
          </w:p>
        </w:tc>
        <w:tc>
          <w:tcPr>
            <w:tcW w:w="1276" w:type="dxa"/>
            <w:tcBorders>
              <w:top w:val="nil"/>
              <w:left w:val="nil"/>
              <w:bottom w:val="nil"/>
              <w:right w:val="single" w:sz="4" w:space="0" w:color="auto"/>
            </w:tcBorders>
            <w:shd w:val="clear" w:color="auto" w:fill="auto"/>
            <w:noWrap/>
            <w:vAlign w:val="bottom"/>
          </w:tcPr>
          <w:p w14:paraId="74894DE8" w14:textId="77777777" w:rsidR="00DE0323" w:rsidRPr="00122A5E" w:rsidRDefault="00DE0323" w:rsidP="00DE0323">
            <w:pPr>
              <w:jc w:val="center"/>
              <w:rPr>
                <w:sz w:val="22"/>
                <w:szCs w:val="22"/>
              </w:rPr>
            </w:pPr>
            <w:r w:rsidRPr="00122A5E">
              <w:rPr>
                <w:sz w:val="22"/>
                <w:szCs w:val="22"/>
              </w:rPr>
              <w:t>118,59</w:t>
            </w:r>
          </w:p>
        </w:tc>
        <w:tc>
          <w:tcPr>
            <w:tcW w:w="1086" w:type="dxa"/>
            <w:tcBorders>
              <w:top w:val="nil"/>
              <w:left w:val="nil"/>
              <w:bottom w:val="nil"/>
              <w:right w:val="single" w:sz="8" w:space="0" w:color="auto"/>
            </w:tcBorders>
            <w:shd w:val="clear" w:color="auto" w:fill="auto"/>
            <w:noWrap/>
            <w:vAlign w:val="bottom"/>
          </w:tcPr>
          <w:p w14:paraId="527EB697" w14:textId="77777777" w:rsidR="00DE0323" w:rsidRPr="00122A5E" w:rsidRDefault="00DE0323" w:rsidP="00DE0323">
            <w:pPr>
              <w:jc w:val="center"/>
              <w:rPr>
                <w:sz w:val="22"/>
                <w:szCs w:val="22"/>
              </w:rPr>
            </w:pPr>
            <w:r w:rsidRPr="00122A5E">
              <w:rPr>
                <w:sz w:val="22"/>
                <w:szCs w:val="22"/>
              </w:rPr>
              <w:t>93,58</w:t>
            </w:r>
          </w:p>
        </w:tc>
      </w:tr>
      <w:tr w:rsidR="00DE0323" w:rsidRPr="00122A5E" w14:paraId="4935FB49" w14:textId="77777777" w:rsidTr="00643107">
        <w:trPr>
          <w:trHeight w:val="330"/>
          <w:tblHeader/>
        </w:trPr>
        <w:tc>
          <w:tcPr>
            <w:tcW w:w="214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5774B129" w14:textId="77777777" w:rsidR="00DE0323" w:rsidRPr="00122A5E" w:rsidRDefault="00DE0323" w:rsidP="00DE0323">
            <w:pPr>
              <w:rPr>
                <w:b/>
                <w:bCs/>
              </w:rPr>
            </w:pPr>
            <w:r w:rsidRPr="00122A5E">
              <w:rPr>
                <w:b/>
                <w:bCs/>
              </w:rPr>
              <w:t>Celkem</w:t>
            </w:r>
          </w:p>
        </w:tc>
        <w:tc>
          <w:tcPr>
            <w:tcW w:w="1197" w:type="dxa"/>
            <w:tcBorders>
              <w:top w:val="single" w:sz="8" w:space="0" w:color="auto"/>
              <w:left w:val="nil"/>
              <w:bottom w:val="single" w:sz="8" w:space="0" w:color="auto"/>
              <w:right w:val="single" w:sz="4" w:space="0" w:color="auto"/>
            </w:tcBorders>
            <w:shd w:val="clear" w:color="auto" w:fill="auto"/>
            <w:noWrap/>
            <w:vAlign w:val="bottom"/>
          </w:tcPr>
          <w:p w14:paraId="32BD6642" w14:textId="77777777" w:rsidR="00DE0323" w:rsidRPr="00122A5E" w:rsidRDefault="00DE0323" w:rsidP="00DE0323">
            <w:pPr>
              <w:ind w:firstLineChars="100" w:firstLine="240"/>
              <w:jc w:val="right"/>
              <w:rPr>
                <w:b/>
                <w:bCs/>
              </w:rPr>
            </w:pPr>
            <w:r w:rsidRPr="00122A5E">
              <w:rPr>
                <w:b/>
                <w:bCs/>
              </w:rPr>
              <w:t>562 504</w:t>
            </w:r>
          </w:p>
        </w:tc>
        <w:tc>
          <w:tcPr>
            <w:tcW w:w="993" w:type="dxa"/>
            <w:tcBorders>
              <w:top w:val="single" w:sz="8" w:space="0" w:color="auto"/>
              <w:left w:val="nil"/>
              <w:bottom w:val="single" w:sz="8" w:space="0" w:color="auto"/>
              <w:right w:val="single" w:sz="4" w:space="0" w:color="auto"/>
            </w:tcBorders>
            <w:shd w:val="clear" w:color="auto" w:fill="auto"/>
            <w:noWrap/>
            <w:vAlign w:val="bottom"/>
          </w:tcPr>
          <w:p w14:paraId="2708CF30" w14:textId="77777777" w:rsidR="00DE0323" w:rsidRPr="00122A5E" w:rsidRDefault="00DE0323" w:rsidP="00DE0323">
            <w:pPr>
              <w:ind w:firstLineChars="100" w:firstLine="240"/>
              <w:jc w:val="right"/>
              <w:rPr>
                <w:b/>
                <w:bCs/>
              </w:rPr>
            </w:pPr>
            <w:r w:rsidRPr="00122A5E">
              <w:rPr>
                <w:b/>
                <w:bCs/>
              </w:rPr>
              <w:t>1 023</w:t>
            </w:r>
          </w:p>
        </w:tc>
        <w:tc>
          <w:tcPr>
            <w:tcW w:w="1275" w:type="dxa"/>
            <w:tcBorders>
              <w:top w:val="single" w:sz="8" w:space="0" w:color="auto"/>
              <w:left w:val="nil"/>
              <w:bottom w:val="single" w:sz="8" w:space="0" w:color="auto"/>
              <w:right w:val="single" w:sz="4" w:space="0" w:color="auto"/>
            </w:tcBorders>
            <w:shd w:val="clear" w:color="auto" w:fill="auto"/>
            <w:noWrap/>
            <w:vAlign w:val="bottom"/>
          </w:tcPr>
          <w:p w14:paraId="18013CC8" w14:textId="77777777" w:rsidR="00DE0323" w:rsidRPr="00122A5E" w:rsidRDefault="00DE0323" w:rsidP="00DE0323">
            <w:pPr>
              <w:ind w:firstLineChars="100" w:firstLine="240"/>
              <w:jc w:val="right"/>
              <w:rPr>
                <w:b/>
                <w:bCs/>
              </w:rPr>
            </w:pPr>
            <w:r w:rsidRPr="00122A5E">
              <w:rPr>
                <w:b/>
                <w:bCs/>
              </w:rPr>
              <w:t>587 555</w:t>
            </w:r>
          </w:p>
        </w:tc>
        <w:tc>
          <w:tcPr>
            <w:tcW w:w="1324" w:type="dxa"/>
            <w:tcBorders>
              <w:top w:val="single" w:sz="8" w:space="0" w:color="auto"/>
              <w:left w:val="nil"/>
              <w:bottom w:val="single" w:sz="8" w:space="0" w:color="auto"/>
              <w:right w:val="single" w:sz="4" w:space="0" w:color="auto"/>
            </w:tcBorders>
            <w:shd w:val="clear" w:color="auto" w:fill="auto"/>
            <w:noWrap/>
            <w:vAlign w:val="bottom"/>
          </w:tcPr>
          <w:p w14:paraId="02857E0E" w14:textId="77777777" w:rsidR="00DE0323" w:rsidRPr="00122A5E" w:rsidRDefault="00DE0323" w:rsidP="00DE0323">
            <w:pPr>
              <w:ind w:firstLineChars="100" w:firstLine="240"/>
              <w:jc w:val="right"/>
              <w:rPr>
                <w:b/>
                <w:bCs/>
              </w:rPr>
            </w:pPr>
            <w:r w:rsidRPr="00122A5E">
              <w:rPr>
                <w:b/>
                <w:bCs/>
              </w:rPr>
              <w:t>945,76</w:t>
            </w:r>
          </w:p>
        </w:tc>
        <w:tc>
          <w:tcPr>
            <w:tcW w:w="1276" w:type="dxa"/>
            <w:tcBorders>
              <w:top w:val="single" w:sz="8" w:space="0" w:color="auto"/>
              <w:left w:val="nil"/>
              <w:bottom w:val="single" w:sz="8" w:space="0" w:color="auto"/>
              <w:right w:val="single" w:sz="4" w:space="0" w:color="auto"/>
            </w:tcBorders>
            <w:shd w:val="clear" w:color="auto" w:fill="auto"/>
            <w:noWrap/>
            <w:vAlign w:val="bottom"/>
          </w:tcPr>
          <w:p w14:paraId="564197CE" w14:textId="77777777" w:rsidR="00DE0323" w:rsidRPr="00122A5E" w:rsidRDefault="00DE0323" w:rsidP="00DE0323">
            <w:pPr>
              <w:jc w:val="center"/>
              <w:rPr>
                <w:b/>
                <w:bCs/>
              </w:rPr>
            </w:pPr>
            <w:r w:rsidRPr="00122A5E">
              <w:rPr>
                <w:b/>
                <w:bCs/>
              </w:rPr>
              <w:t>104,45</w:t>
            </w:r>
          </w:p>
        </w:tc>
        <w:tc>
          <w:tcPr>
            <w:tcW w:w="1086" w:type="dxa"/>
            <w:tcBorders>
              <w:top w:val="single" w:sz="8" w:space="0" w:color="auto"/>
              <w:left w:val="nil"/>
              <w:bottom w:val="single" w:sz="8" w:space="0" w:color="auto"/>
              <w:right w:val="single" w:sz="8" w:space="0" w:color="auto"/>
            </w:tcBorders>
            <w:shd w:val="clear" w:color="auto" w:fill="auto"/>
            <w:noWrap/>
            <w:vAlign w:val="bottom"/>
          </w:tcPr>
          <w:p w14:paraId="2D69A6EF" w14:textId="77777777" w:rsidR="00DE0323" w:rsidRPr="00122A5E" w:rsidRDefault="00DE0323" w:rsidP="00DE0323">
            <w:pPr>
              <w:jc w:val="center"/>
              <w:rPr>
                <w:b/>
                <w:bCs/>
              </w:rPr>
            </w:pPr>
            <w:r w:rsidRPr="00122A5E">
              <w:rPr>
                <w:b/>
                <w:bCs/>
              </w:rPr>
              <w:t>92,45</w:t>
            </w:r>
          </w:p>
        </w:tc>
      </w:tr>
    </w:tbl>
    <w:p w14:paraId="36F5FEE7" w14:textId="77777777" w:rsidR="00DE0323" w:rsidRPr="00122A5E" w:rsidRDefault="00DE0323" w:rsidP="00DE0323">
      <w:pPr>
        <w:spacing w:before="240"/>
        <w:jc w:val="both"/>
        <w:rPr>
          <w:i/>
          <w:sz w:val="22"/>
          <w:szCs w:val="22"/>
        </w:rPr>
      </w:pPr>
      <w:r w:rsidRPr="00122A5E">
        <w:rPr>
          <w:i/>
          <w:sz w:val="22"/>
          <w:szCs w:val="22"/>
        </w:rPr>
        <w:t>MP – mzdové prostředky = prostředky na platy a ostatní platby za provedenou práci u OSS, prostředky na platy a ostatní osobní náklady u PO</w:t>
      </w:r>
    </w:p>
    <w:p w14:paraId="1640C687" w14:textId="77777777" w:rsidR="00DE0323" w:rsidRPr="00122A5E" w:rsidRDefault="00DE0323" w:rsidP="00DE0323">
      <w:pPr>
        <w:spacing w:before="120"/>
        <w:jc w:val="both"/>
        <w:rPr>
          <w:i/>
          <w:sz w:val="22"/>
          <w:szCs w:val="22"/>
        </w:rPr>
      </w:pPr>
      <w:r w:rsidRPr="00122A5E">
        <w:rPr>
          <w:i/>
          <w:sz w:val="22"/>
          <w:szCs w:val="22"/>
        </w:rPr>
        <w:t xml:space="preserve">* bez prostředků ze SFDI určené na platy a OON ve výši 12 497 tis. Kč (platy -11 612 tis. Kč a OON – 885 tis. Kč) a počtu 10,75 úvazků mimo limit zam. v souladu s § 2 odst. 3 zákona č. 104/2000 Sb., </w:t>
      </w:r>
      <w:r w:rsidRPr="00122A5E">
        <w:rPr>
          <w:i/>
          <w:sz w:val="22"/>
          <w:szCs w:val="22"/>
        </w:rPr>
        <w:br/>
        <w:t>o Státním fondu dopravní infrastruktury,</w:t>
      </w:r>
    </w:p>
    <w:p w14:paraId="4E0CDE04" w14:textId="77777777" w:rsidR="00DE0323" w:rsidRPr="00122A5E" w:rsidRDefault="00DE0323" w:rsidP="00DE0323">
      <w:pPr>
        <w:spacing w:before="80" w:after="120"/>
        <w:jc w:val="both"/>
        <w:rPr>
          <w:i/>
          <w:sz w:val="22"/>
          <w:szCs w:val="22"/>
        </w:rPr>
      </w:pPr>
      <w:r w:rsidRPr="00122A5E">
        <w:rPr>
          <w:i/>
          <w:sz w:val="22"/>
          <w:szCs w:val="22"/>
        </w:rPr>
        <w:t xml:space="preserve">** včetně zapojení fondu odměn ve výši 6 462 tis. Kč (limit prostředků na platy CSPSD </w:t>
      </w:r>
      <w:r w:rsidRPr="00122A5E">
        <w:rPr>
          <w:i/>
          <w:sz w:val="22"/>
          <w:szCs w:val="22"/>
        </w:rPr>
        <w:br/>
        <w:t xml:space="preserve">ve výši 31 843 tis. Kč byl čerpán ve výši 37 764 tis. Kč) </w:t>
      </w:r>
      <w:r w:rsidRPr="00122A5E">
        <w:rPr>
          <w:i/>
        </w:rPr>
        <w:t>v souladu s § 59 zákona č. 218/2000 Sb., rozpočtová pravidla, v platném znění.</w:t>
      </w:r>
    </w:p>
    <w:p w14:paraId="5EAE2966" w14:textId="77777777" w:rsidR="00DE0323" w:rsidRPr="00122A5E" w:rsidRDefault="00DE0323" w:rsidP="00C0463D">
      <w:pPr>
        <w:pStyle w:val="KOMtext"/>
      </w:pPr>
      <w:r w:rsidRPr="00122A5E">
        <w:rPr>
          <w:b/>
        </w:rPr>
        <w:t>Regulace zaměstnanosti</w:t>
      </w:r>
      <w:r w:rsidRPr="00122A5E">
        <w:t xml:space="preserve"> a čerpání prostředků na platy a ostatní platby za provedenou práci </w:t>
      </w:r>
      <w:r w:rsidR="00FE713B">
        <w:br/>
      </w:r>
      <w:r w:rsidRPr="00122A5E">
        <w:t xml:space="preserve">u všech </w:t>
      </w:r>
      <w:r w:rsidRPr="00122A5E">
        <w:rPr>
          <w:b/>
        </w:rPr>
        <w:t>organizačních složek státu</w:t>
      </w:r>
      <w:r w:rsidRPr="00122A5E">
        <w:t xml:space="preserve"> v působnosti MD ČR v roce 2019 proběhla v souladu s usnesením vlády ČR ze dne 19. září 2018 č. 588, k návrhu zákona o státním rozpočtu České republiky na rok 2019 a k návrhům střednědobého výhledu státního rozpočtu České republiky </w:t>
      </w:r>
      <w:r w:rsidRPr="00122A5E">
        <w:br/>
        <w:t xml:space="preserve">na léta 2020 a 2021, zákonem č. 218/2000 Sb., rozpočtová pravidla, v platném znění, zákonem č. 262/2006 Sb., zákoník práce, v platném znění a zákonem č. 234/2014 Sb., o státní službě, v platném znění. </w:t>
      </w:r>
    </w:p>
    <w:p w14:paraId="5A77281D" w14:textId="77777777" w:rsidR="00DE0323" w:rsidRPr="003F0D03" w:rsidRDefault="00DE0323" w:rsidP="00C0463D">
      <w:pPr>
        <w:pStyle w:val="KOMtext"/>
      </w:pPr>
      <w:r w:rsidRPr="003F0D03">
        <w:t>Rozpočet po změnách prostředků na platy a osta</w:t>
      </w:r>
      <w:r w:rsidR="00C0463D">
        <w:t xml:space="preserve">tní platby za provedenou práci  </w:t>
      </w:r>
      <w:r w:rsidRPr="003F0D03">
        <w:t xml:space="preserve">pro </w:t>
      </w:r>
      <w:r w:rsidRPr="003F0D03">
        <w:rPr>
          <w:b/>
        </w:rPr>
        <w:t>organizační složky státu</w:t>
      </w:r>
      <w:r w:rsidRPr="003F0D03">
        <w:t xml:space="preserve"> ve výši 530 6</w:t>
      </w:r>
      <w:r w:rsidR="00C0463D">
        <w:t xml:space="preserve">61 tis. Kč byl skutečně čerpán </w:t>
      </w:r>
      <w:r w:rsidRPr="003F0D03">
        <w:t xml:space="preserve">ve výši 549 791 tis. Kč, tj. 103,60 %. </w:t>
      </w:r>
    </w:p>
    <w:p w14:paraId="284AB641" w14:textId="1A0D58CC" w:rsidR="00DE0323" w:rsidRPr="003F0D03" w:rsidRDefault="00DE0323" w:rsidP="00C0463D">
      <w:pPr>
        <w:pStyle w:val="KOMtext"/>
      </w:pPr>
      <w:r w:rsidRPr="003F0D03">
        <w:t xml:space="preserve">V tomto čerpání se promítá i </w:t>
      </w:r>
      <w:r w:rsidRPr="003F0D03">
        <w:rPr>
          <w:b/>
        </w:rPr>
        <w:t>čerpání z</w:t>
      </w:r>
      <w:r w:rsidRPr="003F0D03">
        <w:t xml:space="preserve"> </w:t>
      </w:r>
      <w:r w:rsidRPr="003F0D03">
        <w:rPr>
          <w:b/>
        </w:rPr>
        <w:t>nároků z nespotřebovaných výdajů</w:t>
      </w:r>
      <w:r w:rsidR="00AF4243">
        <w:t xml:space="preserve"> </w:t>
      </w:r>
      <w:r w:rsidRPr="003F0D03">
        <w:t>zapojených do prostředků na platy a ostatních plateb za provedenou práci následovně:</w:t>
      </w:r>
    </w:p>
    <w:p w14:paraId="553EADA9" w14:textId="2E1793B2" w:rsidR="00DE0323" w:rsidRPr="003F0D03" w:rsidRDefault="00DE0323" w:rsidP="00275CE2">
      <w:pPr>
        <w:keepNext/>
        <w:numPr>
          <w:ilvl w:val="0"/>
          <w:numId w:val="29"/>
        </w:numPr>
        <w:spacing w:afterLines="50" w:after="120"/>
        <w:ind w:left="709" w:hanging="425"/>
        <w:jc w:val="both"/>
        <w:rPr>
          <w:u w:val="single"/>
        </w:rPr>
      </w:pPr>
      <w:r w:rsidRPr="003F0D03">
        <w:rPr>
          <w:u w:val="single"/>
        </w:rPr>
        <w:lastRenderedPageBreak/>
        <w:t>Ústřední orgán ve výši</w:t>
      </w:r>
      <w:r w:rsidR="00AF4243">
        <w:rPr>
          <w:u w:val="single"/>
        </w:rPr>
        <w:t xml:space="preserve"> (celkem 57 275 tis. Kč)</w:t>
      </w:r>
      <w:r w:rsidRPr="003F0D03">
        <w:rPr>
          <w:u w:val="single"/>
        </w:rPr>
        <w:t>:</w:t>
      </w:r>
    </w:p>
    <w:p w14:paraId="60990243" w14:textId="77777777" w:rsidR="00DE0323" w:rsidRPr="003F0D03" w:rsidRDefault="00DE0323" w:rsidP="00DF6FA0">
      <w:pPr>
        <w:pStyle w:val="Odstavecseseznamem"/>
        <w:numPr>
          <w:ilvl w:val="0"/>
          <w:numId w:val="97"/>
        </w:numPr>
        <w:spacing w:afterLines="50" w:after="120" w:line="276" w:lineRule="auto"/>
        <w:ind w:hanging="357"/>
        <w:jc w:val="both"/>
      </w:pPr>
      <w:r w:rsidRPr="003F0D03">
        <w:t>8 006 tis. Kč na platy zaměstnanců v pracovním poměru</w:t>
      </w:r>
      <w:r>
        <w:t>,</w:t>
      </w:r>
      <w:r w:rsidRPr="003F0D03">
        <w:t xml:space="preserve"> </w:t>
      </w:r>
    </w:p>
    <w:p w14:paraId="68F8A452" w14:textId="77777777" w:rsidR="00DE0323" w:rsidRPr="003F0D03" w:rsidRDefault="00DE0323" w:rsidP="00DF6FA0">
      <w:pPr>
        <w:pStyle w:val="Odstavecseseznamem"/>
        <w:numPr>
          <w:ilvl w:val="0"/>
          <w:numId w:val="97"/>
        </w:numPr>
        <w:spacing w:afterLines="50" w:after="120" w:line="276" w:lineRule="auto"/>
        <w:ind w:hanging="357"/>
        <w:jc w:val="both"/>
      </w:pPr>
      <w:r w:rsidRPr="003F0D03">
        <w:t xml:space="preserve">508 tis. Kč na platy zaměstnanců v pracovním poměru – TP OPD, </w:t>
      </w:r>
    </w:p>
    <w:p w14:paraId="25C4D1C8" w14:textId="77777777" w:rsidR="00DE0323" w:rsidRPr="003F0D03" w:rsidRDefault="00DE0323" w:rsidP="00DF6FA0">
      <w:pPr>
        <w:pStyle w:val="Odstavecseseznamem"/>
        <w:numPr>
          <w:ilvl w:val="0"/>
          <w:numId w:val="97"/>
        </w:numPr>
        <w:spacing w:afterLines="50" w:after="120" w:line="276" w:lineRule="auto"/>
        <w:ind w:hanging="357"/>
        <w:jc w:val="both"/>
      </w:pPr>
      <w:r w:rsidRPr="003F0D03">
        <w:t>20 833 tis. Kč na platy za</w:t>
      </w:r>
      <w:r>
        <w:t>městnanců na služebních místech</w:t>
      </w:r>
      <w:r w:rsidRPr="003F0D03">
        <w:t>,</w:t>
      </w:r>
    </w:p>
    <w:p w14:paraId="0AB0A007" w14:textId="77777777" w:rsidR="00DE0323" w:rsidRPr="003F0D03" w:rsidRDefault="00DE0323" w:rsidP="00DF6FA0">
      <w:pPr>
        <w:pStyle w:val="Odstavecseseznamem"/>
        <w:numPr>
          <w:ilvl w:val="0"/>
          <w:numId w:val="97"/>
        </w:numPr>
        <w:spacing w:afterLines="50" w:after="120" w:line="276" w:lineRule="auto"/>
        <w:ind w:hanging="357"/>
        <w:jc w:val="both"/>
      </w:pPr>
      <w:r w:rsidRPr="003F0D03">
        <w:t xml:space="preserve">20 697 tis. Kč na platy zaměstnanců na služebních místech – TP OPD, </w:t>
      </w:r>
    </w:p>
    <w:p w14:paraId="34F7F320" w14:textId="77777777" w:rsidR="00DE0323" w:rsidRPr="003F0D03" w:rsidRDefault="00DE0323" w:rsidP="00DF6FA0">
      <w:pPr>
        <w:pStyle w:val="Odstavecseseznamem"/>
        <w:numPr>
          <w:ilvl w:val="0"/>
          <w:numId w:val="97"/>
        </w:numPr>
        <w:spacing w:afterLines="50" w:after="120" w:line="276" w:lineRule="auto"/>
        <w:ind w:hanging="357"/>
        <w:jc w:val="both"/>
      </w:pPr>
      <w:r w:rsidRPr="003F0D03">
        <w:t>1 297 tis. Kč na platy zaměstnanců na služebních místech – TP CEF,</w:t>
      </w:r>
    </w:p>
    <w:p w14:paraId="2736F083" w14:textId="77777777" w:rsidR="00DE0323" w:rsidRPr="003F0D03" w:rsidRDefault="00DE0323" w:rsidP="00DF6FA0">
      <w:pPr>
        <w:pStyle w:val="Odstavecseseznamem"/>
        <w:numPr>
          <w:ilvl w:val="0"/>
          <w:numId w:val="97"/>
        </w:numPr>
        <w:spacing w:afterLines="50" w:after="120" w:line="276" w:lineRule="auto"/>
        <w:ind w:hanging="357"/>
        <w:jc w:val="both"/>
      </w:pPr>
      <w:r w:rsidRPr="003F0D03">
        <w:t>438 tis. Kč na platy zaměstnanců na služebních místech – OPZ,</w:t>
      </w:r>
    </w:p>
    <w:p w14:paraId="01B59BEC" w14:textId="1DA24A5F" w:rsidR="00DE0323" w:rsidRPr="00E01860" w:rsidRDefault="00DE0323" w:rsidP="00DF6FA0">
      <w:pPr>
        <w:pStyle w:val="Odstavecseseznamem"/>
        <w:numPr>
          <w:ilvl w:val="0"/>
          <w:numId w:val="97"/>
        </w:numPr>
        <w:spacing w:afterLines="50" w:after="120" w:line="276" w:lineRule="auto"/>
        <w:ind w:hanging="357"/>
        <w:jc w:val="both"/>
      </w:pPr>
      <w:r w:rsidRPr="00E01860">
        <w:t>477 tis. Kč na ostatní osobní výdaje,</w:t>
      </w:r>
    </w:p>
    <w:p w14:paraId="2F2B6768" w14:textId="77777777" w:rsidR="00DE0323" w:rsidRPr="00E01860" w:rsidRDefault="00DE0323" w:rsidP="00DF6FA0">
      <w:pPr>
        <w:pStyle w:val="Odstavecseseznamem"/>
        <w:numPr>
          <w:ilvl w:val="0"/>
          <w:numId w:val="97"/>
        </w:numPr>
        <w:spacing w:afterLines="50" w:after="120" w:line="276" w:lineRule="auto"/>
        <w:ind w:hanging="357"/>
        <w:jc w:val="both"/>
      </w:pPr>
      <w:r w:rsidRPr="00E01860">
        <w:t>2 019 tis. Kč na ostatní osobní výdaje – TP OPD.</w:t>
      </w:r>
    </w:p>
    <w:p w14:paraId="2F2ABCE1" w14:textId="29F579DF" w:rsidR="00DE0323" w:rsidRPr="00B03530" w:rsidRDefault="00DE0323" w:rsidP="00275CE2">
      <w:pPr>
        <w:numPr>
          <w:ilvl w:val="0"/>
          <w:numId w:val="29"/>
        </w:numPr>
        <w:spacing w:afterLines="50" w:after="120"/>
        <w:ind w:left="709" w:hanging="425"/>
        <w:jc w:val="both"/>
        <w:rPr>
          <w:u w:val="single"/>
        </w:rPr>
      </w:pPr>
      <w:r w:rsidRPr="00B03530">
        <w:rPr>
          <w:u w:val="single"/>
        </w:rPr>
        <w:t>Úřad pro civilní letectví</w:t>
      </w:r>
      <w:r w:rsidR="00AF4243">
        <w:rPr>
          <w:u w:val="single"/>
        </w:rPr>
        <w:t xml:space="preserve"> (celkem </w:t>
      </w:r>
      <w:r w:rsidR="003473DE">
        <w:rPr>
          <w:u w:val="single"/>
        </w:rPr>
        <w:t>7 101 tis. Kč)</w:t>
      </w:r>
      <w:r w:rsidRPr="00B03530">
        <w:rPr>
          <w:u w:val="single"/>
        </w:rPr>
        <w:t>:</w:t>
      </w:r>
    </w:p>
    <w:p w14:paraId="159CC1C8" w14:textId="77777777" w:rsidR="00DE0323" w:rsidRDefault="00DE0323" w:rsidP="00DF6FA0">
      <w:pPr>
        <w:pStyle w:val="Odstavecseseznamem"/>
        <w:numPr>
          <w:ilvl w:val="0"/>
          <w:numId w:val="97"/>
        </w:numPr>
        <w:spacing w:afterLines="50" w:after="120" w:line="276" w:lineRule="auto"/>
        <w:ind w:hanging="357"/>
        <w:jc w:val="both"/>
      </w:pPr>
      <w:r>
        <w:t>400</w:t>
      </w:r>
      <w:r w:rsidRPr="003F0D03">
        <w:t xml:space="preserve"> tis. Kč na platy zaměstnanců v pracovním poměru</w:t>
      </w:r>
      <w:r>
        <w:t>,</w:t>
      </w:r>
    </w:p>
    <w:p w14:paraId="39C2D86B" w14:textId="77777777" w:rsidR="00DE0323" w:rsidRDefault="00DE0323" w:rsidP="00DF6FA0">
      <w:pPr>
        <w:pStyle w:val="Odstavecseseznamem"/>
        <w:numPr>
          <w:ilvl w:val="0"/>
          <w:numId w:val="97"/>
        </w:numPr>
        <w:spacing w:afterLines="50" w:after="120" w:line="276" w:lineRule="auto"/>
        <w:ind w:hanging="357"/>
        <w:jc w:val="both"/>
      </w:pPr>
      <w:r>
        <w:t>6 600 tis. Kč na platy zaměstnanců na služebních místech,</w:t>
      </w:r>
    </w:p>
    <w:p w14:paraId="02F554A5" w14:textId="77777777" w:rsidR="00DE0323" w:rsidRDefault="00DE0323" w:rsidP="00DF6FA0">
      <w:pPr>
        <w:pStyle w:val="Odstavecseseznamem"/>
        <w:numPr>
          <w:ilvl w:val="0"/>
          <w:numId w:val="97"/>
        </w:numPr>
        <w:spacing w:afterLines="50" w:after="120" w:line="276" w:lineRule="auto"/>
        <w:ind w:hanging="357"/>
        <w:jc w:val="both"/>
      </w:pPr>
      <w:r>
        <w:t>101 tis. Kč na ostatní osobní výdaje.</w:t>
      </w:r>
    </w:p>
    <w:p w14:paraId="18BCF444" w14:textId="2B77370E" w:rsidR="00DE0323" w:rsidRPr="00B03530" w:rsidRDefault="00DE0323" w:rsidP="00275CE2">
      <w:pPr>
        <w:numPr>
          <w:ilvl w:val="0"/>
          <w:numId w:val="29"/>
        </w:numPr>
        <w:spacing w:afterLines="50" w:after="120"/>
        <w:ind w:left="709" w:hanging="425"/>
        <w:jc w:val="both"/>
        <w:rPr>
          <w:u w:val="single"/>
        </w:rPr>
      </w:pPr>
      <w:r w:rsidRPr="00B03530">
        <w:t xml:space="preserve"> </w:t>
      </w:r>
      <w:r w:rsidRPr="00B03530">
        <w:rPr>
          <w:u w:val="single"/>
        </w:rPr>
        <w:t>Státní plavební správa</w:t>
      </w:r>
      <w:r w:rsidR="003473DE">
        <w:rPr>
          <w:u w:val="single"/>
        </w:rPr>
        <w:t xml:space="preserve"> (celkem 174 tis. Kč)</w:t>
      </w:r>
      <w:r w:rsidRPr="00B03530">
        <w:rPr>
          <w:u w:val="single"/>
        </w:rPr>
        <w:t>:</w:t>
      </w:r>
    </w:p>
    <w:p w14:paraId="23F3A2A2" w14:textId="77777777" w:rsidR="00DE0323" w:rsidRDefault="00DE0323" w:rsidP="00DF6FA0">
      <w:pPr>
        <w:pStyle w:val="Odstavecseseznamem"/>
        <w:numPr>
          <w:ilvl w:val="0"/>
          <w:numId w:val="97"/>
        </w:numPr>
        <w:spacing w:afterLines="50" w:after="120" w:line="276" w:lineRule="auto"/>
        <w:ind w:hanging="357"/>
        <w:jc w:val="both"/>
      </w:pPr>
      <w:r w:rsidRPr="00B03530">
        <w:t>174 tis. Kč</w:t>
      </w:r>
      <w:r>
        <w:t xml:space="preserve"> na platy zaměstnanců na služebních místech – TP CEF.</w:t>
      </w:r>
    </w:p>
    <w:p w14:paraId="54B2E7BC" w14:textId="0F0CCFA7" w:rsidR="00DE0323" w:rsidRPr="00B03530" w:rsidRDefault="00DE0323" w:rsidP="00275CE2">
      <w:pPr>
        <w:numPr>
          <w:ilvl w:val="0"/>
          <w:numId w:val="29"/>
        </w:numPr>
        <w:spacing w:afterLines="50" w:after="120"/>
        <w:ind w:left="709" w:hanging="425"/>
        <w:jc w:val="both"/>
        <w:rPr>
          <w:u w:val="single"/>
        </w:rPr>
      </w:pPr>
      <w:r w:rsidRPr="00B03530">
        <w:rPr>
          <w:u w:val="single"/>
        </w:rPr>
        <w:t>Drážní úřad</w:t>
      </w:r>
      <w:r w:rsidR="003473DE">
        <w:rPr>
          <w:u w:val="single"/>
        </w:rPr>
        <w:t xml:space="preserve"> (celkem 1 </w:t>
      </w:r>
      <w:r w:rsidR="00391717">
        <w:rPr>
          <w:u w:val="single"/>
        </w:rPr>
        <w:t>143</w:t>
      </w:r>
      <w:r w:rsidR="003473DE">
        <w:rPr>
          <w:u w:val="single"/>
        </w:rPr>
        <w:t xml:space="preserve"> tis. Kč)</w:t>
      </w:r>
      <w:r w:rsidRPr="00B03530">
        <w:rPr>
          <w:u w:val="single"/>
        </w:rPr>
        <w:t>:</w:t>
      </w:r>
    </w:p>
    <w:p w14:paraId="6E70EAB1" w14:textId="77777777" w:rsidR="00DE0323" w:rsidRDefault="00DE0323" w:rsidP="00DF6FA0">
      <w:pPr>
        <w:pStyle w:val="Odstavecseseznamem"/>
        <w:numPr>
          <w:ilvl w:val="0"/>
          <w:numId w:val="97"/>
        </w:numPr>
        <w:spacing w:afterLines="50" w:after="120" w:line="276" w:lineRule="auto"/>
        <w:ind w:hanging="357"/>
        <w:jc w:val="both"/>
      </w:pPr>
      <w:r>
        <w:t>41 tis. Kč na platy zaměstnanců v pracovním poměru,</w:t>
      </w:r>
    </w:p>
    <w:p w14:paraId="7CE86881" w14:textId="77777777" w:rsidR="00DE0323" w:rsidRDefault="00DE0323" w:rsidP="00DF6FA0">
      <w:pPr>
        <w:pStyle w:val="Odstavecseseznamem"/>
        <w:numPr>
          <w:ilvl w:val="0"/>
          <w:numId w:val="97"/>
        </w:numPr>
        <w:spacing w:afterLines="50" w:after="120" w:line="276" w:lineRule="auto"/>
        <w:ind w:hanging="357"/>
        <w:jc w:val="both"/>
      </w:pPr>
      <w:r>
        <w:t>1 101 tis. Kč na platy zaměstnanců na služebních místech,</w:t>
      </w:r>
    </w:p>
    <w:p w14:paraId="7AFE25C1" w14:textId="77777777" w:rsidR="00DE0323" w:rsidRDefault="00DE0323" w:rsidP="00DF6FA0">
      <w:pPr>
        <w:pStyle w:val="Odstavecseseznamem"/>
        <w:numPr>
          <w:ilvl w:val="0"/>
          <w:numId w:val="97"/>
        </w:numPr>
        <w:spacing w:afterLines="50" w:after="120" w:line="276" w:lineRule="auto"/>
        <w:ind w:hanging="357"/>
        <w:jc w:val="both"/>
      </w:pPr>
      <w:r>
        <w:t>1 tis. Kč na ostatní osobní výdaje.</w:t>
      </w:r>
    </w:p>
    <w:p w14:paraId="02FB57ED" w14:textId="17936BED" w:rsidR="00DE0323" w:rsidRPr="00B03530" w:rsidRDefault="00DE0323" w:rsidP="00275CE2">
      <w:pPr>
        <w:numPr>
          <w:ilvl w:val="0"/>
          <w:numId w:val="29"/>
        </w:numPr>
        <w:spacing w:afterLines="50" w:after="120"/>
        <w:ind w:left="709" w:hanging="425"/>
        <w:jc w:val="both"/>
        <w:rPr>
          <w:u w:val="single"/>
        </w:rPr>
      </w:pPr>
      <w:r w:rsidRPr="00B03530">
        <w:rPr>
          <w:u w:val="single"/>
        </w:rPr>
        <w:t xml:space="preserve">Drážní </w:t>
      </w:r>
      <w:r>
        <w:rPr>
          <w:u w:val="single"/>
        </w:rPr>
        <w:t>inspekce</w:t>
      </w:r>
      <w:r w:rsidR="00391717">
        <w:rPr>
          <w:u w:val="single"/>
        </w:rPr>
        <w:t xml:space="preserve"> (celkem 1 tis. Kč)</w:t>
      </w:r>
      <w:r>
        <w:rPr>
          <w:u w:val="single"/>
        </w:rPr>
        <w:t>:</w:t>
      </w:r>
    </w:p>
    <w:p w14:paraId="7F68C77B" w14:textId="77777777" w:rsidR="00DE0323" w:rsidRDefault="00DE0323" w:rsidP="00DF6FA0">
      <w:pPr>
        <w:pStyle w:val="Odstavecseseznamem"/>
        <w:numPr>
          <w:ilvl w:val="0"/>
          <w:numId w:val="97"/>
        </w:numPr>
        <w:spacing w:afterLines="50" w:after="120" w:line="276" w:lineRule="auto"/>
        <w:ind w:hanging="357"/>
        <w:jc w:val="both"/>
      </w:pPr>
      <w:r>
        <w:t>1 tis. Kč na ostatní osobní výdaje.</w:t>
      </w:r>
    </w:p>
    <w:p w14:paraId="4E3EBF3E" w14:textId="77777777" w:rsidR="00CA6C9A" w:rsidRDefault="00CA6C9A" w:rsidP="00C0463D">
      <w:pPr>
        <w:pStyle w:val="KOMtext"/>
      </w:pPr>
    </w:p>
    <w:p w14:paraId="71B9B637" w14:textId="2E2EA362" w:rsidR="00DE0323" w:rsidRPr="00C0463D" w:rsidRDefault="00DE0323" w:rsidP="00C0463D">
      <w:pPr>
        <w:pStyle w:val="KOMtext"/>
        <w:rPr>
          <w:b/>
        </w:rPr>
      </w:pPr>
      <w:r w:rsidRPr="00B03530">
        <w:t xml:space="preserve">V tomto čerpání není uvedeno </w:t>
      </w:r>
      <w:r w:rsidRPr="00C0463D">
        <w:rPr>
          <w:b/>
        </w:rPr>
        <w:t xml:space="preserve">čerpání prostředků na platy a ostatní platby </w:t>
      </w:r>
      <w:r w:rsidRPr="00C0463D">
        <w:rPr>
          <w:b/>
        </w:rPr>
        <w:br/>
        <w:t>za provedenou práci z mimorozpočtových zdrojů u:</w:t>
      </w:r>
    </w:p>
    <w:p w14:paraId="7C90488C" w14:textId="77777777" w:rsidR="00DE0323" w:rsidRPr="00B03530" w:rsidRDefault="00DE0323" w:rsidP="00275CE2">
      <w:pPr>
        <w:numPr>
          <w:ilvl w:val="0"/>
          <w:numId w:val="29"/>
        </w:numPr>
        <w:spacing w:after="120"/>
        <w:ind w:left="709" w:hanging="425"/>
        <w:jc w:val="both"/>
      </w:pPr>
      <w:r w:rsidRPr="00B03530">
        <w:t xml:space="preserve">Ředitelství vodních cest ČR – čerpání prostředků ze SFDI na platy ve výši </w:t>
      </w:r>
      <w:r w:rsidRPr="00B03530">
        <w:br/>
        <w:t xml:space="preserve">11 612 tis. Kč, ostatní osobní výdaje ve výši 885 tis. Kč, tj. celkem </w:t>
      </w:r>
      <w:r w:rsidRPr="00B03530">
        <w:br/>
        <w:t>12 497 tis. Kč v souladu s § 2 odst. 3 zákona č. 104/2000 Sb., o Státním fondu dopravní infrastruktury.</w:t>
      </w:r>
    </w:p>
    <w:p w14:paraId="463C2AB4" w14:textId="3BBB1607" w:rsidR="00DE0323" w:rsidRPr="001A792D" w:rsidRDefault="00DE0323" w:rsidP="00C0463D">
      <w:pPr>
        <w:pStyle w:val="KOMtext"/>
      </w:pPr>
      <w:r w:rsidRPr="001A792D">
        <w:t xml:space="preserve">Skutečný počet 861,54 zaměstnanců ve vztahu k rozpočtu po změnách, tj. 933 zaměstnanců, představuje plnění ve výši 92,34 %  (skutečný počet je bez 10,75 úvazků mimo limit regulace zaměstnanosti týkající se ŘVC ČR viz předcházející odstavec). </w:t>
      </w:r>
    </w:p>
    <w:p w14:paraId="0D3F215F" w14:textId="77777777" w:rsidR="00DE0323" w:rsidRPr="001A792D" w:rsidRDefault="00DE0323" w:rsidP="00C0463D">
      <w:pPr>
        <w:pStyle w:val="KOMtext"/>
      </w:pPr>
      <w:r w:rsidRPr="001A792D">
        <w:t>Organizační složky státu, které vykonávají státní správu, tj. ústřední orgán MD, ÚCL, SPS, DÚ, DI a ÚZPLN plnily počtem 843,50 za</w:t>
      </w:r>
      <w:r w:rsidR="00C0463D">
        <w:t xml:space="preserve">městnanců rozpočet po změnách, </w:t>
      </w:r>
      <w:r w:rsidRPr="001A792D">
        <w:t xml:space="preserve">tj. 914 zaměstnanců, na 92,29 %. </w:t>
      </w:r>
    </w:p>
    <w:p w14:paraId="49EFF528" w14:textId="77777777" w:rsidR="00DE0323" w:rsidRPr="001A792D" w:rsidRDefault="00DE0323" w:rsidP="00C0463D">
      <w:pPr>
        <w:pStyle w:val="KOMtext"/>
      </w:pPr>
      <w:r w:rsidRPr="001A792D">
        <w:rPr>
          <w:b/>
        </w:rPr>
        <w:lastRenderedPageBreak/>
        <w:t>Limit mzdových nákladů příspěvkových organizací</w:t>
      </w:r>
      <w:r w:rsidR="00C0463D">
        <w:t xml:space="preserve"> (jen Centrum služeb </w:t>
      </w:r>
      <w:r w:rsidRPr="001A792D">
        <w:t>pro silniční dopravu) po změnách v objemu 31 843 tis. Kč</w:t>
      </w:r>
      <w:r w:rsidR="00C0463D">
        <w:t xml:space="preserve"> byl překročen o 5 921 tis. Kč </w:t>
      </w:r>
      <w:r w:rsidRPr="001A792D">
        <w:t xml:space="preserve">a čerpán ve výši </w:t>
      </w:r>
      <w:r w:rsidR="00C0463D">
        <w:br/>
      </w:r>
      <w:r w:rsidRPr="001A792D">
        <w:t>37 764 tis. Kč, tj. 118,59 %, v důsledku překroč</w:t>
      </w:r>
      <w:r w:rsidR="00C0463D">
        <w:t xml:space="preserve">ení limitu prostředků na platy </w:t>
      </w:r>
      <w:r w:rsidRPr="001A792D">
        <w:t>o 6 462 tis. Kč, které bylo uhrazeno podle § 59 zákona č. 218/2000 Sb., rozpočtová pravidla, z fondu odměn. Skutečný počet 84,22 zaměstnanců ve</w:t>
      </w:r>
      <w:r w:rsidR="00C0463D">
        <w:t xml:space="preserve"> vztahu k rozpočtu po změnách, </w:t>
      </w:r>
      <w:r w:rsidRPr="001A792D">
        <w:t>tj. 90 zaměstnanců, představuje plnění 93,58 %. Regulace zamě</w:t>
      </w:r>
      <w:r w:rsidR="00C0463D">
        <w:t xml:space="preserve">stnanosti a čerpání prostředků </w:t>
      </w:r>
      <w:r w:rsidRPr="001A792D">
        <w:t>na platy a ostatní platby za provedenou práci u této příspěvkové organizace proběhla v souladu s usnesením vlády ČR ze dne 19. září 2018 č. 588 k návrhu zákona o státním rozpočtu České republiky na rok 2019 a k návrhům střednědobého výhledu stá</w:t>
      </w:r>
      <w:r w:rsidR="00C0463D">
        <w:t xml:space="preserve">tního rozpočtu České republiky </w:t>
      </w:r>
      <w:r w:rsidRPr="001A792D">
        <w:t>na léta 2020 a 2021, zákonem č. 218/2000 Sb., rozpočtová pravidla, v platném znění a zákonem č. 262/2006 Sb., zákoník práce, v platném znění.</w:t>
      </w:r>
    </w:p>
    <w:p w14:paraId="159CC97D" w14:textId="77777777" w:rsidR="001D5020" w:rsidRPr="004B11AC" w:rsidRDefault="001D5020" w:rsidP="00121BA0">
      <w:pPr>
        <w:pStyle w:val="Nadpis3"/>
      </w:pPr>
      <w:bookmarkStart w:id="350" w:name="_Toc1376819"/>
      <w:bookmarkStart w:id="351" w:name="_Toc34286465"/>
      <w:r w:rsidRPr="004B11AC">
        <w:t>Neinvestiční transfery ostatním příspěvkovým a podobným organizacím</w:t>
      </w:r>
      <w:bookmarkEnd w:id="343"/>
      <w:bookmarkEnd w:id="344"/>
      <w:bookmarkEnd w:id="345"/>
      <w:bookmarkEnd w:id="346"/>
      <w:bookmarkEnd w:id="347"/>
      <w:bookmarkEnd w:id="350"/>
      <w:bookmarkEnd w:id="351"/>
    </w:p>
    <w:p w14:paraId="3AEA7E9A" w14:textId="77777777" w:rsidR="00804818" w:rsidRPr="001744BD" w:rsidRDefault="00804818" w:rsidP="00DB2320">
      <w:pPr>
        <w:keepNext/>
        <w:ind w:left="357" w:right="1"/>
        <w:jc w:val="right"/>
      </w:pPr>
      <w:bookmarkStart w:id="352" w:name="_Toc255297641"/>
      <w:bookmarkStart w:id="353" w:name="_Toc256066172"/>
      <w:bookmarkStart w:id="354" w:name="_Toc413413661"/>
      <w:bookmarkStart w:id="355" w:name="_Toc508879869"/>
      <w:bookmarkStart w:id="356" w:name="_Toc508880145"/>
      <w:bookmarkStart w:id="357" w:name="_Toc1376820"/>
      <w:r w:rsidRPr="001744BD">
        <w:t xml:space="preserve">   v tis. Kč</w:t>
      </w:r>
    </w:p>
    <w:tbl>
      <w:tblPr>
        <w:tblW w:w="912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75"/>
        <w:gridCol w:w="1247"/>
        <w:gridCol w:w="1247"/>
        <w:gridCol w:w="1247"/>
        <w:gridCol w:w="1247"/>
        <w:gridCol w:w="964"/>
      </w:tblGrid>
      <w:tr w:rsidR="000F6078" w:rsidRPr="000D77C8" w14:paraId="6F8B611C" w14:textId="77777777" w:rsidTr="000F6078">
        <w:tc>
          <w:tcPr>
            <w:tcW w:w="3175" w:type="dxa"/>
            <w:tcBorders>
              <w:right w:val="single" w:sz="4" w:space="0" w:color="auto"/>
            </w:tcBorders>
          </w:tcPr>
          <w:p w14:paraId="5107AAA4" w14:textId="77777777" w:rsidR="000F6078" w:rsidRPr="00776EC4" w:rsidRDefault="000F6078" w:rsidP="00CD1704">
            <w:pPr>
              <w:jc w:val="center"/>
              <w:rPr>
                <w:sz w:val="22"/>
              </w:rPr>
            </w:pPr>
          </w:p>
          <w:p w14:paraId="2E2A4778" w14:textId="77777777" w:rsidR="000F6078" w:rsidRPr="00776EC4" w:rsidRDefault="000F6078" w:rsidP="00CD1704">
            <w:pPr>
              <w:jc w:val="center"/>
              <w:rPr>
                <w:sz w:val="22"/>
              </w:rPr>
            </w:pPr>
            <w:r w:rsidRPr="00776EC4">
              <w:rPr>
                <w:sz w:val="22"/>
              </w:rPr>
              <w:t>Ukazatel</w:t>
            </w:r>
          </w:p>
        </w:tc>
        <w:tc>
          <w:tcPr>
            <w:tcW w:w="1247" w:type="dxa"/>
            <w:tcBorders>
              <w:top w:val="single" w:sz="4" w:space="0" w:color="auto"/>
              <w:bottom w:val="single" w:sz="4" w:space="0" w:color="auto"/>
              <w:right w:val="single" w:sz="4" w:space="0" w:color="auto"/>
            </w:tcBorders>
            <w:vAlign w:val="center"/>
          </w:tcPr>
          <w:p w14:paraId="2704A408" w14:textId="77777777" w:rsidR="000F6078" w:rsidRPr="00776EC4" w:rsidRDefault="000F6078" w:rsidP="00CD1704">
            <w:pPr>
              <w:jc w:val="center"/>
              <w:rPr>
                <w:sz w:val="22"/>
              </w:rPr>
            </w:pPr>
            <w:r w:rsidRPr="00776EC4">
              <w:rPr>
                <w:sz w:val="22"/>
              </w:rPr>
              <w:t>Skutečnost</w:t>
            </w:r>
          </w:p>
          <w:p w14:paraId="78158DC9" w14:textId="77777777" w:rsidR="000F6078" w:rsidRPr="00776EC4" w:rsidRDefault="000F6078" w:rsidP="00CD1704">
            <w:pPr>
              <w:jc w:val="center"/>
              <w:rPr>
                <w:sz w:val="22"/>
              </w:rPr>
            </w:pPr>
            <w:r w:rsidRPr="00776EC4">
              <w:rPr>
                <w:sz w:val="22"/>
              </w:rPr>
              <w:t>2018</w:t>
            </w:r>
          </w:p>
        </w:tc>
        <w:tc>
          <w:tcPr>
            <w:tcW w:w="1247" w:type="dxa"/>
            <w:tcBorders>
              <w:top w:val="single" w:sz="4" w:space="0" w:color="auto"/>
              <w:left w:val="single" w:sz="4" w:space="0" w:color="auto"/>
              <w:bottom w:val="single" w:sz="4" w:space="0" w:color="auto"/>
              <w:right w:val="single" w:sz="4" w:space="0" w:color="auto"/>
            </w:tcBorders>
            <w:vAlign w:val="center"/>
          </w:tcPr>
          <w:p w14:paraId="6DED51C7" w14:textId="77777777" w:rsidR="000F6078" w:rsidRPr="00776EC4" w:rsidRDefault="000F6078" w:rsidP="00CD1704">
            <w:pPr>
              <w:jc w:val="center"/>
              <w:rPr>
                <w:sz w:val="22"/>
              </w:rPr>
            </w:pPr>
            <w:r w:rsidRPr="00776EC4">
              <w:rPr>
                <w:sz w:val="22"/>
              </w:rPr>
              <w:t>Schválený</w:t>
            </w:r>
          </w:p>
          <w:p w14:paraId="44671F93" w14:textId="77777777" w:rsidR="000F6078" w:rsidRPr="00776EC4" w:rsidRDefault="000F6078" w:rsidP="00CD1704">
            <w:pPr>
              <w:jc w:val="center"/>
              <w:rPr>
                <w:sz w:val="22"/>
              </w:rPr>
            </w:pPr>
            <w:r w:rsidRPr="00776EC4">
              <w:rPr>
                <w:sz w:val="22"/>
              </w:rPr>
              <w:t>rozpočet</w:t>
            </w:r>
          </w:p>
          <w:p w14:paraId="433333FA" w14:textId="77777777" w:rsidR="000F6078" w:rsidRPr="00776EC4" w:rsidRDefault="000F6078" w:rsidP="00CD1704">
            <w:pPr>
              <w:jc w:val="center"/>
              <w:rPr>
                <w:sz w:val="22"/>
              </w:rPr>
            </w:pPr>
            <w:r w:rsidRPr="00776EC4">
              <w:rPr>
                <w:sz w:val="22"/>
              </w:rPr>
              <w:t>2019</w:t>
            </w:r>
          </w:p>
        </w:tc>
        <w:tc>
          <w:tcPr>
            <w:tcW w:w="1247" w:type="dxa"/>
            <w:tcBorders>
              <w:top w:val="single" w:sz="4" w:space="0" w:color="auto"/>
              <w:left w:val="single" w:sz="4" w:space="0" w:color="auto"/>
              <w:bottom w:val="single" w:sz="4" w:space="0" w:color="auto"/>
              <w:right w:val="single" w:sz="4" w:space="0" w:color="auto"/>
            </w:tcBorders>
            <w:vAlign w:val="center"/>
          </w:tcPr>
          <w:p w14:paraId="1E5DD50A" w14:textId="77777777" w:rsidR="000F6078" w:rsidRPr="00776EC4" w:rsidRDefault="000F6078" w:rsidP="00CD1704">
            <w:pPr>
              <w:jc w:val="center"/>
              <w:rPr>
                <w:sz w:val="22"/>
              </w:rPr>
            </w:pPr>
            <w:r w:rsidRPr="00776EC4">
              <w:rPr>
                <w:sz w:val="22"/>
              </w:rPr>
              <w:t>Upravený</w:t>
            </w:r>
          </w:p>
          <w:p w14:paraId="10C2A499" w14:textId="77777777" w:rsidR="000F6078" w:rsidRPr="00776EC4" w:rsidRDefault="000F6078" w:rsidP="00CD1704">
            <w:pPr>
              <w:jc w:val="center"/>
              <w:rPr>
                <w:sz w:val="22"/>
              </w:rPr>
            </w:pPr>
            <w:r w:rsidRPr="00776EC4">
              <w:rPr>
                <w:sz w:val="22"/>
              </w:rPr>
              <w:t>rozpočet</w:t>
            </w:r>
          </w:p>
          <w:p w14:paraId="16312B65" w14:textId="77777777" w:rsidR="000F6078" w:rsidRPr="00776EC4" w:rsidRDefault="000F6078" w:rsidP="00CD1704">
            <w:pPr>
              <w:jc w:val="center"/>
              <w:rPr>
                <w:sz w:val="22"/>
              </w:rPr>
            </w:pPr>
            <w:r w:rsidRPr="00776EC4">
              <w:rPr>
                <w:sz w:val="22"/>
              </w:rPr>
              <w:t>2019</w:t>
            </w:r>
          </w:p>
        </w:tc>
        <w:tc>
          <w:tcPr>
            <w:tcW w:w="1247" w:type="dxa"/>
            <w:tcBorders>
              <w:top w:val="single" w:sz="4" w:space="0" w:color="auto"/>
              <w:left w:val="single" w:sz="4" w:space="0" w:color="auto"/>
              <w:bottom w:val="single" w:sz="4" w:space="0" w:color="auto"/>
            </w:tcBorders>
            <w:vAlign w:val="center"/>
          </w:tcPr>
          <w:p w14:paraId="775A82CD" w14:textId="77777777" w:rsidR="000F6078" w:rsidRPr="00776EC4" w:rsidRDefault="000F6078" w:rsidP="00CD1704">
            <w:pPr>
              <w:jc w:val="center"/>
              <w:rPr>
                <w:sz w:val="22"/>
              </w:rPr>
            </w:pPr>
            <w:r w:rsidRPr="00776EC4">
              <w:rPr>
                <w:sz w:val="22"/>
              </w:rPr>
              <w:t>Skutečnost</w:t>
            </w:r>
          </w:p>
          <w:p w14:paraId="6658ECC1" w14:textId="77777777" w:rsidR="000F6078" w:rsidRPr="00776EC4" w:rsidRDefault="000F6078" w:rsidP="00CD1704">
            <w:pPr>
              <w:jc w:val="center"/>
              <w:rPr>
                <w:sz w:val="22"/>
              </w:rPr>
            </w:pPr>
            <w:r w:rsidRPr="00776EC4">
              <w:rPr>
                <w:sz w:val="22"/>
              </w:rPr>
              <w:t>2019</w:t>
            </w:r>
          </w:p>
        </w:tc>
        <w:tc>
          <w:tcPr>
            <w:tcW w:w="964" w:type="dxa"/>
            <w:tcBorders>
              <w:top w:val="single" w:sz="4" w:space="0" w:color="auto"/>
              <w:left w:val="single" w:sz="4" w:space="0" w:color="auto"/>
              <w:bottom w:val="single" w:sz="4" w:space="0" w:color="auto"/>
            </w:tcBorders>
            <w:vAlign w:val="center"/>
          </w:tcPr>
          <w:p w14:paraId="7C7F92BC" w14:textId="77777777" w:rsidR="000F6078" w:rsidRPr="00776EC4" w:rsidRDefault="000F6078" w:rsidP="00CD1704">
            <w:pPr>
              <w:jc w:val="center"/>
              <w:rPr>
                <w:sz w:val="22"/>
              </w:rPr>
            </w:pPr>
            <w:r w:rsidRPr="00776EC4">
              <w:rPr>
                <w:sz w:val="22"/>
              </w:rPr>
              <w:t>Index</w:t>
            </w:r>
          </w:p>
          <w:p w14:paraId="452D2258" w14:textId="77777777" w:rsidR="000F6078" w:rsidRPr="00776EC4" w:rsidRDefault="000F6078" w:rsidP="00CD1704">
            <w:pPr>
              <w:jc w:val="center"/>
              <w:rPr>
                <w:sz w:val="22"/>
              </w:rPr>
            </w:pPr>
            <w:r w:rsidRPr="00776EC4">
              <w:rPr>
                <w:sz w:val="22"/>
              </w:rPr>
              <w:t>19/18         (v %)</w:t>
            </w:r>
          </w:p>
        </w:tc>
      </w:tr>
      <w:tr w:rsidR="000F6078" w:rsidRPr="000D77C8" w14:paraId="038DBCBC" w14:textId="77777777" w:rsidTr="000F6078">
        <w:tc>
          <w:tcPr>
            <w:tcW w:w="3175" w:type="dxa"/>
            <w:tcBorders>
              <w:top w:val="single" w:sz="4" w:space="0" w:color="auto"/>
              <w:bottom w:val="single" w:sz="4" w:space="0" w:color="auto"/>
              <w:right w:val="single" w:sz="4" w:space="0" w:color="auto"/>
            </w:tcBorders>
          </w:tcPr>
          <w:p w14:paraId="51195287" w14:textId="77777777" w:rsidR="000F6078" w:rsidRPr="00776EC4" w:rsidRDefault="000F6078" w:rsidP="00CD1704">
            <w:pPr>
              <w:jc w:val="center"/>
              <w:rPr>
                <w:sz w:val="22"/>
              </w:rPr>
            </w:pPr>
            <w:r w:rsidRPr="00776EC4">
              <w:rPr>
                <w:sz w:val="22"/>
              </w:rPr>
              <w:t>a</w:t>
            </w:r>
          </w:p>
        </w:tc>
        <w:tc>
          <w:tcPr>
            <w:tcW w:w="1247" w:type="dxa"/>
            <w:tcBorders>
              <w:top w:val="single" w:sz="4" w:space="0" w:color="auto"/>
              <w:bottom w:val="single" w:sz="4" w:space="0" w:color="auto"/>
              <w:right w:val="single" w:sz="4" w:space="0" w:color="auto"/>
            </w:tcBorders>
          </w:tcPr>
          <w:p w14:paraId="537FD97C" w14:textId="77777777" w:rsidR="000F6078" w:rsidRPr="00776EC4" w:rsidRDefault="000F6078" w:rsidP="00CD1704">
            <w:pPr>
              <w:jc w:val="center"/>
              <w:rPr>
                <w:sz w:val="22"/>
              </w:rPr>
            </w:pPr>
            <w:r w:rsidRPr="00776EC4">
              <w:rPr>
                <w:sz w:val="22"/>
              </w:rPr>
              <w:t>1</w:t>
            </w:r>
          </w:p>
        </w:tc>
        <w:tc>
          <w:tcPr>
            <w:tcW w:w="1247" w:type="dxa"/>
            <w:tcBorders>
              <w:top w:val="single" w:sz="4" w:space="0" w:color="auto"/>
              <w:left w:val="single" w:sz="4" w:space="0" w:color="auto"/>
              <w:bottom w:val="single" w:sz="4" w:space="0" w:color="auto"/>
              <w:right w:val="single" w:sz="4" w:space="0" w:color="auto"/>
            </w:tcBorders>
          </w:tcPr>
          <w:p w14:paraId="6AC75F15" w14:textId="77777777" w:rsidR="000F6078" w:rsidRPr="00776EC4" w:rsidRDefault="000F6078" w:rsidP="00CD1704">
            <w:pPr>
              <w:jc w:val="center"/>
              <w:rPr>
                <w:sz w:val="22"/>
              </w:rPr>
            </w:pPr>
            <w:r w:rsidRPr="00776EC4">
              <w:rPr>
                <w:sz w:val="22"/>
              </w:rPr>
              <w:t>2</w:t>
            </w:r>
          </w:p>
        </w:tc>
        <w:tc>
          <w:tcPr>
            <w:tcW w:w="1247" w:type="dxa"/>
            <w:tcBorders>
              <w:top w:val="single" w:sz="4" w:space="0" w:color="auto"/>
              <w:left w:val="single" w:sz="4" w:space="0" w:color="auto"/>
              <w:bottom w:val="single" w:sz="4" w:space="0" w:color="auto"/>
              <w:right w:val="single" w:sz="4" w:space="0" w:color="auto"/>
            </w:tcBorders>
          </w:tcPr>
          <w:p w14:paraId="7D979E30" w14:textId="77777777" w:rsidR="000F6078" w:rsidRPr="00776EC4" w:rsidRDefault="000F6078" w:rsidP="00CD1704">
            <w:pPr>
              <w:jc w:val="center"/>
              <w:rPr>
                <w:sz w:val="22"/>
              </w:rPr>
            </w:pPr>
            <w:r w:rsidRPr="00776EC4">
              <w:rPr>
                <w:sz w:val="22"/>
              </w:rPr>
              <w:t>3</w:t>
            </w:r>
          </w:p>
        </w:tc>
        <w:tc>
          <w:tcPr>
            <w:tcW w:w="1247" w:type="dxa"/>
            <w:tcBorders>
              <w:top w:val="single" w:sz="4" w:space="0" w:color="auto"/>
              <w:left w:val="single" w:sz="4" w:space="0" w:color="auto"/>
              <w:bottom w:val="single" w:sz="4" w:space="0" w:color="auto"/>
              <w:right w:val="single" w:sz="4" w:space="0" w:color="auto"/>
            </w:tcBorders>
          </w:tcPr>
          <w:p w14:paraId="3C9C977E" w14:textId="77777777" w:rsidR="000F6078" w:rsidRPr="00776EC4" w:rsidRDefault="000F6078" w:rsidP="00CD1704">
            <w:pPr>
              <w:jc w:val="center"/>
              <w:rPr>
                <w:sz w:val="22"/>
              </w:rPr>
            </w:pPr>
            <w:r w:rsidRPr="00776EC4">
              <w:rPr>
                <w:sz w:val="22"/>
              </w:rPr>
              <w:t>4</w:t>
            </w:r>
          </w:p>
        </w:tc>
        <w:tc>
          <w:tcPr>
            <w:tcW w:w="964" w:type="dxa"/>
            <w:tcBorders>
              <w:top w:val="single" w:sz="4" w:space="0" w:color="auto"/>
              <w:left w:val="single" w:sz="4" w:space="0" w:color="auto"/>
              <w:bottom w:val="single" w:sz="4" w:space="0" w:color="auto"/>
            </w:tcBorders>
          </w:tcPr>
          <w:p w14:paraId="5E6C8095" w14:textId="77777777" w:rsidR="000F6078" w:rsidRPr="00776EC4" w:rsidRDefault="000F6078" w:rsidP="00CD1704">
            <w:pPr>
              <w:jc w:val="center"/>
              <w:rPr>
                <w:sz w:val="22"/>
              </w:rPr>
            </w:pPr>
            <w:r w:rsidRPr="00776EC4">
              <w:rPr>
                <w:sz w:val="22"/>
              </w:rPr>
              <w:t>6</w:t>
            </w:r>
          </w:p>
        </w:tc>
      </w:tr>
      <w:tr w:rsidR="000F6078" w:rsidRPr="000D77C8" w14:paraId="6190BB56" w14:textId="77777777" w:rsidTr="000F6078">
        <w:trPr>
          <w:trHeight w:val="126"/>
        </w:trPr>
        <w:tc>
          <w:tcPr>
            <w:tcW w:w="3175" w:type="dxa"/>
            <w:tcBorders>
              <w:top w:val="single" w:sz="4" w:space="0" w:color="auto"/>
              <w:left w:val="single" w:sz="4" w:space="0" w:color="auto"/>
              <w:bottom w:val="nil"/>
              <w:right w:val="single" w:sz="4" w:space="0" w:color="auto"/>
            </w:tcBorders>
          </w:tcPr>
          <w:p w14:paraId="6F8E1B49" w14:textId="77777777" w:rsidR="000F6078" w:rsidRPr="00536958" w:rsidRDefault="000F6078" w:rsidP="00CD1704">
            <w:pPr>
              <w:tabs>
                <w:tab w:val="left" w:pos="0"/>
                <w:tab w:val="left" w:pos="110"/>
              </w:tabs>
              <w:rPr>
                <w:sz w:val="20"/>
                <w:szCs w:val="20"/>
              </w:rPr>
            </w:pPr>
            <w:r w:rsidRPr="00536958">
              <w:rPr>
                <w:b/>
                <w:sz w:val="20"/>
                <w:szCs w:val="20"/>
              </w:rPr>
              <w:t>Ost. příspěvkové a pod. organizace</w:t>
            </w:r>
          </w:p>
        </w:tc>
        <w:tc>
          <w:tcPr>
            <w:tcW w:w="1247" w:type="dxa"/>
            <w:tcBorders>
              <w:top w:val="single" w:sz="4" w:space="0" w:color="auto"/>
              <w:left w:val="single" w:sz="4" w:space="0" w:color="auto"/>
              <w:bottom w:val="nil"/>
              <w:right w:val="single" w:sz="4" w:space="0" w:color="auto"/>
            </w:tcBorders>
            <w:vAlign w:val="center"/>
          </w:tcPr>
          <w:p w14:paraId="39B9B90E" w14:textId="77777777" w:rsidR="000F6078" w:rsidRPr="00FF7017" w:rsidRDefault="000F6078" w:rsidP="00CD1704">
            <w:pPr>
              <w:jc w:val="right"/>
              <w:rPr>
                <w:b/>
                <w:bCs/>
                <w:sz w:val="20"/>
                <w:szCs w:val="20"/>
              </w:rPr>
            </w:pPr>
            <w:r w:rsidRPr="00FF7017">
              <w:rPr>
                <w:b/>
                <w:bCs/>
                <w:sz w:val="20"/>
                <w:szCs w:val="20"/>
              </w:rPr>
              <w:t>90 280</w:t>
            </w:r>
          </w:p>
        </w:tc>
        <w:tc>
          <w:tcPr>
            <w:tcW w:w="1247" w:type="dxa"/>
            <w:tcBorders>
              <w:top w:val="single" w:sz="4" w:space="0" w:color="auto"/>
              <w:left w:val="single" w:sz="4" w:space="0" w:color="auto"/>
              <w:bottom w:val="nil"/>
              <w:right w:val="single" w:sz="4" w:space="0" w:color="auto"/>
            </w:tcBorders>
            <w:vAlign w:val="center"/>
          </w:tcPr>
          <w:p w14:paraId="24FD198A" w14:textId="77777777" w:rsidR="000F6078" w:rsidRPr="00FF7017" w:rsidRDefault="000F6078" w:rsidP="00CD1704">
            <w:pPr>
              <w:jc w:val="right"/>
              <w:rPr>
                <w:b/>
                <w:bCs/>
                <w:sz w:val="20"/>
                <w:szCs w:val="20"/>
              </w:rPr>
            </w:pPr>
            <w:r w:rsidRPr="00FF7017">
              <w:rPr>
                <w:b/>
                <w:bCs/>
                <w:sz w:val="20"/>
                <w:szCs w:val="20"/>
              </w:rPr>
              <w:t>92 750</w:t>
            </w:r>
          </w:p>
        </w:tc>
        <w:tc>
          <w:tcPr>
            <w:tcW w:w="1247" w:type="dxa"/>
            <w:tcBorders>
              <w:top w:val="single" w:sz="4" w:space="0" w:color="auto"/>
              <w:left w:val="single" w:sz="4" w:space="0" w:color="auto"/>
              <w:bottom w:val="nil"/>
              <w:right w:val="single" w:sz="4" w:space="0" w:color="auto"/>
            </w:tcBorders>
            <w:vAlign w:val="center"/>
          </w:tcPr>
          <w:p w14:paraId="1CC9999A" w14:textId="77777777" w:rsidR="000F6078" w:rsidRPr="00FF7017" w:rsidRDefault="000F6078" w:rsidP="00CD1704">
            <w:pPr>
              <w:jc w:val="right"/>
              <w:rPr>
                <w:b/>
                <w:bCs/>
                <w:sz w:val="20"/>
                <w:szCs w:val="20"/>
              </w:rPr>
            </w:pPr>
            <w:r w:rsidRPr="00FF7017">
              <w:rPr>
                <w:b/>
                <w:bCs/>
                <w:sz w:val="20"/>
                <w:szCs w:val="20"/>
              </w:rPr>
              <w:t>92 750</w:t>
            </w:r>
          </w:p>
        </w:tc>
        <w:tc>
          <w:tcPr>
            <w:tcW w:w="1247" w:type="dxa"/>
            <w:tcBorders>
              <w:top w:val="single" w:sz="4" w:space="0" w:color="auto"/>
              <w:left w:val="single" w:sz="4" w:space="0" w:color="auto"/>
              <w:bottom w:val="nil"/>
              <w:right w:val="single" w:sz="4" w:space="0" w:color="auto"/>
            </w:tcBorders>
            <w:vAlign w:val="center"/>
          </w:tcPr>
          <w:p w14:paraId="7D1673F2" w14:textId="77777777" w:rsidR="000F6078" w:rsidRPr="00FF7017" w:rsidRDefault="000F6078" w:rsidP="00CD1704">
            <w:pPr>
              <w:jc w:val="right"/>
              <w:rPr>
                <w:b/>
                <w:bCs/>
                <w:sz w:val="20"/>
                <w:szCs w:val="20"/>
              </w:rPr>
            </w:pPr>
            <w:r>
              <w:rPr>
                <w:b/>
                <w:bCs/>
                <w:sz w:val="20"/>
                <w:szCs w:val="20"/>
              </w:rPr>
              <w:t>87 916</w:t>
            </w:r>
          </w:p>
        </w:tc>
        <w:tc>
          <w:tcPr>
            <w:tcW w:w="964" w:type="dxa"/>
            <w:tcBorders>
              <w:top w:val="single" w:sz="4" w:space="0" w:color="auto"/>
              <w:left w:val="single" w:sz="4" w:space="0" w:color="auto"/>
              <w:bottom w:val="nil"/>
              <w:right w:val="single" w:sz="4" w:space="0" w:color="auto"/>
            </w:tcBorders>
            <w:vAlign w:val="center"/>
          </w:tcPr>
          <w:p w14:paraId="616B044C" w14:textId="77777777" w:rsidR="000F6078" w:rsidRPr="003B37FE" w:rsidRDefault="000F6078" w:rsidP="00CD1704">
            <w:pPr>
              <w:jc w:val="right"/>
              <w:rPr>
                <w:b/>
                <w:bCs/>
                <w:sz w:val="20"/>
                <w:szCs w:val="20"/>
              </w:rPr>
            </w:pPr>
            <w:r>
              <w:rPr>
                <w:b/>
                <w:bCs/>
                <w:sz w:val="20"/>
                <w:szCs w:val="20"/>
              </w:rPr>
              <w:t>97,38</w:t>
            </w:r>
          </w:p>
        </w:tc>
      </w:tr>
      <w:tr w:rsidR="000F6078" w:rsidRPr="000D77C8" w14:paraId="3439849D" w14:textId="77777777" w:rsidTr="000F6078">
        <w:tc>
          <w:tcPr>
            <w:tcW w:w="3175" w:type="dxa"/>
            <w:tcBorders>
              <w:top w:val="nil"/>
              <w:left w:val="single" w:sz="4" w:space="0" w:color="auto"/>
              <w:bottom w:val="nil"/>
              <w:right w:val="single" w:sz="4" w:space="0" w:color="auto"/>
            </w:tcBorders>
          </w:tcPr>
          <w:p w14:paraId="086FC962" w14:textId="77777777" w:rsidR="000F6078" w:rsidRPr="00536958" w:rsidRDefault="000F6078" w:rsidP="00CD1704">
            <w:pPr>
              <w:jc w:val="both"/>
              <w:rPr>
                <w:sz w:val="20"/>
                <w:szCs w:val="20"/>
              </w:rPr>
            </w:pPr>
            <w:r w:rsidRPr="00536958">
              <w:rPr>
                <w:sz w:val="20"/>
                <w:szCs w:val="20"/>
              </w:rPr>
              <w:t>v tom:</w:t>
            </w:r>
          </w:p>
          <w:p w14:paraId="438D60BC" w14:textId="77777777" w:rsidR="000F6078" w:rsidRPr="00536958" w:rsidRDefault="000F6078" w:rsidP="00CD1704">
            <w:pPr>
              <w:jc w:val="both"/>
              <w:rPr>
                <w:sz w:val="20"/>
                <w:szCs w:val="20"/>
              </w:rPr>
            </w:pPr>
            <w:r w:rsidRPr="00536958">
              <w:rPr>
                <w:sz w:val="20"/>
                <w:szCs w:val="20"/>
              </w:rPr>
              <w:t>Vysoké školy</w:t>
            </w:r>
          </w:p>
        </w:tc>
        <w:tc>
          <w:tcPr>
            <w:tcW w:w="1247" w:type="dxa"/>
            <w:tcBorders>
              <w:top w:val="nil"/>
              <w:left w:val="single" w:sz="4" w:space="0" w:color="auto"/>
              <w:bottom w:val="nil"/>
              <w:right w:val="single" w:sz="4" w:space="0" w:color="auto"/>
            </w:tcBorders>
            <w:vAlign w:val="center"/>
          </w:tcPr>
          <w:p w14:paraId="21C4E59D" w14:textId="77777777" w:rsidR="000F6078" w:rsidRPr="00FF7017" w:rsidRDefault="000F6078" w:rsidP="00CD1704">
            <w:pPr>
              <w:jc w:val="right"/>
              <w:rPr>
                <w:sz w:val="20"/>
                <w:szCs w:val="20"/>
              </w:rPr>
            </w:pPr>
          </w:p>
          <w:p w14:paraId="19A97F4B" w14:textId="77777777" w:rsidR="000F6078" w:rsidRPr="00FF7017" w:rsidRDefault="000F6078" w:rsidP="00CD1704">
            <w:pPr>
              <w:jc w:val="right"/>
              <w:rPr>
                <w:sz w:val="20"/>
                <w:szCs w:val="20"/>
              </w:rPr>
            </w:pPr>
            <w:r w:rsidRPr="00FF7017">
              <w:rPr>
                <w:sz w:val="20"/>
                <w:szCs w:val="20"/>
              </w:rPr>
              <w:t>3 805</w:t>
            </w:r>
          </w:p>
        </w:tc>
        <w:tc>
          <w:tcPr>
            <w:tcW w:w="1247" w:type="dxa"/>
            <w:tcBorders>
              <w:top w:val="nil"/>
              <w:left w:val="single" w:sz="4" w:space="0" w:color="auto"/>
              <w:bottom w:val="nil"/>
              <w:right w:val="single" w:sz="4" w:space="0" w:color="auto"/>
            </w:tcBorders>
            <w:vAlign w:val="center"/>
          </w:tcPr>
          <w:p w14:paraId="1685301F" w14:textId="77777777" w:rsidR="000F6078" w:rsidRPr="00FF7017" w:rsidRDefault="000F6078" w:rsidP="00CD1704">
            <w:pPr>
              <w:jc w:val="right"/>
              <w:rPr>
                <w:sz w:val="20"/>
                <w:szCs w:val="20"/>
              </w:rPr>
            </w:pPr>
          </w:p>
          <w:p w14:paraId="0E93E0DE" w14:textId="77777777" w:rsidR="000F6078" w:rsidRPr="00FF7017" w:rsidRDefault="000F6078" w:rsidP="00CD1704">
            <w:pPr>
              <w:jc w:val="right"/>
              <w:rPr>
                <w:sz w:val="20"/>
                <w:szCs w:val="20"/>
              </w:rPr>
            </w:pPr>
            <w:r w:rsidRPr="00FF7017">
              <w:rPr>
                <w:sz w:val="20"/>
                <w:szCs w:val="20"/>
              </w:rPr>
              <w:t>0</w:t>
            </w:r>
          </w:p>
        </w:tc>
        <w:tc>
          <w:tcPr>
            <w:tcW w:w="1247" w:type="dxa"/>
            <w:tcBorders>
              <w:top w:val="nil"/>
              <w:left w:val="single" w:sz="4" w:space="0" w:color="auto"/>
              <w:bottom w:val="nil"/>
              <w:right w:val="single" w:sz="4" w:space="0" w:color="auto"/>
            </w:tcBorders>
            <w:vAlign w:val="center"/>
          </w:tcPr>
          <w:p w14:paraId="5A2662B0" w14:textId="77777777" w:rsidR="000F6078" w:rsidRPr="00FF7017" w:rsidRDefault="000F6078" w:rsidP="00CD1704">
            <w:pPr>
              <w:jc w:val="right"/>
              <w:rPr>
                <w:sz w:val="20"/>
                <w:szCs w:val="20"/>
              </w:rPr>
            </w:pPr>
          </w:p>
          <w:p w14:paraId="0DA4E311" w14:textId="77777777" w:rsidR="000F6078" w:rsidRPr="00FF7017" w:rsidRDefault="000F6078" w:rsidP="00CD1704">
            <w:pPr>
              <w:jc w:val="right"/>
              <w:rPr>
                <w:sz w:val="20"/>
                <w:szCs w:val="20"/>
              </w:rPr>
            </w:pPr>
            <w:r w:rsidRPr="00FF7017">
              <w:rPr>
                <w:sz w:val="20"/>
                <w:szCs w:val="20"/>
              </w:rPr>
              <w:t>0</w:t>
            </w:r>
          </w:p>
        </w:tc>
        <w:tc>
          <w:tcPr>
            <w:tcW w:w="1247" w:type="dxa"/>
            <w:tcBorders>
              <w:top w:val="nil"/>
              <w:left w:val="single" w:sz="4" w:space="0" w:color="auto"/>
              <w:bottom w:val="nil"/>
              <w:right w:val="single" w:sz="4" w:space="0" w:color="auto"/>
            </w:tcBorders>
            <w:vAlign w:val="center"/>
          </w:tcPr>
          <w:p w14:paraId="09A7B096" w14:textId="77777777" w:rsidR="000F6078" w:rsidRPr="00FF7017" w:rsidRDefault="000F6078" w:rsidP="00CD1704">
            <w:pPr>
              <w:jc w:val="right"/>
              <w:rPr>
                <w:sz w:val="20"/>
                <w:szCs w:val="20"/>
              </w:rPr>
            </w:pPr>
          </w:p>
          <w:p w14:paraId="012E20D2" w14:textId="77777777" w:rsidR="000F6078" w:rsidRPr="00FF7017" w:rsidRDefault="000F6078" w:rsidP="00CD1704">
            <w:pPr>
              <w:jc w:val="right"/>
              <w:rPr>
                <w:sz w:val="20"/>
                <w:szCs w:val="20"/>
              </w:rPr>
            </w:pPr>
            <w:r>
              <w:rPr>
                <w:sz w:val="20"/>
                <w:szCs w:val="20"/>
              </w:rPr>
              <w:t>5 254</w:t>
            </w:r>
          </w:p>
        </w:tc>
        <w:tc>
          <w:tcPr>
            <w:tcW w:w="964" w:type="dxa"/>
            <w:tcBorders>
              <w:top w:val="nil"/>
              <w:left w:val="single" w:sz="4" w:space="0" w:color="auto"/>
              <w:bottom w:val="nil"/>
              <w:right w:val="single" w:sz="4" w:space="0" w:color="auto"/>
            </w:tcBorders>
            <w:vAlign w:val="center"/>
          </w:tcPr>
          <w:p w14:paraId="61ADBFD9" w14:textId="77777777" w:rsidR="000F6078" w:rsidRPr="003B37FE" w:rsidRDefault="000F6078" w:rsidP="00CD1704">
            <w:pPr>
              <w:jc w:val="right"/>
              <w:rPr>
                <w:sz w:val="20"/>
                <w:szCs w:val="20"/>
              </w:rPr>
            </w:pPr>
          </w:p>
          <w:p w14:paraId="61A5E470" w14:textId="77777777" w:rsidR="000F6078" w:rsidRPr="003B37FE" w:rsidRDefault="000F6078" w:rsidP="00CD1704">
            <w:pPr>
              <w:jc w:val="right"/>
              <w:rPr>
                <w:sz w:val="20"/>
                <w:szCs w:val="20"/>
              </w:rPr>
            </w:pPr>
            <w:r w:rsidRPr="003B37FE">
              <w:rPr>
                <w:sz w:val="20"/>
                <w:szCs w:val="20"/>
              </w:rPr>
              <w:t>138,08</w:t>
            </w:r>
          </w:p>
        </w:tc>
      </w:tr>
      <w:tr w:rsidR="000F6078" w:rsidRPr="000D77C8" w14:paraId="475A39AF" w14:textId="77777777" w:rsidTr="000F6078">
        <w:trPr>
          <w:trHeight w:val="293"/>
        </w:trPr>
        <w:tc>
          <w:tcPr>
            <w:tcW w:w="3175" w:type="dxa"/>
            <w:tcBorders>
              <w:top w:val="nil"/>
              <w:left w:val="single" w:sz="4" w:space="0" w:color="auto"/>
              <w:bottom w:val="nil"/>
              <w:right w:val="single" w:sz="4" w:space="0" w:color="auto"/>
            </w:tcBorders>
          </w:tcPr>
          <w:p w14:paraId="1DA15267" w14:textId="77777777" w:rsidR="000F6078" w:rsidRPr="00536958" w:rsidRDefault="000F6078" w:rsidP="00CD1704">
            <w:pPr>
              <w:rPr>
                <w:sz w:val="20"/>
                <w:szCs w:val="20"/>
              </w:rPr>
            </w:pPr>
            <w:r w:rsidRPr="00536958">
              <w:rPr>
                <w:sz w:val="20"/>
                <w:szCs w:val="20"/>
              </w:rPr>
              <w:t>Veřejné výzkumné instituce</w:t>
            </w:r>
          </w:p>
          <w:p w14:paraId="50E30B50" w14:textId="77777777" w:rsidR="000F6078" w:rsidRPr="00536958" w:rsidRDefault="000F6078" w:rsidP="00CD1704">
            <w:pPr>
              <w:rPr>
                <w:sz w:val="20"/>
                <w:szCs w:val="20"/>
              </w:rPr>
            </w:pPr>
            <w:r w:rsidRPr="00536958">
              <w:rPr>
                <w:sz w:val="20"/>
                <w:szCs w:val="20"/>
              </w:rPr>
              <w:t>v tom:</w:t>
            </w:r>
          </w:p>
          <w:p w14:paraId="3135EA5C" w14:textId="77777777" w:rsidR="000F6078" w:rsidRPr="001848B2" w:rsidRDefault="000F6078" w:rsidP="00CD1704">
            <w:pPr>
              <w:rPr>
                <w:i/>
                <w:sz w:val="20"/>
                <w:szCs w:val="20"/>
              </w:rPr>
            </w:pPr>
            <w:r w:rsidRPr="001848B2">
              <w:rPr>
                <w:i/>
                <w:sz w:val="20"/>
                <w:szCs w:val="20"/>
              </w:rPr>
              <w:t xml:space="preserve">výzkum, vývoj a inovace (institucionální podpora) </w:t>
            </w:r>
          </w:p>
        </w:tc>
        <w:tc>
          <w:tcPr>
            <w:tcW w:w="1247" w:type="dxa"/>
            <w:tcBorders>
              <w:top w:val="nil"/>
              <w:left w:val="single" w:sz="4" w:space="0" w:color="auto"/>
              <w:bottom w:val="nil"/>
              <w:right w:val="single" w:sz="4" w:space="0" w:color="auto"/>
            </w:tcBorders>
            <w:vAlign w:val="center"/>
          </w:tcPr>
          <w:p w14:paraId="7C6C8D48" w14:textId="77777777" w:rsidR="000F6078" w:rsidRPr="00FF7017" w:rsidRDefault="000F6078" w:rsidP="00CD1704">
            <w:pPr>
              <w:jc w:val="right"/>
              <w:rPr>
                <w:sz w:val="20"/>
                <w:szCs w:val="20"/>
              </w:rPr>
            </w:pPr>
            <w:r w:rsidRPr="00FF7017">
              <w:rPr>
                <w:sz w:val="20"/>
                <w:szCs w:val="20"/>
              </w:rPr>
              <w:t>86 475</w:t>
            </w:r>
          </w:p>
          <w:p w14:paraId="6B74F665" w14:textId="77777777" w:rsidR="000F6078" w:rsidRPr="00FF7017" w:rsidRDefault="000F6078" w:rsidP="00CD1704">
            <w:pPr>
              <w:jc w:val="right"/>
              <w:rPr>
                <w:sz w:val="20"/>
                <w:szCs w:val="20"/>
              </w:rPr>
            </w:pPr>
          </w:p>
          <w:p w14:paraId="011D689F" w14:textId="77777777" w:rsidR="000F6078" w:rsidRPr="001848B2" w:rsidRDefault="000F6078" w:rsidP="00CD1704">
            <w:pPr>
              <w:jc w:val="right"/>
              <w:rPr>
                <w:i/>
                <w:sz w:val="20"/>
                <w:szCs w:val="20"/>
              </w:rPr>
            </w:pPr>
            <w:r w:rsidRPr="001848B2">
              <w:rPr>
                <w:i/>
                <w:sz w:val="20"/>
                <w:szCs w:val="20"/>
              </w:rPr>
              <w:t>42 451</w:t>
            </w:r>
          </w:p>
          <w:p w14:paraId="60434CD7" w14:textId="77777777" w:rsidR="000F6078" w:rsidRPr="00FF7017" w:rsidRDefault="000F6078" w:rsidP="00CD1704">
            <w:pPr>
              <w:rPr>
                <w:sz w:val="20"/>
                <w:szCs w:val="20"/>
              </w:rPr>
            </w:pPr>
          </w:p>
        </w:tc>
        <w:tc>
          <w:tcPr>
            <w:tcW w:w="1247" w:type="dxa"/>
            <w:tcBorders>
              <w:top w:val="nil"/>
              <w:left w:val="single" w:sz="4" w:space="0" w:color="auto"/>
              <w:bottom w:val="nil"/>
              <w:right w:val="single" w:sz="4" w:space="0" w:color="auto"/>
            </w:tcBorders>
            <w:vAlign w:val="center"/>
          </w:tcPr>
          <w:p w14:paraId="10E7ACFA" w14:textId="77777777" w:rsidR="000F6078" w:rsidRPr="00FF7017" w:rsidRDefault="000F6078" w:rsidP="00CD1704">
            <w:pPr>
              <w:jc w:val="right"/>
              <w:rPr>
                <w:sz w:val="20"/>
                <w:szCs w:val="20"/>
              </w:rPr>
            </w:pPr>
            <w:r w:rsidRPr="00FF7017">
              <w:rPr>
                <w:sz w:val="20"/>
                <w:szCs w:val="20"/>
              </w:rPr>
              <w:t xml:space="preserve">   92 750      </w:t>
            </w:r>
          </w:p>
          <w:p w14:paraId="22E39BBC" w14:textId="77777777" w:rsidR="000F6078" w:rsidRPr="00FF7017" w:rsidRDefault="000F6078" w:rsidP="00CD1704">
            <w:pPr>
              <w:rPr>
                <w:sz w:val="20"/>
                <w:szCs w:val="20"/>
              </w:rPr>
            </w:pPr>
          </w:p>
          <w:p w14:paraId="10DA3585" w14:textId="77777777" w:rsidR="000F6078" w:rsidRPr="001848B2" w:rsidRDefault="000F6078" w:rsidP="00CD1704">
            <w:pPr>
              <w:jc w:val="right"/>
              <w:rPr>
                <w:i/>
                <w:sz w:val="20"/>
                <w:szCs w:val="20"/>
              </w:rPr>
            </w:pPr>
            <w:r w:rsidRPr="001848B2">
              <w:rPr>
                <w:i/>
                <w:sz w:val="20"/>
                <w:szCs w:val="20"/>
              </w:rPr>
              <w:t xml:space="preserve">42 750 </w:t>
            </w:r>
          </w:p>
          <w:p w14:paraId="1E43E7F7" w14:textId="77777777" w:rsidR="000F6078" w:rsidRPr="00FF7017" w:rsidRDefault="000F6078" w:rsidP="00CD1704">
            <w:pPr>
              <w:jc w:val="right"/>
              <w:rPr>
                <w:sz w:val="20"/>
                <w:szCs w:val="20"/>
              </w:rPr>
            </w:pPr>
          </w:p>
        </w:tc>
        <w:tc>
          <w:tcPr>
            <w:tcW w:w="1247" w:type="dxa"/>
            <w:tcBorders>
              <w:top w:val="nil"/>
              <w:left w:val="single" w:sz="4" w:space="0" w:color="auto"/>
              <w:bottom w:val="nil"/>
              <w:right w:val="single" w:sz="4" w:space="0" w:color="auto"/>
            </w:tcBorders>
            <w:vAlign w:val="center"/>
          </w:tcPr>
          <w:p w14:paraId="2E26AE7F" w14:textId="77777777" w:rsidR="000F6078" w:rsidRPr="00FF7017" w:rsidRDefault="000F6078" w:rsidP="00CD1704">
            <w:pPr>
              <w:jc w:val="right"/>
              <w:rPr>
                <w:sz w:val="20"/>
                <w:szCs w:val="20"/>
              </w:rPr>
            </w:pPr>
            <w:r w:rsidRPr="00FF7017">
              <w:rPr>
                <w:sz w:val="20"/>
                <w:szCs w:val="20"/>
              </w:rPr>
              <w:t xml:space="preserve">   92 750      </w:t>
            </w:r>
          </w:p>
          <w:p w14:paraId="1D0107B8" w14:textId="77777777" w:rsidR="000F6078" w:rsidRPr="00FF7017" w:rsidRDefault="000F6078" w:rsidP="00CD1704">
            <w:pPr>
              <w:rPr>
                <w:sz w:val="20"/>
                <w:szCs w:val="20"/>
              </w:rPr>
            </w:pPr>
          </w:p>
          <w:p w14:paraId="4B91DF8E" w14:textId="77777777" w:rsidR="000F6078" w:rsidRPr="001848B2" w:rsidRDefault="000F6078" w:rsidP="00CD1704">
            <w:pPr>
              <w:jc w:val="right"/>
              <w:rPr>
                <w:i/>
                <w:sz w:val="20"/>
                <w:szCs w:val="20"/>
              </w:rPr>
            </w:pPr>
            <w:r w:rsidRPr="001848B2">
              <w:rPr>
                <w:i/>
                <w:sz w:val="20"/>
                <w:szCs w:val="20"/>
              </w:rPr>
              <w:t xml:space="preserve">42 750 </w:t>
            </w:r>
          </w:p>
          <w:p w14:paraId="363A2FE4" w14:textId="77777777" w:rsidR="000F6078" w:rsidRPr="00FF7017" w:rsidRDefault="000F6078" w:rsidP="00CD1704">
            <w:pPr>
              <w:jc w:val="right"/>
              <w:rPr>
                <w:sz w:val="20"/>
                <w:szCs w:val="20"/>
              </w:rPr>
            </w:pPr>
          </w:p>
        </w:tc>
        <w:tc>
          <w:tcPr>
            <w:tcW w:w="1247" w:type="dxa"/>
            <w:tcBorders>
              <w:top w:val="nil"/>
              <w:left w:val="single" w:sz="4" w:space="0" w:color="auto"/>
              <w:bottom w:val="nil"/>
              <w:right w:val="single" w:sz="4" w:space="0" w:color="auto"/>
            </w:tcBorders>
            <w:vAlign w:val="center"/>
          </w:tcPr>
          <w:p w14:paraId="714C077B" w14:textId="77777777" w:rsidR="000F6078" w:rsidRPr="00FF7017" w:rsidRDefault="000F6078" w:rsidP="00CD1704">
            <w:pPr>
              <w:jc w:val="right"/>
              <w:rPr>
                <w:sz w:val="20"/>
                <w:szCs w:val="20"/>
              </w:rPr>
            </w:pPr>
            <w:r w:rsidRPr="00FF7017">
              <w:rPr>
                <w:sz w:val="20"/>
                <w:szCs w:val="20"/>
              </w:rPr>
              <w:t>82 662</w:t>
            </w:r>
          </w:p>
          <w:p w14:paraId="0CC7E8BB" w14:textId="77777777" w:rsidR="000F6078" w:rsidRPr="00FF7017" w:rsidRDefault="000F6078" w:rsidP="00CD1704">
            <w:pPr>
              <w:rPr>
                <w:sz w:val="20"/>
                <w:szCs w:val="20"/>
              </w:rPr>
            </w:pPr>
          </w:p>
          <w:p w14:paraId="6C3808E6" w14:textId="77777777" w:rsidR="000F6078" w:rsidRPr="001848B2" w:rsidRDefault="000F6078" w:rsidP="00CD1704">
            <w:pPr>
              <w:jc w:val="right"/>
              <w:rPr>
                <w:i/>
                <w:sz w:val="20"/>
                <w:szCs w:val="20"/>
              </w:rPr>
            </w:pPr>
            <w:r w:rsidRPr="001848B2">
              <w:rPr>
                <w:i/>
                <w:sz w:val="20"/>
                <w:szCs w:val="20"/>
              </w:rPr>
              <w:t xml:space="preserve">42 750 </w:t>
            </w:r>
          </w:p>
          <w:p w14:paraId="3CBA5DE2" w14:textId="77777777" w:rsidR="000F6078" w:rsidRPr="00FF7017" w:rsidRDefault="000F6078" w:rsidP="00CD1704">
            <w:pPr>
              <w:jc w:val="right"/>
              <w:rPr>
                <w:sz w:val="20"/>
                <w:szCs w:val="20"/>
              </w:rPr>
            </w:pPr>
          </w:p>
        </w:tc>
        <w:tc>
          <w:tcPr>
            <w:tcW w:w="964" w:type="dxa"/>
            <w:tcBorders>
              <w:top w:val="nil"/>
              <w:left w:val="single" w:sz="4" w:space="0" w:color="auto"/>
              <w:bottom w:val="nil"/>
              <w:right w:val="single" w:sz="4" w:space="0" w:color="auto"/>
            </w:tcBorders>
            <w:vAlign w:val="center"/>
          </w:tcPr>
          <w:p w14:paraId="54B08A88" w14:textId="77777777" w:rsidR="000F6078" w:rsidRPr="003B37FE" w:rsidRDefault="000F6078" w:rsidP="00CD1704">
            <w:pPr>
              <w:jc w:val="right"/>
              <w:rPr>
                <w:sz w:val="20"/>
                <w:szCs w:val="20"/>
              </w:rPr>
            </w:pPr>
            <w:r w:rsidRPr="003B37FE">
              <w:rPr>
                <w:sz w:val="20"/>
                <w:szCs w:val="20"/>
              </w:rPr>
              <w:t>95,59</w:t>
            </w:r>
          </w:p>
          <w:p w14:paraId="13BF5EAC" w14:textId="77777777" w:rsidR="000F6078" w:rsidRPr="003B37FE" w:rsidRDefault="000F6078" w:rsidP="00CD1704">
            <w:pPr>
              <w:rPr>
                <w:sz w:val="20"/>
                <w:szCs w:val="20"/>
              </w:rPr>
            </w:pPr>
          </w:p>
          <w:p w14:paraId="2F9FA91A" w14:textId="77777777" w:rsidR="000F6078" w:rsidRPr="001848B2" w:rsidRDefault="000F6078" w:rsidP="00CD1704">
            <w:pPr>
              <w:jc w:val="right"/>
              <w:rPr>
                <w:i/>
                <w:sz w:val="20"/>
                <w:szCs w:val="20"/>
              </w:rPr>
            </w:pPr>
            <w:r w:rsidRPr="001848B2">
              <w:rPr>
                <w:i/>
                <w:sz w:val="20"/>
                <w:szCs w:val="20"/>
              </w:rPr>
              <w:t>100,70</w:t>
            </w:r>
          </w:p>
          <w:p w14:paraId="1B272244" w14:textId="77777777" w:rsidR="000F6078" w:rsidRPr="003B37FE" w:rsidRDefault="000F6078" w:rsidP="00CD1704">
            <w:pPr>
              <w:jc w:val="right"/>
              <w:rPr>
                <w:sz w:val="20"/>
                <w:szCs w:val="20"/>
              </w:rPr>
            </w:pPr>
          </w:p>
        </w:tc>
      </w:tr>
      <w:tr w:rsidR="000F6078" w:rsidRPr="000D77C8" w14:paraId="74C8195D" w14:textId="77777777" w:rsidTr="000F6078">
        <w:trPr>
          <w:trHeight w:val="293"/>
        </w:trPr>
        <w:tc>
          <w:tcPr>
            <w:tcW w:w="3175" w:type="dxa"/>
            <w:tcBorders>
              <w:top w:val="nil"/>
              <w:left w:val="single" w:sz="4" w:space="0" w:color="auto"/>
              <w:bottom w:val="single" w:sz="4" w:space="0" w:color="auto"/>
              <w:right w:val="single" w:sz="4" w:space="0" w:color="auto"/>
            </w:tcBorders>
          </w:tcPr>
          <w:p w14:paraId="6B63C424" w14:textId="77777777" w:rsidR="000F6078" w:rsidRPr="00536958" w:rsidRDefault="000F6078" w:rsidP="00CD1704">
            <w:pPr>
              <w:jc w:val="both"/>
              <w:rPr>
                <w:sz w:val="20"/>
                <w:szCs w:val="20"/>
              </w:rPr>
            </w:pPr>
            <w:r w:rsidRPr="00536958">
              <w:rPr>
                <w:sz w:val="20"/>
                <w:szCs w:val="20"/>
              </w:rPr>
              <w:t>účelová neinvestiční dotace</w:t>
            </w:r>
          </w:p>
        </w:tc>
        <w:tc>
          <w:tcPr>
            <w:tcW w:w="1247" w:type="dxa"/>
            <w:tcBorders>
              <w:top w:val="nil"/>
              <w:left w:val="single" w:sz="4" w:space="0" w:color="auto"/>
              <w:bottom w:val="single" w:sz="4" w:space="0" w:color="auto"/>
              <w:right w:val="single" w:sz="4" w:space="0" w:color="auto"/>
            </w:tcBorders>
            <w:vAlign w:val="center"/>
          </w:tcPr>
          <w:p w14:paraId="6D68838C" w14:textId="77777777" w:rsidR="000F6078" w:rsidRPr="00FF7017" w:rsidRDefault="000F6078" w:rsidP="00CD1704">
            <w:pPr>
              <w:jc w:val="right"/>
              <w:rPr>
                <w:sz w:val="20"/>
                <w:szCs w:val="20"/>
              </w:rPr>
            </w:pPr>
            <w:r w:rsidRPr="00FF7017">
              <w:rPr>
                <w:sz w:val="20"/>
                <w:szCs w:val="20"/>
              </w:rPr>
              <w:t>44 024</w:t>
            </w:r>
          </w:p>
        </w:tc>
        <w:tc>
          <w:tcPr>
            <w:tcW w:w="1247" w:type="dxa"/>
            <w:tcBorders>
              <w:top w:val="nil"/>
              <w:left w:val="single" w:sz="4" w:space="0" w:color="auto"/>
              <w:bottom w:val="single" w:sz="4" w:space="0" w:color="auto"/>
              <w:right w:val="single" w:sz="4" w:space="0" w:color="auto"/>
            </w:tcBorders>
            <w:vAlign w:val="center"/>
          </w:tcPr>
          <w:p w14:paraId="5D8B9668" w14:textId="77777777" w:rsidR="000F6078" w:rsidRPr="00FF7017" w:rsidRDefault="000F6078" w:rsidP="00CD1704">
            <w:pPr>
              <w:jc w:val="right"/>
              <w:rPr>
                <w:sz w:val="20"/>
                <w:szCs w:val="20"/>
              </w:rPr>
            </w:pPr>
            <w:r w:rsidRPr="00FF7017">
              <w:rPr>
                <w:sz w:val="20"/>
                <w:szCs w:val="20"/>
              </w:rPr>
              <w:t>50 000</w:t>
            </w:r>
          </w:p>
        </w:tc>
        <w:tc>
          <w:tcPr>
            <w:tcW w:w="1247" w:type="dxa"/>
            <w:tcBorders>
              <w:top w:val="nil"/>
              <w:left w:val="single" w:sz="4" w:space="0" w:color="auto"/>
              <w:bottom w:val="single" w:sz="4" w:space="0" w:color="auto"/>
              <w:right w:val="single" w:sz="4" w:space="0" w:color="auto"/>
            </w:tcBorders>
            <w:vAlign w:val="center"/>
          </w:tcPr>
          <w:p w14:paraId="4F15FA0F" w14:textId="77777777" w:rsidR="000F6078" w:rsidRPr="00FF7017" w:rsidRDefault="000F6078" w:rsidP="00CD1704">
            <w:pPr>
              <w:jc w:val="right"/>
              <w:rPr>
                <w:sz w:val="20"/>
                <w:szCs w:val="20"/>
              </w:rPr>
            </w:pPr>
            <w:r w:rsidRPr="00FF7017">
              <w:rPr>
                <w:sz w:val="20"/>
                <w:szCs w:val="20"/>
              </w:rPr>
              <w:t>50 000</w:t>
            </w:r>
          </w:p>
        </w:tc>
        <w:tc>
          <w:tcPr>
            <w:tcW w:w="1247" w:type="dxa"/>
            <w:tcBorders>
              <w:top w:val="nil"/>
              <w:left w:val="single" w:sz="4" w:space="0" w:color="auto"/>
              <w:bottom w:val="single" w:sz="4" w:space="0" w:color="auto"/>
              <w:right w:val="single" w:sz="4" w:space="0" w:color="auto"/>
            </w:tcBorders>
            <w:vAlign w:val="center"/>
          </w:tcPr>
          <w:p w14:paraId="1926E8F8" w14:textId="77777777" w:rsidR="000F6078" w:rsidRPr="00FF7017" w:rsidRDefault="000F6078" w:rsidP="00CD1704">
            <w:pPr>
              <w:jc w:val="right"/>
              <w:rPr>
                <w:sz w:val="20"/>
                <w:szCs w:val="20"/>
              </w:rPr>
            </w:pPr>
            <w:r w:rsidRPr="00FF7017">
              <w:rPr>
                <w:sz w:val="20"/>
                <w:szCs w:val="20"/>
              </w:rPr>
              <w:t>39 912</w:t>
            </w:r>
          </w:p>
        </w:tc>
        <w:tc>
          <w:tcPr>
            <w:tcW w:w="964" w:type="dxa"/>
            <w:tcBorders>
              <w:top w:val="nil"/>
              <w:left w:val="single" w:sz="4" w:space="0" w:color="auto"/>
              <w:bottom w:val="single" w:sz="4" w:space="0" w:color="auto"/>
              <w:right w:val="single" w:sz="4" w:space="0" w:color="auto"/>
            </w:tcBorders>
            <w:vAlign w:val="center"/>
          </w:tcPr>
          <w:p w14:paraId="04C42B91" w14:textId="77777777" w:rsidR="000F6078" w:rsidRPr="003B37FE" w:rsidRDefault="000F6078" w:rsidP="00CD1704">
            <w:pPr>
              <w:jc w:val="right"/>
              <w:rPr>
                <w:sz w:val="20"/>
                <w:szCs w:val="20"/>
              </w:rPr>
            </w:pPr>
            <w:r w:rsidRPr="003B37FE">
              <w:rPr>
                <w:sz w:val="20"/>
                <w:szCs w:val="20"/>
              </w:rPr>
              <w:t>90,66</w:t>
            </w:r>
          </w:p>
        </w:tc>
      </w:tr>
    </w:tbl>
    <w:p w14:paraId="3B81EDC3" w14:textId="77777777" w:rsidR="00804818" w:rsidRPr="007B2B28" w:rsidRDefault="00804818" w:rsidP="00804818">
      <w:pPr>
        <w:tabs>
          <w:tab w:val="left" w:pos="170"/>
        </w:tabs>
        <w:spacing w:before="240" w:after="120"/>
        <w:jc w:val="both"/>
        <w:rPr>
          <w:b/>
          <w:szCs w:val="20"/>
          <w:u w:val="single"/>
        </w:rPr>
      </w:pPr>
      <w:r w:rsidRPr="007B2B28">
        <w:rPr>
          <w:b/>
          <w:szCs w:val="20"/>
          <w:u w:val="single"/>
        </w:rPr>
        <w:t xml:space="preserve">Neinvestiční transfery vysokým školám </w:t>
      </w:r>
    </w:p>
    <w:p w14:paraId="2D1AE649" w14:textId="0B512720" w:rsidR="00804818" w:rsidRPr="007B2B28" w:rsidRDefault="00804818" w:rsidP="000F6078">
      <w:pPr>
        <w:pStyle w:val="KOMtext"/>
      </w:pPr>
      <w:r w:rsidRPr="007B2B28">
        <w:t xml:space="preserve">Neinvestiční transfer vysokým školám nebyl pro rok 2019 rozpočtován. Neinvestiční transfer je určen na CEF 2014+ (projekt C-ROADS CZ). </w:t>
      </w:r>
    </w:p>
    <w:p w14:paraId="7C014793" w14:textId="77777777" w:rsidR="00804818" w:rsidRPr="007B2B28" w:rsidRDefault="00804818" w:rsidP="00CD1704">
      <w:pPr>
        <w:pStyle w:val="KOMtext"/>
      </w:pPr>
      <w:r w:rsidRPr="007B2B28">
        <w:t xml:space="preserve">Projekt C-ROADS Czech Republic je projekt úzce spojený s mezinárodní iniciativou </w:t>
      </w:r>
      <w:r w:rsidRPr="007B2B28">
        <w:br/>
        <w:t xml:space="preserve">C-ROADS, jež byla výsledkem společné aktivity států ČR, Rakouska a Německa, zvláště spolkové země Dolní Sasko. Projekt si klade si za cíl harmonizaci a spolupráci při zavádění systémů C-ITS ve státech střední Evropy. Projekt je spolufinancován z Nástroje pro propojení Evropy 2014+ (CEF Transport) z víceletého pracovního programu Evropské unie. Koordinátorem projektu je Ministerstvo dopravy ČR. Partnerem projektu za vysoké školy </w:t>
      </w:r>
      <w:r w:rsidRPr="007B2B28">
        <w:br/>
        <w:t xml:space="preserve">je ČVUT v Praze, Fakulta dopravní. </w:t>
      </w:r>
    </w:p>
    <w:p w14:paraId="5823C711" w14:textId="77777777" w:rsidR="00804818" w:rsidRPr="007B2B28" w:rsidRDefault="00804818" w:rsidP="00CD1704">
      <w:pPr>
        <w:pStyle w:val="KOMtext"/>
      </w:pPr>
      <w:r w:rsidRPr="007B2B28">
        <w:t>Finanční prostředky byly v průběhu roku 2019 čerpány ve výši 5 254 tis. Kč, v tom prostředky EU 5 254 tis. Kč (1 788 tis. Kč je čerpání prostředků rezervního fondu Ministerstva dopravy v rámci CEF 2014+, projekt C-ROA</w:t>
      </w:r>
      <w:r w:rsidR="001848B2">
        <w:t xml:space="preserve">DS CZ a 3 466 tis. Kč je čerpání nároků </w:t>
      </w:r>
      <w:r w:rsidRPr="007B2B28">
        <w:t xml:space="preserve">u projektu </w:t>
      </w:r>
      <w:r w:rsidR="001848B2">
        <w:br/>
      </w:r>
      <w:r w:rsidRPr="007B2B28">
        <w:t xml:space="preserve">C-ROADS CZ).   </w:t>
      </w:r>
    </w:p>
    <w:p w14:paraId="6F98A9F8" w14:textId="77777777" w:rsidR="00804818" w:rsidRPr="007B2B28" w:rsidRDefault="00804818" w:rsidP="00CD1704">
      <w:pPr>
        <w:pStyle w:val="Nadpis6"/>
      </w:pPr>
      <w:r w:rsidRPr="007B2B28">
        <w:lastRenderedPageBreak/>
        <w:t>Neinvestiční transfery veřejným výzkumným institucím</w:t>
      </w:r>
    </w:p>
    <w:p w14:paraId="4EBD8448" w14:textId="77777777" w:rsidR="00804818" w:rsidRPr="007B2B28" w:rsidRDefault="00804818" w:rsidP="00CD1704">
      <w:pPr>
        <w:pStyle w:val="KOMtext"/>
      </w:pPr>
      <w:r w:rsidRPr="007B2B28">
        <w:t xml:space="preserve">Schválený rozpočet neinvestičních transferů veřejným výzkumným organizacím pro 2019 je ve výši 92 750 tis. Kč (institucionální podpora 42 750 tis. Kč a účelová neinvestiční dotace </w:t>
      </w:r>
      <w:r w:rsidR="00D9063C">
        <w:br/>
      </w:r>
      <w:r w:rsidRPr="007B2B28">
        <w:t xml:space="preserve">50 000 tis. Kč). Veškeré finanční prostředky byly určeny veřejné výzkumné instituci rezortu Ministerstva dopravy Centrum dopravního výzkumu, v.v.i. </w:t>
      </w:r>
    </w:p>
    <w:p w14:paraId="57889B4A" w14:textId="77777777" w:rsidR="00804818" w:rsidRDefault="00804818" w:rsidP="00CD1704">
      <w:pPr>
        <w:pStyle w:val="KOMtext"/>
        <w:rPr>
          <w:color w:val="FF0000"/>
        </w:rPr>
      </w:pPr>
      <w:r w:rsidRPr="003D4CF3">
        <w:t>Finanční prostředky byly v průběhu roku 2019 č</w:t>
      </w:r>
      <w:r w:rsidR="005A76EE">
        <w:t xml:space="preserve">erpány ve výši 82 662 tis. Kč, </w:t>
      </w:r>
      <w:r w:rsidRPr="003D4CF3">
        <w:t>tj. 89,12 % upraveného rozpočtu, z toho prostředky ve výši 42 750 tis. Kč představovaly čerpání neinvestiční části institucionální podpory pro Centrum dopravního výzkumu, v.v.i. Finanční prostředky byly použity na financování způsobilých výdajů na řešení projektů Centra dopravního výzkumu, v.v.i. Jedná se především o projekty v oblasti zvyšování bezpečnosti silniční dopravy, zvyšování podílu železniční dopravy a ochrany životního prostředí v souvislosti s rozvojem dopravy.</w:t>
      </w:r>
      <w:r w:rsidRPr="004B11AC">
        <w:rPr>
          <w:color w:val="FF0000"/>
        </w:rPr>
        <w:tab/>
      </w:r>
    </w:p>
    <w:p w14:paraId="2EBA5D9F" w14:textId="77777777" w:rsidR="00804818" w:rsidRPr="00192DFC" w:rsidRDefault="00804818" w:rsidP="00CD1704">
      <w:pPr>
        <w:pStyle w:val="KOMtext"/>
      </w:pPr>
      <w:r w:rsidRPr="003D4CF3">
        <w:t xml:space="preserve">Z celkové částky 82 662 tis. Kč byly prostředky ve výši 39 912 tis. Kč čerpány v rámci účelové neinvestiční dotace na podporu rozvoje další činnosti Centra dopravního výzkumu, v.v.i. (předmětem bylo zpracování studií a analýz především v oblasti bezpečnosti a kvality silniční dopravy a v oblasti inteligentních dopravních systémů).   </w:t>
      </w:r>
      <w:r w:rsidRPr="00192DFC">
        <w:rPr>
          <w:color w:val="FF0000"/>
        </w:rPr>
        <w:t xml:space="preserve"> </w:t>
      </w:r>
    </w:p>
    <w:p w14:paraId="3EA65A47" w14:textId="77777777" w:rsidR="00804818" w:rsidRPr="00192DFC" w:rsidRDefault="00804818" w:rsidP="00CD1704">
      <w:pPr>
        <w:pStyle w:val="KOMtext"/>
      </w:pPr>
      <w:r w:rsidRPr="00192DFC">
        <w:t xml:space="preserve">Oproti období k 31. 12. 2018, kdy byly neinvestiční prostředky pro Centrum dopravního výzkumu, v.v.i. čerpány ve výši </w:t>
      </w:r>
      <w:r>
        <w:t>86 475</w:t>
      </w:r>
      <w:r w:rsidRPr="00192DFC">
        <w:t xml:space="preserve"> tis. Kč, jsou k 31. 12. 2019 čerpány ve výši </w:t>
      </w:r>
      <w:r w:rsidRPr="00192DFC">
        <w:br/>
        <w:t xml:space="preserve">82 662 tis. Kč, tj. </w:t>
      </w:r>
      <w:r>
        <w:t>95,59</w:t>
      </w:r>
      <w:r w:rsidRPr="00192DFC">
        <w:t xml:space="preserve"> % úrovně roku 2018.     </w:t>
      </w:r>
    </w:p>
    <w:p w14:paraId="0EE23481" w14:textId="77777777" w:rsidR="001D5020" w:rsidRPr="004B3B21" w:rsidRDefault="001D5020" w:rsidP="00121BA0">
      <w:pPr>
        <w:pStyle w:val="Nadpis3"/>
      </w:pPr>
      <w:bookmarkStart w:id="358" w:name="_Toc34286466"/>
      <w:r w:rsidRPr="004B3B21">
        <w:t>Neinvestiční transfery neziskovým a podobným organizacím</w:t>
      </w:r>
      <w:bookmarkEnd w:id="352"/>
      <w:bookmarkEnd w:id="353"/>
      <w:bookmarkEnd w:id="354"/>
      <w:bookmarkEnd w:id="355"/>
      <w:bookmarkEnd w:id="356"/>
      <w:bookmarkEnd w:id="357"/>
      <w:bookmarkEnd w:id="358"/>
      <w:r w:rsidRPr="004B3B21">
        <w:t xml:space="preserve"> </w:t>
      </w:r>
    </w:p>
    <w:p w14:paraId="1705031F" w14:textId="77777777" w:rsidR="002559A7" w:rsidRPr="004B3B21" w:rsidRDefault="00633932" w:rsidP="00DB2320">
      <w:pPr>
        <w:keepNext/>
        <w:ind w:left="357" w:right="1"/>
        <w:jc w:val="right"/>
      </w:pPr>
      <w:r w:rsidRPr="004B3B21">
        <w:t xml:space="preserve">                                                                                                                             </w:t>
      </w:r>
      <w:r w:rsidR="002559A7" w:rsidRPr="004B3B21">
        <w:t>v tis. Kč</w:t>
      </w:r>
    </w:p>
    <w:tbl>
      <w:tblPr>
        <w:tblW w:w="90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1247"/>
        <w:gridCol w:w="1247"/>
        <w:gridCol w:w="1247"/>
        <w:gridCol w:w="1247"/>
        <w:gridCol w:w="777"/>
      </w:tblGrid>
      <w:tr w:rsidR="004B3B21" w:rsidRPr="000D77C8" w14:paraId="0C73D40D" w14:textId="77777777" w:rsidTr="00C0463D">
        <w:trPr>
          <w:tblHeader/>
        </w:trPr>
        <w:tc>
          <w:tcPr>
            <w:tcW w:w="3327" w:type="dxa"/>
            <w:vAlign w:val="center"/>
          </w:tcPr>
          <w:p w14:paraId="36556FF7" w14:textId="77777777" w:rsidR="004B3B21" w:rsidRPr="00961BE4" w:rsidRDefault="004B3B21" w:rsidP="004432B6">
            <w:pPr>
              <w:jc w:val="center"/>
              <w:rPr>
                <w:sz w:val="22"/>
                <w:szCs w:val="22"/>
              </w:rPr>
            </w:pPr>
            <w:r w:rsidRPr="00961BE4">
              <w:rPr>
                <w:sz w:val="22"/>
                <w:szCs w:val="22"/>
              </w:rPr>
              <w:t>Název ukazatele</w:t>
            </w:r>
          </w:p>
        </w:tc>
        <w:tc>
          <w:tcPr>
            <w:tcW w:w="1247" w:type="dxa"/>
            <w:vAlign w:val="center"/>
          </w:tcPr>
          <w:p w14:paraId="06B516F3" w14:textId="77777777" w:rsidR="004B3B21" w:rsidRPr="00961BE4" w:rsidRDefault="004B3B21" w:rsidP="004432B6">
            <w:pPr>
              <w:jc w:val="center"/>
              <w:rPr>
                <w:sz w:val="22"/>
              </w:rPr>
            </w:pPr>
            <w:r w:rsidRPr="00961BE4">
              <w:rPr>
                <w:sz w:val="22"/>
              </w:rPr>
              <w:t>Skutečnost</w:t>
            </w:r>
          </w:p>
          <w:p w14:paraId="6C3E0EF0" w14:textId="77777777" w:rsidR="004B3B21" w:rsidRPr="00961BE4" w:rsidRDefault="004B3B21" w:rsidP="004432B6">
            <w:pPr>
              <w:jc w:val="center"/>
              <w:rPr>
                <w:sz w:val="22"/>
                <w:szCs w:val="22"/>
              </w:rPr>
            </w:pPr>
            <w:r w:rsidRPr="00961BE4">
              <w:rPr>
                <w:sz w:val="22"/>
              </w:rPr>
              <w:t>2018</w:t>
            </w:r>
          </w:p>
        </w:tc>
        <w:tc>
          <w:tcPr>
            <w:tcW w:w="1247" w:type="dxa"/>
            <w:vAlign w:val="center"/>
          </w:tcPr>
          <w:p w14:paraId="23D002E7" w14:textId="77777777" w:rsidR="004B3B21" w:rsidRPr="00961BE4" w:rsidRDefault="004B3B21" w:rsidP="004432B6">
            <w:pPr>
              <w:jc w:val="center"/>
              <w:rPr>
                <w:sz w:val="22"/>
                <w:szCs w:val="22"/>
              </w:rPr>
            </w:pPr>
            <w:r w:rsidRPr="00961BE4">
              <w:rPr>
                <w:sz w:val="22"/>
                <w:szCs w:val="22"/>
              </w:rPr>
              <w:t>Schválený rozpočet</w:t>
            </w:r>
          </w:p>
          <w:p w14:paraId="7E0C192D" w14:textId="77777777" w:rsidR="004B3B21" w:rsidRPr="00961BE4" w:rsidRDefault="004B3B21" w:rsidP="004432B6">
            <w:pPr>
              <w:jc w:val="center"/>
              <w:rPr>
                <w:sz w:val="22"/>
                <w:szCs w:val="22"/>
              </w:rPr>
            </w:pPr>
            <w:r w:rsidRPr="00961BE4">
              <w:rPr>
                <w:sz w:val="22"/>
                <w:szCs w:val="22"/>
              </w:rPr>
              <w:t>2019</w:t>
            </w:r>
          </w:p>
        </w:tc>
        <w:tc>
          <w:tcPr>
            <w:tcW w:w="1247" w:type="dxa"/>
            <w:vAlign w:val="center"/>
          </w:tcPr>
          <w:p w14:paraId="312EDB92" w14:textId="77777777" w:rsidR="004B3B21" w:rsidRPr="00961BE4" w:rsidRDefault="004B3B21" w:rsidP="004432B6">
            <w:pPr>
              <w:jc w:val="center"/>
              <w:rPr>
                <w:sz w:val="22"/>
                <w:szCs w:val="22"/>
              </w:rPr>
            </w:pPr>
            <w:r w:rsidRPr="00961BE4">
              <w:rPr>
                <w:sz w:val="22"/>
                <w:szCs w:val="22"/>
              </w:rPr>
              <w:t>Upravený rozpočet</w:t>
            </w:r>
          </w:p>
          <w:p w14:paraId="6DAA2C34" w14:textId="77777777" w:rsidR="004B3B21" w:rsidRPr="00961BE4" w:rsidRDefault="004B3B21" w:rsidP="004432B6">
            <w:pPr>
              <w:jc w:val="center"/>
              <w:rPr>
                <w:sz w:val="22"/>
                <w:szCs w:val="22"/>
              </w:rPr>
            </w:pPr>
            <w:r w:rsidRPr="00961BE4">
              <w:rPr>
                <w:sz w:val="22"/>
                <w:szCs w:val="22"/>
              </w:rPr>
              <w:t>2019</w:t>
            </w:r>
          </w:p>
        </w:tc>
        <w:tc>
          <w:tcPr>
            <w:tcW w:w="1247" w:type="dxa"/>
            <w:vAlign w:val="center"/>
          </w:tcPr>
          <w:p w14:paraId="346EC1A0" w14:textId="77777777" w:rsidR="004B3B21" w:rsidRPr="00961BE4" w:rsidRDefault="004B3B21" w:rsidP="004432B6">
            <w:pPr>
              <w:jc w:val="center"/>
              <w:rPr>
                <w:sz w:val="22"/>
                <w:szCs w:val="22"/>
              </w:rPr>
            </w:pPr>
            <w:r w:rsidRPr="00961BE4">
              <w:rPr>
                <w:sz w:val="22"/>
                <w:szCs w:val="22"/>
              </w:rPr>
              <w:t>Skutečno</w:t>
            </w:r>
            <w:r>
              <w:rPr>
                <w:sz w:val="22"/>
                <w:szCs w:val="22"/>
              </w:rPr>
              <w:t xml:space="preserve">st </w:t>
            </w:r>
            <w:r w:rsidRPr="00961BE4">
              <w:rPr>
                <w:sz w:val="22"/>
                <w:szCs w:val="22"/>
              </w:rPr>
              <w:t>2019</w:t>
            </w:r>
          </w:p>
        </w:tc>
        <w:tc>
          <w:tcPr>
            <w:tcW w:w="777" w:type="dxa"/>
          </w:tcPr>
          <w:p w14:paraId="1806DEFC" w14:textId="77777777" w:rsidR="004B3B21" w:rsidRPr="00961BE4" w:rsidRDefault="004B3B21" w:rsidP="004432B6">
            <w:pPr>
              <w:jc w:val="center"/>
              <w:rPr>
                <w:sz w:val="22"/>
              </w:rPr>
            </w:pPr>
            <w:r w:rsidRPr="00961BE4">
              <w:rPr>
                <w:sz w:val="22"/>
              </w:rPr>
              <w:t>Index</w:t>
            </w:r>
          </w:p>
          <w:p w14:paraId="5AA52470" w14:textId="77777777" w:rsidR="004B3B21" w:rsidRPr="00961BE4" w:rsidRDefault="004B3B21" w:rsidP="004432B6">
            <w:pPr>
              <w:jc w:val="center"/>
              <w:rPr>
                <w:sz w:val="22"/>
                <w:szCs w:val="22"/>
              </w:rPr>
            </w:pPr>
            <w:r w:rsidRPr="00961BE4">
              <w:rPr>
                <w:sz w:val="22"/>
              </w:rPr>
              <w:t>19/18         (v %)</w:t>
            </w:r>
          </w:p>
        </w:tc>
      </w:tr>
      <w:tr w:rsidR="004B3B21" w:rsidRPr="000D77C8" w14:paraId="7D61F32E" w14:textId="77777777" w:rsidTr="00C0463D">
        <w:trPr>
          <w:tblHeader/>
        </w:trPr>
        <w:tc>
          <w:tcPr>
            <w:tcW w:w="3327" w:type="dxa"/>
            <w:tcBorders>
              <w:top w:val="single" w:sz="4" w:space="0" w:color="auto"/>
              <w:bottom w:val="single" w:sz="4" w:space="0" w:color="auto"/>
              <w:right w:val="single" w:sz="4" w:space="0" w:color="auto"/>
            </w:tcBorders>
          </w:tcPr>
          <w:p w14:paraId="529AB7C2" w14:textId="77777777" w:rsidR="004B3B21" w:rsidRPr="00961BE4" w:rsidRDefault="004B3B21" w:rsidP="004432B6">
            <w:pPr>
              <w:jc w:val="center"/>
              <w:rPr>
                <w:sz w:val="22"/>
              </w:rPr>
            </w:pPr>
            <w:r w:rsidRPr="00961BE4">
              <w:rPr>
                <w:sz w:val="22"/>
              </w:rPr>
              <w:t>a</w:t>
            </w:r>
          </w:p>
        </w:tc>
        <w:tc>
          <w:tcPr>
            <w:tcW w:w="1247" w:type="dxa"/>
            <w:tcBorders>
              <w:top w:val="single" w:sz="4" w:space="0" w:color="auto"/>
              <w:bottom w:val="single" w:sz="4" w:space="0" w:color="auto"/>
              <w:right w:val="single" w:sz="4" w:space="0" w:color="auto"/>
            </w:tcBorders>
          </w:tcPr>
          <w:p w14:paraId="148880CB" w14:textId="77777777" w:rsidR="004B3B21" w:rsidRPr="00961BE4" w:rsidRDefault="004B3B21" w:rsidP="004432B6">
            <w:pPr>
              <w:jc w:val="center"/>
              <w:rPr>
                <w:sz w:val="22"/>
              </w:rPr>
            </w:pPr>
            <w:r w:rsidRPr="00961BE4">
              <w:rPr>
                <w:sz w:val="22"/>
              </w:rPr>
              <w:t>1</w:t>
            </w:r>
          </w:p>
        </w:tc>
        <w:tc>
          <w:tcPr>
            <w:tcW w:w="1247" w:type="dxa"/>
            <w:tcBorders>
              <w:top w:val="single" w:sz="4" w:space="0" w:color="auto"/>
              <w:left w:val="single" w:sz="4" w:space="0" w:color="auto"/>
              <w:bottom w:val="single" w:sz="4" w:space="0" w:color="auto"/>
              <w:right w:val="single" w:sz="4" w:space="0" w:color="auto"/>
            </w:tcBorders>
          </w:tcPr>
          <w:p w14:paraId="53C1B420" w14:textId="77777777" w:rsidR="004B3B21" w:rsidRPr="00961BE4" w:rsidRDefault="004B3B21" w:rsidP="004432B6">
            <w:pPr>
              <w:jc w:val="center"/>
              <w:rPr>
                <w:sz w:val="22"/>
              </w:rPr>
            </w:pPr>
            <w:r w:rsidRPr="00961BE4">
              <w:rPr>
                <w:sz w:val="22"/>
              </w:rPr>
              <w:t>2</w:t>
            </w:r>
          </w:p>
        </w:tc>
        <w:tc>
          <w:tcPr>
            <w:tcW w:w="1247" w:type="dxa"/>
            <w:tcBorders>
              <w:top w:val="single" w:sz="4" w:space="0" w:color="auto"/>
              <w:left w:val="single" w:sz="4" w:space="0" w:color="auto"/>
              <w:bottom w:val="single" w:sz="4" w:space="0" w:color="auto"/>
              <w:right w:val="single" w:sz="4" w:space="0" w:color="auto"/>
            </w:tcBorders>
          </w:tcPr>
          <w:p w14:paraId="49281B4C" w14:textId="77777777" w:rsidR="004B3B21" w:rsidRPr="00961BE4" w:rsidRDefault="004B3B21" w:rsidP="004432B6">
            <w:pPr>
              <w:jc w:val="center"/>
              <w:rPr>
                <w:sz w:val="22"/>
              </w:rPr>
            </w:pPr>
            <w:r w:rsidRPr="00961BE4">
              <w:rPr>
                <w:sz w:val="22"/>
              </w:rPr>
              <w:t>3</w:t>
            </w:r>
          </w:p>
        </w:tc>
        <w:tc>
          <w:tcPr>
            <w:tcW w:w="1247" w:type="dxa"/>
            <w:tcBorders>
              <w:top w:val="single" w:sz="4" w:space="0" w:color="auto"/>
              <w:left w:val="single" w:sz="4" w:space="0" w:color="auto"/>
              <w:bottom w:val="single" w:sz="4" w:space="0" w:color="auto"/>
              <w:right w:val="single" w:sz="4" w:space="0" w:color="auto"/>
            </w:tcBorders>
          </w:tcPr>
          <w:p w14:paraId="22AC0D20" w14:textId="77777777" w:rsidR="004B3B21" w:rsidRPr="00961BE4" w:rsidRDefault="004B3B21" w:rsidP="004432B6">
            <w:pPr>
              <w:jc w:val="center"/>
              <w:rPr>
                <w:sz w:val="22"/>
              </w:rPr>
            </w:pPr>
            <w:r w:rsidRPr="00961BE4">
              <w:rPr>
                <w:sz w:val="22"/>
              </w:rPr>
              <w:t>4</w:t>
            </w:r>
          </w:p>
        </w:tc>
        <w:tc>
          <w:tcPr>
            <w:tcW w:w="777" w:type="dxa"/>
            <w:tcBorders>
              <w:top w:val="single" w:sz="4" w:space="0" w:color="auto"/>
              <w:left w:val="single" w:sz="4" w:space="0" w:color="auto"/>
              <w:bottom w:val="single" w:sz="4" w:space="0" w:color="auto"/>
            </w:tcBorders>
          </w:tcPr>
          <w:p w14:paraId="3D804849" w14:textId="77777777" w:rsidR="004B3B21" w:rsidRPr="00961BE4" w:rsidRDefault="004B3B21" w:rsidP="004432B6">
            <w:pPr>
              <w:jc w:val="center"/>
              <w:rPr>
                <w:sz w:val="22"/>
              </w:rPr>
            </w:pPr>
            <w:r w:rsidRPr="00961BE4">
              <w:rPr>
                <w:sz w:val="22"/>
              </w:rPr>
              <w:t>6</w:t>
            </w:r>
          </w:p>
        </w:tc>
      </w:tr>
      <w:tr w:rsidR="004B3B21" w:rsidRPr="000D77C8" w14:paraId="5A307037" w14:textId="77777777" w:rsidTr="00C0463D">
        <w:trPr>
          <w:trHeight w:val="388"/>
          <w:tblHeader/>
        </w:trPr>
        <w:tc>
          <w:tcPr>
            <w:tcW w:w="3327" w:type="dxa"/>
            <w:tcBorders>
              <w:top w:val="single" w:sz="4" w:space="0" w:color="auto"/>
              <w:left w:val="single" w:sz="4" w:space="0" w:color="auto"/>
              <w:bottom w:val="nil"/>
              <w:right w:val="single" w:sz="4" w:space="0" w:color="auto"/>
            </w:tcBorders>
          </w:tcPr>
          <w:p w14:paraId="31BB23AC" w14:textId="77777777" w:rsidR="004B3B21" w:rsidRPr="00961BE4" w:rsidRDefault="004B3B21" w:rsidP="004432B6">
            <w:pPr>
              <w:tabs>
                <w:tab w:val="left" w:pos="0"/>
                <w:tab w:val="left" w:pos="110"/>
              </w:tabs>
              <w:rPr>
                <w:b/>
                <w:sz w:val="20"/>
                <w:szCs w:val="20"/>
              </w:rPr>
            </w:pPr>
            <w:r w:rsidRPr="00961BE4">
              <w:rPr>
                <w:b/>
                <w:sz w:val="20"/>
                <w:szCs w:val="20"/>
              </w:rPr>
              <w:t>Neziskové a podobné organizace</w:t>
            </w:r>
          </w:p>
          <w:p w14:paraId="73544FFA" w14:textId="77777777" w:rsidR="004B3B21" w:rsidRPr="00961BE4" w:rsidRDefault="004B3B21" w:rsidP="004B3B21">
            <w:pPr>
              <w:spacing w:after="60"/>
              <w:jc w:val="both"/>
              <w:rPr>
                <w:sz w:val="20"/>
                <w:szCs w:val="20"/>
              </w:rPr>
            </w:pPr>
            <w:r w:rsidRPr="00961BE4">
              <w:rPr>
                <w:sz w:val="20"/>
                <w:szCs w:val="20"/>
              </w:rPr>
              <w:t>v tom:</w:t>
            </w:r>
          </w:p>
        </w:tc>
        <w:tc>
          <w:tcPr>
            <w:tcW w:w="1247" w:type="dxa"/>
            <w:tcBorders>
              <w:top w:val="single" w:sz="4" w:space="0" w:color="auto"/>
              <w:left w:val="single" w:sz="4" w:space="0" w:color="auto"/>
              <w:bottom w:val="nil"/>
              <w:right w:val="single" w:sz="4" w:space="0" w:color="auto"/>
            </w:tcBorders>
            <w:vAlign w:val="center"/>
          </w:tcPr>
          <w:p w14:paraId="048D2981" w14:textId="77777777" w:rsidR="004B3B21" w:rsidRPr="00122F49" w:rsidRDefault="004B3B21" w:rsidP="004432B6">
            <w:pPr>
              <w:jc w:val="right"/>
              <w:rPr>
                <w:b/>
                <w:bCs/>
                <w:sz w:val="20"/>
                <w:szCs w:val="20"/>
              </w:rPr>
            </w:pPr>
            <w:r w:rsidRPr="00122F49">
              <w:rPr>
                <w:b/>
                <w:bCs/>
                <w:sz w:val="20"/>
                <w:szCs w:val="20"/>
              </w:rPr>
              <w:t>9 473</w:t>
            </w:r>
          </w:p>
        </w:tc>
        <w:tc>
          <w:tcPr>
            <w:tcW w:w="1247" w:type="dxa"/>
            <w:tcBorders>
              <w:top w:val="single" w:sz="4" w:space="0" w:color="auto"/>
              <w:left w:val="single" w:sz="4" w:space="0" w:color="auto"/>
              <w:bottom w:val="nil"/>
              <w:right w:val="single" w:sz="4" w:space="0" w:color="auto"/>
            </w:tcBorders>
            <w:vAlign w:val="center"/>
          </w:tcPr>
          <w:p w14:paraId="367DDAC2" w14:textId="77777777" w:rsidR="004B3B21" w:rsidRPr="00122F49" w:rsidRDefault="004B3B21" w:rsidP="004432B6">
            <w:pPr>
              <w:jc w:val="right"/>
              <w:rPr>
                <w:b/>
                <w:bCs/>
                <w:sz w:val="20"/>
                <w:szCs w:val="20"/>
              </w:rPr>
            </w:pPr>
            <w:r w:rsidRPr="00122F49">
              <w:rPr>
                <w:b/>
                <w:bCs/>
                <w:sz w:val="20"/>
                <w:szCs w:val="20"/>
              </w:rPr>
              <w:t>9 600</w:t>
            </w:r>
          </w:p>
        </w:tc>
        <w:tc>
          <w:tcPr>
            <w:tcW w:w="1247" w:type="dxa"/>
            <w:tcBorders>
              <w:top w:val="single" w:sz="4" w:space="0" w:color="auto"/>
              <w:left w:val="single" w:sz="4" w:space="0" w:color="auto"/>
              <w:bottom w:val="nil"/>
              <w:right w:val="single" w:sz="4" w:space="0" w:color="auto"/>
            </w:tcBorders>
            <w:vAlign w:val="center"/>
          </w:tcPr>
          <w:p w14:paraId="153E145A" w14:textId="77777777" w:rsidR="004B3B21" w:rsidRPr="000D77C8" w:rsidRDefault="004B3B21" w:rsidP="004432B6">
            <w:pPr>
              <w:jc w:val="right"/>
              <w:rPr>
                <w:b/>
                <w:bCs/>
                <w:color w:val="FF0000"/>
                <w:sz w:val="20"/>
                <w:szCs w:val="20"/>
              </w:rPr>
            </w:pPr>
            <w:r w:rsidRPr="00122F49">
              <w:rPr>
                <w:b/>
                <w:bCs/>
                <w:sz w:val="20"/>
                <w:szCs w:val="20"/>
              </w:rPr>
              <w:t>11 845</w:t>
            </w:r>
          </w:p>
        </w:tc>
        <w:tc>
          <w:tcPr>
            <w:tcW w:w="1247" w:type="dxa"/>
            <w:tcBorders>
              <w:top w:val="single" w:sz="4" w:space="0" w:color="auto"/>
              <w:left w:val="single" w:sz="4" w:space="0" w:color="auto"/>
              <w:bottom w:val="nil"/>
              <w:right w:val="single" w:sz="4" w:space="0" w:color="auto"/>
            </w:tcBorders>
            <w:vAlign w:val="center"/>
          </w:tcPr>
          <w:p w14:paraId="099F8C4D" w14:textId="77777777" w:rsidR="004B3B21" w:rsidRPr="00122F49" w:rsidRDefault="004B3B21" w:rsidP="004432B6">
            <w:pPr>
              <w:jc w:val="right"/>
              <w:rPr>
                <w:b/>
                <w:bCs/>
                <w:sz w:val="20"/>
                <w:szCs w:val="20"/>
              </w:rPr>
            </w:pPr>
            <w:r w:rsidRPr="00122F49">
              <w:rPr>
                <w:b/>
                <w:bCs/>
                <w:sz w:val="20"/>
                <w:szCs w:val="20"/>
              </w:rPr>
              <w:t>12 462</w:t>
            </w:r>
          </w:p>
        </w:tc>
        <w:tc>
          <w:tcPr>
            <w:tcW w:w="777" w:type="dxa"/>
            <w:tcBorders>
              <w:top w:val="single" w:sz="4" w:space="0" w:color="auto"/>
              <w:left w:val="single" w:sz="4" w:space="0" w:color="auto"/>
              <w:bottom w:val="nil"/>
              <w:right w:val="single" w:sz="4" w:space="0" w:color="auto"/>
            </w:tcBorders>
            <w:vAlign w:val="center"/>
          </w:tcPr>
          <w:p w14:paraId="48D62403" w14:textId="77777777" w:rsidR="004B3B21" w:rsidRPr="000D77C8" w:rsidRDefault="004B3B21" w:rsidP="004432B6">
            <w:pPr>
              <w:jc w:val="right"/>
              <w:rPr>
                <w:b/>
                <w:bCs/>
                <w:color w:val="FF0000"/>
                <w:sz w:val="20"/>
                <w:szCs w:val="20"/>
              </w:rPr>
            </w:pPr>
            <w:r w:rsidRPr="000F75B9">
              <w:rPr>
                <w:b/>
                <w:bCs/>
                <w:sz w:val="20"/>
                <w:szCs w:val="20"/>
              </w:rPr>
              <w:t>131,55</w:t>
            </w:r>
          </w:p>
        </w:tc>
      </w:tr>
      <w:tr w:rsidR="004B3B21" w:rsidRPr="000D77C8" w14:paraId="134F5F3F" w14:textId="77777777" w:rsidTr="00C0463D">
        <w:trPr>
          <w:tblHeader/>
        </w:trPr>
        <w:tc>
          <w:tcPr>
            <w:tcW w:w="3327" w:type="dxa"/>
            <w:tcBorders>
              <w:top w:val="nil"/>
              <w:left w:val="single" w:sz="4" w:space="0" w:color="auto"/>
              <w:bottom w:val="nil"/>
              <w:right w:val="single" w:sz="4" w:space="0" w:color="auto"/>
            </w:tcBorders>
          </w:tcPr>
          <w:p w14:paraId="0F4DC1C1" w14:textId="77777777" w:rsidR="004B3B21" w:rsidRPr="00961BE4" w:rsidRDefault="004B3B21" w:rsidP="004B3B21">
            <w:pPr>
              <w:spacing w:after="60"/>
              <w:jc w:val="both"/>
              <w:rPr>
                <w:sz w:val="20"/>
                <w:szCs w:val="20"/>
              </w:rPr>
            </w:pPr>
            <w:r w:rsidRPr="00961BE4">
              <w:rPr>
                <w:sz w:val="20"/>
                <w:szCs w:val="20"/>
              </w:rPr>
              <w:t>Spolky (do r. 2014 občanská sdružení)</w:t>
            </w:r>
          </w:p>
        </w:tc>
        <w:tc>
          <w:tcPr>
            <w:tcW w:w="1247" w:type="dxa"/>
            <w:tcBorders>
              <w:top w:val="nil"/>
              <w:left w:val="single" w:sz="4" w:space="0" w:color="auto"/>
              <w:bottom w:val="nil"/>
              <w:right w:val="single" w:sz="4" w:space="0" w:color="auto"/>
            </w:tcBorders>
            <w:vAlign w:val="center"/>
          </w:tcPr>
          <w:p w14:paraId="350EBF70" w14:textId="77777777" w:rsidR="004B3B21" w:rsidRPr="00122F49" w:rsidRDefault="004B3B21" w:rsidP="004432B6">
            <w:pPr>
              <w:jc w:val="right"/>
              <w:rPr>
                <w:sz w:val="20"/>
                <w:szCs w:val="20"/>
              </w:rPr>
            </w:pPr>
            <w:r w:rsidRPr="00122F49">
              <w:rPr>
                <w:sz w:val="20"/>
                <w:szCs w:val="20"/>
              </w:rPr>
              <w:t>9 200</w:t>
            </w:r>
          </w:p>
        </w:tc>
        <w:tc>
          <w:tcPr>
            <w:tcW w:w="1247" w:type="dxa"/>
            <w:tcBorders>
              <w:top w:val="nil"/>
              <w:left w:val="single" w:sz="4" w:space="0" w:color="auto"/>
              <w:bottom w:val="nil"/>
              <w:right w:val="single" w:sz="4" w:space="0" w:color="auto"/>
            </w:tcBorders>
            <w:vAlign w:val="center"/>
          </w:tcPr>
          <w:p w14:paraId="11D2F99E" w14:textId="77777777" w:rsidR="004B3B21" w:rsidRPr="00122F49" w:rsidRDefault="004B3B21" w:rsidP="004432B6">
            <w:pPr>
              <w:jc w:val="right"/>
              <w:rPr>
                <w:sz w:val="20"/>
                <w:szCs w:val="20"/>
              </w:rPr>
            </w:pPr>
            <w:r w:rsidRPr="00122F49">
              <w:rPr>
                <w:sz w:val="20"/>
                <w:szCs w:val="20"/>
              </w:rPr>
              <w:t>9 600</w:t>
            </w:r>
          </w:p>
        </w:tc>
        <w:tc>
          <w:tcPr>
            <w:tcW w:w="1247" w:type="dxa"/>
            <w:tcBorders>
              <w:top w:val="nil"/>
              <w:left w:val="single" w:sz="4" w:space="0" w:color="auto"/>
              <w:bottom w:val="nil"/>
              <w:right w:val="single" w:sz="4" w:space="0" w:color="auto"/>
            </w:tcBorders>
            <w:vAlign w:val="center"/>
          </w:tcPr>
          <w:p w14:paraId="65BED247" w14:textId="77777777" w:rsidR="004B3B21" w:rsidRPr="000D77C8" w:rsidRDefault="004B3B21" w:rsidP="004432B6">
            <w:pPr>
              <w:jc w:val="right"/>
              <w:rPr>
                <w:color w:val="FF0000"/>
                <w:sz w:val="20"/>
                <w:szCs w:val="20"/>
              </w:rPr>
            </w:pPr>
            <w:r>
              <w:rPr>
                <w:sz w:val="20"/>
                <w:szCs w:val="20"/>
              </w:rPr>
              <w:t>11 301</w:t>
            </w:r>
          </w:p>
        </w:tc>
        <w:tc>
          <w:tcPr>
            <w:tcW w:w="1247" w:type="dxa"/>
            <w:tcBorders>
              <w:top w:val="nil"/>
              <w:left w:val="single" w:sz="4" w:space="0" w:color="auto"/>
              <w:bottom w:val="nil"/>
              <w:right w:val="single" w:sz="4" w:space="0" w:color="auto"/>
            </w:tcBorders>
            <w:vAlign w:val="center"/>
          </w:tcPr>
          <w:p w14:paraId="6495CA41" w14:textId="77777777" w:rsidR="004B3B21" w:rsidRPr="000D77C8" w:rsidRDefault="004B3B21" w:rsidP="004432B6">
            <w:pPr>
              <w:jc w:val="right"/>
              <w:rPr>
                <w:color w:val="FF0000"/>
                <w:sz w:val="20"/>
                <w:szCs w:val="20"/>
              </w:rPr>
            </w:pPr>
            <w:r>
              <w:rPr>
                <w:sz w:val="20"/>
                <w:szCs w:val="20"/>
              </w:rPr>
              <w:t>11 616</w:t>
            </w:r>
          </w:p>
        </w:tc>
        <w:tc>
          <w:tcPr>
            <w:tcW w:w="777" w:type="dxa"/>
            <w:tcBorders>
              <w:top w:val="nil"/>
              <w:left w:val="single" w:sz="4" w:space="0" w:color="auto"/>
              <w:bottom w:val="nil"/>
              <w:right w:val="single" w:sz="4" w:space="0" w:color="auto"/>
            </w:tcBorders>
            <w:vAlign w:val="center"/>
          </w:tcPr>
          <w:p w14:paraId="617CFEFF" w14:textId="77777777" w:rsidR="004B3B21" w:rsidRPr="000D77C8" w:rsidRDefault="004B3B21" w:rsidP="004432B6">
            <w:pPr>
              <w:jc w:val="right"/>
              <w:rPr>
                <w:color w:val="FF0000"/>
                <w:sz w:val="20"/>
                <w:szCs w:val="20"/>
              </w:rPr>
            </w:pPr>
            <w:r w:rsidRPr="000F75B9">
              <w:rPr>
                <w:sz w:val="20"/>
                <w:szCs w:val="20"/>
              </w:rPr>
              <w:t>126,26</w:t>
            </w:r>
          </w:p>
        </w:tc>
      </w:tr>
      <w:tr w:rsidR="004B3B21" w:rsidRPr="000D77C8" w14:paraId="004BF36C" w14:textId="77777777" w:rsidTr="00C0463D">
        <w:trPr>
          <w:tblHeader/>
        </w:trPr>
        <w:tc>
          <w:tcPr>
            <w:tcW w:w="3327" w:type="dxa"/>
            <w:tcBorders>
              <w:top w:val="nil"/>
              <w:left w:val="single" w:sz="4" w:space="0" w:color="auto"/>
              <w:bottom w:val="single" w:sz="4" w:space="0" w:color="auto"/>
              <w:right w:val="single" w:sz="4" w:space="0" w:color="auto"/>
            </w:tcBorders>
          </w:tcPr>
          <w:p w14:paraId="6705A8DC" w14:textId="77777777" w:rsidR="004B3B21" w:rsidRPr="00961BE4" w:rsidRDefault="004B3B21" w:rsidP="004432B6">
            <w:pPr>
              <w:jc w:val="both"/>
              <w:rPr>
                <w:sz w:val="20"/>
                <w:szCs w:val="20"/>
              </w:rPr>
            </w:pPr>
            <w:r w:rsidRPr="00961BE4">
              <w:rPr>
                <w:sz w:val="20"/>
                <w:szCs w:val="20"/>
              </w:rPr>
              <w:t>Obecně prospěšné společnosti</w:t>
            </w:r>
          </w:p>
        </w:tc>
        <w:tc>
          <w:tcPr>
            <w:tcW w:w="1247" w:type="dxa"/>
            <w:tcBorders>
              <w:top w:val="nil"/>
              <w:left w:val="single" w:sz="4" w:space="0" w:color="auto"/>
              <w:bottom w:val="single" w:sz="4" w:space="0" w:color="auto"/>
              <w:right w:val="single" w:sz="4" w:space="0" w:color="auto"/>
            </w:tcBorders>
            <w:vAlign w:val="center"/>
          </w:tcPr>
          <w:p w14:paraId="5F2BE9DE" w14:textId="77777777" w:rsidR="004B3B21" w:rsidRPr="00122F49" w:rsidRDefault="004B3B21" w:rsidP="004432B6">
            <w:pPr>
              <w:jc w:val="right"/>
              <w:rPr>
                <w:sz w:val="20"/>
                <w:szCs w:val="20"/>
              </w:rPr>
            </w:pPr>
            <w:r w:rsidRPr="00122F49">
              <w:rPr>
                <w:sz w:val="20"/>
                <w:szCs w:val="20"/>
              </w:rPr>
              <w:t>273</w:t>
            </w:r>
          </w:p>
        </w:tc>
        <w:tc>
          <w:tcPr>
            <w:tcW w:w="1247" w:type="dxa"/>
            <w:tcBorders>
              <w:top w:val="nil"/>
              <w:left w:val="single" w:sz="4" w:space="0" w:color="auto"/>
              <w:bottom w:val="single" w:sz="4" w:space="0" w:color="auto"/>
              <w:right w:val="single" w:sz="4" w:space="0" w:color="auto"/>
            </w:tcBorders>
            <w:vAlign w:val="center"/>
          </w:tcPr>
          <w:p w14:paraId="32B7E3B5" w14:textId="77777777" w:rsidR="004B3B21" w:rsidRPr="00122F49" w:rsidRDefault="004B3B21" w:rsidP="004432B6">
            <w:pPr>
              <w:jc w:val="right"/>
              <w:rPr>
                <w:sz w:val="20"/>
                <w:szCs w:val="20"/>
              </w:rPr>
            </w:pPr>
            <w:r w:rsidRPr="00122F49">
              <w:rPr>
                <w:sz w:val="20"/>
                <w:szCs w:val="20"/>
              </w:rPr>
              <w:t>0</w:t>
            </w:r>
          </w:p>
        </w:tc>
        <w:tc>
          <w:tcPr>
            <w:tcW w:w="1247" w:type="dxa"/>
            <w:tcBorders>
              <w:top w:val="nil"/>
              <w:left w:val="single" w:sz="4" w:space="0" w:color="auto"/>
              <w:bottom w:val="single" w:sz="4" w:space="0" w:color="auto"/>
              <w:right w:val="single" w:sz="4" w:space="0" w:color="auto"/>
            </w:tcBorders>
            <w:vAlign w:val="center"/>
          </w:tcPr>
          <w:p w14:paraId="53A76C79" w14:textId="77777777" w:rsidR="004B3B21" w:rsidRPr="000D77C8" w:rsidRDefault="004B3B21" w:rsidP="004432B6">
            <w:pPr>
              <w:jc w:val="right"/>
              <w:rPr>
                <w:color w:val="FF0000"/>
                <w:sz w:val="20"/>
                <w:szCs w:val="20"/>
              </w:rPr>
            </w:pPr>
            <w:r w:rsidRPr="00122F49">
              <w:rPr>
                <w:sz w:val="20"/>
                <w:szCs w:val="20"/>
              </w:rPr>
              <w:t>544</w:t>
            </w:r>
          </w:p>
        </w:tc>
        <w:tc>
          <w:tcPr>
            <w:tcW w:w="1247" w:type="dxa"/>
            <w:tcBorders>
              <w:top w:val="nil"/>
              <w:left w:val="single" w:sz="4" w:space="0" w:color="auto"/>
              <w:bottom w:val="single" w:sz="4" w:space="0" w:color="auto"/>
              <w:right w:val="single" w:sz="4" w:space="0" w:color="auto"/>
            </w:tcBorders>
            <w:vAlign w:val="center"/>
          </w:tcPr>
          <w:p w14:paraId="58F93001" w14:textId="77777777" w:rsidR="004B3B21" w:rsidRPr="000D77C8" w:rsidRDefault="004B3B21" w:rsidP="004432B6">
            <w:pPr>
              <w:jc w:val="right"/>
              <w:rPr>
                <w:color w:val="FF0000"/>
                <w:sz w:val="20"/>
                <w:szCs w:val="20"/>
              </w:rPr>
            </w:pPr>
            <w:r w:rsidRPr="00122F49">
              <w:rPr>
                <w:sz w:val="20"/>
                <w:szCs w:val="20"/>
              </w:rPr>
              <w:t>846</w:t>
            </w:r>
          </w:p>
        </w:tc>
        <w:tc>
          <w:tcPr>
            <w:tcW w:w="777" w:type="dxa"/>
            <w:tcBorders>
              <w:top w:val="nil"/>
              <w:left w:val="single" w:sz="4" w:space="0" w:color="auto"/>
              <w:bottom w:val="single" w:sz="4" w:space="0" w:color="auto"/>
              <w:right w:val="single" w:sz="4" w:space="0" w:color="auto"/>
            </w:tcBorders>
            <w:vAlign w:val="center"/>
          </w:tcPr>
          <w:p w14:paraId="6AB36C3B" w14:textId="77777777" w:rsidR="004B3B21" w:rsidRPr="000D77C8" w:rsidRDefault="004B3B21" w:rsidP="004432B6">
            <w:pPr>
              <w:jc w:val="right"/>
              <w:rPr>
                <w:color w:val="FF0000"/>
                <w:sz w:val="20"/>
                <w:szCs w:val="20"/>
              </w:rPr>
            </w:pPr>
            <w:r w:rsidRPr="000F75B9">
              <w:rPr>
                <w:sz w:val="20"/>
                <w:szCs w:val="20"/>
              </w:rPr>
              <w:t>309,89</w:t>
            </w:r>
          </w:p>
        </w:tc>
      </w:tr>
    </w:tbl>
    <w:p w14:paraId="7CC61D7E" w14:textId="77777777" w:rsidR="002559A7" w:rsidRPr="004B3B21" w:rsidRDefault="002559A7" w:rsidP="00C0463D">
      <w:pPr>
        <w:pStyle w:val="Nadpis6"/>
      </w:pPr>
      <w:r w:rsidRPr="004B3B21">
        <w:t>Neinvestiční transfery spolkům</w:t>
      </w:r>
    </w:p>
    <w:p w14:paraId="576671DF" w14:textId="14DE48B3" w:rsidR="00EA2704" w:rsidRPr="000D77C8" w:rsidRDefault="00EA2704" w:rsidP="00EA2704">
      <w:pPr>
        <w:pStyle w:val="KOMtext"/>
        <w:rPr>
          <w:color w:val="FF0000"/>
        </w:rPr>
      </w:pPr>
      <w:r w:rsidRPr="00A21867">
        <w:t xml:space="preserve">Schválený rozpočet 9 600 tis. Kč byl v průběhu roku 2019 </w:t>
      </w:r>
      <w:r>
        <w:t>navýšen o 1</w:t>
      </w:r>
      <w:r w:rsidR="004C6D6E">
        <w:t xml:space="preserve"> </w:t>
      </w:r>
      <w:r>
        <w:t>701 tis. Kč</w:t>
      </w:r>
      <w:r w:rsidRPr="00A21867">
        <w:t>. Čerpány byly prostředky ve výši 11 616 tis. Kč, tj. plnění 102,79 % upraveného rozpočtu, z toho 315 tis. Kč činilo čerpání nároků.</w:t>
      </w:r>
    </w:p>
    <w:p w14:paraId="102B4D0F" w14:textId="14E7392E" w:rsidR="00EA2704" w:rsidRPr="00A21867" w:rsidRDefault="00EA2704" w:rsidP="00EA2704">
      <w:pPr>
        <w:pStyle w:val="KOMtext"/>
      </w:pPr>
      <w:bookmarkStart w:id="359" w:name="_Toc508879870"/>
      <w:bookmarkStart w:id="360" w:name="_Toc508880146"/>
      <w:r w:rsidRPr="00A21867">
        <w:t xml:space="preserve">Prostředky ve výši 8 300 tis. Kč </w:t>
      </w:r>
      <w:r w:rsidR="00ED5797">
        <w:t>byly</w:t>
      </w:r>
      <w:r w:rsidRPr="00A21867">
        <w:t xml:space="preserve"> určeny pro spolky v obla</w:t>
      </w:r>
      <w:r w:rsidR="00ED5797">
        <w:t>sti civilního letectví, které byly</w:t>
      </w:r>
      <w:r w:rsidRPr="00A21867">
        <w:t xml:space="preserve"> v souladu se zákonem č. 49/1997 Sb., o civilním letectví, ve znění pozdějších předpisů, pověřeny Ministerstvem dopravy přeneseným výkonem státní správy ve věci ověřování letové způsobilosti sportovních létajících zařízení, způsobilosti je</w:t>
      </w:r>
      <w:r>
        <w:t xml:space="preserve">jich uživatelů včetně evidence a vydávání </w:t>
      </w:r>
      <w:r w:rsidRPr="00A21867">
        <w:t xml:space="preserve">příslušných dokladů a dohledu nad činností uživatelů sportovních létajících zařízení v rámci jejich provozu. </w:t>
      </w:r>
    </w:p>
    <w:p w14:paraId="6837F224" w14:textId="77777777" w:rsidR="00EA2704" w:rsidRPr="00A21867" w:rsidRDefault="00EA2704" w:rsidP="00EA2704">
      <w:pPr>
        <w:pStyle w:val="KOMtext"/>
      </w:pPr>
      <w:r w:rsidRPr="00A21867">
        <w:lastRenderedPageBreak/>
        <w:t xml:space="preserve">V roce 2019 čerpal dotaci ve výši 8 300 tis. Kč pouze jeden spolek, a to Letecká amatérská asociace ČR, která provádí dohled nad výcvikem a přezkušováním pilotů ultralehkých letadel, paraglidů a závěsných letadel, vydává a vede rejstříky pilotních průkazů, průkazů techniků, průkazů letové způsobilosti letadel, vydaných oprávnění k výrobě, k opravám a zkušebnictví letecké techniky. Rovněž provádí šetření leteckých nehod a mimořádných událostí. </w:t>
      </w:r>
    </w:p>
    <w:p w14:paraId="45514A09" w14:textId="77777777" w:rsidR="00EA2704" w:rsidRDefault="00EA2704" w:rsidP="00EA2704">
      <w:pPr>
        <w:pStyle w:val="KOMtext"/>
      </w:pPr>
      <w:r w:rsidRPr="009377ED">
        <w:t xml:space="preserve">Prostředky ve výši 2 016 tis. Kč, z toho nároky 315 tis. Kč, byly poskytnuty spolkům  na obnovu historických železničních kolejových vozidel v rámci programu vedeného v EDS/SMVS 127 66 „Podpora obnovy historických železničních kolejových vozidel v období 2017-2020“. Prostředky byly plně vyčerpány. </w:t>
      </w:r>
      <w:r w:rsidRPr="00A21867">
        <w:t>Příjemcem dotace b</w:t>
      </w:r>
      <w:r>
        <w:t xml:space="preserve">yl Novopacký parostrojní spolek </w:t>
      </w:r>
      <w:r>
        <w:br/>
        <w:t>(665 tis. Kč), Klub přátel železnic Českého ráje (656 tis. Kč),</w:t>
      </w:r>
      <w:r w:rsidRPr="00640CB4">
        <w:t xml:space="preserve"> </w:t>
      </w:r>
      <w:r>
        <w:t>Pardubický spolek historie železničních vozidel (280 tis. Kč), Iron Monument Club (194 tis. Kč), Zubrnická museální železnice (175 tis. Kč) a Letohradský železniční klub (46 tis. Kč).</w:t>
      </w:r>
    </w:p>
    <w:p w14:paraId="5A9217E1" w14:textId="3FCD7AE1" w:rsidR="00EA2704" w:rsidRPr="000D77C8" w:rsidRDefault="00EA2704" w:rsidP="00EA2704">
      <w:pPr>
        <w:pStyle w:val="KOMtext"/>
        <w:rPr>
          <w:color w:val="FF0000"/>
        </w:rPr>
      </w:pPr>
      <w:r w:rsidRPr="00A21867">
        <w:t>Prost</w:t>
      </w:r>
      <w:r>
        <w:t>ředky ve výši 1 300 tis. Kč byly</w:t>
      </w:r>
      <w:r w:rsidRPr="00A21867">
        <w:t xml:space="preserve"> určeny v souladu s usnesením vlády č. 935/2014 </w:t>
      </w:r>
      <w:r w:rsidRPr="00A21867">
        <w:br/>
        <w:t>na</w:t>
      </w:r>
      <w:r>
        <w:t xml:space="preserve"> realizaci projektu Legiovlak. Prostředky čerpal spolek Č</w:t>
      </w:r>
      <w:r w:rsidR="004C6D6E">
        <w:t>eskoslovenská obec legionářská</w:t>
      </w:r>
      <w:r>
        <w:t>.</w:t>
      </w:r>
    </w:p>
    <w:p w14:paraId="31AB000F" w14:textId="77777777" w:rsidR="002559A7" w:rsidRPr="00EA2704" w:rsidRDefault="002559A7" w:rsidP="00C0463D">
      <w:pPr>
        <w:pStyle w:val="Nadpis6"/>
      </w:pPr>
      <w:r w:rsidRPr="00EA2704">
        <w:t>Neinvestiční transfery obecně prospěšným společnostem</w:t>
      </w:r>
      <w:bookmarkEnd w:id="359"/>
      <w:bookmarkEnd w:id="360"/>
    </w:p>
    <w:p w14:paraId="082E19D1" w14:textId="77777777" w:rsidR="00EA2704" w:rsidRPr="006B0102" w:rsidRDefault="00EA2704" w:rsidP="00EA2704">
      <w:pPr>
        <w:pStyle w:val="KOMtext"/>
        <w:spacing w:after="0"/>
        <w:rPr>
          <w:highlight w:val="cyan"/>
        </w:rPr>
      </w:pPr>
      <w:r w:rsidRPr="0096598A">
        <w:t>Schválený rozpo</w:t>
      </w:r>
      <w:r>
        <w:t>čet 0 tis. Kč byl v průběhu</w:t>
      </w:r>
      <w:r w:rsidRPr="000D77C8">
        <w:rPr>
          <w:color w:val="FF0000"/>
        </w:rPr>
        <w:t xml:space="preserve"> </w:t>
      </w:r>
      <w:r w:rsidRPr="0096598A">
        <w:t xml:space="preserve">roku 2019 navyšován na 544 tis. Kč. Čerpány byly prostředky ve výši </w:t>
      </w:r>
      <w:r w:rsidRPr="00C24EF1">
        <w:t>846 tis. Kč, tj. plnění 155,51 % upraveného rozpočtu, z toho 302 tis. Kč činilo č</w:t>
      </w:r>
      <w:r>
        <w:t xml:space="preserve">erpání nároků. Prostředky byly </w:t>
      </w:r>
      <w:r w:rsidRPr="0065688A">
        <w:t>určeny obecně prospěšným spol</w:t>
      </w:r>
      <w:r>
        <w:t>ečnostem na obnovu historických</w:t>
      </w:r>
      <w:r w:rsidRPr="0065688A">
        <w:t xml:space="preserve"> železničních kolejových vozidel v rámci programu vedeného v EDS/SMVS </w:t>
      </w:r>
      <w:r>
        <w:br/>
      </w:r>
      <w:r w:rsidRPr="0065688A">
        <w:t xml:space="preserve">127 66 „Podpora obnovy historických železničních kolejových vozidel v období 2017-2020“ </w:t>
      </w:r>
      <w:r>
        <w:br/>
      </w:r>
      <w:r w:rsidRPr="0065688A">
        <w:t xml:space="preserve">a byly plně vyčerpány. Příjemci prostředků byli:  Muzejní úzkorozchodná dráha Kateřina, o.p.s. (95 tis. Kč) a Slezské zemské dráhy, o.p.s. (751 tis. Kč). </w:t>
      </w:r>
    </w:p>
    <w:p w14:paraId="6BA11CA6" w14:textId="77777777" w:rsidR="005A08C4" w:rsidRPr="004B11AC" w:rsidRDefault="001D5020" w:rsidP="00C0463D">
      <w:pPr>
        <w:pStyle w:val="KOMtext"/>
        <w:rPr>
          <w:color w:val="FF0000"/>
        </w:rPr>
      </w:pPr>
      <w:r w:rsidRPr="00DA3260">
        <w:rPr>
          <w:u w:val="single"/>
        </w:rPr>
        <w:t>Porovnání neinvestičních transferů neziskovým a podobným organizacím ve vývojové řadě 20</w:t>
      </w:r>
      <w:r w:rsidR="0086592B" w:rsidRPr="00DA3260">
        <w:rPr>
          <w:u w:val="single"/>
        </w:rPr>
        <w:t>1</w:t>
      </w:r>
      <w:r w:rsidR="00DA3260" w:rsidRPr="00DA3260">
        <w:rPr>
          <w:u w:val="single"/>
        </w:rPr>
        <w:t>5</w:t>
      </w:r>
      <w:r w:rsidRPr="00DA3260">
        <w:rPr>
          <w:u w:val="single"/>
        </w:rPr>
        <w:t xml:space="preserve"> – 201</w:t>
      </w:r>
      <w:r w:rsidR="00DA3260" w:rsidRPr="00DA3260">
        <w:rPr>
          <w:u w:val="single"/>
        </w:rPr>
        <w:t>9</w:t>
      </w:r>
      <w:r w:rsidR="0086592B" w:rsidRPr="00DA3260">
        <w:t xml:space="preserve"> </w:t>
      </w:r>
      <w:r w:rsidRPr="00DA3260">
        <w:t>je obsažen</w:t>
      </w:r>
      <w:r w:rsidR="00943944" w:rsidRPr="00DA3260">
        <w:t>o v příloze č. 3 (strana č. 2).</w:t>
      </w:r>
      <w:r w:rsidR="00437450" w:rsidRPr="00DA3260">
        <w:t xml:space="preserve"> </w:t>
      </w:r>
      <w:r w:rsidR="00A1306C" w:rsidRPr="00DA3260">
        <w:t>T</w:t>
      </w:r>
      <w:r w:rsidR="005D13F5" w:rsidRPr="00DA3260">
        <w:t>ransfery občanským sdružením</w:t>
      </w:r>
      <w:r w:rsidR="0086592B" w:rsidRPr="00DA3260">
        <w:t>, resp. spolkům</w:t>
      </w:r>
      <w:r w:rsidR="00AF23B1" w:rsidRPr="00DA3260">
        <w:t xml:space="preserve"> v oblasti civilního letectví</w:t>
      </w:r>
      <w:r w:rsidR="005D13F5" w:rsidRPr="00DA3260">
        <w:t xml:space="preserve"> </w:t>
      </w:r>
      <w:r w:rsidR="00A1306C" w:rsidRPr="00DA3260">
        <w:t>vykazují</w:t>
      </w:r>
      <w:r w:rsidR="00353FB9" w:rsidRPr="00DA3260">
        <w:t xml:space="preserve"> </w:t>
      </w:r>
      <w:r w:rsidR="00DA3260">
        <w:t xml:space="preserve">od roku 2015 spíše mírně vzrůstající trend. </w:t>
      </w:r>
      <w:r w:rsidR="00DA3260" w:rsidRPr="00DA3260">
        <w:t>Od roku 2011 jsou poskytovány transfery spolkům a obecně prospěšným společnostem v rámci  programového financovaní, konkrétně v programu 127 64 „Podpora obnovy historických železničních kolejových vozidel“ a posléze v programu 127 66 „Podpora obnovy historických železničních kolejových vozidel v období 2017-2020“. Výše těchto transferů záleží n</w:t>
      </w:r>
      <w:r w:rsidR="00851910">
        <w:t xml:space="preserve">a počtu </w:t>
      </w:r>
      <w:r w:rsidR="00DA3260" w:rsidRPr="00DA3260">
        <w:t>a kvalitě předložených projektů.</w:t>
      </w:r>
      <w:r w:rsidR="001218FD" w:rsidRPr="004B11AC">
        <w:rPr>
          <w:color w:val="FF0000"/>
        </w:rPr>
        <w:t xml:space="preserve"> </w:t>
      </w:r>
    </w:p>
    <w:p w14:paraId="1ED4EF36" w14:textId="77777777" w:rsidR="001D5020" w:rsidRPr="00D71675" w:rsidRDefault="001D5020" w:rsidP="00121BA0">
      <w:pPr>
        <w:pStyle w:val="Nadpis3"/>
      </w:pPr>
      <w:bookmarkStart w:id="361" w:name="_Toc255297642"/>
      <w:bookmarkStart w:id="362" w:name="_Toc256066173"/>
      <w:bookmarkStart w:id="363" w:name="_Toc413413662"/>
      <w:bookmarkStart w:id="364" w:name="_Toc508879871"/>
      <w:bookmarkStart w:id="365" w:name="_Toc508880147"/>
      <w:bookmarkStart w:id="366" w:name="_Toc1376821"/>
      <w:bookmarkStart w:id="367" w:name="_Toc34286467"/>
      <w:r w:rsidRPr="00D71675">
        <w:lastRenderedPageBreak/>
        <w:t>Neinvestiční transfery do zahraničí</w:t>
      </w:r>
      <w:bookmarkEnd w:id="361"/>
      <w:bookmarkEnd w:id="362"/>
      <w:bookmarkEnd w:id="363"/>
      <w:bookmarkEnd w:id="364"/>
      <w:bookmarkEnd w:id="365"/>
      <w:bookmarkEnd w:id="366"/>
      <w:bookmarkEnd w:id="367"/>
    </w:p>
    <w:p w14:paraId="69E9BB76" w14:textId="77777777" w:rsidR="002559A7" w:rsidRPr="00D71675" w:rsidRDefault="00633932" w:rsidP="00DB2320">
      <w:pPr>
        <w:keepNext/>
        <w:ind w:left="357" w:right="1"/>
        <w:jc w:val="right"/>
      </w:pPr>
      <w:r w:rsidRPr="00D71675">
        <w:t xml:space="preserve">                                                                                                                            </w:t>
      </w:r>
      <w:r w:rsidR="006B3C38" w:rsidRPr="00D71675">
        <w:t xml:space="preserve">         </w:t>
      </w:r>
      <w:r w:rsidR="002177CB" w:rsidRPr="00D71675">
        <w:t xml:space="preserve"> </w:t>
      </w:r>
      <w:r w:rsidR="002559A7" w:rsidRPr="00D71675">
        <w:t>v tis. Kč</w:t>
      </w:r>
    </w:p>
    <w:tbl>
      <w:tblPr>
        <w:tblW w:w="918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5"/>
        <w:gridCol w:w="1247"/>
        <w:gridCol w:w="1247"/>
        <w:gridCol w:w="1247"/>
        <w:gridCol w:w="1247"/>
        <w:gridCol w:w="850"/>
      </w:tblGrid>
      <w:tr w:rsidR="00D71675" w:rsidRPr="000D77C8" w14:paraId="2955E315" w14:textId="77777777" w:rsidTr="00C0463D">
        <w:trPr>
          <w:tblHeader/>
        </w:trPr>
        <w:tc>
          <w:tcPr>
            <w:tcW w:w="3345" w:type="dxa"/>
            <w:vAlign w:val="center"/>
          </w:tcPr>
          <w:p w14:paraId="46C99DB2" w14:textId="77777777" w:rsidR="00D71675" w:rsidRPr="00C24EF1" w:rsidRDefault="00D71675" w:rsidP="00D71675">
            <w:pPr>
              <w:jc w:val="center"/>
              <w:rPr>
                <w:sz w:val="22"/>
                <w:szCs w:val="22"/>
              </w:rPr>
            </w:pPr>
            <w:r w:rsidRPr="00C24EF1">
              <w:rPr>
                <w:sz w:val="22"/>
                <w:szCs w:val="22"/>
              </w:rPr>
              <w:t>Název ukazatele</w:t>
            </w:r>
          </w:p>
        </w:tc>
        <w:tc>
          <w:tcPr>
            <w:tcW w:w="1247" w:type="dxa"/>
            <w:vAlign w:val="center"/>
          </w:tcPr>
          <w:p w14:paraId="3FB38ADC" w14:textId="77777777" w:rsidR="00D71675" w:rsidRPr="00C24EF1" w:rsidRDefault="00D71675" w:rsidP="00D71675">
            <w:pPr>
              <w:jc w:val="center"/>
              <w:rPr>
                <w:sz w:val="22"/>
              </w:rPr>
            </w:pPr>
            <w:r w:rsidRPr="00C24EF1">
              <w:rPr>
                <w:sz w:val="22"/>
              </w:rPr>
              <w:t>Skutečnost</w:t>
            </w:r>
          </w:p>
          <w:p w14:paraId="65E2E18D" w14:textId="77777777" w:rsidR="00D71675" w:rsidRPr="00C24EF1" w:rsidRDefault="00D71675" w:rsidP="00D71675">
            <w:pPr>
              <w:jc w:val="center"/>
              <w:rPr>
                <w:sz w:val="22"/>
                <w:szCs w:val="22"/>
              </w:rPr>
            </w:pPr>
            <w:r w:rsidRPr="00C24EF1">
              <w:rPr>
                <w:sz w:val="22"/>
              </w:rPr>
              <w:t>2018</w:t>
            </w:r>
          </w:p>
        </w:tc>
        <w:tc>
          <w:tcPr>
            <w:tcW w:w="1247" w:type="dxa"/>
            <w:vAlign w:val="center"/>
          </w:tcPr>
          <w:p w14:paraId="4BF3D0F0" w14:textId="77777777" w:rsidR="00D71675" w:rsidRPr="00C24EF1" w:rsidRDefault="00D71675" w:rsidP="00D71675">
            <w:pPr>
              <w:jc w:val="center"/>
              <w:rPr>
                <w:sz w:val="22"/>
                <w:szCs w:val="22"/>
              </w:rPr>
            </w:pPr>
            <w:r w:rsidRPr="00C24EF1">
              <w:rPr>
                <w:sz w:val="22"/>
                <w:szCs w:val="22"/>
              </w:rPr>
              <w:t>Schválený rozpočet</w:t>
            </w:r>
          </w:p>
          <w:p w14:paraId="63A3648C" w14:textId="77777777" w:rsidR="00D71675" w:rsidRPr="00C24EF1" w:rsidRDefault="00D71675" w:rsidP="00D71675">
            <w:pPr>
              <w:jc w:val="center"/>
              <w:rPr>
                <w:sz w:val="22"/>
                <w:szCs w:val="22"/>
              </w:rPr>
            </w:pPr>
            <w:r w:rsidRPr="00C24EF1">
              <w:rPr>
                <w:sz w:val="22"/>
                <w:szCs w:val="22"/>
              </w:rPr>
              <w:t>2019</w:t>
            </w:r>
          </w:p>
        </w:tc>
        <w:tc>
          <w:tcPr>
            <w:tcW w:w="1247" w:type="dxa"/>
            <w:vAlign w:val="center"/>
          </w:tcPr>
          <w:p w14:paraId="0E553524" w14:textId="77777777" w:rsidR="00D71675" w:rsidRPr="00C24EF1" w:rsidRDefault="00D71675" w:rsidP="00D71675">
            <w:pPr>
              <w:jc w:val="center"/>
              <w:rPr>
                <w:sz w:val="22"/>
                <w:szCs w:val="22"/>
              </w:rPr>
            </w:pPr>
            <w:r w:rsidRPr="00C24EF1">
              <w:rPr>
                <w:sz w:val="22"/>
                <w:szCs w:val="22"/>
              </w:rPr>
              <w:t>Upravený rozpočet</w:t>
            </w:r>
          </w:p>
          <w:p w14:paraId="75E4573A" w14:textId="77777777" w:rsidR="00D71675" w:rsidRPr="00C24EF1" w:rsidRDefault="00D71675" w:rsidP="00D71675">
            <w:pPr>
              <w:jc w:val="center"/>
              <w:rPr>
                <w:sz w:val="22"/>
                <w:szCs w:val="22"/>
              </w:rPr>
            </w:pPr>
            <w:r w:rsidRPr="00C24EF1">
              <w:rPr>
                <w:sz w:val="22"/>
                <w:szCs w:val="22"/>
              </w:rPr>
              <w:t>2019</w:t>
            </w:r>
          </w:p>
        </w:tc>
        <w:tc>
          <w:tcPr>
            <w:tcW w:w="1247" w:type="dxa"/>
            <w:vAlign w:val="center"/>
          </w:tcPr>
          <w:p w14:paraId="53F35244" w14:textId="77777777" w:rsidR="00D71675" w:rsidRPr="00C24EF1" w:rsidRDefault="00D71675" w:rsidP="00D71675">
            <w:pPr>
              <w:jc w:val="center"/>
              <w:rPr>
                <w:sz w:val="22"/>
                <w:szCs w:val="22"/>
              </w:rPr>
            </w:pPr>
            <w:r w:rsidRPr="00C24EF1">
              <w:rPr>
                <w:sz w:val="22"/>
                <w:szCs w:val="22"/>
              </w:rPr>
              <w:t>Skute</w:t>
            </w:r>
            <w:r>
              <w:rPr>
                <w:sz w:val="22"/>
                <w:szCs w:val="22"/>
              </w:rPr>
              <w:t xml:space="preserve">čnost </w:t>
            </w:r>
            <w:r w:rsidRPr="00C24EF1">
              <w:rPr>
                <w:sz w:val="22"/>
                <w:szCs w:val="22"/>
              </w:rPr>
              <w:t>2019</w:t>
            </w:r>
          </w:p>
        </w:tc>
        <w:tc>
          <w:tcPr>
            <w:tcW w:w="850" w:type="dxa"/>
          </w:tcPr>
          <w:p w14:paraId="38A7E0D5" w14:textId="77777777" w:rsidR="00D71675" w:rsidRPr="00C24EF1" w:rsidRDefault="00D71675" w:rsidP="00D71675">
            <w:pPr>
              <w:jc w:val="center"/>
              <w:rPr>
                <w:sz w:val="22"/>
              </w:rPr>
            </w:pPr>
            <w:r w:rsidRPr="00C24EF1">
              <w:rPr>
                <w:sz w:val="22"/>
              </w:rPr>
              <w:t>Index</w:t>
            </w:r>
          </w:p>
          <w:p w14:paraId="1B6914F6" w14:textId="77777777" w:rsidR="00D71675" w:rsidRPr="00C24EF1" w:rsidRDefault="00D71675" w:rsidP="00D71675">
            <w:pPr>
              <w:jc w:val="center"/>
              <w:rPr>
                <w:sz w:val="22"/>
                <w:szCs w:val="22"/>
              </w:rPr>
            </w:pPr>
            <w:r w:rsidRPr="00C24EF1">
              <w:rPr>
                <w:sz w:val="22"/>
              </w:rPr>
              <w:t>19/18         (v %)</w:t>
            </w:r>
          </w:p>
        </w:tc>
      </w:tr>
      <w:tr w:rsidR="00D71675" w:rsidRPr="000D77C8" w14:paraId="744BA283" w14:textId="77777777" w:rsidTr="00C0463D">
        <w:trPr>
          <w:tblHeader/>
        </w:trPr>
        <w:tc>
          <w:tcPr>
            <w:tcW w:w="3345" w:type="dxa"/>
            <w:tcBorders>
              <w:top w:val="single" w:sz="4" w:space="0" w:color="auto"/>
              <w:bottom w:val="single" w:sz="4" w:space="0" w:color="auto"/>
              <w:right w:val="single" w:sz="4" w:space="0" w:color="auto"/>
            </w:tcBorders>
          </w:tcPr>
          <w:p w14:paraId="5EF55B91" w14:textId="77777777" w:rsidR="00D71675" w:rsidRPr="00C24EF1" w:rsidRDefault="00D71675" w:rsidP="00D71675">
            <w:pPr>
              <w:jc w:val="center"/>
              <w:rPr>
                <w:sz w:val="22"/>
              </w:rPr>
            </w:pPr>
            <w:r w:rsidRPr="00C24EF1">
              <w:rPr>
                <w:sz w:val="22"/>
              </w:rPr>
              <w:t>a</w:t>
            </w:r>
          </w:p>
        </w:tc>
        <w:tc>
          <w:tcPr>
            <w:tcW w:w="1247" w:type="dxa"/>
            <w:tcBorders>
              <w:top w:val="single" w:sz="4" w:space="0" w:color="auto"/>
              <w:bottom w:val="single" w:sz="4" w:space="0" w:color="auto"/>
              <w:right w:val="single" w:sz="4" w:space="0" w:color="auto"/>
            </w:tcBorders>
          </w:tcPr>
          <w:p w14:paraId="05C6B9B3" w14:textId="77777777" w:rsidR="00D71675" w:rsidRPr="00C24EF1" w:rsidRDefault="00D71675" w:rsidP="00D71675">
            <w:pPr>
              <w:jc w:val="center"/>
              <w:rPr>
                <w:sz w:val="22"/>
              </w:rPr>
            </w:pPr>
            <w:r w:rsidRPr="00C24EF1">
              <w:rPr>
                <w:sz w:val="22"/>
              </w:rPr>
              <w:t>1</w:t>
            </w:r>
          </w:p>
        </w:tc>
        <w:tc>
          <w:tcPr>
            <w:tcW w:w="1247" w:type="dxa"/>
            <w:tcBorders>
              <w:top w:val="single" w:sz="4" w:space="0" w:color="auto"/>
              <w:left w:val="single" w:sz="4" w:space="0" w:color="auto"/>
              <w:bottom w:val="single" w:sz="4" w:space="0" w:color="auto"/>
              <w:right w:val="single" w:sz="4" w:space="0" w:color="auto"/>
            </w:tcBorders>
          </w:tcPr>
          <w:p w14:paraId="33CEAA58" w14:textId="77777777" w:rsidR="00D71675" w:rsidRPr="00C24EF1" w:rsidRDefault="00D71675" w:rsidP="00D71675">
            <w:pPr>
              <w:jc w:val="center"/>
              <w:rPr>
                <w:sz w:val="22"/>
              </w:rPr>
            </w:pPr>
            <w:r w:rsidRPr="00C24EF1">
              <w:rPr>
                <w:sz w:val="22"/>
              </w:rPr>
              <w:t>2</w:t>
            </w:r>
          </w:p>
        </w:tc>
        <w:tc>
          <w:tcPr>
            <w:tcW w:w="1247" w:type="dxa"/>
            <w:tcBorders>
              <w:top w:val="single" w:sz="4" w:space="0" w:color="auto"/>
              <w:left w:val="single" w:sz="4" w:space="0" w:color="auto"/>
              <w:bottom w:val="single" w:sz="4" w:space="0" w:color="auto"/>
              <w:right w:val="single" w:sz="4" w:space="0" w:color="auto"/>
            </w:tcBorders>
          </w:tcPr>
          <w:p w14:paraId="1A69D327" w14:textId="77777777" w:rsidR="00D71675" w:rsidRPr="00C24EF1" w:rsidRDefault="00D71675" w:rsidP="00D71675">
            <w:pPr>
              <w:jc w:val="center"/>
              <w:rPr>
                <w:sz w:val="22"/>
              </w:rPr>
            </w:pPr>
            <w:r w:rsidRPr="00C24EF1">
              <w:rPr>
                <w:sz w:val="22"/>
              </w:rPr>
              <w:t>3</w:t>
            </w:r>
          </w:p>
        </w:tc>
        <w:tc>
          <w:tcPr>
            <w:tcW w:w="1247" w:type="dxa"/>
            <w:tcBorders>
              <w:top w:val="single" w:sz="4" w:space="0" w:color="auto"/>
              <w:left w:val="single" w:sz="4" w:space="0" w:color="auto"/>
              <w:bottom w:val="single" w:sz="4" w:space="0" w:color="auto"/>
              <w:right w:val="single" w:sz="4" w:space="0" w:color="auto"/>
            </w:tcBorders>
          </w:tcPr>
          <w:p w14:paraId="68D64932" w14:textId="77777777" w:rsidR="00D71675" w:rsidRPr="00C24EF1" w:rsidRDefault="00D71675" w:rsidP="00D71675">
            <w:pPr>
              <w:jc w:val="center"/>
              <w:rPr>
                <w:sz w:val="22"/>
              </w:rPr>
            </w:pPr>
            <w:r w:rsidRPr="00C24EF1">
              <w:rPr>
                <w:sz w:val="22"/>
              </w:rPr>
              <w:t>4</w:t>
            </w:r>
          </w:p>
        </w:tc>
        <w:tc>
          <w:tcPr>
            <w:tcW w:w="850" w:type="dxa"/>
            <w:tcBorders>
              <w:top w:val="single" w:sz="4" w:space="0" w:color="auto"/>
              <w:left w:val="single" w:sz="4" w:space="0" w:color="auto"/>
              <w:bottom w:val="single" w:sz="4" w:space="0" w:color="auto"/>
            </w:tcBorders>
          </w:tcPr>
          <w:p w14:paraId="7FC2EEAF" w14:textId="77777777" w:rsidR="00D71675" w:rsidRPr="00C24EF1" w:rsidRDefault="00D71675" w:rsidP="00D71675">
            <w:pPr>
              <w:jc w:val="center"/>
              <w:rPr>
                <w:sz w:val="22"/>
              </w:rPr>
            </w:pPr>
            <w:r w:rsidRPr="00C24EF1">
              <w:rPr>
                <w:sz w:val="22"/>
              </w:rPr>
              <w:t>6</w:t>
            </w:r>
          </w:p>
        </w:tc>
      </w:tr>
      <w:tr w:rsidR="00D71675" w:rsidRPr="000D77C8" w14:paraId="5A9D358E" w14:textId="77777777" w:rsidTr="00C0463D">
        <w:trPr>
          <w:trHeight w:val="340"/>
          <w:tblHeader/>
        </w:trPr>
        <w:tc>
          <w:tcPr>
            <w:tcW w:w="3345" w:type="dxa"/>
            <w:tcBorders>
              <w:top w:val="single" w:sz="4" w:space="0" w:color="auto"/>
              <w:left w:val="single" w:sz="4" w:space="0" w:color="auto"/>
              <w:bottom w:val="nil"/>
              <w:right w:val="single" w:sz="4" w:space="0" w:color="auto"/>
            </w:tcBorders>
            <w:vAlign w:val="center"/>
          </w:tcPr>
          <w:p w14:paraId="14A66E02" w14:textId="77777777" w:rsidR="00D71675" w:rsidRPr="00C24EF1" w:rsidRDefault="00D71675" w:rsidP="00D71675">
            <w:pPr>
              <w:rPr>
                <w:b/>
                <w:sz w:val="20"/>
                <w:szCs w:val="20"/>
              </w:rPr>
            </w:pPr>
            <w:r w:rsidRPr="00C24EF1">
              <w:rPr>
                <w:b/>
                <w:sz w:val="20"/>
                <w:szCs w:val="20"/>
              </w:rPr>
              <w:t>Neinvestiční transfery do zahraničí</w:t>
            </w:r>
          </w:p>
        </w:tc>
        <w:tc>
          <w:tcPr>
            <w:tcW w:w="1247" w:type="dxa"/>
            <w:tcBorders>
              <w:top w:val="single" w:sz="4" w:space="0" w:color="auto"/>
              <w:left w:val="single" w:sz="4" w:space="0" w:color="auto"/>
              <w:bottom w:val="nil"/>
              <w:right w:val="single" w:sz="4" w:space="0" w:color="auto"/>
            </w:tcBorders>
            <w:vAlign w:val="center"/>
          </w:tcPr>
          <w:p w14:paraId="4FD7044A" w14:textId="77777777" w:rsidR="00D71675" w:rsidRPr="000D77C8" w:rsidRDefault="00D71675" w:rsidP="00D71675">
            <w:pPr>
              <w:jc w:val="right"/>
              <w:rPr>
                <w:b/>
                <w:color w:val="FF0000"/>
                <w:sz w:val="20"/>
                <w:szCs w:val="20"/>
              </w:rPr>
            </w:pPr>
            <w:r w:rsidRPr="00F4605B">
              <w:rPr>
                <w:b/>
                <w:sz w:val="20"/>
                <w:szCs w:val="20"/>
              </w:rPr>
              <w:t>940 200</w:t>
            </w:r>
          </w:p>
        </w:tc>
        <w:tc>
          <w:tcPr>
            <w:tcW w:w="1247" w:type="dxa"/>
            <w:tcBorders>
              <w:top w:val="single" w:sz="4" w:space="0" w:color="auto"/>
              <w:left w:val="single" w:sz="4" w:space="0" w:color="auto"/>
              <w:bottom w:val="nil"/>
              <w:right w:val="single" w:sz="4" w:space="0" w:color="auto"/>
            </w:tcBorders>
            <w:vAlign w:val="center"/>
          </w:tcPr>
          <w:p w14:paraId="06CC6241" w14:textId="77777777" w:rsidR="00D71675" w:rsidRPr="00F4605B" w:rsidRDefault="00D71675" w:rsidP="00D71675">
            <w:pPr>
              <w:jc w:val="right"/>
              <w:rPr>
                <w:b/>
                <w:sz w:val="20"/>
                <w:szCs w:val="20"/>
              </w:rPr>
            </w:pPr>
            <w:r w:rsidRPr="00F4605B">
              <w:rPr>
                <w:b/>
                <w:sz w:val="20"/>
                <w:szCs w:val="20"/>
              </w:rPr>
              <w:t>954 275</w:t>
            </w:r>
          </w:p>
        </w:tc>
        <w:tc>
          <w:tcPr>
            <w:tcW w:w="1247" w:type="dxa"/>
            <w:tcBorders>
              <w:top w:val="single" w:sz="4" w:space="0" w:color="auto"/>
              <w:left w:val="single" w:sz="4" w:space="0" w:color="auto"/>
              <w:bottom w:val="nil"/>
              <w:right w:val="single" w:sz="4" w:space="0" w:color="auto"/>
            </w:tcBorders>
            <w:vAlign w:val="center"/>
          </w:tcPr>
          <w:p w14:paraId="69E20325" w14:textId="77777777" w:rsidR="00D71675" w:rsidRPr="000D77C8" w:rsidRDefault="00D71675" w:rsidP="00D71675">
            <w:pPr>
              <w:jc w:val="right"/>
              <w:rPr>
                <w:b/>
                <w:color w:val="FF0000"/>
                <w:sz w:val="20"/>
                <w:szCs w:val="20"/>
              </w:rPr>
            </w:pPr>
            <w:r w:rsidRPr="00F4605B">
              <w:rPr>
                <w:b/>
                <w:sz w:val="20"/>
                <w:szCs w:val="20"/>
              </w:rPr>
              <w:t>953 344</w:t>
            </w:r>
          </w:p>
        </w:tc>
        <w:tc>
          <w:tcPr>
            <w:tcW w:w="1247" w:type="dxa"/>
            <w:tcBorders>
              <w:top w:val="single" w:sz="4" w:space="0" w:color="auto"/>
              <w:left w:val="single" w:sz="4" w:space="0" w:color="auto"/>
              <w:bottom w:val="nil"/>
              <w:right w:val="single" w:sz="4" w:space="0" w:color="auto"/>
            </w:tcBorders>
            <w:vAlign w:val="center"/>
          </w:tcPr>
          <w:p w14:paraId="1E9F90BD" w14:textId="77777777" w:rsidR="00D71675" w:rsidRPr="00F4605B" w:rsidRDefault="00D71675" w:rsidP="00D71675">
            <w:pPr>
              <w:jc w:val="right"/>
              <w:rPr>
                <w:b/>
                <w:sz w:val="20"/>
                <w:szCs w:val="20"/>
              </w:rPr>
            </w:pPr>
            <w:r w:rsidRPr="00F4605B">
              <w:rPr>
                <w:b/>
                <w:sz w:val="20"/>
                <w:szCs w:val="20"/>
              </w:rPr>
              <w:t>941 977</w:t>
            </w:r>
          </w:p>
        </w:tc>
        <w:tc>
          <w:tcPr>
            <w:tcW w:w="850" w:type="dxa"/>
            <w:tcBorders>
              <w:top w:val="single" w:sz="4" w:space="0" w:color="auto"/>
              <w:left w:val="single" w:sz="4" w:space="0" w:color="auto"/>
              <w:bottom w:val="nil"/>
              <w:right w:val="single" w:sz="4" w:space="0" w:color="auto"/>
            </w:tcBorders>
            <w:vAlign w:val="center"/>
          </w:tcPr>
          <w:p w14:paraId="6A806485" w14:textId="77777777" w:rsidR="00D71675" w:rsidRPr="000D77C8" w:rsidRDefault="00D71675" w:rsidP="00D71675">
            <w:pPr>
              <w:jc w:val="right"/>
              <w:rPr>
                <w:b/>
                <w:color w:val="FF0000"/>
                <w:sz w:val="20"/>
                <w:szCs w:val="20"/>
              </w:rPr>
            </w:pPr>
            <w:r w:rsidRPr="00F4605B">
              <w:rPr>
                <w:b/>
                <w:sz w:val="20"/>
                <w:szCs w:val="20"/>
              </w:rPr>
              <w:t>100,19</w:t>
            </w:r>
          </w:p>
        </w:tc>
      </w:tr>
      <w:tr w:rsidR="00D71675" w:rsidRPr="000D77C8" w14:paraId="2648B17E" w14:textId="77777777" w:rsidTr="00C0463D">
        <w:trPr>
          <w:trHeight w:val="227"/>
          <w:tblHeader/>
        </w:trPr>
        <w:tc>
          <w:tcPr>
            <w:tcW w:w="3345" w:type="dxa"/>
            <w:tcBorders>
              <w:top w:val="nil"/>
              <w:left w:val="single" w:sz="4" w:space="0" w:color="auto"/>
              <w:bottom w:val="nil"/>
              <w:right w:val="single" w:sz="4" w:space="0" w:color="auto"/>
            </w:tcBorders>
            <w:vAlign w:val="center"/>
          </w:tcPr>
          <w:p w14:paraId="5C1C705C" w14:textId="77777777" w:rsidR="00D71675" w:rsidRPr="00C24EF1" w:rsidRDefault="00D71675" w:rsidP="00D71675">
            <w:pPr>
              <w:rPr>
                <w:sz w:val="20"/>
                <w:szCs w:val="20"/>
              </w:rPr>
            </w:pPr>
            <w:r w:rsidRPr="00C24EF1">
              <w:rPr>
                <w:sz w:val="20"/>
                <w:szCs w:val="20"/>
              </w:rPr>
              <w:t>v tom:</w:t>
            </w:r>
          </w:p>
        </w:tc>
        <w:tc>
          <w:tcPr>
            <w:tcW w:w="1247" w:type="dxa"/>
            <w:tcBorders>
              <w:top w:val="nil"/>
              <w:left w:val="single" w:sz="4" w:space="0" w:color="auto"/>
              <w:bottom w:val="nil"/>
              <w:right w:val="single" w:sz="4" w:space="0" w:color="auto"/>
            </w:tcBorders>
            <w:vAlign w:val="center"/>
          </w:tcPr>
          <w:p w14:paraId="4A0F6937" w14:textId="77777777" w:rsidR="00D71675" w:rsidRPr="000D77C8" w:rsidRDefault="00D71675" w:rsidP="00D71675">
            <w:pPr>
              <w:jc w:val="right"/>
              <w:rPr>
                <w:color w:val="FF0000"/>
                <w:sz w:val="20"/>
                <w:szCs w:val="20"/>
              </w:rPr>
            </w:pPr>
          </w:p>
        </w:tc>
        <w:tc>
          <w:tcPr>
            <w:tcW w:w="1247" w:type="dxa"/>
            <w:tcBorders>
              <w:top w:val="nil"/>
              <w:left w:val="single" w:sz="4" w:space="0" w:color="auto"/>
              <w:bottom w:val="nil"/>
              <w:right w:val="single" w:sz="4" w:space="0" w:color="auto"/>
            </w:tcBorders>
            <w:vAlign w:val="center"/>
          </w:tcPr>
          <w:p w14:paraId="4C443D1E" w14:textId="77777777" w:rsidR="00D71675" w:rsidRPr="000D77C8" w:rsidRDefault="00D71675" w:rsidP="00D71675">
            <w:pPr>
              <w:jc w:val="right"/>
              <w:rPr>
                <w:color w:val="FF0000"/>
                <w:sz w:val="20"/>
                <w:szCs w:val="20"/>
              </w:rPr>
            </w:pPr>
          </w:p>
        </w:tc>
        <w:tc>
          <w:tcPr>
            <w:tcW w:w="1247" w:type="dxa"/>
            <w:tcBorders>
              <w:top w:val="nil"/>
              <w:left w:val="single" w:sz="4" w:space="0" w:color="auto"/>
              <w:bottom w:val="nil"/>
              <w:right w:val="single" w:sz="4" w:space="0" w:color="auto"/>
            </w:tcBorders>
            <w:vAlign w:val="center"/>
          </w:tcPr>
          <w:p w14:paraId="70E99571" w14:textId="77777777" w:rsidR="00D71675" w:rsidRPr="000D77C8" w:rsidRDefault="00D71675" w:rsidP="00D71675">
            <w:pPr>
              <w:jc w:val="right"/>
              <w:rPr>
                <w:color w:val="FF0000"/>
                <w:sz w:val="20"/>
                <w:szCs w:val="20"/>
              </w:rPr>
            </w:pPr>
          </w:p>
        </w:tc>
        <w:tc>
          <w:tcPr>
            <w:tcW w:w="1247" w:type="dxa"/>
            <w:tcBorders>
              <w:top w:val="nil"/>
              <w:left w:val="single" w:sz="4" w:space="0" w:color="auto"/>
              <w:bottom w:val="nil"/>
              <w:right w:val="single" w:sz="4" w:space="0" w:color="auto"/>
            </w:tcBorders>
            <w:vAlign w:val="center"/>
          </w:tcPr>
          <w:p w14:paraId="4C16FF52" w14:textId="77777777" w:rsidR="00D71675" w:rsidRPr="000D77C8" w:rsidRDefault="00D71675" w:rsidP="00D71675">
            <w:pPr>
              <w:jc w:val="right"/>
              <w:rPr>
                <w:color w:val="FF0000"/>
                <w:sz w:val="20"/>
                <w:szCs w:val="20"/>
              </w:rPr>
            </w:pPr>
          </w:p>
        </w:tc>
        <w:tc>
          <w:tcPr>
            <w:tcW w:w="850" w:type="dxa"/>
            <w:tcBorders>
              <w:top w:val="nil"/>
              <w:left w:val="single" w:sz="4" w:space="0" w:color="auto"/>
              <w:bottom w:val="nil"/>
              <w:right w:val="single" w:sz="4" w:space="0" w:color="auto"/>
            </w:tcBorders>
            <w:vAlign w:val="center"/>
          </w:tcPr>
          <w:p w14:paraId="294DBC97" w14:textId="77777777" w:rsidR="00D71675" w:rsidRPr="000D77C8" w:rsidRDefault="00D71675" w:rsidP="00D71675">
            <w:pPr>
              <w:jc w:val="right"/>
              <w:rPr>
                <w:color w:val="FF0000"/>
                <w:sz w:val="20"/>
                <w:szCs w:val="20"/>
                <w:highlight w:val="yellow"/>
              </w:rPr>
            </w:pPr>
          </w:p>
        </w:tc>
      </w:tr>
      <w:tr w:rsidR="00D71675" w:rsidRPr="000D77C8" w14:paraId="57318F0C" w14:textId="77777777" w:rsidTr="00C0463D">
        <w:trPr>
          <w:trHeight w:val="340"/>
          <w:tblHeader/>
        </w:trPr>
        <w:tc>
          <w:tcPr>
            <w:tcW w:w="3345" w:type="dxa"/>
            <w:tcBorders>
              <w:top w:val="nil"/>
              <w:left w:val="single" w:sz="4" w:space="0" w:color="auto"/>
              <w:bottom w:val="nil"/>
              <w:right w:val="single" w:sz="4" w:space="0" w:color="auto"/>
            </w:tcBorders>
            <w:vAlign w:val="center"/>
          </w:tcPr>
          <w:p w14:paraId="4DCDF0EF" w14:textId="77777777" w:rsidR="00D71675" w:rsidRPr="00C24EF1" w:rsidRDefault="00D71675" w:rsidP="00D71675">
            <w:pPr>
              <w:rPr>
                <w:sz w:val="20"/>
                <w:szCs w:val="20"/>
              </w:rPr>
            </w:pPr>
            <w:r w:rsidRPr="00C24EF1">
              <w:rPr>
                <w:sz w:val="20"/>
                <w:szCs w:val="20"/>
              </w:rPr>
              <w:t>Neinv. transfery mezinár. vládním org.</w:t>
            </w:r>
          </w:p>
        </w:tc>
        <w:tc>
          <w:tcPr>
            <w:tcW w:w="1247" w:type="dxa"/>
            <w:tcBorders>
              <w:top w:val="nil"/>
              <w:left w:val="single" w:sz="4" w:space="0" w:color="auto"/>
              <w:bottom w:val="nil"/>
              <w:right w:val="single" w:sz="4" w:space="0" w:color="auto"/>
            </w:tcBorders>
            <w:vAlign w:val="center"/>
          </w:tcPr>
          <w:p w14:paraId="70A0E992" w14:textId="77777777" w:rsidR="00D71675" w:rsidRPr="000D77C8" w:rsidRDefault="00D71675" w:rsidP="00D71675">
            <w:pPr>
              <w:jc w:val="right"/>
              <w:rPr>
                <w:color w:val="FF0000"/>
                <w:sz w:val="20"/>
                <w:szCs w:val="20"/>
              </w:rPr>
            </w:pPr>
            <w:r w:rsidRPr="00F4605B">
              <w:rPr>
                <w:sz w:val="20"/>
                <w:szCs w:val="20"/>
              </w:rPr>
              <w:t>939 557</w:t>
            </w:r>
          </w:p>
        </w:tc>
        <w:tc>
          <w:tcPr>
            <w:tcW w:w="1247" w:type="dxa"/>
            <w:tcBorders>
              <w:top w:val="nil"/>
              <w:left w:val="single" w:sz="4" w:space="0" w:color="auto"/>
              <w:bottom w:val="nil"/>
              <w:right w:val="single" w:sz="4" w:space="0" w:color="auto"/>
            </w:tcBorders>
            <w:vAlign w:val="center"/>
          </w:tcPr>
          <w:p w14:paraId="682D83B1" w14:textId="77777777" w:rsidR="00D71675" w:rsidRPr="00F4605B" w:rsidRDefault="00D71675" w:rsidP="00D71675">
            <w:pPr>
              <w:jc w:val="right"/>
              <w:rPr>
                <w:sz w:val="20"/>
                <w:szCs w:val="20"/>
              </w:rPr>
            </w:pPr>
            <w:r w:rsidRPr="00F4605B">
              <w:rPr>
                <w:sz w:val="20"/>
                <w:szCs w:val="20"/>
              </w:rPr>
              <w:t>954 066</w:t>
            </w:r>
          </w:p>
        </w:tc>
        <w:tc>
          <w:tcPr>
            <w:tcW w:w="1247" w:type="dxa"/>
            <w:tcBorders>
              <w:top w:val="nil"/>
              <w:left w:val="single" w:sz="4" w:space="0" w:color="auto"/>
              <w:bottom w:val="nil"/>
              <w:right w:val="single" w:sz="4" w:space="0" w:color="auto"/>
            </w:tcBorders>
            <w:vAlign w:val="center"/>
          </w:tcPr>
          <w:p w14:paraId="35220EAB" w14:textId="77777777" w:rsidR="00D71675" w:rsidRPr="000D77C8" w:rsidRDefault="00D71675" w:rsidP="00D71675">
            <w:pPr>
              <w:jc w:val="right"/>
              <w:rPr>
                <w:color w:val="FF0000"/>
                <w:sz w:val="20"/>
                <w:szCs w:val="20"/>
              </w:rPr>
            </w:pPr>
            <w:r w:rsidRPr="00F4605B">
              <w:rPr>
                <w:sz w:val="20"/>
                <w:szCs w:val="20"/>
              </w:rPr>
              <w:t xml:space="preserve">950 609 </w:t>
            </w:r>
          </w:p>
        </w:tc>
        <w:tc>
          <w:tcPr>
            <w:tcW w:w="1247" w:type="dxa"/>
            <w:tcBorders>
              <w:top w:val="nil"/>
              <w:left w:val="single" w:sz="4" w:space="0" w:color="auto"/>
              <w:bottom w:val="nil"/>
              <w:right w:val="single" w:sz="4" w:space="0" w:color="auto"/>
            </w:tcBorders>
            <w:vAlign w:val="center"/>
          </w:tcPr>
          <w:p w14:paraId="76998923" w14:textId="77777777" w:rsidR="00D71675" w:rsidRPr="000D77C8" w:rsidRDefault="00D71675" w:rsidP="00D71675">
            <w:pPr>
              <w:jc w:val="right"/>
              <w:rPr>
                <w:color w:val="FF0000"/>
                <w:sz w:val="20"/>
                <w:szCs w:val="20"/>
              </w:rPr>
            </w:pPr>
            <w:r w:rsidRPr="00F4605B">
              <w:rPr>
                <w:sz w:val="20"/>
                <w:szCs w:val="20"/>
              </w:rPr>
              <w:t>939 833</w:t>
            </w:r>
          </w:p>
        </w:tc>
        <w:tc>
          <w:tcPr>
            <w:tcW w:w="850" w:type="dxa"/>
            <w:tcBorders>
              <w:top w:val="nil"/>
              <w:left w:val="single" w:sz="4" w:space="0" w:color="auto"/>
              <w:bottom w:val="nil"/>
              <w:right w:val="single" w:sz="4" w:space="0" w:color="auto"/>
            </w:tcBorders>
            <w:vAlign w:val="center"/>
          </w:tcPr>
          <w:p w14:paraId="7B2F0DCE" w14:textId="77777777" w:rsidR="00D71675" w:rsidRPr="000D77C8" w:rsidRDefault="00D71675" w:rsidP="00D71675">
            <w:pPr>
              <w:jc w:val="right"/>
              <w:rPr>
                <w:color w:val="FF0000"/>
                <w:sz w:val="20"/>
                <w:szCs w:val="20"/>
              </w:rPr>
            </w:pPr>
            <w:r w:rsidRPr="00F4605B">
              <w:rPr>
                <w:sz w:val="20"/>
                <w:szCs w:val="20"/>
              </w:rPr>
              <w:t>100,03</w:t>
            </w:r>
          </w:p>
        </w:tc>
      </w:tr>
      <w:tr w:rsidR="00D71675" w:rsidRPr="000D77C8" w14:paraId="39A86DC2" w14:textId="77777777" w:rsidTr="00C0463D">
        <w:trPr>
          <w:trHeight w:val="340"/>
          <w:tblHeader/>
        </w:trPr>
        <w:tc>
          <w:tcPr>
            <w:tcW w:w="3345" w:type="dxa"/>
            <w:tcBorders>
              <w:top w:val="nil"/>
              <w:left w:val="single" w:sz="4" w:space="0" w:color="auto"/>
              <w:bottom w:val="nil"/>
              <w:right w:val="single" w:sz="4" w:space="0" w:color="auto"/>
            </w:tcBorders>
            <w:vAlign w:val="center"/>
          </w:tcPr>
          <w:p w14:paraId="234998E7" w14:textId="77777777" w:rsidR="00D71675" w:rsidRPr="00C24EF1" w:rsidRDefault="00D71675" w:rsidP="00D71675">
            <w:pPr>
              <w:rPr>
                <w:sz w:val="20"/>
                <w:szCs w:val="20"/>
              </w:rPr>
            </w:pPr>
            <w:r w:rsidRPr="00C24EF1">
              <w:rPr>
                <w:sz w:val="20"/>
                <w:szCs w:val="20"/>
              </w:rPr>
              <w:t>Ostatní neinvestiční transfery do zahr.</w:t>
            </w:r>
          </w:p>
        </w:tc>
        <w:tc>
          <w:tcPr>
            <w:tcW w:w="1247" w:type="dxa"/>
            <w:tcBorders>
              <w:top w:val="nil"/>
              <w:left w:val="single" w:sz="4" w:space="0" w:color="auto"/>
              <w:bottom w:val="nil"/>
              <w:right w:val="single" w:sz="4" w:space="0" w:color="auto"/>
            </w:tcBorders>
            <w:vAlign w:val="center"/>
          </w:tcPr>
          <w:p w14:paraId="597B8BB7" w14:textId="77777777" w:rsidR="00D71675" w:rsidRPr="00F4605B" w:rsidRDefault="00D71675" w:rsidP="00D71675">
            <w:pPr>
              <w:jc w:val="right"/>
              <w:rPr>
                <w:sz w:val="20"/>
                <w:szCs w:val="20"/>
              </w:rPr>
            </w:pPr>
            <w:r w:rsidRPr="00F4605B">
              <w:rPr>
                <w:sz w:val="20"/>
                <w:szCs w:val="20"/>
              </w:rPr>
              <w:t>128</w:t>
            </w:r>
          </w:p>
        </w:tc>
        <w:tc>
          <w:tcPr>
            <w:tcW w:w="1247" w:type="dxa"/>
            <w:tcBorders>
              <w:top w:val="nil"/>
              <w:left w:val="single" w:sz="4" w:space="0" w:color="auto"/>
              <w:bottom w:val="nil"/>
              <w:right w:val="single" w:sz="4" w:space="0" w:color="auto"/>
            </w:tcBorders>
            <w:vAlign w:val="center"/>
          </w:tcPr>
          <w:p w14:paraId="73ABD55A" w14:textId="77777777" w:rsidR="00D71675" w:rsidRPr="00F4605B" w:rsidRDefault="00D71675" w:rsidP="00D71675">
            <w:pPr>
              <w:jc w:val="right"/>
              <w:rPr>
                <w:sz w:val="20"/>
                <w:szCs w:val="20"/>
              </w:rPr>
            </w:pPr>
            <w:r w:rsidRPr="00F4605B">
              <w:rPr>
                <w:sz w:val="20"/>
                <w:szCs w:val="20"/>
              </w:rPr>
              <w:t>149</w:t>
            </w:r>
          </w:p>
        </w:tc>
        <w:tc>
          <w:tcPr>
            <w:tcW w:w="1247" w:type="dxa"/>
            <w:tcBorders>
              <w:top w:val="nil"/>
              <w:left w:val="single" w:sz="4" w:space="0" w:color="auto"/>
              <w:bottom w:val="nil"/>
              <w:right w:val="single" w:sz="4" w:space="0" w:color="auto"/>
            </w:tcBorders>
            <w:vAlign w:val="center"/>
          </w:tcPr>
          <w:p w14:paraId="2224D0CA" w14:textId="77777777" w:rsidR="00D71675" w:rsidRPr="000D77C8" w:rsidRDefault="00D71675" w:rsidP="00D71675">
            <w:pPr>
              <w:jc w:val="right"/>
              <w:rPr>
                <w:color w:val="FF0000"/>
                <w:sz w:val="20"/>
                <w:szCs w:val="20"/>
              </w:rPr>
            </w:pPr>
            <w:r w:rsidRPr="00F4605B">
              <w:rPr>
                <w:sz w:val="20"/>
                <w:szCs w:val="20"/>
              </w:rPr>
              <w:t>149</w:t>
            </w:r>
          </w:p>
        </w:tc>
        <w:tc>
          <w:tcPr>
            <w:tcW w:w="1247" w:type="dxa"/>
            <w:tcBorders>
              <w:top w:val="nil"/>
              <w:left w:val="single" w:sz="4" w:space="0" w:color="auto"/>
              <w:bottom w:val="nil"/>
              <w:right w:val="single" w:sz="4" w:space="0" w:color="auto"/>
            </w:tcBorders>
            <w:vAlign w:val="center"/>
          </w:tcPr>
          <w:p w14:paraId="796A88DB" w14:textId="77777777" w:rsidR="00D71675" w:rsidRPr="000D77C8" w:rsidRDefault="00D71675" w:rsidP="00D71675">
            <w:pPr>
              <w:jc w:val="right"/>
              <w:rPr>
                <w:color w:val="FF0000"/>
                <w:sz w:val="20"/>
                <w:szCs w:val="20"/>
              </w:rPr>
            </w:pPr>
            <w:r w:rsidRPr="00F4605B">
              <w:rPr>
                <w:sz w:val="20"/>
                <w:szCs w:val="20"/>
              </w:rPr>
              <w:t>129</w:t>
            </w:r>
          </w:p>
        </w:tc>
        <w:tc>
          <w:tcPr>
            <w:tcW w:w="850" w:type="dxa"/>
            <w:tcBorders>
              <w:top w:val="nil"/>
              <w:left w:val="single" w:sz="4" w:space="0" w:color="auto"/>
              <w:bottom w:val="nil"/>
              <w:right w:val="single" w:sz="4" w:space="0" w:color="auto"/>
            </w:tcBorders>
            <w:vAlign w:val="center"/>
          </w:tcPr>
          <w:p w14:paraId="07113199" w14:textId="77777777" w:rsidR="00D71675" w:rsidRPr="000D77C8" w:rsidRDefault="00D71675" w:rsidP="00D71675">
            <w:pPr>
              <w:jc w:val="right"/>
              <w:rPr>
                <w:color w:val="FF0000"/>
                <w:sz w:val="20"/>
                <w:szCs w:val="20"/>
              </w:rPr>
            </w:pPr>
            <w:r w:rsidRPr="00F4605B">
              <w:rPr>
                <w:sz w:val="20"/>
                <w:szCs w:val="20"/>
              </w:rPr>
              <w:t>100,78</w:t>
            </w:r>
          </w:p>
        </w:tc>
      </w:tr>
      <w:tr w:rsidR="00D71675" w:rsidRPr="000D77C8" w14:paraId="50F921F1" w14:textId="77777777" w:rsidTr="00C0463D">
        <w:trPr>
          <w:trHeight w:val="340"/>
          <w:tblHeader/>
        </w:trPr>
        <w:tc>
          <w:tcPr>
            <w:tcW w:w="3345" w:type="dxa"/>
            <w:tcBorders>
              <w:top w:val="nil"/>
              <w:left w:val="single" w:sz="4" w:space="0" w:color="auto"/>
              <w:bottom w:val="nil"/>
              <w:right w:val="single" w:sz="4" w:space="0" w:color="auto"/>
            </w:tcBorders>
            <w:vAlign w:val="center"/>
          </w:tcPr>
          <w:p w14:paraId="0D8787A4" w14:textId="77777777" w:rsidR="00D71675" w:rsidRPr="00C24EF1" w:rsidRDefault="00D71675" w:rsidP="00D71675">
            <w:pPr>
              <w:rPr>
                <w:sz w:val="20"/>
                <w:szCs w:val="20"/>
              </w:rPr>
            </w:pPr>
            <w:r w:rsidRPr="00C24EF1">
              <w:rPr>
                <w:sz w:val="20"/>
                <w:szCs w:val="20"/>
              </w:rPr>
              <w:t>Členské přísp. mezinár. vládním org.</w:t>
            </w:r>
          </w:p>
        </w:tc>
        <w:tc>
          <w:tcPr>
            <w:tcW w:w="1247" w:type="dxa"/>
            <w:tcBorders>
              <w:top w:val="nil"/>
              <w:left w:val="single" w:sz="4" w:space="0" w:color="auto"/>
              <w:bottom w:val="nil"/>
              <w:right w:val="single" w:sz="4" w:space="0" w:color="auto"/>
            </w:tcBorders>
            <w:vAlign w:val="center"/>
          </w:tcPr>
          <w:p w14:paraId="236B6217" w14:textId="77777777" w:rsidR="00D71675" w:rsidRPr="00F4605B" w:rsidRDefault="00D71675" w:rsidP="00D71675">
            <w:pPr>
              <w:jc w:val="right"/>
              <w:rPr>
                <w:sz w:val="20"/>
                <w:szCs w:val="20"/>
              </w:rPr>
            </w:pPr>
            <w:r w:rsidRPr="00F4605B">
              <w:rPr>
                <w:sz w:val="20"/>
                <w:szCs w:val="20"/>
              </w:rPr>
              <w:t>51</w:t>
            </w:r>
          </w:p>
        </w:tc>
        <w:tc>
          <w:tcPr>
            <w:tcW w:w="1247" w:type="dxa"/>
            <w:tcBorders>
              <w:top w:val="nil"/>
              <w:left w:val="single" w:sz="4" w:space="0" w:color="auto"/>
              <w:bottom w:val="nil"/>
              <w:right w:val="single" w:sz="4" w:space="0" w:color="auto"/>
            </w:tcBorders>
            <w:vAlign w:val="center"/>
          </w:tcPr>
          <w:p w14:paraId="699ED914" w14:textId="77777777" w:rsidR="00D71675" w:rsidRPr="00F4605B" w:rsidRDefault="00D71675" w:rsidP="00D71675">
            <w:pPr>
              <w:jc w:val="right"/>
              <w:rPr>
                <w:sz w:val="20"/>
                <w:szCs w:val="20"/>
              </w:rPr>
            </w:pPr>
            <w:r w:rsidRPr="00F4605B">
              <w:rPr>
                <w:sz w:val="20"/>
                <w:szCs w:val="20"/>
              </w:rPr>
              <w:t>60</w:t>
            </w:r>
          </w:p>
        </w:tc>
        <w:tc>
          <w:tcPr>
            <w:tcW w:w="1247" w:type="dxa"/>
            <w:tcBorders>
              <w:top w:val="nil"/>
              <w:left w:val="single" w:sz="4" w:space="0" w:color="auto"/>
              <w:bottom w:val="nil"/>
              <w:right w:val="single" w:sz="4" w:space="0" w:color="auto"/>
            </w:tcBorders>
            <w:vAlign w:val="center"/>
          </w:tcPr>
          <w:p w14:paraId="0DFAD479" w14:textId="77777777" w:rsidR="00D71675" w:rsidRPr="000D77C8" w:rsidRDefault="00D71675" w:rsidP="00D71675">
            <w:pPr>
              <w:jc w:val="right"/>
              <w:rPr>
                <w:color w:val="FF0000"/>
                <w:sz w:val="20"/>
                <w:szCs w:val="20"/>
              </w:rPr>
            </w:pPr>
            <w:r w:rsidRPr="00F4605B">
              <w:rPr>
                <w:sz w:val="20"/>
                <w:szCs w:val="20"/>
              </w:rPr>
              <w:t>1 972</w:t>
            </w:r>
          </w:p>
        </w:tc>
        <w:tc>
          <w:tcPr>
            <w:tcW w:w="1247" w:type="dxa"/>
            <w:tcBorders>
              <w:top w:val="nil"/>
              <w:left w:val="single" w:sz="4" w:space="0" w:color="auto"/>
              <w:bottom w:val="nil"/>
              <w:right w:val="single" w:sz="4" w:space="0" w:color="auto"/>
            </w:tcBorders>
            <w:vAlign w:val="center"/>
          </w:tcPr>
          <w:p w14:paraId="6AB5D143" w14:textId="77777777" w:rsidR="00D71675" w:rsidRPr="000D77C8" w:rsidRDefault="00D71675" w:rsidP="00D71675">
            <w:pPr>
              <w:jc w:val="right"/>
              <w:rPr>
                <w:color w:val="FF0000"/>
                <w:sz w:val="20"/>
                <w:szCs w:val="20"/>
              </w:rPr>
            </w:pPr>
            <w:r w:rsidRPr="00F4605B">
              <w:rPr>
                <w:sz w:val="20"/>
                <w:szCs w:val="20"/>
              </w:rPr>
              <w:t>1 449</w:t>
            </w:r>
          </w:p>
        </w:tc>
        <w:tc>
          <w:tcPr>
            <w:tcW w:w="850" w:type="dxa"/>
            <w:tcBorders>
              <w:top w:val="nil"/>
              <w:left w:val="single" w:sz="4" w:space="0" w:color="auto"/>
              <w:bottom w:val="nil"/>
              <w:right w:val="single" w:sz="4" w:space="0" w:color="auto"/>
            </w:tcBorders>
            <w:vAlign w:val="center"/>
          </w:tcPr>
          <w:p w14:paraId="5C29F717" w14:textId="77777777" w:rsidR="00D71675" w:rsidRPr="000D77C8" w:rsidRDefault="00D71675" w:rsidP="00D71675">
            <w:pPr>
              <w:jc w:val="right"/>
              <w:rPr>
                <w:color w:val="FF0000"/>
                <w:sz w:val="20"/>
                <w:szCs w:val="20"/>
              </w:rPr>
            </w:pPr>
            <w:r w:rsidRPr="00F4605B">
              <w:rPr>
                <w:sz w:val="20"/>
                <w:szCs w:val="20"/>
              </w:rPr>
              <w:t>2841,18</w:t>
            </w:r>
          </w:p>
        </w:tc>
      </w:tr>
      <w:tr w:rsidR="00D71675" w:rsidRPr="000D77C8" w14:paraId="180E4715" w14:textId="77777777" w:rsidTr="00C0463D">
        <w:trPr>
          <w:trHeight w:val="340"/>
          <w:tblHeader/>
        </w:trPr>
        <w:tc>
          <w:tcPr>
            <w:tcW w:w="3345" w:type="dxa"/>
            <w:tcBorders>
              <w:top w:val="nil"/>
              <w:left w:val="single" w:sz="4" w:space="0" w:color="auto"/>
              <w:bottom w:val="single" w:sz="4" w:space="0" w:color="auto"/>
              <w:right w:val="single" w:sz="4" w:space="0" w:color="auto"/>
            </w:tcBorders>
            <w:vAlign w:val="center"/>
          </w:tcPr>
          <w:p w14:paraId="00980CAC" w14:textId="77777777" w:rsidR="00D71675" w:rsidRPr="00C24EF1" w:rsidRDefault="00D71675" w:rsidP="00D71675">
            <w:pPr>
              <w:rPr>
                <w:sz w:val="20"/>
                <w:szCs w:val="20"/>
              </w:rPr>
            </w:pPr>
            <w:r w:rsidRPr="00C24EF1">
              <w:rPr>
                <w:sz w:val="20"/>
                <w:szCs w:val="20"/>
              </w:rPr>
              <w:t>Členské přísp. mezinár. nevládním org.</w:t>
            </w:r>
          </w:p>
        </w:tc>
        <w:tc>
          <w:tcPr>
            <w:tcW w:w="1247" w:type="dxa"/>
            <w:tcBorders>
              <w:top w:val="nil"/>
              <w:left w:val="single" w:sz="4" w:space="0" w:color="auto"/>
              <w:bottom w:val="single" w:sz="4" w:space="0" w:color="auto"/>
              <w:right w:val="single" w:sz="4" w:space="0" w:color="auto"/>
            </w:tcBorders>
            <w:vAlign w:val="center"/>
          </w:tcPr>
          <w:p w14:paraId="642AC819" w14:textId="77777777" w:rsidR="00D71675" w:rsidRPr="00F4605B" w:rsidRDefault="00D71675" w:rsidP="00D71675">
            <w:pPr>
              <w:jc w:val="right"/>
              <w:rPr>
                <w:sz w:val="20"/>
                <w:szCs w:val="20"/>
              </w:rPr>
            </w:pPr>
            <w:r w:rsidRPr="00F4605B">
              <w:rPr>
                <w:sz w:val="20"/>
                <w:szCs w:val="20"/>
              </w:rPr>
              <w:t>464</w:t>
            </w:r>
          </w:p>
        </w:tc>
        <w:tc>
          <w:tcPr>
            <w:tcW w:w="1247" w:type="dxa"/>
            <w:tcBorders>
              <w:top w:val="nil"/>
              <w:left w:val="single" w:sz="4" w:space="0" w:color="auto"/>
              <w:bottom w:val="single" w:sz="4" w:space="0" w:color="auto"/>
              <w:right w:val="single" w:sz="4" w:space="0" w:color="auto"/>
            </w:tcBorders>
            <w:vAlign w:val="center"/>
          </w:tcPr>
          <w:p w14:paraId="584B47F7" w14:textId="77777777" w:rsidR="00D71675" w:rsidRPr="00F4605B" w:rsidRDefault="00D71675" w:rsidP="00D71675">
            <w:pPr>
              <w:jc w:val="right"/>
              <w:rPr>
                <w:sz w:val="20"/>
                <w:szCs w:val="20"/>
              </w:rPr>
            </w:pPr>
            <w:r w:rsidRPr="00F4605B">
              <w:rPr>
                <w:sz w:val="20"/>
                <w:szCs w:val="20"/>
              </w:rPr>
              <w:t>0</w:t>
            </w:r>
          </w:p>
        </w:tc>
        <w:tc>
          <w:tcPr>
            <w:tcW w:w="1247" w:type="dxa"/>
            <w:tcBorders>
              <w:top w:val="nil"/>
              <w:left w:val="single" w:sz="4" w:space="0" w:color="auto"/>
              <w:bottom w:val="single" w:sz="4" w:space="0" w:color="auto"/>
              <w:right w:val="single" w:sz="4" w:space="0" w:color="auto"/>
            </w:tcBorders>
            <w:vAlign w:val="center"/>
          </w:tcPr>
          <w:p w14:paraId="5B14AEB6" w14:textId="77777777" w:rsidR="00D71675" w:rsidRPr="000D77C8" w:rsidRDefault="00D71675" w:rsidP="00D71675">
            <w:pPr>
              <w:jc w:val="right"/>
              <w:rPr>
                <w:color w:val="FF0000"/>
                <w:sz w:val="20"/>
                <w:szCs w:val="20"/>
              </w:rPr>
            </w:pPr>
            <w:r w:rsidRPr="00F4605B">
              <w:rPr>
                <w:sz w:val="20"/>
                <w:szCs w:val="20"/>
              </w:rPr>
              <w:t>614</w:t>
            </w:r>
          </w:p>
        </w:tc>
        <w:tc>
          <w:tcPr>
            <w:tcW w:w="1247" w:type="dxa"/>
            <w:tcBorders>
              <w:top w:val="nil"/>
              <w:left w:val="single" w:sz="4" w:space="0" w:color="auto"/>
              <w:bottom w:val="single" w:sz="4" w:space="0" w:color="auto"/>
              <w:right w:val="single" w:sz="4" w:space="0" w:color="auto"/>
            </w:tcBorders>
            <w:vAlign w:val="center"/>
          </w:tcPr>
          <w:p w14:paraId="437F701B" w14:textId="77777777" w:rsidR="00D71675" w:rsidRPr="000D77C8" w:rsidRDefault="00D71675" w:rsidP="00D71675">
            <w:pPr>
              <w:jc w:val="right"/>
              <w:rPr>
                <w:color w:val="FF0000"/>
                <w:sz w:val="20"/>
                <w:szCs w:val="20"/>
              </w:rPr>
            </w:pPr>
            <w:r w:rsidRPr="00F4605B">
              <w:rPr>
                <w:sz w:val="20"/>
                <w:szCs w:val="20"/>
              </w:rPr>
              <w:t>566</w:t>
            </w:r>
          </w:p>
        </w:tc>
        <w:tc>
          <w:tcPr>
            <w:tcW w:w="850" w:type="dxa"/>
            <w:tcBorders>
              <w:top w:val="nil"/>
              <w:left w:val="single" w:sz="4" w:space="0" w:color="auto"/>
              <w:bottom w:val="single" w:sz="4" w:space="0" w:color="auto"/>
              <w:right w:val="single" w:sz="4" w:space="0" w:color="auto"/>
            </w:tcBorders>
            <w:vAlign w:val="center"/>
          </w:tcPr>
          <w:p w14:paraId="0AFC9C8B" w14:textId="77777777" w:rsidR="00D71675" w:rsidRPr="000D77C8" w:rsidRDefault="00D71675" w:rsidP="00D71675">
            <w:pPr>
              <w:jc w:val="right"/>
              <w:rPr>
                <w:color w:val="FF0000"/>
                <w:sz w:val="20"/>
                <w:szCs w:val="20"/>
              </w:rPr>
            </w:pPr>
            <w:r w:rsidRPr="00F4605B">
              <w:rPr>
                <w:sz w:val="20"/>
                <w:szCs w:val="20"/>
              </w:rPr>
              <w:t>121,98</w:t>
            </w:r>
          </w:p>
        </w:tc>
      </w:tr>
    </w:tbl>
    <w:p w14:paraId="76C9A826" w14:textId="77777777" w:rsidR="002559A7" w:rsidRPr="00D71675" w:rsidRDefault="002559A7" w:rsidP="00C0463D">
      <w:pPr>
        <w:pStyle w:val="Nadpis6"/>
      </w:pPr>
      <w:r w:rsidRPr="00D71675">
        <w:t>Neinvestiční transfery mezinárodním vládním organizacím</w:t>
      </w:r>
    </w:p>
    <w:p w14:paraId="3144AA80" w14:textId="4CA96696" w:rsidR="00FD35A4" w:rsidRPr="004B11AC" w:rsidRDefault="00D71675" w:rsidP="00C0463D">
      <w:pPr>
        <w:pStyle w:val="KOMtext"/>
        <w:rPr>
          <w:color w:val="FF0000"/>
        </w:rPr>
      </w:pPr>
      <w:r w:rsidRPr="0061401E">
        <w:t>Schválený rozpočet 954 066</w:t>
      </w:r>
      <w:r>
        <w:t xml:space="preserve"> tis. Kč byl v průběhu</w:t>
      </w:r>
      <w:r w:rsidRPr="000D77C8">
        <w:rPr>
          <w:color w:val="FF0000"/>
        </w:rPr>
        <w:t xml:space="preserve"> </w:t>
      </w:r>
      <w:r w:rsidRPr="0061401E">
        <w:t xml:space="preserve">roku 2019 upraven na 950 609 tis. Kč, </w:t>
      </w:r>
      <w:r w:rsidR="004F7B9B">
        <w:br/>
      </w:r>
      <w:r w:rsidRPr="0061401E">
        <w:t>tj. snížení o</w:t>
      </w:r>
      <w:r w:rsidRPr="000D77C8">
        <w:rPr>
          <w:color w:val="FF0000"/>
        </w:rPr>
        <w:t xml:space="preserve"> </w:t>
      </w:r>
      <w:r w:rsidRPr="0061401E">
        <w:t>3 457 tis. Kč</w:t>
      </w:r>
      <w:r w:rsidR="004F7B9B">
        <w:t>.</w:t>
      </w:r>
      <w:r>
        <w:rPr>
          <w:color w:val="FF0000"/>
          <w:szCs w:val="24"/>
        </w:rPr>
        <w:t xml:space="preserve"> </w:t>
      </w:r>
      <w:r w:rsidRPr="00D71675">
        <w:rPr>
          <w:szCs w:val="24"/>
        </w:rPr>
        <w:t>Čerpáno bylo 939 833 tis. Kč, což představuje 98,87</w:t>
      </w:r>
      <w:r w:rsidR="004F7B9B">
        <w:rPr>
          <w:szCs w:val="24"/>
        </w:rPr>
        <w:t xml:space="preserve"> % upraveného rozpočtu</w:t>
      </w:r>
      <w:r w:rsidR="00FD35A4" w:rsidRPr="00DA3260">
        <w:rPr>
          <w:szCs w:val="24"/>
        </w:rPr>
        <w:t>.</w:t>
      </w:r>
    </w:p>
    <w:p w14:paraId="324DAB2C" w14:textId="77777777" w:rsidR="00C93B5F" w:rsidRPr="004B11AC" w:rsidRDefault="002559A7" w:rsidP="00D71675">
      <w:pPr>
        <w:pStyle w:val="KOMtext"/>
        <w:rPr>
          <w:color w:val="FF0000"/>
        </w:rPr>
      </w:pPr>
      <w:r w:rsidRPr="00D71675">
        <w:t xml:space="preserve">Jedná se zejména o čerpání prostředků na </w:t>
      </w:r>
      <w:r w:rsidR="009A0906" w:rsidRPr="00D71675">
        <w:t>programy</w:t>
      </w:r>
      <w:r w:rsidRPr="00D71675">
        <w:t xml:space="preserve"> </w:t>
      </w:r>
      <w:r w:rsidRPr="00D71675">
        <w:rPr>
          <w:rStyle w:val="Siln"/>
          <w:b w:val="0"/>
        </w:rPr>
        <w:t>Evropsk</w:t>
      </w:r>
      <w:r w:rsidR="009A0906" w:rsidRPr="00D71675">
        <w:rPr>
          <w:rStyle w:val="Siln"/>
          <w:b w:val="0"/>
        </w:rPr>
        <w:t>é</w:t>
      </w:r>
      <w:r w:rsidRPr="00D71675">
        <w:rPr>
          <w:rStyle w:val="Siln"/>
          <w:b w:val="0"/>
        </w:rPr>
        <w:t xml:space="preserve"> kosmick</w:t>
      </w:r>
      <w:r w:rsidR="009A0906" w:rsidRPr="00D71675">
        <w:rPr>
          <w:rStyle w:val="Siln"/>
          <w:b w:val="0"/>
        </w:rPr>
        <w:t>é</w:t>
      </w:r>
      <w:r w:rsidRPr="00D71675">
        <w:rPr>
          <w:rStyle w:val="Siln"/>
          <w:b w:val="0"/>
        </w:rPr>
        <w:t xml:space="preserve"> agentur</w:t>
      </w:r>
      <w:r w:rsidR="009A0906" w:rsidRPr="00D71675">
        <w:rPr>
          <w:rStyle w:val="Siln"/>
          <w:b w:val="0"/>
        </w:rPr>
        <w:t>y</w:t>
      </w:r>
      <w:r w:rsidR="006D7793" w:rsidRPr="00D71675">
        <w:rPr>
          <w:rStyle w:val="Siln"/>
        </w:rPr>
        <w:t xml:space="preserve"> </w:t>
      </w:r>
      <w:r w:rsidR="006D7793" w:rsidRPr="00D71675">
        <w:rPr>
          <w:rStyle w:val="Siln"/>
          <w:b w:val="0"/>
        </w:rPr>
        <w:t>(</w:t>
      </w:r>
      <w:r w:rsidRPr="00D71675">
        <w:t>ESA</w:t>
      </w:r>
      <w:r w:rsidR="006D7793" w:rsidRPr="00D71675">
        <w:t xml:space="preserve">) ve výši </w:t>
      </w:r>
      <w:r w:rsidR="00D71675" w:rsidRPr="00D71675">
        <w:t>926 253</w:t>
      </w:r>
      <w:r w:rsidR="006D7793" w:rsidRPr="00D71675">
        <w:t xml:space="preserve"> tis. Kč</w:t>
      </w:r>
      <w:r w:rsidR="009A0906" w:rsidRPr="00D71675">
        <w:t xml:space="preserve">. </w:t>
      </w:r>
      <w:r w:rsidR="00C93B5F" w:rsidRPr="00D71675">
        <w:t>Tyto výdaje obsahují příspěvky spojené s Rámcový</w:t>
      </w:r>
      <w:r w:rsidR="00FF38FA" w:rsidRPr="00D71675">
        <w:t>m</w:t>
      </w:r>
      <w:r w:rsidR="00C93B5F" w:rsidRPr="00D71675">
        <w:t xml:space="preserve"> projektem k implementaci podpory,</w:t>
      </w:r>
      <w:r w:rsidR="00B72167" w:rsidRPr="00D71675">
        <w:t xml:space="preserve"> který částečně vychází z Národní</w:t>
      </w:r>
      <w:r w:rsidR="00D71675">
        <w:t xml:space="preserve">ho kosmického plánu 2014 -2019 </w:t>
      </w:r>
      <w:r w:rsidR="00B72167" w:rsidRPr="00D71675">
        <w:t>a mezi jehož základní pilíře patří např. rozvoj kosmického pr</w:t>
      </w:r>
      <w:r w:rsidR="00D71675">
        <w:t xml:space="preserve">ůmyslu a českých univerzitních </w:t>
      </w:r>
      <w:r w:rsidR="00B72167" w:rsidRPr="00D71675">
        <w:t>a výzkumných center, zřízení výcvikových r</w:t>
      </w:r>
      <w:r w:rsidR="00D71675">
        <w:t xml:space="preserve">ámců pro absolventy z ČR atd., </w:t>
      </w:r>
      <w:r w:rsidR="00B72167" w:rsidRPr="00D71675">
        <w:t>ve výši</w:t>
      </w:r>
      <w:r w:rsidR="00D71675">
        <w:rPr>
          <w:color w:val="FF0000"/>
        </w:rPr>
        <w:t xml:space="preserve"> </w:t>
      </w:r>
      <w:r w:rsidR="00D71675" w:rsidRPr="00D71675">
        <w:t>373 013</w:t>
      </w:r>
      <w:r w:rsidR="00B72167" w:rsidRPr="00D71675">
        <w:t xml:space="preserve"> tis. Kč a výdaje na financování volitelných programů ESA blízkých průmyslovým cílům, kde patří např. družicová telekomunikace, pozorování Země, nosné rakety atd., ve výši </w:t>
      </w:r>
      <w:r w:rsidR="00D71675" w:rsidRPr="00D71675">
        <w:t>553 241</w:t>
      </w:r>
      <w:r w:rsidR="00B72167" w:rsidRPr="00D71675">
        <w:t xml:space="preserve"> tis. Kč.</w:t>
      </w:r>
    </w:p>
    <w:p w14:paraId="68AC7313" w14:textId="48AFB7EF" w:rsidR="002559A7" w:rsidRPr="00D71675" w:rsidRDefault="009A0906" w:rsidP="00C0463D">
      <w:pPr>
        <w:pStyle w:val="KOMtext"/>
      </w:pPr>
      <w:r w:rsidRPr="00D71675">
        <w:t xml:space="preserve">Příspěvek byl poskytnut </w:t>
      </w:r>
      <w:r w:rsidR="00DC31A9" w:rsidRPr="00D71675">
        <w:t xml:space="preserve">celkem </w:t>
      </w:r>
      <w:r w:rsidR="00D71675" w:rsidRPr="00D71675">
        <w:t>16</w:t>
      </w:r>
      <w:r w:rsidRPr="00D71675">
        <w:t xml:space="preserve"> organizac</w:t>
      </w:r>
      <w:r w:rsidR="008406B9" w:rsidRPr="00D71675">
        <w:t>ím</w:t>
      </w:r>
      <w:r w:rsidRPr="00D71675">
        <w:t>, p</w:t>
      </w:r>
      <w:r w:rsidR="002559A7" w:rsidRPr="00D71675">
        <w:t>řehled po</w:t>
      </w:r>
      <w:r w:rsidR="004F6298">
        <w:t xml:space="preserve">dle jednotlivých titulů </w:t>
      </w:r>
      <w:r w:rsidR="00F34EF1" w:rsidRPr="00D71675">
        <w:t xml:space="preserve">je </w:t>
      </w:r>
      <w:r w:rsidR="002559A7" w:rsidRPr="00D71675">
        <w:t xml:space="preserve">uveden v příloze č. </w:t>
      </w:r>
      <w:r w:rsidR="0065654D" w:rsidRPr="00D71675">
        <w:t xml:space="preserve">3 (strana </w:t>
      </w:r>
      <w:r w:rsidR="00F54AAA">
        <w:t xml:space="preserve">č. </w:t>
      </w:r>
      <w:r w:rsidR="0065654D" w:rsidRPr="00D71675">
        <w:t>1)</w:t>
      </w:r>
      <w:r w:rsidR="002559A7" w:rsidRPr="00D71675">
        <w:t xml:space="preserve">. </w:t>
      </w:r>
    </w:p>
    <w:p w14:paraId="3AC793AB" w14:textId="77777777" w:rsidR="002559A7" w:rsidRPr="00DA3260" w:rsidRDefault="002559A7" w:rsidP="00C0463D">
      <w:pPr>
        <w:pStyle w:val="Nadpis6"/>
      </w:pPr>
      <w:r w:rsidRPr="00DA3260">
        <w:t>Ostatní neinvestiční transfery do zahraničí</w:t>
      </w:r>
    </w:p>
    <w:p w14:paraId="1578D2F4" w14:textId="77777777" w:rsidR="00E26724" w:rsidRPr="00F90641" w:rsidRDefault="00E26724" w:rsidP="00E26724">
      <w:pPr>
        <w:pStyle w:val="KOMtext"/>
      </w:pPr>
      <w:r w:rsidRPr="00F90641">
        <w:t>Schválený rozpočet 149 tis. Kč nebyl v průběhu roku 2019 upravován. Čerpány byly prostředky ve výši 129 tis. Kč, tj. 86,58 % upraveného rozpočtu, určené na členský příspěvek pro European Satellite Navigation Competition (ESNC).</w:t>
      </w:r>
    </w:p>
    <w:p w14:paraId="57418739" w14:textId="77777777" w:rsidR="002559A7" w:rsidRPr="00E26724" w:rsidRDefault="002559A7" w:rsidP="00C0463D">
      <w:pPr>
        <w:pStyle w:val="Nadpis6"/>
      </w:pPr>
      <w:r w:rsidRPr="00E26724">
        <w:t>Členské příspěvky mezinárodním vládním organizacím</w:t>
      </w:r>
    </w:p>
    <w:p w14:paraId="07ED7279" w14:textId="3092D22F" w:rsidR="00E26724" w:rsidRPr="00F90641" w:rsidRDefault="00E26724" w:rsidP="00E26724">
      <w:pPr>
        <w:pStyle w:val="KOMtext"/>
      </w:pPr>
      <w:r w:rsidRPr="00F90641">
        <w:t xml:space="preserve">Schválený rozpočet 60 tis. Kč byl v průběhu roku 2019 upravován na částku 1 972 tis. Kč, </w:t>
      </w:r>
      <w:r w:rsidR="00C44AD3">
        <w:br/>
      </w:r>
      <w:r w:rsidRPr="00F90641">
        <w:t xml:space="preserve">tj. navýšení o 1 912 tis. Kč. Prostředky byly čerpány ve výši 1 449 tis. Kč., tj. 73,48 % upraveného rozpočtu, </w:t>
      </w:r>
      <w:r w:rsidRPr="00EC2E6A">
        <w:t>určené na členský příspěvek pro Evropské seskupení územní spolupráce (ESUS)</w:t>
      </w:r>
      <w:r>
        <w:t xml:space="preserve"> </w:t>
      </w:r>
      <w:r>
        <w:br/>
        <w:t>a nově rovněž pro Mezinárodní dopravní fórum (ITF), který byl doposud součástí pouze položky Neinvestičních transferů mezinárodních vládních organizací.</w:t>
      </w:r>
    </w:p>
    <w:p w14:paraId="3B4D3A7D" w14:textId="77777777" w:rsidR="00E7706E" w:rsidRPr="00E26724" w:rsidRDefault="00E7706E" w:rsidP="00C0463D">
      <w:pPr>
        <w:pStyle w:val="Nadpis6"/>
      </w:pPr>
      <w:r w:rsidRPr="00E26724">
        <w:lastRenderedPageBreak/>
        <w:t>Členské příspěvky mezinárodním nevládním organizacím</w:t>
      </w:r>
    </w:p>
    <w:p w14:paraId="1CC99F89" w14:textId="77777777" w:rsidR="00E26724" w:rsidRPr="00F90641" w:rsidRDefault="00E26724" w:rsidP="00E26724">
      <w:pPr>
        <w:pStyle w:val="KOMtext"/>
      </w:pPr>
      <w:r w:rsidRPr="00F90641">
        <w:t xml:space="preserve">Schválený rozpočet 0 tis. Kč byl v průběhu roku 2019 upraven na 614 tis. Kč. Čerpáno bylo </w:t>
      </w:r>
      <w:r>
        <w:br/>
      </w:r>
      <w:r w:rsidRPr="00F90641">
        <w:t xml:space="preserve">566 tis. Kč, tj. plnění 92,18 % upraveného rozpočtu, určené na členský příspěvek pro </w:t>
      </w:r>
      <w:r w:rsidRPr="00EC2E6A">
        <w:t>Inteligentní dopravní systémy – Evropa (ERTICO) a nově rovněž pro Mezinárodní prevenci bezpečnosti provo</w:t>
      </w:r>
      <w:r>
        <w:t>zu na pozemních komunikacích (PR</w:t>
      </w:r>
      <w:r w:rsidRPr="00EC2E6A">
        <w:t>I),</w:t>
      </w:r>
      <w:r>
        <w:t xml:space="preserve"> který byl taktéž doposud součástí pouze položky Neinvestičních transferů mezinárodních vládních organizací.</w:t>
      </w:r>
    </w:p>
    <w:p w14:paraId="7DFA013D" w14:textId="77777777" w:rsidR="001F4F65" w:rsidRPr="004B11AC" w:rsidRDefault="001D5020" w:rsidP="00251B76">
      <w:pPr>
        <w:pStyle w:val="KOMtext"/>
        <w:rPr>
          <w:rStyle w:val="Siln"/>
          <w:b w:val="0"/>
          <w:color w:val="FF0000"/>
        </w:rPr>
      </w:pPr>
      <w:r w:rsidRPr="00E26724">
        <w:rPr>
          <w:u w:val="single"/>
        </w:rPr>
        <w:t>Porovnání neinvestičních transferů do</w:t>
      </w:r>
      <w:r w:rsidR="00B5134D" w:rsidRPr="00E26724">
        <w:rPr>
          <w:u w:val="single"/>
        </w:rPr>
        <w:t xml:space="preserve"> zahraničí ve vývojové řadě 201</w:t>
      </w:r>
      <w:r w:rsidR="00E26724" w:rsidRPr="00E26724">
        <w:rPr>
          <w:u w:val="single"/>
        </w:rPr>
        <w:t>5</w:t>
      </w:r>
      <w:r w:rsidRPr="00E26724">
        <w:rPr>
          <w:u w:val="single"/>
        </w:rPr>
        <w:t xml:space="preserve"> – 201</w:t>
      </w:r>
      <w:r w:rsidR="00E26724" w:rsidRPr="00E26724">
        <w:rPr>
          <w:u w:val="single"/>
        </w:rPr>
        <w:t>9</w:t>
      </w:r>
      <w:r w:rsidRPr="00E26724">
        <w:t xml:space="preserve"> je obsaženo v příloze č. 3 (strana č. 2).</w:t>
      </w:r>
      <w:r w:rsidR="00C91D77" w:rsidRPr="004B11AC">
        <w:rPr>
          <w:color w:val="FF0000"/>
        </w:rPr>
        <w:t xml:space="preserve"> </w:t>
      </w:r>
      <w:r w:rsidR="00657B51" w:rsidRPr="00E26724">
        <w:t>Od</w:t>
      </w:r>
      <w:r w:rsidR="00165091" w:rsidRPr="00E26724">
        <w:t xml:space="preserve"> r. 2012 převzalo Ministerstvo dopravy </w:t>
      </w:r>
      <w:r w:rsidR="00165091" w:rsidRPr="00E26724">
        <w:rPr>
          <w:rStyle w:val="Siln"/>
          <w:b w:val="0"/>
        </w:rPr>
        <w:t>finanční účast České republiky ve vybraných volitelných programech Evropské kosmické agentury (ESA)</w:t>
      </w:r>
      <w:r w:rsidR="00657B51" w:rsidRPr="00E26724">
        <w:rPr>
          <w:rStyle w:val="Siln"/>
          <w:b w:val="0"/>
        </w:rPr>
        <w:t xml:space="preserve">, přičemž tyto výdaje stále </w:t>
      </w:r>
      <w:r w:rsidR="00657B51" w:rsidRPr="00251B76">
        <w:rPr>
          <w:rStyle w:val="Siln"/>
          <w:b w:val="0"/>
          <w:bCs w:val="0"/>
        </w:rPr>
        <w:t>stoupaly</w:t>
      </w:r>
      <w:r w:rsidR="002C6938" w:rsidRPr="00E26724">
        <w:rPr>
          <w:rStyle w:val="Siln"/>
          <w:b w:val="0"/>
        </w:rPr>
        <w:t>.</w:t>
      </w:r>
      <w:r w:rsidR="002C6938" w:rsidRPr="004B11AC">
        <w:rPr>
          <w:rStyle w:val="Siln"/>
          <w:b w:val="0"/>
          <w:color w:val="FF0000"/>
        </w:rPr>
        <w:t xml:space="preserve"> </w:t>
      </w:r>
      <w:r w:rsidR="002C6938" w:rsidRPr="00C37A65">
        <w:rPr>
          <w:rStyle w:val="Siln"/>
          <w:b w:val="0"/>
        </w:rPr>
        <w:t>K</w:t>
      </w:r>
      <w:r w:rsidR="00657B51" w:rsidRPr="00C37A65">
        <w:rPr>
          <w:rStyle w:val="Siln"/>
          <w:b w:val="0"/>
        </w:rPr>
        <w:t xml:space="preserve"> nejvyššímu zapojení </w:t>
      </w:r>
      <w:r w:rsidR="002C6938" w:rsidRPr="00C37A65">
        <w:rPr>
          <w:rStyle w:val="Siln"/>
          <w:b w:val="0"/>
        </w:rPr>
        <w:t xml:space="preserve">do programů ESA </w:t>
      </w:r>
      <w:r w:rsidR="00657B51" w:rsidRPr="00C37A65">
        <w:rPr>
          <w:rStyle w:val="Siln"/>
          <w:b w:val="0"/>
        </w:rPr>
        <w:t xml:space="preserve">došlo v roce </w:t>
      </w:r>
      <w:r w:rsidR="00C37A65" w:rsidRPr="00C37A65">
        <w:rPr>
          <w:rStyle w:val="Siln"/>
          <w:b w:val="0"/>
        </w:rPr>
        <w:t>2017 - 2019</w:t>
      </w:r>
      <w:r w:rsidR="00E01D6B" w:rsidRPr="00C37A65">
        <w:rPr>
          <w:rStyle w:val="Siln"/>
          <w:b w:val="0"/>
        </w:rPr>
        <w:t>.</w:t>
      </w:r>
      <w:r w:rsidR="00463681" w:rsidRPr="00C37A65">
        <w:rPr>
          <w:rStyle w:val="Siln"/>
          <w:b w:val="0"/>
        </w:rPr>
        <w:t xml:space="preserve"> </w:t>
      </w:r>
      <w:r w:rsidR="00750E8D" w:rsidRPr="00C37A65">
        <w:rPr>
          <w:rStyle w:val="Siln"/>
          <w:b w:val="0"/>
        </w:rPr>
        <w:t>K výr</w:t>
      </w:r>
      <w:r w:rsidR="00C37A65" w:rsidRPr="00C37A65">
        <w:rPr>
          <w:rStyle w:val="Siln"/>
          <w:b w:val="0"/>
        </w:rPr>
        <w:t>aznému nárůstu došlo v roce 2016</w:t>
      </w:r>
      <w:r w:rsidR="005A766B" w:rsidRPr="00C37A65">
        <w:rPr>
          <w:rStyle w:val="Siln"/>
          <w:b w:val="0"/>
        </w:rPr>
        <w:t>, ve kterém byly navýšeny příspěvky na volitelné programy ESA blízké průmyslovým cílům</w:t>
      </w:r>
      <w:r w:rsidR="00B73B98" w:rsidRPr="00C37A65">
        <w:rPr>
          <w:rStyle w:val="Siln"/>
          <w:b w:val="0"/>
        </w:rPr>
        <w:t>,</w:t>
      </w:r>
      <w:r w:rsidR="001F4F65" w:rsidRPr="00C37A65">
        <w:rPr>
          <w:rStyle w:val="Siln"/>
          <w:b w:val="0"/>
        </w:rPr>
        <w:t xml:space="preserve"> a zejména </w:t>
      </w:r>
      <w:r w:rsidR="005A766B" w:rsidRPr="00C37A65">
        <w:rPr>
          <w:rStyle w:val="Siln"/>
          <w:b w:val="0"/>
        </w:rPr>
        <w:t xml:space="preserve">pak </w:t>
      </w:r>
      <w:r w:rsidR="001F4F65" w:rsidRPr="00C37A65">
        <w:rPr>
          <w:rStyle w:val="Siln"/>
          <w:b w:val="0"/>
        </w:rPr>
        <w:t>v roce 2017</w:t>
      </w:r>
      <w:r w:rsidR="00750E8D" w:rsidRPr="00C37A65">
        <w:rPr>
          <w:rStyle w:val="Siln"/>
          <w:b w:val="0"/>
        </w:rPr>
        <w:t xml:space="preserve">, kdy </w:t>
      </w:r>
      <w:r w:rsidR="00B73B98" w:rsidRPr="00C37A65">
        <w:rPr>
          <w:rStyle w:val="Siln"/>
          <w:b w:val="0"/>
        </w:rPr>
        <w:t xml:space="preserve">byly </w:t>
      </w:r>
      <w:r w:rsidR="005A766B" w:rsidRPr="00C37A65">
        <w:rPr>
          <w:rStyle w:val="Siln"/>
          <w:b w:val="0"/>
        </w:rPr>
        <w:t>dále navýšeny příspěvky na volitelné programy ESA blízké průmyslovým cílům, nově byly financovány výdaje na zřízení</w:t>
      </w:r>
      <w:r w:rsidR="00DC31A9" w:rsidRPr="00C37A65">
        <w:rPr>
          <w:rStyle w:val="Siln"/>
          <w:b w:val="0"/>
        </w:rPr>
        <w:t xml:space="preserve"> národního kosmického programu</w:t>
      </w:r>
      <w:r w:rsidR="005A766B" w:rsidRPr="00C37A65">
        <w:rPr>
          <w:rStyle w:val="Siln"/>
          <w:b w:val="0"/>
        </w:rPr>
        <w:t xml:space="preserve"> a </w:t>
      </w:r>
      <w:r w:rsidR="00B73B98" w:rsidRPr="00C37A65">
        <w:rPr>
          <w:rStyle w:val="Siln"/>
          <w:b w:val="0"/>
        </w:rPr>
        <w:t>výdaje na program týkající se vývoje a výroby nosné rakety Ariane 6</w:t>
      </w:r>
      <w:r w:rsidR="00DC31A9" w:rsidRPr="00C37A65">
        <w:rPr>
          <w:rStyle w:val="Siln"/>
          <w:b w:val="0"/>
        </w:rPr>
        <w:t xml:space="preserve"> (v rámci ESA)</w:t>
      </w:r>
      <w:r w:rsidR="001A4138" w:rsidRPr="00C37A65">
        <w:rPr>
          <w:rStyle w:val="Siln"/>
          <w:b w:val="0"/>
        </w:rPr>
        <w:t>.</w:t>
      </w:r>
      <w:r w:rsidR="00C37A65" w:rsidRPr="00C37A65">
        <w:rPr>
          <w:rStyle w:val="Siln"/>
          <w:b w:val="0"/>
        </w:rPr>
        <w:t xml:space="preserve"> Tyto příspěvky jsou však v posledních 3 letech více méně stabilní.</w:t>
      </w:r>
    </w:p>
    <w:p w14:paraId="7B0E8362" w14:textId="77777777" w:rsidR="001D5020" w:rsidRPr="004B11AC" w:rsidRDefault="001D5020" w:rsidP="00121BA0">
      <w:pPr>
        <w:pStyle w:val="Nadpis3"/>
      </w:pPr>
      <w:bookmarkStart w:id="368" w:name="_Toc255297643"/>
      <w:bookmarkStart w:id="369" w:name="_Toc256066174"/>
      <w:bookmarkStart w:id="370" w:name="_Toc413413663"/>
      <w:bookmarkStart w:id="371" w:name="_Toc508879872"/>
      <w:bookmarkStart w:id="372" w:name="_Toc508880148"/>
      <w:bookmarkStart w:id="373" w:name="_Toc1376822"/>
      <w:bookmarkStart w:id="374" w:name="_Toc34286468"/>
      <w:r w:rsidRPr="004B11AC">
        <w:t>Neinvestiční transfery podnikatelským subjektům</w:t>
      </w:r>
      <w:bookmarkEnd w:id="368"/>
      <w:bookmarkEnd w:id="369"/>
      <w:bookmarkEnd w:id="370"/>
      <w:bookmarkEnd w:id="371"/>
      <w:bookmarkEnd w:id="372"/>
      <w:bookmarkEnd w:id="373"/>
      <w:bookmarkEnd w:id="374"/>
      <w:r w:rsidRPr="004B11AC">
        <w:t xml:space="preserve"> </w:t>
      </w:r>
    </w:p>
    <w:p w14:paraId="76D33B1D" w14:textId="06BD90BF" w:rsidR="001011EB" w:rsidRPr="00EF0FD8" w:rsidRDefault="001011EB" w:rsidP="001011EB">
      <w:pPr>
        <w:pStyle w:val="KOMtext"/>
      </w:pPr>
      <w:bookmarkStart w:id="375" w:name="_Toc317489633"/>
      <w:bookmarkStart w:id="376" w:name="_Toc508879874"/>
      <w:bookmarkStart w:id="377" w:name="_Toc508880150"/>
      <w:bookmarkStart w:id="378" w:name="_Toc1376823"/>
      <w:r w:rsidRPr="00EF0FD8">
        <w:t>Schválený rozpočet ve výši 5 468 4</w:t>
      </w:r>
      <w:r w:rsidR="00586B7E" w:rsidRPr="00EF0FD8">
        <w:t>42 tis. Kč byl v průběhu roku</w:t>
      </w:r>
      <w:r w:rsidRPr="00EF0FD8">
        <w:t xml:space="preserve"> 201</w:t>
      </w:r>
      <w:r w:rsidR="00586B7E" w:rsidRPr="00EF0FD8">
        <w:t>9 snížen o 160 745 tis. Kč na částku 5 307</w:t>
      </w:r>
      <w:r w:rsidRPr="00EF0FD8">
        <w:t> </w:t>
      </w:r>
      <w:r w:rsidR="00586B7E" w:rsidRPr="00EF0FD8">
        <w:t>697</w:t>
      </w:r>
      <w:r w:rsidRPr="00EF0FD8">
        <w:t xml:space="preserve"> tis. Kč.</w:t>
      </w:r>
    </w:p>
    <w:p w14:paraId="208FB2C3" w14:textId="5A85C0D5" w:rsidR="001011EB" w:rsidRPr="00EF0FD8" w:rsidRDefault="001011EB" w:rsidP="001011EB">
      <w:pPr>
        <w:pStyle w:val="KOMtext"/>
      </w:pPr>
      <w:r w:rsidRPr="00EF0FD8">
        <w:t>Čerpány byly prostředky ve v</w:t>
      </w:r>
      <w:r w:rsidR="00586B7E" w:rsidRPr="00EF0FD8">
        <w:t>ýši 4 716 517 tis. Kč, tj. 88,86</w:t>
      </w:r>
      <w:r w:rsidRPr="00EF0FD8">
        <w:t> % upraveného rozpočtu, z toho prostředky</w:t>
      </w:r>
      <w:r w:rsidRPr="00EF0FD8">
        <w:rPr>
          <w:color w:val="FF0000"/>
        </w:rPr>
        <w:t xml:space="preserve"> </w:t>
      </w:r>
      <w:r w:rsidRPr="00EF0FD8">
        <w:t>EU 33 161 tis. Kč, z toho  3 943 tis. Kč činilo čerpání nároků a 31 139 tis. Kč rezervní fond.</w:t>
      </w:r>
    </w:p>
    <w:p w14:paraId="43C9939E" w14:textId="77777777" w:rsidR="001011EB" w:rsidRPr="00EF0FD8" w:rsidRDefault="001011EB" w:rsidP="001011EB">
      <w:pPr>
        <w:pStyle w:val="KOMtext"/>
      </w:pPr>
      <w:r w:rsidRPr="00EF0FD8">
        <w:t>Neinvestiční transfery podnikatelským subjektům zahrnují:</w:t>
      </w:r>
    </w:p>
    <w:p w14:paraId="2730F7C1" w14:textId="77777777" w:rsidR="001011EB" w:rsidRPr="00EF0FD8" w:rsidRDefault="001011EB" w:rsidP="001011EB">
      <w:pPr>
        <w:keepNext/>
        <w:ind w:left="357" w:right="1"/>
        <w:jc w:val="right"/>
        <w:rPr>
          <w:color w:val="FF0000"/>
        </w:rPr>
      </w:pPr>
      <w:r w:rsidRPr="00EF0FD8">
        <w:rPr>
          <w:color w:val="FF0000"/>
        </w:rPr>
        <w:tab/>
      </w:r>
      <w:r w:rsidRPr="00EF0FD8">
        <w:rPr>
          <w:color w:val="FF0000"/>
        </w:rPr>
        <w:tab/>
      </w:r>
      <w:r w:rsidRPr="00EF0FD8">
        <w:rPr>
          <w:color w:val="FF0000"/>
        </w:rPr>
        <w:tab/>
      </w:r>
      <w:r w:rsidRPr="00EF0FD8">
        <w:rPr>
          <w:color w:val="FF0000"/>
        </w:rPr>
        <w:tab/>
      </w:r>
      <w:r w:rsidRPr="00EF0FD8">
        <w:rPr>
          <w:color w:val="FF0000"/>
        </w:rPr>
        <w:tab/>
      </w:r>
      <w:r w:rsidRPr="00EF0FD8">
        <w:rPr>
          <w:color w:val="FF0000"/>
        </w:rPr>
        <w:tab/>
      </w:r>
      <w:r w:rsidRPr="00EF0FD8">
        <w:rPr>
          <w:color w:val="FF0000"/>
        </w:rPr>
        <w:tab/>
      </w:r>
      <w:r w:rsidRPr="00EF0FD8">
        <w:rPr>
          <w:color w:val="FF0000"/>
        </w:rPr>
        <w:tab/>
      </w:r>
      <w:r w:rsidRPr="00EF0FD8">
        <w:rPr>
          <w:color w:val="FF0000"/>
        </w:rPr>
        <w:tab/>
      </w:r>
      <w:r w:rsidRPr="00EF0FD8">
        <w:rPr>
          <w:color w:val="FF0000"/>
        </w:rPr>
        <w:tab/>
      </w:r>
      <w:r w:rsidRPr="00EF0FD8">
        <w:t xml:space="preserve">       v tis. Kč</w:t>
      </w:r>
    </w:p>
    <w:tbl>
      <w:tblPr>
        <w:tblW w:w="9241" w:type="dxa"/>
        <w:tblInd w:w="-5"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3005"/>
        <w:gridCol w:w="1304"/>
        <w:gridCol w:w="1304"/>
        <w:gridCol w:w="1304"/>
        <w:gridCol w:w="1304"/>
        <w:gridCol w:w="1020"/>
      </w:tblGrid>
      <w:tr w:rsidR="001011EB" w:rsidRPr="00EF0FD8" w14:paraId="638A10A2" w14:textId="77777777" w:rsidTr="003E46B3">
        <w:tc>
          <w:tcPr>
            <w:tcW w:w="3005" w:type="dxa"/>
            <w:tcBorders>
              <w:right w:val="single" w:sz="4" w:space="0" w:color="auto"/>
            </w:tcBorders>
            <w:vAlign w:val="center"/>
          </w:tcPr>
          <w:p w14:paraId="1C9D7B69" w14:textId="77777777" w:rsidR="001011EB" w:rsidRPr="00EF0FD8" w:rsidRDefault="001011EB" w:rsidP="003E46B3">
            <w:pPr>
              <w:jc w:val="center"/>
              <w:rPr>
                <w:sz w:val="22"/>
                <w:szCs w:val="22"/>
              </w:rPr>
            </w:pPr>
            <w:r w:rsidRPr="00EF0FD8">
              <w:rPr>
                <w:sz w:val="22"/>
                <w:szCs w:val="22"/>
              </w:rPr>
              <w:t>Název ukazatele</w:t>
            </w:r>
          </w:p>
        </w:tc>
        <w:tc>
          <w:tcPr>
            <w:tcW w:w="1304" w:type="dxa"/>
            <w:tcBorders>
              <w:top w:val="single" w:sz="4" w:space="0" w:color="auto"/>
              <w:left w:val="single" w:sz="4" w:space="0" w:color="auto"/>
              <w:bottom w:val="single" w:sz="4" w:space="0" w:color="auto"/>
              <w:right w:val="single" w:sz="4" w:space="0" w:color="auto"/>
            </w:tcBorders>
            <w:vAlign w:val="center"/>
          </w:tcPr>
          <w:p w14:paraId="60942BE2" w14:textId="77777777" w:rsidR="001011EB" w:rsidRPr="00EF0FD8" w:rsidRDefault="001011EB" w:rsidP="003E46B3">
            <w:pPr>
              <w:pStyle w:val="Odstavecseseznamem"/>
              <w:ind w:left="40" w:hanging="40"/>
              <w:jc w:val="center"/>
              <w:rPr>
                <w:sz w:val="22"/>
                <w:szCs w:val="22"/>
              </w:rPr>
            </w:pPr>
            <w:r w:rsidRPr="00EF0FD8">
              <w:rPr>
                <w:sz w:val="22"/>
                <w:szCs w:val="22"/>
              </w:rPr>
              <w:t>Skutečnost   201</w:t>
            </w:r>
            <w:r w:rsidR="008B782B" w:rsidRPr="00EF0FD8">
              <w:rPr>
                <w:sz w:val="22"/>
                <w:szCs w:val="22"/>
              </w:rPr>
              <w:t>8</w:t>
            </w:r>
          </w:p>
        </w:tc>
        <w:tc>
          <w:tcPr>
            <w:tcW w:w="1304" w:type="dxa"/>
            <w:tcBorders>
              <w:top w:val="single" w:sz="4" w:space="0" w:color="auto"/>
              <w:left w:val="single" w:sz="4" w:space="0" w:color="auto"/>
              <w:bottom w:val="single" w:sz="4" w:space="0" w:color="auto"/>
              <w:right w:val="single" w:sz="4" w:space="0" w:color="auto"/>
            </w:tcBorders>
            <w:vAlign w:val="center"/>
          </w:tcPr>
          <w:p w14:paraId="2F64548B" w14:textId="77777777" w:rsidR="001011EB" w:rsidRPr="00EF0FD8" w:rsidRDefault="001011EB" w:rsidP="003E46B3">
            <w:pPr>
              <w:jc w:val="center"/>
              <w:rPr>
                <w:sz w:val="22"/>
                <w:szCs w:val="22"/>
              </w:rPr>
            </w:pPr>
            <w:r w:rsidRPr="00EF0FD8">
              <w:rPr>
                <w:sz w:val="22"/>
                <w:szCs w:val="22"/>
              </w:rPr>
              <w:t>Schválený rozpočet</w:t>
            </w:r>
          </w:p>
          <w:p w14:paraId="370C315D" w14:textId="77777777" w:rsidR="001011EB" w:rsidRPr="00EF0FD8" w:rsidRDefault="001011EB" w:rsidP="003E46B3">
            <w:pPr>
              <w:jc w:val="center"/>
              <w:rPr>
                <w:sz w:val="22"/>
                <w:szCs w:val="22"/>
              </w:rPr>
            </w:pPr>
            <w:r w:rsidRPr="00EF0FD8">
              <w:rPr>
                <w:sz w:val="22"/>
                <w:szCs w:val="22"/>
              </w:rPr>
              <w:t>2019</w:t>
            </w:r>
          </w:p>
        </w:tc>
        <w:tc>
          <w:tcPr>
            <w:tcW w:w="1304" w:type="dxa"/>
            <w:tcBorders>
              <w:top w:val="single" w:sz="4" w:space="0" w:color="auto"/>
              <w:left w:val="single" w:sz="4" w:space="0" w:color="auto"/>
              <w:bottom w:val="single" w:sz="4" w:space="0" w:color="auto"/>
              <w:right w:val="single" w:sz="4" w:space="0" w:color="auto"/>
            </w:tcBorders>
            <w:vAlign w:val="center"/>
          </w:tcPr>
          <w:p w14:paraId="69CE8098" w14:textId="77777777" w:rsidR="001011EB" w:rsidRPr="00EF0FD8" w:rsidRDefault="001011EB" w:rsidP="003E46B3">
            <w:pPr>
              <w:jc w:val="center"/>
              <w:rPr>
                <w:sz w:val="22"/>
                <w:szCs w:val="22"/>
              </w:rPr>
            </w:pPr>
            <w:r w:rsidRPr="00EF0FD8">
              <w:rPr>
                <w:sz w:val="22"/>
                <w:szCs w:val="22"/>
              </w:rPr>
              <w:t>Upravený rozpočet</w:t>
            </w:r>
          </w:p>
          <w:p w14:paraId="32282FD2" w14:textId="77777777" w:rsidR="001011EB" w:rsidRPr="00EF0FD8" w:rsidRDefault="001011EB" w:rsidP="003E46B3">
            <w:pPr>
              <w:jc w:val="center"/>
              <w:rPr>
                <w:sz w:val="22"/>
                <w:szCs w:val="22"/>
              </w:rPr>
            </w:pPr>
            <w:r w:rsidRPr="00EF0FD8">
              <w:rPr>
                <w:sz w:val="22"/>
                <w:szCs w:val="22"/>
              </w:rPr>
              <w:t>2019</w:t>
            </w:r>
          </w:p>
        </w:tc>
        <w:tc>
          <w:tcPr>
            <w:tcW w:w="1304" w:type="dxa"/>
            <w:tcBorders>
              <w:top w:val="single" w:sz="4" w:space="0" w:color="auto"/>
              <w:left w:val="single" w:sz="4" w:space="0" w:color="auto"/>
              <w:bottom w:val="single" w:sz="4" w:space="0" w:color="auto"/>
              <w:right w:val="single" w:sz="4" w:space="0" w:color="auto"/>
            </w:tcBorders>
            <w:vAlign w:val="center"/>
          </w:tcPr>
          <w:p w14:paraId="4ABF54A5" w14:textId="77777777" w:rsidR="001011EB" w:rsidRPr="00EF0FD8" w:rsidRDefault="001011EB" w:rsidP="003E46B3">
            <w:pPr>
              <w:jc w:val="center"/>
              <w:rPr>
                <w:sz w:val="22"/>
                <w:szCs w:val="22"/>
              </w:rPr>
            </w:pPr>
            <w:r w:rsidRPr="00EF0FD8">
              <w:rPr>
                <w:sz w:val="22"/>
                <w:szCs w:val="22"/>
              </w:rPr>
              <w:t>Skutečnost 2019</w:t>
            </w:r>
          </w:p>
        </w:tc>
        <w:tc>
          <w:tcPr>
            <w:tcW w:w="1020" w:type="dxa"/>
            <w:tcBorders>
              <w:top w:val="single" w:sz="4" w:space="0" w:color="auto"/>
              <w:left w:val="single" w:sz="4" w:space="0" w:color="auto"/>
              <w:bottom w:val="single" w:sz="4" w:space="0" w:color="auto"/>
            </w:tcBorders>
            <w:vAlign w:val="center"/>
          </w:tcPr>
          <w:p w14:paraId="291F111D" w14:textId="77777777" w:rsidR="001011EB" w:rsidRPr="00EF0FD8" w:rsidRDefault="001011EB" w:rsidP="003E46B3">
            <w:pPr>
              <w:jc w:val="center"/>
              <w:rPr>
                <w:sz w:val="22"/>
              </w:rPr>
            </w:pPr>
            <w:r w:rsidRPr="00EF0FD8">
              <w:rPr>
                <w:sz w:val="22"/>
              </w:rPr>
              <w:t>Index</w:t>
            </w:r>
          </w:p>
          <w:p w14:paraId="27E050D7" w14:textId="77777777" w:rsidR="001011EB" w:rsidRPr="00EF0FD8" w:rsidRDefault="001011EB" w:rsidP="003E46B3">
            <w:pPr>
              <w:jc w:val="center"/>
              <w:rPr>
                <w:sz w:val="22"/>
                <w:szCs w:val="22"/>
              </w:rPr>
            </w:pPr>
            <w:r w:rsidRPr="00EF0FD8">
              <w:rPr>
                <w:sz w:val="22"/>
              </w:rPr>
              <w:t>19/18        (v %)</w:t>
            </w:r>
          </w:p>
        </w:tc>
      </w:tr>
      <w:tr w:rsidR="001011EB" w:rsidRPr="00EF0FD8" w14:paraId="24999B06" w14:textId="77777777" w:rsidTr="003E46B3">
        <w:tc>
          <w:tcPr>
            <w:tcW w:w="3005" w:type="dxa"/>
            <w:tcBorders>
              <w:top w:val="single" w:sz="4" w:space="0" w:color="auto"/>
              <w:bottom w:val="single" w:sz="4" w:space="0" w:color="auto"/>
              <w:right w:val="single" w:sz="4" w:space="0" w:color="auto"/>
            </w:tcBorders>
          </w:tcPr>
          <w:p w14:paraId="42AD1076" w14:textId="77777777" w:rsidR="001011EB" w:rsidRPr="00EF0FD8" w:rsidRDefault="001011EB" w:rsidP="003E46B3">
            <w:pPr>
              <w:jc w:val="center"/>
              <w:rPr>
                <w:sz w:val="22"/>
              </w:rPr>
            </w:pPr>
            <w:r w:rsidRPr="00EF0FD8">
              <w:rPr>
                <w:sz w:val="22"/>
              </w:rPr>
              <w:t>a</w:t>
            </w:r>
          </w:p>
        </w:tc>
        <w:tc>
          <w:tcPr>
            <w:tcW w:w="1304" w:type="dxa"/>
            <w:tcBorders>
              <w:top w:val="single" w:sz="4" w:space="0" w:color="auto"/>
              <w:bottom w:val="single" w:sz="4" w:space="0" w:color="auto"/>
              <w:right w:val="single" w:sz="4" w:space="0" w:color="auto"/>
            </w:tcBorders>
          </w:tcPr>
          <w:p w14:paraId="045D5124" w14:textId="77777777" w:rsidR="001011EB" w:rsidRPr="00EF0FD8" w:rsidRDefault="001011EB" w:rsidP="003E46B3">
            <w:pPr>
              <w:jc w:val="center"/>
              <w:rPr>
                <w:sz w:val="22"/>
              </w:rPr>
            </w:pPr>
            <w:r w:rsidRPr="00EF0FD8">
              <w:rPr>
                <w:sz w:val="22"/>
              </w:rPr>
              <w:t>1</w:t>
            </w:r>
          </w:p>
        </w:tc>
        <w:tc>
          <w:tcPr>
            <w:tcW w:w="1304" w:type="dxa"/>
            <w:tcBorders>
              <w:top w:val="single" w:sz="4" w:space="0" w:color="auto"/>
              <w:left w:val="single" w:sz="4" w:space="0" w:color="auto"/>
              <w:bottom w:val="single" w:sz="4" w:space="0" w:color="auto"/>
              <w:right w:val="single" w:sz="4" w:space="0" w:color="auto"/>
            </w:tcBorders>
          </w:tcPr>
          <w:p w14:paraId="0AFE967E" w14:textId="77777777" w:rsidR="001011EB" w:rsidRPr="00EF0FD8" w:rsidRDefault="001011EB" w:rsidP="003E46B3">
            <w:pPr>
              <w:jc w:val="center"/>
              <w:rPr>
                <w:sz w:val="22"/>
              </w:rPr>
            </w:pPr>
            <w:r w:rsidRPr="00EF0FD8">
              <w:rPr>
                <w:sz w:val="22"/>
              </w:rPr>
              <w:t>2</w:t>
            </w:r>
          </w:p>
        </w:tc>
        <w:tc>
          <w:tcPr>
            <w:tcW w:w="1304" w:type="dxa"/>
            <w:tcBorders>
              <w:top w:val="single" w:sz="4" w:space="0" w:color="auto"/>
              <w:left w:val="single" w:sz="4" w:space="0" w:color="auto"/>
              <w:bottom w:val="single" w:sz="4" w:space="0" w:color="auto"/>
              <w:right w:val="single" w:sz="4" w:space="0" w:color="auto"/>
            </w:tcBorders>
          </w:tcPr>
          <w:p w14:paraId="63E00D07" w14:textId="77777777" w:rsidR="001011EB" w:rsidRPr="00EF0FD8" w:rsidRDefault="001011EB" w:rsidP="003E46B3">
            <w:pPr>
              <w:jc w:val="center"/>
              <w:rPr>
                <w:sz w:val="22"/>
              </w:rPr>
            </w:pPr>
            <w:r w:rsidRPr="00EF0FD8">
              <w:rPr>
                <w:sz w:val="22"/>
              </w:rPr>
              <w:t>3</w:t>
            </w:r>
          </w:p>
        </w:tc>
        <w:tc>
          <w:tcPr>
            <w:tcW w:w="1304" w:type="dxa"/>
            <w:tcBorders>
              <w:top w:val="single" w:sz="4" w:space="0" w:color="auto"/>
              <w:left w:val="single" w:sz="4" w:space="0" w:color="auto"/>
              <w:bottom w:val="single" w:sz="4" w:space="0" w:color="auto"/>
              <w:right w:val="single" w:sz="4" w:space="0" w:color="auto"/>
            </w:tcBorders>
          </w:tcPr>
          <w:p w14:paraId="2560BAA8" w14:textId="77777777" w:rsidR="001011EB" w:rsidRPr="00EF0FD8" w:rsidRDefault="001011EB" w:rsidP="003E46B3">
            <w:pPr>
              <w:jc w:val="center"/>
              <w:rPr>
                <w:sz w:val="22"/>
              </w:rPr>
            </w:pPr>
            <w:r w:rsidRPr="00EF0FD8">
              <w:rPr>
                <w:sz w:val="22"/>
              </w:rPr>
              <w:t>4</w:t>
            </w:r>
          </w:p>
        </w:tc>
        <w:tc>
          <w:tcPr>
            <w:tcW w:w="1020" w:type="dxa"/>
            <w:tcBorders>
              <w:top w:val="single" w:sz="4" w:space="0" w:color="auto"/>
              <w:left w:val="single" w:sz="4" w:space="0" w:color="auto"/>
              <w:bottom w:val="single" w:sz="4" w:space="0" w:color="auto"/>
            </w:tcBorders>
          </w:tcPr>
          <w:p w14:paraId="0AE59534" w14:textId="77777777" w:rsidR="001011EB" w:rsidRPr="00EF0FD8" w:rsidRDefault="001011EB" w:rsidP="003E46B3">
            <w:pPr>
              <w:jc w:val="center"/>
              <w:rPr>
                <w:sz w:val="22"/>
              </w:rPr>
            </w:pPr>
            <w:r w:rsidRPr="00EF0FD8">
              <w:rPr>
                <w:sz w:val="22"/>
              </w:rPr>
              <w:t>6</w:t>
            </w:r>
          </w:p>
        </w:tc>
      </w:tr>
      <w:tr w:rsidR="001011EB" w:rsidRPr="00EF0FD8" w14:paraId="7E2B1493" w14:textId="77777777" w:rsidTr="003E46B3">
        <w:tc>
          <w:tcPr>
            <w:tcW w:w="3005" w:type="dxa"/>
            <w:tcBorders>
              <w:top w:val="single" w:sz="4" w:space="0" w:color="auto"/>
              <w:bottom w:val="nil"/>
              <w:right w:val="single" w:sz="4" w:space="0" w:color="auto"/>
            </w:tcBorders>
          </w:tcPr>
          <w:p w14:paraId="33DCF252" w14:textId="77777777" w:rsidR="001011EB" w:rsidRPr="00EF0FD8" w:rsidRDefault="001011EB" w:rsidP="003E46B3">
            <w:pPr>
              <w:ind w:left="-70"/>
              <w:rPr>
                <w:b/>
                <w:sz w:val="20"/>
                <w:szCs w:val="20"/>
              </w:rPr>
            </w:pPr>
            <w:r w:rsidRPr="00EF0FD8">
              <w:rPr>
                <w:b/>
                <w:sz w:val="20"/>
                <w:szCs w:val="20"/>
              </w:rPr>
              <w:t>Tituly neinvestičních transferů</w:t>
            </w:r>
          </w:p>
        </w:tc>
        <w:tc>
          <w:tcPr>
            <w:tcW w:w="1304" w:type="dxa"/>
            <w:tcBorders>
              <w:top w:val="single" w:sz="4" w:space="0" w:color="auto"/>
              <w:bottom w:val="nil"/>
              <w:right w:val="single" w:sz="4" w:space="0" w:color="auto"/>
            </w:tcBorders>
          </w:tcPr>
          <w:p w14:paraId="3E491605" w14:textId="77777777" w:rsidR="001011EB" w:rsidRPr="00EF0FD8" w:rsidRDefault="001011EB" w:rsidP="003E46B3">
            <w:pPr>
              <w:jc w:val="right"/>
              <w:rPr>
                <w:b/>
                <w:sz w:val="20"/>
                <w:szCs w:val="20"/>
              </w:rPr>
            </w:pPr>
          </w:p>
        </w:tc>
        <w:tc>
          <w:tcPr>
            <w:tcW w:w="1304" w:type="dxa"/>
            <w:tcBorders>
              <w:top w:val="single" w:sz="4" w:space="0" w:color="auto"/>
              <w:left w:val="single" w:sz="4" w:space="0" w:color="auto"/>
              <w:bottom w:val="nil"/>
              <w:right w:val="single" w:sz="4" w:space="0" w:color="auto"/>
            </w:tcBorders>
          </w:tcPr>
          <w:p w14:paraId="14DE9CAE" w14:textId="77777777" w:rsidR="001011EB" w:rsidRPr="00EF0FD8" w:rsidRDefault="001011EB" w:rsidP="003E46B3">
            <w:pPr>
              <w:jc w:val="right"/>
              <w:rPr>
                <w:b/>
                <w:sz w:val="20"/>
                <w:szCs w:val="20"/>
              </w:rPr>
            </w:pPr>
          </w:p>
        </w:tc>
        <w:tc>
          <w:tcPr>
            <w:tcW w:w="1304" w:type="dxa"/>
            <w:tcBorders>
              <w:top w:val="single" w:sz="4" w:space="0" w:color="auto"/>
              <w:left w:val="single" w:sz="4" w:space="0" w:color="auto"/>
              <w:bottom w:val="nil"/>
              <w:right w:val="single" w:sz="4" w:space="0" w:color="auto"/>
            </w:tcBorders>
          </w:tcPr>
          <w:p w14:paraId="3B2D710A" w14:textId="77777777" w:rsidR="001011EB" w:rsidRPr="00EF0FD8" w:rsidRDefault="001011EB" w:rsidP="003E46B3">
            <w:pPr>
              <w:jc w:val="right"/>
              <w:rPr>
                <w:b/>
                <w:sz w:val="20"/>
                <w:szCs w:val="20"/>
              </w:rPr>
            </w:pPr>
          </w:p>
        </w:tc>
        <w:tc>
          <w:tcPr>
            <w:tcW w:w="1304" w:type="dxa"/>
            <w:tcBorders>
              <w:top w:val="single" w:sz="4" w:space="0" w:color="auto"/>
              <w:left w:val="single" w:sz="4" w:space="0" w:color="auto"/>
              <w:bottom w:val="nil"/>
              <w:right w:val="single" w:sz="4" w:space="0" w:color="auto"/>
            </w:tcBorders>
          </w:tcPr>
          <w:p w14:paraId="59565E74" w14:textId="77777777" w:rsidR="001011EB" w:rsidRPr="00EF0FD8" w:rsidRDefault="001011EB" w:rsidP="003E46B3">
            <w:pPr>
              <w:jc w:val="right"/>
              <w:rPr>
                <w:b/>
                <w:sz w:val="20"/>
                <w:szCs w:val="20"/>
              </w:rPr>
            </w:pPr>
          </w:p>
        </w:tc>
        <w:tc>
          <w:tcPr>
            <w:tcW w:w="1020" w:type="dxa"/>
            <w:tcBorders>
              <w:top w:val="single" w:sz="4" w:space="0" w:color="auto"/>
              <w:left w:val="single" w:sz="4" w:space="0" w:color="auto"/>
              <w:bottom w:val="nil"/>
            </w:tcBorders>
          </w:tcPr>
          <w:p w14:paraId="61726F77" w14:textId="77777777" w:rsidR="001011EB" w:rsidRPr="00EF0FD8" w:rsidRDefault="001011EB" w:rsidP="003E46B3">
            <w:pPr>
              <w:jc w:val="right"/>
              <w:rPr>
                <w:b/>
                <w:sz w:val="20"/>
                <w:szCs w:val="20"/>
              </w:rPr>
            </w:pPr>
          </w:p>
        </w:tc>
      </w:tr>
      <w:tr w:rsidR="001011EB" w:rsidRPr="00EF0FD8" w14:paraId="18A101CC" w14:textId="77777777" w:rsidTr="003E46B3">
        <w:tc>
          <w:tcPr>
            <w:tcW w:w="3005" w:type="dxa"/>
            <w:tcBorders>
              <w:top w:val="nil"/>
              <w:bottom w:val="nil"/>
              <w:right w:val="single" w:sz="4" w:space="0" w:color="auto"/>
            </w:tcBorders>
          </w:tcPr>
          <w:p w14:paraId="55C13E44" w14:textId="77777777" w:rsidR="001011EB" w:rsidRPr="00EF0FD8" w:rsidRDefault="001011EB" w:rsidP="003E46B3">
            <w:pPr>
              <w:ind w:left="-70"/>
              <w:rPr>
                <w:b/>
                <w:sz w:val="20"/>
                <w:szCs w:val="20"/>
              </w:rPr>
            </w:pPr>
            <w:r w:rsidRPr="00EF0FD8">
              <w:rPr>
                <w:b/>
                <w:sz w:val="20"/>
                <w:szCs w:val="20"/>
              </w:rPr>
              <w:t xml:space="preserve"> podnikatelským subjektům</w:t>
            </w:r>
          </w:p>
        </w:tc>
        <w:tc>
          <w:tcPr>
            <w:tcW w:w="1304" w:type="dxa"/>
            <w:tcBorders>
              <w:top w:val="nil"/>
              <w:left w:val="single" w:sz="4" w:space="0" w:color="auto"/>
              <w:bottom w:val="nil"/>
              <w:right w:val="single" w:sz="4" w:space="0" w:color="auto"/>
            </w:tcBorders>
            <w:vAlign w:val="center"/>
          </w:tcPr>
          <w:p w14:paraId="717EA213" w14:textId="77777777" w:rsidR="001011EB" w:rsidRPr="00EF0FD8" w:rsidRDefault="001011EB" w:rsidP="003E46B3">
            <w:pPr>
              <w:jc w:val="right"/>
              <w:rPr>
                <w:b/>
                <w:sz w:val="20"/>
                <w:szCs w:val="20"/>
              </w:rPr>
            </w:pPr>
            <w:r w:rsidRPr="00EF0FD8">
              <w:rPr>
                <w:b/>
                <w:sz w:val="20"/>
                <w:szCs w:val="20"/>
              </w:rPr>
              <w:t>4 928 372</w:t>
            </w:r>
          </w:p>
        </w:tc>
        <w:tc>
          <w:tcPr>
            <w:tcW w:w="1304" w:type="dxa"/>
            <w:tcBorders>
              <w:top w:val="nil"/>
              <w:left w:val="single" w:sz="4" w:space="0" w:color="auto"/>
              <w:bottom w:val="nil"/>
              <w:right w:val="single" w:sz="4" w:space="0" w:color="auto"/>
            </w:tcBorders>
            <w:vAlign w:val="center"/>
          </w:tcPr>
          <w:p w14:paraId="221C97E8" w14:textId="77777777" w:rsidR="001011EB" w:rsidRPr="00EF0FD8" w:rsidRDefault="001011EB" w:rsidP="003E46B3">
            <w:pPr>
              <w:jc w:val="right"/>
              <w:rPr>
                <w:b/>
                <w:sz w:val="20"/>
                <w:szCs w:val="20"/>
              </w:rPr>
            </w:pPr>
            <w:r w:rsidRPr="00EF0FD8">
              <w:rPr>
                <w:b/>
                <w:sz w:val="20"/>
                <w:szCs w:val="20"/>
              </w:rPr>
              <w:t xml:space="preserve">5 468 442 </w:t>
            </w:r>
          </w:p>
        </w:tc>
        <w:tc>
          <w:tcPr>
            <w:tcW w:w="1304" w:type="dxa"/>
            <w:tcBorders>
              <w:top w:val="nil"/>
              <w:left w:val="single" w:sz="4" w:space="0" w:color="auto"/>
              <w:bottom w:val="nil"/>
              <w:right w:val="single" w:sz="4" w:space="0" w:color="auto"/>
            </w:tcBorders>
            <w:vAlign w:val="center"/>
          </w:tcPr>
          <w:p w14:paraId="3DFC736D" w14:textId="77777777" w:rsidR="001011EB" w:rsidRPr="00EF0FD8" w:rsidRDefault="001011EB" w:rsidP="003E46B3">
            <w:pPr>
              <w:jc w:val="right"/>
              <w:rPr>
                <w:b/>
                <w:sz w:val="20"/>
                <w:szCs w:val="20"/>
              </w:rPr>
            </w:pPr>
            <w:r w:rsidRPr="00EF0FD8">
              <w:rPr>
                <w:b/>
                <w:sz w:val="20"/>
                <w:szCs w:val="20"/>
              </w:rPr>
              <w:t>5 307 697</w:t>
            </w:r>
          </w:p>
        </w:tc>
        <w:tc>
          <w:tcPr>
            <w:tcW w:w="1304" w:type="dxa"/>
            <w:tcBorders>
              <w:top w:val="nil"/>
              <w:left w:val="single" w:sz="4" w:space="0" w:color="auto"/>
              <w:bottom w:val="nil"/>
              <w:right w:val="single" w:sz="4" w:space="0" w:color="auto"/>
            </w:tcBorders>
            <w:vAlign w:val="center"/>
          </w:tcPr>
          <w:p w14:paraId="18E4F5C4" w14:textId="77777777" w:rsidR="001011EB" w:rsidRPr="00EF0FD8" w:rsidRDefault="001011EB" w:rsidP="003E46B3">
            <w:pPr>
              <w:jc w:val="right"/>
              <w:rPr>
                <w:b/>
                <w:sz w:val="20"/>
                <w:szCs w:val="20"/>
              </w:rPr>
            </w:pPr>
            <w:r w:rsidRPr="00EF0FD8">
              <w:rPr>
                <w:b/>
                <w:sz w:val="20"/>
                <w:szCs w:val="20"/>
              </w:rPr>
              <w:t xml:space="preserve">4 716 517 </w:t>
            </w:r>
          </w:p>
        </w:tc>
        <w:tc>
          <w:tcPr>
            <w:tcW w:w="1020" w:type="dxa"/>
            <w:tcBorders>
              <w:top w:val="nil"/>
              <w:left w:val="single" w:sz="4" w:space="0" w:color="auto"/>
              <w:bottom w:val="nil"/>
            </w:tcBorders>
            <w:vAlign w:val="center"/>
          </w:tcPr>
          <w:p w14:paraId="22B51986" w14:textId="77777777" w:rsidR="001011EB" w:rsidRPr="00EF0FD8" w:rsidRDefault="001011EB" w:rsidP="003E46B3">
            <w:pPr>
              <w:jc w:val="right"/>
              <w:rPr>
                <w:b/>
                <w:sz w:val="20"/>
                <w:szCs w:val="20"/>
              </w:rPr>
            </w:pPr>
            <w:r w:rsidRPr="00EF0FD8">
              <w:rPr>
                <w:b/>
                <w:sz w:val="20"/>
                <w:szCs w:val="20"/>
              </w:rPr>
              <w:t>95,70</w:t>
            </w:r>
          </w:p>
        </w:tc>
      </w:tr>
      <w:tr w:rsidR="001011EB" w:rsidRPr="00EF0FD8" w14:paraId="4A217BC1" w14:textId="77777777" w:rsidTr="003E46B3">
        <w:tc>
          <w:tcPr>
            <w:tcW w:w="3005" w:type="dxa"/>
            <w:tcBorders>
              <w:top w:val="nil"/>
              <w:bottom w:val="nil"/>
              <w:right w:val="single" w:sz="4" w:space="0" w:color="auto"/>
            </w:tcBorders>
          </w:tcPr>
          <w:p w14:paraId="73CEB9F6" w14:textId="77777777" w:rsidR="001011EB" w:rsidRPr="00EF0FD8" w:rsidRDefault="001011EB" w:rsidP="003E46B3">
            <w:pPr>
              <w:ind w:left="-70"/>
              <w:rPr>
                <w:sz w:val="20"/>
                <w:szCs w:val="20"/>
              </w:rPr>
            </w:pPr>
            <w:r w:rsidRPr="00EF0FD8">
              <w:rPr>
                <w:sz w:val="20"/>
                <w:szCs w:val="20"/>
              </w:rPr>
              <w:t>Úhrada ztráty ze závazku veřejné služby ve veřejné drážní osobní dopravě</w:t>
            </w:r>
          </w:p>
        </w:tc>
        <w:tc>
          <w:tcPr>
            <w:tcW w:w="1304" w:type="dxa"/>
            <w:tcBorders>
              <w:top w:val="nil"/>
              <w:left w:val="single" w:sz="4" w:space="0" w:color="auto"/>
              <w:bottom w:val="nil"/>
              <w:right w:val="single" w:sz="4" w:space="0" w:color="auto"/>
            </w:tcBorders>
            <w:vAlign w:val="center"/>
          </w:tcPr>
          <w:p w14:paraId="5CC0FDD0" w14:textId="77777777" w:rsidR="001011EB" w:rsidRPr="00EF0FD8" w:rsidRDefault="001011EB" w:rsidP="003E46B3">
            <w:pPr>
              <w:jc w:val="right"/>
              <w:rPr>
                <w:sz w:val="20"/>
                <w:szCs w:val="20"/>
              </w:rPr>
            </w:pPr>
            <w:r w:rsidRPr="00EF0FD8">
              <w:rPr>
                <w:sz w:val="20"/>
                <w:szCs w:val="20"/>
              </w:rPr>
              <w:t xml:space="preserve">4 801 621 </w:t>
            </w:r>
          </w:p>
        </w:tc>
        <w:tc>
          <w:tcPr>
            <w:tcW w:w="1304" w:type="dxa"/>
            <w:tcBorders>
              <w:top w:val="nil"/>
              <w:left w:val="single" w:sz="4" w:space="0" w:color="auto"/>
              <w:bottom w:val="nil"/>
              <w:right w:val="single" w:sz="4" w:space="0" w:color="auto"/>
            </w:tcBorders>
            <w:vAlign w:val="center"/>
          </w:tcPr>
          <w:p w14:paraId="72D600AE" w14:textId="77777777" w:rsidR="001011EB" w:rsidRPr="00EF0FD8" w:rsidRDefault="001011EB" w:rsidP="003E46B3">
            <w:pPr>
              <w:jc w:val="right"/>
              <w:rPr>
                <w:sz w:val="20"/>
                <w:szCs w:val="20"/>
              </w:rPr>
            </w:pPr>
            <w:r w:rsidRPr="00EF0FD8">
              <w:rPr>
                <w:sz w:val="20"/>
                <w:szCs w:val="20"/>
              </w:rPr>
              <w:t xml:space="preserve">4 979 727 </w:t>
            </w:r>
          </w:p>
        </w:tc>
        <w:tc>
          <w:tcPr>
            <w:tcW w:w="1304" w:type="dxa"/>
            <w:tcBorders>
              <w:top w:val="nil"/>
              <w:left w:val="single" w:sz="4" w:space="0" w:color="auto"/>
              <w:bottom w:val="nil"/>
              <w:right w:val="single" w:sz="4" w:space="0" w:color="auto"/>
            </w:tcBorders>
            <w:vAlign w:val="center"/>
          </w:tcPr>
          <w:p w14:paraId="16E5178A" w14:textId="77777777" w:rsidR="001011EB" w:rsidRPr="00EF0FD8" w:rsidRDefault="001011EB" w:rsidP="003E46B3">
            <w:pPr>
              <w:jc w:val="right"/>
              <w:rPr>
                <w:sz w:val="20"/>
                <w:szCs w:val="20"/>
              </w:rPr>
            </w:pPr>
            <w:r w:rsidRPr="00EF0FD8">
              <w:rPr>
                <w:sz w:val="20"/>
                <w:szCs w:val="20"/>
              </w:rPr>
              <w:t xml:space="preserve">4 979 727 </w:t>
            </w:r>
          </w:p>
        </w:tc>
        <w:tc>
          <w:tcPr>
            <w:tcW w:w="1304" w:type="dxa"/>
            <w:tcBorders>
              <w:top w:val="nil"/>
              <w:left w:val="single" w:sz="4" w:space="0" w:color="auto"/>
              <w:bottom w:val="nil"/>
              <w:right w:val="single" w:sz="4" w:space="0" w:color="auto"/>
            </w:tcBorders>
            <w:vAlign w:val="center"/>
          </w:tcPr>
          <w:p w14:paraId="6DC4B437" w14:textId="77777777" w:rsidR="001011EB" w:rsidRPr="00EF0FD8" w:rsidRDefault="001011EB" w:rsidP="003E46B3">
            <w:pPr>
              <w:jc w:val="right"/>
              <w:rPr>
                <w:sz w:val="20"/>
                <w:szCs w:val="20"/>
              </w:rPr>
            </w:pPr>
            <w:r w:rsidRPr="00EF0FD8">
              <w:rPr>
                <w:sz w:val="20"/>
                <w:szCs w:val="20"/>
              </w:rPr>
              <w:t>4 629 884</w:t>
            </w:r>
          </w:p>
        </w:tc>
        <w:tc>
          <w:tcPr>
            <w:tcW w:w="1020" w:type="dxa"/>
            <w:tcBorders>
              <w:top w:val="nil"/>
              <w:left w:val="single" w:sz="4" w:space="0" w:color="auto"/>
              <w:bottom w:val="nil"/>
            </w:tcBorders>
            <w:vAlign w:val="center"/>
          </w:tcPr>
          <w:p w14:paraId="2E428CD4" w14:textId="77777777" w:rsidR="001011EB" w:rsidRPr="00EF0FD8" w:rsidRDefault="001011EB" w:rsidP="003E46B3">
            <w:pPr>
              <w:jc w:val="right"/>
              <w:rPr>
                <w:sz w:val="20"/>
                <w:szCs w:val="20"/>
              </w:rPr>
            </w:pPr>
            <w:r w:rsidRPr="00EF0FD8">
              <w:rPr>
                <w:sz w:val="20"/>
                <w:szCs w:val="20"/>
              </w:rPr>
              <w:t xml:space="preserve">96,42 </w:t>
            </w:r>
          </w:p>
        </w:tc>
      </w:tr>
      <w:tr w:rsidR="001011EB" w:rsidRPr="00AC5EC8" w14:paraId="4170E079" w14:textId="77777777" w:rsidTr="003E46B3">
        <w:tc>
          <w:tcPr>
            <w:tcW w:w="3005" w:type="dxa"/>
            <w:tcBorders>
              <w:top w:val="nil"/>
              <w:bottom w:val="nil"/>
              <w:right w:val="single" w:sz="4" w:space="0" w:color="auto"/>
            </w:tcBorders>
          </w:tcPr>
          <w:p w14:paraId="019573AF" w14:textId="77777777" w:rsidR="001011EB" w:rsidRPr="00EF0FD8" w:rsidRDefault="001011EB" w:rsidP="003E46B3">
            <w:pPr>
              <w:ind w:left="-70"/>
              <w:rPr>
                <w:sz w:val="20"/>
                <w:szCs w:val="20"/>
              </w:rPr>
            </w:pPr>
            <w:r w:rsidRPr="00EF0FD8">
              <w:rPr>
                <w:sz w:val="20"/>
                <w:szCs w:val="20"/>
              </w:rPr>
              <w:t>Příspěvek na dopr. cestu nehrazený ze Státního fondu dopravní infrastruktury</w:t>
            </w:r>
          </w:p>
        </w:tc>
        <w:tc>
          <w:tcPr>
            <w:tcW w:w="1304" w:type="dxa"/>
            <w:tcBorders>
              <w:top w:val="nil"/>
              <w:left w:val="single" w:sz="4" w:space="0" w:color="auto"/>
              <w:bottom w:val="nil"/>
              <w:right w:val="single" w:sz="4" w:space="0" w:color="auto"/>
            </w:tcBorders>
            <w:vAlign w:val="center"/>
          </w:tcPr>
          <w:p w14:paraId="5D83A882" w14:textId="77777777" w:rsidR="001011EB" w:rsidRPr="00EF0FD8" w:rsidRDefault="001011EB" w:rsidP="003E46B3">
            <w:pPr>
              <w:jc w:val="right"/>
              <w:rPr>
                <w:sz w:val="20"/>
                <w:szCs w:val="20"/>
              </w:rPr>
            </w:pPr>
            <w:r w:rsidRPr="00EF0FD8">
              <w:rPr>
                <w:sz w:val="20"/>
                <w:szCs w:val="20"/>
              </w:rPr>
              <w:t>0</w:t>
            </w:r>
          </w:p>
        </w:tc>
        <w:tc>
          <w:tcPr>
            <w:tcW w:w="1304" w:type="dxa"/>
            <w:tcBorders>
              <w:top w:val="nil"/>
              <w:left w:val="single" w:sz="4" w:space="0" w:color="auto"/>
              <w:bottom w:val="nil"/>
              <w:right w:val="single" w:sz="4" w:space="0" w:color="auto"/>
            </w:tcBorders>
            <w:vAlign w:val="center"/>
          </w:tcPr>
          <w:p w14:paraId="1EE47C50" w14:textId="77777777" w:rsidR="001011EB" w:rsidRPr="00EF0FD8" w:rsidRDefault="001011EB" w:rsidP="003E46B3">
            <w:pPr>
              <w:jc w:val="right"/>
              <w:rPr>
                <w:sz w:val="20"/>
                <w:szCs w:val="20"/>
              </w:rPr>
            </w:pPr>
            <w:r w:rsidRPr="00EF0FD8">
              <w:rPr>
                <w:sz w:val="20"/>
                <w:szCs w:val="20"/>
              </w:rPr>
              <w:t xml:space="preserve">400 000 </w:t>
            </w:r>
          </w:p>
        </w:tc>
        <w:tc>
          <w:tcPr>
            <w:tcW w:w="1304" w:type="dxa"/>
            <w:tcBorders>
              <w:top w:val="nil"/>
              <w:left w:val="single" w:sz="4" w:space="0" w:color="auto"/>
              <w:bottom w:val="nil"/>
              <w:right w:val="single" w:sz="4" w:space="0" w:color="auto"/>
            </w:tcBorders>
            <w:vAlign w:val="center"/>
          </w:tcPr>
          <w:p w14:paraId="3E81DC62" w14:textId="77777777" w:rsidR="001011EB" w:rsidRPr="00EF0FD8" w:rsidRDefault="001011EB" w:rsidP="003E46B3">
            <w:pPr>
              <w:jc w:val="right"/>
              <w:rPr>
                <w:sz w:val="20"/>
                <w:szCs w:val="20"/>
              </w:rPr>
            </w:pPr>
            <w:r w:rsidRPr="00EF0FD8">
              <w:rPr>
                <w:sz w:val="20"/>
                <w:szCs w:val="20"/>
              </w:rPr>
              <w:t>241 500</w:t>
            </w:r>
          </w:p>
        </w:tc>
        <w:tc>
          <w:tcPr>
            <w:tcW w:w="1304" w:type="dxa"/>
            <w:tcBorders>
              <w:top w:val="nil"/>
              <w:left w:val="single" w:sz="4" w:space="0" w:color="auto"/>
              <w:bottom w:val="nil"/>
              <w:right w:val="single" w:sz="4" w:space="0" w:color="auto"/>
            </w:tcBorders>
            <w:vAlign w:val="center"/>
          </w:tcPr>
          <w:p w14:paraId="16F074D8" w14:textId="77777777" w:rsidR="001011EB" w:rsidRPr="00EF0FD8" w:rsidRDefault="001011EB" w:rsidP="003E46B3">
            <w:pPr>
              <w:jc w:val="right"/>
              <w:rPr>
                <w:sz w:val="20"/>
                <w:szCs w:val="20"/>
              </w:rPr>
            </w:pPr>
            <w:r w:rsidRPr="00EF0FD8">
              <w:rPr>
                <w:sz w:val="20"/>
                <w:szCs w:val="20"/>
              </w:rPr>
              <w:t>0</w:t>
            </w:r>
          </w:p>
        </w:tc>
        <w:tc>
          <w:tcPr>
            <w:tcW w:w="1020" w:type="dxa"/>
            <w:tcBorders>
              <w:top w:val="nil"/>
              <w:left w:val="single" w:sz="4" w:space="0" w:color="auto"/>
              <w:bottom w:val="nil"/>
            </w:tcBorders>
            <w:vAlign w:val="center"/>
          </w:tcPr>
          <w:p w14:paraId="21BF42C2" w14:textId="77777777" w:rsidR="001011EB" w:rsidRPr="00AC5EC8" w:rsidRDefault="001011EB" w:rsidP="003E46B3">
            <w:pPr>
              <w:jc w:val="right"/>
              <w:rPr>
                <w:sz w:val="20"/>
                <w:szCs w:val="20"/>
              </w:rPr>
            </w:pPr>
            <w:r w:rsidRPr="00EF0FD8">
              <w:rPr>
                <w:sz w:val="20"/>
                <w:szCs w:val="20"/>
              </w:rPr>
              <w:t>x</w:t>
            </w:r>
          </w:p>
        </w:tc>
      </w:tr>
      <w:tr w:rsidR="001011EB" w:rsidRPr="00AC5EC8" w14:paraId="4048AACF" w14:textId="77777777" w:rsidTr="003E46B3">
        <w:tc>
          <w:tcPr>
            <w:tcW w:w="3005" w:type="dxa"/>
            <w:tcBorders>
              <w:top w:val="nil"/>
              <w:bottom w:val="nil"/>
              <w:right w:val="single" w:sz="4" w:space="0" w:color="auto"/>
            </w:tcBorders>
          </w:tcPr>
          <w:p w14:paraId="22604D30" w14:textId="796E430D" w:rsidR="001011EB" w:rsidRPr="00AC5EC8" w:rsidRDefault="001011EB" w:rsidP="0033453B">
            <w:pPr>
              <w:ind w:left="-70"/>
              <w:rPr>
                <w:sz w:val="20"/>
                <w:szCs w:val="20"/>
              </w:rPr>
            </w:pPr>
            <w:r w:rsidRPr="00AC5EC8">
              <w:rPr>
                <w:sz w:val="20"/>
                <w:szCs w:val="20"/>
              </w:rPr>
              <w:t xml:space="preserve">Systém odměňování výkonů </w:t>
            </w:r>
            <w:r>
              <w:rPr>
                <w:sz w:val="20"/>
                <w:szCs w:val="20"/>
              </w:rPr>
              <w:t>–</w:t>
            </w:r>
            <w:r w:rsidRPr="00AC5EC8">
              <w:rPr>
                <w:sz w:val="20"/>
                <w:szCs w:val="20"/>
              </w:rPr>
              <w:t xml:space="preserve"> </w:t>
            </w:r>
            <w:r>
              <w:rPr>
                <w:sz w:val="20"/>
                <w:szCs w:val="20"/>
              </w:rPr>
              <w:t>(SŽDC)</w:t>
            </w:r>
          </w:p>
        </w:tc>
        <w:tc>
          <w:tcPr>
            <w:tcW w:w="1304" w:type="dxa"/>
            <w:tcBorders>
              <w:top w:val="nil"/>
              <w:left w:val="single" w:sz="4" w:space="0" w:color="auto"/>
              <w:bottom w:val="nil"/>
              <w:right w:val="single" w:sz="4" w:space="0" w:color="auto"/>
            </w:tcBorders>
            <w:vAlign w:val="center"/>
          </w:tcPr>
          <w:p w14:paraId="637DEBFF" w14:textId="77777777" w:rsidR="001011EB" w:rsidRPr="00AC5EC8" w:rsidRDefault="001011EB" w:rsidP="003E46B3">
            <w:pPr>
              <w:jc w:val="right"/>
              <w:rPr>
                <w:sz w:val="20"/>
                <w:szCs w:val="20"/>
              </w:rPr>
            </w:pPr>
            <w:r w:rsidRPr="00AC5EC8">
              <w:rPr>
                <w:sz w:val="20"/>
                <w:szCs w:val="20"/>
              </w:rPr>
              <w:t xml:space="preserve"> 29 011</w:t>
            </w:r>
          </w:p>
        </w:tc>
        <w:tc>
          <w:tcPr>
            <w:tcW w:w="1304" w:type="dxa"/>
            <w:tcBorders>
              <w:top w:val="nil"/>
              <w:left w:val="single" w:sz="4" w:space="0" w:color="auto"/>
              <w:bottom w:val="nil"/>
              <w:right w:val="single" w:sz="4" w:space="0" w:color="auto"/>
            </w:tcBorders>
            <w:vAlign w:val="center"/>
          </w:tcPr>
          <w:p w14:paraId="70D3935D" w14:textId="77777777" w:rsidR="001011EB" w:rsidRPr="00AC5EC8" w:rsidRDefault="001011EB" w:rsidP="003E46B3">
            <w:pPr>
              <w:jc w:val="right"/>
              <w:rPr>
                <w:sz w:val="20"/>
                <w:szCs w:val="20"/>
              </w:rPr>
            </w:pPr>
            <w:r w:rsidRPr="00AC5EC8">
              <w:rPr>
                <w:sz w:val="20"/>
                <w:szCs w:val="20"/>
              </w:rPr>
              <w:t>0</w:t>
            </w:r>
          </w:p>
        </w:tc>
        <w:tc>
          <w:tcPr>
            <w:tcW w:w="1304" w:type="dxa"/>
            <w:tcBorders>
              <w:top w:val="nil"/>
              <w:left w:val="single" w:sz="4" w:space="0" w:color="auto"/>
              <w:bottom w:val="nil"/>
              <w:right w:val="single" w:sz="4" w:space="0" w:color="auto"/>
            </w:tcBorders>
            <w:vAlign w:val="center"/>
          </w:tcPr>
          <w:p w14:paraId="7FC94F0B" w14:textId="77777777" w:rsidR="001011EB" w:rsidRPr="00AC5EC8" w:rsidRDefault="001011EB" w:rsidP="003E46B3">
            <w:pPr>
              <w:jc w:val="right"/>
              <w:rPr>
                <w:sz w:val="20"/>
                <w:szCs w:val="20"/>
              </w:rPr>
            </w:pPr>
            <w:r w:rsidRPr="00AC5EC8">
              <w:rPr>
                <w:sz w:val="20"/>
                <w:szCs w:val="20"/>
              </w:rPr>
              <w:t>0</w:t>
            </w:r>
          </w:p>
        </w:tc>
        <w:tc>
          <w:tcPr>
            <w:tcW w:w="1304" w:type="dxa"/>
            <w:tcBorders>
              <w:top w:val="nil"/>
              <w:left w:val="single" w:sz="4" w:space="0" w:color="auto"/>
              <w:bottom w:val="nil"/>
              <w:right w:val="single" w:sz="4" w:space="0" w:color="auto"/>
            </w:tcBorders>
            <w:vAlign w:val="center"/>
          </w:tcPr>
          <w:p w14:paraId="68EA475D" w14:textId="77777777" w:rsidR="001011EB" w:rsidRPr="00AC5EC8" w:rsidRDefault="001011EB" w:rsidP="003E46B3">
            <w:pPr>
              <w:jc w:val="right"/>
              <w:rPr>
                <w:sz w:val="20"/>
                <w:szCs w:val="20"/>
              </w:rPr>
            </w:pPr>
            <w:r w:rsidRPr="00AC5EC8">
              <w:rPr>
                <w:sz w:val="20"/>
                <w:szCs w:val="20"/>
              </w:rPr>
              <w:t>0</w:t>
            </w:r>
          </w:p>
        </w:tc>
        <w:tc>
          <w:tcPr>
            <w:tcW w:w="1020" w:type="dxa"/>
            <w:tcBorders>
              <w:top w:val="nil"/>
              <w:left w:val="single" w:sz="4" w:space="0" w:color="auto"/>
              <w:bottom w:val="nil"/>
            </w:tcBorders>
            <w:vAlign w:val="center"/>
          </w:tcPr>
          <w:p w14:paraId="7EC0AA0D" w14:textId="77777777" w:rsidR="001011EB" w:rsidRPr="00AC5EC8" w:rsidRDefault="001011EB" w:rsidP="003E46B3">
            <w:pPr>
              <w:jc w:val="right"/>
              <w:rPr>
                <w:sz w:val="20"/>
                <w:szCs w:val="20"/>
              </w:rPr>
            </w:pPr>
            <w:r w:rsidRPr="00AC5EC8">
              <w:rPr>
                <w:sz w:val="20"/>
                <w:szCs w:val="20"/>
              </w:rPr>
              <w:t>0,00</w:t>
            </w:r>
          </w:p>
        </w:tc>
      </w:tr>
      <w:tr w:rsidR="001011EB" w:rsidRPr="00AC5EC8" w14:paraId="6944476E" w14:textId="77777777" w:rsidTr="003E46B3">
        <w:tc>
          <w:tcPr>
            <w:tcW w:w="3005" w:type="dxa"/>
            <w:tcBorders>
              <w:top w:val="nil"/>
              <w:bottom w:val="nil"/>
              <w:right w:val="single" w:sz="4" w:space="0" w:color="auto"/>
            </w:tcBorders>
          </w:tcPr>
          <w:p w14:paraId="3ECDAB3B" w14:textId="77777777" w:rsidR="001011EB" w:rsidRPr="00AC5EC8" w:rsidRDefault="001011EB" w:rsidP="003E46B3">
            <w:pPr>
              <w:ind w:left="-70"/>
              <w:rPr>
                <w:sz w:val="20"/>
                <w:szCs w:val="20"/>
              </w:rPr>
            </w:pPr>
            <w:r w:rsidRPr="00AC5EC8">
              <w:rPr>
                <w:sz w:val="20"/>
                <w:szCs w:val="20"/>
              </w:rPr>
              <w:t>Dotace na provoz jídelny MD</w:t>
            </w:r>
          </w:p>
        </w:tc>
        <w:tc>
          <w:tcPr>
            <w:tcW w:w="1304" w:type="dxa"/>
            <w:tcBorders>
              <w:top w:val="nil"/>
              <w:left w:val="single" w:sz="4" w:space="0" w:color="auto"/>
              <w:bottom w:val="nil"/>
              <w:right w:val="single" w:sz="4" w:space="0" w:color="auto"/>
            </w:tcBorders>
            <w:vAlign w:val="center"/>
          </w:tcPr>
          <w:p w14:paraId="732EBCB7" w14:textId="77777777" w:rsidR="001011EB" w:rsidRPr="00AC5EC8" w:rsidRDefault="001011EB" w:rsidP="003E46B3">
            <w:pPr>
              <w:jc w:val="right"/>
              <w:rPr>
                <w:sz w:val="20"/>
                <w:szCs w:val="20"/>
              </w:rPr>
            </w:pPr>
            <w:r w:rsidRPr="00AC5EC8">
              <w:rPr>
                <w:sz w:val="20"/>
                <w:szCs w:val="20"/>
              </w:rPr>
              <w:t>2 885</w:t>
            </w:r>
          </w:p>
        </w:tc>
        <w:tc>
          <w:tcPr>
            <w:tcW w:w="1304" w:type="dxa"/>
            <w:tcBorders>
              <w:top w:val="nil"/>
              <w:left w:val="single" w:sz="4" w:space="0" w:color="auto"/>
              <w:bottom w:val="nil"/>
              <w:right w:val="single" w:sz="4" w:space="0" w:color="auto"/>
            </w:tcBorders>
            <w:vAlign w:val="center"/>
          </w:tcPr>
          <w:p w14:paraId="630AA0DB" w14:textId="77777777" w:rsidR="001011EB" w:rsidRPr="00AC5EC8" w:rsidRDefault="001011EB" w:rsidP="003E46B3">
            <w:pPr>
              <w:jc w:val="right"/>
              <w:rPr>
                <w:sz w:val="20"/>
                <w:szCs w:val="20"/>
              </w:rPr>
            </w:pPr>
            <w:r w:rsidRPr="00AC5EC8">
              <w:rPr>
                <w:sz w:val="20"/>
                <w:szCs w:val="20"/>
              </w:rPr>
              <w:t>0</w:t>
            </w:r>
          </w:p>
        </w:tc>
        <w:tc>
          <w:tcPr>
            <w:tcW w:w="1304" w:type="dxa"/>
            <w:tcBorders>
              <w:top w:val="nil"/>
              <w:left w:val="single" w:sz="4" w:space="0" w:color="auto"/>
              <w:bottom w:val="nil"/>
              <w:right w:val="single" w:sz="4" w:space="0" w:color="auto"/>
            </w:tcBorders>
            <w:vAlign w:val="center"/>
          </w:tcPr>
          <w:p w14:paraId="29C9CC73" w14:textId="77777777" w:rsidR="001011EB" w:rsidRPr="00AC5EC8" w:rsidRDefault="001011EB" w:rsidP="003E46B3">
            <w:pPr>
              <w:jc w:val="right"/>
              <w:rPr>
                <w:sz w:val="20"/>
                <w:szCs w:val="20"/>
              </w:rPr>
            </w:pPr>
            <w:r w:rsidRPr="00AC5EC8">
              <w:rPr>
                <w:sz w:val="20"/>
                <w:szCs w:val="20"/>
              </w:rPr>
              <w:t>0</w:t>
            </w:r>
          </w:p>
        </w:tc>
        <w:tc>
          <w:tcPr>
            <w:tcW w:w="1304" w:type="dxa"/>
            <w:tcBorders>
              <w:top w:val="nil"/>
              <w:left w:val="single" w:sz="4" w:space="0" w:color="auto"/>
              <w:bottom w:val="nil"/>
              <w:right w:val="single" w:sz="4" w:space="0" w:color="auto"/>
            </w:tcBorders>
            <w:vAlign w:val="center"/>
          </w:tcPr>
          <w:p w14:paraId="3DB517EB" w14:textId="77777777" w:rsidR="001011EB" w:rsidRPr="00AC5EC8" w:rsidRDefault="001011EB" w:rsidP="003E46B3">
            <w:pPr>
              <w:jc w:val="right"/>
              <w:rPr>
                <w:sz w:val="20"/>
                <w:szCs w:val="20"/>
              </w:rPr>
            </w:pPr>
            <w:r w:rsidRPr="00AC5EC8">
              <w:rPr>
                <w:sz w:val="20"/>
                <w:szCs w:val="20"/>
              </w:rPr>
              <w:t>0</w:t>
            </w:r>
          </w:p>
        </w:tc>
        <w:tc>
          <w:tcPr>
            <w:tcW w:w="1020" w:type="dxa"/>
            <w:tcBorders>
              <w:top w:val="nil"/>
              <w:left w:val="single" w:sz="4" w:space="0" w:color="auto"/>
              <w:bottom w:val="nil"/>
            </w:tcBorders>
            <w:vAlign w:val="center"/>
          </w:tcPr>
          <w:p w14:paraId="6763586D" w14:textId="77777777" w:rsidR="001011EB" w:rsidRPr="00AC5EC8" w:rsidRDefault="001011EB" w:rsidP="003E46B3">
            <w:pPr>
              <w:jc w:val="right"/>
              <w:rPr>
                <w:sz w:val="20"/>
                <w:szCs w:val="20"/>
              </w:rPr>
            </w:pPr>
            <w:r w:rsidRPr="00AC5EC8">
              <w:rPr>
                <w:sz w:val="20"/>
                <w:szCs w:val="20"/>
              </w:rPr>
              <w:t>0,00</w:t>
            </w:r>
          </w:p>
        </w:tc>
      </w:tr>
      <w:tr w:rsidR="001011EB" w:rsidRPr="00AC5EC8" w14:paraId="5FD867C2" w14:textId="77777777" w:rsidTr="003E46B3">
        <w:tc>
          <w:tcPr>
            <w:tcW w:w="3005" w:type="dxa"/>
            <w:tcBorders>
              <w:top w:val="nil"/>
              <w:bottom w:val="nil"/>
              <w:right w:val="single" w:sz="4" w:space="0" w:color="auto"/>
            </w:tcBorders>
          </w:tcPr>
          <w:p w14:paraId="7B752E22" w14:textId="77777777" w:rsidR="001011EB" w:rsidRPr="00AC5EC8" w:rsidRDefault="001011EB" w:rsidP="003E46B3">
            <w:pPr>
              <w:ind w:left="-70"/>
              <w:rPr>
                <w:sz w:val="20"/>
                <w:szCs w:val="20"/>
              </w:rPr>
            </w:pPr>
            <w:r w:rsidRPr="00AC5EC8">
              <w:rPr>
                <w:sz w:val="20"/>
                <w:szCs w:val="20"/>
              </w:rPr>
              <w:t>Úhrada poplatků vybíraných za LPS poskytované vez vzdušném prostoru</w:t>
            </w:r>
          </w:p>
        </w:tc>
        <w:tc>
          <w:tcPr>
            <w:tcW w:w="1304" w:type="dxa"/>
            <w:tcBorders>
              <w:top w:val="nil"/>
              <w:left w:val="single" w:sz="4" w:space="0" w:color="auto"/>
              <w:bottom w:val="nil"/>
              <w:right w:val="single" w:sz="4" w:space="0" w:color="auto"/>
            </w:tcBorders>
            <w:vAlign w:val="center"/>
          </w:tcPr>
          <w:p w14:paraId="5977D320" w14:textId="77777777" w:rsidR="001011EB" w:rsidRPr="00AC5EC8" w:rsidRDefault="001011EB" w:rsidP="003E46B3">
            <w:pPr>
              <w:jc w:val="right"/>
              <w:rPr>
                <w:sz w:val="20"/>
                <w:szCs w:val="20"/>
              </w:rPr>
            </w:pPr>
            <w:r w:rsidRPr="00AC5EC8">
              <w:rPr>
                <w:sz w:val="20"/>
                <w:szCs w:val="20"/>
              </w:rPr>
              <w:t>69 565</w:t>
            </w:r>
          </w:p>
        </w:tc>
        <w:tc>
          <w:tcPr>
            <w:tcW w:w="1304" w:type="dxa"/>
            <w:tcBorders>
              <w:top w:val="nil"/>
              <w:left w:val="single" w:sz="4" w:space="0" w:color="auto"/>
              <w:bottom w:val="nil"/>
              <w:right w:val="single" w:sz="4" w:space="0" w:color="auto"/>
            </w:tcBorders>
            <w:vAlign w:val="center"/>
          </w:tcPr>
          <w:p w14:paraId="64EB475E" w14:textId="77777777" w:rsidR="001011EB" w:rsidRPr="00AC5EC8" w:rsidRDefault="001011EB" w:rsidP="003E46B3">
            <w:pPr>
              <w:jc w:val="right"/>
              <w:rPr>
                <w:sz w:val="20"/>
                <w:szCs w:val="20"/>
              </w:rPr>
            </w:pPr>
            <w:r w:rsidRPr="00AC5EC8">
              <w:rPr>
                <w:sz w:val="20"/>
                <w:szCs w:val="20"/>
              </w:rPr>
              <w:t xml:space="preserve">71 797 </w:t>
            </w:r>
          </w:p>
        </w:tc>
        <w:tc>
          <w:tcPr>
            <w:tcW w:w="1304" w:type="dxa"/>
            <w:tcBorders>
              <w:top w:val="nil"/>
              <w:left w:val="single" w:sz="4" w:space="0" w:color="auto"/>
              <w:bottom w:val="nil"/>
              <w:right w:val="single" w:sz="4" w:space="0" w:color="auto"/>
            </w:tcBorders>
            <w:vAlign w:val="center"/>
          </w:tcPr>
          <w:p w14:paraId="311DCBB3" w14:textId="77777777" w:rsidR="001011EB" w:rsidRPr="00AC5EC8" w:rsidRDefault="001011EB" w:rsidP="003E46B3">
            <w:pPr>
              <w:jc w:val="right"/>
              <w:rPr>
                <w:sz w:val="20"/>
                <w:szCs w:val="20"/>
              </w:rPr>
            </w:pPr>
            <w:r w:rsidRPr="00AC5EC8">
              <w:rPr>
                <w:sz w:val="20"/>
                <w:szCs w:val="20"/>
              </w:rPr>
              <w:t xml:space="preserve">71 797 </w:t>
            </w:r>
          </w:p>
        </w:tc>
        <w:tc>
          <w:tcPr>
            <w:tcW w:w="1304" w:type="dxa"/>
            <w:tcBorders>
              <w:top w:val="nil"/>
              <w:left w:val="single" w:sz="4" w:space="0" w:color="auto"/>
              <w:bottom w:val="nil"/>
              <w:right w:val="single" w:sz="4" w:space="0" w:color="auto"/>
            </w:tcBorders>
            <w:vAlign w:val="center"/>
          </w:tcPr>
          <w:p w14:paraId="5F1C50BE" w14:textId="77777777" w:rsidR="001011EB" w:rsidRPr="00AC5EC8" w:rsidRDefault="001011EB" w:rsidP="003E46B3">
            <w:pPr>
              <w:jc w:val="right"/>
              <w:rPr>
                <w:sz w:val="20"/>
                <w:szCs w:val="20"/>
              </w:rPr>
            </w:pPr>
            <w:r w:rsidRPr="00AC5EC8">
              <w:rPr>
                <w:sz w:val="20"/>
                <w:szCs w:val="20"/>
              </w:rPr>
              <w:t xml:space="preserve">51 826 </w:t>
            </w:r>
          </w:p>
        </w:tc>
        <w:tc>
          <w:tcPr>
            <w:tcW w:w="1020" w:type="dxa"/>
            <w:tcBorders>
              <w:top w:val="nil"/>
              <w:left w:val="single" w:sz="4" w:space="0" w:color="auto"/>
              <w:bottom w:val="nil"/>
            </w:tcBorders>
            <w:vAlign w:val="center"/>
          </w:tcPr>
          <w:p w14:paraId="5C526423" w14:textId="77777777" w:rsidR="001011EB" w:rsidRPr="00AC5EC8" w:rsidRDefault="001011EB" w:rsidP="003E46B3">
            <w:pPr>
              <w:jc w:val="right"/>
              <w:rPr>
                <w:sz w:val="20"/>
                <w:szCs w:val="20"/>
              </w:rPr>
            </w:pPr>
            <w:r w:rsidRPr="00AC5EC8">
              <w:rPr>
                <w:sz w:val="20"/>
                <w:szCs w:val="20"/>
              </w:rPr>
              <w:t>74,50</w:t>
            </w:r>
          </w:p>
        </w:tc>
      </w:tr>
      <w:tr w:rsidR="001011EB" w:rsidRPr="00AC5EC8" w14:paraId="414B6BB8" w14:textId="77777777" w:rsidTr="003E46B3">
        <w:tc>
          <w:tcPr>
            <w:tcW w:w="3005" w:type="dxa"/>
            <w:tcBorders>
              <w:top w:val="nil"/>
              <w:bottom w:val="nil"/>
              <w:right w:val="single" w:sz="4" w:space="0" w:color="auto"/>
            </w:tcBorders>
          </w:tcPr>
          <w:p w14:paraId="0C115D8A" w14:textId="77777777" w:rsidR="001011EB" w:rsidRPr="00AC5EC8" w:rsidRDefault="001011EB" w:rsidP="003E46B3">
            <w:pPr>
              <w:ind w:left="-70"/>
              <w:rPr>
                <w:sz w:val="20"/>
                <w:szCs w:val="20"/>
              </w:rPr>
            </w:pPr>
            <w:r w:rsidRPr="00AC5EC8">
              <w:rPr>
                <w:sz w:val="20"/>
                <w:szCs w:val="20"/>
              </w:rPr>
              <w:t xml:space="preserve">Výdaje na progr. spolufin. z EU - CEF </w:t>
            </w:r>
          </w:p>
        </w:tc>
        <w:tc>
          <w:tcPr>
            <w:tcW w:w="1304" w:type="dxa"/>
            <w:tcBorders>
              <w:top w:val="nil"/>
              <w:left w:val="single" w:sz="4" w:space="0" w:color="auto"/>
              <w:bottom w:val="nil"/>
              <w:right w:val="single" w:sz="4" w:space="0" w:color="auto"/>
            </w:tcBorders>
            <w:vAlign w:val="center"/>
          </w:tcPr>
          <w:p w14:paraId="113E255E" w14:textId="77777777" w:rsidR="001011EB" w:rsidRPr="00AC5EC8" w:rsidRDefault="001011EB" w:rsidP="003E46B3">
            <w:pPr>
              <w:jc w:val="right"/>
              <w:rPr>
                <w:sz w:val="20"/>
                <w:szCs w:val="20"/>
              </w:rPr>
            </w:pPr>
            <w:r w:rsidRPr="00AC5EC8">
              <w:rPr>
                <w:sz w:val="20"/>
                <w:szCs w:val="20"/>
              </w:rPr>
              <w:t>22 729</w:t>
            </w:r>
          </w:p>
        </w:tc>
        <w:tc>
          <w:tcPr>
            <w:tcW w:w="1304" w:type="dxa"/>
            <w:tcBorders>
              <w:top w:val="nil"/>
              <w:left w:val="single" w:sz="4" w:space="0" w:color="auto"/>
              <w:bottom w:val="nil"/>
              <w:right w:val="single" w:sz="4" w:space="0" w:color="auto"/>
            </w:tcBorders>
            <w:vAlign w:val="center"/>
          </w:tcPr>
          <w:p w14:paraId="182C3D66" w14:textId="77777777" w:rsidR="001011EB" w:rsidRPr="00AC5EC8" w:rsidRDefault="001011EB" w:rsidP="003E46B3">
            <w:pPr>
              <w:jc w:val="right"/>
              <w:rPr>
                <w:sz w:val="20"/>
                <w:szCs w:val="20"/>
              </w:rPr>
            </w:pPr>
            <w:r w:rsidRPr="00AC5EC8">
              <w:rPr>
                <w:sz w:val="20"/>
                <w:szCs w:val="20"/>
              </w:rPr>
              <w:t>  12 918</w:t>
            </w:r>
          </w:p>
        </w:tc>
        <w:tc>
          <w:tcPr>
            <w:tcW w:w="1304" w:type="dxa"/>
            <w:tcBorders>
              <w:top w:val="nil"/>
              <w:left w:val="single" w:sz="4" w:space="0" w:color="auto"/>
              <w:bottom w:val="nil"/>
              <w:right w:val="single" w:sz="4" w:space="0" w:color="auto"/>
            </w:tcBorders>
            <w:vAlign w:val="center"/>
          </w:tcPr>
          <w:p w14:paraId="743C3902" w14:textId="77777777" w:rsidR="001011EB" w:rsidRPr="00AC5EC8" w:rsidRDefault="001011EB" w:rsidP="003E46B3">
            <w:pPr>
              <w:jc w:val="right"/>
              <w:rPr>
                <w:sz w:val="20"/>
                <w:szCs w:val="20"/>
              </w:rPr>
            </w:pPr>
            <w:r w:rsidRPr="00AC5EC8">
              <w:rPr>
                <w:sz w:val="20"/>
                <w:szCs w:val="20"/>
              </w:rPr>
              <w:t xml:space="preserve">12 918 </w:t>
            </w:r>
          </w:p>
        </w:tc>
        <w:tc>
          <w:tcPr>
            <w:tcW w:w="1304" w:type="dxa"/>
            <w:tcBorders>
              <w:top w:val="nil"/>
              <w:left w:val="single" w:sz="4" w:space="0" w:color="auto"/>
              <w:bottom w:val="nil"/>
              <w:right w:val="single" w:sz="4" w:space="0" w:color="auto"/>
            </w:tcBorders>
            <w:vAlign w:val="center"/>
          </w:tcPr>
          <w:p w14:paraId="45640274" w14:textId="77777777" w:rsidR="001011EB" w:rsidRPr="00AC5EC8" w:rsidRDefault="001011EB" w:rsidP="003E46B3">
            <w:pPr>
              <w:jc w:val="right"/>
              <w:rPr>
                <w:sz w:val="20"/>
                <w:szCs w:val="20"/>
              </w:rPr>
            </w:pPr>
            <w:r w:rsidRPr="00AC5EC8">
              <w:rPr>
                <w:sz w:val="20"/>
                <w:szCs w:val="20"/>
              </w:rPr>
              <w:t>33 161</w:t>
            </w:r>
          </w:p>
        </w:tc>
        <w:tc>
          <w:tcPr>
            <w:tcW w:w="1020" w:type="dxa"/>
            <w:tcBorders>
              <w:top w:val="nil"/>
              <w:left w:val="single" w:sz="4" w:space="0" w:color="auto"/>
              <w:bottom w:val="nil"/>
            </w:tcBorders>
            <w:vAlign w:val="center"/>
          </w:tcPr>
          <w:p w14:paraId="28BEF861" w14:textId="77777777" w:rsidR="001011EB" w:rsidRPr="00AC5EC8" w:rsidRDefault="001011EB" w:rsidP="003E46B3">
            <w:pPr>
              <w:jc w:val="right"/>
              <w:rPr>
                <w:sz w:val="20"/>
                <w:szCs w:val="20"/>
              </w:rPr>
            </w:pPr>
            <w:r w:rsidRPr="00AC5EC8">
              <w:rPr>
                <w:sz w:val="20"/>
                <w:szCs w:val="20"/>
              </w:rPr>
              <w:t>145,90</w:t>
            </w:r>
          </w:p>
        </w:tc>
      </w:tr>
      <w:tr w:rsidR="001011EB" w:rsidRPr="00AC5EC8" w14:paraId="228EF8D0" w14:textId="77777777" w:rsidTr="003E46B3">
        <w:tc>
          <w:tcPr>
            <w:tcW w:w="3005" w:type="dxa"/>
            <w:tcBorders>
              <w:top w:val="nil"/>
              <w:bottom w:val="single" w:sz="4" w:space="0" w:color="auto"/>
              <w:right w:val="single" w:sz="4" w:space="0" w:color="auto"/>
            </w:tcBorders>
          </w:tcPr>
          <w:p w14:paraId="05703A74" w14:textId="77777777" w:rsidR="001011EB" w:rsidRPr="00AC5EC8" w:rsidRDefault="001011EB" w:rsidP="003E46B3">
            <w:pPr>
              <w:ind w:left="-70"/>
              <w:rPr>
                <w:sz w:val="20"/>
                <w:szCs w:val="20"/>
              </w:rPr>
            </w:pPr>
            <w:r w:rsidRPr="00AC5EC8">
              <w:rPr>
                <w:sz w:val="20"/>
                <w:szCs w:val="20"/>
              </w:rPr>
              <w:t>Podp. obnovy hist. žel. kol. vozidel   (127 66)</w:t>
            </w:r>
          </w:p>
        </w:tc>
        <w:tc>
          <w:tcPr>
            <w:tcW w:w="1304" w:type="dxa"/>
            <w:tcBorders>
              <w:top w:val="nil"/>
              <w:left w:val="single" w:sz="4" w:space="0" w:color="auto"/>
              <w:bottom w:val="single" w:sz="4" w:space="0" w:color="auto"/>
              <w:right w:val="single" w:sz="4" w:space="0" w:color="auto"/>
            </w:tcBorders>
            <w:vAlign w:val="center"/>
          </w:tcPr>
          <w:p w14:paraId="3D7F27FE" w14:textId="77777777" w:rsidR="001011EB" w:rsidRPr="00AC5EC8" w:rsidRDefault="001011EB" w:rsidP="003E46B3">
            <w:pPr>
              <w:jc w:val="right"/>
              <w:rPr>
                <w:sz w:val="20"/>
                <w:szCs w:val="20"/>
              </w:rPr>
            </w:pPr>
            <w:r w:rsidRPr="00AC5EC8">
              <w:rPr>
                <w:sz w:val="20"/>
                <w:szCs w:val="20"/>
              </w:rPr>
              <w:t>2 560</w:t>
            </w:r>
          </w:p>
        </w:tc>
        <w:tc>
          <w:tcPr>
            <w:tcW w:w="1304" w:type="dxa"/>
            <w:tcBorders>
              <w:top w:val="nil"/>
              <w:left w:val="single" w:sz="4" w:space="0" w:color="auto"/>
              <w:bottom w:val="single" w:sz="4" w:space="0" w:color="auto"/>
              <w:right w:val="single" w:sz="4" w:space="0" w:color="auto"/>
            </w:tcBorders>
            <w:vAlign w:val="center"/>
          </w:tcPr>
          <w:p w14:paraId="522E096C" w14:textId="77777777" w:rsidR="001011EB" w:rsidRPr="00AC5EC8" w:rsidRDefault="001011EB" w:rsidP="003E46B3">
            <w:pPr>
              <w:jc w:val="right"/>
              <w:rPr>
                <w:sz w:val="20"/>
                <w:szCs w:val="20"/>
              </w:rPr>
            </w:pPr>
            <w:r w:rsidRPr="00AC5EC8">
              <w:rPr>
                <w:sz w:val="20"/>
                <w:szCs w:val="20"/>
              </w:rPr>
              <w:t>4 000</w:t>
            </w:r>
          </w:p>
        </w:tc>
        <w:tc>
          <w:tcPr>
            <w:tcW w:w="1304" w:type="dxa"/>
            <w:tcBorders>
              <w:top w:val="nil"/>
              <w:left w:val="single" w:sz="4" w:space="0" w:color="auto"/>
              <w:bottom w:val="single" w:sz="4" w:space="0" w:color="auto"/>
              <w:right w:val="single" w:sz="4" w:space="0" w:color="auto"/>
            </w:tcBorders>
            <w:vAlign w:val="center"/>
          </w:tcPr>
          <w:p w14:paraId="4B2C5F62" w14:textId="77777777" w:rsidR="001011EB" w:rsidRPr="00E8548C" w:rsidRDefault="001011EB" w:rsidP="003E46B3">
            <w:pPr>
              <w:jc w:val="right"/>
              <w:rPr>
                <w:sz w:val="20"/>
                <w:szCs w:val="20"/>
              </w:rPr>
            </w:pPr>
            <w:r w:rsidRPr="00E8548C">
              <w:rPr>
                <w:sz w:val="20"/>
                <w:szCs w:val="20"/>
              </w:rPr>
              <w:t>   1 755</w:t>
            </w:r>
          </w:p>
        </w:tc>
        <w:tc>
          <w:tcPr>
            <w:tcW w:w="1304" w:type="dxa"/>
            <w:tcBorders>
              <w:top w:val="nil"/>
              <w:left w:val="single" w:sz="4" w:space="0" w:color="auto"/>
              <w:bottom w:val="single" w:sz="4" w:space="0" w:color="auto"/>
              <w:right w:val="single" w:sz="4" w:space="0" w:color="auto"/>
            </w:tcBorders>
            <w:vAlign w:val="center"/>
          </w:tcPr>
          <w:p w14:paraId="005402B4" w14:textId="77777777" w:rsidR="001011EB" w:rsidRPr="00E8548C" w:rsidRDefault="001011EB" w:rsidP="003E46B3">
            <w:pPr>
              <w:jc w:val="right"/>
              <w:rPr>
                <w:sz w:val="20"/>
                <w:szCs w:val="20"/>
              </w:rPr>
            </w:pPr>
            <w:r w:rsidRPr="00E8548C">
              <w:rPr>
                <w:sz w:val="20"/>
                <w:szCs w:val="20"/>
              </w:rPr>
              <w:t>  1 646</w:t>
            </w:r>
          </w:p>
        </w:tc>
        <w:tc>
          <w:tcPr>
            <w:tcW w:w="1020" w:type="dxa"/>
            <w:tcBorders>
              <w:top w:val="nil"/>
              <w:left w:val="single" w:sz="4" w:space="0" w:color="auto"/>
              <w:bottom w:val="single" w:sz="4" w:space="0" w:color="auto"/>
            </w:tcBorders>
            <w:vAlign w:val="center"/>
          </w:tcPr>
          <w:p w14:paraId="31F86D89" w14:textId="77777777" w:rsidR="001011EB" w:rsidRPr="00AC5EC8" w:rsidRDefault="001011EB" w:rsidP="003E46B3">
            <w:pPr>
              <w:jc w:val="right"/>
              <w:rPr>
                <w:sz w:val="20"/>
                <w:szCs w:val="20"/>
              </w:rPr>
            </w:pPr>
            <w:r w:rsidRPr="00AC5EC8">
              <w:rPr>
                <w:sz w:val="20"/>
                <w:szCs w:val="20"/>
              </w:rPr>
              <w:t xml:space="preserve"> 64,30</w:t>
            </w:r>
          </w:p>
        </w:tc>
      </w:tr>
    </w:tbl>
    <w:p w14:paraId="61EC15D5" w14:textId="77777777" w:rsidR="001011EB" w:rsidRPr="004B11AC" w:rsidRDefault="001011EB" w:rsidP="001011EB">
      <w:pPr>
        <w:pStyle w:val="BodyText21"/>
        <w:spacing w:after="0"/>
        <w:ind w:left="0" w:firstLine="709"/>
        <w:jc w:val="right"/>
        <w:rPr>
          <w:color w:val="FF0000"/>
        </w:rPr>
      </w:pPr>
    </w:p>
    <w:p w14:paraId="390E7727" w14:textId="7FC4C0F0" w:rsidR="001011EB" w:rsidRPr="00515E05" w:rsidRDefault="001011EB" w:rsidP="001011EB">
      <w:pPr>
        <w:pStyle w:val="Titulek"/>
      </w:pPr>
      <w:bookmarkStart w:id="379" w:name="_Toc508879873"/>
      <w:bookmarkStart w:id="380" w:name="_Toc508880149"/>
      <w:bookmarkStart w:id="381" w:name="_Toc34288682"/>
      <w:bookmarkEnd w:id="375"/>
      <w:r w:rsidRPr="00515E05">
        <w:lastRenderedPageBreak/>
        <w:t xml:space="preserve">Graf č. </w:t>
      </w:r>
      <w:r w:rsidRPr="00515E05">
        <w:rPr>
          <w:noProof/>
        </w:rPr>
        <w:fldChar w:fldCharType="begin"/>
      </w:r>
      <w:r w:rsidRPr="00515E05">
        <w:rPr>
          <w:noProof/>
        </w:rPr>
        <w:instrText xml:space="preserve"> SEQ Graf_č. \* ARABIC </w:instrText>
      </w:r>
      <w:r w:rsidRPr="00515E05">
        <w:rPr>
          <w:noProof/>
        </w:rPr>
        <w:fldChar w:fldCharType="separate"/>
      </w:r>
      <w:r w:rsidR="00DF450F">
        <w:rPr>
          <w:noProof/>
        </w:rPr>
        <w:t>15</w:t>
      </w:r>
      <w:r w:rsidRPr="00515E05">
        <w:rPr>
          <w:noProof/>
        </w:rPr>
        <w:fldChar w:fldCharType="end"/>
      </w:r>
      <w:r w:rsidRPr="00515E05">
        <w:t>:  Neinvestiční transfery podnikatelským subjektům</w:t>
      </w:r>
      <w:bookmarkEnd w:id="379"/>
      <w:bookmarkEnd w:id="380"/>
      <w:bookmarkEnd w:id="381"/>
    </w:p>
    <w:p w14:paraId="7AFDE6C9" w14:textId="77777777" w:rsidR="001011EB" w:rsidRPr="004B11AC" w:rsidRDefault="001011EB" w:rsidP="001011EB">
      <w:pPr>
        <w:spacing w:after="240"/>
        <w:rPr>
          <w:color w:val="FF0000"/>
        </w:rPr>
      </w:pPr>
      <w:r w:rsidRPr="004B11AC">
        <w:rPr>
          <w:noProof/>
          <w:color w:val="FF0000"/>
        </w:rPr>
        <w:drawing>
          <wp:inline distT="0" distB="0" distL="0" distR="0" wp14:anchorId="15210D2E" wp14:editId="370B8017">
            <wp:extent cx="5749290" cy="2343150"/>
            <wp:effectExtent l="0" t="0" r="3810" b="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798BA221" w14:textId="77777777" w:rsidR="001011EB" w:rsidRPr="00394659" w:rsidRDefault="001011EB" w:rsidP="001011EB">
      <w:pPr>
        <w:pStyle w:val="Nadpis6"/>
      </w:pPr>
      <w:r w:rsidRPr="00394659">
        <w:t>Úhrada ztráty ze závazku veřejné služby ve veřejné drážní osobní dopravě</w:t>
      </w:r>
    </w:p>
    <w:p w14:paraId="7CD7C897" w14:textId="77777777" w:rsidR="001011EB" w:rsidRPr="00394659" w:rsidRDefault="001011EB" w:rsidP="001011EB">
      <w:pPr>
        <w:pStyle w:val="KOMtext"/>
      </w:pPr>
      <w:r w:rsidRPr="00394659">
        <w:t xml:space="preserve">Ministerstvo dopravy hradí v souladu s § 4 odst. 1 zákona č. 194/2010 Sb., o veřejných službách v přepravě cestujících a o změně dalších zákonů, vyrovnání spojené s plněním závazku veřejné služby v drážní dopravě k zabezpečení dopravních potřeb státu (vlaky celostátní dopravy, které mají nadregionální nebo mezinárodní charakter). </w:t>
      </w:r>
    </w:p>
    <w:p w14:paraId="7D374BC0" w14:textId="77777777" w:rsidR="001011EB" w:rsidRPr="00394659" w:rsidRDefault="001011EB" w:rsidP="001011EB">
      <w:pPr>
        <w:pStyle w:val="KOMtext"/>
      </w:pPr>
      <w:r w:rsidRPr="00394659">
        <w:t xml:space="preserve">Na financování smlouvy o závazku veřejné služby na zajištění dopravních potřeb státu zabezpečovaných veřejnou železniční osobní dopravou byla ve schváleném státním rozpočtu vyčleněna částka 4 979 727 tis. Kč. Závazek veřejné služby k zabezpečení dopravních potřeb státu byl uzavřen s dopravcem GW Train Regio, a. s., na zajištění dopravní obslužnosti na lince R25 Plzeň – Most, a s dopravcem České dráhy, a. s., na ostatních linkách. </w:t>
      </w:r>
    </w:p>
    <w:p w14:paraId="4D62118A" w14:textId="77777777" w:rsidR="001011EB" w:rsidRPr="00394659" w:rsidRDefault="001011EB" w:rsidP="001011EB">
      <w:pPr>
        <w:pStyle w:val="KOMtext"/>
      </w:pPr>
      <w:r w:rsidRPr="00394659">
        <w:t>Od počátku roku 2019 do 14. prosince 2019 byly uzavřeny smlouvy o závazku veřejné služby v drážní dopravě k zabezpečení dopravních potřeb státu na samostatné relace Plzeň – Most, Pardubice – Liberec a R 13 Brno – Břeclav – Olomouc, v souladu s výsledky výběrových řízení, a samostatná smlouva na ostatní relace. Společnost GW Train Regio, a. s., zabezpečuje dopravní potřeby státu na relaci Plzeň – Most po celý rok. Od 15. prosince 2019 vstoupily v platnost nové smlouvy o veřejných službách v přepravě cestujících následovně:</w:t>
      </w:r>
    </w:p>
    <w:p w14:paraId="4647C0A9" w14:textId="77777777" w:rsidR="001011EB" w:rsidRPr="00394659" w:rsidRDefault="001011EB" w:rsidP="00952D04">
      <w:pPr>
        <w:pStyle w:val="KOMtext"/>
        <w:keepLines w:val="0"/>
        <w:numPr>
          <w:ilvl w:val="0"/>
          <w:numId w:val="33"/>
        </w:numPr>
        <w:spacing w:after="0"/>
        <w:ind w:left="714" w:hanging="357"/>
      </w:pPr>
      <w:r w:rsidRPr="00394659">
        <w:t xml:space="preserve">ARRIVA vlaky, s.r.o.,  na linkách R21 Praha – Mladá Boleslav – Turnov – Tanvald, R22 Kolín – Mladá Boleslav – Česká Lípa – Nový Bor, R24 Praha – Rakovník a R26 Praha – Příbram – Písek – České Budějovice na základě jedné smlouvy </w:t>
      </w:r>
      <w:r w:rsidRPr="00952D04">
        <w:rPr>
          <w:i/>
        </w:rPr>
        <w:t>(dále jen „R21 Praha – Tanvald“);</w:t>
      </w:r>
    </w:p>
    <w:p w14:paraId="49B6F1F4" w14:textId="77777777" w:rsidR="001011EB" w:rsidRPr="00394659" w:rsidRDefault="001011EB" w:rsidP="00D56504">
      <w:pPr>
        <w:pStyle w:val="KOMtext"/>
        <w:keepLines w:val="0"/>
        <w:numPr>
          <w:ilvl w:val="0"/>
          <w:numId w:val="33"/>
        </w:numPr>
        <w:spacing w:after="0" w:line="240" w:lineRule="auto"/>
        <w:ind w:left="714" w:hanging="357"/>
      </w:pPr>
      <w:r w:rsidRPr="00394659">
        <w:t xml:space="preserve"> RegioJet, a. s., na lince R8 Br</w:t>
      </w:r>
      <w:r w:rsidR="00E2031D">
        <w:t xml:space="preserve">no – Ostrava – Bohumín </w:t>
      </w:r>
      <w:r w:rsidR="00E2031D" w:rsidRPr="00952D04">
        <w:rPr>
          <w:i/>
        </w:rPr>
        <w:t>(dále jen</w:t>
      </w:r>
      <w:r w:rsidRPr="00952D04">
        <w:rPr>
          <w:i/>
        </w:rPr>
        <w:t xml:space="preserve"> „R8 Brno – Bohumín“);</w:t>
      </w:r>
    </w:p>
    <w:p w14:paraId="0A6D0053" w14:textId="77777777" w:rsidR="001011EB" w:rsidRPr="00394659" w:rsidRDefault="001011EB" w:rsidP="00D56504">
      <w:pPr>
        <w:pStyle w:val="KOMtext"/>
        <w:keepLines w:val="0"/>
        <w:numPr>
          <w:ilvl w:val="0"/>
          <w:numId w:val="33"/>
        </w:numPr>
        <w:spacing w:after="0" w:line="240" w:lineRule="auto"/>
        <w:ind w:left="714" w:hanging="357"/>
      </w:pPr>
      <w:r w:rsidRPr="00394659">
        <w:t>České dráhy, a. s., relace R14A Pardubice – Liberec;</w:t>
      </w:r>
    </w:p>
    <w:p w14:paraId="12B22C19" w14:textId="2C493084" w:rsidR="001011EB" w:rsidRPr="00394659" w:rsidRDefault="001011EB" w:rsidP="00D56504">
      <w:pPr>
        <w:pStyle w:val="KOMtext"/>
        <w:keepLines w:val="0"/>
        <w:numPr>
          <w:ilvl w:val="0"/>
          <w:numId w:val="33"/>
        </w:numPr>
        <w:spacing w:after="0" w:line="240" w:lineRule="auto"/>
        <w:ind w:left="714" w:hanging="357"/>
      </w:pPr>
      <w:r w:rsidRPr="00394659">
        <w:t xml:space="preserve">České dráhy, a. s., R29 Cheb – Cheb státní hranice </w:t>
      </w:r>
      <w:r w:rsidRPr="00952D04">
        <w:rPr>
          <w:i/>
        </w:rPr>
        <w:t xml:space="preserve">(dále jen </w:t>
      </w:r>
      <w:r w:rsidR="00952D04">
        <w:rPr>
          <w:i/>
        </w:rPr>
        <w:t>„</w:t>
      </w:r>
      <w:r w:rsidRPr="00952D04">
        <w:rPr>
          <w:i/>
        </w:rPr>
        <w:t>R29 Cheb – SRN“);</w:t>
      </w:r>
    </w:p>
    <w:p w14:paraId="58527A8C" w14:textId="6805DFD4" w:rsidR="001011EB" w:rsidRPr="00394659" w:rsidRDefault="001011EB" w:rsidP="00952D04">
      <w:pPr>
        <w:pStyle w:val="KOMtext"/>
        <w:keepLines w:val="0"/>
        <w:numPr>
          <w:ilvl w:val="0"/>
          <w:numId w:val="33"/>
        </w:numPr>
        <w:spacing w:after="0"/>
        <w:ind w:left="714" w:hanging="357"/>
      </w:pPr>
      <w:r w:rsidRPr="00394659">
        <w:t xml:space="preserve">České dráhy, a. s.,  Ex2 Praha – Olomouc – (Slovensko) a R18 Praha – Olomouc – Luhačovice </w:t>
      </w:r>
      <w:r w:rsidRPr="00952D04">
        <w:rPr>
          <w:i/>
        </w:rPr>
        <w:t xml:space="preserve">(dále jen </w:t>
      </w:r>
      <w:r w:rsidR="00952D04">
        <w:rPr>
          <w:i/>
        </w:rPr>
        <w:t>„</w:t>
      </w:r>
      <w:r w:rsidRPr="00952D04">
        <w:rPr>
          <w:i/>
        </w:rPr>
        <w:t>Ex2 Praha – SK“);</w:t>
      </w:r>
    </w:p>
    <w:p w14:paraId="6F3420ED" w14:textId="70FDD27D" w:rsidR="001011EB" w:rsidRPr="00394659" w:rsidRDefault="001011EB" w:rsidP="00952D04">
      <w:pPr>
        <w:pStyle w:val="KOMtext"/>
        <w:keepLines w:val="0"/>
        <w:numPr>
          <w:ilvl w:val="0"/>
          <w:numId w:val="33"/>
        </w:numPr>
        <w:spacing w:after="0"/>
        <w:ind w:left="714" w:hanging="357"/>
      </w:pPr>
      <w:r w:rsidRPr="00394659">
        <w:t xml:space="preserve">České dráhy, a. s., na linky Ex1, Ex3-Ex7, R9-R12, R14B, R15-R17, R19, R20, R23 </w:t>
      </w:r>
      <w:r w:rsidR="00851910">
        <w:br/>
      </w:r>
      <w:r w:rsidRPr="00394659">
        <w:t xml:space="preserve">a R27 </w:t>
      </w:r>
      <w:r w:rsidRPr="00952D04">
        <w:rPr>
          <w:i/>
        </w:rPr>
        <w:t xml:space="preserve">(dále jen </w:t>
      </w:r>
      <w:r w:rsidR="00952D04">
        <w:rPr>
          <w:i/>
        </w:rPr>
        <w:t>„relace dálkové dopravy</w:t>
      </w:r>
      <w:r w:rsidRPr="00952D04">
        <w:rPr>
          <w:i/>
        </w:rPr>
        <w:t>“).</w:t>
      </w:r>
    </w:p>
    <w:p w14:paraId="3DE01CA8" w14:textId="77777777" w:rsidR="001011EB" w:rsidRPr="00394659" w:rsidRDefault="001011EB" w:rsidP="001011EB">
      <w:pPr>
        <w:pStyle w:val="KOMtext"/>
      </w:pPr>
      <w:r w:rsidRPr="00394659">
        <w:lastRenderedPageBreak/>
        <w:t xml:space="preserve">Úhrada ztráty ze závazku </w:t>
      </w:r>
      <w:r w:rsidRPr="009050DE">
        <w:t>veřejné</w:t>
      </w:r>
      <w:r w:rsidRPr="00394659">
        <w:t xml:space="preserve"> služby ve veřejné drážní osobní dopravě byla k 31. 12. 2019 čerpána ve výši 4 629 884 tis. Kč, tj. 92,97 % schváleného rozpočtu, z toho  3 943 tis. Kč činilo čerpání nároků, a je rozdělena na samostatné smluvní závazky následovně:</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6" w:space="0" w:color="auto"/>
        </w:tblBorders>
        <w:tblLook w:val="01E0" w:firstRow="1" w:lastRow="1" w:firstColumn="1" w:lastColumn="1" w:noHBand="0" w:noVBand="0"/>
      </w:tblPr>
      <w:tblGrid>
        <w:gridCol w:w="3236"/>
        <w:gridCol w:w="1863"/>
      </w:tblGrid>
      <w:tr w:rsidR="001011EB" w:rsidRPr="00394659" w14:paraId="4D3F8E50" w14:textId="77777777" w:rsidTr="00C44AD3">
        <w:trPr>
          <w:jc w:val="center"/>
        </w:trPr>
        <w:tc>
          <w:tcPr>
            <w:tcW w:w="0" w:type="auto"/>
            <w:shd w:val="clear" w:color="auto" w:fill="auto"/>
          </w:tcPr>
          <w:p w14:paraId="59B83CE9" w14:textId="77777777" w:rsidR="001011EB" w:rsidRPr="00394659" w:rsidRDefault="001011EB" w:rsidP="003E46B3">
            <w:pPr>
              <w:jc w:val="center"/>
              <w:rPr>
                <w:b/>
                <w:szCs w:val="20"/>
              </w:rPr>
            </w:pPr>
            <w:r w:rsidRPr="00394659">
              <w:rPr>
                <w:b/>
                <w:szCs w:val="20"/>
              </w:rPr>
              <w:t>Smluvní závazky</w:t>
            </w:r>
          </w:p>
        </w:tc>
        <w:tc>
          <w:tcPr>
            <w:tcW w:w="0" w:type="auto"/>
            <w:shd w:val="clear" w:color="auto" w:fill="auto"/>
          </w:tcPr>
          <w:p w14:paraId="0C05955B" w14:textId="77777777" w:rsidR="001011EB" w:rsidRPr="00394659" w:rsidRDefault="001011EB" w:rsidP="003E46B3">
            <w:pPr>
              <w:jc w:val="center"/>
              <w:rPr>
                <w:b/>
                <w:szCs w:val="20"/>
              </w:rPr>
            </w:pPr>
            <w:r w:rsidRPr="00394659">
              <w:rPr>
                <w:b/>
                <w:szCs w:val="20"/>
              </w:rPr>
              <w:t>Uhrazeno</w:t>
            </w:r>
          </w:p>
        </w:tc>
      </w:tr>
      <w:tr w:rsidR="001011EB" w:rsidRPr="00394659" w14:paraId="4A57D6EB" w14:textId="77777777" w:rsidTr="00C44AD3">
        <w:trPr>
          <w:jc w:val="center"/>
        </w:trPr>
        <w:tc>
          <w:tcPr>
            <w:tcW w:w="0" w:type="auto"/>
            <w:shd w:val="clear" w:color="auto" w:fill="auto"/>
          </w:tcPr>
          <w:p w14:paraId="1A436D21" w14:textId="64C200D4" w:rsidR="001011EB" w:rsidRPr="00394659" w:rsidRDefault="00D6384D" w:rsidP="003E46B3">
            <w:pPr>
              <w:rPr>
                <w:szCs w:val="20"/>
              </w:rPr>
            </w:pPr>
            <w:r>
              <w:rPr>
                <w:szCs w:val="20"/>
              </w:rPr>
              <w:t>R25</w:t>
            </w:r>
            <w:r w:rsidR="001011EB" w:rsidRPr="00394659">
              <w:rPr>
                <w:szCs w:val="20"/>
              </w:rPr>
              <w:t xml:space="preserve"> Plzeň – Most</w:t>
            </w:r>
          </w:p>
        </w:tc>
        <w:tc>
          <w:tcPr>
            <w:tcW w:w="0" w:type="auto"/>
            <w:shd w:val="clear" w:color="auto" w:fill="auto"/>
          </w:tcPr>
          <w:p w14:paraId="27BE4B34" w14:textId="77777777" w:rsidR="001011EB" w:rsidRPr="00394659" w:rsidRDefault="001011EB" w:rsidP="003E46B3">
            <w:pPr>
              <w:jc w:val="right"/>
            </w:pPr>
            <w:r w:rsidRPr="00394659">
              <w:t>35 601 tis. Kč</w:t>
            </w:r>
          </w:p>
        </w:tc>
      </w:tr>
      <w:tr w:rsidR="001011EB" w:rsidRPr="00394659" w14:paraId="36F63395" w14:textId="77777777" w:rsidTr="00C44AD3">
        <w:trPr>
          <w:jc w:val="center"/>
        </w:trPr>
        <w:tc>
          <w:tcPr>
            <w:tcW w:w="0" w:type="auto"/>
            <w:shd w:val="clear" w:color="auto" w:fill="auto"/>
          </w:tcPr>
          <w:p w14:paraId="26DCC4B9" w14:textId="77777777" w:rsidR="001011EB" w:rsidRPr="00394659" w:rsidRDefault="001011EB" w:rsidP="003E46B3">
            <w:pPr>
              <w:rPr>
                <w:szCs w:val="20"/>
              </w:rPr>
            </w:pPr>
            <w:r w:rsidRPr="00394659">
              <w:rPr>
                <w:szCs w:val="20"/>
              </w:rPr>
              <w:t>R21 Praha - Tanvald</w:t>
            </w:r>
          </w:p>
        </w:tc>
        <w:tc>
          <w:tcPr>
            <w:tcW w:w="0" w:type="auto"/>
            <w:shd w:val="clear" w:color="auto" w:fill="auto"/>
          </w:tcPr>
          <w:p w14:paraId="7E73AE64" w14:textId="77777777" w:rsidR="001011EB" w:rsidRPr="00394659" w:rsidRDefault="001011EB" w:rsidP="003E46B3">
            <w:pPr>
              <w:jc w:val="right"/>
            </w:pPr>
            <w:r w:rsidRPr="00394659">
              <w:t>12 190 tis. Kč</w:t>
            </w:r>
          </w:p>
        </w:tc>
      </w:tr>
      <w:tr w:rsidR="001011EB" w:rsidRPr="00394659" w14:paraId="630144FC" w14:textId="77777777" w:rsidTr="00C44AD3">
        <w:trPr>
          <w:jc w:val="center"/>
        </w:trPr>
        <w:tc>
          <w:tcPr>
            <w:tcW w:w="0" w:type="auto"/>
            <w:shd w:val="clear" w:color="auto" w:fill="auto"/>
          </w:tcPr>
          <w:p w14:paraId="1E259B58" w14:textId="77777777" w:rsidR="001011EB" w:rsidRPr="00394659" w:rsidRDefault="001011EB" w:rsidP="003E46B3">
            <w:pPr>
              <w:rPr>
                <w:szCs w:val="20"/>
              </w:rPr>
            </w:pPr>
            <w:r w:rsidRPr="00394659">
              <w:rPr>
                <w:szCs w:val="20"/>
              </w:rPr>
              <w:t>R8 Brno - Bohumín</w:t>
            </w:r>
          </w:p>
        </w:tc>
        <w:tc>
          <w:tcPr>
            <w:tcW w:w="0" w:type="auto"/>
            <w:shd w:val="clear" w:color="auto" w:fill="auto"/>
          </w:tcPr>
          <w:p w14:paraId="23C54BFF" w14:textId="77777777" w:rsidR="001011EB" w:rsidRPr="00394659" w:rsidRDefault="001011EB" w:rsidP="003E46B3">
            <w:pPr>
              <w:jc w:val="right"/>
            </w:pPr>
            <w:r w:rsidRPr="00394659">
              <w:t>11 921 tis. Kč</w:t>
            </w:r>
          </w:p>
        </w:tc>
      </w:tr>
      <w:tr w:rsidR="001011EB" w:rsidRPr="00394659" w14:paraId="371D3C99" w14:textId="77777777" w:rsidTr="00C44AD3">
        <w:trPr>
          <w:jc w:val="center"/>
        </w:trPr>
        <w:tc>
          <w:tcPr>
            <w:tcW w:w="0" w:type="auto"/>
            <w:shd w:val="clear" w:color="auto" w:fill="auto"/>
          </w:tcPr>
          <w:p w14:paraId="42C05F19" w14:textId="315E3FBB" w:rsidR="001011EB" w:rsidRPr="00394659" w:rsidRDefault="00D6384D" w:rsidP="003E46B3">
            <w:pPr>
              <w:rPr>
                <w:szCs w:val="20"/>
              </w:rPr>
            </w:pPr>
            <w:r>
              <w:rPr>
                <w:szCs w:val="20"/>
              </w:rPr>
              <w:t>R14A</w:t>
            </w:r>
            <w:r w:rsidR="001011EB" w:rsidRPr="00394659">
              <w:rPr>
                <w:szCs w:val="20"/>
              </w:rPr>
              <w:t xml:space="preserve"> Pardubice – Liberec</w:t>
            </w:r>
          </w:p>
        </w:tc>
        <w:tc>
          <w:tcPr>
            <w:tcW w:w="0" w:type="auto"/>
            <w:shd w:val="clear" w:color="auto" w:fill="auto"/>
          </w:tcPr>
          <w:p w14:paraId="690D1CF8" w14:textId="77777777" w:rsidR="001011EB" w:rsidRPr="00394659" w:rsidRDefault="001011EB" w:rsidP="003E46B3">
            <w:pPr>
              <w:jc w:val="right"/>
            </w:pPr>
            <w:r w:rsidRPr="00394659">
              <w:t>103 649 tis. Kč</w:t>
            </w:r>
          </w:p>
        </w:tc>
      </w:tr>
      <w:tr w:rsidR="001011EB" w:rsidRPr="00394659" w14:paraId="1A8FD5B0" w14:textId="77777777" w:rsidTr="00C44AD3">
        <w:trPr>
          <w:jc w:val="center"/>
        </w:trPr>
        <w:tc>
          <w:tcPr>
            <w:tcW w:w="0" w:type="auto"/>
            <w:shd w:val="clear" w:color="auto" w:fill="auto"/>
          </w:tcPr>
          <w:p w14:paraId="77AA7FA3" w14:textId="1C5EBB97" w:rsidR="001011EB" w:rsidRPr="00394659" w:rsidRDefault="001011EB" w:rsidP="003E46B3">
            <w:pPr>
              <w:rPr>
                <w:szCs w:val="20"/>
              </w:rPr>
            </w:pPr>
            <w:r w:rsidRPr="00394659">
              <w:rPr>
                <w:szCs w:val="20"/>
              </w:rPr>
              <w:t>R13 Brno – Břeclav - Olomouc</w:t>
            </w:r>
          </w:p>
        </w:tc>
        <w:tc>
          <w:tcPr>
            <w:tcW w:w="0" w:type="auto"/>
            <w:shd w:val="clear" w:color="auto" w:fill="auto"/>
          </w:tcPr>
          <w:p w14:paraId="62EF8A0C" w14:textId="77777777" w:rsidR="001011EB" w:rsidRPr="00394659" w:rsidRDefault="001011EB" w:rsidP="003E46B3">
            <w:pPr>
              <w:jc w:val="right"/>
            </w:pPr>
            <w:r w:rsidRPr="00394659">
              <w:t>106 121 tis. Kč</w:t>
            </w:r>
          </w:p>
        </w:tc>
      </w:tr>
      <w:tr w:rsidR="001011EB" w:rsidRPr="00394659" w14:paraId="67156118" w14:textId="77777777" w:rsidTr="00C44AD3">
        <w:trPr>
          <w:jc w:val="center"/>
        </w:trPr>
        <w:tc>
          <w:tcPr>
            <w:tcW w:w="0" w:type="auto"/>
            <w:shd w:val="clear" w:color="auto" w:fill="auto"/>
          </w:tcPr>
          <w:p w14:paraId="1B0586EC" w14:textId="77777777" w:rsidR="001011EB" w:rsidRPr="00394659" w:rsidRDefault="001011EB" w:rsidP="003E46B3">
            <w:pPr>
              <w:rPr>
                <w:szCs w:val="20"/>
              </w:rPr>
            </w:pPr>
            <w:r w:rsidRPr="00394659">
              <w:rPr>
                <w:szCs w:val="20"/>
              </w:rPr>
              <w:t>R29 Cheb - SRN</w:t>
            </w:r>
          </w:p>
        </w:tc>
        <w:tc>
          <w:tcPr>
            <w:tcW w:w="0" w:type="auto"/>
            <w:shd w:val="clear" w:color="auto" w:fill="auto"/>
          </w:tcPr>
          <w:p w14:paraId="3E15D83D" w14:textId="77777777" w:rsidR="001011EB" w:rsidRPr="00394659" w:rsidRDefault="001011EB" w:rsidP="003E46B3">
            <w:pPr>
              <w:jc w:val="right"/>
            </w:pPr>
            <w:r w:rsidRPr="00394659">
              <w:t>168 tis. Kč</w:t>
            </w:r>
          </w:p>
        </w:tc>
      </w:tr>
      <w:tr w:rsidR="001011EB" w:rsidRPr="00394659" w14:paraId="479D2107" w14:textId="77777777" w:rsidTr="00C44AD3">
        <w:trPr>
          <w:jc w:val="center"/>
        </w:trPr>
        <w:tc>
          <w:tcPr>
            <w:tcW w:w="0" w:type="auto"/>
            <w:shd w:val="clear" w:color="auto" w:fill="auto"/>
          </w:tcPr>
          <w:p w14:paraId="3A3AB3C1" w14:textId="1D55923F" w:rsidR="001011EB" w:rsidRPr="00394659" w:rsidRDefault="001011EB" w:rsidP="003E46B3">
            <w:pPr>
              <w:rPr>
                <w:szCs w:val="20"/>
              </w:rPr>
            </w:pPr>
            <w:r w:rsidRPr="00394659">
              <w:rPr>
                <w:szCs w:val="20"/>
              </w:rPr>
              <w:t xml:space="preserve">Ex2 Praha </w:t>
            </w:r>
            <w:r w:rsidR="004B12F9">
              <w:rPr>
                <w:szCs w:val="20"/>
              </w:rPr>
              <w:t>–</w:t>
            </w:r>
            <w:r w:rsidRPr="00394659">
              <w:rPr>
                <w:szCs w:val="20"/>
              </w:rPr>
              <w:t xml:space="preserve"> SK</w:t>
            </w:r>
          </w:p>
        </w:tc>
        <w:tc>
          <w:tcPr>
            <w:tcW w:w="0" w:type="auto"/>
            <w:shd w:val="clear" w:color="auto" w:fill="auto"/>
          </w:tcPr>
          <w:p w14:paraId="790ECB60" w14:textId="77777777" w:rsidR="001011EB" w:rsidRPr="00394659" w:rsidRDefault="001011EB" w:rsidP="003E46B3">
            <w:pPr>
              <w:jc w:val="right"/>
            </w:pPr>
            <w:r w:rsidRPr="00394659">
              <w:t>21 088 tis. Kč</w:t>
            </w:r>
          </w:p>
        </w:tc>
      </w:tr>
      <w:tr w:rsidR="001011EB" w:rsidRPr="00394659" w14:paraId="45748D0B" w14:textId="77777777" w:rsidTr="00C44AD3">
        <w:trPr>
          <w:jc w:val="center"/>
        </w:trPr>
        <w:tc>
          <w:tcPr>
            <w:tcW w:w="0" w:type="auto"/>
            <w:shd w:val="clear" w:color="auto" w:fill="auto"/>
          </w:tcPr>
          <w:p w14:paraId="7208ECD2" w14:textId="13B0E506" w:rsidR="001011EB" w:rsidRPr="00394659" w:rsidRDefault="00D6384D" w:rsidP="003E46B3">
            <w:pPr>
              <w:rPr>
                <w:szCs w:val="20"/>
              </w:rPr>
            </w:pPr>
            <w:r>
              <w:rPr>
                <w:szCs w:val="20"/>
              </w:rPr>
              <w:t>relace dálkové dopravy</w:t>
            </w:r>
          </w:p>
        </w:tc>
        <w:tc>
          <w:tcPr>
            <w:tcW w:w="0" w:type="auto"/>
            <w:shd w:val="clear" w:color="auto" w:fill="auto"/>
          </w:tcPr>
          <w:p w14:paraId="5B7227FA" w14:textId="77777777" w:rsidR="001011EB" w:rsidRPr="00394659" w:rsidRDefault="001011EB" w:rsidP="003E46B3">
            <w:pPr>
              <w:rPr>
                <w:rFonts w:ascii="Arial" w:hAnsi="Arial" w:cs="Arial"/>
                <w:sz w:val="20"/>
                <w:szCs w:val="20"/>
              </w:rPr>
            </w:pPr>
            <w:r w:rsidRPr="00394659">
              <w:t>4 339 146 tis. Kč</w:t>
            </w:r>
          </w:p>
        </w:tc>
      </w:tr>
    </w:tbl>
    <w:p w14:paraId="2353B611" w14:textId="77777777" w:rsidR="001011EB" w:rsidRPr="00394659" w:rsidRDefault="001011EB" w:rsidP="001011EB">
      <w:pPr>
        <w:pStyle w:val="Nadpis6"/>
      </w:pPr>
      <w:r w:rsidRPr="00394659">
        <w:t>Příspěvek na dopravní cestu nehrazený ze Státního fondu dopravní infrastruktury</w:t>
      </w:r>
    </w:p>
    <w:p w14:paraId="5D7C6033" w14:textId="719DEC92" w:rsidR="001011EB" w:rsidRPr="00394659" w:rsidRDefault="001011EB" w:rsidP="001011EB">
      <w:pPr>
        <w:pStyle w:val="KOMtext"/>
      </w:pPr>
      <w:r w:rsidRPr="00394659">
        <w:t xml:space="preserve">Příjemcem příspěvku na dopravní cestu nehrazeného ze </w:t>
      </w:r>
      <w:r w:rsidR="0033453B">
        <w:t xml:space="preserve">SŽDC, s.o. </w:t>
      </w:r>
      <w:r w:rsidRPr="00394659">
        <w:t>Tímto příspěvkem je částečně vyrovnáván rozdíl mezi tržbami a náklady souvisejícími s hospodařením majetku státu při provozování železniční dopravní cesty a zajišťování její provozuschopnosti ve veřejném zájmu, kdy nelze použít dotace ze Státního fondu dopravní infrastruktury.</w:t>
      </w:r>
    </w:p>
    <w:p w14:paraId="07835CF2" w14:textId="77777777" w:rsidR="001011EB" w:rsidRPr="00394659" w:rsidRDefault="001011EB" w:rsidP="001011EB">
      <w:pPr>
        <w:pStyle w:val="KOMtext"/>
      </w:pPr>
      <w:r w:rsidRPr="00D56504">
        <w:t>Na příspěvek byla ve schváleném státn</w:t>
      </w:r>
      <w:r w:rsidR="0037541D" w:rsidRPr="00D56504">
        <w:t>ím rozpočtu vyčleněna částka 400</w:t>
      </w:r>
      <w:r w:rsidRPr="00D56504">
        <w:t xml:space="preserve"> 000 tis. Kč.  V průběhu druhého čtvrtletí byl rozpočtovými opatře</w:t>
      </w:r>
      <w:r w:rsidR="0037541D" w:rsidRPr="00D56504">
        <w:t>ními snížen o 158 500</w:t>
      </w:r>
      <w:r w:rsidRPr="00D56504">
        <w:t xml:space="preserve"> tis. Kč, </w:t>
      </w:r>
      <w:r w:rsidR="0037541D" w:rsidRPr="00D56504">
        <w:t>tj. na 241 500</w:t>
      </w:r>
      <w:r w:rsidRPr="00D56504">
        <w:t xml:space="preserve"> tis. Kč. Příspěvek nebyl čerpán.</w:t>
      </w:r>
    </w:p>
    <w:p w14:paraId="55917047" w14:textId="77777777" w:rsidR="001011EB" w:rsidRPr="00394659" w:rsidRDefault="001011EB" w:rsidP="001011EB">
      <w:pPr>
        <w:pStyle w:val="Nadpis6"/>
        <w:rPr>
          <w:sz w:val="20"/>
        </w:rPr>
      </w:pPr>
      <w:r w:rsidRPr="00394659">
        <w:t>Systém odměňování výkonů</w:t>
      </w:r>
    </w:p>
    <w:p w14:paraId="478D2EC1" w14:textId="05F8C492" w:rsidR="001011EB" w:rsidRPr="00394659" w:rsidRDefault="001011EB" w:rsidP="001011EB">
      <w:pPr>
        <w:pStyle w:val="KOMtext"/>
      </w:pPr>
      <w:r w:rsidRPr="00394659">
        <w:t xml:space="preserve">Příjemcem dotace byla státní organizace </w:t>
      </w:r>
      <w:r w:rsidR="0033453B">
        <w:t>SŽDC</w:t>
      </w:r>
      <w:r w:rsidRPr="00394659">
        <w:t>, s. o. Tato dotace je určena na kompenzaci všem železničním dopravcům provozujícím veřejnou osobní dopravu za každý nahrazený vlak náhradní autobusovou dopravou z důvodu omezení provozování dráhy.</w:t>
      </w:r>
    </w:p>
    <w:p w14:paraId="0E478F96" w14:textId="77777777" w:rsidR="001011EB" w:rsidRPr="00394659" w:rsidRDefault="001011EB" w:rsidP="001011EB">
      <w:pPr>
        <w:pStyle w:val="KOMtext"/>
      </w:pPr>
      <w:r w:rsidRPr="00394659">
        <w:t xml:space="preserve">Vzhledem ke změně </w:t>
      </w:r>
      <w:r w:rsidRPr="009050DE">
        <w:t>právních</w:t>
      </w:r>
      <w:r w:rsidRPr="00394659">
        <w:t xml:space="preserve"> předpisů jsou náklady související s náhradní autobusovou dopravou od druhého čtvrtletí roku 2017 hrazeny Státním fondem dopravní infrastruktury.</w:t>
      </w:r>
    </w:p>
    <w:p w14:paraId="6A5C2F6D" w14:textId="77777777" w:rsidR="001011EB" w:rsidRPr="00394659" w:rsidRDefault="001011EB" w:rsidP="001011EB">
      <w:pPr>
        <w:pStyle w:val="Nadpis6"/>
      </w:pPr>
      <w:r w:rsidRPr="00394659">
        <w:t>Dotace na provoz jídelny Ministerstva dopravy</w:t>
      </w:r>
    </w:p>
    <w:p w14:paraId="063007A8" w14:textId="79DBA5D0" w:rsidR="00D1484C" w:rsidRDefault="00D1484C" w:rsidP="001011EB">
      <w:pPr>
        <w:pStyle w:val="KOMtext"/>
      </w:pPr>
      <w:r>
        <w:t>Příjemcem dotace byl v roce 2018 CENDIS, s.p.</w:t>
      </w:r>
    </w:p>
    <w:p w14:paraId="6D9462CE" w14:textId="0CED49AC" w:rsidR="001011EB" w:rsidRPr="00394659" w:rsidRDefault="001011EB" w:rsidP="001011EB">
      <w:pPr>
        <w:pStyle w:val="KOMtext"/>
      </w:pPr>
      <w:r w:rsidRPr="00394659">
        <w:t>V roce 2019 nebyla dotace poskytnuta.</w:t>
      </w:r>
    </w:p>
    <w:p w14:paraId="709F5C7D" w14:textId="77777777" w:rsidR="001011EB" w:rsidRPr="00214598" w:rsidRDefault="001011EB" w:rsidP="001011EB">
      <w:pPr>
        <w:pStyle w:val="Nadpis6"/>
      </w:pPr>
      <w:r w:rsidRPr="00214598">
        <w:t>Program spolufinancovaný z EU - CEF 2014+ (projekt C-ROADS CZ)</w:t>
      </w:r>
    </w:p>
    <w:p w14:paraId="2CAC17BB" w14:textId="77777777" w:rsidR="001011EB" w:rsidRPr="0071266A" w:rsidRDefault="001011EB" w:rsidP="001011EB">
      <w:pPr>
        <w:pStyle w:val="KOMtext"/>
        <w:rPr>
          <w:color w:val="FF0000"/>
          <w:sz w:val="20"/>
        </w:rPr>
      </w:pPr>
      <w:r w:rsidRPr="00AA3C19">
        <w:t xml:space="preserve">Projekt C-ROADS Czech Republic je projekt úzce spojený s mezinárodní iniciativou C-ROADS, jež byla výsledkem společné aktivity států ČR, Rakouska a Německa, zvláště spolkové země Dolní Sasko. Projekt si klade si za cíl harmonizaci a spolupráci při zavádění systémů C-ITS ve státech střední Evropy. Projekt je spolufinancován z Nástroje pro propojení Evropy 2014+ (CEF Transport) z víceletého pracovního programu Evropské unie. Koordinátorem projektu je Ministerstvo dopravy ČR. Partnery projektu za podnikatelské subjekty jsou AŽD Praha s.r.o., Brněnské komunikace a.s., O2 Czech Republic a.s., T-Mobile Czech Republic a.s. a INTENS Corporation s.r.o. Dále se na projektu bude účastnit Vodafone Czech Republic a.s., a to v rámci konzultací technického řešení. </w:t>
      </w:r>
    </w:p>
    <w:p w14:paraId="61171F33" w14:textId="77777777" w:rsidR="006F668E" w:rsidRDefault="001011EB" w:rsidP="00B94815">
      <w:pPr>
        <w:pStyle w:val="KOMtext"/>
      </w:pPr>
      <w:r w:rsidRPr="00AA3C19">
        <w:lastRenderedPageBreak/>
        <w:t>Pro rok 2019 byly rozpočtovány neinvestiční prostředky projektu C-ROADS CZ (podíl EU) ve výši 12 918 tis. Kč. V průběhu roku 2019 nebyl objem uprave</w:t>
      </w:r>
      <w:r>
        <w:t xml:space="preserve">n. </w:t>
      </w:r>
      <w:r w:rsidRPr="00AA3C19">
        <w:t xml:space="preserve">Prostředky byly čerpány ve výši 33 161 tis. Kč, </w:t>
      </w:r>
      <w:r>
        <w:t>v tom</w:t>
      </w:r>
      <w:r w:rsidRPr="00AA3C19">
        <w:t xml:space="preserve"> prostředky EU 33 161 tis. Kč, </w:t>
      </w:r>
      <w:r>
        <w:t xml:space="preserve">z toho </w:t>
      </w:r>
      <w:r w:rsidRPr="00AA3C19">
        <w:t>rezervní fond 31 139 tis. Kč. Finanční prostředky čerpal</w:t>
      </w:r>
      <w:r>
        <w:t xml:space="preserve">i </w:t>
      </w:r>
      <w:r w:rsidR="006F668E">
        <w:t xml:space="preserve">příjemci v rámci projektu, a to </w:t>
      </w:r>
      <w:r w:rsidR="006F668E" w:rsidRPr="0020139C">
        <w:t>na mzdy, cestovné a ostatní přímé náklady</w:t>
      </w:r>
      <w:r w:rsidR="006F668E">
        <w:t>.</w:t>
      </w:r>
    </w:p>
    <w:tbl>
      <w:tblPr>
        <w:tblStyle w:val="Mkatabulky"/>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820"/>
        <w:gridCol w:w="1701"/>
      </w:tblGrid>
      <w:tr w:rsidR="00712992" w14:paraId="5D0AC6D9" w14:textId="77777777" w:rsidTr="000C2256">
        <w:trPr>
          <w:trHeight w:val="178"/>
          <w:jc w:val="center"/>
        </w:trPr>
        <w:tc>
          <w:tcPr>
            <w:tcW w:w="4820" w:type="dxa"/>
            <w:tcBorders>
              <w:top w:val="single" w:sz="8" w:space="0" w:color="auto"/>
              <w:left w:val="single" w:sz="8" w:space="0" w:color="auto"/>
              <w:bottom w:val="single" w:sz="8" w:space="0" w:color="auto"/>
            </w:tcBorders>
          </w:tcPr>
          <w:p w14:paraId="4F14BF31" w14:textId="77777777" w:rsidR="00712992" w:rsidRDefault="00712992" w:rsidP="006F668E">
            <w:pPr>
              <w:jc w:val="both"/>
              <w:rPr>
                <w:b/>
                <w:szCs w:val="20"/>
              </w:rPr>
            </w:pPr>
            <w:r>
              <w:rPr>
                <w:b/>
                <w:szCs w:val="20"/>
              </w:rPr>
              <w:t>Partneři pro</w:t>
            </w:r>
            <w:r w:rsidR="006F668E">
              <w:rPr>
                <w:b/>
                <w:szCs w:val="20"/>
              </w:rPr>
              <w:t>jektu za podnikatelské subjekty</w:t>
            </w:r>
          </w:p>
        </w:tc>
        <w:tc>
          <w:tcPr>
            <w:tcW w:w="1701" w:type="dxa"/>
            <w:tcBorders>
              <w:top w:val="single" w:sz="8" w:space="0" w:color="auto"/>
              <w:bottom w:val="single" w:sz="8" w:space="0" w:color="auto"/>
              <w:right w:val="single" w:sz="8" w:space="0" w:color="auto"/>
            </w:tcBorders>
          </w:tcPr>
          <w:p w14:paraId="69F7A892" w14:textId="77777777" w:rsidR="00712992" w:rsidRDefault="00712992" w:rsidP="006F668E">
            <w:pPr>
              <w:jc w:val="right"/>
              <w:rPr>
                <w:b/>
                <w:szCs w:val="20"/>
              </w:rPr>
            </w:pPr>
            <w:r>
              <w:rPr>
                <w:b/>
                <w:szCs w:val="20"/>
              </w:rPr>
              <w:t>33</w:t>
            </w:r>
            <w:r w:rsidR="006F668E">
              <w:rPr>
                <w:b/>
                <w:szCs w:val="20"/>
              </w:rPr>
              <w:t> </w:t>
            </w:r>
            <w:r>
              <w:rPr>
                <w:b/>
                <w:szCs w:val="20"/>
              </w:rPr>
              <w:t>161</w:t>
            </w:r>
            <w:r w:rsidR="006F668E">
              <w:rPr>
                <w:b/>
                <w:szCs w:val="20"/>
              </w:rPr>
              <w:t xml:space="preserve"> tis. Kč</w:t>
            </w:r>
          </w:p>
        </w:tc>
      </w:tr>
      <w:tr w:rsidR="00712992" w14:paraId="69E26CBE" w14:textId="77777777" w:rsidTr="000C2256">
        <w:trPr>
          <w:trHeight w:val="227"/>
          <w:jc w:val="center"/>
        </w:trPr>
        <w:tc>
          <w:tcPr>
            <w:tcW w:w="4820" w:type="dxa"/>
            <w:tcBorders>
              <w:top w:val="single" w:sz="8" w:space="0" w:color="auto"/>
              <w:left w:val="single" w:sz="8" w:space="0" w:color="auto"/>
              <w:bottom w:val="single" w:sz="4" w:space="0" w:color="auto"/>
            </w:tcBorders>
            <w:vAlign w:val="center"/>
          </w:tcPr>
          <w:p w14:paraId="017B5C8F" w14:textId="77777777" w:rsidR="00712992" w:rsidRPr="00712992" w:rsidRDefault="00712992" w:rsidP="00B94815">
            <w:pPr>
              <w:rPr>
                <w:szCs w:val="20"/>
              </w:rPr>
            </w:pPr>
            <w:r w:rsidRPr="00712992">
              <w:rPr>
                <w:szCs w:val="20"/>
              </w:rPr>
              <w:t>O2 Czech Republic a.s.</w:t>
            </w:r>
          </w:p>
        </w:tc>
        <w:tc>
          <w:tcPr>
            <w:tcW w:w="1701" w:type="dxa"/>
            <w:tcBorders>
              <w:top w:val="single" w:sz="8" w:space="0" w:color="auto"/>
              <w:bottom w:val="single" w:sz="4" w:space="0" w:color="auto"/>
              <w:right w:val="single" w:sz="8" w:space="0" w:color="auto"/>
            </w:tcBorders>
            <w:vAlign w:val="center"/>
          </w:tcPr>
          <w:p w14:paraId="749A98BC" w14:textId="77777777" w:rsidR="00712992" w:rsidRPr="00712992" w:rsidRDefault="00712992" w:rsidP="00B94815">
            <w:pPr>
              <w:jc w:val="right"/>
              <w:rPr>
                <w:szCs w:val="20"/>
              </w:rPr>
            </w:pPr>
            <w:r w:rsidRPr="00712992">
              <w:rPr>
                <w:szCs w:val="20"/>
              </w:rPr>
              <w:t>18</w:t>
            </w:r>
            <w:r w:rsidR="006F668E">
              <w:rPr>
                <w:szCs w:val="20"/>
              </w:rPr>
              <w:t> </w:t>
            </w:r>
            <w:r w:rsidRPr="00712992">
              <w:rPr>
                <w:szCs w:val="20"/>
              </w:rPr>
              <w:t>593</w:t>
            </w:r>
            <w:r w:rsidR="006F668E">
              <w:rPr>
                <w:szCs w:val="20"/>
              </w:rPr>
              <w:t xml:space="preserve"> tis. Kč</w:t>
            </w:r>
          </w:p>
        </w:tc>
      </w:tr>
      <w:tr w:rsidR="00712992" w14:paraId="4B09C575" w14:textId="77777777" w:rsidTr="000C2256">
        <w:trPr>
          <w:jc w:val="center"/>
        </w:trPr>
        <w:tc>
          <w:tcPr>
            <w:tcW w:w="4820" w:type="dxa"/>
            <w:tcBorders>
              <w:top w:val="single" w:sz="4" w:space="0" w:color="auto"/>
              <w:left w:val="single" w:sz="8" w:space="0" w:color="auto"/>
              <w:bottom w:val="single" w:sz="4" w:space="0" w:color="auto"/>
            </w:tcBorders>
            <w:vAlign w:val="center"/>
          </w:tcPr>
          <w:p w14:paraId="2E729190" w14:textId="77777777" w:rsidR="00712992" w:rsidRPr="00712992" w:rsidRDefault="00712992" w:rsidP="00B94815">
            <w:pPr>
              <w:rPr>
                <w:szCs w:val="20"/>
              </w:rPr>
            </w:pPr>
            <w:r w:rsidRPr="00712992">
              <w:rPr>
                <w:szCs w:val="20"/>
              </w:rPr>
              <w:t>INTENS Corporation s.r.o.</w:t>
            </w:r>
          </w:p>
        </w:tc>
        <w:tc>
          <w:tcPr>
            <w:tcW w:w="1701" w:type="dxa"/>
            <w:tcBorders>
              <w:top w:val="single" w:sz="4" w:space="0" w:color="auto"/>
              <w:bottom w:val="single" w:sz="4" w:space="0" w:color="auto"/>
              <w:right w:val="single" w:sz="8" w:space="0" w:color="auto"/>
            </w:tcBorders>
            <w:vAlign w:val="center"/>
          </w:tcPr>
          <w:p w14:paraId="7C47014C" w14:textId="77777777" w:rsidR="00712992" w:rsidRPr="00712992" w:rsidRDefault="00712992" w:rsidP="00B94815">
            <w:pPr>
              <w:jc w:val="right"/>
              <w:rPr>
                <w:szCs w:val="20"/>
              </w:rPr>
            </w:pPr>
            <w:r w:rsidRPr="00712992">
              <w:rPr>
                <w:szCs w:val="20"/>
              </w:rPr>
              <w:t>5</w:t>
            </w:r>
            <w:r w:rsidR="006F668E">
              <w:rPr>
                <w:szCs w:val="20"/>
              </w:rPr>
              <w:t> </w:t>
            </w:r>
            <w:r w:rsidRPr="00712992">
              <w:rPr>
                <w:szCs w:val="20"/>
              </w:rPr>
              <w:t>521</w:t>
            </w:r>
            <w:r w:rsidR="006F668E">
              <w:rPr>
                <w:szCs w:val="20"/>
              </w:rPr>
              <w:t xml:space="preserve"> tis. Kč</w:t>
            </w:r>
          </w:p>
        </w:tc>
      </w:tr>
      <w:tr w:rsidR="00712992" w14:paraId="52325620" w14:textId="77777777" w:rsidTr="000C2256">
        <w:trPr>
          <w:jc w:val="center"/>
        </w:trPr>
        <w:tc>
          <w:tcPr>
            <w:tcW w:w="4820" w:type="dxa"/>
            <w:tcBorders>
              <w:top w:val="single" w:sz="4" w:space="0" w:color="auto"/>
              <w:left w:val="single" w:sz="8" w:space="0" w:color="auto"/>
            </w:tcBorders>
            <w:vAlign w:val="center"/>
          </w:tcPr>
          <w:p w14:paraId="50E8F54A" w14:textId="77777777" w:rsidR="00712992" w:rsidRPr="00712992" w:rsidRDefault="00712992" w:rsidP="00B94815">
            <w:pPr>
              <w:rPr>
                <w:szCs w:val="20"/>
              </w:rPr>
            </w:pPr>
            <w:r w:rsidRPr="00712992">
              <w:rPr>
                <w:szCs w:val="20"/>
              </w:rPr>
              <w:t>AŽD Praha s.r.o.</w:t>
            </w:r>
          </w:p>
        </w:tc>
        <w:tc>
          <w:tcPr>
            <w:tcW w:w="1701" w:type="dxa"/>
            <w:tcBorders>
              <w:top w:val="single" w:sz="4" w:space="0" w:color="auto"/>
              <w:right w:val="single" w:sz="8" w:space="0" w:color="auto"/>
            </w:tcBorders>
            <w:vAlign w:val="center"/>
          </w:tcPr>
          <w:p w14:paraId="14170548" w14:textId="77777777" w:rsidR="00712992" w:rsidRPr="00712992" w:rsidRDefault="00712992" w:rsidP="00B94815">
            <w:pPr>
              <w:jc w:val="right"/>
              <w:rPr>
                <w:szCs w:val="20"/>
              </w:rPr>
            </w:pPr>
            <w:r w:rsidRPr="00712992">
              <w:rPr>
                <w:szCs w:val="20"/>
              </w:rPr>
              <w:t>4</w:t>
            </w:r>
            <w:r w:rsidR="006F668E">
              <w:rPr>
                <w:szCs w:val="20"/>
              </w:rPr>
              <w:t> </w:t>
            </w:r>
            <w:r w:rsidRPr="00712992">
              <w:rPr>
                <w:szCs w:val="20"/>
              </w:rPr>
              <w:t>364</w:t>
            </w:r>
            <w:r w:rsidR="006F668E">
              <w:rPr>
                <w:szCs w:val="20"/>
              </w:rPr>
              <w:t xml:space="preserve"> tis. Kč</w:t>
            </w:r>
          </w:p>
        </w:tc>
      </w:tr>
      <w:tr w:rsidR="00712992" w14:paraId="6FECA91D" w14:textId="77777777" w:rsidTr="000C2256">
        <w:trPr>
          <w:jc w:val="center"/>
        </w:trPr>
        <w:tc>
          <w:tcPr>
            <w:tcW w:w="4820" w:type="dxa"/>
            <w:tcBorders>
              <w:left w:val="single" w:sz="8" w:space="0" w:color="auto"/>
            </w:tcBorders>
            <w:vAlign w:val="center"/>
          </w:tcPr>
          <w:p w14:paraId="701EE197" w14:textId="77777777" w:rsidR="00712992" w:rsidRPr="00712992" w:rsidRDefault="00712992" w:rsidP="00B94815">
            <w:pPr>
              <w:rPr>
                <w:szCs w:val="20"/>
              </w:rPr>
            </w:pPr>
            <w:r w:rsidRPr="00712992">
              <w:rPr>
                <w:szCs w:val="20"/>
              </w:rPr>
              <w:t>T-Mobile Czech Republic a.s.</w:t>
            </w:r>
          </w:p>
        </w:tc>
        <w:tc>
          <w:tcPr>
            <w:tcW w:w="1701" w:type="dxa"/>
            <w:tcBorders>
              <w:right w:val="single" w:sz="8" w:space="0" w:color="auto"/>
            </w:tcBorders>
            <w:vAlign w:val="center"/>
          </w:tcPr>
          <w:p w14:paraId="6BC14122" w14:textId="77777777" w:rsidR="00712992" w:rsidRPr="00712992" w:rsidRDefault="00712992" w:rsidP="00B94815">
            <w:pPr>
              <w:jc w:val="right"/>
              <w:rPr>
                <w:szCs w:val="20"/>
              </w:rPr>
            </w:pPr>
            <w:r w:rsidRPr="00712992">
              <w:rPr>
                <w:szCs w:val="20"/>
              </w:rPr>
              <w:t>4</w:t>
            </w:r>
            <w:r w:rsidR="006F668E">
              <w:rPr>
                <w:szCs w:val="20"/>
              </w:rPr>
              <w:t> </w:t>
            </w:r>
            <w:r w:rsidRPr="00712992">
              <w:rPr>
                <w:szCs w:val="20"/>
              </w:rPr>
              <w:t>158</w:t>
            </w:r>
            <w:r w:rsidR="006F668E">
              <w:rPr>
                <w:szCs w:val="20"/>
              </w:rPr>
              <w:t xml:space="preserve"> tis. Kč</w:t>
            </w:r>
          </w:p>
        </w:tc>
      </w:tr>
      <w:tr w:rsidR="00712992" w14:paraId="0A7AFF7B" w14:textId="77777777" w:rsidTr="000C2256">
        <w:trPr>
          <w:jc w:val="center"/>
        </w:trPr>
        <w:tc>
          <w:tcPr>
            <w:tcW w:w="4820" w:type="dxa"/>
            <w:tcBorders>
              <w:left w:val="single" w:sz="8" w:space="0" w:color="auto"/>
              <w:bottom w:val="single" w:sz="8" w:space="0" w:color="auto"/>
            </w:tcBorders>
            <w:vAlign w:val="center"/>
          </w:tcPr>
          <w:p w14:paraId="6520AFCD" w14:textId="77777777" w:rsidR="00712992" w:rsidRPr="00712992" w:rsidRDefault="00712992" w:rsidP="00B94815">
            <w:pPr>
              <w:rPr>
                <w:szCs w:val="20"/>
              </w:rPr>
            </w:pPr>
            <w:r w:rsidRPr="00712992">
              <w:rPr>
                <w:szCs w:val="20"/>
              </w:rPr>
              <w:t>Brněnské komunikace a.s.</w:t>
            </w:r>
          </w:p>
        </w:tc>
        <w:tc>
          <w:tcPr>
            <w:tcW w:w="1701" w:type="dxa"/>
            <w:tcBorders>
              <w:bottom w:val="single" w:sz="8" w:space="0" w:color="auto"/>
              <w:right w:val="single" w:sz="8" w:space="0" w:color="auto"/>
            </w:tcBorders>
            <w:vAlign w:val="center"/>
          </w:tcPr>
          <w:p w14:paraId="32052576" w14:textId="77777777" w:rsidR="00712992" w:rsidRPr="00712992" w:rsidRDefault="00712992" w:rsidP="00B94815">
            <w:pPr>
              <w:jc w:val="right"/>
              <w:rPr>
                <w:szCs w:val="20"/>
              </w:rPr>
            </w:pPr>
            <w:r w:rsidRPr="00712992">
              <w:rPr>
                <w:szCs w:val="20"/>
              </w:rPr>
              <w:t>525</w:t>
            </w:r>
            <w:r w:rsidR="006F668E">
              <w:rPr>
                <w:szCs w:val="20"/>
              </w:rPr>
              <w:t xml:space="preserve"> tis. Kč</w:t>
            </w:r>
          </w:p>
        </w:tc>
      </w:tr>
    </w:tbl>
    <w:p w14:paraId="2BA7BC78" w14:textId="77777777" w:rsidR="001011EB" w:rsidRPr="00C26B90" w:rsidRDefault="001011EB" w:rsidP="000C2256">
      <w:pPr>
        <w:spacing w:before="180"/>
        <w:jc w:val="both"/>
        <w:rPr>
          <w:b/>
          <w:u w:val="single"/>
        </w:rPr>
      </w:pPr>
      <w:r w:rsidRPr="00C26B90">
        <w:rPr>
          <w:b/>
          <w:u w:val="single"/>
        </w:rPr>
        <w:t>Úhrada poplatků vybíraných za LPS poskytované ve vzdušném prostoru</w:t>
      </w:r>
    </w:p>
    <w:p w14:paraId="5CF61691" w14:textId="77777777" w:rsidR="001011EB" w:rsidRPr="00394659" w:rsidRDefault="001011EB" w:rsidP="001011EB">
      <w:pPr>
        <w:pStyle w:val="KOMtext"/>
      </w:pPr>
      <w:r w:rsidRPr="00394659">
        <w:t xml:space="preserve">V souladu s usnesením vlády ze dne 2.11.2005 č. 1404, k úhradě poplatků vybíraných </w:t>
      </w:r>
      <w:r w:rsidRPr="00394659">
        <w:br/>
        <w:t xml:space="preserve">za letové provozní služby poskytované ve vzdušném prostoru České republiky a nařízením Komise (EU) č. 391/2013 ze dne 3.5.2013, kterým se stanoví společný systém poplatků za letové navigační služby, stát hradí státnímu podniku Řízení letového provozu ČR náklady související s poskytováním letových služeb letům ve vzdušném prostoru České republiky osvobozeným od zpoplatnění. </w:t>
      </w:r>
    </w:p>
    <w:p w14:paraId="67CCA3BF" w14:textId="6C95A884" w:rsidR="001011EB" w:rsidRPr="00394659" w:rsidRDefault="00586B7E" w:rsidP="001011EB">
      <w:pPr>
        <w:pStyle w:val="KOMtext"/>
      </w:pPr>
      <w:r>
        <w:t>Pro rok 2019 byly</w:t>
      </w:r>
      <w:r w:rsidR="001011EB" w:rsidRPr="00394659">
        <w:t xml:space="preserve"> rozpočtovány úhrady ve výši 71 797 tis. Kč. K 31. 12. 2019 byla dotace čerpána ve výši 51</w:t>
      </w:r>
      <w:r w:rsidR="008B782B">
        <w:t> </w:t>
      </w:r>
      <w:r w:rsidR="001011EB" w:rsidRPr="00394659">
        <w:t>826</w:t>
      </w:r>
      <w:r w:rsidR="008B782B">
        <w:t xml:space="preserve"> </w:t>
      </w:r>
      <w:r w:rsidR="001011EB" w:rsidRPr="00394659">
        <w:t>tis. Kč, tj. 72,18 % schváleného rozpočtu.</w:t>
      </w:r>
    </w:p>
    <w:p w14:paraId="30B2C5E2" w14:textId="77777777" w:rsidR="001011EB" w:rsidRPr="00C26B90" w:rsidRDefault="001011EB" w:rsidP="001011EB">
      <w:pPr>
        <w:spacing w:before="120"/>
        <w:jc w:val="both"/>
        <w:rPr>
          <w:b/>
          <w:u w:val="single"/>
        </w:rPr>
      </w:pPr>
      <w:r w:rsidRPr="00C26B90">
        <w:rPr>
          <w:b/>
          <w:bCs/>
          <w:u w:val="single"/>
        </w:rPr>
        <w:t>Program 127 66 „P</w:t>
      </w:r>
      <w:r w:rsidRPr="00C26B90">
        <w:rPr>
          <w:b/>
          <w:u w:val="single"/>
        </w:rPr>
        <w:t>odpora obnovy historických železničních kolejových vozidel v období   2017 – 2020“</w:t>
      </w:r>
    </w:p>
    <w:p w14:paraId="555E2D5E" w14:textId="0192FC4D" w:rsidR="001011EB" w:rsidRPr="00D56504" w:rsidRDefault="001011EB" w:rsidP="001011EB">
      <w:pPr>
        <w:pStyle w:val="KOMtext"/>
      </w:pPr>
      <w:r w:rsidRPr="00586B7E">
        <w:t xml:space="preserve">Schváleným rozpočtem byla pro rok 2019 na program pro podnikatelské subjekty vyčleněna částka </w:t>
      </w:r>
      <w:r w:rsidR="00586B7E" w:rsidRPr="00586B7E">
        <w:t>4 000 tis. Kč. V průběhu 3</w:t>
      </w:r>
      <w:r w:rsidR="00586B7E" w:rsidRPr="00D56504">
        <w:t>. a 4.</w:t>
      </w:r>
      <w:r w:rsidRPr="00D56504">
        <w:t xml:space="preserve"> čtvrtletí 2019 byl ukazatel snížen o 2 245 tis. Kč ve prospěch spolků </w:t>
      </w:r>
      <w:r w:rsidR="00586B7E" w:rsidRPr="00D56504">
        <w:rPr>
          <w:bCs/>
        </w:rPr>
        <w:t>(1 701</w:t>
      </w:r>
      <w:r w:rsidRPr="00D56504">
        <w:rPr>
          <w:bCs/>
        </w:rPr>
        <w:t xml:space="preserve">  tis. Kč)  a obe</w:t>
      </w:r>
      <w:r w:rsidR="00586B7E" w:rsidRPr="00D56504">
        <w:rPr>
          <w:bCs/>
        </w:rPr>
        <w:t>cně prospěšných společností (544</w:t>
      </w:r>
      <w:r w:rsidRPr="00D56504">
        <w:rPr>
          <w:bCs/>
        </w:rPr>
        <w:t xml:space="preserve">  tis. Kč).</w:t>
      </w:r>
    </w:p>
    <w:p w14:paraId="18FF46D1" w14:textId="42941C39" w:rsidR="001011EB" w:rsidRPr="009050DE" w:rsidRDefault="001011EB" w:rsidP="001011EB">
      <w:pPr>
        <w:pStyle w:val="KOMtext"/>
        <w:rPr>
          <w:color w:val="FF0000"/>
        </w:rPr>
      </w:pPr>
      <w:r w:rsidRPr="00D56504">
        <w:t xml:space="preserve">K 31. 12. 2019 byly čerpány neinvestiční prostředky ve výši 1 646  tis. Kč, tj. 93,79 % upraveného rozpočtu. Prostředky neinvestiční dotace byly poskytnuty těmto podnikatelským subjektům: České dráhy, a. s. (450  tis. Kč) a ROMPIO </w:t>
      </w:r>
      <w:r w:rsidR="009B022B">
        <w:t xml:space="preserve">s. r.o. </w:t>
      </w:r>
      <w:r w:rsidRPr="00D56504">
        <w:t>(1 196 tis. Kč).</w:t>
      </w:r>
      <w:r w:rsidRPr="009050DE">
        <w:rPr>
          <w:color w:val="FF0000"/>
        </w:rPr>
        <w:t xml:space="preserve"> </w:t>
      </w:r>
    </w:p>
    <w:p w14:paraId="144C8756" w14:textId="77777777" w:rsidR="0071266A" w:rsidRDefault="0071266A" w:rsidP="001011EB">
      <w:pPr>
        <w:pStyle w:val="KOMtext"/>
        <w:rPr>
          <w:u w:val="single"/>
        </w:rPr>
      </w:pPr>
    </w:p>
    <w:p w14:paraId="56F0A5B0" w14:textId="2020B4DF" w:rsidR="001011EB" w:rsidRPr="00C26B90" w:rsidRDefault="001011EB" w:rsidP="00B94815">
      <w:pPr>
        <w:pStyle w:val="KOMtext"/>
        <w:keepNext/>
      </w:pPr>
      <w:r w:rsidRPr="00251B76">
        <w:rPr>
          <w:u w:val="single"/>
        </w:rPr>
        <w:lastRenderedPageBreak/>
        <w:t>Porovnání neinvestičních transferů podnikatelským subjektům ve vývojové řadě 2015 – 2019</w:t>
      </w:r>
      <w:r w:rsidRPr="00C26B90">
        <w:t xml:space="preserve"> (vybrané </w:t>
      </w:r>
      <w:r w:rsidR="000301F7">
        <w:t xml:space="preserve">významné </w:t>
      </w:r>
      <w:r w:rsidRPr="00C26B90">
        <w:t>tituly):</w:t>
      </w:r>
    </w:p>
    <w:p w14:paraId="69113AA9" w14:textId="77777777" w:rsidR="001011EB" w:rsidRPr="006A6595" w:rsidRDefault="001011EB" w:rsidP="001011EB">
      <w:pPr>
        <w:keepNext/>
        <w:ind w:left="357" w:right="1"/>
        <w:jc w:val="right"/>
      </w:pPr>
      <w:r w:rsidRPr="006A6595">
        <w:t>v tis.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1152"/>
        <w:gridCol w:w="1152"/>
        <w:gridCol w:w="1152"/>
        <w:gridCol w:w="1152"/>
        <w:gridCol w:w="1152"/>
      </w:tblGrid>
      <w:tr w:rsidR="001011EB" w:rsidRPr="004B11AC" w14:paraId="003FC520" w14:textId="77777777" w:rsidTr="003E46B3">
        <w:trPr>
          <w:tblHeader/>
        </w:trPr>
        <w:tc>
          <w:tcPr>
            <w:tcW w:w="3420" w:type="dxa"/>
            <w:tcBorders>
              <w:bottom w:val="single" w:sz="4" w:space="0" w:color="auto"/>
            </w:tcBorders>
          </w:tcPr>
          <w:p w14:paraId="55044A8C" w14:textId="77777777" w:rsidR="001011EB" w:rsidRPr="00C26B90" w:rsidRDefault="001011EB" w:rsidP="003E46B3">
            <w:pPr>
              <w:jc w:val="center"/>
              <w:rPr>
                <w:sz w:val="22"/>
                <w:szCs w:val="22"/>
              </w:rPr>
            </w:pPr>
          </w:p>
          <w:p w14:paraId="20ACBEF1" w14:textId="77777777" w:rsidR="001011EB" w:rsidRPr="00C26B90" w:rsidRDefault="001011EB" w:rsidP="003E46B3">
            <w:pPr>
              <w:jc w:val="center"/>
              <w:rPr>
                <w:sz w:val="22"/>
                <w:szCs w:val="22"/>
              </w:rPr>
            </w:pPr>
            <w:r w:rsidRPr="00C26B90">
              <w:rPr>
                <w:sz w:val="22"/>
                <w:szCs w:val="22"/>
              </w:rPr>
              <w:t>Ukazatel</w:t>
            </w:r>
          </w:p>
        </w:tc>
        <w:tc>
          <w:tcPr>
            <w:tcW w:w="1152" w:type="dxa"/>
            <w:tcBorders>
              <w:bottom w:val="single" w:sz="4" w:space="0" w:color="auto"/>
            </w:tcBorders>
            <w:vAlign w:val="center"/>
          </w:tcPr>
          <w:p w14:paraId="1E25F47A" w14:textId="77777777" w:rsidR="001011EB" w:rsidRPr="00C26B90" w:rsidRDefault="001011EB" w:rsidP="003E46B3">
            <w:pPr>
              <w:jc w:val="center"/>
              <w:rPr>
                <w:sz w:val="22"/>
                <w:szCs w:val="22"/>
              </w:rPr>
            </w:pPr>
            <w:r w:rsidRPr="00C26B90">
              <w:rPr>
                <w:sz w:val="22"/>
                <w:szCs w:val="22"/>
              </w:rPr>
              <w:t>Skutečnost</w:t>
            </w:r>
          </w:p>
          <w:p w14:paraId="3120A664" w14:textId="77777777" w:rsidR="001011EB" w:rsidRPr="00C26B90" w:rsidRDefault="001011EB" w:rsidP="003E46B3">
            <w:pPr>
              <w:jc w:val="center"/>
              <w:rPr>
                <w:sz w:val="22"/>
                <w:szCs w:val="22"/>
              </w:rPr>
            </w:pPr>
            <w:r w:rsidRPr="00C26B90">
              <w:rPr>
                <w:sz w:val="22"/>
                <w:szCs w:val="22"/>
              </w:rPr>
              <w:t>2015</w:t>
            </w:r>
          </w:p>
        </w:tc>
        <w:tc>
          <w:tcPr>
            <w:tcW w:w="1152" w:type="dxa"/>
            <w:tcBorders>
              <w:bottom w:val="single" w:sz="4" w:space="0" w:color="auto"/>
            </w:tcBorders>
            <w:vAlign w:val="center"/>
          </w:tcPr>
          <w:p w14:paraId="4C9C1B66" w14:textId="77777777" w:rsidR="001011EB" w:rsidRPr="00C26B90" w:rsidRDefault="001011EB" w:rsidP="003E46B3">
            <w:pPr>
              <w:jc w:val="center"/>
              <w:rPr>
                <w:sz w:val="22"/>
                <w:szCs w:val="22"/>
              </w:rPr>
            </w:pPr>
            <w:r w:rsidRPr="00C26B90">
              <w:rPr>
                <w:sz w:val="22"/>
                <w:szCs w:val="22"/>
              </w:rPr>
              <w:t>Skutečnost</w:t>
            </w:r>
          </w:p>
          <w:p w14:paraId="1BD4066D" w14:textId="77777777" w:rsidR="001011EB" w:rsidRPr="00C26B90" w:rsidRDefault="001011EB" w:rsidP="003E46B3">
            <w:pPr>
              <w:jc w:val="center"/>
              <w:rPr>
                <w:sz w:val="22"/>
                <w:szCs w:val="22"/>
              </w:rPr>
            </w:pPr>
            <w:r w:rsidRPr="00C26B90">
              <w:rPr>
                <w:sz w:val="22"/>
                <w:szCs w:val="22"/>
              </w:rPr>
              <w:t>2016</w:t>
            </w:r>
          </w:p>
        </w:tc>
        <w:tc>
          <w:tcPr>
            <w:tcW w:w="1152" w:type="dxa"/>
            <w:tcBorders>
              <w:bottom w:val="single" w:sz="4" w:space="0" w:color="auto"/>
            </w:tcBorders>
            <w:vAlign w:val="center"/>
          </w:tcPr>
          <w:p w14:paraId="30074C6E" w14:textId="77777777" w:rsidR="001011EB" w:rsidRPr="00C26B90" w:rsidRDefault="001011EB" w:rsidP="003E46B3">
            <w:pPr>
              <w:jc w:val="center"/>
              <w:rPr>
                <w:sz w:val="22"/>
                <w:szCs w:val="22"/>
              </w:rPr>
            </w:pPr>
            <w:r w:rsidRPr="00C26B90">
              <w:rPr>
                <w:sz w:val="22"/>
                <w:szCs w:val="22"/>
              </w:rPr>
              <w:t>Skutečnost</w:t>
            </w:r>
          </w:p>
          <w:p w14:paraId="230BE0B8" w14:textId="77777777" w:rsidR="001011EB" w:rsidRPr="00C26B90" w:rsidRDefault="001011EB" w:rsidP="003E46B3">
            <w:pPr>
              <w:jc w:val="center"/>
              <w:rPr>
                <w:sz w:val="22"/>
                <w:szCs w:val="22"/>
              </w:rPr>
            </w:pPr>
            <w:r w:rsidRPr="00C26B90">
              <w:rPr>
                <w:sz w:val="22"/>
                <w:szCs w:val="22"/>
              </w:rPr>
              <w:t>2017</w:t>
            </w:r>
          </w:p>
        </w:tc>
        <w:tc>
          <w:tcPr>
            <w:tcW w:w="1152" w:type="dxa"/>
            <w:tcBorders>
              <w:bottom w:val="single" w:sz="4" w:space="0" w:color="auto"/>
            </w:tcBorders>
            <w:vAlign w:val="center"/>
          </w:tcPr>
          <w:p w14:paraId="19B8B4A2" w14:textId="77777777" w:rsidR="001011EB" w:rsidRPr="00C26B90" w:rsidRDefault="001011EB" w:rsidP="003E46B3">
            <w:pPr>
              <w:jc w:val="center"/>
              <w:rPr>
                <w:sz w:val="22"/>
                <w:szCs w:val="22"/>
              </w:rPr>
            </w:pPr>
            <w:r w:rsidRPr="00C26B90">
              <w:rPr>
                <w:sz w:val="22"/>
                <w:szCs w:val="22"/>
              </w:rPr>
              <w:t>Skutečnost</w:t>
            </w:r>
          </w:p>
          <w:p w14:paraId="5DF670C2" w14:textId="77777777" w:rsidR="001011EB" w:rsidRPr="00C26B90" w:rsidRDefault="001011EB" w:rsidP="003E46B3">
            <w:pPr>
              <w:jc w:val="center"/>
              <w:rPr>
                <w:sz w:val="22"/>
                <w:szCs w:val="22"/>
              </w:rPr>
            </w:pPr>
            <w:r w:rsidRPr="00C26B90">
              <w:rPr>
                <w:sz w:val="22"/>
                <w:szCs w:val="22"/>
              </w:rPr>
              <w:t>2018</w:t>
            </w:r>
          </w:p>
        </w:tc>
        <w:tc>
          <w:tcPr>
            <w:tcW w:w="1152" w:type="dxa"/>
            <w:tcBorders>
              <w:bottom w:val="single" w:sz="4" w:space="0" w:color="auto"/>
            </w:tcBorders>
          </w:tcPr>
          <w:p w14:paraId="5250AE5F" w14:textId="77777777" w:rsidR="001011EB" w:rsidRPr="006A6595" w:rsidRDefault="001011EB" w:rsidP="003E46B3">
            <w:pPr>
              <w:jc w:val="center"/>
              <w:rPr>
                <w:sz w:val="22"/>
                <w:szCs w:val="22"/>
              </w:rPr>
            </w:pPr>
            <w:r w:rsidRPr="006A6595">
              <w:rPr>
                <w:sz w:val="22"/>
                <w:szCs w:val="22"/>
              </w:rPr>
              <w:t>Skutečnost</w:t>
            </w:r>
          </w:p>
          <w:p w14:paraId="7C3E61ED" w14:textId="77777777" w:rsidR="001011EB" w:rsidRPr="004B11AC" w:rsidRDefault="001011EB" w:rsidP="003E46B3">
            <w:pPr>
              <w:jc w:val="center"/>
              <w:rPr>
                <w:color w:val="FF0000"/>
                <w:sz w:val="22"/>
                <w:szCs w:val="22"/>
              </w:rPr>
            </w:pPr>
            <w:r w:rsidRPr="006A6595">
              <w:rPr>
                <w:sz w:val="22"/>
                <w:szCs w:val="22"/>
              </w:rPr>
              <w:t>2019</w:t>
            </w:r>
          </w:p>
        </w:tc>
      </w:tr>
      <w:tr w:rsidR="001011EB" w:rsidRPr="004B11AC" w14:paraId="6A3C45F4" w14:textId="77777777" w:rsidTr="003E46B3">
        <w:trPr>
          <w:tblHeader/>
        </w:trPr>
        <w:tc>
          <w:tcPr>
            <w:tcW w:w="3420" w:type="dxa"/>
            <w:tcBorders>
              <w:bottom w:val="single" w:sz="4" w:space="0" w:color="auto"/>
            </w:tcBorders>
          </w:tcPr>
          <w:p w14:paraId="297A1233" w14:textId="77777777" w:rsidR="001011EB" w:rsidRPr="00C26B90" w:rsidRDefault="001011EB" w:rsidP="003E46B3">
            <w:pPr>
              <w:jc w:val="center"/>
              <w:rPr>
                <w:sz w:val="20"/>
                <w:szCs w:val="20"/>
              </w:rPr>
            </w:pPr>
            <w:r w:rsidRPr="00C26B90">
              <w:rPr>
                <w:sz w:val="20"/>
                <w:szCs w:val="20"/>
              </w:rPr>
              <w:t>a</w:t>
            </w:r>
          </w:p>
        </w:tc>
        <w:tc>
          <w:tcPr>
            <w:tcW w:w="1152" w:type="dxa"/>
            <w:tcBorders>
              <w:bottom w:val="single" w:sz="4" w:space="0" w:color="auto"/>
            </w:tcBorders>
          </w:tcPr>
          <w:p w14:paraId="4B19037F" w14:textId="77777777" w:rsidR="001011EB" w:rsidRPr="00C26B90" w:rsidRDefault="001011EB" w:rsidP="003E46B3">
            <w:pPr>
              <w:jc w:val="center"/>
              <w:rPr>
                <w:sz w:val="22"/>
              </w:rPr>
            </w:pPr>
            <w:r>
              <w:rPr>
                <w:sz w:val="22"/>
              </w:rPr>
              <w:t>1</w:t>
            </w:r>
          </w:p>
        </w:tc>
        <w:tc>
          <w:tcPr>
            <w:tcW w:w="1152" w:type="dxa"/>
            <w:tcBorders>
              <w:bottom w:val="single" w:sz="4" w:space="0" w:color="auto"/>
            </w:tcBorders>
          </w:tcPr>
          <w:p w14:paraId="19A8069E" w14:textId="77777777" w:rsidR="001011EB" w:rsidRPr="00C26B90" w:rsidRDefault="001011EB" w:rsidP="003E46B3">
            <w:pPr>
              <w:jc w:val="center"/>
              <w:rPr>
                <w:sz w:val="22"/>
              </w:rPr>
            </w:pPr>
            <w:r>
              <w:rPr>
                <w:sz w:val="22"/>
              </w:rPr>
              <w:t>2</w:t>
            </w:r>
          </w:p>
        </w:tc>
        <w:tc>
          <w:tcPr>
            <w:tcW w:w="1152" w:type="dxa"/>
            <w:tcBorders>
              <w:bottom w:val="single" w:sz="4" w:space="0" w:color="auto"/>
            </w:tcBorders>
          </w:tcPr>
          <w:p w14:paraId="5E1288F4" w14:textId="77777777" w:rsidR="001011EB" w:rsidRPr="00C26B90" w:rsidRDefault="001011EB" w:rsidP="003E46B3">
            <w:pPr>
              <w:jc w:val="center"/>
              <w:rPr>
                <w:sz w:val="22"/>
              </w:rPr>
            </w:pPr>
            <w:r>
              <w:rPr>
                <w:sz w:val="22"/>
              </w:rPr>
              <w:t>3</w:t>
            </w:r>
          </w:p>
        </w:tc>
        <w:tc>
          <w:tcPr>
            <w:tcW w:w="1152" w:type="dxa"/>
            <w:tcBorders>
              <w:bottom w:val="single" w:sz="4" w:space="0" w:color="auto"/>
            </w:tcBorders>
          </w:tcPr>
          <w:p w14:paraId="081CE344" w14:textId="77777777" w:rsidR="001011EB" w:rsidRPr="00C26B90" w:rsidRDefault="001011EB" w:rsidP="003E46B3">
            <w:pPr>
              <w:jc w:val="center"/>
              <w:rPr>
                <w:sz w:val="22"/>
              </w:rPr>
            </w:pPr>
            <w:r>
              <w:rPr>
                <w:sz w:val="22"/>
              </w:rPr>
              <w:t>4</w:t>
            </w:r>
          </w:p>
        </w:tc>
        <w:tc>
          <w:tcPr>
            <w:tcW w:w="1152" w:type="dxa"/>
            <w:tcBorders>
              <w:bottom w:val="single" w:sz="4" w:space="0" w:color="auto"/>
            </w:tcBorders>
          </w:tcPr>
          <w:p w14:paraId="57476D63" w14:textId="77777777" w:rsidR="001011EB" w:rsidRPr="004B11AC" w:rsidRDefault="001011EB" w:rsidP="003E46B3">
            <w:pPr>
              <w:jc w:val="center"/>
              <w:rPr>
                <w:color w:val="FF0000"/>
                <w:sz w:val="22"/>
              </w:rPr>
            </w:pPr>
            <w:r w:rsidRPr="006A6595">
              <w:rPr>
                <w:sz w:val="22"/>
              </w:rPr>
              <w:t>5</w:t>
            </w:r>
          </w:p>
        </w:tc>
      </w:tr>
      <w:tr w:rsidR="001011EB" w:rsidRPr="004B11AC" w14:paraId="6C060D39" w14:textId="77777777" w:rsidTr="003E46B3">
        <w:trPr>
          <w:trHeight w:val="388"/>
          <w:tblHeader/>
        </w:trPr>
        <w:tc>
          <w:tcPr>
            <w:tcW w:w="3420" w:type="dxa"/>
            <w:tcBorders>
              <w:top w:val="single" w:sz="4" w:space="0" w:color="auto"/>
              <w:left w:val="single" w:sz="4" w:space="0" w:color="auto"/>
              <w:bottom w:val="nil"/>
              <w:right w:val="single" w:sz="4" w:space="0" w:color="auto"/>
            </w:tcBorders>
          </w:tcPr>
          <w:p w14:paraId="25549D6D" w14:textId="77777777" w:rsidR="001011EB" w:rsidRPr="00C26B90" w:rsidRDefault="001011EB" w:rsidP="003E46B3">
            <w:pPr>
              <w:spacing w:before="120"/>
              <w:rPr>
                <w:b/>
                <w:sz w:val="20"/>
                <w:szCs w:val="20"/>
              </w:rPr>
            </w:pPr>
            <w:r w:rsidRPr="00C26B90">
              <w:rPr>
                <w:b/>
                <w:sz w:val="20"/>
                <w:szCs w:val="20"/>
              </w:rPr>
              <w:t>Podnikatelské subjekty celkem</w:t>
            </w:r>
          </w:p>
        </w:tc>
        <w:tc>
          <w:tcPr>
            <w:tcW w:w="1152" w:type="dxa"/>
            <w:tcBorders>
              <w:top w:val="single" w:sz="4" w:space="0" w:color="auto"/>
              <w:left w:val="single" w:sz="4" w:space="0" w:color="auto"/>
              <w:bottom w:val="nil"/>
              <w:right w:val="single" w:sz="4" w:space="0" w:color="auto"/>
            </w:tcBorders>
          </w:tcPr>
          <w:p w14:paraId="3A2814C6" w14:textId="77777777" w:rsidR="001011EB" w:rsidRPr="00C26B90" w:rsidRDefault="001011EB" w:rsidP="003E46B3">
            <w:pPr>
              <w:spacing w:before="120"/>
              <w:jc w:val="right"/>
              <w:rPr>
                <w:b/>
                <w:bCs/>
                <w:sz w:val="20"/>
                <w:szCs w:val="20"/>
              </w:rPr>
            </w:pPr>
            <w:r w:rsidRPr="00C26B90">
              <w:rPr>
                <w:b/>
                <w:bCs/>
                <w:sz w:val="20"/>
                <w:szCs w:val="20"/>
              </w:rPr>
              <w:t>6 421 222</w:t>
            </w:r>
          </w:p>
        </w:tc>
        <w:tc>
          <w:tcPr>
            <w:tcW w:w="1152" w:type="dxa"/>
            <w:tcBorders>
              <w:top w:val="single" w:sz="4" w:space="0" w:color="auto"/>
              <w:left w:val="single" w:sz="4" w:space="0" w:color="auto"/>
              <w:bottom w:val="nil"/>
              <w:right w:val="single" w:sz="4" w:space="0" w:color="auto"/>
            </w:tcBorders>
          </w:tcPr>
          <w:p w14:paraId="2EB1AFEB" w14:textId="77777777" w:rsidR="001011EB" w:rsidRPr="00C26B90" w:rsidRDefault="001011EB" w:rsidP="003E46B3">
            <w:pPr>
              <w:spacing w:before="120"/>
              <w:jc w:val="right"/>
              <w:rPr>
                <w:b/>
                <w:bCs/>
                <w:sz w:val="20"/>
                <w:szCs w:val="20"/>
              </w:rPr>
            </w:pPr>
            <w:r w:rsidRPr="00C26B90">
              <w:rPr>
                <w:b/>
                <w:bCs/>
                <w:sz w:val="20"/>
                <w:szCs w:val="20"/>
              </w:rPr>
              <w:t>5 415 595</w:t>
            </w:r>
          </w:p>
        </w:tc>
        <w:tc>
          <w:tcPr>
            <w:tcW w:w="1152" w:type="dxa"/>
            <w:tcBorders>
              <w:top w:val="single" w:sz="4" w:space="0" w:color="auto"/>
              <w:left w:val="single" w:sz="4" w:space="0" w:color="auto"/>
              <w:bottom w:val="nil"/>
              <w:right w:val="single" w:sz="4" w:space="0" w:color="auto"/>
            </w:tcBorders>
          </w:tcPr>
          <w:p w14:paraId="71B6A8DA" w14:textId="77777777" w:rsidR="001011EB" w:rsidRPr="00C26B90" w:rsidRDefault="001011EB" w:rsidP="003E46B3">
            <w:pPr>
              <w:spacing w:before="120"/>
              <w:jc w:val="right"/>
              <w:rPr>
                <w:b/>
                <w:bCs/>
                <w:sz w:val="20"/>
                <w:szCs w:val="20"/>
              </w:rPr>
            </w:pPr>
            <w:r w:rsidRPr="00C26B90">
              <w:rPr>
                <w:b/>
                <w:bCs/>
                <w:sz w:val="20"/>
                <w:szCs w:val="20"/>
              </w:rPr>
              <w:t>4 723 826</w:t>
            </w:r>
          </w:p>
        </w:tc>
        <w:tc>
          <w:tcPr>
            <w:tcW w:w="1152" w:type="dxa"/>
            <w:tcBorders>
              <w:top w:val="single" w:sz="4" w:space="0" w:color="auto"/>
              <w:left w:val="single" w:sz="4" w:space="0" w:color="auto"/>
              <w:bottom w:val="nil"/>
              <w:right w:val="single" w:sz="4" w:space="0" w:color="auto"/>
            </w:tcBorders>
          </w:tcPr>
          <w:p w14:paraId="0778B546" w14:textId="77777777" w:rsidR="001011EB" w:rsidRPr="00C26B90" w:rsidRDefault="001011EB" w:rsidP="003E46B3">
            <w:pPr>
              <w:spacing w:before="120"/>
              <w:jc w:val="right"/>
              <w:rPr>
                <w:b/>
                <w:bCs/>
                <w:sz w:val="20"/>
                <w:szCs w:val="20"/>
              </w:rPr>
            </w:pPr>
            <w:r w:rsidRPr="00C26B90">
              <w:rPr>
                <w:b/>
                <w:bCs/>
                <w:sz w:val="20"/>
                <w:szCs w:val="20"/>
              </w:rPr>
              <w:t>4 928 372</w:t>
            </w:r>
          </w:p>
        </w:tc>
        <w:tc>
          <w:tcPr>
            <w:tcW w:w="1152" w:type="dxa"/>
            <w:tcBorders>
              <w:top w:val="single" w:sz="4" w:space="0" w:color="auto"/>
              <w:left w:val="single" w:sz="4" w:space="0" w:color="auto"/>
              <w:bottom w:val="nil"/>
              <w:right w:val="single" w:sz="4" w:space="0" w:color="auto"/>
            </w:tcBorders>
          </w:tcPr>
          <w:p w14:paraId="3CCEFE7E" w14:textId="77777777" w:rsidR="001011EB" w:rsidRPr="004B11AC" w:rsidRDefault="001011EB" w:rsidP="003E46B3">
            <w:pPr>
              <w:spacing w:before="120"/>
              <w:jc w:val="right"/>
              <w:rPr>
                <w:b/>
                <w:bCs/>
                <w:color w:val="FF0000"/>
                <w:sz w:val="20"/>
                <w:szCs w:val="20"/>
              </w:rPr>
            </w:pPr>
            <w:r w:rsidRPr="006A6595">
              <w:rPr>
                <w:b/>
                <w:bCs/>
                <w:sz w:val="20"/>
                <w:szCs w:val="20"/>
              </w:rPr>
              <w:t>4 716 517</w:t>
            </w:r>
          </w:p>
        </w:tc>
      </w:tr>
      <w:tr w:rsidR="001011EB" w:rsidRPr="004B11AC" w14:paraId="3F51B846" w14:textId="77777777" w:rsidTr="003E46B3">
        <w:trPr>
          <w:trHeight w:val="258"/>
          <w:tblHeader/>
        </w:trPr>
        <w:tc>
          <w:tcPr>
            <w:tcW w:w="3420" w:type="dxa"/>
            <w:tcBorders>
              <w:top w:val="nil"/>
              <w:bottom w:val="nil"/>
            </w:tcBorders>
          </w:tcPr>
          <w:p w14:paraId="3F3641A9" w14:textId="6899988F" w:rsidR="001011EB" w:rsidRPr="00C26B90" w:rsidRDefault="001011EB" w:rsidP="00CD78CD">
            <w:pPr>
              <w:spacing w:before="60"/>
              <w:jc w:val="both"/>
              <w:rPr>
                <w:i/>
                <w:sz w:val="20"/>
                <w:szCs w:val="20"/>
              </w:rPr>
            </w:pPr>
            <w:r w:rsidRPr="00C26B90">
              <w:rPr>
                <w:i/>
                <w:sz w:val="20"/>
                <w:szCs w:val="20"/>
              </w:rPr>
              <w:t>z toho vybrané tituly:</w:t>
            </w:r>
          </w:p>
        </w:tc>
        <w:tc>
          <w:tcPr>
            <w:tcW w:w="1152" w:type="dxa"/>
            <w:tcBorders>
              <w:top w:val="nil"/>
              <w:bottom w:val="nil"/>
            </w:tcBorders>
          </w:tcPr>
          <w:p w14:paraId="1F81D746" w14:textId="77777777" w:rsidR="001011EB" w:rsidRPr="00C26B90" w:rsidRDefault="001011EB" w:rsidP="003E46B3">
            <w:pPr>
              <w:spacing w:before="120"/>
              <w:jc w:val="right"/>
              <w:rPr>
                <w:b/>
                <w:bCs/>
                <w:sz w:val="20"/>
                <w:szCs w:val="20"/>
              </w:rPr>
            </w:pPr>
          </w:p>
        </w:tc>
        <w:tc>
          <w:tcPr>
            <w:tcW w:w="1152" w:type="dxa"/>
            <w:tcBorders>
              <w:top w:val="nil"/>
              <w:bottom w:val="nil"/>
            </w:tcBorders>
          </w:tcPr>
          <w:p w14:paraId="532C5AF7" w14:textId="77777777" w:rsidR="001011EB" w:rsidRPr="00C26B90" w:rsidRDefault="001011EB" w:rsidP="003E46B3">
            <w:pPr>
              <w:spacing w:before="120"/>
              <w:jc w:val="right"/>
              <w:rPr>
                <w:b/>
                <w:bCs/>
                <w:sz w:val="20"/>
                <w:szCs w:val="20"/>
              </w:rPr>
            </w:pPr>
          </w:p>
        </w:tc>
        <w:tc>
          <w:tcPr>
            <w:tcW w:w="1152" w:type="dxa"/>
            <w:tcBorders>
              <w:top w:val="nil"/>
              <w:bottom w:val="nil"/>
            </w:tcBorders>
          </w:tcPr>
          <w:p w14:paraId="67AA9AF5" w14:textId="77777777" w:rsidR="001011EB" w:rsidRPr="00C26B90" w:rsidRDefault="001011EB" w:rsidP="003E46B3">
            <w:pPr>
              <w:spacing w:before="120"/>
              <w:jc w:val="right"/>
              <w:rPr>
                <w:b/>
                <w:bCs/>
                <w:sz w:val="20"/>
                <w:szCs w:val="20"/>
              </w:rPr>
            </w:pPr>
          </w:p>
        </w:tc>
        <w:tc>
          <w:tcPr>
            <w:tcW w:w="1152" w:type="dxa"/>
            <w:tcBorders>
              <w:top w:val="nil"/>
              <w:bottom w:val="nil"/>
            </w:tcBorders>
          </w:tcPr>
          <w:p w14:paraId="1707920E" w14:textId="77777777" w:rsidR="001011EB" w:rsidRPr="00C26B90" w:rsidRDefault="001011EB" w:rsidP="003E46B3">
            <w:pPr>
              <w:spacing w:before="120"/>
              <w:jc w:val="right"/>
              <w:rPr>
                <w:b/>
                <w:bCs/>
                <w:sz w:val="20"/>
                <w:szCs w:val="20"/>
              </w:rPr>
            </w:pPr>
          </w:p>
        </w:tc>
        <w:tc>
          <w:tcPr>
            <w:tcW w:w="1152" w:type="dxa"/>
            <w:tcBorders>
              <w:top w:val="nil"/>
              <w:bottom w:val="nil"/>
            </w:tcBorders>
          </w:tcPr>
          <w:p w14:paraId="187AEFE4" w14:textId="77777777" w:rsidR="001011EB" w:rsidRPr="004B11AC" w:rsidRDefault="001011EB" w:rsidP="003E46B3">
            <w:pPr>
              <w:spacing w:before="120"/>
              <w:jc w:val="right"/>
              <w:rPr>
                <w:b/>
                <w:bCs/>
                <w:color w:val="FF0000"/>
                <w:sz w:val="20"/>
                <w:szCs w:val="20"/>
              </w:rPr>
            </w:pPr>
          </w:p>
        </w:tc>
      </w:tr>
      <w:tr w:rsidR="001011EB" w:rsidRPr="004B11AC" w14:paraId="34172822" w14:textId="77777777" w:rsidTr="003E46B3">
        <w:trPr>
          <w:trHeight w:val="388"/>
          <w:tblHeader/>
        </w:trPr>
        <w:tc>
          <w:tcPr>
            <w:tcW w:w="3420" w:type="dxa"/>
            <w:tcBorders>
              <w:top w:val="nil"/>
              <w:bottom w:val="nil"/>
            </w:tcBorders>
          </w:tcPr>
          <w:p w14:paraId="3D1722FB" w14:textId="77777777" w:rsidR="001011EB" w:rsidRPr="00C26B90" w:rsidRDefault="001011EB" w:rsidP="003E46B3">
            <w:pPr>
              <w:rPr>
                <w:sz w:val="20"/>
                <w:szCs w:val="20"/>
              </w:rPr>
            </w:pPr>
            <w:r w:rsidRPr="00C26B90">
              <w:rPr>
                <w:sz w:val="20"/>
                <w:szCs w:val="20"/>
              </w:rPr>
              <w:t>Úhrada ztráty ze závazku veřejné služby ve veř. drážní osobní dopravě</w:t>
            </w:r>
          </w:p>
        </w:tc>
        <w:tc>
          <w:tcPr>
            <w:tcW w:w="1152" w:type="dxa"/>
            <w:tcBorders>
              <w:top w:val="nil"/>
              <w:bottom w:val="nil"/>
            </w:tcBorders>
          </w:tcPr>
          <w:p w14:paraId="3BA5D0F3" w14:textId="77777777" w:rsidR="001011EB" w:rsidRPr="006A6595" w:rsidRDefault="001011EB" w:rsidP="003E46B3">
            <w:pPr>
              <w:jc w:val="right"/>
              <w:rPr>
                <w:bCs/>
                <w:sz w:val="20"/>
                <w:szCs w:val="20"/>
              </w:rPr>
            </w:pPr>
          </w:p>
          <w:p w14:paraId="634DC4FB" w14:textId="77777777" w:rsidR="001011EB" w:rsidRPr="006A6595" w:rsidRDefault="001011EB" w:rsidP="003E46B3">
            <w:pPr>
              <w:jc w:val="right"/>
              <w:rPr>
                <w:bCs/>
                <w:sz w:val="20"/>
                <w:szCs w:val="20"/>
              </w:rPr>
            </w:pPr>
            <w:r w:rsidRPr="006A6595">
              <w:rPr>
                <w:bCs/>
                <w:sz w:val="20"/>
                <w:szCs w:val="20"/>
              </w:rPr>
              <w:t>4 414 369</w:t>
            </w:r>
          </w:p>
        </w:tc>
        <w:tc>
          <w:tcPr>
            <w:tcW w:w="1152" w:type="dxa"/>
            <w:tcBorders>
              <w:top w:val="nil"/>
              <w:bottom w:val="nil"/>
            </w:tcBorders>
          </w:tcPr>
          <w:p w14:paraId="398AAEB2" w14:textId="77777777" w:rsidR="001011EB" w:rsidRPr="006A6595" w:rsidRDefault="001011EB" w:rsidP="003E46B3">
            <w:pPr>
              <w:jc w:val="right"/>
              <w:rPr>
                <w:bCs/>
                <w:sz w:val="20"/>
                <w:szCs w:val="20"/>
              </w:rPr>
            </w:pPr>
          </w:p>
          <w:p w14:paraId="185CB084" w14:textId="77777777" w:rsidR="001011EB" w:rsidRPr="006A6595" w:rsidRDefault="001011EB" w:rsidP="003E46B3">
            <w:pPr>
              <w:jc w:val="right"/>
              <w:rPr>
                <w:bCs/>
                <w:sz w:val="20"/>
                <w:szCs w:val="20"/>
              </w:rPr>
            </w:pPr>
            <w:r w:rsidRPr="006A6595">
              <w:rPr>
                <w:bCs/>
                <w:sz w:val="20"/>
                <w:szCs w:val="20"/>
              </w:rPr>
              <w:t>4 496 811</w:t>
            </w:r>
          </w:p>
        </w:tc>
        <w:tc>
          <w:tcPr>
            <w:tcW w:w="1152" w:type="dxa"/>
            <w:tcBorders>
              <w:top w:val="nil"/>
              <w:bottom w:val="nil"/>
            </w:tcBorders>
          </w:tcPr>
          <w:p w14:paraId="36EC873A" w14:textId="77777777" w:rsidR="001011EB" w:rsidRPr="006A6595" w:rsidRDefault="001011EB" w:rsidP="003E46B3">
            <w:pPr>
              <w:jc w:val="right"/>
              <w:rPr>
                <w:bCs/>
                <w:sz w:val="20"/>
                <w:szCs w:val="20"/>
              </w:rPr>
            </w:pPr>
          </w:p>
          <w:p w14:paraId="2B0C9CA8" w14:textId="77777777" w:rsidR="001011EB" w:rsidRPr="006A6595" w:rsidRDefault="001011EB" w:rsidP="003E46B3">
            <w:pPr>
              <w:jc w:val="right"/>
              <w:rPr>
                <w:bCs/>
                <w:sz w:val="20"/>
                <w:szCs w:val="20"/>
              </w:rPr>
            </w:pPr>
            <w:r w:rsidRPr="006A6595">
              <w:rPr>
                <w:bCs/>
                <w:sz w:val="20"/>
                <w:szCs w:val="20"/>
              </w:rPr>
              <w:t>4 644 917</w:t>
            </w:r>
          </w:p>
        </w:tc>
        <w:tc>
          <w:tcPr>
            <w:tcW w:w="1152" w:type="dxa"/>
            <w:tcBorders>
              <w:top w:val="nil"/>
              <w:bottom w:val="nil"/>
            </w:tcBorders>
          </w:tcPr>
          <w:p w14:paraId="1DE291AE" w14:textId="77777777" w:rsidR="001011EB" w:rsidRPr="006A6595" w:rsidRDefault="001011EB" w:rsidP="003E46B3">
            <w:pPr>
              <w:jc w:val="right"/>
              <w:rPr>
                <w:bCs/>
                <w:sz w:val="20"/>
                <w:szCs w:val="20"/>
              </w:rPr>
            </w:pPr>
          </w:p>
          <w:p w14:paraId="17FB7FFA" w14:textId="77777777" w:rsidR="001011EB" w:rsidRPr="006A6595" w:rsidRDefault="001011EB" w:rsidP="003E46B3">
            <w:pPr>
              <w:jc w:val="right"/>
              <w:rPr>
                <w:bCs/>
                <w:sz w:val="20"/>
                <w:szCs w:val="20"/>
              </w:rPr>
            </w:pPr>
            <w:r w:rsidRPr="006A6595">
              <w:rPr>
                <w:bCs/>
                <w:sz w:val="20"/>
                <w:szCs w:val="20"/>
              </w:rPr>
              <w:t>4 801 621</w:t>
            </w:r>
          </w:p>
        </w:tc>
        <w:tc>
          <w:tcPr>
            <w:tcW w:w="1152" w:type="dxa"/>
            <w:tcBorders>
              <w:top w:val="nil"/>
              <w:bottom w:val="nil"/>
            </w:tcBorders>
            <w:vAlign w:val="bottom"/>
          </w:tcPr>
          <w:p w14:paraId="26696367" w14:textId="77777777" w:rsidR="001011EB" w:rsidRPr="006A6595" w:rsidRDefault="001011EB" w:rsidP="003E46B3">
            <w:pPr>
              <w:jc w:val="right"/>
              <w:rPr>
                <w:bCs/>
                <w:sz w:val="20"/>
                <w:szCs w:val="20"/>
              </w:rPr>
            </w:pPr>
            <w:r w:rsidRPr="006A6595">
              <w:rPr>
                <w:bCs/>
                <w:sz w:val="20"/>
                <w:szCs w:val="20"/>
              </w:rPr>
              <w:t>4 629 884</w:t>
            </w:r>
          </w:p>
        </w:tc>
      </w:tr>
      <w:tr w:rsidR="001011EB" w:rsidRPr="004B11AC" w14:paraId="638E1C57" w14:textId="77777777" w:rsidTr="003E46B3">
        <w:trPr>
          <w:trHeight w:val="388"/>
          <w:tblHeader/>
        </w:trPr>
        <w:tc>
          <w:tcPr>
            <w:tcW w:w="3420" w:type="dxa"/>
            <w:tcBorders>
              <w:top w:val="nil"/>
              <w:left w:val="single" w:sz="4" w:space="0" w:color="auto"/>
              <w:bottom w:val="nil"/>
              <w:right w:val="single" w:sz="4" w:space="0" w:color="auto"/>
            </w:tcBorders>
          </w:tcPr>
          <w:p w14:paraId="776B5F4A" w14:textId="77777777" w:rsidR="001011EB" w:rsidRPr="00C26B90" w:rsidRDefault="001011EB" w:rsidP="003E46B3">
            <w:pPr>
              <w:rPr>
                <w:sz w:val="20"/>
                <w:szCs w:val="20"/>
              </w:rPr>
            </w:pPr>
            <w:r w:rsidRPr="00C26B90">
              <w:rPr>
                <w:sz w:val="20"/>
                <w:szCs w:val="20"/>
              </w:rPr>
              <w:t>Příspěvek na dopravní cestu nehrazený ze SFDI</w:t>
            </w:r>
          </w:p>
        </w:tc>
        <w:tc>
          <w:tcPr>
            <w:tcW w:w="1152" w:type="dxa"/>
            <w:tcBorders>
              <w:top w:val="nil"/>
              <w:left w:val="single" w:sz="4" w:space="0" w:color="auto"/>
              <w:bottom w:val="nil"/>
              <w:right w:val="single" w:sz="4" w:space="0" w:color="auto"/>
            </w:tcBorders>
          </w:tcPr>
          <w:p w14:paraId="6D3389E6" w14:textId="77777777" w:rsidR="001011EB" w:rsidRPr="006A6595" w:rsidRDefault="001011EB" w:rsidP="003E46B3">
            <w:pPr>
              <w:jc w:val="right"/>
              <w:rPr>
                <w:bCs/>
                <w:sz w:val="20"/>
                <w:szCs w:val="20"/>
              </w:rPr>
            </w:pPr>
          </w:p>
          <w:p w14:paraId="6D3E2BAC" w14:textId="77777777" w:rsidR="001011EB" w:rsidRPr="006A6595" w:rsidRDefault="001011EB" w:rsidP="003E46B3">
            <w:pPr>
              <w:jc w:val="right"/>
              <w:rPr>
                <w:bCs/>
                <w:sz w:val="20"/>
                <w:szCs w:val="20"/>
              </w:rPr>
            </w:pPr>
            <w:r w:rsidRPr="006A6595">
              <w:rPr>
                <w:bCs/>
                <w:sz w:val="20"/>
                <w:szCs w:val="20"/>
              </w:rPr>
              <w:t>847 660</w:t>
            </w:r>
          </w:p>
        </w:tc>
        <w:tc>
          <w:tcPr>
            <w:tcW w:w="1152" w:type="dxa"/>
            <w:tcBorders>
              <w:top w:val="nil"/>
              <w:left w:val="single" w:sz="4" w:space="0" w:color="auto"/>
              <w:bottom w:val="nil"/>
              <w:right w:val="single" w:sz="4" w:space="0" w:color="auto"/>
            </w:tcBorders>
          </w:tcPr>
          <w:p w14:paraId="051E4DB7" w14:textId="77777777" w:rsidR="001011EB" w:rsidRPr="006A6595" w:rsidRDefault="001011EB" w:rsidP="003E46B3">
            <w:pPr>
              <w:jc w:val="right"/>
              <w:rPr>
                <w:bCs/>
                <w:sz w:val="20"/>
                <w:szCs w:val="20"/>
              </w:rPr>
            </w:pPr>
          </w:p>
          <w:p w14:paraId="76980C11" w14:textId="77777777" w:rsidR="001011EB" w:rsidRPr="006A6595" w:rsidRDefault="001011EB" w:rsidP="003E46B3">
            <w:pPr>
              <w:jc w:val="right"/>
              <w:rPr>
                <w:bCs/>
                <w:sz w:val="20"/>
                <w:szCs w:val="20"/>
              </w:rPr>
            </w:pPr>
            <w:r w:rsidRPr="006A6595">
              <w:rPr>
                <w:bCs/>
                <w:sz w:val="20"/>
                <w:szCs w:val="20"/>
              </w:rPr>
              <w:t>548 620</w:t>
            </w:r>
          </w:p>
        </w:tc>
        <w:tc>
          <w:tcPr>
            <w:tcW w:w="1152" w:type="dxa"/>
            <w:tcBorders>
              <w:top w:val="nil"/>
              <w:left w:val="single" w:sz="4" w:space="0" w:color="auto"/>
              <w:bottom w:val="nil"/>
              <w:right w:val="single" w:sz="4" w:space="0" w:color="auto"/>
            </w:tcBorders>
          </w:tcPr>
          <w:p w14:paraId="4213D6EC" w14:textId="77777777" w:rsidR="001011EB" w:rsidRPr="006A6595" w:rsidRDefault="001011EB" w:rsidP="003E46B3">
            <w:pPr>
              <w:jc w:val="right"/>
              <w:rPr>
                <w:bCs/>
                <w:sz w:val="20"/>
                <w:szCs w:val="20"/>
              </w:rPr>
            </w:pPr>
          </w:p>
          <w:p w14:paraId="0E28E132" w14:textId="77777777" w:rsidR="001011EB" w:rsidRPr="006A6595" w:rsidRDefault="001011EB" w:rsidP="003E46B3">
            <w:pPr>
              <w:jc w:val="right"/>
              <w:rPr>
                <w:bCs/>
                <w:sz w:val="20"/>
                <w:szCs w:val="20"/>
              </w:rPr>
            </w:pPr>
            <w:r w:rsidRPr="006A6595">
              <w:rPr>
                <w:bCs/>
                <w:sz w:val="20"/>
                <w:szCs w:val="20"/>
              </w:rPr>
              <w:t>0</w:t>
            </w:r>
          </w:p>
        </w:tc>
        <w:tc>
          <w:tcPr>
            <w:tcW w:w="1152" w:type="dxa"/>
            <w:tcBorders>
              <w:top w:val="nil"/>
              <w:left w:val="single" w:sz="4" w:space="0" w:color="auto"/>
              <w:bottom w:val="nil"/>
              <w:right w:val="single" w:sz="4" w:space="0" w:color="auto"/>
            </w:tcBorders>
          </w:tcPr>
          <w:p w14:paraId="5153FD40" w14:textId="77777777" w:rsidR="001011EB" w:rsidRPr="006A6595" w:rsidRDefault="001011EB" w:rsidP="003E46B3">
            <w:pPr>
              <w:jc w:val="right"/>
              <w:rPr>
                <w:bCs/>
                <w:sz w:val="20"/>
                <w:szCs w:val="20"/>
              </w:rPr>
            </w:pPr>
          </w:p>
          <w:p w14:paraId="1E276209" w14:textId="77777777" w:rsidR="001011EB" w:rsidRPr="006A6595" w:rsidRDefault="001011EB" w:rsidP="003E46B3">
            <w:pPr>
              <w:jc w:val="right"/>
              <w:rPr>
                <w:bCs/>
                <w:sz w:val="20"/>
                <w:szCs w:val="20"/>
              </w:rPr>
            </w:pPr>
            <w:r w:rsidRPr="006A6595">
              <w:rPr>
                <w:bCs/>
                <w:sz w:val="20"/>
                <w:szCs w:val="20"/>
              </w:rPr>
              <w:t>0</w:t>
            </w:r>
          </w:p>
        </w:tc>
        <w:tc>
          <w:tcPr>
            <w:tcW w:w="1152" w:type="dxa"/>
            <w:tcBorders>
              <w:top w:val="nil"/>
              <w:left w:val="single" w:sz="4" w:space="0" w:color="auto"/>
              <w:bottom w:val="nil"/>
              <w:right w:val="single" w:sz="4" w:space="0" w:color="auto"/>
            </w:tcBorders>
            <w:vAlign w:val="bottom"/>
          </w:tcPr>
          <w:p w14:paraId="67E8A851" w14:textId="77777777" w:rsidR="001011EB" w:rsidRPr="006A6595" w:rsidRDefault="001011EB" w:rsidP="003E46B3">
            <w:pPr>
              <w:jc w:val="right"/>
              <w:rPr>
                <w:bCs/>
                <w:sz w:val="20"/>
                <w:szCs w:val="20"/>
              </w:rPr>
            </w:pPr>
            <w:r w:rsidRPr="006A6595">
              <w:rPr>
                <w:bCs/>
                <w:sz w:val="20"/>
                <w:szCs w:val="20"/>
              </w:rPr>
              <w:t>0</w:t>
            </w:r>
          </w:p>
        </w:tc>
      </w:tr>
      <w:tr w:rsidR="001011EB" w:rsidRPr="004B11AC" w14:paraId="08EC37E7" w14:textId="77777777" w:rsidTr="003E46B3">
        <w:trPr>
          <w:trHeight w:val="388"/>
          <w:tblHeader/>
        </w:trPr>
        <w:tc>
          <w:tcPr>
            <w:tcW w:w="3420" w:type="dxa"/>
            <w:tcBorders>
              <w:top w:val="nil"/>
              <w:bottom w:val="nil"/>
            </w:tcBorders>
          </w:tcPr>
          <w:p w14:paraId="5DE22B8B" w14:textId="77777777" w:rsidR="001011EB" w:rsidRPr="00C26B90" w:rsidRDefault="001011EB" w:rsidP="003E46B3">
            <w:pPr>
              <w:rPr>
                <w:sz w:val="20"/>
                <w:szCs w:val="20"/>
              </w:rPr>
            </w:pPr>
            <w:r w:rsidRPr="00C26B90">
              <w:rPr>
                <w:sz w:val="20"/>
                <w:szCs w:val="20"/>
              </w:rPr>
              <w:t>Dotaze SŽDC na úhradu škody za neodebranou el. energii</w:t>
            </w:r>
          </w:p>
        </w:tc>
        <w:tc>
          <w:tcPr>
            <w:tcW w:w="1152" w:type="dxa"/>
            <w:tcBorders>
              <w:top w:val="nil"/>
              <w:bottom w:val="nil"/>
            </w:tcBorders>
          </w:tcPr>
          <w:p w14:paraId="48AD4997" w14:textId="77777777" w:rsidR="001011EB" w:rsidRPr="006A6595" w:rsidRDefault="001011EB" w:rsidP="003E46B3">
            <w:pPr>
              <w:jc w:val="right"/>
              <w:rPr>
                <w:bCs/>
                <w:sz w:val="20"/>
                <w:szCs w:val="20"/>
              </w:rPr>
            </w:pPr>
          </w:p>
          <w:p w14:paraId="3AECF462" w14:textId="77777777" w:rsidR="001011EB" w:rsidRPr="006A6595" w:rsidRDefault="001011EB" w:rsidP="003E46B3">
            <w:pPr>
              <w:jc w:val="right"/>
            </w:pPr>
            <w:r w:rsidRPr="006A6595">
              <w:rPr>
                <w:bCs/>
                <w:sz w:val="20"/>
                <w:szCs w:val="20"/>
              </w:rPr>
              <w:t>1 131 262</w:t>
            </w:r>
          </w:p>
        </w:tc>
        <w:tc>
          <w:tcPr>
            <w:tcW w:w="1152" w:type="dxa"/>
            <w:tcBorders>
              <w:top w:val="nil"/>
              <w:bottom w:val="nil"/>
            </w:tcBorders>
          </w:tcPr>
          <w:p w14:paraId="2F6814DE" w14:textId="77777777" w:rsidR="001011EB" w:rsidRPr="006A6595" w:rsidRDefault="001011EB" w:rsidP="003E46B3">
            <w:pPr>
              <w:jc w:val="right"/>
              <w:rPr>
                <w:bCs/>
                <w:sz w:val="20"/>
                <w:szCs w:val="20"/>
              </w:rPr>
            </w:pPr>
          </w:p>
          <w:p w14:paraId="46F54424" w14:textId="77777777" w:rsidR="001011EB" w:rsidRPr="006A6595" w:rsidRDefault="001011EB" w:rsidP="003E46B3">
            <w:pPr>
              <w:jc w:val="right"/>
            </w:pPr>
            <w:r w:rsidRPr="006A6595">
              <w:rPr>
                <w:bCs/>
                <w:sz w:val="20"/>
                <w:szCs w:val="20"/>
              </w:rPr>
              <w:t>0</w:t>
            </w:r>
          </w:p>
        </w:tc>
        <w:tc>
          <w:tcPr>
            <w:tcW w:w="1152" w:type="dxa"/>
            <w:tcBorders>
              <w:top w:val="nil"/>
              <w:bottom w:val="nil"/>
            </w:tcBorders>
          </w:tcPr>
          <w:p w14:paraId="4A43FB75" w14:textId="77777777" w:rsidR="001011EB" w:rsidRPr="006A6595" w:rsidRDefault="001011EB" w:rsidP="003E46B3">
            <w:pPr>
              <w:jc w:val="right"/>
              <w:rPr>
                <w:bCs/>
                <w:sz w:val="20"/>
                <w:szCs w:val="20"/>
              </w:rPr>
            </w:pPr>
          </w:p>
          <w:p w14:paraId="2D12A44D" w14:textId="77777777" w:rsidR="001011EB" w:rsidRPr="006A6595" w:rsidRDefault="001011EB" w:rsidP="003E46B3">
            <w:pPr>
              <w:jc w:val="right"/>
            </w:pPr>
            <w:r w:rsidRPr="006A6595">
              <w:rPr>
                <w:bCs/>
                <w:sz w:val="20"/>
                <w:szCs w:val="20"/>
              </w:rPr>
              <w:t>0</w:t>
            </w:r>
          </w:p>
        </w:tc>
        <w:tc>
          <w:tcPr>
            <w:tcW w:w="1152" w:type="dxa"/>
            <w:tcBorders>
              <w:top w:val="nil"/>
              <w:bottom w:val="nil"/>
            </w:tcBorders>
          </w:tcPr>
          <w:p w14:paraId="3F35EDEC" w14:textId="77777777" w:rsidR="001011EB" w:rsidRPr="006A6595" w:rsidRDefault="001011EB" w:rsidP="003E46B3">
            <w:pPr>
              <w:jc w:val="right"/>
              <w:rPr>
                <w:bCs/>
                <w:sz w:val="20"/>
                <w:szCs w:val="20"/>
              </w:rPr>
            </w:pPr>
          </w:p>
          <w:p w14:paraId="12F5494F" w14:textId="77777777" w:rsidR="001011EB" w:rsidRPr="006A6595" w:rsidRDefault="001011EB" w:rsidP="003E46B3">
            <w:pPr>
              <w:jc w:val="right"/>
            </w:pPr>
            <w:r w:rsidRPr="006A6595">
              <w:rPr>
                <w:bCs/>
                <w:sz w:val="20"/>
                <w:szCs w:val="20"/>
              </w:rPr>
              <w:t>0</w:t>
            </w:r>
          </w:p>
        </w:tc>
        <w:tc>
          <w:tcPr>
            <w:tcW w:w="1152" w:type="dxa"/>
            <w:tcBorders>
              <w:top w:val="nil"/>
              <w:bottom w:val="nil"/>
            </w:tcBorders>
            <w:vAlign w:val="bottom"/>
          </w:tcPr>
          <w:p w14:paraId="670A159E" w14:textId="77777777" w:rsidR="001011EB" w:rsidRPr="006A6595" w:rsidRDefault="001011EB" w:rsidP="003E46B3">
            <w:pPr>
              <w:jc w:val="right"/>
              <w:rPr>
                <w:bCs/>
                <w:sz w:val="20"/>
                <w:szCs w:val="20"/>
              </w:rPr>
            </w:pPr>
            <w:r w:rsidRPr="006A6595">
              <w:rPr>
                <w:bCs/>
                <w:sz w:val="20"/>
                <w:szCs w:val="20"/>
              </w:rPr>
              <w:t>0</w:t>
            </w:r>
          </w:p>
        </w:tc>
      </w:tr>
      <w:tr w:rsidR="001011EB" w:rsidRPr="004B11AC" w14:paraId="2452CA9E" w14:textId="77777777" w:rsidTr="003E46B3">
        <w:trPr>
          <w:trHeight w:val="247"/>
          <w:tblHeader/>
        </w:trPr>
        <w:tc>
          <w:tcPr>
            <w:tcW w:w="3420" w:type="dxa"/>
            <w:tcBorders>
              <w:top w:val="nil"/>
              <w:bottom w:val="nil"/>
            </w:tcBorders>
          </w:tcPr>
          <w:p w14:paraId="692942CD" w14:textId="77777777" w:rsidR="001011EB" w:rsidRPr="00C26B90" w:rsidRDefault="001011EB" w:rsidP="003E46B3">
            <w:pPr>
              <w:rPr>
                <w:sz w:val="20"/>
                <w:szCs w:val="20"/>
              </w:rPr>
            </w:pPr>
            <w:r w:rsidRPr="00C26B90">
              <w:rPr>
                <w:sz w:val="20"/>
                <w:szCs w:val="20"/>
              </w:rPr>
              <w:t>Dotace na systém odměňování výkonů</w:t>
            </w:r>
          </w:p>
        </w:tc>
        <w:tc>
          <w:tcPr>
            <w:tcW w:w="1152" w:type="dxa"/>
            <w:tcBorders>
              <w:top w:val="nil"/>
              <w:bottom w:val="nil"/>
            </w:tcBorders>
          </w:tcPr>
          <w:p w14:paraId="6EF4A0EA" w14:textId="77777777" w:rsidR="001011EB" w:rsidRPr="006A6595" w:rsidRDefault="001011EB" w:rsidP="003E46B3">
            <w:pPr>
              <w:jc w:val="right"/>
              <w:rPr>
                <w:bCs/>
                <w:sz w:val="20"/>
                <w:szCs w:val="20"/>
              </w:rPr>
            </w:pPr>
            <w:r w:rsidRPr="006A6595">
              <w:rPr>
                <w:bCs/>
                <w:sz w:val="20"/>
                <w:szCs w:val="20"/>
              </w:rPr>
              <w:t>0</w:t>
            </w:r>
          </w:p>
        </w:tc>
        <w:tc>
          <w:tcPr>
            <w:tcW w:w="1152" w:type="dxa"/>
            <w:tcBorders>
              <w:top w:val="nil"/>
              <w:bottom w:val="nil"/>
            </w:tcBorders>
          </w:tcPr>
          <w:p w14:paraId="39CE272C" w14:textId="77777777" w:rsidR="001011EB" w:rsidRPr="006A6595" w:rsidRDefault="001011EB" w:rsidP="003E46B3">
            <w:pPr>
              <w:jc w:val="right"/>
              <w:rPr>
                <w:bCs/>
                <w:sz w:val="20"/>
                <w:szCs w:val="20"/>
              </w:rPr>
            </w:pPr>
            <w:r w:rsidRPr="006A6595">
              <w:rPr>
                <w:bCs/>
                <w:sz w:val="20"/>
                <w:szCs w:val="20"/>
              </w:rPr>
              <w:t>286 200</w:t>
            </w:r>
          </w:p>
        </w:tc>
        <w:tc>
          <w:tcPr>
            <w:tcW w:w="1152" w:type="dxa"/>
            <w:tcBorders>
              <w:top w:val="nil"/>
              <w:bottom w:val="nil"/>
            </w:tcBorders>
          </w:tcPr>
          <w:p w14:paraId="34C187B2" w14:textId="77777777" w:rsidR="001011EB" w:rsidRPr="006A6595" w:rsidRDefault="001011EB" w:rsidP="003E46B3">
            <w:pPr>
              <w:jc w:val="right"/>
              <w:rPr>
                <w:bCs/>
                <w:sz w:val="20"/>
                <w:szCs w:val="20"/>
              </w:rPr>
            </w:pPr>
            <w:r w:rsidRPr="006A6595">
              <w:rPr>
                <w:bCs/>
                <w:sz w:val="20"/>
                <w:szCs w:val="20"/>
              </w:rPr>
              <w:t>0</w:t>
            </w:r>
          </w:p>
        </w:tc>
        <w:tc>
          <w:tcPr>
            <w:tcW w:w="1152" w:type="dxa"/>
            <w:tcBorders>
              <w:top w:val="nil"/>
              <w:bottom w:val="nil"/>
            </w:tcBorders>
          </w:tcPr>
          <w:p w14:paraId="7F7F80CA" w14:textId="77777777" w:rsidR="001011EB" w:rsidRPr="006A6595" w:rsidRDefault="001011EB" w:rsidP="003E46B3">
            <w:pPr>
              <w:jc w:val="right"/>
              <w:rPr>
                <w:bCs/>
                <w:sz w:val="20"/>
                <w:szCs w:val="20"/>
              </w:rPr>
            </w:pPr>
            <w:r w:rsidRPr="006A6595">
              <w:rPr>
                <w:bCs/>
                <w:sz w:val="20"/>
                <w:szCs w:val="20"/>
              </w:rPr>
              <w:t>29 011</w:t>
            </w:r>
          </w:p>
        </w:tc>
        <w:tc>
          <w:tcPr>
            <w:tcW w:w="1152" w:type="dxa"/>
            <w:tcBorders>
              <w:top w:val="nil"/>
              <w:bottom w:val="nil"/>
            </w:tcBorders>
            <w:vAlign w:val="bottom"/>
          </w:tcPr>
          <w:p w14:paraId="597CD060" w14:textId="77777777" w:rsidR="001011EB" w:rsidRPr="006A6595" w:rsidRDefault="001011EB" w:rsidP="003E46B3">
            <w:pPr>
              <w:jc w:val="right"/>
              <w:rPr>
                <w:bCs/>
                <w:sz w:val="20"/>
                <w:szCs w:val="20"/>
              </w:rPr>
            </w:pPr>
            <w:r w:rsidRPr="006A6595">
              <w:rPr>
                <w:bCs/>
                <w:sz w:val="20"/>
                <w:szCs w:val="20"/>
              </w:rPr>
              <w:t>0</w:t>
            </w:r>
          </w:p>
        </w:tc>
      </w:tr>
      <w:tr w:rsidR="001011EB" w:rsidRPr="004B11AC" w14:paraId="56B64763" w14:textId="77777777" w:rsidTr="003E46B3">
        <w:trPr>
          <w:trHeight w:val="247"/>
          <w:tblHeader/>
        </w:trPr>
        <w:tc>
          <w:tcPr>
            <w:tcW w:w="3420" w:type="dxa"/>
            <w:tcBorders>
              <w:top w:val="nil"/>
              <w:bottom w:val="nil"/>
            </w:tcBorders>
          </w:tcPr>
          <w:p w14:paraId="1733DDC7" w14:textId="77777777" w:rsidR="001011EB" w:rsidRPr="00C26B90" w:rsidRDefault="001011EB" w:rsidP="003E46B3">
            <w:pPr>
              <w:rPr>
                <w:sz w:val="20"/>
                <w:szCs w:val="20"/>
              </w:rPr>
            </w:pPr>
            <w:r w:rsidRPr="00C26B90">
              <w:rPr>
                <w:sz w:val="20"/>
                <w:szCs w:val="20"/>
              </w:rPr>
              <w:t>Dotace na provoz jídelny MD</w:t>
            </w:r>
          </w:p>
        </w:tc>
        <w:tc>
          <w:tcPr>
            <w:tcW w:w="1152" w:type="dxa"/>
            <w:tcBorders>
              <w:top w:val="nil"/>
              <w:bottom w:val="nil"/>
            </w:tcBorders>
          </w:tcPr>
          <w:p w14:paraId="3BCFCE9F" w14:textId="77777777" w:rsidR="001011EB" w:rsidRPr="006A6595" w:rsidRDefault="001011EB" w:rsidP="003E46B3">
            <w:pPr>
              <w:jc w:val="right"/>
              <w:rPr>
                <w:bCs/>
                <w:sz w:val="20"/>
                <w:szCs w:val="20"/>
              </w:rPr>
            </w:pPr>
            <w:r w:rsidRPr="006A6595">
              <w:rPr>
                <w:bCs/>
                <w:sz w:val="20"/>
                <w:szCs w:val="20"/>
              </w:rPr>
              <w:t>0</w:t>
            </w:r>
          </w:p>
        </w:tc>
        <w:tc>
          <w:tcPr>
            <w:tcW w:w="1152" w:type="dxa"/>
            <w:tcBorders>
              <w:top w:val="nil"/>
              <w:bottom w:val="nil"/>
            </w:tcBorders>
          </w:tcPr>
          <w:p w14:paraId="2E366D80" w14:textId="77777777" w:rsidR="001011EB" w:rsidRPr="006A6595" w:rsidRDefault="001011EB" w:rsidP="003E46B3">
            <w:pPr>
              <w:jc w:val="right"/>
              <w:rPr>
                <w:bCs/>
                <w:sz w:val="20"/>
                <w:szCs w:val="20"/>
              </w:rPr>
            </w:pPr>
            <w:r w:rsidRPr="006A6595">
              <w:rPr>
                <w:bCs/>
                <w:sz w:val="20"/>
                <w:szCs w:val="20"/>
              </w:rPr>
              <w:t>0</w:t>
            </w:r>
          </w:p>
        </w:tc>
        <w:tc>
          <w:tcPr>
            <w:tcW w:w="1152" w:type="dxa"/>
            <w:tcBorders>
              <w:top w:val="nil"/>
              <w:bottom w:val="nil"/>
            </w:tcBorders>
          </w:tcPr>
          <w:p w14:paraId="791382C4" w14:textId="77777777" w:rsidR="001011EB" w:rsidRPr="006A6595" w:rsidRDefault="001011EB" w:rsidP="003E46B3">
            <w:pPr>
              <w:jc w:val="right"/>
              <w:rPr>
                <w:bCs/>
                <w:sz w:val="20"/>
                <w:szCs w:val="20"/>
              </w:rPr>
            </w:pPr>
            <w:r w:rsidRPr="006A6595">
              <w:rPr>
                <w:bCs/>
                <w:sz w:val="20"/>
                <w:szCs w:val="20"/>
              </w:rPr>
              <w:t>0</w:t>
            </w:r>
          </w:p>
        </w:tc>
        <w:tc>
          <w:tcPr>
            <w:tcW w:w="1152" w:type="dxa"/>
            <w:tcBorders>
              <w:top w:val="nil"/>
              <w:bottom w:val="nil"/>
            </w:tcBorders>
          </w:tcPr>
          <w:p w14:paraId="7C8C8D0A" w14:textId="77777777" w:rsidR="001011EB" w:rsidRPr="006A6595" w:rsidRDefault="001011EB" w:rsidP="003E46B3">
            <w:pPr>
              <w:jc w:val="right"/>
              <w:rPr>
                <w:bCs/>
                <w:sz w:val="20"/>
                <w:szCs w:val="20"/>
              </w:rPr>
            </w:pPr>
            <w:r w:rsidRPr="006A6595">
              <w:rPr>
                <w:bCs/>
                <w:sz w:val="20"/>
                <w:szCs w:val="20"/>
              </w:rPr>
              <w:t>2 885</w:t>
            </w:r>
          </w:p>
        </w:tc>
        <w:tc>
          <w:tcPr>
            <w:tcW w:w="1152" w:type="dxa"/>
            <w:tcBorders>
              <w:top w:val="nil"/>
              <w:bottom w:val="nil"/>
            </w:tcBorders>
            <w:vAlign w:val="bottom"/>
          </w:tcPr>
          <w:p w14:paraId="370BB1F1" w14:textId="77777777" w:rsidR="001011EB" w:rsidRPr="006A6595" w:rsidRDefault="001011EB" w:rsidP="003E46B3">
            <w:pPr>
              <w:jc w:val="right"/>
              <w:rPr>
                <w:bCs/>
                <w:sz w:val="20"/>
                <w:szCs w:val="20"/>
              </w:rPr>
            </w:pPr>
            <w:r w:rsidRPr="006A6595">
              <w:rPr>
                <w:bCs/>
                <w:sz w:val="20"/>
                <w:szCs w:val="20"/>
              </w:rPr>
              <w:t>0</w:t>
            </w:r>
          </w:p>
        </w:tc>
      </w:tr>
      <w:tr w:rsidR="001011EB" w:rsidRPr="004B11AC" w14:paraId="14B8146D" w14:textId="77777777" w:rsidTr="003E46B3">
        <w:trPr>
          <w:trHeight w:val="388"/>
          <w:tblHeader/>
        </w:trPr>
        <w:tc>
          <w:tcPr>
            <w:tcW w:w="3420" w:type="dxa"/>
            <w:tcBorders>
              <w:top w:val="nil"/>
              <w:bottom w:val="nil"/>
            </w:tcBorders>
          </w:tcPr>
          <w:p w14:paraId="29DD7CD4" w14:textId="77777777" w:rsidR="001011EB" w:rsidRPr="00C26B90" w:rsidRDefault="001011EB" w:rsidP="003E46B3">
            <w:pPr>
              <w:rPr>
                <w:sz w:val="20"/>
                <w:szCs w:val="20"/>
              </w:rPr>
            </w:pPr>
            <w:r w:rsidRPr="00C26B90">
              <w:rPr>
                <w:sz w:val="20"/>
                <w:szCs w:val="20"/>
              </w:rPr>
              <w:t>Úhrada poplatků vybíraných za LPS poskytované ve vzdušném prostoru</w:t>
            </w:r>
          </w:p>
        </w:tc>
        <w:tc>
          <w:tcPr>
            <w:tcW w:w="1152" w:type="dxa"/>
            <w:tcBorders>
              <w:top w:val="nil"/>
              <w:bottom w:val="nil"/>
            </w:tcBorders>
            <w:vAlign w:val="center"/>
          </w:tcPr>
          <w:p w14:paraId="310A9F04" w14:textId="77777777" w:rsidR="001011EB" w:rsidRPr="006A6595" w:rsidRDefault="001011EB" w:rsidP="003E46B3">
            <w:pPr>
              <w:jc w:val="right"/>
              <w:rPr>
                <w:bCs/>
                <w:sz w:val="20"/>
                <w:szCs w:val="20"/>
              </w:rPr>
            </w:pPr>
            <w:r w:rsidRPr="006A6595">
              <w:rPr>
                <w:bCs/>
                <w:sz w:val="20"/>
                <w:szCs w:val="20"/>
              </w:rPr>
              <w:t>15 000</w:t>
            </w:r>
          </w:p>
        </w:tc>
        <w:tc>
          <w:tcPr>
            <w:tcW w:w="1152" w:type="dxa"/>
            <w:tcBorders>
              <w:top w:val="nil"/>
              <w:bottom w:val="nil"/>
            </w:tcBorders>
            <w:vAlign w:val="center"/>
          </w:tcPr>
          <w:p w14:paraId="7F8339A9" w14:textId="77777777" w:rsidR="001011EB" w:rsidRPr="006A6595" w:rsidRDefault="001011EB" w:rsidP="003E46B3">
            <w:pPr>
              <w:jc w:val="right"/>
              <w:rPr>
                <w:bCs/>
                <w:sz w:val="20"/>
                <w:szCs w:val="20"/>
              </w:rPr>
            </w:pPr>
            <w:r w:rsidRPr="006A6595">
              <w:rPr>
                <w:bCs/>
                <w:sz w:val="20"/>
                <w:szCs w:val="20"/>
              </w:rPr>
              <w:t>77 132</w:t>
            </w:r>
          </w:p>
        </w:tc>
        <w:tc>
          <w:tcPr>
            <w:tcW w:w="1152" w:type="dxa"/>
            <w:tcBorders>
              <w:top w:val="nil"/>
              <w:bottom w:val="nil"/>
            </w:tcBorders>
            <w:vAlign w:val="center"/>
          </w:tcPr>
          <w:p w14:paraId="68480719" w14:textId="77777777" w:rsidR="001011EB" w:rsidRPr="006A6595" w:rsidRDefault="001011EB" w:rsidP="003E46B3">
            <w:pPr>
              <w:jc w:val="right"/>
              <w:rPr>
                <w:bCs/>
                <w:sz w:val="20"/>
                <w:szCs w:val="20"/>
              </w:rPr>
            </w:pPr>
            <w:r w:rsidRPr="006A6595">
              <w:rPr>
                <w:bCs/>
                <w:sz w:val="20"/>
                <w:szCs w:val="20"/>
              </w:rPr>
              <w:t>75 216</w:t>
            </w:r>
          </w:p>
        </w:tc>
        <w:tc>
          <w:tcPr>
            <w:tcW w:w="1152" w:type="dxa"/>
            <w:tcBorders>
              <w:top w:val="nil"/>
              <w:bottom w:val="nil"/>
            </w:tcBorders>
            <w:vAlign w:val="center"/>
          </w:tcPr>
          <w:p w14:paraId="2E4529EB" w14:textId="77777777" w:rsidR="001011EB" w:rsidRPr="006A6595" w:rsidRDefault="001011EB" w:rsidP="003E46B3">
            <w:pPr>
              <w:jc w:val="right"/>
              <w:rPr>
                <w:bCs/>
                <w:sz w:val="20"/>
                <w:szCs w:val="20"/>
              </w:rPr>
            </w:pPr>
            <w:r w:rsidRPr="006A6595">
              <w:rPr>
                <w:bCs/>
                <w:sz w:val="20"/>
                <w:szCs w:val="20"/>
              </w:rPr>
              <w:t>69 565</w:t>
            </w:r>
          </w:p>
        </w:tc>
        <w:tc>
          <w:tcPr>
            <w:tcW w:w="1152" w:type="dxa"/>
            <w:tcBorders>
              <w:top w:val="nil"/>
              <w:bottom w:val="nil"/>
            </w:tcBorders>
            <w:vAlign w:val="center"/>
          </w:tcPr>
          <w:p w14:paraId="2E65DC10" w14:textId="77777777" w:rsidR="001011EB" w:rsidRPr="006A6595" w:rsidRDefault="001011EB" w:rsidP="003E46B3">
            <w:pPr>
              <w:jc w:val="right"/>
              <w:rPr>
                <w:bCs/>
                <w:sz w:val="20"/>
                <w:szCs w:val="20"/>
              </w:rPr>
            </w:pPr>
            <w:r w:rsidRPr="006A6595">
              <w:rPr>
                <w:bCs/>
                <w:sz w:val="20"/>
                <w:szCs w:val="20"/>
              </w:rPr>
              <w:t>51 826</w:t>
            </w:r>
          </w:p>
        </w:tc>
      </w:tr>
      <w:tr w:rsidR="001011EB" w:rsidRPr="004B11AC" w14:paraId="73369017" w14:textId="77777777" w:rsidTr="003E46B3">
        <w:trPr>
          <w:trHeight w:val="388"/>
          <w:tblHeader/>
        </w:trPr>
        <w:tc>
          <w:tcPr>
            <w:tcW w:w="3420" w:type="dxa"/>
            <w:tcBorders>
              <w:top w:val="nil"/>
              <w:bottom w:val="nil"/>
            </w:tcBorders>
            <w:vAlign w:val="center"/>
          </w:tcPr>
          <w:p w14:paraId="74F45F6E" w14:textId="77777777" w:rsidR="001011EB" w:rsidRPr="00C26B90" w:rsidRDefault="001011EB" w:rsidP="003E46B3">
            <w:pPr>
              <w:rPr>
                <w:sz w:val="20"/>
                <w:szCs w:val="20"/>
              </w:rPr>
            </w:pPr>
            <w:r w:rsidRPr="00C26B90">
              <w:rPr>
                <w:sz w:val="20"/>
                <w:szCs w:val="20"/>
              </w:rPr>
              <w:t xml:space="preserve">Tech. pomoc OP Doprava 2007-2013 </w:t>
            </w:r>
          </w:p>
        </w:tc>
        <w:tc>
          <w:tcPr>
            <w:tcW w:w="1152" w:type="dxa"/>
            <w:tcBorders>
              <w:top w:val="nil"/>
              <w:bottom w:val="nil"/>
            </w:tcBorders>
            <w:vAlign w:val="center"/>
          </w:tcPr>
          <w:p w14:paraId="5DFDE3E3" w14:textId="77777777" w:rsidR="001011EB" w:rsidRPr="006A6595" w:rsidRDefault="001011EB" w:rsidP="003E46B3">
            <w:pPr>
              <w:jc w:val="right"/>
              <w:rPr>
                <w:bCs/>
                <w:sz w:val="20"/>
                <w:szCs w:val="20"/>
              </w:rPr>
            </w:pPr>
            <w:r w:rsidRPr="006A6595">
              <w:rPr>
                <w:bCs/>
                <w:sz w:val="20"/>
                <w:szCs w:val="20"/>
              </w:rPr>
              <w:t>9 835</w:t>
            </w:r>
          </w:p>
        </w:tc>
        <w:tc>
          <w:tcPr>
            <w:tcW w:w="1152" w:type="dxa"/>
            <w:tcBorders>
              <w:top w:val="nil"/>
              <w:bottom w:val="nil"/>
            </w:tcBorders>
            <w:vAlign w:val="center"/>
          </w:tcPr>
          <w:p w14:paraId="701C6F14" w14:textId="77777777" w:rsidR="001011EB" w:rsidRPr="006A6595" w:rsidRDefault="001011EB" w:rsidP="003E46B3">
            <w:pPr>
              <w:jc w:val="right"/>
              <w:rPr>
                <w:bCs/>
                <w:sz w:val="20"/>
                <w:szCs w:val="20"/>
              </w:rPr>
            </w:pPr>
            <w:r w:rsidRPr="006A6595">
              <w:rPr>
                <w:bCs/>
                <w:sz w:val="20"/>
                <w:szCs w:val="20"/>
              </w:rPr>
              <w:t>5 501</w:t>
            </w:r>
          </w:p>
        </w:tc>
        <w:tc>
          <w:tcPr>
            <w:tcW w:w="1152" w:type="dxa"/>
            <w:tcBorders>
              <w:top w:val="nil"/>
              <w:bottom w:val="nil"/>
            </w:tcBorders>
            <w:vAlign w:val="center"/>
          </w:tcPr>
          <w:p w14:paraId="0DDE3686" w14:textId="77777777" w:rsidR="001011EB" w:rsidRPr="006A6595" w:rsidRDefault="001011EB" w:rsidP="003E46B3">
            <w:pPr>
              <w:jc w:val="right"/>
              <w:rPr>
                <w:bCs/>
                <w:sz w:val="20"/>
                <w:szCs w:val="20"/>
              </w:rPr>
            </w:pPr>
            <w:r w:rsidRPr="006A6595">
              <w:rPr>
                <w:bCs/>
                <w:sz w:val="20"/>
                <w:szCs w:val="20"/>
              </w:rPr>
              <w:t>0</w:t>
            </w:r>
          </w:p>
        </w:tc>
        <w:tc>
          <w:tcPr>
            <w:tcW w:w="1152" w:type="dxa"/>
            <w:tcBorders>
              <w:top w:val="nil"/>
              <w:bottom w:val="nil"/>
            </w:tcBorders>
            <w:vAlign w:val="center"/>
          </w:tcPr>
          <w:p w14:paraId="20DE67A8" w14:textId="77777777" w:rsidR="001011EB" w:rsidRPr="006A6595" w:rsidRDefault="001011EB" w:rsidP="003E46B3">
            <w:pPr>
              <w:jc w:val="right"/>
              <w:rPr>
                <w:bCs/>
                <w:sz w:val="20"/>
                <w:szCs w:val="20"/>
              </w:rPr>
            </w:pPr>
            <w:r w:rsidRPr="006A6595">
              <w:rPr>
                <w:bCs/>
                <w:sz w:val="20"/>
                <w:szCs w:val="20"/>
              </w:rPr>
              <w:t>0</w:t>
            </w:r>
          </w:p>
        </w:tc>
        <w:tc>
          <w:tcPr>
            <w:tcW w:w="1152" w:type="dxa"/>
            <w:tcBorders>
              <w:top w:val="nil"/>
              <w:bottom w:val="nil"/>
            </w:tcBorders>
            <w:vAlign w:val="center"/>
          </w:tcPr>
          <w:p w14:paraId="0F3B5B9F" w14:textId="77777777" w:rsidR="001011EB" w:rsidRPr="006A6595" w:rsidRDefault="001011EB" w:rsidP="003E46B3">
            <w:pPr>
              <w:jc w:val="right"/>
              <w:rPr>
                <w:bCs/>
                <w:sz w:val="20"/>
                <w:szCs w:val="20"/>
              </w:rPr>
            </w:pPr>
            <w:r w:rsidRPr="006A6595">
              <w:rPr>
                <w:bCs/>
                <w:sz w:val="20"/>
                <w:szCs w:val="20"/>
              </w:rPr>
              <w:t>0</w:t>
            </w:r>
          </w:p>
        </w:tc>
      </w:tr>
      <w:tr w:rsidR="001011EB" w:rsidRPr="004B11AC" w14:paraId="0E03B197" w14:textId="77777777" w:rsidTr="003E46B3">
        <w:trPr>
          <w:trHeight w:val="257"/>
          <w:tblHeader/>
        </w:trPr>
        <w:tc>
          <w:tcPr>
            <w:tcW w:w="3420" w:type="dxa"/>
            <w:tcBorders>
              <w:top w:val="nil"/>
              <w:left w:val="single" w:sz="4" w:space="0" w:color="auto"/>
              <w:bottom w:val="nil"/>
              <w:right w:val="single" w:sz="4" w:space="0" w:color="auto"/>
            </w:tcBorders>
          </w:tcPr>
          <w:p w14:paraId="0F42BE71" w14:textId="77777777" w:rsidR="001011EB" w:rsidRPr="00C26B90" w:rsidRDefault="001011EB" w:rsidP="003E46B3">
            <w:pPr>
              <w:rPr>
                <w:sz w:val="20"/>
                <w:szCs w:val="20"/>
              </w:rPr>
            </w:pPr>
            <w:r w:rsidRPr="00C26B90">
              <w:rPr>
                <w:sz w:val="20"/>
                <w:szCs w:val="20"/>
              </w:rPr>
              <w:t>Výdaje na programy spolufin. z EU-CEF</w:t>
            </w:r>
          </w:p>
        </w:tc>
        <w:tc>
          <w:tcPr>
            <w:tcW w:w="1152" w:type="dxa"/>
            <w:tcBorders>
              <w:top w:val="nil"/>
              <w:left w:val="single" w:sz="4" w:space="0" w:color="auto"/>
              <w:bottom w:val="nil"/>
              <w:right w:val="single" w:sz="4" w:space="0" w:color="auto"/>
            </w:tcBorders>
            <w:vAlign w:val="center"/>
          </w:tcPr>
          <w:p w14:paraId="0E90A0BD" w14:textId="77777777" w:rsidR="001011EB" w:rsidRPr="006A6595" w:rsidRDefault="001011EB" w:rsidP="003E46B3">
            <w:pPr>
              <w:jc w:val="right"/>
              <w:rPr>
                <w:bCs/>
                <w:sz w:val="20"/>
                <w:szCs w:val="20"/>
              </w:rPr>
            </w:pPr>
          </w:p>
          <w:p w14:paraId="5D73222A" w14:textId="77777777" w:rsidR="001011EB" w:rsidRPr="006A6595" w:rsidRDefault="001011EB" w:rsidP="003E46B3">
            <w:pPr>
              <w:jc w:val="right"/>
              <w:rPr>
                <w:bCs/>
                <w:sz w:val="20"/>
                <w:szCs w:val="20"/>
              </w:rPr>
            </w:pPr>
            <w:r w:rsidRPr="006A6595">
              <w:rPr>
                <w:bCs/>
                <w:sz w:val="20"/>
                <w:szCs w:val="20"/>
              </w:rPr>
              <w:t xml:space="preserve">0 </w:t>
            </w:r>
          </w:p>
        </w:tc>
        <w:tc>
          <w:tcPr>
            <w:tcW w:w="1152" w:type="dxa"/>
            <w:tcBorders>
              <w:top w:val="nil"/>
              <w:left w:val="single" w:sz="4" w:space="0" w:color="auto"/>
              <w:bottom w:val="nil"/>
              <w:right w:val="single" w:sz="4" w:space="0" w:color="auto"/>
            </w:tcBorders>
            <w:vAlign w:val="center"/>
          </w:tcPr>
          <w:p w14:paraId="24F2853E" w14:textId="77777777" w:rsidR="001011EB" w:rsidRPr="006A6595" w:rsidRDefault="001011EB" w:rsidP="003E46B3">
            <w:pPr>
              <w:jc w:val="right"/>
              <w:rPr>
                <w:bCs/>
                <w:sz w:val="20"/>
                <w:szCs w:val="20"/>
              </w:rPr>
            </w:pPr>
          </w:p>
          <w:p w14:paraId="06EE6927" w14:textId="77777777" w:rsidR="001011EB" w:rsidRPr="006A6595" w:rsidRDefault="001011EB" w:rsidP="003E46B3">
            <w:pPr>
              <w:jc w:val="right"/>
              <w:rPr>
                <w:bCs/>
                <w:sz w:val="20"/>
                <w:szCs w:val="20"/>
              </w:rPr>
            </w:pPr>
            <w:r w:rsidRPr="006A6595">
              <w:rPr>
                <w:bCs/>
                <w:sz w:val="20"/>
                <w:szCs w:val="20"/>
              </w:rPr>
              <w:t xml:space="preserve">0 </w:t>
            </w:r>
          </w:p>
        </w:tc>
        <w:tc>
          <w:tcPr>
            <w:tcW w:w="1152" w:type="dxa"/>
            <w:tcBorders>
              <w:top w:val="nil"/>
              <w:left w:val="single" w:sz="4" w:space="0" w:color="auto"/>
              <w:bottom w:val="nil"/>
              <w:right w:val="single" w:sz="4" w:space="0" w:color="auto"/>
            </w:tcBorders>
            <w:vAlign w:val="center"/>
          </w:tcPr>
          <w:p w14:paraId="0344B78B" w14:textId="77777777" w:rsidR="001011EB" w:rsidRPr="006A6595" w:rsidRDefault="001011EB" w:rsidP="003E46B3">
            <w:pPr>
              <w:jc w:val="right"/>
              <w:rPr>
                <w:bCs/>
                <w:sz w:val="20"/>
                <w:szCs w:val="20"/>
              </w:rPr>
            </w:pPr>
          </w:p>
          <w:p w14:paraId="7E41EFB6" w14:textId="77777777" w:rsidR="001011EB" w:rsidRPr="006A6595" w:rsidRDefault="001011EB" w:rsidP="003E46B3">
            <w:pPr>
              <w:jc w:val="right"/>
              <w:rPr>
                <w:bCs/>
                <w:sz w:val="20"/>
                <w:szCs w:val="20"/>
              </w:rPr>
            </w:pPr>
            <w:r w:rsidRPr="006A6595">
              <w:rPr>
                <w:bCs/>
                <w:sz w:val="20"/>
                <w:szCs w:val="20"/>
              </w:rPr>
              <w:t xml:space="preserve">0 </w:t>
            </w:r>
          </w:p>
        </w:tc>
        <w:tc>
          <w:tcPr>
            <w:tcW w:w="1152" w:type="dxa"/>
            <w:tcBorders>
              <w:top w:val="nil"/>
              <w:left w:val="single" w:sz="4" w:space="0" w:color="auto"/>
              <w:bottom w:val="nil"/>
              <w:right w:val="single" w:sz="4" w:space="0" w:color="auto"/>
            </w:tcBorders>
            <w:vAlign w:val="center"/>
          </w:tcPr>
          <w:p w14:paraId="42961D5E" w14:textId="77777777" w:rsidR="001011EB" w:rsidRPr="006A6595" w:rsidRDefault="001011EB" w:rsidP="003E46B3">
            <w:pPr>
              <w:jc w:val="right"/>
              <w:rPr>
                <w:bCs/>
                <w:sz w:val="20"/>
                <w:szCs w:val="20"/>
              </w:rPr>
            </w:pPr>
          </w:p>
          <w:p w14:paraId="13F1807C" w14:textId="77777777" w:rsidR="001011EB" w:rsidRPr="006A6595" w:rsidRDefault="001011EB" w:rsidP="003E46B3">
            <w:pPr>
              <w:jc w:val="right"/>
              <w:rPr>
                <w:bCs/>
                <w:sz w:val="20"/>
                <w:szCs w:val="20"/>
              </w:rPr>
            </w:pPr>
            <w:r w:rsidRPr="006A6595">
              <w:rPr>
                <w:bCs/>
                <w:sz w:val="20"/>
                <w:szCs w:val="20"/>
              </w:rPr>
              <w:t xml:space="preserve">22 729 </w:t>
            </w:r>
          </w:p>
        </w:tc>
        <w:tc>
          <w:tcPr>
            <w:tcW w:w="1152" w:type="dxa"/>
            <w:tcBorders>
              <w:top w:val="nil"/>
              <w:left w:val="single" w:sz="4" w:space="0" w:color="auto"/>
              <w:bottom w:val="nil"/>
              <w:right w:val="single" w:sz="4" w:space="0" w:color="auto"/>
            </w:tcBorders>
            <w:vAlign w:val="bottom"/>
          </w:tcPr>
          <w:p w14:paraId="32DAC6A7" w14:textId="77777777" w:rsidR="001011EB" w:rsidRPr="006A6595" w:rsidRDefault="001011EB" w:rsidP="003E46B3">
            <w:pPr>
              <w:jc w:val="right"/>
              <w:rPr>
                <w:bCs/>
                <w:sz w:val="20"/>
                <w:szCs w:val="20"/>
              </w:rPr>
            </w:pPr>
            <w:r w:rsidRPr="006A6595">
              <w:rPr>
                <w:bCs/>
                <w:sz w:val="20"/>
                <w:szCs w:val="20"/>
              </w:rPr>
              <w:t>33 161</w:t>
            </w:r>
          </w:p>
        </w:tc>
      </w:tr>
      <w:tr w:rsidR="001011EB" w:rsidRPr="006A6595" w14:paraId="03E16F99" w14:textId="77777777" w:rsidTr="004D018A">
        <w:trPr>
          <w:trHeight w:val="388"/>
          <w:tblHeader/>
        </w:trPr>
        <w:tc>
          <w:tcPr>
            <w:tcW w:w="3420" w:type="dxa"/>
            <w:tcBorders>
              <w:top w:val="nil"/>
              <w:bottom w:val="single" w:sz="4" w:space="0" w:color="auto"/>
            </w:tcBorders>
          </w:tcPr>
          <w:p w14:paraId="3EC094D2" w14:textId="77777777" w:rsidR="001011EB" w:rsidRPr="00C26B90" w:rsidRDefault="001011EB" w:rsidP="003E46B3">
            <w:pPr>
              <w:rPr>
                <w:sz w:val="20"/>
                <w:szCs w:val="20"/>
              </w:rPr>
            </w:pPr>
            <w:r w:rsidRPr="00C26B90">
              <w:rPr>
                <w:sz w:val="20"/>
                <w:szCs w:val="20"/>
              </w:rPr>
              <w:t>Podpora obnovy hist. žel. kol. vozidel (program 127 64, 127 66)</w:t>
            </w:r>
          </w:p>
        </w:tc>
        <w:tc>
          <w:tcPr>
            <w:tcW w:w="1152" w:type="dxa"/>
            <w:tcBorders>
              <w:top w:val="nil"/>
              <w:bottom w:val="single" w:sz="4" w:space="0" w:color="auto"/>
            </w:tcBorders>
          </w:tcPr>
          <w:p w14:paraId="7D1A0125" w14:textId="77777777" w:rsidR="001011EB" w:rsidRPr="006A6595" w:rsidRDefault="001011EB" w:rsidP="003E46B3">
            <w:pPr>
              <w:jc w:val="right"/>
              <w:rPr>
                <w:bCs/>
                <w:sz w:val="20"/>
                <w:szCs w:val="20"/>
              </w:rPr>
            </w:pPr>
          </w:p>
          <w:p w14:paraId="69AAE5DF" w14:textId="77777777" w:rsidR="001011EB" w:rsidRPr="006A6595" w:rsidRDefault="001011EB" w:rsidP="003E46B3">
            <w:pPr>
              <w:jc w:val="right"/>
              <w:rPr>
                <w:bCs/>
                <w:sz w:val="20"/>
                <w:szCs w:val="20"/>
              </w:rPr>
            </w:pPr>
            <w:r w:rsidRPr="006A6595">
              <w:rPr>
                <w:bCs/>
                <w:sz w:val="20"/>
                <w:szCs w:val="20"/>
              </w:rPr>
              <w:t>1 096</w:t>
            </w:r>
          </w:p>
        </w:tc>
        <w:tc>
          <w:tcPr>
            <w:tcW w:w="1152" w:type="dxa"/>
            <w:tcBorders>
              <w:top w:val="nil"/>
              <w:bottom w:val="single" w:sz="4" w:space="0" w:color="auto"/>
            </w:tcBorders>
          </w:tcPr>
          <w:p w14:paraId="5C41788C" w14:textId="77777777" w:rsidR="001011EB" w:rsidRPr="006A6595" w:rsidRDefault="001011EB" w:rsidP="003E46B3">
            <w:pPr>
              <w:jc w:val="right"/>
              <w:rPr>
                <w:bCs/>
                <w:sz w:val="20"/>
                <w:szCs w:val="20"/>
              </w:rPr>
            </w:pPr>
          </w:p>
          <w:p w14:paraId="56BA7936" w14:textId="77777777" w:rsidR="001011EB" w:rsidRPr="006A6595" w:rsidRDefault="001011EB" w:rsidP="003E46B3">
            <w:pPr>
              <w:jc w:val="right"/>
              <w:rPr>
                <w:bCs/>
                <w:sz w:val="20"/>
                <w:szCs w:val="20"/>
              </w:rPr>
            </w:pPr>
            <w:r w:rsidRPr="006A6595">
              <w:rPr>
                <w:bCs/>
                <w:sz w:val="20"/>
                <w:szCs w:val="20"/>
              </w:rPr>
              <w:t>1 331</w:t>
            </w:r>
          </w:p>
        </w:tc>
        <w:tc>
          <w:tcPr>
            <w:tcW w:w="1152" w:type="dxa"/>
            <w:tcBorders>
              <w:top w:val="nil"/>
              <w:bottom w:val="single" w:sz="4" w:space="0" w:color="auto"/>
            </w:tcBorders>
          </w:tcPr>
          <w:p w14:paraId="4AC8EB1A" w14:textId="77777777" w:rsidR="001011EB" w:rsidRPr="006A6595" w:rsidRDefault="001011EB" w:rsidP="003E46B3">
            <w:pPr>
              <w:jc w:val="right"/>
              <w:rPr>
                <w:bCs/>
                <w:sz w:val="20"/>
                <w:szCs w:val="20"/>
              </w:rPr>
            </w:pPr>
          </w:p>
          <w:p w14:paraId="18F02029" w14:textId="77777777" w:rsidR="001011EB" w:rsidRPr="006A6595" w:rsidRDefault="001011EB" w:rsidP="003E46B3">
            <w:pPr>
              <w:jc w:val="right"/>
              <w:rPr>
                <w:bCs/>
                <w:sz w:val="20"/>
                <w:szCs w:val="20"/>
              </w:rPr>
            </w:pPr>
            <w:r w:rsidRPr="006A6595">
              <w:rPr>
                <w:bCs/>
                <w:sz w:val="20"/>
                <w:szCs w:val="20"/>
              </w:rPr>
              <w:t>3 693</w:t>
            </w:r>
          </w:p>
        </w:tc>
        <w:tc>
          <w:tcPr>
            <w:tcW w:w="1152" w:type="dxa"/>
            <w:tcBorders>
              <w:top w:val="nil"/>
              <w:bottom w:val="single" w:sz="4" w:space="0" w:color="auto"/>
            </w:tcBorders>
          </w:tcPr>
          <w:p w14:paraId="4F0E84F5" w14:textId="77777777" w:rsidR="001011EB" w:rsidRPr="006A6595" w:rsidRDefault="001011EB" w:rsidP="003E46B3">
            <w:pPr>
              <w:jc w:val="right"/>
              <w:rPr>
                <w:bCs/>
                <w:sz w:val="20"/>
                <w:szCs w:val="20"/>
              </w:rPr>
            </w:pPr>
          </w:p>
          <w:p w14:paraId="7B0F9074" w14:textId="77777777" w:rsidR="001011EB" w:rsidRPr="006A6595" w:rsidRDefault="001011EB" w:rsidP="003E46B3">
            <w:pPr>
              <w:jc w:val="right"/>
              <w:rPr>
                <w:bCs/>
                <w:sz w:val="20"/>
                <w:szCs w:val="20"/>
              </w:rPr>
            </w:pPr>
            <w:r w:rsidRPr="006A6595">
              <w:rPr>
                <w:bCs/>
                <w:sz w:val="20"/>
                <w:szCs w:val="20"/>
              </w:rPr>
              <w:t>2 560</w:t>
            </w:r>
          </w:p>
        </w:tc>
        <w:tc>
          <w:tcPr>
            <w:tcW w:w="1152" w:type="dxa"/>
            <w:tcBorders>
              <w:top w:val="nil"/>
              <w:bottom w:val="single" w:sz="4" w:space="0" w:color="auto"/>
            </w:tcBorders>
            <w:vAlign w:val="bottom"/>
          </w:tcPr>
          <w:p w14:paraId="1F25B019" w14:textId="77777777" w:rsidR="001011EB" w:rsidRPr="006A6595" w:rsidRDefault="001011EB" w:rsidP="003E46B3">
            <w:pPr>
              <w:jc w:val="right"/>
              <w:rPr>
                <w:bCs/>
                <w:sz w:val="20"/>
                <w:szCs w:val="20"/>
              </w:rPr>
            </w:pPr>
            <w:r w:rsidRPr="006A6595">
              <w:rPr>
                <w:bCs/>
                <w:sz w:val="20"/>
                <w:szCs w:val="20"/>
              </w:rPr>
              <w:t>1 646</w:t>
            </w:r>
          </w:p>
        </w:tc>
      </w:tr>
    </w:tbl>
    <w:p w14:paraId="7A83031D" w14:textId="77777777" w:rsidR="001011EB" w:rsidRPr="009E3C85" w:rsidRDefault="001011EB" w:rsidP="001011EB">
      <w:pPr>
        <w:pStyle w:val="KOMtext"/>
      </w:pPr>
      <w:r w:rsidRPr="009E3C85">
        <w:t xml:space="preserve">Pokles úhrady ztráty ze závazku veřejné služby ve veřejné drážní osobní dopravě v roce 2019 byl ovlivněn změnou sazby DPH. V závěru roku (od 15. 12. 2019) se zvýšil počet vysoutěžených linek, jakož i dopravců podílejících se na zajišťování závazku veřejné služby. </w:t>
      </w:r>
      <w:r w:rsidRPr="009E3C85">
        <w:tab/>
      </w:r>
    </w:p>
    <w:p w14:paraId="0F1B7B21" w14:textId="0AA49EAF" w:rsidR="001011EB" w:rsidRPr="009E3C85" w:rsidRDefault="001011EB" w:rsidP="001011EB">
      <w:pPr>
        <w:pStyle w:val="KOMtext"/>
      </w:pPr>
      <w:r w:rsidRPr="009E3C85">
        <w:t>Příspěvek na dopravní cestu nehrazený ze SFDI poskytovaný</w:t>
      </w:r>
      <w:r w:rsidR="008762B3">
        <w:t xml:space="preserve"> SŽDC, s.o.</w:t>
      </w:r>
      <w:r w:rsidRPr="009E3C85">
        <w:t xml:space="preserve"> byl v roce 2015 navýšen z důvodu </w:t>
      </w:r>
      <w:r w:rsidRPr="009E3C85">
        <w:rPr>
          <w:bCs/>
        </w:rPr>
        <w:t>krytí salda financování provozu dopravní cesty.</w:t>
      </w:r>
      <w:r w:rsidRPr="009E3C85">
        <w:t xml:space="preserve"> Od roku 2017 dochází v souladu s legislativou k financování příspěvku prostřednictvím SFDI. Výjimečná je dotace v roce 2015 poskytnutá SŽ</w:t>
      </w:r>
      <w:r w:rsidR="008762B3">
        <w:t>DC, s.o.</w:t>
      </w:r>
      <w:r w:rsidRPr="009E3C85">
        <w:t xml:space="preserve"> na úhradu škody za neodebranou elektrickou energii. V roce 2016 byla SŽ</w:t>
      </w:r>
      <w:r w:rsidR="008762B3">
        <w:t>DC, s.o.</w:t>
      </w:r>
      <w:r w:rsidRPr="009E3C85">
        <w:t xml:space="preserve"> nově poskytnuta dotace, ze které byly hrazeny kompenzace železničním dopravcům provozujícím veřejnou osobní dopravu, a to z důvodu omezení provozování dráhy, kdy bylo nutné nahradit vlaky autobusovou dopravou. Také tento titul byl v roce 2017 financován prostřednictvím rozpočtu SFDI.</w:t>
      </w:r>
    </w:p>
    <w:p w14:paraId="2C4F63C0" w14:textId="77777777" w:rsidR="001011EB" w:rsidRPr="009E3C85" w:rsidRDefault="001011EB" w:rsidP="001011EB">
      <w:pPr>
        <w:pStyle w:val="KOMtext"/>
      </w:pPr>
      <w:r w:rsidRPr="009E3C85">
        <w:t>Výdaje na úhradu poplatků vybíraných za letové provozní služby poskytované ve vzdušném prostoru v roce 2016 (poprvé od roku 2010) stouply na úroveň, která hradí skutečné náklady ŘLP, s. p.</w:t>
      </w:r>
    </w:p>
    <w:p w14:paraId="7CB29084" w14:textId="2C273D32" w:rsidR="001011EB" w:rsidRPr="009E3C85" w:rsidRDefault="001011EB" w:rsidP="001011EB">
      <w:pPr>
        <w:pStyle w:val="KOMtext"/>
      </w:pPr>
      <w:r w:rsidRPr="009E3C85">
        <w:t>Obnova historických železničních kolejových vozidel byla z důvodu rostoucího zájmu vlastníků těchto vozidel v letech 2017 a 2018 podpořena vyššími částkami. Technická pomoc Operačního programu Doprava 2007-2013, určená pro SŽ</w:t>
      </w:r>
      <w:r w:rsidR="008762B3">
        <w:t>DC, s.o.</w:t>
      </w:r>
      <w:r w:rsidRPr="009E3C85">
        <w:t xml:space="preserve">, skončila v roce 2016. </w:t>
      </w:r>
    </w:p>
    <w:p w14:paraId="695F1B00" w14:textId="77777777" w:rsidR="00C224BE" w:rsidRPr="004B11AC" w:rsidRDefault="00C224BE" w:rsidP="00C0463D">
      <w:pPr>
        <w:pStyle w:val="Nadpis3"/>
      </w:pPr>
      <w:bookmarkStart w:id="382" w:name="_Toc34286469"/>
      <w:r w:rsidRPr="004B11AC">
        <w:lastRenderedPageBreak/>
        <w:t xml:space="preserve">Neinvestiční </w:t>
      </w:r>
      <w:r w:rsidR="0036036B" w:rsidRPr="004B11AC">
        <w:t>půjčené prostředky</w:t>
      </w:r>
      <w:r w:rsidRPr="004B11AC">
        <w:t xml:space="preserve"> podnikatelským subjektům</w:t>
      </w:r>
      <w:bookmarkEnd w:id="376"/>
      <w:bookmarkEnd w:id="377"/>
      <w:bookmarkEnd w:id="378"/>
      <w:bookmarkEnd w:id="382"/>
      <w:r w:rsidRPr="004B11AC">
        <w:t xml:space="preserve"> </w:t>
      </w:r>
    </w:p>
    <w:p w14:paraId="009BC35E" w14:textId="77777777" w:rsidR="002559A7" w:rsidRDefault="002177CB" w:rsidP="00DB2320">
      <w:pPr>
        <w:keepNext/>
        <w:ind w:left="357" w:right="1"/>
        <w:jc w:val="right"/>
        <w:rPr>
          <w:color w:val="FF0000"/>
        </w:rPr>
      </w:pP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r>
      <w:r w:rsidRPr="004B11AC">
        <w:rPr>
          <w:color w:val="FF0000"/>
        </w:rPr>
        <w:tab/>
        <w:t xml:space="preserve">     </w:t>
      </w:r>
      <w:r w:rsidR="002559A7" w:rsidRPr="00896441">
        <w:t>v tis. Kč</w:t>
      </w:r>
    </w:p>
    <w:tbl>
      <w:tblPr>
        <w:tblW w:w="9157" w:type="dxa"/>
        <w:tblInd w:w="108"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3657"/>
        <w:gridCol w:w="1191"/>
        <w:gridCol w:w="1134"/>
        <w:gridCol w:w="1134"/>
        <w:gridCol w:w="1191"/>
        <w:gridCol w:w="850"/>
      </w:tblGrid>
      <w:tr w:rsidR="00C26B90" w:rsidRPr="00394659" w14:paraId="4165BBEC" w14:textId="77777777" w:rsidTr="005A76EE">
        <w:trPr>
          <w:tblHeader/>
        </w:trPr>
        <w:tc>
          <w:tcPr>
            <w:tcW w:w="3657" w:type="dxa"/>
            <w:tcBorders>
              <w:right w:val="single" w:sz="4" w:space="0" w:color="auto"/>
            </w:tcBorders>
          </w:tcPr>
          <w:p w14:paraId="72A2A3FE" w14:textId="77777777" w:rsidR="00C26B90" w:rsidRPr="00394659" w:rsidRDefault="00C26B90" w:rsidP="00C26B90">
            <w:pPr>
              <w:jc w:val="center"/>
              <w:rPr>
                <w:sz w:val="22"/>
              </w:rPr>
            </w:pPr>
          </w:p>
          <w:p w14:paraId="647A45FA" w14:textId="77777777" w:rsidR="00C26B90" w:rsidRPr="00394659" w:rsidRDefault="00C26B90" w:rsidP="00C26B90">
            <w:pPr>
              <w:jc w:val="center"/>
              <w:rPr>
                <w:sz w:val="22"/>
              </w:rPr>
            </w:pPr>
            <w:r w:rsidRPr="00394659">
              <w:rPr>
                <w:sz w:val="22"/>
              </w:rPr>
              <w:t>Ukazatel</w:t>
            </w:r>
          </w:p>
        </w:tc>
        <w:tc>
          <w:tcPr>
            <w:tcW w:w="1191" w:type="dxa"/>
            <w:tcBorders>
              <w:top w:val="single" w:sz="4" w:space="0" w:color="auto"/>
              <w:bottom w:val="single" w:sz="4" w:space="0" w:color="auto"/>
              <w:right w:val="single" w:sz="4" w:space="0" w:color="auto"/>
            </w:tcBorders>
            <w:vAlign w:val="center"/>
          </w:tcPr>
          <w:p w14:paraId="41DB7331" w14:textId="77777777" w:rsidR="00C26B90" w:rsidRPr="00394659" w:rsidRDefault="00C26B90" w:rsidP="00C26B90">
            <w:pPr>
              <w:jc w:val="center"/>
              <w:rPr>
                <w:sz w:val="22"/>
              </w:rPr>
            </w:pPr>
            <w:r w:rsidRPr="00394659">
              <w:rPr>
                <w:sz w:val="22"/>
              </w:rPr>
              <w:t>Skutečnost</w:t>
            </w:r>
          </w:p>
          <w:p w14:paraId="1ADF03CF" w14:textId="77777777" w:rsidR="00C26B90" w:rsidRPr="00394659" w:rsidRDefault="00C26B90" w:rsidP="00C26B90">
            <w:pPr>
              <w:jc w:val="center"/>
              <w:rPr>
                <w:sz w:val="22"/>
              </w:rPr>
            </w:pPr>
            <w:r w:rsidRPr="00394659">
              <w:rPr>
                <w:sz w:val="22"/>
              </w:rPr>
              <w:t>2018</w:t>
            </w:r>
          </w:p>
        </w:tc>
        <w:tc>
          <w:tcPr>
            <w:tcW w:w="1134" w:type="dxa"/>
            <w:tcBorders>
              <w:top w:val="single" w:sz="4" w:space="0" w:color="auto"/>
              <w:left w:val="single" w:sz="4" w:space="0" w:color="auto"/>
              <w:bottom w:val="single" w:sz="4" w:space="0" w:color="auto"/>
              <w:right w:val="single" w:sz="4" w:space="0" w:color="auto"/>
            </w:tcBorders>
            <w:vAlign w:val="center"/>
          </w:tcPr>
          <w:p w14:paraId="78A1C9FA" w14:textId="77777777" w:rsidR="00C26B90" w:rsidRPr="00394659" w:rsidRDefault="00C26B90" w:rsidP="00C26B90">
            <w:pPr>
              <w:jc w:val="center"/>
              <w:rPr>
                <w:sz w:val="22"/>
              </w:rPr>
            </w:pPr>
            <w:r w:rsidRPr="00394659">
              <w:rPr>
                <w:sz w:val="22"/>
              </w:rPr>
              <w:t>Schválený</w:t>
            </w:r>
          </w:p>
          <w:p w14:paraId="71CE7B58" w14:textId="77777777" w:rsidR="00C26B90" w:rsidRPr="00394659" w:rsidRDefault="00C26B90" w:rsidP="00C26B90">
            <w:pPr>
              <w:jc w:val="center"/>
              <w:rPr>
                <w:sz w:val="22"/>
              </w:rPr>
            </w:pPr>
            <w:r w:rsidRPr="00394659">
              <w:rPr>
                <w:sz w:val="22"/>
              </w:rPr>
              <w:t>rozpočet</w:t>
            </w:r>
          </w:p>
          <w:p w14:paraId="195EE52B" w14:textId="77777777" w:rsidR="00C26B90" w:rsidRPr="00394659" w:rsidRDefault="00C26B90" w:rsidP="00C26B90">
            <w:pPr>
              <w:jc w:val="center"/>
              <w:rPr>
                <w:sz w:val="22"/>
              </w:rPr>
            </w:pPr>
            <w:r w:rsidRPr="00394659">
              <w:rPr>
                <w:sz w:val="22"/>
              </w:rPr>
              <w:t>201</w:t>
            </w:r>
            <w:r w:rsidR="00F322C4">
              <w:rPr>
                <w:sz w:val="22"/>
              </w:rPr>
              <w:t>9</w:t>
            </w:r>
          </w:p>
        </w:tc>
        <w:tc>
          <w:tcPr>
            <w:tcW w:w="1134" w:type="dxa"/>
            <w:tcBorders>
              <w:top w:val="single" w:sz="4" w:space="0" w:color="auto"/>
              <w:left w:val="single" w:sz="4" w:space="0" w:color="auto"/>
              <w:bottom w:val="single" w:sz="4" w:space="0" w:color="auto"/>
              <w:right w:val="single" w:sz="4" w:space="0" w:color="auto"/>
            </w:tcBorders>
            <w:vAlign w:val="center"/>
          </w:tcPr>
          <w:p w14:paraId="688A6262" w14:textId="77777777" w:rsidR="00C26B90" w:rsidRPr="00394659" w:rsidRDefault="00C26B90" w:rsidP="00C26B90">
            <w:pPr>
              <w:jc w:val="center"/>
              <w:rPr>
                <w:sz w:val="22"/>
              </w:rPr>
            </w:pPr>
            <w:r w:rsidRPr="00394659">
              <w:rPr>
                <w:sz w:val="22"/>
              </w:rPr>
              <w:t>Upravený</w:t>
            </w:r>
          </w:p>
          <w:p w14:paraId="1FED398C" w14:textId="77777777" w:rsidR="00C26B90" w:rsidRPr="00394659" w:rsidRDefault="00C26B90" w:rsidP="00C26B90">
            <w:pPr>
              <w:jc w:val="center"/>
              <w:rPr>
                <w:sz w:val="22"/>
              </w:rPr>
            </w:pPr>
            <w:r w:rsidRPr="00394659">
              <w:rPr>
                <w:sz w:val="22"/>
              </w:rPr>
              <w:t>rozpočet</w:t>
            </w:r>
          </w:p>
          <w:p w14:paraId="6AC57192" w14:textId="77777777" w:rsidR="00C26B90" w:rsidRPr="00394659" w:rsidRDefault="00C26B90" w:rsidP="00C26B90">
            <w:pPr>
              <w:jc w:val="center"/>
              <w:rPr>
                <w:sz w:val="22"/>
              </w:rPr>
            </w:pPr>
            <w:r w:rsidRPr="00394659">
              <w:rPr>
                <w:sz w:val="22"/>
              </w:rPr>
              <w:t>201</w:t>
            </w:r>
            <w:r w:rsidR="00F322C4">
              <w:rPr>
                <w:sz w:val="22"/>
              </w:rPr>
              <w:t>9</w:t>
            </w:r>
          </w:p>
        </w:tc>
        <w:tc>
          <w:tcPr>
            <w:tcW w:w="1191" w:type="dxa"/>
            <w:tcBorders>
              <w:top w:val="single" w:sz="4" w:space="0" w:color="auto"/>
              <w:left w:val="single" w:sz="4" w:space="0" w:color="auto"/>
              <w:bottom w:val="single" w:sz="4" w:space="0" w:color="auto"/>
            </w:tcBorders>
            <w:vAlign w:val="center"/>
          </w:tcPr>
          <w:p w14:paraId="33A2D358" w14:textId="77777777" w:rsidR="00C26B90" w:rsidRPr="00394659" w:rsidRDefault="00C26B90" w:rsidP="00C26B90">
            <w:pPr>
              <w:jc w:val="center"/>
              <w:rPr>
                <w:sz w:val="22"/>
              </w:rPr>
            </w:pPr>
            <w:r w:rsidRPr="00394659">
              <w:rPr>
                <w:sz w:val="22"/>
              </w:rPr>
              <w:t>Skutečnost</w:t>
            </w:r>
          </w:p>
          <w:p w14:paraId="0892A0A1" w14:textId="77777777" w:rsidR="00C26B90" w:rsidRPr="00394659" w:rsidRDefault="00C26B90" w:rsidP="00C26B90">
            <w:pPr>
              <w:jc w:val="center"/>
              <w:rPr>
                <w:sz w:val="22"/>
              </w:rPr>
            </w:pPr>
            <w:r w:rsidRPr="00394659">
              <w:rPr>
                <w:sz w:val="22"/>
              </w:rPr>
              <w:t>2019</w:t>
            </w:r>
          </w:p>
        </w:tc>
        <w:tc>
          <w:tcPr>
            <w:tcW w:w="850" w:type="dxa"/>
            <w:tcBorders>
              <w:top w:val="single" w:sz="4" w:space="0" w:color="auto"/>
              <w:left w:val="single" w:sz="4" w:space="0" w:color="auto"/>
              <w:bottom w:val="single" w:sz="4" w:space="0" w:color="auto"/>
            </w:tcBorders>
            <w:vAlign w:val="center"/>
          </w:tcPr>
          <w:p w14:paraId="7C28E2CD" w14:textId="77777777" w:rsidR="00C26B90" w:rsidRPr="00394659" w:rsidRDefault="00C26B90" w:rsidP="00C26B90">
            <w:pPr>
              <w:jc w:val="center"/>
              <w:rPr>
                <w:sz w:val="22"/>
              </w:rPr>
            </w:pPr>
            <w:r w:rsidRPr="00394659">
              <w:rPr>
                <w:sz w:val="22"/>
              </w:rPr>
              <w:t>Index</w:t>
            </w:r>
          </w:p>
          <w:p w14:paraId="4791DA05" w14:textId="77777777" w:rsidR="00C26B90" w:rsidRPr="00394659" w:rsidRDefault="00C26B90" w:rsidP="00C26B90">
            <w:pPr>
              <w:jc w:val="center"/>
              <w:rPr>
                <w:sz w:val="22"/>
              </w:rPr>
            </w:pPr>
            <w:r w:rsidRPr="00394659">
              <w:rPr>
                <w:sz w:val="22"/>
              </w:rPr>
              <w:t>19/18         (v %)</w:t>
            </w:r>
          </w:p>
        </w:tc>
      </w:tr>
      <w:tr w:rsidR="00C26B90" w:rsidRPr="00394659" w14:paraId="50E7B7B4" w14:textId="77777777" w:rsidTr="005A76EE">
        <w:trPr>
          <w:tblHeader/>
        </w:trPr>
        <w:tc>
          <w:tcPr>
            <w:tcW w:w="3657" w:type="dxa"/>
            <w:tcBorders>
              <w:top w:val="single" w:sz="4" w:space="0" w:color="auto"/>
              <w:bottom w:val="single" w:sz="4" w:space="0" w:color="auto"/>
              <w:right w:val="single" w:sz="4" w:space="0" w:color="auto"/>
            </w:tcBorders>
          </w:tcPr>
          <w:p w14:paraId="76E718DC" w14:textId="77777777" w:rsidR="00C26B90" w:rsidRPr="00394659" w:rsidRDefault="00C26B90" w:rsidP="00C26B90">
            <w:pPr>
              <w:jc w:val="center"/>
              <w:rPr>
                <w:sz w:val="22"/>
              </w:rPr>
            </w:pPr>
            <w:r w:rsidRPr="00394659">
              <w:rPr>
                <w:sz w:val="22"/>
              </w:rPr>
              <w:t>a</w:t>
            </w:r>
          </w:p>
        </w:tc>
        <w:tc>
          <w:tcPr>
            <w:tcW w:w="1191" w:type="dxa"/>
            <w:tcBorders>
              <w:top w:val="single" w:sz="4" w:space="0" w:color="auto"/>
              <w:bottom w:val="single" w:sz="4" w:space="0" w:color="auto"/>
              <w:right w:val="single" w:sz="4" w:space="0" w:color="auto"/>
            </w:tcBorders>
          </w:tcPr>
          <w:p w14:paraId="1AB19EBE" w14:textId="77777777" w:rsidR="00C26B90" w:rsidRPr="00394659" w:rsidRDefault="00C26B90" w:rsidP="00C26B90">
            <w:pPr>
              <w:jc w:val="center"/>
              <w:rPr>
                <w:sz w:val="22"/>
              </w:rPr>
            </w:pPr>
            <w:r w:rsidRPr="00394659">
              <w:rPr>
                <w:sz w:val="22"/>
              </w:rPr>
              <w:t>1</w:t>
            </w:r>
          </w:p>
        </w:tc>
        <w:tc>
          <w:tcPr>
            <w:tcW w:w="1134" w:type="dxa"/>
            <w:tcBorders>
              <w:top w:val="single" w:sz="4" w:space="0" w:color="auto"/>
              <w:left w:val="single" w:sz="4" w:space="0" w:color="auto"/>
              <w:bottom w:val="single" w:sz="4" w:space="0" w:color="auto"/>
              <w:right w:val="single" w:sz="4" w:space="0" w:color="auto"/>
            </w:tcBorders>
          </w:tcPr>
          <w:p w14:paraId="2B23AB61" w14:textId="77777777" w:rsidR="00C26B90" w:rsidRPr="00394659" w:rsidRDefault="00C26B90" w:rsidP="00C26B90">
            <w:pPr>
              <w:jc w:val="center"/>
              <w:rPr>
                <w:sz w:val="22"/>
              </w:rPr>
            </w:pPr>
            <w:r w:rsidRPr="00394659">
              <w:rPr>
                <w:sz w:val="22"/>
              </w:rPr>
              <w:t>2</w:t>
            </w:r>
          </w:p>
        </w:tc>
        <w:tc>
          <w:tcPr>
            <w:tcW w:w="1134" w:type="dxa"/>
            <w:tcBorders>
              <w:top w:val="single" w:sz="4" w:space="0" w:color="auto"/>
              <w:left w:val="single" w:sz="4" w:space="0" w:color="auto"/>
              <w:bottom w:val="single" w:sz="4" w:space="0" w:color="auto"/>
              <w:right w:val="single" w:sz="4" w:space="0" w:color="auto"/>
            </w:tcBorders>
          </w:tcPr>
          <w:p w14:paraId="12725F3D" w14:textId="77777777" w:rsidR="00C26B90" w:rsidRPr="00394659" w:rsidRDefault="00C26B90" w:rsidP="00C26B90">
            <w:pPr>
              <w:jc w:val="center"/>
              <w:rPr>
                <w:sz w:val="22"/>
              </w:rPr>
            </w:pPr>
            <w:r w:rsidRPr="00394659">
              <w:rPr>
                <w:sz w:val="22"/>
              </w:rPr>
              <w:t>3</w:t>
            </w:r>
          </w:p>
        </w:tc>
        <w:tc>
          <w:tcPr>
            <w:tcW w:w="1191" w:type="dxa"/>
            <w:tcBorders>
              <w:top w:val="single" w:sz="4" w:space="0" w:color="auto"/>
              <w:left w:val="single" w:sz="4" w:space="0" w:color="auto"/>
              <w:bottom w:val="single" w:sz="4" w:space="0" w:color="auto"/>
              <w:right w:val="single" w:sz="4" w:space="0" w:color="auto"/>
            </w:tcBorders>
          </w:tcPr>
          <w:p w14:paraId="48BC6713" w14:textId="77777777" w:rsidR="00C26B90" w:rsidRPr="00394659" w:rsidRDefault="00C26B90" w:rsidP="00C26B90">
            <w:pPr>
              <w:jc w:val="center"/>
              <w:rPr>
                <w:sz w:val="22"/>
              </w:rPr>
            </w:pPr>
            <w:r w:rsidRPr="00394659">
              <w:rPr>
                <w:sz w:val="22"/>
              </w:rPr>
              <w:t>4</w:t>
            </w:r>
          </w:p>
        </w:tc>
        <w:tc>
          <w:tcPr>
            <w:tcW w:w="850" w:type="dxa"/>
            <w:tcBorders>
              <w:top w:val="single" w:sz="4" w:space="0" w:color="auto"/>
              <w:left w:val="single" w:sz="4" w:space="0" w:color="auto"/>
              <w:bottom w:val="single" w:sz="4" w:space="0" w:color="auto"/>
            </w:tcBorders>
          </w:tcPr>
          <w:p w14:paraId="7ECB1B6A" w14:textId="77777777" w:rsidR="00C26B90" w:rsidRPr="00394659" w:rsidRDefault="00C26B90" w:rsidP="00C26B90">
            <w:pPr>
              <w:jc w:val="center"/>
              <w:rPr>
                <w:sz w:val="22"/>
              </w:rPr>
            </w:pPr>
            <w:r w:rsidRPr="00394659">
              <w:rPr>
                <w:sz w:val="22"/>
              </w:rPr>
              <w:t>5</w:t>
            </w:r>
          </w:p>
        </w:tc>
      </w:tr>
      <w:tr w:rsidR="00C26B90" w:rsidRPr="00394659" w14:paraId="67C1DF8F" w14:textId="77777777" w:rsidTr="005A76EE">
        <w:trPr>
          <w:tblHeader/>
        </w:trPr>
        <w:tc>
          <w:tcPr>
            <w:tcW w:w="3657" w:type="dxa"/>
            <w:tcBorders>
              <w:top w:val="single" w:sz="4" w:space="0" w:color="auto"/>
              <w:bottom w:val="nil"/>
              <w:right w:val="single" w:sz="4" w:space="0" w:color="auto"/>
            </w:tcBorders>
          </w:tcPr>
          <w:p w14:paraId="647F5A84" w14:textId="77777777" w:rsidR="00C26B90" w:rsidRPr="00394659" w:rsidRDefault="00C26B90" w:rsidP="00C26B90">
            <w:pPr>
              <w:ind w:left="-70"/>
              <w:rPr>
                <w:b/>
                <w:sz w:val="20"/>
                <w:szCs w:val="20"/>
              </w:rPr>
            </w:pPr>
            <w:r w:rsidRPr="00394659">
              <w:rPr>
                <w:b/>
                <w:sz w:val="20"/>
                <w:szCs w:val="20"/>
              </w:rPr>
              <w:t>Neinvestiční půjčené prostředky podnikatelským subjektům</w:t>
            </w:r>
          </w:p>
          <w:p w14:paraId="04C069E6" w14:textId="77777777" w:rsidR="00C26B90" w:rsidRPr="00394659" w:rsidRDefault="00C26B90" w:rsidP="00C26B90">
            <w:pPr>
              <w:ind w:left="-68"/>
              <w:rPr>
                <w:sz w:val="20"/>
                <w:szCs w:val="20"/>
              </w:rPr>
            </w:pPr>
            <w:r w:rsidRPr="00394659">
              <w:rPr>
                <w:sz w:val="20"/>
                <w:szCs w:val="20"/>
              </w:rPr>
              <w:t>v tom:</w:t>
            </w:r>
          </w:p>
        </w:tc>
        <w:tc>
          <w:tcPr>
            <w:tcW w:w="1191" w:type="dxa"/>
            <w:tcBorders>
              <w:top w:val="single" w:sz="4" w:space="0" w:color="auto"/>
              <w:bottom w:val="nil"/>
              <w:right w:val="single" w:sz="4" w:space="0" w:color="auto"/>
            </w:tcBorders>
          </w:tcPr>
          <w:p w14:paraId="64AB5E44" w14:textId="77777777" w:rsidR="00C26B90" w:rsidRPr="00394659" w:rsidRDefault="00C26B90" w:rsidP="00C26B90">
            <w:pPr>
              <w:jc w:val="right"/>
              <w:rPr>
                <w:b/>
                <w:sz w:val="20"/>
                <w:szCs w:val="20"/>
              </w:rPr>
            </w:pPr>
          </w:p>
          <w:p w14:paraId="1D4C3C02" w14:textId="77777777" w:rsidR="00C26B90" w:rsidRPr="00394659" w:rsidRDefault="00C26B90" w:rsidP="00C26B90">
            <w:pPr>
              <w:jc w:val="right"/>
              <w:rPr>
                <w:b/>
                <w:sz w:val="20"/>
                <w:szCs w:val="20"/>
              </w:rPr>
            </w:pPr>
            <w:r w:rsidRPr="00394659">
              <w:rPr>
                <w:b/>
                <w:sz w:val="20"/>
                <w:szCs w:val="20"/>
              </w:rPr>
              <w:t>42 350</w:t>
            </w:r>
          </w:p>
        </w:tc>
        <w:tc>
          <w:tcPr>
            <w:tcW w:w="1134" w:type="dxa"/>
            <w:tcBorders>
              <w:top w:val="single" w:sz="4" w:space="0" w:color="auto"/>
              <w:left w:val="single" w:sz="4" w:space="0" w:color="auto"/>
              <w:bottom w:val="nil"/>
              <w:right w:val="single" w:sz="4" w:space="0" w:color="auto"/>
            </w:tcBorders>
          </w:tcPr>
          <w:p w14:paraId="10A6E262" w14:textId="77777777" w:rsidR="00C26B90" w:rsidRPr="00394659" w:rsidRDefault="00C26B90" w:rsidP="00C26B90">
            <w:pPr>
              <w:jc w:val="right"/>
              <w:rPr>
                <w:b/>
                <w:sz w:val="20"/>
                <w:szCs w:val="20"/>
              </w:rPr>
            </w:pPr>
          </w:p>
          <w:p w14:paraId="6D479248" w14:textId="77777777" w:rsidR="00C26B90" w:rsidRPr="00394659" w:rsidRDefault="00C26B90" w:rsidP="00C26B90">
            <w:pPr>
              <w:jc w:val="right"/>
              <w:rPr>
                <w:b/>
                <w:sz w:val="20"/>
                <w:szCs w:val="20"/>
              </w:rPr>
            </w:pPr>
            <w:r w:rsidRPr="00394659">
              <w:rPr>
                <w:b/>
                <w:sz w:val="20"/>
                <w:szCs w:val="20"/>
              </w:rPr>
              <w:t>0</w:t>
            </w:r>
          </w:p>
        </w:tc>
        <w:tc>
          <w:tcPr>
            <w:tcW w:w="1134" w:type="dxa"/>
            <w:tcBorders>
              <w:top w:val="single" w:sz="4" w:space="0" w:color="auto"/>
              <w:left w:val="single" w:sz="4" w:space="0" w:color="auto"/>
              <w:bottom w:val="nil"/>
              <w:right w:val="single" w:sz="4" w:space="0" w:color="auto"/>
            </w:tcBorders>
          </w:tcPr>
          <w:p w14:paraId="6DC3B556" w14:textId="77777777" w:rsidR="00C26B90" w:rsidRPr="00394659" w:rsidRDefault="00C26B90" w:rsidP="00C26B90">
            <w:pPr>
              <w:jc w:val="right"/>
              <w:rPr>
                <w:b/>
                <w:sz w:val="20"/>
                <w:szCs w:val="20"/>
              </w:rPr>
            </w:pPr>
          </w:p>
          <w:p w14:paraId="081094B7" w14:textId="77777777" w:rsidR="00C26B90" w:rsidRPr="00394659" w:rsidRDefault="00C26B90" w:rsidP="00C26B90">
            <w:pPr>
              <w:jc w:val="right"/>
              <w:rPr>
                <w:b/>
                <w:sz w:val="20"/>
                <w:szCs w:val="20"/>
              </w:rPr>
            </w:pPr>
            <w:r w:rsidRPr="00394659">
              <w:rPr>
                <w:b/>
                <w:sz w:val="20"/>
                <w:szCs w:val="20"/>
              </w:rPr>
              <w:t>0</w:t>
            </w:r>
          </w:p>
        </w:tc>
        <w:tc>
          <w:tcPr>
            <w:tcW w:w="1191" w:type="dxa"/>
            <w:tcBorders>
              <w:top w:val="single" w:sz="4" w:space="0" w:color="auto"/>
              <w:left w:val="single" w:sz="4" w:space="0" w:color="auto"/>
              <w:bottom w:val="nil"/>
              <w:right w:val="single" w:sz="4" w:space="0" w:color="auto"/>
            </w:tcBorders>
          </w:tcPr>
          <w:p w14:paraId="7F25D651" w14:textId="77777777" w:rsidR="00C26B90" w:rsidRPr="00394659" w:rsidRDefault="00C26B90" w:rsidP="00C26B90">
            <w:pPr>
              <w:jc w:val="right"/>
              <w:rPr>
                <w:b/>
                <w:sz w:val="20"/>
                <w:szCs w:val="20"/>
              </w:rPr>
            </w:pPr>
          </w:p>
          <w:p w14:paraId="699BD736" w14:textId="77777777" w:rsidR="00C26B90" w:rsidRPr="00394659" w:rsidRDefault="00C26B90" w:rsidP="00C26B90">
            <w:pPr>
              <w:jc w:val="right"/>
              <w:rPr>
                <w:b/>
                <w:sz w:val="20"/>
                <w:szCs w:val="20"/>
              </w:rPr>
            </w:pPr>
            <w:r w:rsidRPr="00394659">
              <w:rPr>
                <w:b/>
                <w:sz w:val="20"/>
                <w:szCs w:val="20"/>
              </w:rPr>
              <w:t xml:space="preserve">10 650 </w:t>
            </w:r>
          </w:p>
        </w:tc>
        <w:tc>
          <w:tcPr>
            <w:tcW w:w="850" w:type="dxa"/>
            <w:tcBorders>
              <w:top w:val="single" w:sz="4" w:space="0" w:color="auto"/>
              <w:left w:val="single" w:sz="4" w:space="0" w:color="auto"/>
              <w:bottom w:val="nil"/>
            </w:tcBorders>
          </w:tcPr>
          <w:p w14:paraId="1A9C2124" w14:textId="77777777" w:rsidR="00C26B90" w:rsidRPr="00394659" w:rsidRDefault="00C26B90" w:rsidP="00C26B90">
            <w:pPr>
              <w:jc w:val="right"/>
              <w:rPr>
                <w:b/>
                <w:sz w:val="20"/>
                <w:szCs w:val="20"/>
              </w:rPr>
            </w:pPr>
          </w:p>
          <w:p w14:paraId="72B0127B" w14:textId="77777777" w:rsidR="00C26B90" w:rsidRPr="00394659" w:rsidRDefault="00C26B90" w:rsidP="00C26B90">
            <w:pPr>
              <w:jc w:val="right"/>
              <w:rPr>
                <w:b/>
                <w:sz w:val="20"/>
                <w:szCs w:val="20"/>
              </w:rPr>
            </w:pPr>
            <w:r w:rsidRPr="00394659">
              <w:rPr>
                <w:b/>
                <w:sz w:val="20"/>
                <w:szCs w:val="20"/>
              </w:rPr>
              <w:t>25,15</w:t>
            </w:r>
          </w:p>
        </w:tc>
      </w:tr>
      <w:tr w:rsidR="00C26B90" w:rsidRPr="00394659" w14:paraId="658CF50B" w14:textId="77777777" w:rsidTr="005A76EE">
        <w:trPr>
          <w:tblHeader/>
        </w:trPr>
        <w:tc>
          <w:tcPr>
            <w:tcW w:w="3657" w:type="dxa"/>
            <w:tcBorders>
              <w:top w:val="nil"/>
              <w:bottom w:val="single" w:sz="4" w:space="0" w:color="auto"/>
              <w:right w:val="single" w:sz="4" w:space="0" w:color="auto"/>
            </w:tcBorders>
          </w:tcPr>
          <w:p w14:paraId="13AA59ED" w14:textId="77777777" w:rsidR="00C26B90" w:rsidRPr="00394659" w:rsidRDefault="00C26B90" w:rsidP="00C26B90">
            <w:pPr>
              <w:ind w:left="-68"/>
              <w:rPr>
                <w:sz w:val="20"/>
                <w:szCs w:val="20"/>
              </w:rPr>
            </w:pPr>
            <w:r w:rsidRPr="00394659">
              <w:rPr>
                <w:sz w:val="20"/>
                <w:szCs w:val="20"/>
              </w:rPr>
              <w:t>Návratná finanční výpomoc - CENDIS, s.p.</w:t>
            </w:r>
          </w:p>
        </w:tc>
        <w:tc>
          <w:tcPr>
            <w:tcW w:w="1191" w:type="dxa"/>
            <w:tcBorders>
              <w:top w:val="nil"/>
              <w:left w:val="single" w:sz="4" w:space="0" w:color="auto"/>
              <w:bottom w:val="single" w:sz="4" w:space="0" w:color="auto"/>
              <w:right w:val="single" w:sz="4" w:space="0" w:color="auto"/>
            </w:tcBorders>
          </w:tcPr>
          <w:p w14:paraId="09489EEF" w14:textId="77777777" w:rsidR="00C26B90" w:rsidRPr="00394659" w:rsidRDefault="00C26B90" w:rsidP="00C26B90">
            <w:pPr>
              <w:jc w:val="right"/>
              <w:rPr>
                <w:sz w:val="20"/>
                <w:szCs w:val="20"/>
              </w:rPr>
            </w:pPr>
            <w:r w:rsidRPr="00394659">
              <w:rPr>
                <w:sz w:val="20"/>
                <w:szCs w:val="20"/>
              </w:rPr>
              <w:t>42 350</w:t>
            </w:r>
          </w:p>
        </w:tc>
        <w:tc>
          <w:tcPr>
            <w:tcW w:w="1134" w:type="dxa"/>
            <w:tcBorders>
              <w:top w:val="nil"/>
              <w:left w:val="single" w:sz="4" w:space="0" w:color="auto"/>
              <w:bottom w:val="single" w:sz="4" w:space="0" w:color="auto"/>
              <w:right w:val="single" w:sz="4" w:space="0" w:color="auto"/>
            </w:tcBorders>
          </w:tcPr>
          <w:p w14:paraId="4205F564" w14:textId="77777777" w:rsidR="00C26B90" w:rsidRPr="00394659" w:rsidRDefault="00C26B90" w:rsidP="00C26B90">
            <w:pPr>
              <w:jc w:val="right"/>
              <w:rPr>
                <w:sz w:val="20"/>
                <w:szCs w:val="20"/>
              </w:rPr>
            </w:pPr>
            <w:r w:rsidRPr="00394659">
              <w:rPr>
                <w:sz w:val="20"/>
                <w:szCs w:val="20"/>
              </w:rPr>
              <w:t>0</w:t>
            </w:r>
          </w:p>
        </w:tc>
        <w:tc>
          <w:tcPr>
            <w:tcW w:w="1134" w:type="dxa"/>
            <w:tcBorders>
              <w:top w:val="nil"/>
              <w:left w:val="single" w:sz="4" w:space="0" w:color="auto"/>
              <w:bottom w:val="single" w:sz="4" w:space="0" w:color="auto"/>
              <w:right w:val="single" w:sz="4" w:space="0" w:color="auto"/>
            </w:tcBorders>
          </w:tcPr>
          <w:p w14:paraId="79A3CA80" w14:textId="77777777" w:rsidR="00C26B90" w:rsidRPr="00394659" w:rsidRDefault="00C26B90" w:rsidP="00C26B90">
            <w:pPr>
              <w:jc w:val="right"/>
              <w:rPr>
                <w:sz w:val="20"/>
                <w:szCs w:val="20"/>
              </w:rPr>
            </w:pPr>
            <w:r w:rsidRPr="00394659">
              <w:rPr>
                <w:sz w:val="20"/>
                <w:szCs w:val="20"/>
              </w:rPr>
              <w:t>0</w:t>
            </w:r>
          </w:p>
        </w:tc>
        <w:tc>
          <w:tcPr>
            <w:tcW w:w="1191" w:type="dxa"/>
            <w:tcBorders>
              <w:top w:val="nil"/>
              <w:left w:val="single" w:sz="4" w:space="0" w:color="auto"/>
              <w:bottom w:val="single" w:sz="4" w:space="0" w:color="auto"/>
              <w:right w:val="single" w:sz="4" w:space="0" w:color="auto"/>
            </w:tcBorders>
          </w:tcPr>
          <w:p w14:paraId="1B9C9427" w14:textId="77777777" w:rsidR="00C26B90" w:rsidRPr="00394659" w:rsidRDefault="00C26B90" w:rsidP="00C26B90">
            <w:pPr>
              <w:jc w:val="right"/>
              <w:rPr>
                <w:sz w:val="20"/>
                <w:szCs w:val="20"/>
              </w:rPr>
            </w:pPr>
            <w:r w:rsidRPr="00394659">
              <w:rPr>
                <w:sz w:val="20"/>
                <w:szCs w:val="20"/>
              </w:rPr>
              <w:t>10 650</w:t>
            </w:r>
          </w:p>
        </w:tc>
        <w:tc>
          <w:tcPr>
            <w:tcW w:w="850" w:type="dxa"/>
            <w:tcBorders>
              <w:top w:val="nil"/>
              <w:left w:val="single" w:sz="4" w:space="0" w:color="auto"/>
              <w:bottom w:val="single" w:sz="4" w:space="0" w:color="auto"/>
            </w:tcBorders>
          </w:tcPr>
          <w:p w14:paraId="60EC5530" w14:textId="77777777" w:rsidR="00C26B90" w:rsidRPr="00394659" w:rsidRDefault="00C26B90" w:rsidP="00C26B90">
            <w:pPr>
              <w:jc w:val="right"/>
              <w:rPr>
                <w:sz w:val="20"/>
                <w:szCs w:val="20"/>
              </w:rPr>
            </w:pPr>
            <w:r w:rsidRPr="00394659">
              <w:rPr>
                <w:sz w:val="20"/>
                <w:szCs w:val="20"/>
              </w:rPr>
              <w:t>25,15</w:t>
            </w:r>
          </w:p>
        </w:tc>
      </w:tr>
    </w:tbl>
    <w:p w14:paraId="6BA18255" w14:textId="77777777" w:rsidR="002559A7" w:rsidRPr="00727F42" w:rsidRDefault="002559A7" w:rsidP="002559A7">
      <w:pPr>
        <w:pStyle w:val="KOModrky"/>
        <w:spacing w:before="240"/>
        <w:rPr>
          <w:b/>
          <w:u w:val="single"/>
        </w:rPr>
      </w:pPr>
      <w:r w:rsidRPr="00727F42">
        <w:rPr>
          <w:b/>
          <w:u w:val="single"/>
        </w:rPr>
        <w:t>Návratná finanční výpomoc - CENDIS, s.p.</w:t>
      </w:r>
    </w:p>
    <w:p w14:paraId="2E11E0D4" w14:textId="04B2B88F" w:rsidR="001011EB" w:rsidRPr="00394659" w:rsidRDefault="001011EB" w:rsidP="001011EB">
      <w:pPr>
        <w:pStyle w:val="KOMtext"/>
      </w:pPr>
      <w:bookmarkStart w:id="383" w:name="_Toc413413664"/>
      <w:bookmarkStart w:id="384" w:name="_Toc508879875"/>
      <w:bookmarkStart w:id="385" w:name="_Toc508880151"/>
      <w:bookmarkStart w:id="386" w:name="_Toc1376824"/>
      <w:r w:rsidRPr="00394659">
        <w:t>Finanční výpomoc státnímu podniku CENDIS</w:t>
      </w:r>
      <w:r>
        <w:t xml:space="preserve"> ve výši 10 650 tis. Kč</w:t>
      </w:r>
      <w:r w:rsidRPr="00394659">
        <w:t xml:space="preserve"> byla poskytnuta </w:t>
      </w:r>
      <w:r w:rsidR="000A482F">
        <w:t>jako druhá tranš</w:t>
      </w:r>
      <w:r>
        <w:t>e</w:t>
      </w:r>
      <w:r w:rsidRPr="00394659">
        <w:t xml:space="preserve"> na neinvestiční výdaje spojené s implementační fází projektu Systému jednotného tarifu s termínem splatnosti do 31. 12. 2020.</w:t>
      </w:r>
    </w:p>
    <w:p w14:paraId="7EEAF8DB" w14:textId="741B799B" w:rsidR="001011EB" w:rsidRDefault="001011EB" w:rsidP="0051229E">
      <w:pPr>
        <w:pStyle w:val="KOModrky"/>
        <w:tabs>
          <w:tab w:val="left" w:pos="708"/>
        </w:tabs>
        <w:spacing w:line="276" w:lineRule="auto"/>
      </w:pPr>
      <w:r w:rsidRPr="00640876">
        <w:t xml:space="preserve">Návratná finanční výpomoc byla Ministerstvem dopravy poskytnuta poprvé v roce 2015, a to ve výši 2 000 tis. Kč s.p. CENDIS za účelem překlenutí počátečního přechodného období v důsledku změny hlavního předmětu podnikání státního podniku. Tato finanční výpomoc byla splacena v roce 2016. Další návratná výpomoc </w:t>
      </w:r>
      <w:r>
        <w:t xml:space="preserve">na provoz </w:t>
      </w:r>
      <w:r w:rsidRPr="00640876">
        <w:t>byla poskytnuta s.p. CENDIS v roce 2016 ve výši 5 000 tis. Kč a byla splacena v roce 2018. V roce 2018</w:t>
      </w:r>
      <w:r>
        <w:t xml:space="preserve"> byl</w:t>
      </w:r>
      <w:r w:rsidR="000A482F">
        <w:t>a podniku poskytnuta první tranš</w:t>
      </w:r>
      <w:r>
        <w:t xml:space="preserve">e finanční výpomoci ve výši 42 350 tis. Kč </w:t>
      </w:r>
      <w:r w:rsidRPr="00394659">
        <w:t>na neinvestiční výdaje spojené s implementační fází projektu Systému jednotného tarifu s termínem splatnosti do 31. 12. 2020.</w:t>
      </w:r>
      <w:r w:rsidR="0032109C">
        <w:t xml:space="preserve"> Doposud tedy neproběhla žádná splátka.</w:t>
      </w:r>
    </w:p>
    <w:p w14:paraId="1759F394" w14:textId="77777777" w:rsidR="00185BC4" w:rsidRPr="004B11AC" w:rsidRDefault="00185BC4" w:rsidP="00C0463D">
      <w:pPr>
        <w:pStyle w:val="Nadpis3"/>
      </w:pPr>
      <w:bookmarkStart w:id="387" w:name="_Toc34286470"/>
      <w:r w:rsidRPr="004B11AC">
        <w:t>Neinvestiční transfery státním fondům</w:t>
      </w:r>
      <w:bookmarkEnd w:id="348"/>
      <w:bookmarkEnd w:id="383"/>
      <w:bookmarkEnd w:id="384"/>
      <w:bookmarkEnd w:id="385"/>
      <w:bookmarkEnd w:id="386"/>
      <w:bookmarkEnd w:id="387"/>
      <w:r w:rsidRPr="004B11AC">
        <w:t xml:space="preserve"> </w:t>
      </w:r>
    </w:p>
    <w:p w14:paraId="70E23EB8" w14:textId="77777777" w:rsidR="00214598" w:rsidRPr="000E372E" w:rsidRDefault="00824DE7" w:rsidP="00DB2320">
      <w:pPr>
        <w:keepNext/>
        <w:ind w:left="357" w:right="1"/>
        <w:jc w:val="right"/>
      </w:pPr>
      <w:r w:rsidRPr="004B11AC">
        <w:rPr>
          <w:color w:val="FF0000"/>
        </w:rPr>
        <w:t xml:space="preserve">                            </w:t>
      </w:r>
      <w:r w:rsidR="00214598" w:rsidRPr="000E372E">
        <w:t xml:space="preserve">                            v tis. Kč</w:t>
      </w:r>
    </w:p>
    <w:tbl>
      <w:tblPr>
        <w:tblW w:w="912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5"/>
        <w:gridCol w:w="1247"/>
        <w:gridCol w:w="1247"/>
        <w:gridCol w:w="1247"/>
        <w:gridCol w:w="1247"/>
        <w:gridCol w:w="1134"/>
      </w:tblGrid>
      <w:tr w:rsidR="001142C5" w:rsidRPr="004B11AC" w14:paraId="62FE8B44" w14:textId="77777777" w:rsidTr="001142C5">
        <w:tc>
          <w:tcPr>
            <w:tcW w:w="3005" w:type="dxa"/>
          </w:tcPr>
          <w:p w14:paraId="328CFD66" w14:textId="77777777" w:rsidR="001142C5" w:rsidRPr="000E372E" w:rsidRDefault="001142C5" w:rsidP="003E46B3">
            <w:pPr>
              <w:jc w:val="center"/>
              <w:rPr>
                <w:sz w:val="22"/>
              </w:rPr>
            </w:pPr>
          </w:p>
          <w:p w14:paraId="65E202E6" w14:textId="77777777" w:rsidR="001142C5" w:rsidRPr="000E372E" w:rsidRDefault="001142C5" w:rsidP="003E46B3">
            <w:pPr>
              <w:jc w:val="center"/>
              <w:rPr>
                <w:sz w:val="22"/>
              </w:rPr>
            </w:pPr>
            <w:r w:rsidRPr="000E372E">
              <w:rPr>
                <w:sz w:val="22"/>
              </w:rPr>
              <w:t>Ukazatel</w:t>
            </w:r>
          </w:p>
        </w:tc>
        <w:tc>
          <w:tcPr>
            <w:tcW w:w="1247" w:type="dxa"/>
            <w:vAlign w:val="center"/>
          </w:tcPr>
          <w:p w14:paraId="2A963162" w14:textId="77777777" w:rsidR="001142C5" w:rsidRPr="000E372E" w:rsidRDefault="001142C5" w:rsidP="003E46B3">
            <w:pPr>
              <w:jc w:val="center"/>
              <w:rPr>
                <w:sz w:val="22"/>
              </w:rPr>
            </w:pPr>
            <w:r w:rsidRPr="000E372E">
              <w:rPr>
                <w:sz w:val="22"/>
              </w:rPr>
              <w:t>Skutečnost 2018</w:t>
            </w:r>
          </w:p>
        </w:tc>
        <w:tc>
          <w:tcPr>
            <w:tcW w:w="1247" w:type="dxa"/>
            <w:vAlign w:val="center"/>
          </w:tcPr>
          <w:p w14:paraId="5EF151CB" w14:textId="77777777" w:rsidR="001142C5" w:rsidRPr="000E372E" w:rsidRDefault="001142C5" w:rsidP="003E46B3">
            <w:pPr>
              <w:jc w:val="center"/>
              <w:rPr>
                <w:sz w:val="22"/>
              </w:rPr>
            </w:pPr>
            <w:r w:rsidRPr="000E372E">
              <w:rPr>
                <w:sz w:val="22"/>
              </w:rPr>
              <w:t>Schválený</w:t>
            </w:r>
          </w:p>
          <w:p w14:paraId="6ADBC6BD" w14:textId="77777777" w:rsidR="001142C5" w:rsidRPr="000E372E" w:rsidRDefault="001142C5" w:rsidP="003E46B3">
            <w:pPr>
              <w:jc w:val="center"/>
              <w:rPr>
                <w:sz w:val="22"/>
              </w:rPr>
            </w:pPr>
            <w:r w:rsidRPr="000E372E">
              <w:rPr>
                <w:sz w:val="22"/>
              </w:rPr>
              <w:t>rozpočet</w:t>
            </w:r>
          </w:p>
          <w:p w14:paraId="0C643361" w14:textId="77777777" w:rsidR="001142C5" w:rsidRPr="004B11AC" w:rsidRDefault="001142C5" w:rsidP="003E46B3">
            <w:pPr>
              <w:jc w:val="center"/>
              <w:rPr>
                <w:color w:val="FF0000"/>
                <w:sz w:val="22"/>
              </w:rPr>
            </w:pPr>
            <w:r w:rsidRPr="000E372E">
              <w:rPr>
                <w:sz w:val="22"/>
              </w:rPr>
              <w:t>2019</w:t>
            </w:r>
          </w:p>
        </w:tc>
        <w:tc>
          <w:tcPr>
            <w:tcW w:w="1247" w:type="dxa"/>
            <w:vAlign w:val="center"/>
          </w:tcPr>
          <w:p w14:paraId="7B13C74F" w14:textId="77777777" w:rsidR="001142C5" w:rsidRPr="000E372E" w:rsidRDefault="001142C5" w:rsidP="003E46B3">
            <w:pPr>
              <w:jc w:val="center"/>
              <w:rPr>
                <w:sz w:val="22"/>
              </w:rPr>
            </w:pPr>
            <w:r w:rsidRPr="000E372E">
              <w:rPr>
                <w:sz w:val="22"/>
              </w:rPr>
              <w:t>Upravený</w:t>
            </w:r>
          </w:p>
          <w:p w14:paraId="40D20EF2" w14:textId="77777777" w:rsidR="001142C5" w:rsidRPr="000E372E" w:rsidRDefault="001142C5" w:rsidP="003E46B3">
            <w:pPr>
              <w:jc w:val="center"/>
              <w:rPr>
                <w:sz w:val="22"/>
              </w:rPr>
            </w:pPr>
            <w:r w:rsidRPr="000E372E">
              <w:rPr>
                <w:sz w:val="22"/>
              </w:rPr>
              <w:t>rozpočet</w:t>
            </w:r>
          </w:p>
          <w:p w14:paraId="55942D75" w14:textId="77777777" w:rsidR="001142C5" w:rsidRPr="004B11AC" w:rsidRDefault="001142C5" w:rsidP="003E46B3">
            <w:pPr>
              <w:jc w:val="center"/>
              <w:rPr>
                <w:color w:val="FF0000"/>
                <w:sz w:val="22"/>
              </w:rPr>
            </w:pPr>
            <w:r w:rsidRPr="000E372E">
              <w:rPr>
                <w:sz w:val="22"/>
              </w:rPr>
              <w:t>2019</w:t>
            </w:r>
          </w:p>
        </w:tc>
        <w:tc>
          <w:tcPr>
            <w:tcW w:w="1247" w:type="dxa"/>
            <w:vAlign w:val="center"/>
          </w:tcPr>
          <w:p w14:paraId="30A0CFA6" w14:textId="77777777" w:rsidR="001142C5" w:rsidRPr="004B11AC" w:rsidRDefault="001142C5" w:rsidP="003E46B3">
            <w:pPr>
              <w:jc w:val="center"/>
              <w:rPr>
                <w:color w:val="FF0000"/>
                <w:sz w:val="22"/>
              </w:rPr>
            </w:pPr>
            <w:r w:rsidRPr="000E372E">
              <w:rPr>
                <w:sz w:val="22"/>
              </w:rPr>
              <w:t>Skutečnost 2019</w:t>
            </w:r>
          </w:p>
        </w:tc>
        <w:tc>
          <w:tcPr>
            <w:tcW w:w="1134" w:type="dxa"/>
            <w:vAlign w:val="center"/>
          </w:tcPr>
          <w:p w14:paraId="244AED98" w14:textId="77777777" w:rsidR="001142C5" w:rsidRPr="000E372E" w:rsidRDefault="001142C5" w:rsidP="003E46B3">
            <w:pPr>
              <w:jc w:val="center"/>
              <w:rPr>
                <w:sz w:val="22"/>
              </w:rPr>
            </w:pPr>
            <w:r w:rsidRPr="000E372E">
              <w:rPr>
                <w:sz w:val="22"/>
              </w:rPr>
              <w:t>Index</w:t>
            </w:r>
          </w:p>
          <w:p w14:paraId="6989B556" w14:textId="77777777" w:rsidR="001142C5" w:rsidRPr="004B11AC" w:rsidRDefault="001142C5" w:rsidP="003E46B3">
            <w:pPr>
              <w:jc w:val="center"/>
              <w:rPr>
                <w:color w:val="FF0000"/>
                <w:sz w:val="22"/>
              </w:rPr>
            </w:pPr>
            <w:r w:rsidRPr="000E372E">
              <w:rPr>
                <w:sz w:val="22"/>
              </w:rPr>
              <w:t>19/18         (v %)</w:t>
            </w:r>
          </w:p>
        </w:tc>
      </w:tr>
      <w:tr w:rsidR="001142C5" w:rsidRPr="004B11AC" w14:paraId="03FFE299" w14:textId="77777777" w:rsidTr="001142C5">
        <w:tc>
          <w:tcPr>
            <w:tcW w:w="3005" w:type="dxa"/>
            <w:tcBorders>
              <w:bottom w:val="single" w:sz="4" w:space="0" w:color="auto"/>
            </w:tcBorders>
          </w:tcPr>
          <w:p w14:paraId="5A31A68A" w14:textId="77777777" w:rsidR="001142C5" w:rsidRPr="000E372E" w:rsidRDefault="001142C5" w:rsidP="003E46B3">
            <w:pPr>
              <w:jc w:val="center"/>
              <w:rPr>
                <w:sz w:val="22"/>
              </w:rPr>
            </w:pPr>
            <w:r w:rsidRPr="000E372E">
              <w:rPr>
                <w:sz w:val="22"/>
              </w:rPr>
              <w:t>A</w:t>
            </w:r>
          </w:p>
        </w:tc>
        <w:tc>
          <w:tcPr>
            <w:tcW w:w="1247" w:type="dxa"/>
            <w:tcBorders>
              <w:bottom w:val="single" w:sz="4" w:space="0" w:color="auto"/>
            </w:tcBorders>
          </w:tcPr>
          <w:p w14:paraId="3DCED91F" w14:textId="77777777" w:rsidR="001142C5" w:rsidRPr="000E372E" w:rsidRDefault="001142C5" w:rsidP="003E46B3">
            <w:pPr>
              <w:jc w:val="center"/>
              <w:rPr>
                <w:sz w:val="22"/>
              </w:rPr>
            </w:pPr>
            <w:r w:rsidRPr="000E372E">
              <w:rPr>
                <w:sz w:val="22"/>
              </w:rPr>
              <w:t>1</w:t>
            </w:r>
          </w:p>
        </w:tc>
        <w:tc>
          <w:tcPr>
            <w:tcW w:w="1247" w:type="dxa"/>
            <w:tcBorders>
              <w:bottom w:val="single" w:sz="4" w:space="0" w:color="auto"/>
            </w:tcBorders>
          </w:tcPr>
          <w:p w14:paraId="436C3DB3" w14:textId="77777777" w:rsidR="001142C5" w:rsidRPr="000E372E" w:rsidRDefault="001142C5" w:rsidP="003E46B3">
            <w:pPr>
              <w:jc w:val="center"/>
              <w:rPr>
                <w:sz w:val="22"/>
              </w:rPr>
            </w:pPr>
            <w:r w:rsidRPr="000E372E">
              <w:rPr>
                <w:sz w:val="22"/>
              </w:rPr>
              <w:t>2</w:t>
            </w:r>
          </w:p>
        </w:tc>
        <w:tc>
          <w:tcPr>
            <w:tcW w:w="1247" w:type="dxa"/>
            <w:tcBorders>
              <w:bottom w:val="single" w:sz="4" w:space="0" w:color="auto"/>
            </w:tcBorders>
          </w:tcPr>
          <w:p w14:paraId="2A87C1CA" w14:textId="77777777" w:rsidR="001142C5" w:rsidRPr="000E372E" w:rsidRDefault="001142C5" w:rsidP="003E46B3">
            <w:pPr>
              <w:jc w:val="center"/>
              <w:rPr>
                <w:sz w:val="22"/>
              </w:rPr>
            </w:pPr>
            <w:r w:rsidRPr="000E372E">
              <w:rPr>
                <w:sz w:val="22"/>
              </w:rPr>
              <w:t>3</w:t>
            </w:r>
          </w:p>
        </w:tc>
        <w:tc>
          <w:tcPr>
            <w:tcW w:w="1247" w:type="dxa"/>
            <w:tcBorders>
              <w:bottom w:val="single" w:sz="4" w:space="0" w:color="auto"/>
            </w:tcBorders>
          </w:tcPr>
          <w:p w14:paraId="352219FB" w14:textId="77777777" w:rsidR="001142C5" w:rsidRPr="000E372E" w:rsidRDefault="001142C5" w:rsidP="003E46B3">
            <w:pPr>
              <w:jc w:val="center"/>
              <w:rPr>
                <w:sz w:val="22"/>
              </w:rPr>
            </w:pPr>
            <w:r w:rsidRPr="000E372E">
              <w:rPr>
                <w:sz w:val="22"/>
              </w:rPr>
              <w:t>4</w:t>
            </w:r>
          </w:p>
        </w:tc>
        <w:tc>
          <w:tcPr>
            <w:tcW w:w="1134" w:type="dxa"/>
            <w:tcBorders>
              <w:bottom w:val="single" w:sz="4" w:space="0" w:color="auto"/>
            </w:tcBorders>
          </w:tcPr>
          <w:p w14:paraId="784B837A" w14:textId="77777777" w:rsidR="001142C5" w:rsidRPr="000E372E" w:rsidRDefault="001142C5" w:rsidP="003E46B3">
            <w:pPr>
              <w:jc w:val="center"/>
              <w:rPr>
                <w:sz w:val="22"/>
              </w:rPr>
            </w:pPr>
            <w:r w:rsidRPr="000E372E">
              <w:rPr>
                <w:sz w:val="22"/>
              </w:rPr>
              <w:t>5</w:t>
            </w:r>
          </w:p>
        </w:tc>
      </w:tr>
      <w:tr w:rsidR="001142C5" w:rsidRPr="004B11AC" w14:paraId="65B6DF72" w14:textId="77777777" w:rsidTr="001142C5">
        <w:trPr>
          <w:trHeight w:val="70"/>
        </w:trPr>
        <w:tc>
          <w:tcPr>
            <w:tcW w:w="3005" w:type="dxa"/>
            <w:tcBorders>
              <w:top w:val="single" w:sz="4" w:space="0" w:color="auto"/>
              <w:left w:val="single" w:sz="4" w:space="0" w:color="auto"/>
              <w:bottom w:val="single" w:sz="4" w:space="0" w:color="auto"/>
              <w:right w:val="single" w:sz="4" w:space="0" w:color="auto"/>
            </w:tcBorders>
          </w:tcPr>
          <w:p w14:paraId="0AA4C40E" w14:textId="77777777" w:rsidR="001142C5" w:rsidRPr="000E372E" w:rsidRDefault="001142C5" w:rsidP="003E46B3">
            <w:pPr>
              <w:pStyle w:val="Zkladntext"/>
              <w:jc w:val="left"/>
              <w:rPr>
                <w:b/>
                <w:bCs/>
                <w:sz w:val="20"/>
                <w:szCs w:val="20"/>
              </w:rPr>
            </w:pPr>
            <w:r w:rsidRPr="000E372E">
              <w:rPr>
                <w:b/>
                <w:sz w:val="20"/>
                <w:szCs w:val="20"/>
              </w:rPr>
              <w:t>Neinvestiční transfer SFDI</w:t>
            </w:r>
          </w:p>
        </w:tc>
        <w:tc>
          <w:tcPr>
            <w:tcW w:w="1247" w:type="dxa"/>
            <w:tcBorders>
              <w:top w:val="single" w:sz="4" w:space="0" w:color="auto"/>
              <w:left w:val="single" w:sz="4" w:space="0" w:color="auto"/>
              <w:bottom w:val="single" w:sz="4" w:space="0" w:color="auto"/>
              <w:right w:val="single" w:sz="4" w:space="0" w:color="auto"/>
            </w:tcBorders>
            <w:vAlign w:val="center"/>
          </w:tcPr>
          <w:p w14:paraId="6E01F099" w14:textId="77777777" w:rsidR="001142C5" w:rsidRPr="000D77C8" w:rsidRDefault="001142C5" w:rsidP="003E46B3">
            <w:pPr>
              <w:jc w:val="right"/>
              <w:rPr>
                <w:b/>
                <w:bCs/>
                <w:color w:val="FF0000"/>
                <w:sz w:val="20"/>
              </w:rPr>
            </w:pPr>
            <w:r w:rsidRPr="00E6070E">
              <w:rPr>
                <w:b/>
                <w:bCs/>
                <w:sz w:val="20"/>
              </w:rPr>
              <w:t>6 887 713</w:t>
            </w:r>
          </w:p>
        </w:tc>
        <w:tc>
          <w:tcPr>
            <w:tcW w:w="1247" w:type="dxa"/>
            <w:tcBorders>
              <w:top w:val="single" w:sz="4" w:space="0" w:color="auto"/>
              <w:left w:val="single" w:sz="4" w:space="0" w:color="auto"/>
              <w:bottom w:val="single" w:sz="4" w:space="0" w:color="auto"/>
              <w:right w:val="single" w:sz="4" w:space="0" w:color="auto"/>
            </w:tcBorders>
            <w:vAlign w:val="center"/>
          </w:tcPr>
          <w:p w14:paraId="5B782188" w14:textId="77777777" w:rsidR="001142C5" w:rsidRPr="000D77C8" w:rsidRDefault="001142C5" w:rsidP="003E46B3">
            <w:pPr>
              <w:jc w:val="right"/>
              <w:rPr>
                <w:b/>
                <w:bCs/>
                <w:color w:val="FF0000"/>
                <w:sz w:val="20"/>
              </w:rPr>
            </w:pPr>
            <w:r w:rsidRPr="00FB2B45">
              <w:rPr>
                <w:b/>
                <w:bCs/>
                <w:sz w:val="20"/>
              </w:rPr>
              <w:t>6 056 287</w:t>
            </w:r>
          </w:p>
        </w:tc>
        <w:tc>
          <w:tcPr>
            <w:tcW w:w="1247" w:type="dxa"/>
            <w:tcBorders>
              <w:top w:val="single" w:sz="4" w:space="0" w:color="auto"/>
              <w:left w:val="single" w:sz="4" w:space="0" w:color="auto"/>
              <w:bottom w:val="single" w:sz="4" w:space="0" w:color="auto"/>
              <w:right w:val="single" w:sz="4" w:space="0" w:color="auto"/>
            </w:tcBorders>
            <w:vAlign w:val="center"/>
          </w:tcPr>
          <w:p w14:paraId="2AAB334D" w14:textId="77777777" w:rsidR="001142C5" w:rsidRPr="000D77C8" w:rsidRDefault="001142C5" w:rsidP="003E46B3">
            <w:pPr>
              <w:jc w:val="right"/>
              <w:rPr>
                <w:b/>
                <w:bCs/>
                <w:color w:val="FF0000"/>
                <w:sz w:val="20"/>
              </w:rPr>
            </w:pPr>
            <w:r w:rsidRPr="00FB2B45">
              <w:rPr>
                <w:b/>
                <w:bCs/>
                <w:sz w:val="20"/>
              </w:rPr>
              <w:t>14 062 373</w:t>
            </w:r>
          </w:p>
        </w:tc>
        <w:tc>
          <w:tcPr>
            <w:tcW w:w="1247" w:type="dxa"/>
            <w:tcBorders>
              <w:top w:val="single" w:sz="4" w:space="0" w:color="auto"/>
              <w:left w:val="single" w:sz="4" w:space="0" w:color="auto"/>
              <w:bottom w:val="single" w:sz="4" w:space="0" w:color="auto"/>
              <w:right w:val="single" w:sz="4" w:space="0" w:color="auto"/>
            </w:tcBorders>
            <w:vAlign w:val="center"/>
          </w:tcPr>
          <w:p w14:paraId="04DBE319" w14:textId="77777777" w:rsidR="001142C5" w:rsidRPr="000D77C8" w:rsidRDefault="001142C5" w:rsidP="003E46B3">
            <w:pPr>
              <w:jc w:val="right"/>
              <w:rPr>
                <w:b/>
                <w:bCs/>
                <w:color w:val="FF0000"/>
                <w:sz w:val="20"/>
              </w:rPr>
            </w:pPr>
            <w:r w:rsidRPr="00FB2B45">
              <w:rPr>
                <w:b/>
                <w:bCs/>
                <w:sz w:val="20"/>
              </w:rPr>
              <w:t>13 966 954</w:t>
            </w:r>
          </w:p>
        </w:tc>
        <w:tc>
          <w:tcPr>
            <w:tcW w:w="1134" w:type="dxa"/>
            <w:tcBorders>
              <w:top w:val="single" w:sz="4" w:space="0" w:color="auto"/>
              <w:left w:val="single" w:sz="4" w:space="0" w:color="auto"/>
              <w:bottom w:val="single" w:sz="4" w:space="0" w:color="auto"/>
              <w:right w:val="single" w:sz="4" w:space="0" w:color="auto"/>
            </w:tcBorders>
            <w:vAlign w:val="center"/>
          </w:tcPr>
          <w:p w14:paraId="02A3EC8F" w14:textId="77777777" w:rsidR="001142C5" w:rsidRPr="000D77C8" w:rsidRDefault="001142C5" w:rsidP="003E46B3">
            <w:pPr>
              <w:jc w:val="right"/>
              <w:rPr>
                <w:b/>
                <w:bCs/>
                <w:color w:val="FF0000"/>
                <w:sz w:val="20"/>
              </w:rPr>
            </w:pPr>
            <w:r w:rsidRPr="00D81EC3">
              <w:rPr>
                <w:b/>
                <w:bCs/>
                <w:sz w:val="20"/>
              </w:rPr>
              <w:t>202,78</w:t>
            </w:r>
          </w:p>
        </w:tc>
      </w:tr>
    </w:tbl>
    <w:p w14:paraId="33A70CC8" w14:textId="77777777" w:rsidR="00214598" w:rsidRPr="00F760A1" w:rsidRDefault="00214598" w:rsidP="00214598">
      <w:pPr>
        <w:pStyle w:val="KOMtext"/>
      </w:pPr>
      <w:r w:rsidRPr="000E372E">
        <w:t>Schválený rozpočet ve výši 6 056 287 tis. Kč b</w:t>
      </w:r>
      <w:r w:rsidR="00251B76">
        <w:t xml:space="preserve">yl v průběhu roku 2019 upraven </w:t>
      </w:r>
      <w:r w:rsidR="00251B76">
        <w:br/>
      </w:r>
      <w:r w:rsidRPr="000E372E">
        <w:t>na 14 062 373 tis. Kč,</w:t>
      </w:r>
      <w:r w:rsidRPr="004B11AC">
        <w:rPr>
          <w:color w:val="FF0000"/>
        </w:rPr>
        <w:t xml:space="preserve"> </w:t>
      </w:r>
      <w:r w:rsidRPr="000E372E">
        <w:t xml:space="preserve">přičemž k navýšení došlo zejména převodem prostředků z kapitoly </w:t>
      </w:r>
      <w:r w:rsidRPr="000E372E">
        <w:br/>
        <w:t xml:space="preserve">398-VPS na financování oprav silnic II. a III. třídy ve vlastnictví krajů a komunikací plnících funkci nevybudovaného silničního okruhu kolem Prahy a </w:t>
      </w:r>
      <w:r>
        <w:t>převodem finančních prostředků z investičních do neinvestičních na zajištění oprav a údržby dopravní infrastruktury</w:t>
      </w:r>
      <w:r w:rsidRPr="000E372E">
        <w:t xml:space="preserve">. Státnímu fondu dopravní infrastruktury byly převedeny k 31.12.2019 prostředky ve výši </w:t>
      </w:r>
      <w:r w:rsidR="001011EB">
        <w:br/>
      </w:r>
      <w:r w:rsidRPr="00842152">
        <w:t xml:space="preserve">13 966 </w:t>
      </w:r>
      <w:r w:rsidRPr="00F760A1">
        <w:t xml:space="preserve">954 tis. Kč, tj. 99,32 % upraveného rozpočtu, z toho nároky činily 3 047 897 tis. Kč. </w:t>
      </w:r>
    </w:p>
    <w:p w14:paraId="2AA22282" w14:textId="77777777" w:rsidR="00214598" w:rsidRPr="00F760A1" w:rsidRDefault="00214598" w:rsidP="00214598">
      <w:pPr>
        <w:pStyle w:val="KOMtext"/>
      </w:pPr>
      <w:r w:rsidRPr="00F760A1">
        <w:t xml:space="preserve">Prostředky EU byly čerpány ve výši 53 459 tis. Kč, z toho čerpání rezervního fondu </w:t>
      </w:r>
      <w:r w:rsidRPr="004B11AC">
        <w:rPr>
          <w:color w:val="FF0000"/>
        </w:rPr>
        <w:br/>
      </w:r>
      <w:r w:rsidRPr="00F760A1">
        <w:t>ve výši 725 tis. Kč.</w:t>
      </w:r>
    </w:p>
    <w:p w14:paraId="2912A481" w14:textId="77777777" w:rsidR="00214598" w:rsidRPr="00CA6C9A" w:rsidRDefault="00214598" w:rsidP="005A76EE">
      <w:pPr>
        <w:pStyle w:val="KOMtext"/>
        <w:keepNext/>
        <w:keepLines w:val="0"/>
      </w:pPr>
      <w:r w:rsidRPr="00CA6C9A">
        <w:lastRenderedPageBreak/>
        <w:t>Prostředky byly poskytnuty na tyto oblasti transferů:</w:t>
      </w:r>
    </w:p>
    <w:p w14:paraId="4B3DA315" w14:textId="77777777" w:rsidR="00214598" w:rsidRPr="00397F49" w:rsidRDefault="00214598" w:rsidP="00DB2320">
      <w:pPr>
        <w:keepNext/>
        <w:ind w:left="357" w:right="1"/>
        <w:jc w:val="right"/>
      </w:pPr>
      <w:r w:rsidRPr="00397F49">
        <w:t>v tis. Kč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1"/>
        <w:gridCol w:w="2484"/>
        <w:gridCol w:w="1650"/>
      </w:tblGrid>
      <w:tr w:rsidR="00214598" w:rsidRPr="00397F49" w14:paraId="0A73A9F1" w14:textId="77777777" w:rsidTr="00251B76">
        <w:trPr>
          <w:tblHeader/>
        </w:trPr>
        <w:tc>
          <w:tcPr>
            <w:tcW w:w="2754" w:type="pct"/>
            <w:shd w:val="clear" w:color="auto" w:fill="auto"/>
          </w:tcPr>
          <w:p w14:paraId="16A63BA4" w14:textId="77777777" w:rsidR="00214598" w:rsidRPr="00397F49" w:rsidRDefault="00214598" w:rsidP="00214598">
            <w:pPr>
              <w:jc w:val="center"/>
              <w:rPr>
                <w:b/>
              </w:rPr>
            </w:pPr>
            <w:r w:rsidRPr="00397F49">
              <w:rPr>
                <w:b/>
              </w:rPr>
              <w:t>Oblasti transferů</w:t>
            </w:r>
          </w:p>
        </w:tc>
        <w:tc>
          <w:tcPr>
            <w:tcW w:w="1349" w:type="pct"/>
            <w:shd w:val="clear" w:color="auto" w:fill="auto"/>
          </w:tcPr>
          <w:p w14:paraId="024AC259" w14:textId="77777777" w:rsidR="00214598" w:rsidRPr="00397F49" w:rsidRDefault="00214598" w:rsidP="00214598">
            <w:pPr>
              <w:jc w:val="center"/>
              <w:rPr>
                <w:b/>
              </w:rPr>
            </w:pPr>
            <w:r w:rsidRPr="00397F49">
              <w:rPr>
                <w:b/>
              </w:rPr>
              <w:t xml:space="preserve">Finanční prostředky </w:t>
            </w:r>
          </w:p>
        </w:tc>
        <w:tc>
          <w:tcPr>
            <w:tcW w:w="896" w:type="pct"/>
            <w:shd w:val="clear" w:color="auto" w:fill="auto"/>
          </w:tcPr>
          <w:p w14:paraId="090E738D" w14:textId="77777777" w:rsidR="00214598" w:rsidRPr="00397F49" w:rsidRDefault="00214598" w:rsidP="00214598">
            <w:pPr>
              <w:jc w:val="center"/>
              <w:rPr>
                <w:b/>
              </w:rPr>
            </w:pPr>
            <w:r w:rsidRPr="00397F49">
              <w:rPr>
                <w:b/>
              </w:rPr>
              <w:t>z toho nároky/RF</w:t>
            </w:r>
          </w:p>
        </w:tc>
      </w:tr>
      <w:tr w:rsidR="00214598" w:rsidRPr="004B11AC" w14:paraId="53B64927" w14:textId="77777777" w:rsidTr="00251B76">
        <w:trPr>
          <w:trHeight w:val="326"/>
          <w:tblHeader/>
        </w:trPr>
        <w:tc>
          <w:tcPr>
            <w:tcW w:w="2754" w:type="pct"/>
            <w:tcBorders>
              <w:bottom w:val="single" w:sz="4" w:space="0" w:color="auto"/>
            </w:tcBorders>
            <w:shd w:val="clear" w:color="auto" w:fill="auto"/>
            <w:vAlign w:val="center"/>
          </w:tcPr>
          <w:p w14:paraId="124B3220" w14:textId="77777777" w:rsidR="00214598" w:rsidRPr="004B11AC" w:rsidRDefault="00214598" w:rsidP="00214598">
            <w:pPr>
              <w:rPr>
                <w:color w:val="FF0000"/>
              </w:rPr>
            </w:pPr>
            <w:r w:rsidRPr="00F90E23">
              <w:t>Vyrovnání deficitu příjmů a výdajů rozpočtu SFDI</w:t>
            </w:r>
          </w:p>
        </w:tc>
        <w:tc>
          <w:tcPr>
            <w:tcW w:w="1349" w:type="pct"/>
            <w:tcBorders>
              <w:bottom w:val="single" w:sz="4" w:space="0" w:color="auto"/>
            </w:tcBorders>
            <w:shd w:val="clear" w:color="auto" w:fill="auto"/>
            <w:vAlign w:val="center"/>
          </w:tcPr>
          <w:p w14:paraId="69CEA6F4" w14:textId="77777777" w:rsidR="00214598" w:rsidRPr="004B11AC" w:rsidRDefault="00214598" w:rsidP="00214598">
            <w:pPr>
              <w:jc w:val="right"/>
              <w:rPr>
                <w:color w:val="FF0000"/>
              </w:rPr>
            </w:pPr>
            <w:r>
              <w:t>13 167 580</w:t>
            </w:r>
          </w:p>
        </w:tc>
        <w:tc>
          <w:tcPr>
            <w:tcW w:w="896" w:type="pct"/>
            <w:tcBorders>
              <w:bottom w:val="single" w:sz="4" w:space="0" w:color="auto"/>
            </w:tcBorders>
            <w:shd w:val="clear" w:color="auto" w:fill="auto"/>
            <w:vAlign w:val="center"/>
          </w:tcPr>
          <w:p w14:paraId="37E7D3D4" w14:textId="77777777" w:rsidR="00214598" w:rsidRPr="004B11AC" w:rsidRDefault="00214598" w:rsidP="00214598">
            <w:pPr>
              <w:jc w:val="right"/>
              <w:rPr>
                <w:color w:val="FF0000"/>
              </w:rPr>
            </w:pPr>
            <w:r w:rsidRPr="00B54A6F">
              <w:t>2 </w:t>
            </w:r>
            <w:r>
              <w:t>9</w:t>
            </w:r>
            <w:r w:rsidRPr="00B54A6F">
              <w:t>96 331/0</w:t>
            </w:r>
          </w:p>
        </w:tc>
      </w:tr>
      <w:tr w:rsidR="00214598" w:rsidRPr="004B11AC" w14:paraId="22C377BB" w14:textId="77777777" w:rsidTr="00251B76">
        <w:trPr>
          <w:trHeight w:val="427"/>
          <w:tblHeader/>
        </w:trPr>
        <w:tc>
          <w:tcPr>
            <w:tcW w:w="2754" w:type="pct"/>
            <w:tcBorders>
              <w:bottom w:val="single" w:sz="4" w:space="0" w:color="auto"/>
            </w:tcBorders>
            <w:shd w:val="clear" w:color="auto" w:fill="auto"/>
            <w:vAlign w:val="center"/>
          </w:tcPr>
          <w:p w14:paraId="13212E8B" w14:textId="77777777" w:rsidR="00214598" w:rsidRPr="004B11AC" w:rsidRDefault="00214598" w:rsidP="00214598">
            <w:pPr>
              <w:rPr>
                <w:color w:val="FF0000"/>
              </w:rPr>
            </w:pPr>
            <w:r w:rsidRPr="00B54A6F">
              <w:t>Financování silnic II. a III. třídy_účel 193980010</w:t>
            </w:r>
          </w:p>
        </w:tc>
        <w:tc>
          <w:tcPr>
            <w:tcW w:w="1349" w:type="pct"/>
            <w:tcBorders>
              <w:bottom w:val="single" w:sz="4" w:space="0" w:color="auto"/>
            </w:tcBorders>
            <w:shd w:val="clear" w:color="auto" w:fill="auto"/>
            <w:vAlign w:val="center"/>
          </w:tcPr>
          <w:p w14:paraId="7B034802" w14:textId="77777777" w:rsidR="00214598" w:rsidRPr="004B11AC" w:rsidRDefault="00214598" w:rsidP="00214598">
            <w:pPr>
              <w:pStyle w:val="KOMtext"/>
              <w:spacing w:after="0"/>
              <w:jc w:val="right"/>
              <w:rPr>
                <w:color w:val="FF0000"/>
                <w:szCs w:val="24"/>
              </w:rPr>
            </w:pPr>
            <w:r w:rsidRPr="00B54A6F">
              <w:rPr>
                <w:szCs w:val="24"/>
              </w:rPr>
              <w:t>745 915</w:t>
            </w:r>
          </w:p>
        </w:tc>
        <w:tc>
          <w:tcPr>
            <w:tcW w:w="896" w:type="pct"/>
            <w:tcBorders>
              <w:bottom w:val="single" w:sz="4" w:space="0" w:color="auto"/>
            </w:tcBorders>
            <w:shd w:val="clear" w:color="auto" w:fill="auto"/>
            <w:vAlign w:val="center"/>
          </w:tcPr>
          <w:p w14:paraId="47EE79CD" w14:textId="77777777" w:rsidR="00214598" w:rsidRPr="004B11AC" w:rsidRDefault="00214598" w:rsidP="00214598">
            <w:pPr>
              <w:pStyle w:val="KOMtext"/>
              <w:spacing w:after="0"/>
              <w:jc w:val="right"/>
              <w:rPr>
                <w:color w:val="FF0000"/>
                <w:szCs w:val="24"/>
              </w:rPr>
            </w:pPr>
            <w:r w:rsidRPr="00B54A6F">
              <w:rPr>
                <w:szCs w:val="24"/>
              </w:rPr>
              <w:t>0/0</w:t>
            </w:r>
          </w:p>
        </w:tc>
      </w:tr>
      <w:tr w:rsidR="00214598" w:rsidRPr="004B11AC" w14:paraId="5CB7FA42" w14:textId="77777777" w:rsidTr="00251B76">
        <w:trPr>
          <w:trHeight w:val="400"/>
          <w:tblHeader/>
        </w:trPr>
        <w:tc>
          <w:tcPr>
            <w:tcW w:w="2754" w:type="pct"/>
            <w:tcBorders>
              <w:top w:val="single" w:sz="4" w:space="0" w:color="auto"/>
              <w:left w:val="single" w:sz="4" w:space="0" w:color="auto"/>
              <w:bottom w:val="nil"/>
              <w:right w:val="single" w:sz="4" w:space="0" w:color="auto"/>
            </w:tcBorders>
            <w:shd w:val="clear" w:color="auto" w:fill="auto"/>
            <w:vAlign w:val="center"/>
          </w:tcPr>
          <w:p w14:paraId="3FD4F4A2" w14:textId="77777777" w:rsidR="00214598" w:rsidRPr="00F90E23" w:rsidRDefault="00214598" w:rsidP="00214598">
            <w:pPr>
              <w:pStyle w:val="KOMtext"/>
              <w:spacing w:after="0"/>
              <w:jc w:val="left"/>
              <w:rPr>
                <w:szCs w:val="24"/>
              </w:rPr>
            </w:pPr>
            <w:r w:rsidRPr="00F90E23">
              <w:rPr>
                <w:szCs w:val="24"/>
              </w:rPr>
              <w:t>Operační program Doprava 2014 – 2020</w:t>
            </w:r>
          </w:p>
        </w:tc>
        <w:tc>
          <w:tcPr>
            <w:tcW w:w="1349" w:type="pct"/>
            <w:tcBorders>
              <w:top w:val="single" w:sz="4" w:space="0" w:color="auto"/>
              <w:left w:val="single" w:sz="4" w:space="0" w:color="auto"/>
              <w:bottom w:val="nil"/>
              <w:right w:val="single" w:sz="4" w:space="0" w:color="auto"/>
            </w:tcBorders>
            <w:shd w:val="clear" w:color="auto" w:fill="auto"/>
            <w:vAlign w:val="center"/>
          </w:tcPr>
          <w:p w14:paraId="67B9D16D" w14:textId="77777777" w:rsidR="00214598" w:rsidRPr="00F90E23" w:rsidRDefault="00214598" w:rsidP="00214598">
            <w:pPr>
              <w:pStyle w:val="KOMtext"/>
              <w:spacing w:after="0"/>
              <w:jc w:val="right"/>
              <w:rPr>
                <w:szCs w:val="24"/>
              </w:rPr>
            </w:pPr>
            <w:r w:rsidRPr="00F90E23">
              <w:rPr>
                <w:szCs w:val="24"/>
              </w:rPr>
              <w:t>51 276</w:t>
            </w:r>
          </w:p>
        </w:tc>
        <w:tc>
          <w:tcPr>
            <w:tcW w:w="896" w:type="pct"/>
            <w:tcBorders>
              <w:top w:val="single" w:sz="4" w:space="0" w:color="auto"/>
              <w:left w:val="single" w:sz="4" w:space="0" w:color="auto"/>
              <w:bottom w:val="nil"/>
              <w:right w:val="single" w:sz="4" w:space="0" w:color="auto"/>
            </w:tcBorders>
            <w:shd w:val="clear" w:color="auto" w:fill="auto"/>
            <w:vAlign w:val="center"/>
          </w:tcPr>
          <w:p w14:paraId="5EA435FC" w14:textId="77777777" w:rsidR="00214598" w:rsidRPr="00F90E23" w:rsidRDefault="00214598" w:rsidP="00214598">
            <w:pPr>
              <w:pStyle w:val="KOMtext"/>
              <w:spacing w:after="0"/>
              <w:jc w:val="right"/>
              <w:rPr>
                <w:szCs w:val="24"/>
              </w:rPr>
            </w:pPr>
            <w:r w:rsidRPr="00F90E23">
              <w:rPr>
                <w:szCs w:val="24"/>
              </w:rPr>
              <w:t>50</w:t>
            </w:r>
            <w:r>
              <w:rPr>
                <w:szCs w:val="24"/>
              </w:rPr>
              <w:t> </w:t>
            </w:r>
            <w:r w:rsidRPr="00F90E23">
              <w:rPr>
                <w:szCs w:val="24"/>
              </w:rPr>
              <w:t>108</w:t>
            </w:r>
            <w:r>
              <w:rPr>
                <w:szCs w:val="24"/>
              </w:rPr>
              <w:t>/0</w:t>
            </w:r>
          </w:p>
        </w:tc>
      </w:tr>
      <w:tr w:rsidR="00214598" w:rsidRPr="004B11AC" w14:paraId="51ED3FEC" w14:textId="77777777" w:rsidTr="00251B76">
        <w:trPr>
          <w:trHeight w:val="139"/>
          <w:tblHeader/>
        </w:trPr>
        <w:tc>
          <w:tcPr>
            <w:tcW w:w="2754" w:type="pct"/>
            <w:tcBorders>
              <w:top w:val="nil"/>
              <w:bottom w:val="single" w:sz="4" w:space="0" w:color="auto"/>
            </w:tcBorders>
            <w:shd w:val="clear" w:color="auto" w:fill="auto"/>
            <w:vAlign w:val="center"/>
          </w:tcPr>
          <w:p w14:paraId="19089D88" w14:textId="77777777" w:rsidR="00214598" w:rsidRPr="00F90E23" w:rsidRDefault="00214598" w:rsidP="00214598">
            <w:pPr>
              <w:pStyle w:val="KOMtext"/>
              <w:spacing w:after="0"/>
              <w:jc w:val="left"/>
              <w:rPr>
                <w:i/>
              </w:rPr>
            </w:pPr>
            <w:r w:rsidRPr="00F90E23">
              <w:rPr>
                <w:i/>
              </w:rPr>
              <w:t xml:space="preserve">z toho:  program 127 06                                                   </w:t>
            </w:r>
          </w:p>
          <w:p w14:paraId="7A901EEE" w14:textId="77777777" w:rsidR="00214598" w:rsidRPr="00F90E23" w:rsidRDefault="00214598" w:rsidP="00214598">
            <w:pPr>
              <w:pStyle w:val="KOMtext"/>
              <w:spacing w:after="0"/>
              <w:jc w:val="left"/>
              <w:rPr>
                <w:i/>
                <w:szCs w:val="24"/>
              </w:rPr>
            </w:pPr>
            <w:r w:rsidRPr="00F90E23">
              <w:rPr>
                <w:i/>
                <w:szCs w:val="24"/>
              </w:rPr>
              <w:t xml:space="preserve">            program 127 77</w:t>
            </w:r>
          </w:p>
        </w:tc>
        <w:tc>
          <w:tcPr>
            <w:tcW w:w="1349" w:type="pct"/>
            <w:tcBorders>
              <w:top w:val="nil"/>
              <w:bottom w:val="single" w:sz="4" w:space="0" w:color="auto"/>
            </w:tcBorders>
            <w:shd w:val="clear" w:color="auto" w:fill="auto"/>
            <w:vAlign w:val="center"/>
          </w:tcPr>
          <w:p w14:paraId="05FF76F7" w14:textId="77777777" w:rsidR="00214598" w:rsidRPr="00F90E23" w:rsidRDefault="00214598" w:rsidP="00214598">
            <w:pPr>
              <w:pStyle w:val="KOMtext"/>
              <w:spacing w:after="0"/>
              <w:jc w:val="right"/>
              <w:rPr>
                <w:i/>
                <w:szCs w:val="24"/>
              </w:rPr>
            </w:pPr>
            <w:r w:rsidRPr="00F90E23">
              <w:rPr>
                <w:i/>
                <w:szCs w:val="24"/>
              </w:rPr>
              <w:t>1 601</w:t>
            </w:r>
          </w:p>
          <w:p w14:paraId="3483A7CA" w14:textId="77777777" w:rsidR="00214598" w:rsidRPr="00F90E23" w:rsidRDefault="00214598" w:rsidP="00214598">
            <w:pPr>
              <w:pStyle w:val="KOMtext"/>
              <w:spacing w:after="0"/>
              <w:jc w:val="right"/>
              <w:rPr>
                <w:i/>
                <w:szCs w:val="24"/>
              </w:rPr>
            </w:pPr>
            <w:r w:rsidRPr="00F90E23">
              <w:rPr>
                <w:i/>
                <w:szCs w:val="24"/>
              </w:rPr>
              <w:t>636</w:t>
            </w:r>
          </w:p>
        </w:tc>
        <w:tc>
          <w:tcPr>
            <w:tcW w:w="896" w:type="pct"/>
            <w:tcBorders>
              <w:top w:val="nil"/>
              <w:bottom w:val="single" w:sz="4" w:space="0" w:color="auto"/>
            </w:tcBorders>
            <w:shd w:val="clear" w:color="auto" w:fill="auto"/>
            <w:vAlign w:val="center"/>
          </w:tcPr>
          <w:p w14:paraId="39C8C3DB" w14:textId="77777777" w:rsidR="00214598" w:rsidRPr="00F90E23" w:rsidRDefault="00214598" w:rsidP="00214598">
            <w:pPr>
              <w:pStyle w:val="KOMtext"/>
              <w:spacing w:after="0"/>
              <w:jc w:val="right"/>
              <w:rPr>
                <w:i/>
                <w:szCs w:val="24"/>
              </w:rPr>
            </w:pPr>
            <w:r w:rsidRPr="00F90E23">
              <w:rPr>
                <w:i/>
                <w:szCs w:val="24"/>
              </w:rPr>
              <w:t>433</w:t>
            </w:r>
            <w:r>
              <w:rPr>
                <w:i/>
                <w:szCs w:val="24"/>
              </w:rPr>
              <w:t>/0</w:t>
            </w:r>
          </w:p>
          <w:p w14:paraId="660E695F" w14:textId="77777777" w:rsidR="00214598" w:rsidRPr="00F90E23" w:rsidRDefault="00214598" w:rsidP="00214598">
            <w:pPr>
              <w:pStyle w:val="KOMtext"/>
              <w:spacing w:after="0"/>
              <w:jc w:val="right"/>
              <w:rPr>
                <w:i/>
                <w:szCs w:val="24"/>
              </w:rPr>
            </w:pPr>
            <w:r w:rsidRPr="00F90E23">
              <w:rPr>
                <w:i/>
                <w:szCs w:val="24"/>
              </w:rPr>
              <w:t>636</w:t>
            </w:r>
            <w:r>
              <w:rPr>
                <w:i/>
                <w:szCs w:val="24"/>
              </w:rPr>
              <w:t>/0</w:t>
            </w:r>
          </w:p>
        </w:tc>
      </w:tr>
      <w:tr w:rsidR="00214598" w:rsidRPr="004B11AC" w14:paraId="12764AB0" w14:textId="77777777" w:rsidTr="00251B76">
        <w:trPr>
          <w:trHeight w:val="139"/>
          <w:tblHeader/>
        </w:trPr>
        <w:tc>
          <w:tcPr>
            <w:tcW w:w="2754" w:type="pct"/>
            <w:tcBorders>
              <w:top w:val="single" w:sz="4" w:space="0" w:color="auto"/>
              <w:bottom w:val="single" w:sz="4" w:space="0" w:color="auto"/>
            </w:tcBorders>
            <w:shd w:val="clear" w:color="auto" w:fill="auto"/>
            <w:vAlign w:val="center"/>
          </w:tcPr>
          <w:p w14:paraId="15BA157B" w14:textId="77777777" w:rsidR="00214598" w:rsidRPr="004B11AC" w:rsidRDefault="00214598" w:rsidP="00214598">
            <w:pPr>
              <w:rPr>
                <w:color w:val="FF0000"/>
                <w:szCs w:val="20"/>
              </w:rPr>
            </w:pPr>
            <w:r w:rsidRPr="007E761C">
              <w:rPr>
                <w:szCs w:val="20"/>
              </w:rPr>
              <w:t>Nástroj pro propojení Evropy 2014+ (CEF –</w:t>
            </w:r>
            <w:r w:rsidRPr="007E761C">
              <w:rPr>
                <w:szCs w:val="20"/>
              </w:rPr>
              <w:br/>
              <w:t>C Roads CZ) – pouze RF</w:t>
            </w:r>
          </w:p>
        </w:tc>
        <w:tc>
          <w:tcPr>
            <w:tcW w:w="1349" w:type="pct"/>
            <w:tcBorders>
              <w:top w:val="single" w:sz="4" w:space="0" w:color="auto"/>
              <w:bottom w:val="single" w:sz="4" w:space="0" w:color="auto"/>
            </w:tcBorders>
            <w:shd w:val="clear" w:color="auto" w:fill="auto"/>
            <w:vAlign w:val="center"/>
          </w:tcPr>
          <w:p w14:paraId="1ED6D3DF" w14:textId="77777777" w:rsidR="00214598" w:rsidRPr="007E761C" w:rsidRDefault="00214598" w:rsidP="00214598">
            <w:pPr>
              <w:pStyle w:val="KOMtext"/>
              <w:spacing w:after="0"/>
              <w:jc w:val="right"/>
              <w:rPr>
                <w:szCs w:val="24"/>
              </w:rPr>
            </w:pPr>
            <w:r w:rsidRPr="007E761C">
              <w:rPr>
                <w:szCs w:val="24"/>
              </w:rPr>
              <w:t>725</w:t>
            </w:r>
          </w:p>
        </w:tc>
        <w:tc>
          <w:tcPr>
            <w:tcW w:w="896" w:type="pct"/>
            <w:tcBorders>
              <w:top w:val="single" w:sz="4" w:space="0" w:color="auto"/>
              <w:bottom w:val="single" w:sz="4" w:space="0" w:color="auto"/>
            </w:tcBorders>
            <w:shd w:val="clear" w:color="auto" w:fill="auto"/>
            <w:vAlign w:val="center"/>
          </w:tcPr>
          <w:p w14:paraId="328AD0BA" w14:textId="77777777" w:rsidR="00214598" w:rsidRPr="007E761C" w:rsidRDefault="00214598" w:rsidP="00214598">
            <w:pPr>
              <w:pStyle w:val="KOMtext"/>
              <w:spacing w:after="0"/>
              <w:jc w:val="right"/>
              <w:rPr>
                <w:szCs w:val="24"/>
              </w:rPr>
            </w:pPr>
            <w:r w:rsidRPr="007E761C">
              <w:rPr>
                <w:szCs w:val="24"/>
              </w:rPr>
              <w:t>0/725</w:t>
            </w:r>
          </w:p>
        </w:tc>
      </w:tr>
      <w:tr w:rsidR="00214598" w:rsidRPr="007E761C" w14:paraId="2FEF789F" w14:textId="77777777" w:rsidTr="00251B76">
        <w:trPr>
          <w:trHeight w:val="139"/>
          <w:tblHeader/>
        </w:trPr>
        <w:tc>
          <w:tcPr>
            <w:tcW w:w="2754" w:type="pct"/>
            <w:tcBorders>
              <w:top w:val="single" w:sz="4" w:space="0" w:color="auto"/>
            </w:tcBorders>
            <w:shd w:val="clear" w:color="auto" w:fill="auto"/>
            <w:vAlign w:val="center"/>
          </w:tcPr>
          <w:p w14:paraId="5F1BF09E" w14:textId="77777777" w:rsidR="00214598" w:rsidRPr="007E761C" w:rsidRDefault="00214598" w:rsidP="00214598">
            <w:pPr>
              <w:rPr>
                <w:szCs w:val="20"/>
              </w:rPr>
            </w:pPr>
            <w:r w:rsidRPr="007E761C">
              <w:rPr>
                <w:szCs w:val="20"/>
              </w:rPr>
              <w:t>Nástroj pro propojení Evropy 2014+ (CEF –</w:t>
            </w:r>
          </w:p>
          <w:p w14:paraId="4DEABD75" w14:textId="77777777" w:rsidR="00214598" w:rsidRPr="007E761C" w:rsidRDefault="00214598" w:rsidP="00214598">
            <w:pPr>
              <w:rPr>
                <w:szCs w:val="20"/>
              </w:rPr>
            </w:pPr>
            <w:r w:rsidRPr="007E761C">
              <w:rPr>
                <w:szCs w:val="20"/>
              </w:rPr>
              <w:t>Technická pomoc)</w:t>
            </w:r>
          </w:p>
        </w:tc>
        <w:tc>
          <w:tcPr>
            <w:tcW w:w="1349" w:type="pct"/>
            <w:tcBorders>
              <w:top w:val="single" w:sz="4" w:space="0" w:color="auto"/>
            </w:tcBorders>
            <w:shd w:val="clear" w:color="auto" w:fill="auto"/>
            <w:vAlign w:val="center"/>
          </w:tcPr>
          <w:p w14:paraId="41730619" w14:textId="77777777" w:rsidR="00214598" w:rsidRPr="007E761C" w:rsidRDefault="00214598" w:rsidP="00214598">
            <w:pPr>
              <w:pStyle w:val="KOMtext"/>
              <w:spacing w:after="0"/>
              <w:jc w:val="right"/>
              <w:rPr>
                <w:szCs w:val="24"/>
              </w:rPr>
            </w:pPr>
            <w:r w:rsidRPr="007E761C">
              <w:rPr>
                <w:szCs w:val="24"/>
              </w:rPr>
              <w:t>1 458</w:t>
            </w:r>
          </w:p>
        </w:tc>
        <w:tc>
          <w:tcPr>
            <w:tcW w:w="896" w:type="pct"/>
            <w:tcBorders>
              <w:top w:val="single" w:sz="4" w:space="0" w:color="auto"/>
            </w:tcBorders>
            <w:shd w:val="clear" w:color="auto" w:fill="auto"/>
            <w:vAlign w:val="center"/>
          </w:tcPr>
          <w:p w14:paraId="74BDC9B1" w14:textId="77777777" w:rsidR="00214598" w:rsidRPr="007E761C" w:rsidRDefault="00214598" w:rsidP="00214598">
            <w:pPr>
              <w:pStyle w:val="KOMtext"/>
              <w:spacing w:after="0"/>
              <w:jc w:val="right"/>
              <w:rPr>
                <w:szCs w:val="24"/>
              </w:rPr>
            </w:pPr>
            <w:r>
              <w:rPr>
                <w:szCs w:val="24"/>
              </w:rPr>
              <w:t>1 458</w:t>
            </w:r>
            <w:r w:rsidRPr="007E761C">
              <w:rPr>
                <w:szCs w:val="24"/>
              </w:rPr>
              <w:t>/</w:t>
            </w:r>
            <w:r>
              <w:rPr>
                <w:szCs w:val="24"/>
              </w:rPr>
              <w:t>0</w:t>
            </w:r>
          </w:p>
        </w:tc>
      </w:tr>
    </w:tbl>
    <w:p w14:paraId="10F34634" w14:textId="77777777" w:rsidR="00214598" w:rsidRPr="00214598" w:rsidRDefault="00214598" w:rsidP="00214598">
      <w:pPr>
        <w:pStyle w:val="KOMtext"/>
        <w:rPr>
          <w:u w:val="single"/>
        </w:rPr>
      </w:pPr>
      <w:r w:rsidRPr="00214598">
        <w:rPr>
          <w:u w:val="single"/>
        </w:rPr>
        <w:t>Porovnání neinvestičních transferů Státnímu fondu dopravní infrastruktury ve vývojové řadě 2015 – 2019:</w:t>
      </w:r>
    </w:p>
    <w:p w14:paraId="5FD8F595" w14:textId="77777777" w:rsidR="00214598" w:rsidRPr="00433982" w:rsidRDefault="00214598" w:rsidP="00DB2320">
      <w:pPr>
        <w:keepNext/>
        <w:ind w:left="357" w:right="1"/>
        <w:jc w:val="right"/>
      </w:pPr>
      <w:r w:rsidRPr="00433982">
        <w:t>v tis.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1152"/>
        <w:gridCol w:w="1152"/>
        <w:gridCol w:w="1152"/>
        <w:gridCol w:w="1152"/>
        <w:gridCol w:w="1152"/>
      </w:tblGrid>
      <w:tr w:rsidR="00214598" w:rsidRPr="000C1CF4" w14:paraId="13572A9C" w14:textId="77777777" w:rsidTr="00214598">
        <w:tc>
          <w:tcPr>
            <w:tcW w:w="3420" w:type="dxa"/>
          </w:tcPr>
          <w:p w14:paraId="215233EA" w14:textId="77777777" w:rsidR="00214598" w:rsidRPr="000C1CF4" w:rsidRDefault="00214598" w:rsidP="00214598">
            <w:pPr>
              <w:jc w:val="center"/>
              <w:rPr>
                <w:sz w:val="22"/>
              </w:rPr>
            </w:pPr>
          </w:p>
          <w:p w14:paraId="699E693A" w14:textId="77777777" w:rsidR="00214598" w:rsidRPr="000C1CF4" w:rsidRDefault="00214598" w:rsidP="00214598">
            <w:pPr>
              <w:spacing w:after="120"/>
              <w:jc w:val="center"/>
              <w:rPr>
                <w:sz w:val="22"/>
              </w:rPr>
            </w:pPr>
            <w:r w:rsidRPr="000C1CF4">
              <w:rPr>
                <w:sz w:val="22"/>
              </w:rPr>
              <w:t>Ukazatel</w:t>
            </w:r>
          </w:p>
        </w:tc>
        <w:tc>
          <w:tcPr>
            <w:tcW w:w="1152" w:type="dxa"/>
            <w:vAlign w:val="center"/>
          </w:tcPr>
          <w:p w14:paraId="7D37D25F" w14:textId="77777777" w:rsidR="00214598" w:rsidRPr="000C1CF4" w:rsidRDefault="00214598" w:rsidP="00214598">
            <w:pPr>
              <w:jc w:val="center"/>
              <w:rPr>
                <w:sz w:val="22"/>
              </w:rPr>
            </w:pPr>
            <w:r w:rsidRPr="000C1CF4">
              <w:rPr>
                <w:sz w:val="22"/>
              </w:rPr>
              <w:t>Skutečnost</w:t>
            </w:r>
          </w:p>
          <w:p w14:paraId="618E93D3" w14:textId="77777777" w:rsidR="00214598" w:rsidRPr="000C1CF4" w:rsidRDefault="00214598" w:rsidP="00214598">
            <w:pPr>
              <w:jc w:val="center"/>
              <w:rPr>
                <w:sz w:val="22"/>
              </w:rPr>
            </w:pPr>
            <w:r w:rsidRPr="000C1CF4">
              <w:rPr>
                <w:sz w:val="22"/>
              </w:rPr>
              <w:t>2015</w:t>
            </w:r>
          </w:p>
        </w:tc>
        <w:tc>
          <w:tcPr>
            <w:tcW w:w="1152" w:type="dxa"/>
            <w:vAlign w:val="center"/>
          </w:tcPr>
          <w:p w14:paraId="35C9F5AC" w14:textId="77777777" w:rsidR="00214598" w:rsidRPr="000C1CF4" w:rsidRDefault="00214598" w:rsidP="00214598">
            <w:pPr>
              <w:jc w:val="center"/>
              <w:rPr>
                <w:sz w:val="22"/>
              </w:rPr>
            </w:pPr>
            <w:r w:rsidRPr="000C1CF4">
              <w:rPr>
                <w:sz w:val="22"/>
              </w:rPr>
              <w:t>Skutečnost</w:t>
            </w:r>
          </w:p>
          <w:p w14:paraId="1FE2902B" w14:textId="77777777" w:rsidR="00214598" w:rsidRPr="000C1CF4" w:rsidRDefault="00214598" w:rsidP="00214598">
            <w:pPr>
              <w:jc w:val="center"/>
              <w:rPr>
                <w:sz w:val="22"/>
              </w:rPr>
            </w:pPr>
            <w:r w:rsidRPr="000C1CF4">
              <w:rPr>
                <w:sz w:val="22"/>
              </w:rPr>
              <w:t>2016</w:t>
            </w:r>
          </w:p>
        </w:tc>
        <w:tc>
          <w:tcPr>
            <w:tcW w:w="1152" w:type="dxa"/>
            <w:vAlign w:val="center"/>
          </w:tcPr>
          <w:p w14:paraId="51C17C70" w14:textId="77777777" w:rsidR="00214598" w:rsidRPr="000C1CF4" w:rsidRDefault="00214598" w:rsidP="00214598">
            <w:pPr>
              <w:jc w:val="center"/>
              <w:rPr>
                <w:sz w:val="22"/>
              </w:rPr>
            </w:pPr>
            <w:r w:rsidRPr="000C1CF4">
              <w:rPr>
                <w:sz w:val="22"/>
              </w:rPr>
              <w:t>Skutečnost</w:t>
            </w:r>
          </w:p>
          <w:p w14:paraId="06CFC515" w14:textId="77777777" w:rsidR="00214598" w:rsidRPr="000C1CF4" w:rsidRDefault="00214598" w:rsidP="00214598">
            <w:pPr>
              <w:jc w:val="center"/>
              <w:rPr>
                <w:sz w:val="22"/>
              </w:rPr>
            </w:pPr>
            <w:r w:rsidRPr="000C1CF4">
              <w:rPr>
                <w:sz w:val="22"/>
              </w:rPr>
              <w:t>2017</w:t>
            </w:r>
          </w:p>
        </w:tc>
        <w:tc>
          <w:tcPr>
            <w:tcW w:w="1152" w:type="dxa"/>
            <w:vAlign w:val="center"/>
          </w:tcPr>
          <w:p w14:paraId="6BC87BC9" w14:textId="77777777" w:rsidR="00214598" w:rsidRPr="000C1CF4" w:rsidRDefault="00214598" w:rsidP="00214598">
            <w:pPr>
              <w:jc w:val="center"/>
              <w:rPr>
                <w:sz w:val="22"/>
              </w:rPr>
            </w:pPr>
            <w:r w:rsidRPr="000C1CF4">
              <w:rPr>
                <w:sz w:val="22"/>
              </w:rPr>
              <w:t>Skutečnost</w:t>
            </w:r>
          </w:p>
          <w:p w14:paraId="0541C0F7" w14:textId="77777777" w:rsidR="00214598" w:rsidRPr="000C1CF4" w:rsidRDefault="00214598" w:rsidP="00214598">
            <w:pPr>
              <w:jc w:val="center"/>
              <w:rPr>
                <w:sz w:val="22"/>
              </w:rPr>
            </w:pPr>
            <w:r w:rsidRPr="000C1CF4">
              <w:rPr>
                <w:sz w:val="22"/>
              </w:rPr>
              <w:t>2018</w:t>
            </w:r>
          </w:p>
        </w:tc>
        <w:tc>
          <w:tcPr>
            <w:tcW w:w="1152" w:type="dxa"/>
            <w:vAlign w:val="center"/>
          </w:tcPr>
          <w:p w14:paraId="4694696B" w14:textId="77777777" w:rsidR="00214598" w:rsidRPr="000C1CF4" w:rsidRDefault="00214598" w:rsidP="00214598">
            <w:pPr>
              <w:jc w:val="center"/>
              <w:rPr>
                <w:sz w:val="22"/>
              </w:rPr>
            </w:pPr>
            <w:r w:rsidRPr="000C1CF4">
              <w:rPr>
                <w:sz w:val="22"/>
              </w:rPr>
              <w:t>Skutečnost</w:t>
            </w:r>
          </w:p>
          <w:p w14:paraId="469D15B9" w14:textId="77777777" w:rsidR="00214598" w:rsidRPr="000C1CF4" w:rsidRDefault="00214598" w:rsidP="00214598">
            <w:pPr>
              <w:jc w:val="center"/>
              <w:rPr>
                <w:sz w:val="22"/>
              </w:rPr>
            </w:pPr>
            <w:r w:rsidRPr="000C1CF4">
              <w:rPr>
                <w:sz w:val="22"/>
              </w:rPr>
              <w:t>2019</w:t>
            </w:r>
          </w:p>
        </w:tc>
      </w:tr>
      <w:tr w:rsidR="00214598" w:rsidRPr="000C1CF4" w14:paraId="59700A14" w14:textId="77777777" w:rsidTr="00214598">
        <w:tc>
          <w:tcPr>
            <w:tcW w:w="3420" w:type="dxa"/>
            <w:tcBorders>
              <w:bottom w:val="single" w:sz="4" w:space="0" w:color="auto"/>
            </w:tcBorders>
          </w:tcPr>
          <w:p w14:paraId="120A5254" w14:textId="77777777" w:rsidR="00214598" w:rsidRPr="000C1CF4" w:rsidRDefault="00214598" w:rsidP="00214598">
            <w:pPr>
              <w:jc w:val="center"/>
              <w:rPr>
                <w:sz w:val="22"/>
              </w:rPr>
            </w:pPr>
            <w:r w:rsidRPr="000C1CF4">
              <w:rPr>
                <w:sz w:val="22"/>
              </w:rPr>
              <w:t>A</w:t>
            </w:r>
          </w:p>
        </w:tc>
        <w:tc>
          <w:tcPr>
            <w:tcW w:w="1152" w:type="dxa"/>
            <w:tcBorders>
              <w:bottom w:val="single" w:sz="4" w:space="0" w:color="auto"/>
            </w:tcBorders>
          </w:tcPr>
          <w:p w14:paraId="31052813" w14:textId="77777777" w:rsidR="00214598" w:rsidRPr="000C1CF4" w:rsidRDefault="00214598" w:rsidP="00214598">
            <w:pPr>
              <w:jc w:val="center"/>
              <w:rPr>
                <w:sz w:val="22"/>
              </w:rPr>
            </w:pPr>
            <w:r w:rsidRPr="000C1CF4">
              <w:rPr>
                <w:sz w:val="22"/>
              </w:rPr>
              <w:t>1</w:t>
            </w:r>
          </w:p>
        </w:tc>
        <w:tc>
          <w:tcPr>
            <w:tcW w:w="1152" w:type="dxa"/>
            <w:tcBorders>
              <w:bottom w:val="single" w:sz="4" w:space="0" w:color="auto"/>
            </w:tcBorders>
          </w:tcPr>
          <w:p w14:paraId="2DDF264A" w14:textId="77777777" w:rsidR="00214598" w:rsidRPr="000C1CF4" w:rsidRDefault="00214598" w:rsidP="00214598">
            <w:pPr>
              <w:jc w:val="center"/>
              <w:rPr>
                <w:sz w:val="22"/>
              </w:rPr>
            </w:pPr>
            <w:r w:rsidRPr="000C1CF4">
              <w:rPr>
                <w:sz w:val="22"/>
              </w:rPr>
              <w:t>2</w:t>
            </w:r>
          </w:p>
        </w:tc>
        <w:tc>
          <w:tcPr>
            <w:tcW w:w="1152" w:type="dxa"/>
            <w:tcBorders>
              <w:bottom w:val="single" w:sz="4" w:space="0" w:color="auto"/>
            </w:tcBorders>
          </w:tcPr>
          <w:p w14:paraId="64CCA000" w14:textId="77777777" w:rsidR="00214598" w:rsidRPr="000C1CF4" w:rsidRDefault="00214598" w:rsidP="00214598">
            <w:pPr>
              <w:jc w:val="center"/>
              <w:rPr>
                <w:sz w:val="22"/>
              </w:rPr>
            </w:pPr>
            <w:r w:rsidRPr="000C1CF4">
              <w:rPr>
                <w:sz w:val="22"/>
              </w:rPr>
              <w:t>3</w:t>
            </w:r>
          </w:p>
        </w:tc>
        <w:tc>
          <w:tcPr>
            <w:tcW w:w="1152" w:type="dxa"/>
            <w:tcBorders>
              <w:bottom w:val="single" w:sz="4" w:space="0" w:color="auto"/>
            </w:tcBorders>
          </w:tcPr>
          <w:p w14:paraId="192305E8" w14:textId="77777777" w:rsidR="00214598" w:rsidRPr="000C1CF4" w:rsidRDefault="00214598" w:rsidP="00214598">
            <w:pPr>
              <w:jc w:val="center"/>
              <w:rPr>
                <w:sz w:val="22"/>
              </w:rPr>
            </w:pPr>
            <w:r w:rsidRPr="000C1CF4">
              <w:rPr>
                <w:sz w:val="22"/>
              </w:rPr>
              <w:t>4</w:t>
            </w:r>
          </w:p>
        </w:tc>
        <w:tc>
          <w:tcPr>
            <w:tcW w:w="1152" w:type="dxa"/>
            <w:tcBorders>
              <w:bottom w:val="single" w:sz="4" w:space="0" w:color="auto"/>
            </w:tcBorders>
          </w:tcPr>
          <w:p w14:paraId="6FA649F4" w14:textId="77777777" w:rsidR="00214598" w:rsidRPr="000C1CF4" w:rsidRDefault="00214598" w:rsidP="00214598">
            <w:pPr>
              <w:jc w:val="center"/>
              <w:rPr>
                <w:sz w:val="22"/>
              </w:rPr>
            </w:pPr>
            <w:r w:rsidRPr="000C1CF4">
              <w:rPr>
                <w:sz w:val="22"/>
              </w:rPr>
              <w:t>5</w:t>
            </w:r>
          </w:p>
        </w:tc>
      </w:tr>
      <w:tr w:rsidR="00214598" w:rsidRPr="000C1CF4" w14:paraId="386C1382" w14:textId="77777777" w:rsidTr="00214598">
        <w:trPr>
          <w:trHeight w:val="389"/>
        </w:trPr>
        <w:tc>
          <w:tcPr>
            <w:tcW w:w="3420" w:type="dxa"/>
            <w:tcBorders>
              <w:top w:val="single" w:sz="4" w:space="0" w:color="auto"/>
              <w:left w:val="single" w:sz="4" w:space="0" w:color="auto"/>
              <w:bottom w:val="single" w:sz="4" w:space="0" w:color="auto"/>
              <w:right w:val="single" w:sz="4" w:space="0" w:color="auto"/>
            </w:tcBorders>
          </w:tcPr>
          <w:p w14:paraId="3A3F8598" w14:textId="77777777" w:rsidR="00214598" w:rsidRPr="000C1CF4" w:rsidRDefault="00214598" w:rsidP="00214598">
            <w:pPr>
              <w:pStyle w:val="Zkladntext"/>
              <w:snapToGrid w:val="0"/>
              <w:rPr>
                <w:b/>
                <w:bCs/>
                <w:sz w:val="20"/>
                <w:szCs w:val="20"/>
              </w:rPr>
            </w:pPr>
            <w:r w:rsidRPr="000C1CF4">
              <w:rPr>
                <w:b/>
                <w:sz w:val="20"/>
                <w:szCs w:val="20"/>
              </w:rPr>
              <w:t>Neinvestiční transfer SFDI</w:t>
            </w:r>
          </w:p>
        </w:tc>
        <w:tc>
          <w:tcPr>
            <w:tcW w:w="1152" w:type="dxa"/>
            <w:tcBorders>
              <w:top w:val="single" w:sz="4" w:space="0" w:color="auto"/>
              <w:left w:val="single" w:sz="4" w:space="0" w:color="auto"/>
              <w:bottom w:val="single" w:sz="4" w:space="0" w:color="auto"/>
              <w:right w:val="single" w:sz="4" w:space="0" w:color="auto"/>
            </w:tcBorders>
          </w:tcPr>
          <w:p w14:paraId="31F4FA60" w14:textId="77777777" w:rsidR="00214598" w:rsidRPr="000C1CF4" w:rsidRDefault="00214598" w:rsidP="00214598">
            <w:pPr>
              <w:snapToGrid w:val="0"/>
              <w:spacing w:before="120"/>
              <w:jc w:val="right"/>
              <w:rPr>
                <w:b/>
                <w:bCs/>
                <w:sz w:val="20"/>
              </w:rPr>
            </w:pPr>
            <w:r w:rsidRPr="000C1CF4">
              <w:rPr>
                <w:b/>
                <w:bCs/>
                <w:sz w:val="20"/>
              </w:rPr>
              <w:t>15 773 768</w:t>
            </w:r>
          </w:p>
        </w:tc>
        <w:tc>
          <w:tcPr>
            <w:tcW w:w="1152" w:type="dxa"/>
            <w:tcBorders>
              <w:top w:val="single" w:sz="4" w:space="0" w:color="auto"/>
              <w:left w:val="single" w:sz="4" w:space="0" w:color="auto"/>
              <w:bottom w:val="single" w:sz="4" w:space="0" w:color="auto"/>
              <w:right w:val="single" w:sz="4" w:space="0" w:color="auto"/>
            </w:tcBorders>
          </w:tcPr>
          <w:p w14:paraId="1E360CC5" w14:textId="77777777" w:rsidR="00214598" w:rsidRPr="000C1CF4" w:rsidRDefault="00214598" w:rsidP="00214598">
            <w:pPr>
              <w:snapToGrid w:val="0"/>
              <w:spacing w:before="120"/>
              <w:jc w:val="right"/>
              <w:rPr>
                <w:b/>
                <w:bCs/>
                <w:sz w:val="20"/>
              </w:rPr>
            </w:pPr>
            <w:r w:rsidRPr="000C1CF4">
              <w:rPr>
                <w:b/>
                <w:bCs/>
                <w:sz w:val="20"/>
              </w:rPr>
              <w:t>8 232 689</w:t>
            </w:r>
          </w:p>
        </w:tc>
        <w:tc>
          <w:tcPr>
            <w:tcW w:w="1152" w:type="dxa"/>
            <w:tcBorders>
              <w:top w:val="single" w:sz="4" w:space="0" w:color="auto"/>
              <w:left w:val="single" w:sz="4" w:space="0" w:color="auto"/>
              <w:bottom w:val="single" w:sz="4" w:space="0" w:color="auto"/>
              <w:right w:val="single" w:sz="4" w:space="0" w:color="auto"/>
            </w:tcBorders>
          </w:tcPr>
          <w:p w14:paraId="1A949784" w14:textId="77777777" w:rsidR="00214598" w:rsidRPr="000C1CF4" w:rsidRDefault="00214598" w:rsidP="00214598">
            <w:pPr>
              <w:snapToGrid w:val="0"/>
              <w:spacing w:before="120"/>
              <w:jc w:val="right"/>
              <w:rPr>
                <w:b/>
                <w:bCs/>
                <w:sz w:val="20"/>
              </w:rPr>
            </w:pPr>
            <w:r w:rsidRPr="000C1CF4">
              <w:rPr>
                <w:b/>
                <w:bCs/>
                <w:sz w:val="20"/>
              </w:rPr>
              <w:t>9 880 920</w:t>
            </w:r>
          </w:p>
        </w:tc>
        <w:tc>
          <w:tcPr>
            <w:tcW w:w="1152" w:type="dxa"/>
            <w:tcBorders>
              <w:top w:val="single" w:sz="4" w:space="0" w:color="auto"/>
              <w:left w:val="single" w:sz="4" w:space="0" w:color="auto"/>
              <w:bottom w:val="single" w:sz="4" w:space="0" w:color="auto"/>
              <w:right w:val="single" w:sz="4" w:space="0" w:color="auto"/>
            </w:tcBorders>
          </w:tcPr>
          <w:p w14:paraId="51857466" w14:textId="77777777" w:rsidR="00214598" w:rsidRPr="000C1CF4" w:rsidRDefault="00214598" w:rsidP="00214598">
            <w:pPr>
              <w:snapToGrid w:val="0"/>
              <w:spacing w:before="120"/>
              <w:jc w:val="right"/>
              <w:rPr>
                <w:b/>
                <w:bCs/>
                <w:sz w:val="20"/>
              </w:rPr>
            </w:pPr>
            <w:r w:rsidRPr="000C1CF4">
              <w:rPr>
                <w:b/>
                <w:bCs/>
                <w:sz w:val="20"/>
              </w:rPr>
              <w:t>6 887 713</w:t>
            </w:r>
          </w:p>
        </w:tc>
        <w:tc>
          <w:tcPr>
            <w:tcW w:w="1152" w:type="dxa"/>
            <w:tcBorders>
              <w:top w:val="single" w:sz="4" w:space="0" w:color="auto"/>
              <w:left w:val="single" w:sz="4" w:space="0" w:color="auto"/>
              <w:bottom w:val="single" w:sz="4" w:space="0" w:color="auto"/>
              <w:right w:val="single" w:sz="4" w:space="0" w:color="auto"/>
            </w:tcBorders>
          </w:tcPr>
          <w:p w14:paraId="07CF57E8" w14:textId="77777777" w:rsidR="00214598" w:rsidRPr="000C1CF4" w:rsidRDefault="00214598" w:rsidP="00214598">
            <w:pPr>
              <w:snapToGrid w:val="0"/>
              <w:spacing w:before="120"/>
              <w:jc w:val="right"/>
              <w:rPr>
                <w:b/>
                <w:bCs/>
                <w:sz w:val="20"/>
              </w:rPr>
            </w:pPr>
            <w:r w:rsidRPr="000C1CF4">
              <w:rPr>
                <w:b/>
                <w:bCs/>
                <w:sz w:val="20"/>
              </w:rPr>
              <w:t>13 966 954</w:t>
            </w:r>
          </w:p>
        </w:tc>
      </w:tr>
    </w:tbl>
    <w:p w14:paraId="25352CDB" w14:textId="3913C51F" w:rsidR="00214598" w:rsidRPr="004B11AC" w:rsidRDefault="00214598" w:rsidP="00214598">
      <w:pPr>
        <w:pStyle w:val="KOMtext"/>
        <w:rPr>
          <w:color w:val="FF0000"/>
        </w:rPr>
      </w:pPr>
      <w:r w:rsidRPr="00DB759F">
        <w:t xml:space="preserve">Vývojová řada neinvestičního transferu SFDI vykazuje kolísavý trend. </w:t>
      </w:r>
      <w:r>
        <w:t xml:space="preserve">V roce 2015 </w:t>
      </w:r>
      <w:r w:rsidRPr="00DB759F">
        <w:t xml:space="preserve">došlo k výraznému vzestupu z důvody zvýšené potřeby dokrytí neinvestičního vyrovnání příjmů </w:t>
      </w:r>
      <w:r w:rsidR="00851910">
        <w:br/>
      </w:r>
      <w:r w:rsidRPr="00DB759F">
        <w:t>a výdajů SFDI</w:t>
      </w:r>
      <w:r w:rsidRPr="00E309DF">
        <w:t>. Vývoj výše neinvestičního transferu je ovlivněn poměrem potřeby neinvestičních a investičních prostředků v daném roce. Zvýšené čerpání neinvestičního transferu v roce 2015 ovlivnila zvýšená potřeba čerpání OPD 2007-2013. V letech 2016, 2017 a 2018 došlo k poklesu</w:t>
      </w:r>
      <w:r>
        <w:t xml:space="preserve"> čerpání. V roce 2019 opět dochází k nárůstu požadavku neinvestičních potřeb, který vychází z potřeb koneč</w:t>
      </w:r>
      <w:r w:rsidR="0051229E">
        <w:t>ných příjemců, tj. ŘSD ČR, SŽDC, s.o.</w:t>
      </w:r>
      <w:r>
        <w:t xml:space="preserve"> a ŘVC ČR.</w:t>
      </w:r>
    </w:p>
    <w:p w14:paraId="0406A41B" w14:textId="77777777" w:rsidR="00214598" w:rsidRPr="00E309DF" w:rsidRDefault="00214598" w:rsidP="00214598">
      <w:pPr>
        <w:pStyle w:val="KOMtext"/>
      </w:pPr>
      <w:r w:rsidRPr="00E309DF">
        <w:t>Účelovost vynaložených finančních prostředků pro Státní fond dopravní infrastruktury byla splněna.</w:t>
      </w:r>
    </w:p>
    <w:p w14:paraId="0DD24B6C" w14:textId="77777777" w:rsidR="001D5020" w:rsidRPr="004B11AC" w:rsidRDefault="001D5020" w:rsidP="00C0463D">
      <w:pPr>
        <w:pStyle w:val="Nadpis3"/>
      </w:pPr>
      <w:bookmarkStart w:id="388" w:name="_Toc1376825"/>
      <w:bookmarkStart w:id="389" w:name="_Toc413413665"/>
      <w:bookmarkStart w:id="390" w:name="_Toc508879876"/>
      <w:bookmarkStart w:id="391" w:name="_Toc508880152"/>
      <w:bookmarkStart w:id="392" w:name="_Toc34286471"/>
      <w:r w:rsidRPr="004B11AC">
        <w:t>Neinvestiční transfery veřejným rozpočtům územní úrovně</w:t>
      </w:r>
      <w:bookmarkEnd w:id="388"/>
      <w:bookmarkEnd w:id="389"/>
      <w:bookmarkEnd w:id="390"/>
      <w:bookmarkEnd w:id="391"/>
      <w:bookmarkEnd w:id="392"/>
    </w:p>
    <w:p w14:paraId="57A416C5" w14:textId="77777777" w:rsidR="005D0D4B" w:rsidRPr="00896441" w:rsidRDefault="002559A7" w:rsidP="00DB2320">
      <w:pPr>
        <w:keepNext/>
        <w:ind w:left="357" w:right="1"/>
        <w:jc w:val="right"/>
      </w:pPr>
      <w:r w:rsidRPr="00896441">
        <w:t>v tis. Kč</w:t>
      </w:r>
    </w:p>
    <w:tbl>
      <w:tblPr>
        <w:tblW w:w="9129" w:type="dxa"/>
        <w:tblInd w:w="80" w:type="dxa"/>
        <w:tblLayout w:type="fixed"/>
        <w:tblCellMar>
          <w:left w:w="70" w:type="dxa"/>
          <w:right w:w="70" w:type="dxa"/>
        </w:tblCellMar>
        <w:tblLook w:val="0000" w:firstRow="0" w:lastRow="0" w:firstColumn="0" w:lastColumn="0" w:noHBand="0" w:noVBand="0"/>
      </w:tblPr>
      <w:tblGrid>
        <w:gridCol w:w="3118"/>
        <w:gridCol w:w="1134"/>
        <w:gridCol w:w="1134"/>
        <w:gridCol w:w="1134"/>
        <w:gridCol w:w="1134"/>
        <w:gridCol w:w="709"/>
        <w:gridCol w:w="766"/>
      </w:tblGrid>
      <w:tr w:rsidR="00727F42" w:rsidRPr="00023B4C" w14:paraId="4FD197DC" w14:textId="77777777" w:rsidTr="005A76EE">
        <w:trPr>
          <w:tblHeader/>
        </w:trPr>
        <w:tc>
          <w:tcPr>
            <w:tcW w:w="3118" w:type="dxa"/>
            <w:tcBorders>
              <w:top w:val="single" w:sz="4" w:space="0" w:color="auto"/>
              <w:left w:val="single" w:sz="4" w:space="0" w:color="auto"/>
              <w:bottom w:val="single" w:sz="4" w:space="0" w:color="auto"/>
              <w:right w:val="single" w:sz="4" w:space="0" w:color="auto"/>
            </w:tcBorders>
            <w:vAlign w:val="center"/>
          </w:tcPr>
          <w:p w14:paraId="4D0A67AC" w14:textId="77777777" w:rsidR="00727F42" w:rsidRPr="00023B4C" w:rsidRDefault="00727F42" w:rsidP="00DB2320">
            <w:pPr>
              <w:jc w:val="center"/>
              <w:rPr>
                <w:sz w:val="22"/>
                <w:szCs w:val="22"/>
              </w:rPr>
            </w:pPr>
            <w:r w:rsidRPr="00023B4C">
              <w:rPr>
                <w:sz w:val="22"/>
                <w:szCs w:val="22"/>
              </w:rPr>
              <w:t>Název ukazatele</w:t>
            </w:r>
          </w:p>
        </w:tc>
        <w:tc>
          <w:tcPr>
            <w:tcW w:w="1134" w:type="dxa"/>
            <w:tcBorders>
              <w:top w:val="single" w:sz="4" w:space="0" w:color="auto"/>
              <w:left w:val="single" w:sz="4" w:space="0" w:color="auto"/>
              <w:bottom w:val="single" w:sz="4" w:space="0" w:color="auto"/>
              <w:right w:val="single" w:sz="4" w:space="0" w:color="auto"/>
            </w:tcBorders>
            <w:vAlign w:val="center"/>
          </w:tcPr>
          <w:p w14:paraId="2337FEBD" w14:textId="77777777" w:rsidR="00727F42" w:rsidRPr="00023B4C" w:rsidRDefault="00727F42" w:rsidP="00DB2320">
            <w:pPr>
              <w:jc w:val="center"/>
              <w:rPr>
                <w:sz w:val="22"/>
              </w:rPr>
            </w:pPr>
            <w:r w:rsidRPr="00023B4C">
              <w:rPr>
                <w:sz w:val="22"/>
              </w:rPr>
              <w:t>Skutečnost</w:t>
            </w:r>
          </w:p>
          <w:p w14:paraId="3634568D" w14:textId="77777777" w:rsidR="00727F42" w:rsidRPr="00023B4C" w:rsidRDefault="00727F42" w:rsidP="00DB2320">
            <w:pPr>
              <w:jc w:val="center"/>
              <w:rPr>
                <w:sz w:val="22"/>
                <w:szCs w:val="22"/>
              </w:rPr>
            </w:pPr>
            <w:r w:rsidRPr="00023B4C">
              <w:rPr>
                <w:sz w:val="22"/>
              </w:rPr>
              <w:t>2018</w:t>
            </w:r>
          </w:p>
        </w:tc>
        <w:tc>
          <w:tcPr>
            <w:tcW w:w="1134" w:type="dxa"/>
            <w:tcBorders>
              <w:top w:val="single" w:sz="4" w:space="0" w:color="auto"/>
              <w:left w:val="single" w:sz="4" w:space="0" w:color="auto"/>
              <w:bottom w:val="single" w:sz="4" w:space="0" w:color="auto"/>
              <w:right w:val="single" w:sz="4" w:space="0" w:color="auto"/>
            </w:tcBorders>
            <w:vAlign w:val="center"/>
          </w:tcPr>
          <w:p w14:paraId="10E93A6A" w14:textId="77777777" w:rsidR="00727F42" w:rsidRPr="00023B4C" w:rsidRDefault="00727F42" w:rsidP="00DB2320">
            <w:pPr>
              <w:jc w:val="center"/>
              <w:rPr>
                <w:sz w:val="22"/>
                <w:szCs w:val="22"/>
              </w:rPr>
            </w:pPr>
            <w:r w:rsidRPr="00023B4C">
              <w:rPr>
                <w:sz w:val="22"/>
                <w:szCs w:val="22"/>
              </w:rPr>
              <w:t>Schválený rozpočet</w:t>
            </w:r>
          </w:p>
          <w:p w14:paraId="5E72AA28" w14:textId="77777777" w:rsidR="00727F42" w:rsidRPr="00023B4C" w:rsidRDefault="00727F42" w:rsidP="00DB2320">
            <w:pPr>
              <w:jc w:val="center"/>
              <w:rPr>
                <w:sz w:val="22"/>
                <w:szCs w:val="22"/>
              </w:rPr>
            </w:pPr>
            <w:r w:rsidRPr="00023B4C">
              <w:rPr>
                <w:sz w:val="22"/>
                <w:szCs w:val="22"/>
              </w:rPr>
              <w:t>2019</w:t>
            </w:r>
          </w:p>
        </w:tc>
        <w:tc>
          <w:tcPr>
            <w:tcW w:w="1134" w:type="dxa"/>
            <w:tcBorders>
              <w:top w:val="single" w:sz="4" w:space="0" w:color="auto"/>
              <w:left w:val="single" w:sz="4" w:space="0" w:color="auto"/>
              <w:bottom w:val="single" w:sz="4" w:space="0" w:color="auto"/>
              <w:right w:val="single" w:sz="4" w:space="0" w:color="auto"/>
            </w:tcBorders>
            <w:vAlign w:val="center"/>
          </w:tcPr>
          <w:p w14:paraId="6FF69C77" w14:textId="77777777" w:rsidR="00727F42" w:rsidRPr="00023B4C" w:rsidRDefault="00727F42" w:rsidP="00DB2320">
            <w:pPr>
              <w:jc w:val="center"/>
              <w:rPr>
                <w:sz w:val="22"/>
                <w:szCs w:val="22"/>
              </w:rPr>
            </w:pPr>
            <w:r w:rsidRPr="00023B4C">
              <w:rPr>
                <w:sz w:val="22"/>
                <w:szCs w:val="22"/>
              </w:rPr>
              <w:t>Upravený rozpočet</w:t>
            </w:r>
          </w:p>
          <w:p w14:paraId="62DD7C90" w14:textId="77777777" w:rsidR="00727F42" w:rsidRPr="00023B4C" w:rsidRDefault="00727F42" w:rsidP="00DB2320">
            <w:pPr>
              <w:jc w:val="center"/>
              <w:rPr>
                <w:sz w:val="22"/>
                <w:szCs w:val="22"/>
              </w:rPr>
            </w:pPr>
            <w:r w:rsidRPr="00023B4C">
              <w:rPr>
                <w:sz w:val="22"/>
                <w:szCs w:val="22"/>
              </w:rPr>
              <w:t>2019</w:t>
            </w:r>
          </w:p>
        </w:tc>
        <w:tc>
          <w:tcPr>
            <w:tcW w:w="1134" w:type="dxa"/>
            <w:tcBorders>
              <w:top w:val="single" w:sz="4" w:space="0" w:color="auto"/>
              <w:left w:val="single" w:sz="4" w:space="0" w:color="auto"/>
              <w:bottom w:val="single" w:sz="4" w:space="0" w:color="auto"/>
              <w:right w:val="single" w:sz="4" w:space="0" w:color="auto"/>
            </w:tcBorders>
            <w:vAlign w:val="center"/>
          </w:tcPr>
          <w:p w14:paraId="6600798D" w14:textId="77777777" w:rsidR="00727F42" w:rsidRPr="00023B4C" w:rsidRDefault="00727F42" w:rsidP="00DB2320">
            <w:pPr>
              <w:jc w:val="center"/>
              <w:rPr>
                <w:sz w:val="22"/>
                <w:szCs w:val="22"/>
              </w:rPr>
            </w:pPr>
            <w:r w:rsidRPr="00023B4C">
              <w:rPr>
                <w:sz w:val="22"/>
                <w:szCs w:val="22"/>
              </w:rPr>
              <w:t>Skutečnost  2019</w:t>
            </w:r>
          </w:p>
        </w:tc>
        <w:tc>
          <w:tcPr>
            <w:tcW w:w="709" w:type="dxa"/>
            <w:tcBorders>
              <w:top w:val="single" w:sz="4" w:space="0" w:color="auto"/>
              <w:left w:val="single" w:sz="4" w:space="0" w:color="auto"/>
              <w:bottom w:val="single" w:sz="4" w:space="0" w:color="auto"/>
              <w:right w:val="single" w:sz="4" w:space="0" w:color="auto"/>
            </w:tcBorders>
            <w:vAlign w:val="center"/>
          </w:tcPr>
          <w:p w14:paraId="3B43FCE0" w14:textId="77777777" w:rsidR="00727F42" w:rsidRPr="00023B4C" w:rsidRDefault="00727F42" w:rsidP="00DB2320">
            <w:pPr>
              <w:jc w:val="center"/>
              <w:rPr>
                <w:sz w:val="22"/>
                <w:szCs w:val="22"/>
              </w:rPr>
            </w:pPr>
            <w:r w:rsidRPr="00023B4C">
              <w:rPr>
                <w:sz w:val="22"/>
                <w:szCs w:val="22"/>
              </w:rPr>
              <w:t>Plnění</w:t>
            </w:r>
          </w:p>
          <w:p w14:paraId="3A48F15F" w14:textId="77777777" w:rsidR="00727F42" w:rsidRPr="00023B4C" w:rsidRDefault="00727F42" w:rsidP="00DB2320">
            <w:pPr>
              <w:jc w:val="center"/>
              <w:rPr>
                <w:sz w:val="22"/>
                <w:szCs w:val="22"/>
              </w:rPr>
            </w:pPr>
            <w:r w:rsidRPr="00023B4C">
              <w:rPr>
                <w:sz w:val="22"/>
                <w:szCs w:val="22"/>
              </w:rPr>
              <w:t>v %</w:t>
            </w:r>
          </w:p>
        </w:tc>
        <w:tc>
          <w:tcPr>
            <w:tcW w:w="766" w:type="dxa"/>
            <w:tcBorders>
              <w:top w:val="single" w:sz="4" w:space="0" w:color="auto"/>
              <w:left w:val="single" w:sz="4" w:space="0" w:color="auto"/>
              <w:bottom w:val="single" w:sz="4" w:space="0" w:color="auto"/>
              <w:right w:val="single" w:sz="4" w:space="0" w:color="auto"/>
            </w:tcBorders>
          </w:tcPr>
          <w:p w14:paraId="1B6094BE" w14:textId="77777777" w:rsidR="00727F42" w:rsidRPr="00023B4C" w:rsidRDefault="00727F42" w:rsidP="00DB2320">
            <w:pPr>
              <w:jc w:val="center"/>
              <w:rPr>
                <w:sz w:val="22"/>
              </w:rPr>
            </w:pPr>
            <w:r w:rsidRPr="00023B4C">
              <w:rPr>
                <w:sz w:val="22"/>
              </w:rPr>
              <w:t>Index</w:t>
            </w:r>
          </w:p>
          <w:p w14:paraId="6336FE95" w14:textId="77777777" w:rsidR="00727F42" w:rsidRPr="00023B4C" w:rsidRDefault="00727F42" w:rsidP="00DB2320">
            <w:pPr>
              <w:jc w:val="center"/>
              <w:rPr>
                <w:sz w:val="22"/>
                <w:szCs w:val="22"/>
              </w:rPr>
            </w:pPr>
            <w:r w:rsidRPr="00023B4C">
              <w:rPr>
                <w:sz w:val="22"/>
              </w:rPr>
              <w:t>19/18         (v %)</w:t>
            </w:r>
          </w:p>
        </w:tc>
      </w:tr>
      <w:tr w:rsidR="00727F42" w:rsidRPr="00023B4C" w14:paraId="49A7EC8D" w14:textId="77777777" w:rsidTr="005A76EE">
        <w:trPr>
          <w:tblHeader/>
        </w:trPr>
        <w:tc>
          <w:tcPr>
            <w:tcW w:w="3118" w:type="dxa"/>
            <w:tcBorders>
              <w:top w:val="single" w:sz="4" w:space="0" w:color="auto"/>
              <w:left w:val="single" w:sz="4" w:space="0" w:color="auto"/>
              <w:bottom w:val="single" w:sz="4" w:space="0" w:color="auto"/>
              <w:right w:val="single" w:sz="4" w:space="0" w:color="auto"/>
            </w:tcBorders>
          </w:tcPr>
          <w:p w14:paraId="36BBA4D2" w14:textId="77777777" w:rsidR="00727F42" w:rsidRPr="00023B4C" w:rsidRDefault="00727F42" w:rsidP="00DB2320">
            <w:pPr>
              <w:jc w:val="center"/>
              <w:rPr>
                <w:sz w:val="22"/>
              </w:rPr>
            </w:pPr>
            <w:r w:rsidRPr="00023B4C">
              <w:rPr>
                <w:sz w:val="22"/>
              </w:rPr>
              <w:t>a</w:t>
            </w:r>
          </w:p>
        </w:tc>
        <w:tc>
          <w:tcPr>
            <w:tcW w:w="1134" w:type="dxa"/>
            <w:tcBorders>
              <w:top w:val="single" w:sz="4" w:space="0" w:color="auto"/>
              <w:bottom w:val="single" w:sz="4" w:space="0" w:color="auto"/>
              <w:right w:val="single" w:sz="4" w:space="0" w:color="auto"/>
            </w:tcBorders>
          </w:tcPr>
          <w:p w14:paraId="57AED438" w14:textId="77777777" w:rsidR="00727F42" w:rsidRPr="00023B4C" w:rsidRDefault="00727F42" w:rsidP="00DB2320">
            <w:pPr>
              <w:jc w:val="center"/>
              <w:rPr>
                <w:sz w:val="22"/>
              </w:rPr>
            </w:pPr>
            <w:r w:rsidRPr="00023B4C">
              <w:rPr>
                <w:sz w:val="22"/>
              </w:rPr>
              <w:t>1</w:t>
            </w:r>
          </w:p>
        </w:tc>
        <w:tc>
          <w:tcPr>
            <w:tcW w:w="1134" w:type="dxa"/>
            <w:tcBorders>
              <w:top w:val="single" w:sz="4" w:space="0" w:color="auto"/>
              <w:left w:val="single" w:sz="4" w:space="0" w:color="auto"/>
              <w:bottom w:val="single" w:sz="4" w:space="0" w:color="auto"/>
              <w:right w:val="single" w:sz="4" w:space="0" w:color="auto"/>
            </w:tcBorders>
          </w:tcPr>
          <w:p w14:paraId="69105091" w14:textId="77777777" w:rsidR="00727F42" w:rsidRPr="00023B4C" w:rsidRDefault="00727F42" w:rsidP="00DB2320">
            <w:pPr>
              <w:jc w:val="center"/>
              <w:rPr>
                <w:sz w:val="22"/>
              </w:rPr>
            </w:pPr>
            <w:r w:rsidRPr="00023B4C">
              <w:rPr>
                <w:sz w:val="22"/>
              </w:rPr>
              <w:t>2</w:t>
            </w:r>
          </w:p>
        </w:tc>
        <w:tc>
          <w:tcPr>
            <w:tcW w:w="1134" w:type="dxa"/>
            <w:tcBorders>
              <w:top w:val="single" w:sz="4" w:space="0" w:color="auto"/>
              <w:left w:val="single" w:sz="4" w:space="0" w:color="auto"/>
              <w:bottom w:val="single" w:sz="4" w:space="0" w:color="auto"/>
              <w:right w:val="single" w:sz="4" w:space="0" w:color="auto"/>
            </w:tcBorders>
          </w:tcPr>
          <w:p w14:paraId="31EFBDEB" w14:textId="77777777" w:rsidR="00727F42" w:rsidRPr="00023B4C" w:rsidRDefault="00727F42" w:rsidP="00DB2320">
            <w:pPr>
              <w:jc w:val="center"/>
              <w:rPr>
                <w:sz w:val="22"/>
              </w:rPr>
            </w:pPr>
            <w:r w:rsidRPr="00023B4C">
              <w:rPr>
                <w:sz w:val="22"/>
              </w:rPr>
              <w:t>3</w:t>
            </w:r>
          </w:p>
        </w:tc>
        <w:tc>
          <w:tcPr>
            <w:tcW w:w="1134" w:type="dxa"/>
            <w:tcBorders>
              <w:top w:val="single" w:sz="4" w:space="0" w:color="auto"/>
              <w:left w:val="single" w:sz="4" w:space="0" w:color="auto"/>
              <w:bottom w:val="single" w:sz="4" w:space="0" w:color="auto"/>
              <w:right w:val="single" w:sz="4" w:space="0" w:color="auto"/>
            </w:tcBorders>
          </w:tcPr>
          <w:p w14:paraId="5555A1C8" w14:textId="77777777" w:rsidR="00727F42" w:rsidRPr="00023B4C" w:rsidRDefault="00727F42" w:rsidP="00DB2320">
            <w:pPr>
              <w:jc w:val="center"/>
              <w:rPr>
                <w:sz w:val="22"/>
              </w:rPr>
            </w:pPr>
            <w:r w:rsidRPr="00023B4C">
              <w:rPr>
                <w:sz w:val="22"/>
              </w:rPr>
              <w:t>4</w:t>
            </w:r>
          </w:p>
        </w:tc>
        <w:tc>
          <w:tcPr>
            <w:tcW w:w="709" w:type="dxa"/>
            <w:tcBorders>
              <w:top w:val="single" w:sz="4" w:space="0" w:color="auto"/>
              <w:left w:val="single" w:sz="4" w:space="0" w:color="auto"/>
              <w:bottom w:val="single" w:sz="4" w:space="0" w:color="auto"/>
              <w:right w:val="single" w:sz="4" w:space="0" w:color="auto"/>
            </w:tcBorders>
          </w:tcPr>
          <w:p w14:paraId="512C6573" w14:textId="77777777" w:rsidR="00727F42" w:rsidRPr="00023B4C" w:rsidRDefault="00727F42" w:rsidP="00DB2320">
            <w:pPr>
              <w:jc w:val="center"/>
              <w:rPr>
                <w:sz w:val="22"/>
              </w:rPr>
            </w:pPr>
            <w:r w:rsidRPr="00023B4C">
              <w:rPr>
                <w:sz w:val="22"/>
              </w:rPr>
              <w:t>5</w:t>
            </w:r>
          </w:p>
        </w:tc>
        <w:tc>
          <w:tcPr>
            <w:tcW w:w="766" w:type="dxa"/>
            <w:tcBorders>
              <w:top w:val="single" w:sz="4" w:space="0" w:color="auto"/>
              <w:left w:val="single" w:sz="4" w:space="0" w:color="auto"/>
              <w:bottom w:val="single" w:sz="4" w:space="0" w:color="auto"/>
              <w:right w:val="single" w:sz="4" w:space="0" w:color="auto"/>
            </w:tcBorders>
          </w:tcPr>
          <w:p w14:paraId="2F3CC6EB" w14:textId="77777777" w:rsidR="00727F42" w:rsidRPr="00023B4C" w:rsidRDefault="00727F42" w:rsidP="00DB2320">
            <w:pPr>
              <w:jc w:val="center"/>
              <w:rPr>
                <w:sz w:val="22"/>
              </w:rPr>
            </w:pPr>
            <w:r w:rsidRPr="00023B4C">
              <w:rPr>
                <w:sz w:val="22"/>
              </w:rPr>
              <w:t>6</w:t>
            </w:r>
          </w:p>
        </w:tc>
      </w:tr>
      <w:tr w:rsidR="00727F42" w:rsidRPr="00023B4C" w14:paraId="6D026FF1" w14:textId="77777777" w:rsidTr="005A76EE">
        <w:trPr>
          <w:trHeight w:val="388"/>
          <w:tblHeader/>
        </w:trPr>
        <w:tc>
          <w:tcPr>
            <w:tcW w:w="3118" w:type="dxa"/>
            <w:tcBorders>
              <w:left w:val="single" w:sz="4" w:space="0" w:color="000000"/>
            </w:tcBorders>
          </w:tcPr>
          <w:p w14:paraId="4A2ACC7E" w14:textId="77777777" w:rsidR="00727F42" w:rsidRPr="00023B4C" w:rsidRDefault="00727F42" w:rsidP="00DB2320">
            <w:pPr>
              <w:pStyle w:val="Zkladntext"/>
              <w:snapToGrid w:val="0"/>
              <w:jc w:val="left"/>
              <w:rPr>
                <w:b/>
                <w:bCs/>
                <w:sz w:val="22"/>
                <w:szCs w:val="22"/>
              </w:rPr>
            </w:pPr>
            <w:r w:rsidRPr="00023B4C">
              <w:rPr>
                <w:b/>
                <w:bCs/>
                <w:sz w:val="22"/>
                <w:szCs w:val="22"/>
              </w:rPr>
              <w:t>Veřejné rozpočty územní úrovně</w:t>
            </w:r>
          </w:p>
          <w:p w14:paraId="66F3CD7F" w14:textId="77777777" w:rsidR="00727F42" w:rsidRPr="00023B4C" w:rsidRDefault="00727F42" w:rsidP="00DB2320">
            <w:pPr>
              <w:rPr>
                <w:sz w:val="20"/>
              </w:rPr>
            </w:pPr>
            <w:r w:rsidRPr="00023B4C">
              <w:rPr>
                <w:sz w:val="20"/>
              </w:rPr>
              <w:t xml:space="preserve">v tom: </w:t>
            </w:r>
          </w:p>
        </w:tc>
        <w:tc>
          <w:tcPr>
            <w:tcW w:w="1134" w:type="dxa"/>
            <w:tcBorders>
              <w:left w:val="single" w:sz="4" w:space="0" w:color="000000"/>
            </w:tcBorders>
          </w:tcPr>
          <w:p w14:paraId="321F652B" w14:textId="77777777" w:rsidR="00727F42" w:rsidRPr="00023B4C" w:rsidRDefault="00727F42" w:rsidP="00DB2320">
            <w:pPr>
              <w:snapToGrid w:val="0"/>
              <w:spacing w:before="120"/>
              <w:jc w:val="right"/>
              <w:rPr>
                <w:b/>
                <w:bCs/>
                <w:sz w:val="20"/>
              </w:rPr>
            </w:pPr>
            <w:r w:rsidRPr="00023B4C">
              <w:rPr>
                <w:b/>
                <w:bCs/>
                <w:sz w:val="20"/>
              </w:rPr>
              <w:t>2 799 114</w:t>
            </w:r>
          </w:p>
        </w:tc>
        <w:tc>
          <w:tcPr>
            <w:tcW w:w="1134" w:type="dxa"/>
            <w:tcBorders>
              <w:left w:val="single" w:sz="4" w:space="0" w:color="000000"/>
            </w:tcBorders>
          </w:tcPr>
          <w:p w14:paraId="7978E8E7" w14:textId="77777777" w:rsidR="00727F42" w:rsidRPr="00023B4C" w:rsidRDefault="00727F42" w:rsidP="00DB2320">
            <w:pPr>
              <w:snapToGrid w:val="0"/>
              <w:spacing w:before="120"/>
              <w:jc w:val="right"/>
              <w:rPr>
                <w:b/>
                <w:bCs/>
                <w:sz w:val="20"/>
              </w:rPr>
            </w:pPr>
            <w:r w:rsidRPr="00023B4C">
              <w:rPr>
                <w:b/>
                <w:bCs/>
                <w:sz w:val="20"/>
              </w:rPr>
              <w:t>2 894 352</w:t>
            </w:r>
          </w:p>
        </w:tc>
        <w:tc>
          <w:tcPr>
            <w:tcW w:w="1134" w:type="dxa"/>
            <w:tcBorders>
              <w:left w:val="single" w:sz="4" w:space="0" w:color="000000"/>
            </w:tcBorders>
          </w:tcPr>
          <w:p w14:paraId="2E8BCE4B" w14:textId="77777777" w:rsidR="00727F42" w:rsidRPr="00023B4C" w:rsidRDefault="00727F42" w:rsidP="00DB2320">
            <w:pPr>
              <w:snapToGrid w:val="0"/>
              <w:spacing w:before="120"/>
              <w:jc w:val="right"/>
              <w:rPr>
                <w:b/>
                <w:bCs/>
                <w:sz w:val="20"/>
              </w:rPr>
            </w:pPr>
            <w:r w:rsidRPr="00023B4C">
              <w:rPr>
                <w:b/>
                <w:bCs/>
                <w:sz w:val="20"/>
              </w:rPr>
              <w:t>2 </w:t>
            </w:r>
            <w:r>
              <w:rPr>
                <w:b/>
                <w:bCs/>
                <w:sz w:val="20"/>
              </w:rPr>
              <w:t>9</w:t>
            </w:r>
            <w:r w:rsidRPr="00023B4C">
              <w:rPr>
                <w:b/>
                <w:bCs/>
                <w:sz w:val="20"/>
              </w:rPr>
              <w:t>94 352</w:t>
            </w:r>
          </w:p>
        </w:tc>
        <w:tc>
          <w:tcPr>
            <w:tcW w:w="1134" w:type="dxa"/>
            <w:tcBorders>
              <w:left w:val="single" w:sz="4" w:space="0" w:color="000000"/>
            </w:tcBorders>
          </w:tcPr>
          <w:p w14:paraId="4475EE22" w14:textId="77777777" w:rsidR="00727F42" w:rsidRPr="00023B4C" w:rsidRDefault="00727F42" w:rsidP="00DB2320">
            <w:pPr>
              <w:snapToGrid w:val="0"/>
              <w:spacing w:before="120"/>
              <w:jc w:val="right"/>
              <w:rPr>
                <w:b/>
                <w:bCs/>
                <w:sz w:val="20"/>
              </w:rPr>
            </w:pPr>
            <w:r w:rsidRPr="00023B4C">
              <w:rPr>
                <w:b/>
                <w:bCs/>
                <w:sz w:val="20"/>
              </w:rPr>
              <w:t>2 </w:t>
            </w:r>
            <w:r>
              <w:rPr>
                <w:b/>
                <w:bCs/>
                <w:sz w:val="20"/>
              </w:rPr>
              <w:t>9</w:t>
            </w:r>
            <w:r w:rsidRPr="00023B4C">
              <w:rPr>
                <w:b/>
                <w:bCs/>
                <w:sz w:val="20"/>
              </w:rPr>
              <w:t>68 970</w:t>
            </w:r>
          </w:p>
        </w:tc>
        <w:tc>
          <w:tcPr>
            <w:tcW w:w="709" w:type="dxa"/>
            <w:tcBorders>
              <w:left w:val="single" w:sz="4" w:space="0" w:color="000000"/>
              <w:right w:val="single" w:sz="4" w:space="0" w:color="auto"/>
            </w:tcBorders>
          </w:tcPr>
          <w:p w14:paraId="7B3D74DA" w14:textId="77777777" w:rsidR="00727F42" w:rsidRPr="00B60894" w:rsidRDefault="00727F42" w:rsidP="00DB2320">
            <w:pPr>
              <w:snapToGrid w:val="0"/>
              <w:spacing w:before="120"/>
              <w:jc w:val="right"/>
              <w:rPr>
                <w:b/>
                <w:bCs/>
                <w:color w:val="FF0000"/>
                <w:sz w:val="20"/>
              </w:rPr>
            </w:pPr>
            <w:r w:rsidRPr="00B60894">
              <w:rPr>
                <w:b/>
                <w:bCs/>
                <w:sz w:val="20"/>
              </w:rPr>
              <w:t>99,15</w:t>
            </w:r>
          </w:p>
        </w:tc>
        <w:tc>
          <w:tcPr>
            <w:tcW w:w="766" w:type="dxa"/>
            <w:tcBorders>
              <w:left w:val="single" w:sz="4" w:space="0" w:color="auto"/>
              <w:right w:val="single" w:sz="4" w:space="0" w:color="auto"/>
            </w:tcBorders>
          </w:tcPr>
          <w:p w14:paraId="7FB8BB9D" w14:textId="77777777" w:rsidR="00727F42" w:rsidRPr="00B60894" w:rsidRDefault="00727F42" w:rsidP="00DB2320">
            <w:pPr>
              <w:snapToGrid w:val="0"/>
              <w:spacing w:before="120"/>
              <w:jc w:val="right"/>
              <w:rPr>
                <w:b/>
                <w:bCs/>
                <w:color w:val="FF0000"/>
                <w:sz w:val="20"/>
              </w:rPr>
            </w:pPr>
            <w:r w:rsidRPr="00B60894">
              <w:rPr>
                <w:b/>
                <w:bCs/>
                <w:sz w:val="20"/>
              </w:rPr>
              <w:t>106,07</w:t>
            </w:r>
          </w:p>
        </w:tc>
      </w:tr>
      <w:tr w:rsidR="00727F42" w:rsidRPr="00023B4C" w14:paraId="4007215E" w14:textId="77777777" w:rsidTr="005A76EE">
        <w:trPr>
          <w:tblHeader/>
        </w:trPr>
        <w:tc>
          <w:tcPr>
            <w:tcW w:w="3118" w:type="dxa"/>
            <w:tcBorders>
              <w:left w:val="single" w:sz="4" w:space="0" w:color="000000"/>
            </w:tcBorders>
          </w:tcPr>
          <w:p w14:paraId="118D5EC6" w14:textId="77777777" w:rsidR="00727F42" w:rsidRPr="00023B4C" w:rsidRDefault="00727F42" w:rsidP="00DB2320">
            <w:pPr>
              <w:snapToGrid w:val="0"/>
              <w:jc w:val="both"/>
              <w:rPr>
                <w:sz w:val="20"/>
              </w:rPr>
            </w:pPr>
            <w:r w:rsidRPr="00023B4C">
              <w:rPr>
                <w:sz w:val="20"/>
              </w:rPr>
              <w:t>Obce</w:t>
            </w:r>
          </w:p>
        </w:tc>
        <w:tc>
          <w:tcPr>
            <w:tcW w:w="1134" w:type="dxa"/>
            <w:tcBorders>
              <w:left w:val="single" w:sz="4" w:space="0" w:color="000000"/>
            </w:tcBorders>
          </w:tcPr>
          <w:p w14:paraId="77798CE5" w14:textId="77777777" w:rsidR="00727F42" w:rsidRPr="00023B4C" w:rsidRDefault="00727F42" w:rsidP="00DB2320">
            <w:pPr>
              <w:snapToGrid w:val="0"/>
              <w:jc w:val="right"/>
              <w:rPr>
                <w:sz w:val="20"/>
              </w:rPr>
            </w:pPr>
            <w:r w:rsidRPr="00023B4C">
              <w:rPr>
                <w:sz w:val="20"/>
              </w:rPr>
              <w:t>218 352</w:t>
            </w:r>
          </w:p>
        </w:tc>
        <w:tc>
          <w:tcPr>
            <w:tcW w:w="1134" w:type="dxa"/>
            <w:tcBorders>
              <w:left w:val="single" w:sz="4" w:space="0" w:color="000000"/>
            </w:tcBorders>
          </w:tcPr>
          <w:p w14:paraId="0D1F2B86" w14:textId="77777777" w:rsidR="00727F42" w:rsidRPr="00023B4C" w:rsidRDefault="00727F42" w:rsidP="00DB2320">
            <w:pPr>
              <w:snapToGrid w:val="0"/>
              <w:jc w:val="right"/>
              <w:rPr>
                <w:sz w:val="20"/>
              </w:rPr>
            </w:pPr>
            <w:r w:rsidRPr="00023B4C">
              <w:rPr>
                <w:sz w:val="20"/>
              </w:rPr>
              <w:t>223 811</w:t>
            </w:r>
          </w:p>
        </w:tc>
        <w:tc>
          <w:tcPr>
            <w:tcW w:w="1134" w:type="dxa"/>
            <w:tcBorders>
              <w:left w:val="single" w:sz="4" w:space="0" w:color="000000"/>
            </w:tcBorders>
          </w:tcPr>
          <w:p w14:paraId="7FD570BE" w14:textId="77777777" w:rsidR="00727F42" w:rsidRPr="00023B4C" w:rsidRDefault="00727F42" w:rsidP="00DB2320">
            <w:pPr>
              <w:snapToGrid w:val="0"/>
              <w:jc w:val="right"/>
              <w:rPr>
                <w:sz w:val="20"/>
              </w:rPr>
            </w:pPr>
            <w:r w:rsidRPr="00023B4C">
              <w:rPr>
                <w:sz w:val="20"/>
              </w:rPr>
              <w:t>223 811</w:t>
            </w:r>
          </w:p>
        </w:tc>
        <w:tc>
          <w:tcPr>
            <w:tcW w:w="1134" w:type="dxa"/>
            <w:tcBorders>
              <w:left w:val="single" w:sz="4" w:space="0" w:color="000000"/>
            </w:tcBorders>
          </w:tcPr>
          <w:p w14:paraId="3A532AA6" w14:textId="77777777" w:rsidR="00727F42" w:rsidRPr="00023B4C" w:rsidRDefault="00727F42" w:rsidP="00DB2320">
            <w:pPr>
              <w:snapToGrid w:val="0"/>
              <w:jc w:val="right"/>
              <w:rPr>
                <w:sz w:val="20"/>
              </w:rPr>
            </w:pPr>
            <w:r w:rsidRPr="00023B4C">
              <w:rPr>
                <w:sz w:val="20"/>
              </w:rPr>
              <w:t>223 811</w:t>
            </w:r>
          </w:p>
        </w:tc>
        <w:tc>
          <w:tcPr>
            <w:tcW w:w="709" w:type="dxa"/>
            <w:tcBorders>
              <w:left w:val="single" w:sz="4" w:space="0" w:color="000000"/>
              <w:right w:val="single" w:sz="4" w:space="0" w:color="auto"/>
            </w:tcBorders>
          </w:tcPr>
          <w:p w14:paraId="23980570" w14:textId="77777777" w:rsidR="00727F42" w:rsidRPr="00023B4C" w:rsidRDefault="00727F42" w:rsidP="00DB2320">
            <w:pPr>
              <w:snapToGrid w:val="0"/>
              <w:jc w:val="right"/>
              <w:rPr>
                <w:sz w:val="20"/>
              </w:rPr>
            </w:pPr>
            <w:r w:rsidRPr="00023B4C">
              <w:rPr>
                <w:sz w:val="20"/>
              </w:rPr>
              <w:t>100,00</w:t>
            </w:r>
          </w:p>
        </w:tc>
        <w:tc>
          <w:tcPr>
            <w:tcW w:w="766" w:type="dxa"/>
            <w:tcBorders>
              <w:left w:val="single" w:sz="4" w:space="0" w:color="auto"/>
              <w:right w:val="single" w:sz="4" w:space="0" w:color="auto"/>
            </w:tcBorders>
          </w:tcPr>
          <w:p w14:paraId="1A155914" w14:textId="77777777" w:rsidR="00727F42" w:rsidRPr="00023B4C" w:rsidRDefault="00727F42" w:rsidP="00DB2320">
            <w:pPr>
              <w:snapToGrid w:val="0"/>
              <w:jc w:val="right"/>
              <w:rPr>
                <w:sz w:val="20"/>
              </w:rPr>
            </w:pPr>
            <w:r w:rsidRPr="00023B4C">
              <w:rPr>
                <w:sz w:val="20"/>
              </w:rPr>
              <w:t>102,50</w:t>
            </w:r>
          </w:p>
        </w:tc>
      </w:tr>
      <w:tr w:rsidR="00727F42" w:rsidRPr="00023B4C" w14:paraId="288E34AF" w14:textId="77777777" w:rsidTr="005A76EE">
        <w:trPr>
          <w:tblHeader/>
        </w:trPr>
        <w:tc>
          <w:tcPr>
            <w:tcW w:w="3118" w:type="dxa"/>
            <w:tcBorders>
              <w:left w:val="single" w:sz="4" w:space="0" w:color="000000"/>
              <w:bottom w:val="single" w:sz="4" w:space="0" w:color="000000"/>
            </w:tcBorders>
          </w:tcPr>
          <w:p w14:paraId="6C97E977" w14:textId="77777777" w:rsidR="00727F42" w:rsidRPr="00023B4C" w:rsidRDefault="00727F42" w:rsidP="00DB2320">
            <w:pPr>
              <w:snapToGrid w:val="0"/>
              <w:jc w:val="both"/>
              <w:rPr>
                <w:sz w:val="20"/>
              </w:rPr>
            </w:pPr>
            <w:r w:rsidRPr="00023B4C">
              <w:rPr>
                <w:sz w:val="20"/>
              </w:rPr>
              <w:t>Kraje</w:t>
            </w:r>
          </w:p>
        </w:tc>
        <w:tc>
          <w:tcPr>
            <w:tcW w:w="1134" w:type="dxa"/>
            <w:tcBorders>
              <w:left w:val="single" w:sz="4" w:space="0" w:color="000000"/>
              <w:bottom w:val="single" w:sz="4" w:space="0" w:color="000000"/>
            </w:tcBorders>
          </w:tcPr>
          <w:p w14:paraId="1AE45DAA" w14:textId="77777777" w:rsidR="00727F42" w:rsidRPr="00023B4C" w:rsidRDefault="00727F42" w:rsidP="00DB2320">
            <w:pPr>
              <w:snapToGrid w:val="0"/>
              <w:jc w:val="right"/>
              <w:rPr>
                <w:sz w:val="20"/>
              </w:rPr>
            </w:pPr>
            <w:r w:rsidRPr="00023B4C">
              <w:rPr>
                <w:sz w:val="20"/>
              </w:rPr>
              <w:t>2 580 762</w:t>
            </w:r>
          </w:p>
        </w:tc>
        <w:tc>
          <w:tcPr>
            <w:tcW w:w="1134" w:type="dxa"/>
            <w:tcBorders>
              <w:left w:val="single" w:sz="4" w:space="0" w:color="000000"/>
              <w:bottom w:val="single" w:sz="4" w:space="0" w:color="000000"/>
            </w:tcBorders>
          </w:tcPr>
          <w:p w14:paraId="45E9F7BB" w14:textId="77777777" w:rsidR="00727F42" w:rsidRPr="00023B4C" w:rsidRDefault="00727F42" w:rsidP="00DB2320">
            <w:pPr>
              <w:snapToGrid w:val="0"/>
              <w:jc w:val="right"/>
              <w:rPr>
                <w:sz w:val="20"/>
              </w:rPr>
            </w:pPr>
            <w:r w:rsidRPr="00023B4C">
              <w:rPr>
                <w:sz w:val="20"/>
              </w:rPr>
              <w:t>2 670 541</w:t>
            </w:r>
          </w:p>
        </w:tc>
        <w:tc>
          <w:tcPr>
            <w:tcW w:w="1134" w:type="dxa"/>
            <w:tcBorders>
              <w:left w:val="single" w:sz="4" w:space="0" w:color="000000"/>
              <w:bottom w:val="single" w:sz="4" w:space="0" w:color="000000"/>
            </w:tcBorders>
          </w:tcPr>
          <w:p w14:paraId="3BD1AAE2" w14:textId="77777777" w:rsidR="00727F42" w:rsidRPr="00023B4C" w:rsidRDefault="00727F42" w:rsidP="00DB2320">
            <w:pPr>
              <w:snapToGrid w:val="0"/>
              <w:jc w:val="right"/>
              <w:rPr>
                <w:sz w:val="20"/>
              </w:rPr>
            </w:pPr>
            <w:r w:rsidRPr="00023B4C">
              <w:rPr>
                <w:sz w:val="20"/>
              </w:rPr>
              <w:t>2 </w:t>
            </w:r>
            <w:r>
              <w:rPr>
                <w:sz w:val="20"/>
              </w:rPr>
              <w:t>7</w:t>
            </w:r>
            <w:r w:rsidRPr="00023B4C">
              <w:rPr>
                <w:sz w:val="20"/>
              </w:rPr>
              <w:t>70 541</w:t>
            </w:r>
          </w:p>
        </w:tc>
        <w:tc>
          <w:tcPr>
            <w:tcW w:w="1134" w:type="dxa"/>
            <w:tcBorders>
              <w:left w:val="single" w:sz="4" w:space="0" w:color="000000"/>
              <w:bottom w:val="single" w:sz="4" w:space="0" w:color="000000"/>
            </w:tcBorders>
          </w:tcPr>
          <w:p w14:paraId="759573CB" w14:textId="77777777" w:rsidR="00727F42" w:rsidRPr="00023B4C" w:rsidRDefault="00727F42" w:rsidP="00DB2320">
            <w:pPr>
              <w:snapToGrid w:val="0"/>
              <w:jc w:val="right"/>
              <w:rPr>
                <w:sz w:val="20"/>
              </w:rPr>
            </w:pPr>
            <w:r w:rsidRPr="00023B4C">
              <w:rPr>
                <w:sz w:val="20"/>
              </w:rPr>
              <w:t>2 </w:t>
            </w:r>
            <w:r>
              <w:rPr>
                <w:sz w:val="20"/>
              </w:rPr>
              <w:t>7</w:t>
            </w:r>
            <w:r w:rsidRPr="00023B4C">
              <w:rPr>
                <w:sz w:val="20"/>
              </w:rPr>
              <w:t>45 159</w:t>
            </w:r>
          </w:p>
        </w:tc>
        <w:tc>
          <w:tcPr>
            <w:tcW w:w="709" w:type="dxa"/>
            <w:tcBorders>
              <w:left w:val="single" w:sz="4" w:space="0" w:color="000000"/>
              <w:bottom w:val="single" w:sz="4" w:space="0" w:color="000000"/>
              <w:right w:val="single" w:sz="4" w:space="0" w:color="auto"/>
            </w:tcBorders>
          </w:tcPr>
          <w:p w14:paraId="01882ED5" w14:textId="77777777" w:rsidR="00727F42" w:rsidRPr="00B60894" w:rsidRDefault="00727F42" w:rsidP="00DB2320">
            <w:pPr>
              <w:snapToGrid w:val="0"/>
              <w:jc w:val="right"/>
              <w:rPr>
                <w:sz w:val="20"/>
              </w:rPr>
            </w:pPr>
            <w:r w:rsidRPr="00B60894">
              <w:rPr>
                <w:sz w:val="20"/>
              </w:rPr>
              <w:t>99,08</w:t>
            </w:r>
          </w:p>
        </w:tc>
        <w:tc>
          <w:tcPr>
            <w:tcW w:w="766" w:type="dxa"/>
            <w:tcBorders>
              <w:left w:val="single" w:sz="4" w:space="0" w:color="auto"/>
              <w:bottom w:val="single" w:sz="4" w:space="0" w:color="auto"/>
              <w:right w:val="single" w:sz="4" w:space="0" w:color="auto"/>
            </w:tcBorders>
          </w:tcPr>
          <w:p w14:paraId="60794D0F" w14:textId="77777777" w:rsidR="00727F42" w:rsidRPr="00B60894" w:rsidRDefault="00727F42" w:rsidP="00DB2320">
            <w:pPr>
              <w:snapToGrid w:val="0"/>
              <w:jc w:val="right"/>
              <w:rPr>
                <w:sz w:val="20"/>
              </w:rPr>
            </w:pPr>
            <w:r w:rsidRPr="00B60894">
              <w:rPr>
                <w:sz w:val="20"/>
              </w:rPr>
              <w:t>106,37</w:t>
            </w:r>
          </w:p>
        </w:tc>
      </w:tr>
    </w:tbl>
    <w:p w14:paraId="7287E2A8" w14:textId="40B6330A" w:rsidR="00727F42" w:rsidRPr="00023B4C" w:rsidRDefault="00727F42" w:rsidP="00727F42">
      <w:pPr>
        <w:pStyle w:val="KOMtext"/>
      </w:pPr>
      <w:r w:rsidRPr="00023B4C">
        <w:lastRenderedPageBreak/>
        <w:t xml:space="preserve">Schválený rozpočet ve výši 2 894 352 tis. Kč byl </w:t>
      </w:r>
      <w:r>
        <w:t>navýšen o 100 000 tis. Kč, v souladu s usnesením vlády ze dne 26. srpna 2019 č. 590</w:t>
      </w:r>
      <w:r w:rsidRPr="00023B4C">
        <w:t xml:space="preserve">. Neinvestiční transfery obcím (v tomto případě </w:t>
      </w:r>
      <w:r>
        <w:br/>
      </w:r>
      <w:r w:rsidR="00A54364">
        <w:t>hl. m. Praha</w:t>
      </w:r>
      <w:r w:rsidRPr="00023B4C">
        <w:t xml:space="preserve">) byly rozpočtovány ve výši 223 811 tis. Kč a neinvestiční transfery krajům byly </w:t>
      </w:r>
      <w:r w:rsidR="00A54364">
        <w:t>upraveny na částku 2 7</w:t>
      </w:r>
      <w:r w:rsidRPr="00023B4C">
        <w:t>70 541 tis. Kč. Neinvestiční transfery obcím a krajům byly v průběhu roku 2019 poskytnuty ve výši 2 </w:t>
      </w:r>
      <w:r>
        <w:t>9</w:t>
      </w:r>
      <w:r w:rsidRPr="00023B4C">
        <w:t>68 970 tis. Kč, tj. čerpání ve výši 99,</w:t>
      </w:r>
      <w:r w:rsidR="00EB4D9A">
        <w:t>15</w:t>
      </w:r>
      <w:r w:rsidRPr="00023B4C">
        <w:t xml:space="preserve"> % </w:t>
      </w:r>
      <w:r>
        <w:t>upraveného</w:t>
      </w:r>
      <w:r w:rsidRPr="00023B4C">
        <w:t xml:space="preserve"> rozpočtu.   </w:t>
      </w:r>
    </w:p>
    <w:p w14:paraId="620F3300" w14:textId="5BB78A8E" w:rsidR="005D0D4B" w:rsidRPr="00AC5B20" w:rsidRDefault="004474F6" w:rsidP="00727F42">
      <w:pPr>
        <w:pStyle w:val="KOMtext"/>
        <w:rPr>
          <w:color w:val="FF0000"/>
        </w:rPr>
      </w:pPr>
      <w:r>
        <w:rPr>
          <w:i/>
        </w:rPr>
        <w:t>Čerpání za rok 2019 (2 9</w:t>
      </w:r>
      <w:r w:rsidR="00727F42" w:rsidRPr="00727F42">
        <w:rPr>
          <w:i/>
        </w:rPr>
        <w:t xml:space="preserve">68 970 tis. Kč) je oproti roku 2018 (2 799 114 tis. Kč) o </w:t>
      </w:r>
      <w:r>
        <w:rPr>
          <w:i/>
        </w:rPr>
        <w:t>1</w:t>
      </w:r>
      <w:r w:rsidR="00727F42" w:rsidRPr="00727F42">
        <w:rPr>
          <w:i/>
        </w:rPr>
        <w:t>69 </w:t>
      </w:r>
      <w:r>
        <w:rPr>
          <w:i/>
        </w:rPr>
        <w:t>856 tis. Kč vyšší, tj. index 106,07</w:t>
      </w:r>
      <w:r w:rsidR="00727F42" w:rsidRPr="00727F42">
        <w:rPr>
          <w:i/>
        </w:rPr>
        <w:t xml:space="preserve"> %.</w:t>
      </w:r>
      <w:r w:rsidR="00727F42" w:rsidRPr="00023B4C">
        <w:t xml:space="preserve"> </w:t>
      </w:r>
      <w:r w:rsidR="00EB4D9A" w:rsidRPr="0032109C">
        <w:rPr>
          <w:i/>
        </w:rPr>
        <w:t>Vyšší čerpání v roce 2019 oproti roku 2018</w:t>
      </w:r>
      <w:r w:rsidR="005D0D4B" w:rsidRPr="0032109C">
        <w:rPr>
          <w:i/>
        </w:rPr>
        <w:t xml:space="preserve"> je umožněno především vyšším rozpočtem, který zohledňuje inflační navýšení výdajů</w:t>
      </w:r>
      <w:r w:rsidR="0032109C" w:rsidRPr="0032109C">
        <w:rPr>
          <w:i/>
        </w:rPr>
        <w:t xml:space="preserve"> a nového dotačního titulu.</w:t>
      </w:r>
    </w:p>
    <w:p w14:paraId="7C247D75" w14:textId="77777777" w:rsidR="00727F42" w:rsidRPr="003F5268" w:rsidRDefault="00727F42" w:rsidP="00727F42">
      <w:pPr>
        <w:pStyle w:val="KOMtext"/>
        <w:rPr>
          <w:b/>
        </w:rPr>
      </w:pPr>
      <w:r w:rsidRPr="003F5268">
        <w:rPr>
          <w:b/>
        </w:rPr>
        <w:t>Prostředky byly použity na financování těchto titulů:</w:t>
      </w:r>
    </w:p>
    <w:p w14:paraId="1EEDF861" w14:textId="77777777" w:rsidR="00727F42" w:rsidRPr="00B60894" w:rsidRDefault="00727F42" w:rsidP="00BC4FB1">
      <w:pPr>
        <w:pStyle w:val="komnadp4"/>
        <w:keepLines w:val="0"/>
        <w:numPr>
          <w:ilvl w:val="0"/>
          <w:numId w:val="79"/>
        </w:numPr>
        <w:spacing w:before="120" w:after="0" w:line="240" w:lineRule="auto"/>
        <w:ind w:left="1134" w:hanging="1134"/>
        <w:rPr>
          <w:bCs/>
        </w:rPr>
      </w:pPr>
      <w:r w:rsidRPr="00B60894">
        <w:rPr>
          <w:bCs/>
        </w:rPr>
        <w:t xml:space="preserve">Financování </w:t>
      </w:r>
      <w:r w:rsidRPr="00B60894">
        <w:t>závazků veřejné služby v železniční dopravě</w:t>
      </w:r>
    </w:p>
    <w:p w14:paraId="2A5E52EB" w14:textId="77777777" w:rsidR="00727F42" w:rsidRPr="00DD0E04" w:rsidRDefault="00727F42" w:rsidP="00727F42">
      <w:pPr>
        <w:pStyle w:val="KOMtext"/>
      </w:pPr>
      <w:r w:rsidRPr="00DD0E04">
        <w:t>Ministerstvo dopravy poskytuje v souladu s usnesením vlády ze dne 3</w:t>
      </w:r>
      <w:r w:rsidR="00BF1330">
        <w:t xml:space="preserve">1. srpna 2009 </w:t>
      </w:r>
      <w:r w:rsidRPr="00DD0E04">
        <w:t xml:space="preserve">č. 1132 </w:t>
      </w:r>
      <w:r w:rsidR="00851910">
        <w:br/>
      </w:r>
      <w:r w:rsidRPr="00DD0E04">
        <w:t>a usnesením vlády ze dne 9. března 2016 č. 191 krajům a hl. m. Praze dotace na úhradu prokazatelné ztráty ze závazku veřejné služby ve veřejné drážní osobní dopravě. Stát touto dotací doplňuje finanční zdroje krajů a hl. m. Prahy na úhradu nákladů dopravních výkonů, které si jednotlivé kraje a hl. m. Praha objednaly. Dotace je poskytnuta k zajištění odpovídající dopravní obslužnost krajů a hl. m. Prahy železniční dopravou na regionální úrovni.</w:t>
      </w:r>
    </w:p>
    <w:p w14:paraId="7F9FC541" w14:textId="364AE559" w:rsidR="00727F42" w:rsidRPr="00DD0E04" w:rsidRDefault="00727F42" w:rsidP="00727F42">
      <w:pPr>
        <w:pStyle w:val="KOMtext"/>
      </w:pPr>
      <w:r w:rsidRPr="00DD0E04">
        <w:t xml:space="preserve">Financování dopravní obslužnosti veřejnou železniční osobní dopravou krajů </w:t>
      </w:r>
      <w:r w:rsidRPr="00DD0E04">
        <w:br/>
        <w:t xml:space="preserve">a hl. m. Prahy probíhalo  v závislosti na termínu předložení žádosti o poskytnutí dotace ze strany krajů a hl. m. Prahy. Schválený rozpočet ve výši 2 884 352 tis. Kč byl ke konci roku čerpán ve výši 2 868 970 tis. Kč, tj. 99,47 % schváleného rozpočtu. </w:t>
      </w:r>
      <w:r w:rsidR="00BC4FB1">
        <w:t xml:space="preserve">Prostředky byly převedené v tomto členění (v tis. Kč): </w:t>
      </w:r>
    </w:p>
    <w:p w14:paraId="10B0337A" w14:textId="77777777" w:rsidR="00BC4FB1" w:rsidRPr="00DD0E04" w:rsidRDefault="00BC4FB1" w:rsidP="00727F42">
      <w:pPr>
        <w:pStyle w:val="KOMtext"/>
      </w:pPr>
    </w:p>
    <w:tbl>
      <w:tblPr>
        <w:tblW w:w="5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40"/>
        <w:gridCol w:w="1900"/>
      </w:tblGrid>
      <w:tr w:rsidR="00727F42" w:rsidRPr="00023B4C" w14:paraId="0CF8EA90" w14:textId="77777777" w:rsidTr="00995243">
        <w:trPr>
          <w:trHeight w:val="630"/>
          <w:tblHeader/>
          <w:jc w:val="center"/>
        </w:trPr>
        <w:tc>
          <w:tcPr>
            <w:tcW w:w="3440" w:type="dxa"/>
            <w:shd w:val="clear" w:color="auto" w:fill="auto"/>
            <w:noWrap/>
            <w:vAlign w:val="bottom"/>
          </w:tcPr>
          <w:p w14:paraId="73E15661" w14:textId="77777777" w:rsidR="00727F42" w:rsidRPr="00023B4C" w:rsidRDefault="00727F42" w:rsidP="00DB2320">
            <w:pPr>
              <w:rPr>
                <w:b/>
                <w:bCs/>
              </w:rPr>
            </w:pPr>
            <w:r w:rsidRPr="00023B4C">
              <w:rPr>
                <w:b/>
                <w:bCs/>
              </w:rPr>
              <w:t>Kraj</w:t>
            </w:r>
          </w:p>
        </w:tc>
        <w:tc>
          <w:tcPr>
            <w:tcW w:w="1900" w:type="dxa"/>
            <w:shd w:val="clear" w:color="auto" w:fill="auto"/>
            <w:vAlign w:val="bottom"/>
          </w:tcPr>
          <w:p w14:paraId="26BBC81E" w14:textId="312D2BE9" w:rsidR="00727F42" w:rsidRPr="00023B4C" w:rsidRDefault="00727F42" w:rsidP="00BC4FB1">
            <w:pPr>
              <w:jc w:val="center"/>
              <w:rPr>
                <w:b/>
                <w:bCs/>
              </w:rPr>
            </w:pPr>
            <w:r w:rsidRPr="00023B4C">
              <w:rPr>
                <w:b/>
                <w:bCs/>
              </w:rPr>
              <w:t>Uvolněná částka</w:t>
            </w:r>
            <w:r w:rsidRPr="00023B4C">
              <w:t xml:space="preserve"> </w:t>
            </w:r>
          </w:p>
        </w:tc>
      </w:tr>
      <w:tr w:rsidR="00727F42" w:rsidRPr="00023B4C" w14:paraId="47282B46" w14:textId="77777777" w:rsidTr="00995243">
        <w:trPr>
          <w:trHeight w:val="315"/>
          <w:tblHeader/>
          <w:jc w:val="center"/>
        </w:trPr>
        <w:tc>
          <w:tcPr>
            <w:tcW w:w="3440" w:type="dxa"/>
            <w:shd w:val="clear" w:color="auto" w:fill="auto"/>
            <w:noWrap/>
            <w:vAlign w:val="bottom"/>
          </w:tcPr>
          <w:p w14:paraId="444B4A9D" w14:textId="77777777" w:rsidR="00727F42" w:rsidRPr="00023B4C" w:rsidRDefault="00727F42" w:rsidP="00DB2320">
            <w:r w:rsidRPr="00023B4C">
              <w:t>Středočeský</w:t>
            </w:r>
          </w:p>
        </w:tc>
        <w:tc>
          <w:tcPr>
            <w:tcW w:w="1900" w:type="dxa"/>
            <w:shd w:val="clear" w:color="auto" w:fill="auto"/>
            <w:noWrap/>
            <w:vAlign w:val="center"/>
          </w:tcPr>
          <w:p w14:paraId="177A3AA3" w14:textId="77777777" w:rsidR="00727F42" w:rsidRPr="00023B4C" w:rsidRDefault="00727F42" w:rsidP="00DB2320">
            <w:pPr>
              <w:jc w:val="right"/>
            </w:pPr>
            <w:r w:rsidRPr="00023B4C">
              <w:t>515 260</w:t>
            </w:r>
          </w:p>
        </w:tc>
      </w:tr>
      <w:tr w:rsidR="00727F42" w:rsidRPr="00023B4C" w14:paraId="6EF07D21" w14:textId="77777777" w:rsidTr="00995243">
        <w:trPr>
          <w:trHeight w:val="315"/>
          <w:tblHeader/>
          <w:jc w:val="center"/>
        </w:trPr>
        <w:tc>
          <w:tcPr>
            <w:tcW w:w="3440" w:type="dxa"/>
            <w:shd w:val="clear" w:color="auto" w:fill="auto"/>
            <w:noWrap/>
            <w:vAlign w:val="bottom"/>
          </w:tcPr>
          <w:p w14:paraId="6B10EEC6" w14:textId="77777777" w:rsidR="00727F42" w:rsidRPr="00023B4C" w:rsidRDefault="00727F42" w:rsidP="00DB2320">
            <w:r w:rsidRPr="00023B4C">
              <w:t>Jihočeský</w:t>
            </w:r>
          </w:p>
        </w:tc>
        <w:tc>
          <w:tcPr>
            <w:tcW w:w="1900" w:type="dxa"/>
            <w:shd w:val="clear" w:color="auto" w:fill="auto"/>
            <w:noWrap/>
            <w:vAlign w:val="center"/>
          </w:tcPr>
          <w:p w14:paraId="03A513AD" w14:textId="77777777" w:rsidR="00727F42" w:rsidRPr="00023B4C" w:rsidRDefault="00727F42" w:rsidP="00DB2320">
            <w:pPr>
              <w:jc w:val="right"/>
            </w:pPr>
            <w:r w:rsidRPr="00023B4C">
              <w:t>191 993</w:t>
            </w:r>
          </w:p>
        </w:tc>
      </w:tr>
      <w:tr w:rsidR="00727F42" w:rsidRPr="00023B4C" w14:paraId="177CDC64" w14:textId="77777777" w:rsidTr="00995243">
        <w:trPr>
          <w:trHeight w:val="315"/>
          <w:tblHeader/>
          <w:jc w:val="center"/>
        </w:trPr>
        <w:tc>
          <w:tcPr>
            <w:tcW w:w="3440" w:type="dxa"/>
            <w:shd w:val="clear" w:color="auto" w:fill="auto"/>
            <w:noWrap/>
            <w:vAlign w:val="bottom"/>
          </w:tcPr>
          <w:p w14:paraId="1AFD5E6A" w14:textId="77777777" w:rsidR="00727F42" w:rsidRPr="00023B4C" w:rsidRDefault="00727F42" w:rsidP="00DB2320">
            <w:r w:rsidRPr="00023B4C">
              <w:t>Plzeňský</w:t>
            </w:r>
          </w:p>
        </w:tc>
        <w:tc>
          <w:tcPr>
            <w:tcW w:w="1900" w:type="dxa"/>
            <w:shd w:val="clear" w:color="auto" w:fill="auto"/>
            <w:noWrap/>
            <w:vAlign w:val="center"/>
          </w:tcPr>
          <w:p w14:paraId="051BD311" w14:textId="77777777" w:rsidR="00727F42" w:rsidRPr="00023B4C" w:rsidRDefault="00727F42" w:rsidP="00DB2320">
            <w:pPr>
              <w:jc w:val="right"/>
            </w:pPr>
            <w:r w:rsidRPr="00023B4C">
              <w:t>147 144</w:t>
            </w:r>
          </w:p>
        </w:tc>
      </w:tr>
      <w:tr w:rsidR="00727F42" w:rsidRPr="00023B4C" w14:paraId="0B9E4916" w14:textId="77777777" w:rsidTr="00995243">
        <w:trPr>
          <w:trHeight w:val="315"/>
          <w:tblHeader/>
          <w:jc w:val="center"/>
        </w:trPr>
        <w:tc>
          <w:tcPr>
            <w:tcW w:w="3440" w:type="dxa"/>
            <w:shd w:val="clear" w:color="auto" w:fill="auto"/>
            <w:noWrap/>
            <w:vAlign w:val="bottom"/>
          </w:tcPr>
          <w:p w14:paraId="2C1F980F" w14:textId="77777777" w:rsidR="00727F42" w:rsidRPr="00023B4C" w:rsidRDefault="00727F42" w:rsidP="00DB2320">
            <w:r w:rsidRPr="00023B4C">
              <w:t>Karlovarský</w:t>
            </w:r>
          </w:p>
        </w:tc>
        <w:tc>
          <w:tcPr>
            <w:tcW w:w="1900" w:type="dxa"/>
            <w:shd w:val="clear" w:color="auto" w:fill="auto"/>
            <w:noWrap/>
            <w:vAlign w:val="center"/>
          </w:tcPr>
          <w:p w14:paraId="531945F9" w14:textId="77777777" w:rsidR="00727F42" w:rsidRPr="00023B4C" w:rsidRDefault="00727F42" w:rsidP="00DB2320">
            <w:pPr>
              <w:jc w:val="right"/>
            </w:pPr>
            <w:r w:rsidRPr="00023B4C">
              <w:t>78 690</w:t>
            </w:r>
          </w:p>
        </w:tc>
      </w:tr>
      <w:tr w:rsidR="00727F42" w:rsidRPr="00023B4C" w14:paraId="7D156964" w14:textId="77777777" w:rsidTr="00995243">
        <w:trPr>
          <w:trHeight w:val="315"/>
          <w:tblHeader/>
          <w:jc w:val="center"/>
        </w:trPr>
        <w:tc>
          <w:tcPr>
            <w:tcW w:w="3440" w:type="dxa"/>
            <w:shd w:val="clear" w:color="auto" w:fill="auto"/>
            <w:noWrap/>
            <w:vAlign w:val="bottom"/>
          </w:tcPr>
          <w:p w14:paraId="52668C7C" w14:textId="77777777" w:rsidR="00727F42" w:rsidRPr="00023B4C" w:rsidRDefault="00727F42" w:rsidP="00DB2320">
            <w:r w:rsidRPr="00023B4C">
              <w:t>Ústecký</w:t>
            </w:r>
          </w:p>
        </w:tc>
        <w:tc>
          <w:tcPr>
            <w:tcW w:w="1900" w:type="dxa"/>
            <w:shd w:val="clear" w:color="auto" w:fill="auto"/>
            <w:noWrap/>
            <w:vAlign w:val="center"/>
          </w:tcPr>
          <w:p w14:paraId="4328536E" w14:textId="77777777" w:rsidR="00727F42" w:rsidRPr="00023B4C" w:rsidRDefault="00727F42" w:rsidP="00DB2320">
            <w:pPr>
              <w:jc w:val="right"/>
            </w:pPr>
            <w:r w:rsidRPr="00023B4C">
              <w:t>236 718</w:t>
            </w:r>
          </w:p>
        </w:tc>
      </w:tr>
      <w:tr w:rsidR="00727F42" w:rsidRPr="00023B4C" w14:paraId="33DD8EF6" w14:textId="77777777" w:rsidTr="00995243">
        <w:trPr>
          <w:trHeight w:val="315"/>
          <w:tblHeader/>
          <w:jc w:val="center"/>
        </w:trPr>
        <w:tc>
          <w:tcPr>
            <w:tcW w:w="3440" w:type="dxa"/>
            <w:shd w:val="clear" w:color="auto" w:fill="auto"/>
            <w:noWrap/>
            <w:vAlign w:val="bottom"/>
          </w:tcPr>
          <w:p w14:paraId="397917A4" w14:textId="77777777" w:rsidR="00727F42" w:rsidRPr="00023B4C" w:rsidRDefault="00727F42" w:rsidP="00DB2320">
            <w:r w:rsidRPr="00023B4C">
              <w:t>Liberecký</w:t>
            </w:r>
          </w:p>
        </w:tc>
        <w:tc>
          <w:tcPr>
            <w:tcW w:w="1900" w:type="dxa"/>
            <w:shd w:val="clear" w:color="auto" w:fill="auto"/>
            <w:noWrap/>
            <w:vAlign w:val="center"/>
          </w:tcPr>
          <w:p w14:paraId="758CC139" w14:textId="77777777" w:rsidR="00727F42" w:rsidRPr="00023B4C" w:rsidRDefault="00727F42" w:rsidP="00DB2320">
            <w:pPr>
              <w:jc w:val="right"/>
            </w:pPr>
            <w:r w:rsidRPr="00023B4C">
              <w:t>97 561</w:t>
            </w:r>
          </w:p>
        </w:tc>
      </w:tr>
      <w:tr w:rsidR="00727F42" w:rsidRPr="00023B4C" w14:paraId="68030B69" w14:textId="77777777" w:rsidTr="00995243">
        <w:trPr>
          <w:trHeight w:val="315"/>
          <w:tblHeader/>
          <w:jc w:val="center"/>
        </w:trPr>
        <w:tc>
          <w:tcPr>
            <w:tcW w:w="3440" w:type="dxa"/>
            <w:shd w:val="clear" w:color="auto" w:fill="auto"/>
            <w:noWrap/>
            <w:vAlign w:val="bottom"/>
          </w:tcPr>
          <w:p w14:paraId="55C23288" w14:textId="77777777" w:rsidR="00727F42" w:rsidRPr="00023B4C" w:rsidRDefault="00727F42" w:rsidP="00DB2320">
            <w:r w:rsidRPr="00023B4C">
              <w:t>Královéhradecký</w:t>
            </w:r>
          </w:p>
        </w:tc>
        <w:tc>
          <w:tcPr>
            <w:tcW w:w="1900" w:type="dxa"/>
            <w:shd w:val="clear" w:color="auto" w:fill="auto"/>
            <w:noWrap/>
            <w:vAlign w:val="center"/>
          </w:tcPr>
          <w:p w14:paraId="161969F8" w14:textId="77777777" w:rsidR="00727F42" w:rsidRPr="00023B4C" w:rsidRDefault="00727F42" w:rsidP="00DB2320">
            <w:pPr>
              <w:jc w:val="right"/>
            </w:pPr>
            <w:r w:rsidRPr="00023B4C">
              <w:t>277 153</w:t>
            </w:r>
          </w:p>
        </w:tc>
      </w:tr>
      <w:tr w:rsidR="00727F42" w:rsidRPr="00023B4C" w14:paraId="33C15061" w14:textId="77777777" w:rsidTr="00995243">
        <w:trPr>
          <w:trHeight w:val="315"/>
          <w:tblHeader/>
          <w:jc w:val="center"/>
        </w:trPr>
        <w:tc>
          <w:tcPr>
            <w:tcW w:w="3440" w:type="dxa"/>
            <w:shd w:val="clear" w:color="auto" w:fill="auto"/>
            <w:noWrap/>
            <w:vAlign w:val="bottom"/>
          </w:tcPr>
          <w:p w14:paraId="57D99D73" w14:textId="77777777" w:rsidR="00727F42" w:rsidRPr="00023B4C" w:rsidRDefault="00727F42" w:rsidP="00DB2320">
            <w:r w:rsidRPr="00023B4C">
              <w:t>Pardubický</w:t>
            </w:r>
          </w:p>
        </w:tc>
        <w:tc>
          <w:tcPr>
            <w:tcW w:w="1900" w:type="dxa"/>
            <w:shd w:val="clear" w:color="auto" w:fill="auto"/>
            <w:noWrap/>
            <w:vAlign w:val="center"/>
          </w:tcPr>
          <w:p w14:paraId="527A2A9B" w14:textId="77777777" w:rsidR="00727F42" w:rsidRPr="00023B4C" w:rsidRDefault="00727F42" w:rsidP="00DB2320">
            <w:pPr>
              <w:jc w:val="right"/>
            </w:pPr>
            <w:r w:rsidRPr="00023B4C">
              <w:t>147 381</w:t>
            </w:r>
          </w:p>
        </w:tc>
      </w:tr>
      <w:tr w:rsidR="00727F42" w:rsidRPr="00023B4C" w14:paraId="2F9F7ABB" w14:textId="77777777" w:rsidTr="00995243">
        <w:trPr>
          <w:trHeight w:val="315"/>
          <w:tblHeader/>
          <w:jc w:val="center"/>
        </w:trPr>
        <w:tc>
          <w:tcPr>
            <w:tcW w:w="3440" w:type="dxa"/>
            <w:shd w:val="clear" w:color="auto" w:fill="auto"/>
            <w:noWrap/>
            <w:vAlign w:val="bottom"/>
          </w:tcPr>
          <w:p w14:paraId="1A356B70" w14:textId="77777777" w:rsidR="00727F42" w:rsidRPr="00023B4C" w:rsidRDefault="00727F42" w:rsidP="00DB2320">
            <w:r w:rsidRPr="00023B4C">
              <w:t>Vysočina</w:t>
            </w:r>
          </w:p>
        </w:tc>
        <w:tc>
          <w:tcPr>
            <w:tcW w:w="1900" w:type="dxa"/>
            <w:shd w:val="clear" w:color="auto" w:fill="auto"/>
            <w:noWrap/>
            <w:vAlign w:val="center"/>
          </w:tcPr>
          <w:p w14:paraId="0E676522" w14:textId="77777777" w:rsidR="00727F42" w:rsidRPr="00023B4C" w:rsidRDefault="00727F42" w:rsidP="00DB2320">
            <w:pPr>
              <w:jc w:val="right"/>
            </w:pPr>
            <w:r w:rsidRPr="00023B4C">
              <w:t>134 000</w:t>
            </w:r>
          </w:p>
        </w:tc>
      </w:tr>
      <w:tr w:rsidR="00727F42" w:rsidRPr="00023B4C" w14:paraId="54338610" w14:textId="77777777" w:rsidTr="00995243">
        <w:trPr>
          <w:trHeight w:val="315"/>
          <w:tblHeader/>
          <w:jc w:val="center"/>
        </w:trPr>
        <w:tc>
          <w:tcPr>
            <w:tcW w:w="3440" w:type="dxa"/>
            <w:shd w:val="clear" w:color="auto" w:fill="auto"/>
            <w:noWrap/>
            <w:vAlign w:val="bottom"/>
          </w:tcPr>
          <w:p w14:paraId="14342650" w14:textId="77777777" w:rsidR="00727F42" w:rsidRPr="00023B4C" w:rsidRDefault="00727F42" w:rsidP="00DB2320">
            <w:r w:rsidRPr="00023B4C">
              <w:t>Jihomoravský</w:t>
            </w:r>
          </w:p>
        </w:tc>
        <w:tc>
          <w:tcPr>
            <w:tcW w:w="1900" w:type="dxa"/>
            <w:shd w:val="clear" w:color="auto" w:fill="auto"/>
            <w:noWrap/>
            <w:vAlign w:val="center"/>
          </w:tcPr>
          <w:p w14:paraId="2FAE7E64" w14:textId="77777777" w:rsidR="00727F42" w:rsidRPr="00023B4C" w:rsidRDefault="00727F42" w:rsidP="00DB2320">
            <w:pPr>
              <w:jc w:val="right"/>
            </w:pPr>
            <w:r w:rsidRPr="00023B4C">
              <w:t>277 114</w:t>
            </w:r>
          </w:p>
        </w:tc>
      </w:tr>
      <w:tr w:rsidR="00727F42" w:rsidRPr="00023B4C" w14:paraId="3BB174A0" w14:textId="77777777" w:rsidTr="00995243">
        <w:trPr>
          <w:trHeight w:val="315"/>
          <w:tblHeader/>
          <w:jc w:val="center"/>
        </w:trPr>
        <w:tc>
          <w:tcPr>
            <w:tcW w:w="3440" w:type="dxa"/>
            <w:shd w:val="clear" w:color="auto" w:fill="auto"/>
            <w:noWrap/>
            <w:vAlign w:val="bottom"/>
          </w:tcPr>
          <w:p w14:paraId="57AAF571" w14:textId="77777777" w:rsidR="00727F42" w:rsidRPr="00023B4C" w:rsidRDefault="00727F42" w:rsidP="00DB2320">
            <w:r w:rsidRPr="00023B4C">
              <w:t>Olomoucký</w:t>
            </w:r>
          </w:p>
        </w:tc>
        <w:tc>
          <w:tcPr>
            <w:tcW w:w="1900" w:type="dxa"/>
            <w:shd w:val="clear" w:color="auto" w:fill="auto"/>
            <w:noWrap/>
            <w:vAlign w:val="center"/>
          </w:tcPr>
          <w:p w14:paraId="5496E3E4" w14:textId="77777777" w:rsidR="00727F42" w:rsidRPr="00023B4C" w:rsidRDefault="00727F42" w:rsidP="00DB2320">
            <w:pPr>
              <w:jc w:val="right"/>
            </w:pPr>
            <w:r w:rsidRPr="00023B4C">
              <w:t xml:space="preserve">227 043 </w:t>
            </w:r>
          </w:p>
        </w:tc>
      </w:tr>
      <w:tr w:rsidR="00727F42" w:rsidRPr="00023B4C" w14:paraId="652DCAE1" w14:textId="77777777" w:rsidTr="00995243">
        <w:trPr>
          <w:trHeight w:val="315"/>
          <w:tblHeader/>
          <w:jc w:val="center"/>
        </w:trPr>
        <w:tc>
          <w:tcPr>
            <w:tcW w:w="3440" w:type="dxa"/>
            <w:shd w:val="clear" w:color="auto" w:fill="auto"/>
            <w:noWrap/>
            <w:vAlign w:val="bottom"/>
          </w:tcPr>
          <w:p w14:paraId="21D3ECF4" w14:textId="77777777" w:rsidR="00727F42" w:rsidRPr="00023B4C" w:rsidRDefault="00727F42" w:rsidP="00DB2320">
            <w:r w:rsidRPr="00023B4C">
              <w:t>Zlínský</w:t>
            </w:r>
          </w:p>
        </w:tc>
        <w:tc>
          <w:tcPr>
            <w:tcW w:w="1900" w:type="dxa"/>
            <w:shd w:val="clear" w:color="auto" w:fill="auto"/>
            <w:noWrap/>
            <w:vAlign w:val="center"/>
          </w:tcPr>
          <w:p w14:paraId="5A360369" w14:textId="77777777" w:rsidR="00727F42" w:rsidRPr="00023B4C" w:rsidRDefault="00727F42" w:rsidP="00DB2320">
            <w:pPr>
              <w:jc w:val="right"/>
            </w:pPr>
            <w:r w:rsidRPr="00023B4C">
              <w:t>98 926</w:t>
            </w:r>
          </w:p>
        </w:tc>
      </w:tr>
      <w:tr w:rsidR="00727F42" w:rsidRPr="00023B4C" w14:paraId="06DB7D6E" w14:textId="77777777" w:rsidTr="00995243">
        <w:trPr>
          <w:trHeight w:val="315"/>
          <w:tblHeader/>
          <w:jc w:val="center"/>
        </w:trPr>
        <w:tc>
          <w:tcPr>
            <w:tcW w:w="3440" w:type="dxa"/>
            <w:shd w:val="clear" w:color="auto" w:fill="auto"/>
            <w:noWrap/>
            <w:vAlign w:val="bottom"/>
          </w:tcPr>
          <w:p w14:paraId="28CCFD9F" w14:textId="77777777" w:rsidR="00727F42" w:rsidRPr="00023B4C" w:rsidRDefault="00727F42" w:rsidP="00DB2320">
            <w:r w:rsidRPr="00023B4C">
              <w:t>Moravskoslezský</w:t>
            </w:r>
          </w:p>
        </w:tc>
        <w:tc>
          <w:tcPr>
            <w:tcW w:w="1900" w:type="dxa"/>
            <w:shd w:val="clear" w:color="auto" w:fill="auto"/>
            <w:noWrap/>
            <w:vAlign w:val="center"/>
          </w:tcPr>
          <w:p w14:paraId="5B2A751B" w14:textId="77777777" w:rsidR="00727F42" w:rsidRPr="00023B4C" w:rsidRDefault="00727F42" w:rsidP="00DB2320">
            <w:pPr>
              <w:jc w:val="right"/>
            </w:pPr>
            <w:r w:rsidRPr="00023B4C">
              <w:t>216 176</w:t>
            </w:r>
          </w:p>
        </w:tc>
      </w:tr>
      <w:tr w:rsidR="00727F42" w:rsidRPr="00023B4C" w14:paraId="2E192A7C" w14:textId="77777777" w:rsidTr="00995243">
        <w:trPr>
          <w:trHeight w:val="315"/>
          <w:tblHeader/>
          <w:jc w:val="center"/>
        </w:trPr>
        <w:tc>
          <w:tcPr>
            <w:tcW w:w="3440" w:type="dxa"/>
            <w:shd w:val="clear" w:color="auto" w:fill="auto"/>
            <w:noWrap/>
            <w:vAlign w:val="bottom"/>
          </w:tcPr>
          <w:p w14:paraId="2D6798AA" w14:textId="77777777" w:rsidR="00727F42" w:rsidRPr="00023B4C" w:rsidRDefault="00727F42" w:rsidP="00DB2320">
            <w:pPr>
              <w:rPr>
                <w:b/>
                <w:bCs/>
              </w:rPr>
            </w:pPr>
            <w:r w:rsidRPr="00023B4C">
              <w:rPr>
                <w:b/>
                <w:bCs/>
              </w:rPr>
              <w:t>C e l k e m  k r a j e</w:t>
            </w:r>
          </w:p>
        </w:tc>
        <w:tc>
          <w:tcPr>
            <w:tcW w:w="1900" w:type="dxa"/>
            <w:shd w:val="clear" w:color="auto" w:fill="auto"/>
            <w:noWrap/>
            <w:vAlign w:val="center"/>
          </w:tcPr>
          <w:p w14:paraId="7A5871F8" w14:textId="77777777" w:rsidR="00727F42" w:rsidRPr="00023B4C" w:rsidRDefault="00727F42" w:rsidP="00DB2320">
            <w:pPr>
              <w:jc w:val="right"/>
              <w:rPr>
                <w:b/>
                <w:bCs/>
              </w:rPr>
            </w:pPr>
            <w:r w:rsidRPr="00023B4C">
              <w:rPr>
                <w:b/>
                <w:bCs/>
              </w:rPr>
              <w:t>2 645 159</w:t>
            </w:r>
          </w:p>
        </w:tc>
      </w:tr>
      <w:tr w:rsidR="00727F42" w:rsidRPr="00023B4C" w14:paraId="3CD6D441" w14:textId="77777777" w:rsidTr="00995243">
        <w:trPr>
          <w:trHeight w:val="315"/>
          <w:tblHeader/>
          <w:jc w:val="center"/>
        </w:trPr>
        <w:tc>
          <w:tcPr>
            <w:tcW w:w="3440" w:type="dxa"/>
            <w:shd w:val="clear" w:color="auto" w:fill="auto"/>
            <w:noWrap/>
            <w:vAlign w:val="bottom"/>
          </w:tcPr>
          <w:p w14:paraId="2A3A2BA6" w14:textId="77777777" w:rsidR="00727F42" w:rsidRPr="002779EF" w:rsidRDefault="00727F42" w:rsidP="00DB2320">
            <w:r w:rsidRPr="002779EF">
              <w:t>Praha</w:t>
            </w:r>
          </w:p>
        </w:tc>
        <w:tc>
          <w:tcPr>
            <w:tcW w:w="1900" w:type="dxa"/>
            <w:shd w:val="clear" w:color="auto" w:fill="auto"/>
            <w:noWrap/>
            <w:vAlign w:val="center"/>
          </w:tcPr>
          <w:p w14:paraId="14A9455E" w14:textId="77777777" w:rsidR="00727F42" w:rsidRPr="002779EF" w:rsidRDefault="00727F42" w:rsidP="00DB2320">
            <w:pPr>
              <w:jc w:val="right"/>
            </w:pPr>
            <w:r w:rsidRPr="002779EF">
              <w:t>223 811</w:t>
            </w:r>
          </w:p>
        </w:tc>
      </w:tr>
      <w:tr w:rsidR="00727F42" w:rsidRPr="00023B4C" w14:paraId="7AB5DF7D" w14:textId="77777777" w:rsidTr="00995243">
        <w:trPr>
          <w:trHeight w:val="315"/>
          <w:tblHeader/>
          <w:jc w:val="center"/>
        </w:trPr>
        <w:tc>
          <w:tcPr>
            <w:tcW w:w="3440" w:type="dxa"/>
            <w:shd w:val="clear" w:color="auto" w:fill="auto"/>
            <w:noWrap/>
            <w:vAlign w:val="bottom"/>
          </w:tcPr>
          <w:p w14:paraId="1899A8CB" w14:textId="77777777" w:rsidR="00727F42" w:rsidRPr="00023B4C" w:rsidRDefault="00727F42" w:rsidP="00DB2320">
            <w:pPr>
              <w:rPr>
                <w:b/>
                <w:bCs/>
              </w:rPr>
            </w:pPr>
            <w:r w:rsidRPr="00023B4C">
              <w:rPr>
                <w:b/>
                <w:bCs/>
              </w:rPr>
              <w:t xml:space="preserve">C e l k e m   </w:t>
            </w:r>
          </w:p>
        </w:tc>
        <w:tc>
          <w:tcPr>
            <w:tcW w:w="1900" w:type="dxa"/>
            <w:shd w:val="clear" w:color="auto" w:fill="auto"/>
            <w:noWrap/>
            <w:vAlign w:val="center"/>
          </w:tcPr>
          <w:p w14:paraId="59ED2BCB" w14:textId="77777777" w:rsidR="00727F42" w:rsidRPr="00023B4C" w:rsidRDefault="00727F42" w:rsidP="00DB2320">
            <w:pPr>
              <w:jc w:val="right"/>
              <w:rPr>
                <w:b/>
                <w:bCs/>
              </w:rPr>
            </w:pPr>
            <w:r w:rsidRPr="00023B4C">
              <w:rPr>
                <w:b/>
                <w:bCs/>
              </w:rPr>
              <w:t>2 868 970</w:t>
            </w:r>
          </w:p>
        </w:tc>
      </w:tr>
    </w:tbl>
    <w:p w14:paraId="2E4BA8F6" w14:textId="4E9C70D8" w:rsidR="00ED1147" w:rsidRPr="00727F42" w:rsidRDefault="00AE353C" w:rsidP="00AE353C">
      <w:pPr>
        <w:pStyle w:val="Titulek"/>
        <w:rPr>
          <w:rStyle w:val="Siln"/>
        </w:rPr>
      </w:pPr>
      <w:bookmarkStart w:id="393" w:name="_Toc34288683"/>
      <w:r w:rsidRPr="00727F42">
        <w:lastRenderedPageBreak/>
        <w:t xml:space="preserve">Graf č. </w:t>
      </w:r>
      <w:r w:rsidR="00A65941" w:rsidRPr="00727F42">
        <w:rPr>
          <w:noProof/>
        </w:rPr>
        <w:fldChar w:fldCharType="begin"/>
      </w:r>
      <w:r w:rsidR="00A65941" w:rsidRPr="00727F42">
        <w:rPr>
          <w:noProof/>
        </w:rPr>
        <w:instrText xml:space="preserve"> SEQ Graf_č. \* ARABIC </w:instrText>
      </w:r>
      <w:r w:rsidR="00A65941" w:rsidRPr="00727F42">
        <w:rPr>
          <w:noProof/>
        </w:rPr>
        <w:fldChar w:fldCharType="separate"/>
      </w:r>
      <w:r w:rsidR="00DF450F">
        <w:rPr>
          <w:noProof/>
        </w:rPr>
        <w:t>16</w:t>
      </w:r>
      <w:r w:rsidR="00A65941" w:rsidRPr="00727F42">
        <w:rPr>
          <w:noProof/>
        </w:rPr>
        <w:fldChar w:fldCharType="end"/>
      </w:r>
      <w:r w:rsidR="00ED1147" w:rsidRPr="00727F42">
        <w:rPr>
          <w:rStyle w:val="Siln"/>
        </w:rPr>
        <w:t xml:space="preserve">:  </w:t>
      </w:r>
      <w:r w:rsidR="00ED1147" w:rsidRPr="00727F42">
        <w:rPr>
          <w:rStyle w:val="Siln"/>
          <w:b/>
        </w:rPr>
        <w:t>Rozdělení prostředků mezi jednotlivé kraje</w:t>
      </w:r>
      <w:r w:rsidR="008C14BB" w:rsidRPr="00727F42">
        <w:rPr>
          <w:rStyle w:val="Siln"/>
          <w:b/>
        </w:rPr>
        <w:t xml:space="preserve"> a hl. m. Prahu (tis. Kč)</w:t>
      </w:r>
      <w:bookmarkEnd w:id="393"/>
    </w:p>
    <w:p w14:paraId="279DA43C" w14:textId="77777777" w:rsidR="002559A7" w:rsidRDefault="00E51501" w:rsidP="004D68FC">
      <w:pPr>
        <w:rPr>
          <w:color w:val="FF0000"/>
        </w:rPr>
      </w:pPr>
      <w:r w:rsidRPr="004B11AC">
        <w:rPr>
          <w:noProof/>
          <w:color w:val="FF0000"/>
        </w:rPr>
        <w:drawing>
          <wp:inline distT="0" distB="0" distL="0" distR="0" wp14:anchorId="0E172488" wp14:editId="28E120B7">
            <wp:extent cx="5486400" cy="2216506"/>
            <wp:effectExtent l="0" t="0" r="0" b="0"/>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65B2547B" w14:textId="77777777" w:rsidR="00AC5B20" w:rsidRPr="007A7824" w:rsidRDefault="00AC5B20" w:rsidP="00AC5B20">
      <w:pPr>
        <w:pStyle w:val="komnadp4"/>
        <w:keepLines w:val="0"/>
        <w:numPr>
          <w:ilvl w:val="0"/>
          <w:numId w:val="79"/>
        </w:numPr>
        <w:spacing w:line="240" w:lineRule="auto"/>
        <w:ind w:left="1134" w:hanging="1134"/>
        <w:rPr>
          <w:bCs/>
        </w:rPr>
      </w:pPr>
      <w:r w:rsidRPr="007A7824">
        <w:rPr>
          <w:bCs/>
        </w:rPr>
        <w:t xml:space="preserve">Financování </w:t>
      </w:r>
      <w:r w:rsidRPr="007A7824">
        <w:t>závazků veřejné služby v autobusové dopravě</w:t>
      </w:r>
    </w:p>
    <w:p w14:paraId="055FE5DA" w14:textId="77777777" w:rsidR="00AC5B20" w:rsidRPr="007A7824" w:rsidRDefault="00AC5B20" w:rsidP="00AC5B20">
      <w:pPr>
        <w:pStyle w:val="KOMtext"/>
        <w:tabs>
          <w:tab w:val="left" w:pos="0"/>
        </w:tabs>
        <w:spacing w:before="240"/>
      </w:pPr>
      <w:r w:rsidRPr="007A7824">
        <w:t xml:space="preserve">Usnesením vlády ze dne 26. srpna 2019 č. 590bylo uloženo ministrovu dopravy poskytnout z kapitoly 327 – Ministerstvo dopravy Jihomoravskému kraji dotaci ve výši 100 000 tis. Kč na úhradu navýšených nákladů veřejných služeb v autobusové dopravě. Tyto prostředky byly příjemci poskytnuty ve IV. čtvrtletí 2019 v plném rozsahu. </w:t>
      </w:r>
    </w:p>
    <w:p w14:paraId="7E08CEC0" w14:textId="77777777" w:rsidR="00AC5B20" w:rsidRPr="00BC4FB1" w:rsidRDefault="00AC5B20" w:rsidP="00AC5B20">
      <w:pPr>
        <w:pStyle w:val="KOMtext"/>
        <w:keepLines w:val="0"/>
        <w:numPr>
          <w:ilvl w:val="0"/>
          <w:numId w:val="95"/>
        </w:numPr>
        <w:tabs>
          <w:tab w:val="left" w:pos="1276"/>
        </w:tabs>
        <w:spacing w:before="240" w:line="240" w:lineRule="auto"/>
        <w:ind w:left="142" w:hanging="142"/>
        <w:rPr>
          <w:b/>
        </w:rPr>
      </w:pPr>
      <w:r w:rsidRPr="00BC4FB1">
        <w:rPr>
          <w:b/>
        </w:rPr>
        <w:t>Ochrana měkkých cílů</w:t>
      </w:r>
    </w:p>
    <w:p w14:paraId="32F08CD1" w14:textId="77777777" w:rsidR="00AC5B20" w:rsidRDefault="00AC5B20" w:rsidP="00AC5B20">
      <w:pPr>
        <w:pStyle w:val="KOMtext"/>
      </w:pPr>
      <w:r w:rsidRPr="007A7824">
        <w:t>Usnesením vlády ze dne 24. července 2017 č. 527 bylo navrženo zřízení dotačních programů za účelem zvýšení ochrany měkkých cílů. V rámci kapitoly 327 Ministerstvo dopravy jsou na daný účel rozpočtovány finanční prostředky ve výši 10 000 tis. Kč. Finanční prostředky na daný program nebyly čerpány.</w:t>
      </w:r>
    </w:p>
    <w:p w14:paraId="51570B83" w14:textId="07009C8A" w:rsidR="005D0D4B" w:rsidRPr="004B11AC" w:rsidRDefault="005D0D4B" w:rsidP="005D0D4B">
      <w:pPr>
        <w:pStyle w:val="Znormal"/>
        <w:ind w:firstLine="0"/>
        <w:rPr>
          <w:color w:val="FF0000"/>
        </w:rPr>
      </w:pPr>
      <w:r w:rsidRPr="00896441">
        <w:rPr>
          <w:u w:val="single"/>
        </w:rPr>
        <w:t xml:space="preserve">Porovnání neinvestičních transferů veřejným rozpočtům územní úrovně ve vývojové řadě </w:t>
      </w:r>
      <w:r w:rsidR="00D3113A">
        <w:rPr>
          <w:u w:val="single"/>
        </w:rPr>
        <w:br/>
      </w:r>
      <w:r w:rsidR="00896441" w:rsidRPr="00896441">
        <w:rPr>
          <w:u w:val="single"/>
        </w:rPr>
        <w:t>2015</w:t>
      </w:r>
      <w:r w:rsidRPr="00896441">
        <w:rPr>
          <w:u w:val="single"/>
        </w:rPr>
        <w:t xml:space="preserve"> – 201</w:t>
      </w:r>
      <w:r w:rsidR="00896441" w:rsidRPr="00896441">
        <w:rPr>
          <w:u w:val="single"/>
        </w:rPr>
        <w:t>9</w:t>
      </w:r>
      <w:r w:rsidRPr="00896441">
        <w:t xml:space="preserve"> v rozdělení na obce a kraje:</w:t>
      </w:r>
    </w:p>
    <w:p w14:paraId="13617569" w14:textId="77777777" w:rsidR="005D0D4B" w:rsidRPr="00896441" w:rsidRDefault="005D0D4B" w:rsidP="00DB2320">
      <w:pPr>
        <w:keepNext/>
        <w:ind w:left="357" w:right="1"/>
        <w:jc w:val="right"/>
      </w:pPr>
      <w:r w:rsidRPr="00896441">
        <w:t>v tis.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1152"/>
        <w:gridCol w:w="1152"/>
        <w:gridCol w:w="1152"/>
        <w:gridCol w:w="1152"/>
        <w:gridCol w:w="1152"/>
      </w:tblGrid>
      <w:tr w:rsidR="00727F42" w:rsidRPr="004B11AC" w14:paraId="1C01D797" w14:textId="77777777" w:rsidTr="00251B76">
        <w:trPr>
          <w:tblHeader/>
        </w:trPr>
        <w:tc>
          <w:tcPr>
            <w:tcW w:w="3420" w:type="dxa"/>
          </w:tcPr>
          <w:p w14:paraId="1CE2084D" w14:textId="77777777" w:rsidR="00727F42" w:rsidRPr="00896441" w:rsidRDefault="00727F42" w:rsidP="005D0D4B">
            <w:pPr>
              <w:jc w:val="center"/>
              <w:rPr>
                <w:sz w:val="22"/>
              </w:rPr>
            </w:pPr>
          </w:p>
          <w:p w14:paraId="26652C92" w14:textId="77777777" w:rsidR="00727F42" w:rsidRPr="00896441" w:rsidRDefault="00727F42" w:rsidP="005D0D4B">
            <w:pPr>
              <w:jc w:val="center"/>
              <w:rPr>
                <w:sz w:val="22"/>
              </w:rPr>
            </w:pPr>
            <w:r w:rsidRPr="00896441">
              <w:rPr>
                <w:sz w:val="22"/>
              </w:rPr>
              <w:t>Ukazatel</w:t>
            </w:r>
          </w:p>
        </w:tc>
        <w:tc>
          <w:tcPr>
            <w:tcW w:w="1152" w:type="dxa"/>
            <w:vAlign w:val="center"/>
          </w:tcPr>
          <w:p w14:paraId="126B922B" w14:textId="77777777" w:rsidR="00727F42" w:rsidRPr="00896441" w:rsidRDefault="00727F42" w:rsidP="005D0D4B">
            <w:pPr>
              <w:jc w:val="center"/>
              <w:rPr>
                <w:sz w:val="22"/>
              </w:rPr>
            </w:pPr>
            <w:r w:rsidRPr="00896441">
              <w:rPr>
                <w:sz w:val="22"/>
              </w:rPr>
              <w:t>Skutečnost</w:t>
            </w:r>
          </w:p>
          <w:p w14:paraId="43D326C8" w14:textId="77777777" w:rsidR="00727F42" w:rsidRPr="00896441" w:rsidRDefault="00727F42" w:rsidP="005D0D4B">
            <w:pPr>
              <w:jc w:val="center"/>
              <w:rPr>
                <w:sz w:val="22"/>
              </w:rPr>
            </w:pPr>
            <w:r w:rsidRPr="00896441">
              <w:rPr>
                <w:sz w:val="22"/>
              </w:rPr>
              <w:t>2015</w:t>
            </w:r>
          </w:p>
        </w:tc>
        <w:tc>
          <w:tcPr>
            <w:tcW w:w="1152" w:type="dxa"/>
            <w:vAlign w:val="center"/>
          </w:tcPr>
          <w:p w14:paraId="1683921D" w14:textId="77777777" w:rsidR="00727F42" w:rsidRPr="00896441" w:rsidRDefault="00727F42" w:rsidP="005D0D4B">
            <w:pPr>
              <w:jc w:val="center"/>
              <w:rPr>
                <w:sz w:val="22"/>
              </w:rPr>
            </w:pPr>
            <w:r w:rsidRPr="00896441">
              <w:rPr>
                <w:sz w:val="22"/>
              </w:rPr>
              <w:t>Skutečnost</w:t>
            </w:r>
          </w:p>
          <w:p w14:paraId="508912A3" w14:textId="77777777" w:rsidR="00727F42" w:rsidRPr="00896441" w:rsidRDefault="00727F42" w:rsidP="005D0D4B">
            <w:pPr>
              <w:jc w:val="center"/>
              <w:rPr>
                <w:sz w:val="22"/>
              </w:rPr>
            </w:pPr>
            <w:r w:rsidRPr="00896441">
              <w:rPr>
                <w:sz w:val="22"/>
              </w:rPr>
              <w:t>2016</w:t>
            </w:r>
          </w:p>
        </w:tc>
        <w:tc>
          <w:tcPr>
            <w:tcW w:w="1152" w:type="dxa"/>
            <w:vAlign w:val="center"/>
          </w:tcPr>
          <w:p w14:paraId="359CE895" w14:textId="77777777" w:rsidR="00727F42" w:rsidRPr="00896441" w:rsidRDefault="00727F42" w:rsidP="005D0D4B">
            <w:pPr>
              <w:jc w:val="center"/>
              <w:rPr>
                <w:sz w:val="22"/>
              </w:rPr>
            </w:pPr>
            <w:r w:rsidRPr="00896441">
              <w:rPr>
                <w:sz w:val="22"/>
              </w:rPr>
              <w:t>Skutečnost</w:t>
            </w:r>
          </w:p>
          <w:p w14:paraId="5F936F26" w14:textId="77777777" w:rsidR="00727F42" w:rsidRPr="00896441" w:rsidRDefault="00727F42" w:rsidP="005D0D4B">
            <w:pPr>
              <w:jc w:val="center"/>
              <w:rPr>
                <w:sz w:val="22"/>
              </w:rPr>
            </w:pPr>
            <w:r w:rsidRPr="00896441">
              <w:rPr>
                <w:sz w:val="22"/>
              </w:rPr>
              <w:t>2017</w:t>
            </w:r>
          </w:p>
        </w:tc>
        <w:tc>
          <w:tcPr>
            <w:tcW w:w="1152" w:type="dxa"/>
            <w:vAlign w:val="center"/>
          </w:tcPr>
          <w:p w14:paraId="361BE889" w14:textId="77777777" w:rsidR="00727F42" w:rsidRPr="00896441" w:rsidRDefault="00727F42" w:rsidP="005D0D4B">
            <w:pPr>
              <w:jc w:val="center"/>
              <w:rPr>
                <w:sz w:val="22"/>
              </w:rPr>
            </w:pPr>
            <w:r w:rsidRPr="00896441">
              <w:rPr>
                <w:sz w:val="22"/>
              </w:rPr>
              <w:t>Skutečnost</w:t>
            </w:r>
          </w:p>
          <w:p w14:paraId="67B4A08A" w14:textId="77777777" w:rsidR="00727F42" w:rsidRPr="00896441" w:rsidRDefault="00727F42" w:rsidP="005D0D4B">
            <w:pPr>
              <w:jc w:val="center"/>
              <w:rPr>
                <w:sz w:val="22"/>
              </w:rPr>
            </w:pPr>
            <w:r w:rsidRPr="00896441">
              <w:rPr>
                <w:sz w:val="22"/>
              </w:rPr>
              <w:t>2018</w:t>
            </w:r>
          </w:p>
        </w:tc>
        <w:tc>
          <w:tcPr>
            <w:tcW w:w="1152" w:type="dxa"/>
          </w:tcPr>
          <w:p w14:paraId="177FC6FF" w14:textId="77777777" w:rsidR="00727F42" w:rsidRPr="00896441" w:rsidRDefault="00727F42" w:rsidP="005D0D4B">
            <w:pPr>
              <w:jc w:val="center"/>
              <w:rPr>
                <w:sz w:val="22"/>
              </w:rPr>
            </w:pPr>
            <w:r w:rsidRPr="00896441">
              <w:rPr>
                <w:sz w:val="22"/>
              </w:rPr>
              <w:t>Skutečnost</w:t>
            </w:r>
            <w:r w:rsidRPr="00896441">
              <w:rPr>
                <w:sz w:val="22"/>
              </w:rPr>
              <w:br/>
              <w:t>2019</w:t>
            </w:r>
          </w:p>
        </w:tc>
      </w:tr>
      <w:tr w:rsidR="00727F42" w:rsidRPr="004B11AC" w14:paraId="61267099" w14:textId="77777777" w:rsidTr="00251B76">
        <w:trPr>
          <w:tblHeader/>
        </w:trPr>
        <w:tc>
          <w:tcPr>
            <w:tcW w:w="3420" w:type="dxa"/>
            <w:tcBorders>
              <w:bottom w:val="single" w:sz="4" w:space="0" w:color="auto"/>
            </w:tcBorders>
          </w:tcPr>
          <w:p w14:paraId="0DB8831E" w14:textId="77777777" w:rsidR="00727F42" w:rsidRPr="00896441" w:rsidRDefault="00727F42" w:rsidP="005D0D4B">
            <w:pPr>
              <w:jc w:val="center"/>
              <w:rPr>
                <w:sz w:val="22"/>
              </w:rPr>
            </w:pPr>
            <w:r w:rsidRPr="00896441">
              <w:rPr>
                <w:sz w:val="22"/>
              </w:rPr>
              <w:t>A</w:t>
            </w:r>
          </w:p>
        </w:tc>
        <w:tc>
          <w:tcPr>
            <w:tcW w:w="1152" w:type="dxa"/>
            <w:tcBorders>
              <w:bottom w:val="single" w:sz="4" w:space="0" w:color="auto"/>
            </w:tcBorders>
          </w:tcPr>
          <w:p w14:paraId="7A8ABF68" w14:textId="77777777" w:rsidR="00727F42" w:rsidRPr="00896441" w:rsidRDefault="00727F42" w:rsidP="005D0D4B">
            <w:pPr>
              <w:jc w:val="center"/>
              <w:rPr>
                <w:sz w:val="22"/>
              </w:rPr>
            </w:pPr>
            <w:r w:rsidRPr="00896441">
              <w:rPr>
                <w:sz w:val="22"/>
              </w:rPr>
              <w:t>1</w:t>
            </w:r>
          </w:p>
        </w:tc>
        <w:tc>
          <w:tcPr>
            <w:tcW w:w="1152" w:type="dxa"/>
            <w:tcBorders>
              <w:bottom w:val="single" w:sz="4" w:space="0" w:color="auto"/>
            </w:tcBorders>
          </w:tcPr>
          <w:p w14:paraId="37DDEABF" w14:textId="77777777" w:rsidR="00727F42" w:rsidRPr="00896441" w:rsidRDefault="00727F42" w:rsidP="005D0D4B">
            <w:pPr>
              <w:jc w:val="center"/>
              <w:rPr>
                <w:sz w:val="22"/>
              </w:rPr>
            </w:pPr>
            <w:r w:rsidRPr="00896441">
              <w:rPr>
                <w:sz w:val="22"/>
              </w:rPr>
              <w:t>2</w:t>
            </w:r>
          </w:p>
        </w:tc>
        <w:tc>
          <w:tcPr>
            <w:tcW w:w="1152" w:type="dxa"/>
            <w:tcBorders>
              <w:bottom w:val="single" w:sz="4" w:space="0" w:color="auto"/>
            </w:tcBorders>
          </w:tcPr>
          <w:p w14:paraId="578385DD" w14:textId="77777777" w:rsidR="00727F42" w:rsidRPr="00896441" w:rsidRDefault="00727F42" w:rsidP="005D0D4B">
            <w:pPr>
              <w:jc w:val="center"/>
              <w:rPr>
                <w:sz w:val="22"/>
              </w:rPr>
            </w:pPr>
            <w:r w:rsidRPr="00896441">
              <w:rPr>
                <w:sz w:val="22"/>
              </w:rPr>
              <w:t>3</w:t>
            </w:r>
          </w:p>
        </w:tc>
        <w:tc>
          <w:tcPr>
            <w:tcW w:w="1152" w:type="dxa"/>
            <w:tcBorders>
              <w:bottom w:val="single" w:sz="4" w:space="0" w:color="auto"/>
            </w:tcBorders>
          </w:tcPr>
          <w:p w14:paraId="6BB35F60" w14:textId="77777777" w:rsidR="00727F42" w:rsidRPr="00896441" w:rsidRDefault="00727F42" w:rsidP="005D0D4B">
            <w:pPr>
              <w:jc w:val="center"/>
              <w:rPr>
                <w:sz w:val="22"/>
              </w:rPr>
            </w:pPr>
            <w:r w:rsidRPr="00896441">
              <w:rPr>
                <w:sz w:val="22"/>
              </w:rPr>
              <w:t>4</w:t>
            </w:r>
          </w:p>
        </w:tc>
        <w:tc>
          <w:tcPr>
            <w:tcW w:w="1152" w:type="dxa"/>
            <w:tcBorders>
              <w:bottom w:val="single" w:sz="4" w:space="0" w:color="auto"/>
            </w:tcBorders>
          </w:tcPr>
          <w:p w14:paraId="5B5EDBE3" w14:textId="77777777" w:rsidR="00727F42" w:rsidRPr="00896441" w:rsidRDefault="00727F42" w:rsidP="005D0D4B">
            <w:pPr>
              <w:jc w:val="center"/>
              <w:rPr>
                <w:sz w:val="22"/>
              </w:rPr>
            </w:pPr>
            <w:r w:rsidRPr="00896441">
              <w:rPr>
                <w:sz w:val="22"/>
              </w:rPr>
              <w:t>5</w:t>
            </w:r>
          </w:p>
        </w:tc>
      </w:tr>
      <w:tr w:rsidR="00727F42" w:rsidRPr="004B11AC" w14:paraId="0A08FFE9" w14:textId="77777777" w:rsidTr="00251B76">
        <w:trPr>
          <w:trHeight w:val="388"/>
          <w:tblHeader/>
        </w:trPr>
        <w:tc>
          <w:tcPr>
            <w:tcW w:w="3420" w:type="dxa"/>
            <w:tcBorders>
              <w:top w:val="single" w:sz="4" w:space="0" w:color="auto"/>
              <w:left w:val="single" w:sz="4" w:space="0" w:color="auto"/>
              <w:bottom w:val="nil"/>
              <w:right w:val="single" w:sz="4" w:space="0" w:color="auto"/>
            </w:tcBorders>
          </w:tcPr>
          <w:p w14:paraId="1ABA9552" w14:textId="77777777" w:rsidR="00727F42" w:rsidRPr="00896441" w:rsidRDefault="00727F42" w:rsidP="005D0D4B">
            <w:pPr>
              <w:pStyle w:val="Zkladntext"/>
              <w:snapToGrid w:val="0"/>
              <w:jc w:val="left"/>
              <w:rPr>
                <w:b/>
                <w:bCs/>
                <w:sz w:val="20"/>
                <w:szCs w:val="20"/>
              </w:rPr>
            </w:pPr>
            <w:r w:rsidRPr="00896441">
              <w:rPr>
                <w:b/>
                <w:bCs/>
                <w:sz w:val="20"/>
                <w:szCs w:val="20"/>
              </w:rPr>
              <w:t>Veřejné rozpočty územní úrovně</w:t>
            </w:r>
          </w:p>
          <w:p w14:paraId="02FF284F" w14:textId="77777777" w:rsidR="00727F42" w:rsidRPr="00896441" w:rsidRDefault="00727F42" w:rsidP="005D0D4B">
            <w:pPr>
              <w:rPr>
                <w:sz w:val="20"/>
                <w:szCs w:val="20"/>
              </w:rPr>
            </w:pPr>
            <w:r w:rsidRPr="00896441">
              <w:rPr>
                <w:sz w:val="20"/>
                <w:szCs w:val="20"/>
              </w:rPr>
              <w:t xml:space="preserve">v tom: </w:t>
            </w:r>
          </w:p>
        </w:tc>
        <w:tc>
          <w:tcPr>
            <w:tcW w:w="1152" w:type="dxa"/>
            <w:tcBorders>
              <w:top w:val="single" w:sz="4" w:space="0" w:color="auto"/>
              <w:left w:val="single" w:sz="4" w:space="0" w:color="auto"/>
              <w:bottom w:val="nil"/>
              <w:right w:val="single" w:sz="4" w:space="0" w:color="auto"/>
            </w:tcBorders>
          </w:tcPr>
          <w:p w14:paraId="11BA170C" w14:textId="77777777" w:rsidR="00727F42" w:rsidRPr="00896441" w:rsidRDefault="00727F42" w:rsidP="005D0D4B">
            <w:pPr>
              <w:snapToGrid w:val="0"/>
              <w:spacing w:before="120"/>
              <w:jc w:val="right"/>
              <w:rPr>
                <w:b/>
                <w:bCs/>
                <w:sz w:val="20"/>
              </w:rPr>
            </w:pPr>
            <w:r w:rsidRPr="00896441">
              <w:rPr>
                <w:b/>
                <w:bCs/>
                <w:sz w:val="20"/>
              </w:rPr>
              <w:t>2 782 497</w:t>
            </w:r>
          </w:p>
        </w:tc>
        <w:tc>
          <w:tcPr>
            <w:tcW w:w="1152" w:type="dxa"/>
            <w:tcBorders>
              <w:top w:val="single" w:sz="4" w:space="0" w:color="auto"/>
              <w:left w:val="single" w:sz="4" w:space="0" w:color="auto"/>
              <w:bottom w:val="nil"/>
              <w:right w:val="single" w:sz="4" w:space="0" w:color="auto"/>
            </w:tcBorders>
          </w:tcPr>
          <w:p w14:paraId="2B12F19E" w14:textId="77777777" w:rsidR="00727F42" w:rsidRPr="00896441" w:rsidRDefault="00727F42" w:rsidP="005D0D4B">
            <w:pPr>
              <w:snapToGrid w:val="0"/>
              <w:spacing w:before="120"/>
              <w:jc w:val="right"/>
              <w:rPr>
                <w:b/>
                <w:bCs/>
                <w:sz w:val="20"/>
              </w:rPr>
            </w:pPr>
            <w:r w:rsidRPr="00896441">
              <w:rPr>
                <w:b/>
                <w:bCs/>
                <w:sz w:val="20"/>
              </w:rPr>
              <w:t>2 771 139</w:t>
            </w:r>
          </w:p>
        </w:tc>
        <w:tc>
          <w:tcPr>
            <w:tcW w:w="1152" w:type="dxa"/>
            <w:tcBorders>
              <w:top w:val="single" w:sz="4" w:space="0" w:color="auto"/>
              <w:left w:val="single" w:sz="4" w:space="0" w:color="auto"/>
              <w:bottom w:val="nil"/>
              <w:right w:val="single" w:sz="4" w:space="0" w:color="auto"/>
            </w:tcBorders>
          </w:tcPr>
          <w:p w14:paraId="10CC051B" w14:textId="77777777" w:rsidR="00727F42" w:rsidRPr="00896441" w:rsidRDefault="00727F42" w:rsidP="005D0D4B">
            <w:pPr>
              <w:snapToGrid w:val="0"/>
              <w:spacing w:before="120"/>
              <w:jc w:val="right"/>
              <w:rPr>
                <w:b/>
                <w:bCs/>
                <w:sz w:val="20"/>
              </w:rPr>
            </w:pPr>
            <w:r w:rsidRPr="00896441">
              <w:rPr>
                <w:b/>
                <w:bCs/>
                <w:sz w:val="20"/>
              </w:rPr>
              <w:t>2 779 424</w:t>
            </w:r>
          </w:p>
        </w:tc>
        <w:tc>
          <w:tcPr>
            <w:tcW w:w="1152" w:type="dxa"/>
            <w:tcBorders>
              <w:top w:val="single" w:sz="4" w:space="0" w:color="auto"/>
              <w:left w:val="single" w:sz="4" w:space="0" w:color="auto"/>
              <w:bottom w:val="nil"/>
              <w:right w:val="single" w:sz="4" w:space="0" w:color="auto"/>
            </w:tcBorders>
          </w:tcPr>
          <w:p w14:paraId="7DEC93F4" w14:textId="77777777" w:rsidR="00727F42" w:rsidRPr="00896441" w:rsidRDefault="00727F42" w:rsidP="005D0D4B">
            <w:pPr>
              <w:snapToGrid w:val="0"/>
              <w:spacing w:before="120"/>
              <w:jc w:val="right"/>
              <w:rPr>
                <w:b/>
                <w:bCs/>
                <w:sz w:val="20"/>
              </w:rPr>
            </w:pPr>
            <w:r w:rsidRPr="00896441">
              <w:rPr>
                <w:b/>
                <w:bCs/>
                <w:sz w:val="20"/>
              </w:rPr>
              <w:t>2 799 114</w:t>
            </w:r>
          </w:p>
        </w:tc>
        <w:tc>
          <w:tcPr>
            <w:tcW w:w="1152" w:type="dxa"/>
            <w:tcBorders>
              <w:top w:val="single" w:sz="4" w:space="0" w:color="auto"/>
              <w:left w:val="single" w:sz="4" w:space="0" w:color="auto"/>
              <w:bottom w:val="nil"/>
              <w:right w:val="single" w:sz="4" w:space="0" w:color="auto"/>
            </w:tcBorders>
          </w:tcPr>
          <w:p w14:paraId="77F4EBDA" w14:textId="77777777" w:rsidR="00727F42" w:rsidRPr="00896441" w:rsidRDefault="00896441" w:rsidP="005D0D4B">
            <w:pPr>
              <w:snapToGrid w:val="0"/>
              <w:spacing w:before="120"/>
              <w:jc w:val="right"/>
              <w:rPr>
                <w:b/>
                <w:bCs/>
                <w:sz w:val="20"/>
              </w:rPr>
            </w:pPr>
            <w:r w:rsidRPr="00896441">
              <w:rPr>
                <w:b/>
                <w:bCs/>
                <w:sz w:val="20"/>
              </w:rPr>
              <w:t>2 968 970</w:t>
            </w:r>
          </w:p>
        </w:tc>
      </w:tr>
      <w:tr w:rsidR="00727F42" w:rsidRPr="004B11AC" w14:paraId="6E65B0B1" w14:textId="77777777" w:rsidTr="00251B76">
        <w:trPr>
          <w:tblHeader/>
        </w:trPr>
        <w:tc>
          <w:tcPr>
            <w:tcW w:w="3420" w:type="dxa"/>
            <w:tcBorders>
              <w:top w:val="nil"/>
              <w:left w:val="single" w:sz="4" w:space="0" w:color="auto"/>
              <w:bottom w:val="nil"/>
              <w:right w:val="single" w:sz="4" w:space="0" w:color="auto"/>
            </w:tcBorders>
          </w:tcPr>
          <w:p w14:paraId="164E4EE9" w14:textId="77777777" w:rsidR="00727F42" w:rsidRPr="00896441" w:rsidRDefault="00727F42" w:rsidP="005D0D4B">
            <w:pPr>
              <w:snapToGrid w:val="0"/>
              <w:jc w:val="both"/>
              <w:rPr>
                <w:sz w:val="20"/>
                <w:szCs w:val="20"/>
              </w:rPr>
            </w:pPr>
            <w:r w:rsidRPr="00896441">
              <w:rPr>
                <w:sz w:val="20"/>
                <w:szCs w:val="20"/>
              </w:rPr>
              <w:t>Obce</w:t>
            </w:r>
          </w:p>
        </w:tc>
        <w:tc>
          <w:tcPr>
            <w:tcW w:w="1152" w:type="dxa"/>
            <w:tcBorders>
              <w:top w:val="nil"/>
              <w:left w:val="single" w:sz="4" w:space="0" w:color="auto"/>
              <w:bottom w:val="nil"/>
              <w:right w:val="single" w:sz="4" w:space="0" w:color="auto"/>
            </w:tcBorders>
          </w:tcPr>
          <w:p w14:paraId="5535FC23" w14:textId="77777777" w:rsidR="00727F42" w:rsidRPr="00896441" w:rsidRDefault="00727F42" w:rsidP="005D0D4B">
            <w:pPr>
              <w:snapToGrid w:val="0"/>
              <w:jc w:val="right"/>
              <w:rPr>
                <w:sz w:val="20"/>
              </w:rPr>
            </w:pPr>
            <w:r w:rsidRPr="00896441">
              <w:rPr>
                <w:sz w:val="20"/>
              </w:rPr>
              <w:t>222 839</w:t>
            </w:r>
          </w:p>
        </w:tc>
        <w:tc>
          <w:tcPr>
            <w:tcW w:w="1152" w:type="dxa"/>
            <w:tcBorders>
              <w:top w:val="nil"/>
              <w:left w:val="single" w:sz="4" w:space="0" w:color="auto"/>
              <w:bottom w:val="nil"/>
              <w:right w:val="single" w:sz="4" w:space="0" w:color="auto"/>
            </w:tcBorders>
          </w:tcPr>
          <w:p w14:paraId="1316AD19" w14:textId="77777777" w:rsidR="00727F42" w:rsidRPr="00896441" w:rsidRDefault="00727F42" w:rsidP="005D0D4B">
            <w:pPr>
              <w:snapToGrid w:val="0"/>
              <w:jc w:val="right"/>
              <w:rPr>
                <w:sz w:val="20"/>
              </w:rPr>
            </w:pPr>
            <w:r w:rsidRPr="00896441">
              <w:rPr>
                <w:sz w:val="20"/>
              </w:rPr>
              <w:t>216 186</w:t>
            </w:r>
          </w:p>
        </w:tc>
        <w:tc>
          <w:tcPr>
            <w:tcW w:w="1152" w:type="dxa"/>
            <w:tcBorders>
              <w:top w:val="nil"/>
              <w:left w:val="single" w:sz="4" w:space="0" w:color="auto"/>
              <w:bottom w:val="nil"/>
              <w:right w:val="single" w:sz="4" w:space="0" w:color="auto"/>
            </w:tcBorders>
          </w:tcPr>
          <w:p w14:paraId="67FB5E83" w14:textId="77777777" w:rsidR="00727F42" w:rsidRPr="00896441" w:rsidRDefault="00727F42" w:rsidP="005D0D4B">
            <w:pPr>
              <w:snapToGrid w:val="0"/>
              <w:jc w:val="right"/>
              <w:rPr>
                <w:sz w:val="20"/>
              </w:rPr>
            </w:pPr>
            <w:r w:rsidRPr="00896441">
              <w:rPr>
                <w:sz w:val="20"/>
              </w:rPr>
              <w:t>216 834</w:t>
            </w:r>
          </w:p>
        </w:tc>
        <w:tc>
          <w:tcPr>
            <w:tcW w:w="1152" w:type="dxa"/>
            <w:tcBorders>
              <w:top w:val="nil"/>
              <w:left w:val="single" w:sz="4" w:space="0" w:color="auto"/>
              <w:bottom w:val="nil"/>
              <w:right w:val="single" w:sz="4" w:space="0" w:color="auto"/>
            </w:tcBorders>
          </w:tcPr>
          <w:p w14:paraId="3165BDE7" w14:textId="77777777" w:rsidR="00727F42" w:rsidRPr="00896441" w:rsidRDefault="00727F42" w:rsidP="005D0D4B">
            <w:pPr>
              <w:snapToGrid w:val="0"/>
              <w:jc w:val="right"/>
              <w:rPr>
                <w:sz w:val="20"/>
              </w:rPr>
            </w:pPr>
            <w:r w:rsidRPr="00896441">
              <w:rPr>
                <w:sz w:val="20"/>
              </w:rPr>
              <w:t>218 352</w:t>
            </w:r>
          </w:p>
        </w:tc>
        <w:tc>
          <w:tcPr>
            <w:tcW w:w="1152" w:type="dxa"/>
            <w:tcBorders>
              <w:top w:val="nil"/>
              <w:left w:val="single" w:sz="4" w:space="0" w:color="auto"/>
              <w:bottom w:val="nil"/>
              <w:right w:val="single" w:sz="4" w:space="0" w:color="auto"/>
            </w:tcBorders>
          </w:tcPr>
          <w:p w14:paraId="2733197E" w14:textId="77777777" w:rsidR="00727F42" w:rsidRPr="00896441" w:rsidRDefault="00896441" w:rsidP="005D0D4B">
            <w:pPr>
              <w:snapToGrid w:val="0"/>
              <w:jc w:val="right"/>
              <w:rPr>
                <w:sz w:val="20"/>
              </w:rPr>
            </w:pPr>
            <w:r>
              <w:rPr>
                <w:sz w:val="20"/>
              </w:rPr>
              <w:t>223 811</w:t>
            </w:r>
          </w:p>
        </w:tc>
      </w:tr>
      <w:tr w:rsidR="00727F42" w:rsidRPr="004B11AC" w14:paraId="5F14FC0B" w14:textId="77777777" w:rsidTr="00251B76">
        <w:trPr>
          <w:tblHeader/>
        </w:trPr>
        <w:tc>
          <w:tcPr>
            <w:tcW w:w="3420" w:type="dxa"/>
            <w:tcBorders>
              <w:top w:val="nil"/>
              <w:left w:val="single" w:sz="4" w:space="0" w:color="auto"/>
              <w:bottom w:val="single" w:sz="4" w:space="0" w:color="auto"/>
              <w:right w:val="single" w:sz="4" w:space="0" w:color="auto"/>
            </w:tcBorders>
          </w:tcPr>
          <w:p w14:paraId="4E385FCD" w14:textId="77777777" w:rsidR="00727F42" w:rsidRPr="00896441" w:rsidRDefault="00727F42" w:rsidP="005D0D4B">
            <w:pPr>
              <w:snapToGrid w:val="0"/>
              <w:jc w:val="both"/>
              <w:rPr>
                <w:sz w:val="20"/>
                <w:szCs w:val="20"/>
              </w:rPr>
            </w:pPr>
            <w:r w:rsidRPr="00896441">
              <w:rPr>
                <w:sz w:val="20"/>
                <w:szCs w:val="20"/>
              </w:rPr>
              <w:t>Kraje</w:t>
            </w:r>
          </w:p>
        </w:tc>
        <w:tc>
          <w:tcPr>
            <w:tcW w:w="1152" w:type="dxa"/>
            <w:tcBorders>
              <w:top w:val="nil"/>
              <w:left w:val="single" w:sz="4" w:space="0" w:color="auto"/>
              <w:bottom w:val="single" w:sz="4" w:space="0" w:color="auto"/>
              <w:right w:val="single" w:sz="4" w:space="0" w:color="auto"/>
            </w:tcBorders>
          </w:tcPr>
          <w:p w14:paraId="63C00BB8" w14:textId="77777777" w:rsidR="00727F42" w:rsidRPr="00896441" w:rsidRDefault="00727F42" w:rsidP="005D0D4B">
            <w:pPr>
              <w:snapToGrid w:val="0"/>
              <w:jc w:val="right"/>
              <w:rPr>
                <w:sz w:val="20"/>
              </w:rPr>
            </w:pPr>
            <w:r w:rsidRPr="00896441">
              <w:rPr>
                <w:sz w:val="20"/>
              </w:rPr>
              <w:t>2 559 658</w:t>
            </w:r>
          </w:p>
        </w:tc>
        <w:tc>
          <w:tcPr>
            <w:tcW w:w="1152" w:type="dxa"/>
            <w:tcBorders>
              <w:top w:val="nil"/>
              <w:left w:val="single" w:sz="4" w:space="0" w:color="auto"/>
              <w:bottom w:val="single" w:sz="4" w:space="0" w:color="auto"/>
              <w:right w:val="single" w:sz="4" w:space="0" w:color="auto"/>
            </w:tcBorders>
          </w:tcPr>
          <w:p w14:paraId="598E8049" w14:textId="77777777" w:rsidR="00727F42" w:rsidRPr="00896441" w:rsidRDefault="00727F42" w:rsidP="005D0D4B">
            <w:pPr>
              <w:snapToGrid w:val="0"/>
              <w:jc w:val="right"/>
              <w:rPr>
                <w:sz w:val="20"/>
              </w:rPr>
            </w:pPr>
            <w:r w:rsidRPr="00896441">
              <w:rPr>
                <w:sz w:val="20"/>
              </w:rPr>
              <w:t>2 554 953</w:t>
            </w:r>
          </w:p>
        </w:tc>
        <w:tc>
          <w:tcPr>
            <w:tcW w:w="1152" w:type="dxa"/>
            <w:tcBorders>
              <w:top w:val="nil"/>
              <w:left w:val="single" w:sz="4" w:space="0" w:color="auto"/>
              <w:bottom w:val="single" w:sz="4" w:space="0" w:color="auto"/>
              <w:right w:val="single" w:sz="4" w:space="0" w:color="auto"/>
            </w:tcBorders>
          </w:tcPr>
          <w:p w14:paraId="4ADC66AE" w14:textId="77777777" w:rsidR="00727F42" w:rsidRPr="00896441" w:rsidRDefault="00727F42" w:rsidP="005D0D4B">
            <w:pPr>
              <w:snapToGrid w:val="0"/>
              <w:jc w:val="right"/>
              <w:rPr>
                <w:sz w:val="20"/>
              </w:rPr>
            </w:pPr>
            <w:r w:rsidRPr="00896441">
              <w:rPr>
                <w:sz w:val="20"/>
              </w:rPr>
              <w:t>2 562 590</w:t>
            </w:r>
          </w:p>
        </w:tc>
        <w:tc>
          <w:tcPr>
            <w:tcW w:w="1152" w:type="dxa"/>
            <w:tcBorders>
              <w:top w:val="nil"/>
              <w:left w:val="single" w:sz="4" w:space="0" w:color="auto"/>
              <w:bottom w:val="single" w:sz="4" w:space="0" w:color="auto"/>
              <w:right w:val="single" w:sz="4" w:space="0" w:color="auto"/>
            </w:tcBorders>
          </w:tcPr>
          <w:p w14:paraId="045C0C36" w14:textId="77777777" w:rsidR="00727F42" w:rsidRPr="00896441" w:rsidRDefault="00727F42" w:rsidP="005D0D4B">
            <w:pPr>
              <w:snapToGrid w:val="0"/>
              <w:jc w:val="right"/>
              <w:rPr>
                <w:sz w:val="20"/>
              </w:rPr>
            </w:pPr>
            <w:r w:rsidRPr="00896441">
              <w:rPr>
                <w:sz w:val="20"/>
              </w:rPr>
              <w:t>2 580 762</w:t>
            </w:r>
          </w:p>
        </w:tc>
        <w:tc>
          <w:tcPr>
            <w:tcW w:w="1152" w:type="dxa"/>
            <w:tcBorders>
              <w:top w:val="nil"/>
              <w:left w:val="single" w:sz="4" w:space="0" w:color="auto"/>
              <w:bottom w:val="single" w:sz="4" w:space="0" w:color="auto"/>
              <w:right w:val="single" w:sz="4" w:space="0" w:color="auto"/>
            </w:tcBorders>
          </w:tcPr>
          <w:p w14:paraId="5A4D35C7" w14:textId="77777777" w:rsidR="00727F42" w:rsidRPr="00896441" w:rsidRDefault="00896441" w:rsidP="005D0D4B">
            <w:pPr>
              <w:snapToGrid w:val="0"/>
              <w:jc w:val="right"/>
              <w:rPr>
                <w:sz w:val="20"/>
              </w:rPr>
            </w:pPr>
            <w:r>
              <w:rPr>
                <w:sz w:val="20"/>
              </w:rPr>
              <w:t>2 745 159</w:t>
            </w:r>
          </w:p>
        </w:tc>
      </w:tr>
    </w:tbl>
    <w:p w14:paraId="4316094A" w14:textId="77777777" w:rsidR="005D0D4B" w:rsidRPr="00896441" w:rsidRDefault="005D0D4B" w:rsidP="00896441">
      <w:pPr>
        <w:pStyle w:val="KOModrky"/>
        <w:spacing w:before="240"/>
      </w:pPr>
      <w:r w:rsidRPr="00896441">
        <w:t xml:space="preserve">Od roku 2009 Ministerstvo dopravy začalo krajům a hl. m. Praze poskytovat účelové dotace na úhradu prokazatelné ztráty ze závazku veřejné služby ve veřejné drážní osobní dopravě, jejichž výše je po prvotním snížení v roce 2010, spojeným se snížením rozpočtu kapitoly, </w:t>
      </w:r>
      <w:r w:rsidR="008C14BB" w:rsidRPr="00896441">
        <w:br/>
      </w:r>
      <w:r w:rsidRPr="00896441">
        <w:t>na přibližně stej</w:t>
      </w:r>
      <w:r w:rsidR="00896441" w:rsidRPr="00896441">
        <w:t>né úrovni, v letech 2015, 2017</w:t>
      </w:r>
      <w:r w:rsidR="008C14BB" w:rsidRPr="00896441">
        <w:t>,</w:t>
      </w:r>
      <w:r w:rsidR="00896441" w:rsidRPr="00896441">
        <w:t xml:space="preserve"> 2018 a 2019</w:t>
      </w:r>
      <w:r w:rsidRPr="00896441">
        <w:t xml:space="preserve"> dochází ke zvýšení z důvodů zohlednění inflace. Tyto dotace tvoří podstatnou část neinves</w:t>
      </w:r>
      <w:r w:rsidR="00A37A80" w:rsidRPr="00896441">
        <w:t xml:space="preserve">tičních transferů krajům </w:t>
      </w:r>
      <w:r w:rsidRPr="00896441">
        <w:t>a obcím.</w:t>
      </w:r>
    </w:p>
    <w:p w14:paraId="3F6F26D0" w14:textId="77777777" w:rsidR="00391ADC" w:rsidRPr="00896441" w:rsidRDefault="005D0D4B" w:rsidP="00896441">
      <w:pPr>
        <w:pStyle w:val="KOModrky"/>
        <w:rPr>
          <w:bCs/>
        </w:rPr>
      </w:pPr>
      <w:r w:rsidRPr="00896441">
        <w:rPr>
          <w:bCs/>
        </w:rPr>
        <w:t xml:space="preserve">V roce 2015 byla obcím s rozšířenou působností poskytnuta </w:t>
      </w:r>
      <w:r w:rsidRPr="00896441">
        <w:t xml:space="preserve">jednorázová účelová neinvestiční dotace na rozšíření aplikace Centrálního registru vozidel </w:t>
      </w:r>
      <w:r w:rsidRPr="00896441">
        <w:rPr>
          <w:bCs/>
        </w:rPr>
        <w:t xml:space="preserve">ve výši 7 514 tis. Kč. </w:t>
      </w:r>
    </w:p>
    <w:p w14:paraId="2630C59E" w14:textId="77777777" w:rsidR="00385BB9" w:rsidRDefault="00385BB9" w:rsidP="00385BB9">
      <w:pPr>
        <w:pStyle w:val="KOModrky"/>
        <w:rPr>
          <w:bCs/>
        </w:rPr>
      </w:pPr>
      <w:r>
        <w:rPr>
          <w:bCs/>
        </w:rPr>
        <w:t xml:space="preserve">V roce 2019 byla Jihomoravskému kraji poskytnuta </w:t>
      </w:r>
      <w:r w:rsidRPr="00985295">
        <w:rPr>
          <w:bCs/>
        </w:rPr>
        <w:t xml:space="preserve">účelová dotace </w:t>
      </w:r>
      <w:r w:rsidRPr="00985295">
        <w:t xml:space="preserve">na úhradu navýšených nákladů veřejných služeb v autobusové dopravě </w:t>
      </w:r>
      <w:r w:rsidRPr="00985295">
        <w:rPr>
          <w:bCs/>
        </w:rPr>
        <w:t>ve výši 100</w:t>
      </w:r>
      <w:r w:rsidR="00AC5B20" w:rsidRPr="00985295">
        <w:rPr>
          <w:bCs/>
        </w:rPr>
        <w:t xml:space="preserve"> 000 tis</w:t>
      </w:r>
      <w:r w:rsidRPr="00985295">
        <w:rPr>
          <w:bCs/>
        </w:rPr>
        <w:t>. Kč</w:t>
      </w:r>
      <w:r w:rsidRPr="00985295">
        <w:t xml:space="preserve"> dle usnesení vlády ze dne 26. srpna 2019 č. 590.</w:t>
      </w:r>
    </w:p>
    <w:p w14:paraId="6D552F4D" w14:textId="77777777" w:rsidR="005D362D" w:rsidRPr="004B11AC" w:rsidRDefault="005D362D" w:rsidP="00BB64C4">
      <w:pPr>
        <w:pStyle w:val="Nadpis2"/>
      </w:pPr>
      <w:bookmarkStart w:id="394" w:name="_Toc413413666"/>
      <w:bookmarkStart w:id="395" w:name="_Toc508879877"/>
      <w:bookmarkStart w:id="396" w:name="_Toc508880153"/>
      <w:bookmarkStart w:id="397" w:name="_Toc1376826"/>
      <w:bookmarkStart w:id="398" w:name="_Toc34286472"/>
      <w:bookmarkStart w:id="399" w:name="_Toc255297646"/>
      <w:r w:rsidRPr="004B11AC">
        <w:lastRenderedPageBreak/>
        <w:t>Kapitálové výdaje</w:t>
      </w:r>
      <w:bookmarkEnd w:id="394"/>
      <w:bookmarkEnd w:id="395"/>
      <w:bookmarkEnd w:id="396"/>
      <w:bookmarkEnd w:id="397"/>
      <w:bookmarkEnd w:id="398"/>
    </w:p>
    <w:p w14:paraId="78048AE4" w14:textId="77777777" w:rsidR="00016A1A" w:rsidRPr="008651ED" w:rsidRDefault="00016A1A" w:rsidP="00851910">
      <w:pPr>
        <w:keepNext/>
        <w:ind w:left="357" w:right="-424"/>
        <w:jc w:val="right"/>
      </w:pPr>
      <w:bookmarkStart w:id="400" w:name="_Toc255297651"/>
      <w:bookmarkEnd w:id="399"/>
      <w:r w:rsidRPr="008651ED">
        <w:rPr>
          <w:sz w:val="22"/>
          <w:szCs w:val="22"/>
        </w:rPr>
        <w:t xml:space="preserve">   </w:t>
      </w:r>
      <w:bookmarkStart w:id="401" w:name="_Toc348704643"/>
      <w:bookmarkStart w:id="402" w:name="_Toc350339565"/>
      <w:bookmarkStart w:id="403" w:name="_Toc350438158"/>
      <w:bookmarkStart w:id="404" w:name="_Toc350520039"/>
      <w:bookmarkStart w:id="405" w:name="_Toc413413667"/>
      <w:bookmarkStart w:id="406" w:name="_Toc508879878"/>
      <w:bookmarkStart w:id="407" w:name="_Toc508880154"/>
      <w:r w:rsidR="00155668">
        <w:rPr>
          <w:sz w:val="22"/>
          <w:szCs w:val="22"/>
        </w:rPr>
        <w:tab/>
      </w:r>
      <w:r w:rsidR="00155668">
        <w:rPr>
          <w:sz w:val="22"/>
          <w:szCs w:val="22"/>
        </w:rPr>
        <w:tab/>
      </w:r>
      <w:r w:rsidR="00155668">
        <w:rPr>
          <w:sz w:val="22"/>
          <w:szCs w:val="22"/>
        </w:rPr>
        <w:tab/>
      </w:r>
      <w:r w:rsidR="00155668">
        <w:rPr>
          <w:sz w:val="22"/>
          <w:szCs w:val="22"/>
        </w:rPr>
        <w:tab/>
      </w:r>
      <w:r w:rsidR="00155668">
        <w:rPr>
          <w:sz w:val="22"/>
          <w:szCs w:val="22"/>
        </w:rPr>
        <w:tab/>
      </w:r>
      <w:r w:rsidR="00155668">
        <w:rPr>
          <w:sz w:val="22"/>
          <w:szCs w:val="22"/>
        </w:rPr>
        <w:tab/>
      </w:r>
      <w:r w:rsidR="00155668">
        <w:rPr>
          <w:sz w:val="22"/>
          <w:szCs w:val="22"/>
        </w:rPr>
        <w:tab/>
      </w:r>
      <w:r w:rsidR="00155668">
        <w:rPr>
          <w:sz w:val="22"/>
          <w:szCs w:val="22"/>
        </w:rPr>
        <w:tab/>
      </w:r>
      <w:r w:rsidR="00155668">
        <w:rPr>
          <w:sz w:val="22"/>
          <w:szCs w:val="22"/>
        </w:rPr>
        <w:tab/>
      </w:r>
      <w:r w:rsidR="00155668">
        <w:rPr>
          <w:sz w:val="22"/>
          <w:szCs w:val="22"/>
        </w:rPr>
        <w:tab/>
      </w:r>
      <w:r w:rsidR="00155668">
        <w:rPr>
          <w:sz w:val="22"/>
          <w:szCs w:val="22"/>
        </w:rPr>
        <w:tab/>
      </w:r>
      <w:r w:rsidRPr="008651ED">
        <w:t>v tis. Kč</w:t>
      </w:r>
      <w:bookmarkEnd w:id="401"/>
      <w:bookmarkEnd w:id="402"/>
      <w:bookmarkEnd w:id="403"/>
      <w:bookmarkEnd w:id="404"/>
      <w:bookmarkEnd w:id="405"/>
      <w:bookmarkEnd w:id="406"/>
      <w:bookmarkEnd w:id="407"/>
    </w:p>
    <w:tbl>
      <w:tblPr>
        <w:tblW w:w="5610" w:type="pct"/>
        <w:jc w:val="center"/>
        <w:tblLayout w:type="fixed"/>
        <w:tblCellMar>
          <w:left w:w="30" w:type="dxa"/>
          <w:right w:w="30" w:type="dxa"/>
        </w:tblCellMar>
        <w:tblLook w:val="0000" w:firstRow="0" w:lastRow="0" w:firstColumn="0" w:lastColumn="0" w:noHBand="0" w:noVBand="0"/>
      </w:tblPr>
      <w:tblGrid>
        <w:gridCol w:w="2728"/>
        <w:gridCol w:w="1418"/>
        <w:gridCol w:w="1437"/>
        <w:gridCol w:w="1435"/>
        <w:gridCol w:w="1437"/>
        <w:gridCol w:w="754"/>
        <w:gridCol w:w="1097"/>
      </w:tblGrid>
      <w:tr w:rsidR="00016A1A" w:rsidRPr="008651ED" w14:paraId="72CDFC21" w14:textId="77777777" w:rsidTr="00016A1A">
        <w:trPr>
          <w:trHeight w:val="50"/>
          <w:jc w:val="center"/>
        </w:trPr>
        <w:tc>
          <w:tcPr>
            <w:tcW w:w="1324" w:type="pct"/>
            <w:vMerge w:val="restart"/>
            <w:tcBorders>
              <w:top w:val="single" w:sz="12" w:space="0" w:color="auto"/>
              <w:left w:val="single" w:sz="12" w:space="0" w:color="auto"/>
              <w:right w:val="single" w:sz="12" w:space="0" w:color="000000"/>
            </w:tcBorders>
            <w:vAlign w:val="center"/>
          </w:tcPr>
          <w:p w14:paraId="615138A6" w14:textId="77777777" w:rsidR="00016A1A" w:rsidRPr="008651ED" w:rsidRDefault="00016A1A" w:rsidP="00016A1A">
            <w:pPr>
              <w:jc w:val="center"/>
              <w:rPr>
                <w:sz w:val="22"/>
              </w:rPr>
            </w:pPr>
            <w:r w:rsidRPr="008651ED">
              <w:rPr>
                <w:sz w:val="22"/>
              </w:rPr>
              <w:t>Ukazatel</w:t>
            </w:r>
          </w:p>
        </w:tc>
        <w:tc>
          <w:tcPr>
            <w:tcW w:w="688" w:type="pct"/>
            <w:vMerge w:val="restart"/>
            <w:tcBorders>
              <w:top w:val="single" w:sz="12" w:space="0" w:color="auto"/>
              <w:left w:val="single" w:sz="12" w:space="0" w:color="000000"/>
              <w:right w:val="single" w:sz="12" w:space="0" w:color="000000"/>
            </w:tcBorders>
            <w:vAlign w:val="center"/>
          </w:tcPr>
          <w:p w14:paraId="03F720D5" w14:textId="77777777" w:rsidR="00016A1A" w:rsidRPr="008651ED" w:rsidRDefault="00016A1A" w:rsidP="00016A1A">
            <w:pPr>
              <w:snapToGrid w:val="0"/>
              <w:jc w:val="center"/>
            </w:pPr>
            <w:r w:rsidRPr="008651ED">
              <w:t>Skutečnost</w:t>
            </w:r>
          </w:p>
          <w:p w14:paraId="3AB34DC4" w14:textId="77777777" w:rsidR="00016A1A" w:rsidRPr="008651ED" w:rsidRDefault="00016A1A" w:rsidP="00016A1A">
            <w:pPr>
              <w:snapToGrid w:val="0"/>
              <w:jc w:val="center"/>
              <w:rPr>
                <w:sz w:val="10"/>
                <w:szCs w:val="10"/>
              </w:rPr>
            </w:pPr>
            <w:r w:rsidRPr="008651ED">
              <w:t>2018</w:t>
            </w:r>
          </w:p>
        </w:tc>
        <w:tc>
          <w:tcPr>
            <w:tcW w:w="1393" w:type="pct"/>
            <w:gridSpan w:val="2"/>
            <w:tcBorders>
              <w:top w:val="single" w:sz="12" w:space="0" w:color="auto"/>
              <w:left w:val="single" w:sz="12" w:space="0" w:color="000000"/>
              <w:right w:val="single" w:sz="12" w:space="0" w:color="000000"/>
            </w:tcBorders>
          </w:tcPr>
          <w:p w14:paraId="0BBB2F80" w14:textId="77777777" w:rsidR="00016A1A" w:rsidRPr="008651ED" w:rsidRDefault="00016A1A" w:rsidP="00016A1A">
            <w:pPr>
              <w:snapToGrid w:val="0"/>
              <w:rPr>
                <w:sz w:val="10"/>
                <w:szCs w:val="10"/>
              </w:rPr>
            </w:pPr>
          </w:p>
        </w:tc>
        <w:tc>
          <w:tcPr>
            <w:tcW w:w="697" w:type="pct"/>
            <w:tcBorders>
              <w:top w:val="single" w:sz="12" w:space="0" w:color="auto"/>
              <w:left w:val="single" w:sz="12" w:space="0" w:color="000000"/>
              <w:right w:val="single" w:sz="12" w:space="0" w:color="000000"/>
            </w:tcBorders>
          </w:tcPr>
          <w:p w14:paraId="2719E611" w14:textId="77777777" w:rsidR="00016A1A" w:rsidRPr="008651ED" w:rsidRDefault="00016A1A" w:rsidP="00016A1A">
            <w:pPr>
              <w:snapToGrid w:val="0"/>
              <w:jc w:val="center"/>
              <w:rPr>
                <w:sz w:val="10"/>
                <w:szCs w:val="10"/>
              </w:rPr>
            </w:pPr>
          </w:p>
        </w:tc>
        <w:tc>
          <w:tcPr>
            <w:tcW w:w="366" w:type="pct"/>
            <w:tcBorders>
              <w:top w:val="single" w:sz="12" w:space="0" w:color="auto"/>
              <w:left w:val="single" w:sz="12" w:space="0" w:color="000000"/>
              <w:right w:val="single" w:sz="12" w:space="0" w:color="000000"/>
            </w:tcBorders>
          </w:tcPr>
          <w:p w14:paraId="279BE63B" w14:textId="77777777" w:rsidR="00016A1A" w:rsidRPr="008651ED" w:rsidRDefault="00016A1A" w:rsidP="00016A1A">
            <w:pPr>
              <w:snapToGrid w:val="0"/>
              <w:jc w:val="center"/>
              <w:rPr>
                <w:sz w:val="10"/>
                <w:szCs w:val="10"/>
              </w:rPr>
            </w:pPr>
          </w:p>
        </w:tc>
        <w:tc>
          <w:tcPr>
            <w:tcW w:w="532" w:type="pct"/>
            <w:tcBorders>
              <w:top w:val="single" w:sz="12" w:space="0" w:color="auto"/>
              <w:left w:val="single" w:sz="12" w:space="0" w:color="000000"/>
              <w:right w:val="single" w:sz="12" w:space="0" w:color="auto"/>
            </w:tcBorders>
          </w:tcPr>
          <w:p w14:paraId="22DC26EC" w14:textId="77777777" w:rsidR="00016A1A" w:rsidRPr="008651ED" w:rsidRDefault="00016A1A" w:rsidP="00016A1A">
            <w:pPr>
              <w:snapToGrid w:val="0"/>
              <w:jc w:val="center"/>
              <w:rPr>
                <w:sz w:val="10"/>
                <w:szCs w:val="10"/>
              </w:rPr>
            </w:pPr>
          </w:p>
        </w:tc>
      </w:tr>
      <w:tr w:rsidR="00016A1A" w:rsidRPr="008651ED" w14:paraId="35B51338" w14:textId="77777777" w:rsidTr="00016A1A">
        <w:trPr>
          <w:trHeight w:val="221"/>
          <w:jc w:val="center"/>
        </w:trPr>
        <w:tc>
          <w:tcPr>
            <w:tcW w:w="1324" w:type="pct"/>
            <w:vMerge/>
            <w:tcBorders>
              <w:left w:val="single" w:sz="12" w:space="0" w:color="auto"/>
              <w:right w:val="single" w:sz="12" w:space="0" w:color="000000"/>
            </w:tcBorders>
          </w:tcPr>
          <w:p w14:paraId="634E7A5E" w14:textId="77777777" w:rsidR="00016A1A" w:rsidRPr="008651ED" w:rsidRDefault="00016A1A" w:rsidP="00016A1A">
            <w:pPr>
              <w:snapToGrid w:val="0"/>
              <w:jc w:val="center"/>
            </w:pPr>
          </w:p>
        </w:tc>
        <w:tc>
          <w:tcPr>
            <w:tcW w:w="688" w:type="pct"/>
            <w:vMerge/>
            <w:tcBorders>
              <w:left w:val="single" w:sz="12" w:space="0" w:color="000000"/>
              <w:right w:val="single" w:sz="12" w:space="0" w:color="000000"/>
            </w:tcBorders>
            <w:vAlign w:val="center"/>
          </w:tcPr>
          <w:p w14:paraId="54B95611" w14:textId="77777777" w:rsidR="00016A1A" w:rsidRPr="008651ED" w:rsidRDefault="00016A1A" w:rsidP="00016A1A">
            <w:pPr>
              <w:snapToGrid w:val="0"/>
              <w:jc w:val="center"/>
            </w:pPr>
          </w:p>
        </w:tc>
        <w:tc>
          <w:tcPr>
            <w:tcW w:w="1393" w:type="pct"/>
            <w:gridSpan w:val="2"/>
            <w:tcBorders>
              <w:left w:val="single" w:sz="12" w:space="0" w:color="000000"/>
              <w:bottom w:val="single" w:sz="12" w:space="0" w:color="000000"/>
              <w:right w:val="single" w:sz="12" w:space="0" w:color="000000"/>
            </w:tcBorders>
          </w:tcPr>
          <w:p w14:paraId="6527B5EC" w14:textId="77777777" w:rsidR="00016A1A" w:rsidRPr="008651ED" w:rsidRDefault="00016A1A" w:rsidP="00016A1A">
            <w:pPr>
              <w:pBdr>
                <w:bottom w:val="single" w:sz="4" w:space="1" w:color="000000"/>
              </w:pBdr>
              <w:snapToGrid w:val="0"/>
              <w:jc w:val="center"/>
            </w:pPr>
            <w:r w:rsidRPr="008651ED">
              <w:t>Rozpočet 2019</w:t>
            </w:r>
          </w:p>
        </w:tc>
        <w:tc>
          <w:tcPr>
            <w:tcW w:w="697" w:type="pct"/>
            <w:vMerge w:val="restart"/>
            <w:tcBorders>
              <w:left w:val="single" w:sz="12" w:space="0" w:color="000000"/>
              <w:right w:val="single" w:sz="12" w:space="0" w:color="000000"/>
            </w:tcBorders>
            <w:vAlign w:val="center"/>
          </w:tcPr>
          <w:p w14:paraId="3F7B0037" w14:textId="77777777" w:rsidR="00016A1A" w:rsidRPr="008651ED" w:rsidRDefault="00016A1A" w:rsidP="00016A1A">
            <w:pPr>
              <w:snapToGrid w:val="0"/>
              <w:jc w:val="center"/>
            </w:pPr>
            <w:r w:rsidRPr="008651ED">
              <w:t>Skutečnost</w:t>
            </w:r>
          </w:p>
          <w:p w14:paraId="6CC423E1" w14:textId="77777777" w:rsidR="00016A1A" w:rsidRPr="008651ED" w:rsidRDefault="00016A1A" w:rsidP="00016A1A">
            <w:pPr>
              <w:snapToGrid w:val="0"/>
              <w:jc w:val="center"/>
            </w:pPr>
            <w:r w:rsidRPr="008651ED">
              <w:t>2019</w:t>
            </w:r>
          </w:p>
        </w:tc>
        <w:tc>
          <w:tcPr>
            <w:tcW w:w="366" w:type="pct"/>
            <w:tcBorders>
              <w:left w:val="single" w:sz="12" w:space="0" w:color="000000"/>
              <w:bottom w:val="single" w:sz="12" w:space="0" w:color="000000"/>
              <w:right w:val="single" w:sz="12" w:space="0" w:color="000000"/>
            </w:tcBorders>
          </w:tcPr>
          <w:p w14:paraId="3BA17024" w14:textId="77777777" w:rsidR="00016A1A" w:rsidRPr="008651ED" w:rsidRDefault="00016A1A" w:rsidP="00016A1A">
            <w:pPr>
              <w:snapToGrid w:val="0"/>
              <w:jc w:val="center"/>
            </w:pPr>
            <w:r w:rsidRPr="008651ED">
              <w:t>%</w:t>
            </w:r>
          </w:p>
        </w:tc>
        <w:tc>
          <w:tcPr>
            <w:tcW w:w="532" w:type="pct"/>
            <w:tcBorders>
              <w:left w:val="single" w:sz="12" w:space="0" w:color="000000"/>
              <w:bottom w:val="single" w:sz="12" w:space="0" w:color="000000"/>
              <w:right w:val="single" w:sz="12" w:space="0" w:color="auto"/>
            </w:tcBorders>
          </w:tcPr>
          <w:p w14:paraId="3B57E33B" w14:textId="77777777" w:rsidR="00016A1A" w:rsidRPr="008651ED" w:rsidRDefault="00016A1A" w:rsidP="00016A1A">
            <w:pPr>
              <w:snapToGrid w:val="0"/>
              <w:jc w:val="center"/>
            </w:pPr>
            <w:r w:rsidRPr="008651ED">
              <w:t>Index</w:t>
            </w:r>
          </w:p>
        </w:tc>
      </w:tr>
      <w:tr w:rsidR="00016A1A" w:rsidRPr="008651ED" w14:paraId="4B51EB42" w14:textId="77777777" w:rsidTr="00016A1A">
        <w:trPr>
          <w:trHeight w:val="565"/>
          <w:jc w:val="center"/>
        </w:trPr>
        <w:tc>
          <w:tcPr>
            <w:tcW w:w="1324" w:type="pct"/>
            <w:vMerge/>
            <w:tcBorders>
              <w:left w:val="single" w:sz="12" w:space="0" w:color="auto"/>
              <w:bottom w:val="single" w:sz="12" w:space="0" w:color="000000"/>
              <w:right w:val="single" w:sz="12" w:space="0" w:color="000000"/>
            </w:tcBorders>
          </w:tcPr>
          <w:p w14:paraId="7EAF1B70" w14:textId="77777777" w:rsidR="00016A1A" w:rsidRPr="008651ED" w:rsidRDefault="00016A1A" w:rsidP="00016A1A">
            <w:pPr>
              <w:snapToGrid w:val="0"/>
              <w:jc w:val="right"/>
              <w:rPr>
                <w:rFonts w:ascii="Arial" w:hAnsi="Arial"/>
              </w:rPr>
            </w:pPr>
          </w:p>
        </w:tc>
        <w:tc>
          <w:tcPr>
            <w:tcW w:w="688" w:type="pct"/>
            <w:vMerge/>
            <w:tcBorders>
              <w:left w:val="single" w:sz="12" w:space="0" w:color="000000"/>
              <w:bottom w:val="single" w:sz="12" w:space="0" w:color="000000"/>
              <w:right w:val="single" w:sz="12" w:space="0" w:color="000000"/>
            </w:tcBorders>
          </w:tcPr>
          <w:p w14:paraId="1EBC9E90" w14:textId="77777777" w:rsidR="00016A1A" w:rsidRPr="008651ED" w:rsidRDefault="00016A1A" w:rsidP="00016A1A">
            <w:pPr>
              <w:snapToGrid w:val="0"/>
              <w:jc w:val="center"/>
            </w:pPr>
          </w:p>
        </w:tc>
        <w:tc>
          <w:tcPr>
            <w:tcW w:w="697" w:type="pct"/>
            <w:tcBorders>
              <w:top w:val="single" w:sz="12" w:space="0" w:color="000000"/>
              <w:left w:val="single" w:sz="12" w:space="0" w:color="000000"/>
              <w:bottom w:val="single" w:sz="12" w:space="0" w:color="000000"/>
              <w:right w:val="single" w:sz="12" w:space="0" w:color="000000"/>
            </w:tcBorders>
            <w:vAlign w:val="center"/>
          </w:tcPr>
          <w:p w14:paraId="451BABFD" w14:textId="77777777" w:rsidR="00016A1A" w:rsidRPr="008651ED" w:rsidRDefault="00016A1A" w:rsidP="00016A1A">
            <w:pPr>
              <w:tabs>
                <w:tab w:val="left" w:pos="871"/>
              </w:tabs>
              <w:snapToGrid w:val="0"/>
              <w:jc w:val="center"/>
            </w:pPr>
            <w:r w:rsidRPr="008651ED">
              <w:t>Schválený</w:t>
            </w:r>
          </w:p>
        </w:tc>
        <w:tc>
          <w:tcPr>
            <w:tcW w:w="696" w:type="pct"/>
            <w:tcBorders>
              <w:top w:val="single" w:sz="12" w:space="0" w:color="000000"/>
              <w:left w:val="single" w:sz="12" w:space="0" w:color="000000"/>
              <w:bottom w:val="single" w:sz="12" w:space="0" w:color="000000"/>
              <w:right w:val="single" w:sz="12" w:space="0" w:color="000000"/>
            </w:tcBorders>
            <w:vAlign w:val="center"/>
          </w:tcPr>
          <w:p w14:paraId="51A1F328" w14:textId="77777777" w:rsidR="00016A1A" w:rsidRPr="008651ED" w:rsidRDefault="00016A1A" w:rsidP="00016A1A">
            <w:pPr>
              <w:tabs>
                <w:tab w:val="left" w:pos="871"/>
              </w:tabs>
              <w:snapToGrid w:val="0"/>
              <w:jc w:val="center"/>
            </w:pPr>
            <w:r w:rsidRPr="008651ED">
              <w:t>Po změnách</w:t>
            </w:r>
          </w:p>
        </w:tc>
        <w:tc>
          <w:tcPr>
            <w:tcW w:w="697" w:type="pct"/>
            <w:vMerge/>
            <w:tcBorders>
              <w:left w:val="single" w:sz="12" w:space="0" w:color="000000"/>
              <w:bottom w:val="single" w:sz="12" w:space="0" w:color="000000"/>
              <w:right w:val="single" w:sz="12" w:space="0" w:color="000000"/>
            </w:tcBorders>
          </w:tcPr>
          <w:p w14:paraId="4CFA3519" w14:textId="77777777" w:rsidR="00016A1A" w:rsidRPr="008651ED" w:rsidRDefault="00016A1A" w:rsidP="00016A1A">
            <w:pPr>
              <w:snapToGrid w:val="0"/>
              <w:jc w:val="center"/>
            </w:pPr>
          </w:p>
        </w:tc>
        <w:tc>
          <w:tcPr>
            <w:tcW w:w="366" w:type="pct"/>
            <w:tcBorders>
              <w:top w:val="single" w:sz="12" w:space="0" w:color="000000"/>
              <w:left w:val="single" w:sz="12" w:space="0" w:color="000000"/>
              <w:bottom w:val="single" w:sz="12" w:space="0" w:color="000000"/>
              <w:right w:val="single" w:sz="12" w:space="0" w:color="000000"/>
            </w:tcBorders>
            <w:vAlign w:val="center"/>
          </w:tcPr>
          <w:p w14:paraId="35D3EBAE" w14:textId="77777777" w:rsidR="00016A1A" w:rsidRPr="008651ED" w:rsidRDefault="00016A1A" w:rsidP="00016A1A">
            <w:pPr>
              <w:snapToGrid w:val="0"/>
              <w:jc w:val="center"/>
            </w:pPr>
            <w:r w:rsidRPr="008651ED">
              <w:t>plnění</w:t>
            </w:r>
          </w:p>
        </w:tc>
        <w:tc>
          <w:tcPr>
            <w:tcW w:w="532" w:type="pct"/>
            <w:tcBorders>
              <w:top w:val="single" w:sz="12" w:space="0" w:color="000000"/>
              <w:left w:val="single" w:sz="12" w:space="0" w:color="000000"/>
              <w:bottom w:val="single" w:sz="12" w:space="0" w:color="000000"/>
              <w:right w:val="single" w:sz="12" w:space="0" w:color="auto"/>
            </w:tcBorders>
            <w:vAlign w:val="center"/>
          </w:tcPr>
          <w:p w14:paraId="1E0545C2" w14:textId="77777777" w:rsidR="00016A1A" w:rsidRPr="008651ED" w:rsidRDefault="00016A1A" w:rsidP="00016A1A">
            <w:pPr>
              <w:snapToGrid w:val="0"/>
              <w:jc w:val="center"/>
            </w:pPr>
            <w:r w:rsidRPr="008651ED">
              <w:t>19/18 %</w:t>
            </w:r>
          </w:p>
        </w:tc>
      </w:tr>
      <w:tr w:rsidR="00016A1A" w:rsidRPr="004B11AC" w14:paraId="0C029D42" w14:textId="77777777" w:rsidTr="00016A1A">
        <w:trPr>
          <w:trHeight w:val="838"/>
          <w:jc w:val="center"/>
        </w:trPr>
        <w:tc>
          <w:tcPr>
            <w:tcW w:w="1324" w:type="pct"/>
            <w:tcBorders>
              <w:top w:val="single" w:sz="4" w:space="0" w:color="auto"/>
              <w:left w:val="single" w:sz="12" w:space="0" w:color="auto"/>
              <w:right w:val="single" w:sz="12" w:space="0" w:color="000000"/>
            </w:tcBorders>
          </w:tcPr>
          <w:p w14:paraId="20BB1D44" w14:textId="77777777" w:rsidR="00016A1A" w:rsidRPr="008651ED" w:rsidRDefault="00016A1A" w:rsidP="00016A1A">
            <w:pPr>
              <w:snapToGrid w:val="0"/>
              <w:rPr>
                <w:b/>
              </w:rPr>
            </w:pPr>
            <w:r w:rsidRPr="008651ED">
              <w:rPr>
                <w:b/>
              </w:rPr>
              <w:t>Investiční nákupy a související výdaje OSS</w:t>
            </w:r>
          </w:p>
          <w:p w14:paraId="455E8ED2" w14:textId="77777777" w:rsidR="00016A1A" w:rsidRPr="008651ED" w:rsidRDefault="00016A1A" w:rsidP="00016A1A">
            <w:pPr>
              <w:snapToGrid w:val="0"/>
              <w:rPr>
                <w:b/>
              </w:rPr>
            </w:pPr>
            <w:r w:rsidRPr="008651ED">
              <w:t>v tom:</w:t>
            </w:r>
            <w:r w:rsidRPr="008651ED">
              <w:rPr>
                <w:b/>
              </w:rPr>
              <w:t xml:space="preserve"> </w:t>
            </w:r>
          </w:p>
        </w:tc>
        <w:tc>
          <w:tcPr>
            <w:tcW w:w="688" w:type="pct"/>
            <w:tcBorders>
              <w:top w:val="single" w:sz="4" w:space="0" w:color="auto"/>
              <w:left w:val="single" w:sz="12" w:space="0" w:color="000000"/>
              <w:right w:val="single" w:sz="12" w:space="0" w:color="000000"/>
            </w:tcBorders>
          </w:tcPr>
          <w:p w14:paraId="5799F550" w14:textId="77777777" w:rsidR="00016A1A" w:rsidRPr="008651ED" w:rsidRDefault="00016A1A" w:rsidP="00016A1A">
            <w:pPr>
              <w:jc w:val="right"/>
              <w:rPr>
                <w:b/>
              </w:rPr>
            </w:pPr>
          </w:p>
          <w:p w14:paraId="4864F4E6" w14:textId="77777777" w:rsidR="00016A1A" w:rsidRPr="008651ED" w:rsidRDefault="00016A1A" w:rsidP="00016A1A">
            <w:pPr>
              <w:jc w:val="right"/>
              <w:rPr>
                <w:b/>
              </w:rPr>
            </w:pPr>
            <w:r w:rsidRPr="008651ED">
              <w:rPr>
                <w:b/>
              </w:rPr>
              <w:t>77 143</w:t>
            </w:r>
          </w:p>
        </w:tc>
        <w:tc>
          <w:tcPr>
            <w:tcW w:w="697" w:type="pct"/>
            <w:tcBorders>
              <w:top w:val="single" w:sz="4" w:space="0" w:color="auto"/>
              <w:left w:val="single" w:sz="12" w:space="0" w:color="000000"/>
              <w:right w:val="single" w:sz="12" w:space="0" w:color="auto"/>
            </w:tcBorders>
          </w:tcPr>
          <w:p w14:paraId="6413F88A" w14:textId="77777777" w:rsidR="00016A1A" w:rsidRPr="00445DA6" w:rsidRDefault="00016A1A" w:rsidP="00016A1A">
            <w:pPr>
              <w:tabs>
                <w:tab w:val="left" w:pos="871"/>
              </w:tabs>
              <w:jc w:val="right"/>
              <w:rPr>
                <w:b/>
              </w:rPr>
            </w:pPr>
          </w:p>
          <w:p w14:paraId="6D32AFEE" w14:textId="77777777" w:rsidR="00016A1A" w:rsidRPr="00445DA6" w:rsidRDefault="00016A1A" w:rsidP="00016A1A">
            <w:pPr>
              <w:tabs>
                <w:tab w:val="left" w:pos="871"/>
              </w:tabs>
              <w:jc w:val="right"/>
              <w:rPr>
                <w:b/>
              </w:rPr>
            </w:pPr>
            <w:r w:rsidRPr="00445DA6">
              <w:rPr>
                <w:b/>
              </w:rPr>
              <w:t>93 772</w:t>
            </w:r>
          </w:p>
        </w:tc>
        <w:tc>
          <w:tcPr>
            <w:tcW w:w="696" w:type="pct"/>
            <w:tcBorders>
              <w:top w:val="single" w:sz="4" w:space="0" w:color="auto"/>
              <w:left w:val="single" w:sz="12" w:space="0" w:color="auto"/>
              <w:right w:val="single" w:sz="12" w:space="0" w:color="000000"/>
            </w:tcBorders>
          </w:tcPr>
          <w:p w14:paraId="4C942995" w14:textId="77777777" w:rsidR="00016A1A" w:rsidRPr="00464288" w:rsidRDefault="00016A1A" w:rsidP="00016A1A">
            <w:pPr>
              <w:tabs>
                <w:tab w:val="left" w:pos="871"/>
              </w:tabs>
              <w:jc w:val="right"/>
              <w:rPr>
                <w:b/>
              </w:rPr>
            </w:pPr>
          </w:p>
          <w:p w14:paraId="6B0C1729" w14:textId="77777777" w:rsidR="00016A1A" w:rsidRPr="00464288" w:rsidRDefault="00016A1A" w:rsidP="00016A1A">
            <w:pPr>
              <w:tabs>
                <w:tab w:val="left" w:pos="871"/>
              </w:tabs>
              <w:jc w:val="right"/>
              <w:rPr>
                <w:b/>
              </w:rPr>
            </w:pPr>
            <w:r w:rsidRPr="00464288">
              <w:rPr>
                <w:b/>
              </w:rPr>
              <w:t>88 864</w:t>
            </w:r>
          </w:p>
        </w:tc>
        <w:tc>
          <w:tcPr>
            <w:tcW w:w="697" w:type="pct"/>
            <w:tcBorders>
              <w:top w:val="single" w:sz="4" w:space="0" w:color="auto"/>
              <w:left w:val="single" w:sz="12" w:space="0" w:color="000000"/>
              <w:right w:val="single" w:sz="12" w:space="0" w:color="000000"/>
            </w:tcBorders>
          </w:tcPr>
          <w:p w14:paraId="49E17E86" w14:textId="77777777" w:rsidR="00016A1A" w:rsidRPr="001E3DDD" w:rsidRDefault="00016A1A" w:rsidP="00016A1A">
            <w:pPr>
              <w:jc w:val="right"/>
              <w:rPr>
                <w:b/>
              </w:rPr>
            </w:pPr>
          </w:p>
          <w:p w14:paraId="6ABFB39E" w14:textId="77777777" w:rsidR="00016A1A" w:rsidRPr="001E3DDD" w:rsidRDefault="00016A1A" w:rsidP="00016A1A">
            <w:pPr>
              <w:jc w:val="right"/>
              <w:rPr>
                <w:b/>
              </w:rPr>
            </w:pPr>
            <w:r w:rsidRPr="001E3DDD">
              <w:rPr>
                <w:b/>
              </w:rPr>
              <w:t>42 640</w:t>
            </w:r>
          </w:p>
        </w:tc>
        <w:tc>
          <w:tcPr>
            <w:tcW w:w="366" w:type="pct"/>
            <w:tcBorders>
              <w:top w:val="single" w:sz="4" w:space="0" w:color="auto"/>
              <w:left w:val="single" w:sz="12" w:space="0" w:color="000000"/>
              <w:right w:val="single" w:sz="12" w:space="0" w:color="000000"/>
            </w:tcBorders>
          </w:tcPr>
          <w:p w14:paraId="575AA58A" w14:textId="77777777" w:rsidR="00016A1A" w:rsidRPr="009240A2" w:rsidRDefault="00016A1A" w:rsidP="00016A1A">
            <w:pPr>
              <w:jc w:val="right"/>
              <w:rPr>
                <w:b/>
              </w:rPr>
            </w:pPr>
          </w:p>
          <w:p w14:paraId="4B8D839C" w14:textId="77777777" w:rsidR="00016A1A" w:rsidRPr="009240A2" w:rsidRDefault="00016A1A" w:rsidP="00016A1A">
            <w:pPr>
              <w:jc w:val="right"/>
              <w:rPr>
                <w:b/>
              </w:rPr>
            </w:pPr>
            <w:r w:rsidRPr="009240A2">
              <w:rPr>
                <w:b/>
              </w:rPr>
              <w:t>47,98</w:t>
            </w:r>
          </w:p>
        </w:tc>
        <w:tc>
          <w:tcPr>
            <w:tcW w:w="532" w:type="pct"/>
            <w:tcBorders>
              <w:top w:val="single" w:sz="4" w:space="0" w:color="auto"/>
              <w:left w:val="single" w:sz="12" w:space="0" w:color="000000"/>
              <w:right w:val="single" w:sz="12" w:space="0" w:color="auto"/>
            </w:tcBorders>
          </w:tcPr>
          <w:p w14:paraId="0EFEE7C5" w14:textId="77777777" w:rsidR="00016A1A" w:rsidRPr="009240A2" w:rsidRDefault="00016A1A" w:rsidP="00016A1A">
            <w:pPr>
              <w:jc w:val="right"/>
              <w:rPr>
                <w:b/>
              </w:rPr>
            </w:pPr>
          </w:p>
          <w:p w14:paraId="640E19DA" w14:textId="77777777" w:rsidR="00016A1A" w:rsidRPr="009240A2" w:rsidRDefault="00016A1A" w:rsidP="00016A1A">
            <w:pPr>
              <w:jc w:val="right"/>
              <w:rPr>
                <w:b/>
              </w:rPr>
            </w:pPr>
            <w:r w:rsidRPr="009240A2">
              <w:rPr>
                <w:b/>
              </w:rPr>
              <w:t>55,27</w:t>
            </w:r>
          </w:p>
        </w:tc>
      </w:tr>
      <w:tr w:rsidR="00016A1A" w:rsidRPr="004B11AC" w14:paraId="6960D564" w14:textId="77777777" w:rsidTr="00016A1A">
        <w:trPr>
          <w:trHeight w:val="221"/>
          <w:jc w:val="center"/>
        </w:trPr>
        <w:tc>
          <w:tcPr>
            <w:tcW w:w="1324" w:type="pct"/>
            <w:tcBorders>
              <w:left w:val="single" w:sz="12" w:space="0" w:color="auto"/>
              <w:right w:val="single" w:sz="12" w:space="0" w:color="000000"/>
            </w:tcBorders>
          </w:tcPr>
          <w:p w14:paraId="5B57B761" w14:textId="77777777" w:rsidR="00016A1A" w:rsidRPr="008651ED" w:rsidRDefault="00016A1A" w:rsidP="00016A1A">
            <w:pPr>
              <w:snapToGrid w:val="0"/>
            </w:pPr>
            <w:r w:rsidRPr="008651ED">
              <w:t>prostředky SR - SUV</w:t>
            </w:r>
          </w:p>
        </w:tc>
        <w:tc>
          <w:tcPr>
            <w:tcW w:w="688" w:type="pct"/>
            <w:tcBorders>
              <w:left w:val="single" w:sz="12" w:space="0" w:color="000000"/>
              <w:right w:val="single" w:sz="12" w:space="0" w:color="000000"/>
            </w:tcBorders>
          </w:tcPr>
          <w:p w14:paraId="4F22EC3D" w14:textId="77777777" w:rsidR="00016A1A" w:rsidRPr="008651ED" w:rsidRDefault="00016A1A" w:rsidP="00016A1A">
            <w:pPr>
              <w:snapToGrid w:val="0"/>
              <w:jc w:val="right"/>
            </w:pPr>
            <w:r w:rsidRPr="008651ED">
              <w:t>77 143</w:t>
            </w:r>
          </w:p>
        </w:tc>
        <w:tc>
          <w:tcPr>
            <w:tcW w:w="697" w:type="pct"/>
            <w:tcBorders>
              <w:left w:val="single" w:sz="12" w:space="0" w:color="000000"/>
              <w:right w:val="single" w:sz="12" w:space="0" w:color="auto"/>
            </w:tcBorders>
          </w:tcPr>
          <w:p w14:paraId="09CDBE80" w14:textId="77777777" w:rsidR="00016A1A" w:rsidRPr="00445DA6" w:rsidRDefault="00016A1A" w:rsidP="00016A1A">
            <w:pPr>
              <w:snapToGrid w:val="0"/>
              <w:jc w:val="right"/>
            </w:pPr>
            <w:r w:rsidRPr="00445DA6">
              <w:t>93 772</w:t>
            </w:r>
          </w:p>
        </w:tc>
        <w:tc>
          <w:tcPr>
            <w:tcW w:w="696" w:type="pct"/>
            <w:tcBorders>
              <w:left w:val="single" w:sz="12" w:space="0" w:color="auto"/>
              <w:right w:val="single" w:sz="12" w:space="0" w:color="000000"/>
            </w:tcBorders>
          </w:tcPr>
          <w:p w14:paraId="3511DBEA" w14:textId="77777777" w:rsidR="00016A1A" w:rsidRPr="00464288" w:rsidRDefault="00016A1A" w:rsidP="00016A1A">
            <w:pPr>
              <w:snapToGrid w:val="0"/>
              <w:jc w:val="right"/>
            </w:pPr>
            <w:r w:rsidRPr="00464288">
              <w:t>88 864</w:t>
            </w:r>
          </w:p>
        </w:tc>
        <w:tc>
          <w:tcPr>
            <w:tcW w:w="697" w:type="pct"/>
            <w:tcBorders>
              <w:left w:val="single" w:sz="12" w:space="0" w:color="000000"/>
              <w:right w:val="single" w:sz="12" w:space="0" w:color="000000"/>
            </w:tcBorders>
          </w:tcPr>
          <w:p w14:paraId="092E6851" w14:textId="77777777" w:rsidR="00016A1A" w:rsidRPr="001E3DDD" w:rsidRDefault="00016A1A" w:rsidP="00016A1A">
            <w:pPr>
              <w:snapToGrid w:val="0"/>
              <w:jc w:val="right"/>
            </w:pPr>
            <w:r w:rsidRPr="001E3DDD">
              <w:t>42 570</w:t>
            </w:r>
          </w:p>
        </w:tc>
        <w:tc>
          <w:tcPr>
            <w:tcW w:w="366" w:type="pct"/>
            <w:tcBorders>
              <w:left w:val="single" w:sz="12" w:space="0" w:color="000000"/>
              <w:right w:val="single" w:sz="12" w:space="0" w:color="000000"/>
            </w:tcBorders>
          </w:tcPr>
          <w:p w14:paraId="5464A9C4" w14:textId="77777777" w:rsidR="00016A1A" w:rsidRPr="009240A2" w:rsidRDefault="00016A1A" w:rsidP="00016A1A">
            <w:pPr>
              <w:snapToGrid w:val="0"/>
              <w:jc w:val="right"/>
            </w:pPr>
            <w:r w:rsidRPr="009240A2">
              <w:t>47,90</w:t>
            </w:r>
          </w:p>
        </w:tc>
        <w:tc>
          <w:tcPr>
            <w:tcW w:w="532" w:type="pct"/>
            <w:tcBorders>
              <w:left w:val="single" w:sz="12" w:space="0" w:color="000000"/>
              <w:right w:val="single" w:sz="12" w:space="0" w:color="auto"/>
            </w:tcBorders>
          </w:tcPr>
          <w:p w14:paraId="34D1A2D7" w14:textId="77777777" w:rsidR="00016A1A" w:rsidRPr="009240A2" w:rsidRDefault="00016A1A" w:rsidP="00016A1A">
            <w:pPr>
              <w:snapToGrid w:val="0"/>
              <w:jc w:val="right"/>
            </w:pPr>
            <w:r w:rsidRPr="009240A2">
              <w:t>55,18</w:t>
            </w:r>
          </w:p>
        </w:tc>
      </w:tr>
      <w:tr w:rsidR="00016A1A" w:rsidRPr="004B11AC" w14:paraId="2AFB268D" w14:textId="77777777" w:rsidTr="00016A1A">
        <w:trPr>
          <w:trHeight w:val="221"/>
          <w:jc w:val="center"/>
        </w:trPr>
        <w:tc>
          <w:tcPr>
            <w:tcW w:w="1324" w:type="pct"/>
            <w:tcBorders>
              <w:left w:val="single" w:sz="12" w:space="0" w:color="auto"/>
              <w:right w:val="single" w:sz="12" w:space="0" w:color="000000"/>
            </w:tcBorders>
          </w:tcPr>
          <w:p w14:paraId="42E73B83" w14:textId="77777777" w:rsidR="00016A1A" w:rsidRPr="008651ED" w:rsidRDefault="00016A1A" w:rsidP="00016A1A">
            <w:pPr>
              <w:snapToGrid w:val="0"/>
            </w:pPr>
            <w:r w:rsidRPr="008651ED">
              <w:t>prostředky SR - IPV</w:t>
            </w:r>
          </w:p>
        </w:tc>
        <w:tc>
          <w:tcPr>
            <w:tcW w:w="688" w:type="pct"/>
            <w:tcBorders>
              <w:left w:val="single" w:sz="12" w:space="0" w:color="000000"/>
              <w:right w:val="single" w:sz="12" w:space="0" w:color="000000"/>
            </w:tcBorders>
          </w:tcPr>
          <w:p w14:paraId="3BE2F6CB" w14:textId="77777777" w:rsidR="00016A1A" w:rsidRPr="008651ED" w:rsidRDefault="00016A1A" w:rsidP="00016A1A">
            <w:pPr>
              <w:snapToGrid w:val="0"/>
              <w:jc w:val="right"/>
            </w:pPr>
            <w:r w:rsidRPr="008651ED">
              <w:t>0</w:t>
            </w:r>
          </w:p>
        </w:tc>
        <w:tc>
          <w:tcPr>
            <w:tcW w:w="697" w:type="pct"/>
            <w:tcBorders>
              <w:left w:val="single" w:sz="12" w:space="0" w:color="000000"/>
              <w:right w:val="single" w:sz="12" w:space="0" w:color="auto"/>
            </w:tcBorders>
          </w:tcPr>
          <w:p w14:paraId="0D229A4C" w14:textId="77777777" w:rsidR="00016A1A" w:rsidRPr="00445DA6" w:rsidRDefault="00016A1A" w:rsidP="00016A1A">
            <w:pPr>
              <w:snapToGrid w:val="0"/>
              <w:jc w:val="right"/>
            </w:pPr>
            <w:r w:rsidRPr="00445DA6">
              <w:t>0</w:t>
            </w:r>
          </w:p>
        </w:tc>
        <w:tc>
          <w:tcPr>
            <w:tcW w:w="696" w:type="pct"/>
            <w:tcBorders>
              <w:left w:val="single" w:sz="12" w:space="0" w:color="auto"/>
              <w:right w:val="single" w:sz="12" w:space="0" w:color="000000"/>
            </w:tcBorders>
          </w:tcPr>
          <w:p w14:paraId="03861334" w14:textId="77777777" w:rsidR="00016A1A" w:rsidRPr="00464288" w:rsidRDefault="00016A1A" w:rsidP="00016A1A">
            <w:pPr>
              <w:snapToGrid w:val="0"/>
              <w:jc w:val="right"/>
            </w:pPr>
            <w:r w:rsidRPr="00464288">
              <w:t>0</w:t>
            </w:r>
          </w:p>
        </w:tc>
        <w:tc>
          <w:tcPr>
            <w:tcW w:w="697" w:type="pct"/>
            <w:tcBorders>
              <w:left w:val="single" w:sz="12" w:space="0" w:color="000000"/>
              <w:right w:val="single" w:sz="12" w:space="0" w:color="000000"/>
            </w:tcBorders>
          </w:tcPr>
          <w:p w14:paraId="499B7134" w14:textId="77777777" w:rsidR="00016A1A" w:rsidRPr="001E3DDD" w:rsidRDefault="00016A1A" w:rsidP="00016A1A">
            <w:pPr>
              <w:snapToGrid w:val="0"/>
              <w:jc w:val="right"/>
            </w:pPr>
            <w:r w:rsidRPr="001E3DDD">
              <w:t>0</w:t>
            </w:r>
          </w:p>
        </w:tc>
        <w:tc>
          <w:tcPr>
            <w:tcW w:w="366" w:type="pct"/>
            <w:tcBorders>
              <w:left w:val="single" w:sz="12" w:space="0" w:color="000000"/>
              <w:right w:val="single" w:sz="12" w:space="0" w:color="000000"/>
            </w:tcBorders>
          </w:tcPr>
          <w:p w14:paraId="6B52C462" w14:textId="77777777" w:rsidR="00016A1A" w:rsidRPr="009240A2" w:rsidRDefault="00016A1A" w:rsidP="00016A1A">
            <w:pPr>
              <w:snapToGrid w:val="0"/>
              <w:jc w:val="right"/>
            </w:pPr>
            <w:r w:rsidRPr="009240A2">
              <w:t>x</w:t>
            </w:r>
          </w:p>
        </w:tc>
        <w:tc>
          <w:tcPr>
            <w:tcW w:w="532" w:type="pct"/>
            <w:tcBorders>
              <w:left w:val="single" w:sz="12" w:space="0" w:color="000000"/>
              <w:right w:val="single" w:sz="12" w:space="0" w:color="auto"/>
            </w:tcBorders>
          </w:tcPr>
          <w:p w14:paraId="6144E467" w14:textId="77777777" w:rsidR="00016A1A" w:rsidRPr="009240A2" w:rsidRDefault="00016A1A" w:rsidP="00016A1A">
            <w:pPr>
              <w:snapToGrid w:val="0"/>
              <w:jc w:val="right"/>
            </w:pPr>
            <w:r w:rsidRPr="009240A2">
              <w:t>x</w:t>
            </w:r>
          </w:p>
        </w:tc>
      </w:tr>
      <w:tr w:rsidR="00016A1A" w:rsidRPr="004B11AC" w14:paraId="07B98A7B" w14:textId="77777777" w:rsidTr="00016A1A">
        <w:trPr>
          <w:trHeight w:val="221"/>
          <w:jc w:val="center"/>
        </w:trPr>
        <w:tc>
          <w:tcPr>
            <w:tcW w:w="1324" w:type="pct"/>
            <w:tcBorders>
              <w:left w:val="single" w:sz="12" w:space="0" w:color="auto"/>
              <w:bottom w:val="single" w:sz="12" w:space="0" w:color="auto"/>
              <w:right w:val="single" w:sz="12" w:space="0" w:color="000000"/>
            </w:tcBorders>
          </w:tcPr>
          <w:p w14:paraId="0002AE9E" w14:textId="77777777" w:rsidR="00016A1A" w:rsidRPr="008651ED" w:rsidRDefault="00016A1A" w:rsidP="00016A1A">
            <w:pPr>
              <w:snapToGrid w:val="0"/>
            </w:pPr>
            <w:r w:rsidRPr="008651ED">
              <w:t>prostředky EU</w:t>
            </w:r>
          </w:p>
        </w:tc>
        <w:tc>
          <w:tcPr>
            <w:tcW w:w="688" w:type="pct"/>
            <w:tcBorders>
              <w:left w:val="single" w:sz="12" w:space="0" w:color="000000"/>
              <w:bottom w:val="single" w:sz="12" w:space="0" w:color="auto"/>
              <w:right w:val="single" w:sz="12" w:space="0" w:color="000000"/>
            </w:tcBorders>
          </w:tcPr>
          <w:p w14:paraId="01F18A24" w14:textId="77777777" w:rsidR="00016A1A" w:rsidRPr="008651ED" w:rsidRDefault="00016A1A" w:rsidP="00016A1A">
            <w:pPr>
              <w:snapToGrid w:val="0"/>
              <w:jc w:val="right"/>
            </w:pPr>
            <w:r w:rsidRPr="008651ED">
              <w:t>0</w:t>
            </w:r>
          </w:p>
        </w:tc>
        <w:tc>
          <w:tcPr>
            <w:tcW w:w="697" w:type="pct"/>
            <w:tcBorders>
              <w:left w:val="single" w:sz="12" w:space="0" w:color="000000"/>
              <w:bottom w:val="single" w:sz="12" w:space="0" w:color="auto"/>
              <w:right w:val="single" w:sz="12" w:space="0" w:color="auto"/>
            </w:tcBorders>
          </w:tcPr>
          <w:p w14:paraId="2A4D3709" w14:textId="77777777" w:rsidR="00016A1A" w:rsidRPr="00445DA6" w:rsidRDefault="00016A1A" w:rsidP="00016A1A">
            <w:pPr>
              <w:snapToGrid w:val="0"/>
              <w:jc w:val="right"/>
            </w:pPr>
            <w:r w:rsidRPr="00445DA6">
              <w:t>0</w:t>
            </w:r>
          </w:p>
        </w:tc>
        <w:tc>
          <w:tcPr>
            <w:tcW w:w="696" w:type="pct"/>
            <w:tcBorders>
              <w:left w:val="single" w:sz="12" w:space="0" w:color="auto"/>
              <w:bottom w:val="single" w:sz="12" w:space="0" w:color="auto"/>
              <w:right w:val="single" w:sz="12" w:space="0" w:color="000000"/>
            </w:tcBorders>
          </w:tcPr>
          <w:p w14:paraId="6F451F2B" w14:textId="77777777" w:rsidR="00016A1A" w:rsidRPr="00464288" w:rsidRDefault="00016A1A" w:rsidP="00016A1A">
            <w:pPr>
              <w:snapToGrid w:val="0"/>
              <w:jc w:val="right"/>
            </w:pPr>
            <w:r w:rsidRPr="00464288">
              <w:t>0</w:t>
            </w:r>
          </w:p>
        </w:tc>
        <w:tc>
          <w:tcPr>
            <w:tcW w:w="697" w:type="pct"/>
            <w:tcBorders>
              <w:left w:val="single" w:sz="12" w:space="0" w:color="000000"/>
              <w:bottom w:val="single" w:sz="12" w:space="0" w:color="auto"/>
              <w:right w:val="single" w:sz="12" w:space="0" w:color="000000"/>
            </w:tcBorders>
          </w:tcPr>
          <w:p w14:paraId="49C9B69F" w14:textId="77777777" w:rsidR="00016A1A" w:rsidRPr="001E3DDD" w:rsidRDefault="00016A1A" w:rsidP="00016A1A">
            <w:pPr>
              <w:snapToGrid w:val="0"/>
              <w:jc w:val="right"/>
            </w:pPr>
            <w:r w:rsidRPr="001E3DDD">
              <w:t>70</w:t>
            </w:r>
          </w:p>
        </w:tc>
        <w:tc>
          <w:tcPr>
            <w:tcW w:w="366" w:type="pct"/>
            <w:tcBorders>
              <w:left w:val="single" w:sz="12" w:space="0" w:color="000000"/>
              <w:bottom w:val="single" w:sz="12" w:space="0" w:color="auto"/>
              <w:right w:val="single" w:sz="12" w:space="0" w:color="000000"/>
            </w:tcBorders>
          </w:tcPr>
          <w:p w14:paraId="5A6FD14B" w14:textId="77777777" w:rsidR="00016A1A" w:rsidRPr="009240A2" w:rsidRDefault="00016A1A" w:rsidP="00016A1A">
            <w:pPr>
              <w:snapToGrid w:val="0"/>
              <w:jc w:val="right"/>
            </w:pPr>
            <w:r w:rsidRPr="009240A2">
              <w:t>x</w:t>
            </w:r>
          </w:p>
        </w:tc>
        <w:tc>
          <w:tcPr>
            <w:tcW w:w="532" w:type="pct"/>
            <w:tcBorders>
              <w:left w:val="single" w:sz="12" w:space="0" w:color="000000"/>
              <w:bottom w:val="single" w:sz="12" w:space="0" w:color="auto"/>
              <w:right w:val="single" w:sz="12" w:space="0" w:color="auto"/>
            </w:tcBorders>
          </w:tcPr>
          <w:p w14:paraId="0EBD1ACB" w14:textId="77777777" w:rsidR="00016A1A" w:rsidRPr="009240A2" w:rsidRDefault="00016A1A" w:rsidP="00016A1A">
            <w:pPr>
              <w:snapToGrid w:val="0"/>
              <w:jc w:val="right"/>
            </w:pPr>
            <w:r w:rsidRPr="009240A2">
              <w:t>x</w:t>
            </w:r>
          </w:p>
        </w:tc>
      </w:tr>
      <w:tr w:rsidR="00016A1A" w:rsidRPr="004B11AC" w14:paraId="2490CBB2" w14:textId="77777777" w:rsidTr="00016A1A">
        <w:trPr>
          <w:trHeight w:val="1134"/>
          <w:jc w:val="center"/>
        </w:trPr>
        <w:tc>
          <w:tcPr>
            <w:tcW w:w="1324" w:type="pct"/>
            <w:tcBorders>
              <w:top w:val="single" w:sz="12" w:space="0" w:color="auto"/>
              <w:left w:val="single" w:sz="12" w:space="0" w:color="auto"/>
              <w:right w:val="single" w:sz="12" w:space="0" w:color="000000"/>
            </w:tcBorders>
          </w:tcPr>
          <w:p w14:paraId="74025504" w14:textId="77777777" w:rsidR="00016A1A" w:rsidRPr="008651ED" w:rsidRDefault="00016A1A" w:rsidP="00016A1A">
            <w:pPr>
              <w:snapToGrid w:val="0"/>
              <w:rPr>
                <w:b/>
              </w:rPr>
            </w:pPr>
            <w:r w:rsidRPr="008651ED">
              <w:rPr>
                <w:b/>
              </w:rPr>
              <w:t xml:space="preserve">Investiční transfery příspěvkovým                    a podobným organizacím </w:t>
            </w:r>
          </w:p>
          <w:p w14:paraId="18846D79" w14:textId="77777777" w:rsidR="00016A1A" w:rsidRPr="008651ED" w:rsidRDefault="00016A1A" w:rsidP="00016A1A">
            <w:pPr>
              <w:snapToGrid w:val="0"/>
              <w:rPr>
                <w:b/>
              </w:rPr>
            </w:pPr>
            <w:r w:rsidRPr="008651ED">
              <w:t>v tom:</w:t>
            </w:r>
          </w:p>
        </w:tc>
        <w:tc>
          <w:tcPr>
            <w:tcW w:w="688" w:type="pct"/>
            <w:tcBorders>
              <w:top w:val="single" w:sz="12" w:space="0" w:color="auto"/>
              <w:left w:val="single" w:sz="12" w:space="0" w:color="000000"/>
              <w:right w:val="single" w:sz="12" w:space="0" w:color="000000"/>
            </w:tcBorders>
          </w:tcPr>
          <w:p w14:paraId="2B68678A" w14:textId="77777777" w:rsidR="00016A1A" w:rsidRPr="008651ED" w:rsidRDefault="00016A1A" w:rsidP="00016A1A">
            <w:pPr>
              <w:jc w:val="right"/>
              <w:rPr>
                <w:b/>
              </w:rPr>
            </w:pPr>
          </w:p>
          <w:p w14:paraId="5F58F5E4" w14:textId="77777777" w:rsidR="00016A1A" w:rsidRPr="008651ED" w:rsidRDefault="00016A1A" w:rsidP="00016A1A">
            <w:pPr>
              <w:jc w:val="right"/>
              <w:rPr>
                <w:b/>
              </w:rPr>
            </w:pPr>
          </w:p>
          <w:p w14:paraId="72DE2715" w14:textId="77777777" w:rsidR="00016A1A" w:rsidRPr="008651ED" w:rsidRDefault="00016A1A" w:rsidP="00016A1A">
            <w:pPr>
              <w:jc w:val="right"/>
              <w:rPr>
                <w:b/>
              </w:rPr>
            </w:pPr>
            <w:r w:rsidRPr="008651ED">
              <w:rPr>
                <w:b/>
              </w:rPr>
              <w:t>65 630</w:t>
            </w:r>
          </w:p>
        </w:tc>
        <w:tc>
          <w:tcPr>
            <w:tcW w:w="697" w:type="pct"/>
            <w:tcBorders>
              <w:top w:val="single" w:sz="12" w:space="0" w:color="auto"/>
              <w:left w:val="single" w:sz="12" w:space="0" w:color="000000"/>
              <w:right w:val="single" w:sz="12" w:space="0" w:color="auto"/>
            </w:tcBorders>
          </w:tcPr>
          <w:p w14:paraId="4F8E491D" w14:textId="77777777" w:rsidR="00016A1A" w:rsidRPr="00445DA6" w:rsidRDefault="00016A1A" w:rsidP="00016A1A">
            <w:pPr>
              <w:jc w:val="right"/>
              <w:rPr>
                <w:b/>
              </w:rPr>
            </w:pPr>
          </w:p>
          <w:p w14:paraId="2097BA60" w14:textId="77777777" w:rsidR="00016A1A" w:rsidRPr="00445DA6" w:rsidRDefault="00016A1A" w:rsidP="00016A1A">
            <w:pPr>
              <w:jc w:val="right"/>
              <w:rPr>
                <w:b/>
              </w:rPr>
            </w:pPr>
          </w:p>
          <w:p w14:paraId="77D5AA5F" w14:textId="77777777" w:rsidR="00016A1A" w:rsidRPr="00445DA6" w:rsidRDefault="00016A1A" w:rsidP="00016A1A">
            <w:pPr>
              <w:jc w:val="right"/>
              <w:rPr>
                <w:b/>
              </w:rPr>
            </w:pPr>
            <w:r w:rsidRPr="00445DA6">
              <w:rPr>
                <w:b/>
              </w:rPr>
              <w:t>7 250</w:t>
            </w:r>
          </w:p>
        </w:tc>
        <w:tc>
          <w:tcPr>
            <w:tcW w:w="696" w:type="pct"/>
            <w:tcBorders>
              <w:top w:val="single" w:sz="12" w:space="0" w:color="auto"/>
              <w:left w:val="single" w:sz="12" w:space="0" w:color="auto"/>
              <w:right w:val="single" w:sz="12" w:space="0" w:color="000000"/>
            </w:tcBorders>
          </w:tcPr>
          <w:p w14:paraId="5AF5F2E0" w14:textId="77777777" w:rsidR="00016A1A" w:rsidRPr="00445DA6" w:rsidRDefault="00016A1A" w:rsidP="00016A1A">
            <w:pPr>
              <w:jc w:val="right"/>
              <w:rPr>
                <w:b/>
              </w:rPr>
            </w:pPr>
          </w:p>
          <w:p w14:paraId="287358AA" w14:textId="77777777" w:rsidR="00016A1A" w:rsidRPr="00445DA6" w:rsidRDefault="00016A1A" w:rsidP="00016A1A">
            <w:pPr>
              <w:jc w:val="right"/>
              <w:rPr>
                <w:b/>
              </w:rPr>
            </w:pPr>
          </w:p>
          <w:p w14:paraId="6C1D2AB3" w14:textId="77777777" w:rsidR="00016A1A" w:rsidRPr="00445DA6" w:rsidRDefault="00016A1A" w:rsidP="00016A1A">
            <w:pPr>
              <w:jc w:val="right"/>
              <w:rPr>
                <w:b/>
              </w:rPr>
            </w:pPr>
            <w:r w:rsidRPr="00445DA6">
              <w:rPr>
                <w:b/>
              </w:rPr>
              <w:t>7 250</w:t>
            </w:r>
          </w:p>
        </w:tc>
        <w:tc>
          <w:tcPr>
            <w:tcW w:w="697" w:type="pct"/>
            <w:tcBorders>
              <w:top w:val="single" w:sz="12" w:space="0" w:color="auto"/>
              <w:left w:val="single" w:sz="12" w:space="0" w:color="000000"/>
              <w:right w:val="single" w:sz="12" w:space="0" w:color="000000"/>
            </w:tcBorders>
          </w:tcPr>
          <w:p w14:paraId="35FC1707" w14:textId="77777777" w:rsidR="00016A1A" w:rsidRPr="00445DA6" w:rsidRDefault="00016A1A" w:rsidP="00016A1A">
            <w:pPr>
              <w:jc w:val="right"/>
              <w:rPr>
                <w:b/>
              </w:rPr>
            </w:pPr>
          </w:p>
          <w:p w14:paraId="230C4714" w14:textId="77777777" w:rsidR="00016A1A" w:rsidRPr="00445DA6" w:rsidRDefault="00016A1A" w:rsidP="00016A1A">
            <w:pPr>
              <w:jc w:val="right"/>
              <w:rPr>
                <w:b/>
              </w:rPr>
            </w:pPr>
          </w:p>
          <w:p w14:paraId="290F9472" w14:textId="77777777" w:rsidR="00016A1A" w:rsidRPr="00445DA6" w:rsidRDefault="00016A1A" w:rsidP="00016A1A">
            <w:pPr>
              <w:jc w:val="right"/>
              <w:rPr>
                <w:b/>
              </w:rPr>
            </w:pPr>
            <w:r w:rsidRPr="00445DA6">
              <w:rPr>
                <w:b/>
              </w:rPr>
              <w:t>7 250</w:t>
            </w:r>
          </w:p>
        </w:tc>
        <w:tc>
          <w:tcPr>
            <w:tcW w:w="366" w:type="pct"/>
            <w:tcBorders>
              <w:top w:val="single" w:sz="12" w:space="0" w:color="auto"/>
              <w:left w:val="single" w:sz="12" w:space="0" w:color="000000"/>
              <w:right w:val="single" w:sz="12" w:space="0" w:color="000000"/>
            </w:tcBorders>
          </w:tcPr>
          <w:p w14:paraId="55BEAC82" w14:textId="77777777" w:rsidR="00016A1A" w:rsidRPr="00AE0102" w:rsidRDefault="00016A1A" w:rsidP="00016A1A">
            <w:pPr>
              <w:jc w:val="right"/>
              <w:rPr>
                <w:b/>
              </w:rPr>
            </w:pPr>
          </w:p>
          <w:p w14:paraId="0EECE1EE" w14:textId="77777777" w:rsidR="00016A1A" w:rsidRPr="00AE0102" w:rsidRDefault="00016A1A" w:rsidP="00016A1A">
            <w:pPr>
              <w:jc w:val="right"/>
              <w:rPr>
                <w:b/>
              </w:rPr>
            </w:pPr>
          </w:p>
          <w:p w14:paraId="30A40DC0" w14:textId="77777777" w:rsidR="00016A1A" w:rsidRPr="00AE0102" w:rsidRDefault="00016A1A" w:rsidP="00016A1A">
            <w:pPr>
              <w:jc w:val="right"/>
              <w:rPr>
                <w:b/>
              </w:rPr>
            </w:pPr>
            <w:r w:rsidRPr="00AE0102">
              <w:rPr>
                <w:b/>
              </w:rPr>
              <w:t>100,00</w:t>
            </w:r>
          </w:p>
        </w:tc>
        <w:tc>
          <w:tcPr>
            <w:tcW w:w="532" w:type="pct"/>
            <w:tcBorders>
              <w:top w:val="single" w:sz="12" w:space="0" w:color="auto"/>
              <w:left w:val="single" w:sz="12" w:space="0" w:color="000000"/>
              <w:right w:val="single" w:sz="12" w:space="0" w:color="auto"/>
            </w:tcBorders>
          </w:tcPr>
          <w:p w14:paraId="20B0519F" w14:textId="77777777" w:rsidR="00016A1A" w:rsidRPr="009240A2" w:rsidRDefault="00016A1A" w:rsidP="00016A1A"/>
          <w:p w14:paraId="2738168E" w14:textId="77777777" w:rsidR="00016A1A" w:rsidRPr="009240A2" w:rsidRDefault="00016A1A" w:rsidP="00016A1A"/>
          <w:p w14:paraId="2DC61E9A" w14:textId="77777777" w:rsidR="00016A1A" w:rsidRPr="009240A2" w:rsidRDefault="00016A1A" w:rsidP="00016A1A">
            <w:pPr>
              <w:jc w:val="right"/>
            </w:pPr>
            <w:r w:rsidRPr="009240A2">
              <w:t>11,05</w:t>
            </w:r>
          </w:p>
        </w:tc>
      </w:tr>
      <w:tr w:rsidR="00016A1A" w:rsidRPr="004B11AC" w14:paraId="5D14B9D4" w14:textId="77777777" w:rsidTr="00016A1A">
        <w:trPr>
          <w:trHeight w:val="221"/>
          <w:jc w:val="center"/>
        </w:trPr>
        <w:tc>
          <w:tcPr>
            <w:tcW w:w="1324" w:type="pct"/>
            <w:tcBorders>
              <w:left w:val="single" w:sz="12" w:space="0" w:color="auto"/>
              <w:bottom w:val="single" w:sz="12" w:space="0" w:color="auto"/>
              <w:right w:val="single" w:sz="12" w:space="0" w:color="000000"/>
            </w:tcBorders>
          </w:tcPr>
          <w:p w14:paraId="61E325A8" w14:textId="77777777" w:rsidR="00016A1A" w:rsidRPr="008651ED" w:rsidRDefault="00016A1A" w:rsidP="00016A1A">
            <w:pPr>
              <w:snapToGrid w:val="0"/>
            </w:pPr>
            <w:r w:rsidRPr="008651ED">
              <w:t>prostředky SR - SD</w:t>
            </w:r>
          </w:p>
          <w:p w14:paraId="62288E7F" w14:textId="77777777" w:rsidR="00016A1A" w:rsidRPr="008651ED" w:rsidRDefault="00016A1A" w:rsidP="00016A1A">
            <w:r w:rsidRPr="008651ED">
              <w:t>prostředky SR - ID</w:t>
            </w:r>
          </w:p>
          <w:p w14:paraId="48EF90A0" w14:textId="77777777" w:rsidR="00016A1A" w:rsidRPr="008651ED" w:rsidRDefault="00016A1A" w:rsidP="00016A1A">
            <w:r w:rsidRPr="008651ED">
              <w:t>prostředky EU</w:t>
            </w:r>
          </w:p>
          <w:p w14:paraId="298C38F2" w14:textId="77777777" w:rsidR="00016A1A" w:rsidRPr="008651ED" w:rsidRDefault="00016A1A" w:rsidP="00016A1A">
            <w:r w:rsidRPr="008651ED">
              <w:t>výzkum, vývoj a inovace</w:t>
            </w:r>
          </w:p>
        </w:tc>
        <w:tc>
          <w:tcPr>
            <w:tcW w:w="688" w:type="pct"/>
            <w:tcBorders>
              <w:left w:val="single" w:sz="12" w:space="0" w:color="000000"/>
              <w:bottom w:val="single" w:sz="12" w:space="0" w:color="auto"/>
              <w:right w:val="single" w:sz="12" w:space="0" w:color="000000"/>
            </w:tcBorders>
          </w:tcPr>
          <w:p w14:paraId="03716832" w14:textId="77777777" w:rsidR="00016A1A" w:rsidRPr="008651ED" w:rsidRDefault="00016A1A" w:rsidP="00016A1A">
            <w:pPr>
              <w:jc w:val="right"/>
            </w:pPr>
            <w:r w:rsidRPr="008651ED">
              <w:t>58 081</w:t>
            </w:r>
          </w:p>
          <w:p w14:paraId="30B6F632" w14:textId="77777777" w:rsidR="00016A1A" w:rsidRPr="008651ED" w:rsidRDefault="00016A1A" w:rsidP="00016A1A">
            <w:pPr>
              <w:jc w:val="right"/>
            </w:pPr>
            <w:r w:rsidRPr="008651ED">
              <w:t>0</w:t>
            </w:r>
          </w:p>
          <w:p w14:paraId="760FA032" w14:textId="77777777" w:rsidR="00016A1A" w:rsidRPr="008651ED" w:rsidRDefault="00016A1A" w:rsidP="00016A1A">
            <w:pPr>
              <w:jc w:val="right"/>
            </w:pPr>
            <w:r w:rsidRPr="008651ED">
              <w:t>0</w:t>
            </w:r>
          </w:p>
          <w:p w14:paraId="50819BAB" w14:textId="77777777" w:rsidR="00016A1A" w:rsidRPr="008651ED" w:rsidRDefault="00016A1A" w:rsidP="00016A1A">
            <w:pPr>
              <w:jc w:val="right"/>
            </w:pPr>
            <w:r w:rsidRPr="008651ED">
              <w:t>7 549</w:t>
            </w:r>
          </w:p>
        </w:tc>
        <w:tc>
          <w:tcPr>
            <w:tcW w:w="697" w:type="pct"/>
            <w:tcBorders>
              <w:left w:val="single" w:sz="12" w:space="0" w:color="000000"/>
              <w:bottom w:val="single" w:sz="12" w:space="0" w:color="auto"/>
              <w:right w:val="single" w:sz="12" w:space="0" w:color="auto"/>
            </w:tcBorders>
          </w:tcPr>
          <w:p w14:paraId="173DD28E" w14:textId="77777777" w:rsidR="00016A1A" w:rsidRPr="00445DA6" w:rsidRDefault="00016A1A" w:rsidP="00016A1A">
            <w:pPr>
              <w:jc w:val="right"/>
            </w:pPr>
            <w:r w:rsidRPr="00445DA6">
              <w:t>0</w:t>
            </w:r>
          </w:p>
          <w:p w14:paraId="39C3467C" w14:textId="77777777" w:rsidR="00016A1A" w:rsidRPr="00445DA6" w:rsidRDefault="00016A1A" w:rsidP="00016A1A">
            <w:pPr>
              <w:jc w:val="right"/>
            </w:pPr>
            <w:r w:rsidRPr="00445DA6">
              <w:t>0</w:t>
            </w:r>
          </w:p>
          <w:p w14:paraId="1373E608" w14:textId="77777777" w:rsidR="00016A1A" w:rsidRPr="00445DA6" w:rsidRDefault="00016A1A" w:rsidP="00016A1A">
            <w:pPr>
              <w:jc w:val="right"/>
            </w:pPr>
            <w:r w:rsidRPr="00445DA6">
              <w:t>0</w:t>
            </w:r>
          </w:p>
          <w:p w14:paraId="604C725B" w14:textId="77777777" w:rsidR="00016A1A" w:rsidRPr="00445DA6" w:rsidRDefault="00016A1A" w:rsidP="00016A1A">
            <w:pPr>
              <w:jc w:val="right"/>
            </w:pPr>
            <w:r w:rsidRPr="00445DA6">
              <w:t>7 250</w:t>
            </w:r>
          </w:p>
        </w:tc>
        <w:tc>
          <w:tcPr>
            <w:tcW w:w="696" w:type="pct"/>
            <w:tcBorders>
              <w:left w:val="single" w:sz="12" w:space="0" w:color="auto"/>
              <w:bottom w:val="single" w:sz="12" w:space="0" w:color="auto"/>
              <w:right w:val="single" w:sz="12" w:space="0" w:color="000000"/>
            </w:tcBorders>
          </w:tcPr>
          <w:p w14:paraId="6FCC08C3" w14:textId="77777777" w:rsidR="00016A1A" w:rsidRPr="00445DA6" w:rsidRDefault="00016A1A" w:rsidP="00016A1A">
            <w:pPr>
              <w:jc w:val="right"/>
            </w:pPr>
            <w:r w:rsidRPr="00445DA6">
              <w:t>0</w:t>
            </w:r>
          </w:p>
          <w:p w14:paraId="01791CC7" w14:textId="77777777" w:rsidR="00016A1A" w:rsidRPr="00445DA6" w:rsidRDefault="00016A1A" w:rsidP="00016A1A">
            <w:pPr>
              <w:jc w:val="right"/>
            </w:pPr>
            <w:r w:rsidRPr="00445DA6">
              <w:t>0</w:t>
            </w:r>
          </w:p>
          <w:p w14:paraId="1E519C31" w14:textId="77777777" w:rsidR="00016A1A" w:rsidRPr="00445DA6" w:rsidRDefault="00016A1A" w:rsidP="00016A1A">
            <w:pPr>
              <w:jc w:val="right"/>
            </w:pPr>
            <w:r w:rsidRPr="00445DA6">
              <w:t>0</w:t>
            </w:r>
          </w:p>
          <w:p w14:paraId="3BE1C97C" w14:textId="77777777" w:rsidR="00016A1A" w:rsidRPr="00445DA6" w:rsidRDefault="00016A1A" w:rsidP="00016A1A">
            <w:pPr>
              <w:jc w:val="right"/>
            </w:pPr>
            <w:r w:rsidRPr="00445DA6">
              <w:t>7 250</w:t>
            </w:r>
          </w:p>
        </w:tc>
        <w:tc>
          <w:tcPr>
            <w:tcW w:w="697" w:type="pct"/>
            <w:tcBorders>
              <w:left w:val="single" w:sz="12" w:space="0" w:color="000000"/>
              <w:bottom w:val="single" w:sz="12" w:space="0" w:color="auto"/>
              <w:right w:val="single" w:sz="12" w:space="0" w:color="000000"/>
            </w:tcBorders>
          </w:tcPr>
          <w:p w14:paraId="5FFB7C8A" w14:textId="77777777" w:rsidR="00016A1A" w:rsidRPr="00445DA6" w:rsidRDefault="00016A1A" w:rsidP="00016A1A">
            <w:pPr>
              <w:jc w:val="right"/>
            </w:pPr>
            <w:r w:rsidRPr="00445DA6">
              <w:t>0</w:t>
            </w:r>
          </w:p>
          <w:p w14:paraId="4DE59E3D" w14:textId="77777777" w:rsidR="00016A1A" w:rsidRPr="00445DA6" w:rsidRDefault="00016A1A" w:rsidP="00016A1A">
            <w:pPr>
              <w:jc w:val="right"/>
            </w:pPr>
            <w:r w:rsidRPr="00445DA6">
              <w:t>0</w:t>
            </w:r>
          </w:p>
          <w:p w14:paraId="7CF45768" w14:textId="77777777" w:rsidR="00016A1A" w:rsidRPr="00445DA6" w:rsidRDefault="00016A1A" w:rsidP="00016A1A">
            <w:pPr>
              <w:jc w:val="right"/>
            </w:pPr>
            <w:r w:rsidRPr="00445DA6">
              <w:t>0</w:t>
            </w:r>
          </w:p>
          <w:p w14:paraId="44CA3B66" w14:textId="77777777" w:rsidR="00016A1A" w:rsidRPr="00445DA6" w:rsidRDefault="00016A1A" w:rsidP="00016A1A">
            <w:pPr>
              <w:jc w:val="right"/>
            </w:pPr>
            <w:r w:rsidRPr="00445DA6">
              <w:t>7 250</w:t>
            </w:r>
          </w:p>
        </w:tc>
        <w:tc>
          <w:tcPr>
            <w:tcW w:w="366" w:type="pct"/>
            <w:tcBorders>
              <w:left w:val="single" w:sz="12" w:space="0" w:color="000000"/>
              <w:bottom w:val="single" w:sz="12" w:space="0" w:color="auto"/>
              <w:right w:val="single" w:sz="12" w:space="0" w:color="000000"/>
            </w:tcBorders>
          </w:tcPr>
          <w:p w14:paraId="1D559365" w14:textId="77777777" w:rsidR="00016A1A" w:rsidRPr="00AE0102" w:rsidRDefault="00016A1A" w:rsidP="00016A1A">
            <w:pPr>
              <w:jc w:val="right"/>
            </w:pPr>
            <w:r w:rsidRPr="00AE0102">
              <w:t>x</w:t>
            </w:r>
          </w:p>
          <w:p w14:paraId="77044D46" w14:textId="77777777" w:rsidR="00016A1A" w:rsidRPr="00AE0102" w:rsidRDefault="00016A1A" w:rsidP="00016A1A">
            <w:pPr>
              <w:jc w:val="right"/>
            </w:pPr>
            <w:r w:rsidRPr="00AE0102">
              <w:t>x</w:t>
            </w:r>
          </w:p>
          <w:p w14:paraId="7B15707C" w14:textId="77777777" w:rsidR="00016A1A" w:rsidRPr="00AE0102" w:rsidRDefault="00016A1A" w:rsidP="00016A1A">
            <w:pPr>
              <w:jc w:val="right"/>
            </w:pPr>
            <w:r w:rsidRPr="00AE0102">
              <w:t>x</w:t>
            </w:r>
          </w:p>
          <w:p w14:paraId="00894135" w14:textId="77777777" w:rsidR="00016A1A" w:rsidRPr="00AE0102" w:rsidRDefault="00016A1A" w:rsidP="00016A1A">
            <w:pPr>
              <w:jc w:val="right"/>
            </w:pPr>
            <w:r w:rsidRPr="00AE0102">
              <w:t>100,00</w:t>
            </w:r>
          </w:p>
        </w:tc>
        <w:tc>
          <w:tcPr>
            <w:tcW w:w="532" w:type="pct"/>
            <w:tcBorders>
              <w:left w:val="single" w:sz="12" w:space="0" w:color="000000"/>
              <w:bottom w:val="single" w:sz="12" w:space="0" w:color="auto"/>
              <w:right w:val="single" w:sz="12" w:space="0" w:color="auto"/>
            </w:tcBorders>
          </w:tcPr>
          <w:p w14:paraId="2C9740FB" w14:textId="77777777" w:rsidR="00016A1A" w:rsidRPr="009240A2" w:rsidRDefault="00016A1A" w:rsidP="00016A1A">
            <w:pPr>
              <w:jc w:val="right"/>
            </w:pPr>
            <w:r w:rsidRPr="009240A2">
              <w:t>0,00</w:t>
            </w:r>
          </w:p>
          <w:p w14:paraId="41A4B5E6" w14:textId="77777777" w:rsidR="00016A1A" w:rsidRPr="009240A2" w:rsidRDefault="00016A1A" w:rsidP="00016A1A">
            <w:pPr>
              <w:jc w:val="right"/>
            </w:pPr>
            <w:r w:rsidRPr="009240A2">
              <w:t>x</w:t>
            </w:r>
          </w:p>
          <w:p w14:paraId="66E3204A" w14:textId="77777777" w:rsidR="00016A1A" w:rsidRPr="009240A2" w:rsidRDefault="00016A1A" w:rsidP="00016A1A">
            <w:pPr>
              <w:jc w:val="right"/>
            </w:pPr>
            <w:r w:rsidRPr="009240A2">
              <w:t>x</w:t>
            </w:r>
          </w:p>
          <w:p w14:paraId="325AB669" w14:textId="77777777" w:rsidR="00016A1A" w:rsidRPr="009240A2" w:rsidRDefault="00016A1A" w:rsidP="00016A1A">
            <w:pPr>
              <w:jc w:val="right"/>
            </w:pPr>
            <w:r w:rsidRPr="009240A2">
              <w:t>96,04</w:t>
            </w:r>
          </w:p>
        </w:tc>
      </w:tr>
      <w:tr w:rsidR="00016A1A" w:rsidRPr="004B11AC" w14:paraId="2EA8FFE0" w14:textId="77777777" w:rsidTr="00016A1A">
        <w:trPr>
          <w:trHeight w:val="858"/>
          <w:jc w:val="center"/>
        </w:trPr>
        <w:tc>
          <w:tcPr>
            <w:tcW w:w="1324" w:type="pct"/>
            <w:tcBorders>
              <w:top w:val="single" w:sz="12" w:space="0" w:color="auto"/>
              <w:left w:val="single" w:sz="12" w:space="0" w:color="auto"/>
              <w:right w:val="single" w:sz="12" w:space="0" w:color="000000"/>
            </w:tcBorders>
          </w:tcPr>
          <w:p w14:paraId="7F29D221" w14:textId="77777777" w:rsidR="00016A1A" w:rsidRPr="008651ED" w:rsidRDefault="00016A1A" w:rsidP="00016A1A">
            <w:pPr>
              <w:snapToGrid w:val="0"/>
              <w:rPr>
                <w:b/>
              </w:rPr>
            </w:pPr>
            <w:r w:rsidRPr="008651ED">
              <w:rPr>
                <w:b/>
              </w:rPr>
              <w:t>Investiční transfery podnik. subjektům</w:t>
            </w:r>
          </w:p>
          <w:p w14:paraId="026F2D36" w14:textId="77777777" w:rsidR="00016A1A" w:rsidRPr="008651ED" w:rsidRDefault="00016A1A" w:rsidP="00016A1A">
            <w:pPr>
              <w:snapToGrid w:val="0"/>
              <w:rPr>
                <w:b/>
              </w:rPr>
            </w:pPr>
            <w:r w:rsidRPr="008651ED">
              <w:t>v tom:</w:t>
            </w:r>
          </w:p>
        </w:tc>
        <w:tc>
          <w:tcPr>
            <w:tcW w:w="688" w:type="pct"/>
            <w:tcBorders>
              <w:top w:val="single" w:sz="12" w:space="0" w:color="auto"/>
              <w:left w:val="single" w:sz="12" w:space="0" w:color="000000"/>
              <w:right w:val="single" w:sz="12" w:space="0" w:color="000000"/>
            </w:tcBorders>
          </w:tcPr>
          <w:p w14:paraId="7E260F69" w14:textId="77777777" w:rsidR="00016A1A" w:rsidRPr="008651ED" w:rsidRDefault="00016A1A" w:rsidP="00016A1A">
            <w:pPr>
              <w:jc w:val="right"/>
              <w:rPr>
                <w:b/>
              </w:rPr>
            </w:pPr>
          </w:p>
          <w:p w14:paraId="152A2217" w14:textId="77777777" w:rsidR="00016A1A" w:rsidRPr="008651ED" w:rsidRDefault="00016A1A" w:rsidP="00016A1A">
            <w:pPr>
              <w:jc w:val="right"/>
              <w:rPr>
                <w:b/>
              </w:rPr>
            </w:pPr>
            <w:r w:rsidRPr="008651ED">
              <w:rPr>
                <w:b/>
              </w:rPr>
              <w:t>1 528</w:t>
            </w:r>
          </w:p>
        </w:tc>
        <w:tc>
          <w:tcPr>
            <w:tcW w:w="697" w:type="pct"/>
            <w:tcBorders>
              <w:top w:val="single" w:sz="12" w:space="0" w:color="auto"/>
              <w:left w:val="single" w:sz="12" w:space="0" w:color="000000"/>
              <w:right w:val="single" w:sz="12" w:space="0" w:color="auto"/>
            </w:tcBorders>
          </w:tcPr>
          <w:p w14:paraId="0C6A88FA" w14:textId="77777777" w:rsidR="00016A1A" w:rsidRPr="00445DA6" w:rsidRDefault="00016A1A" w:rsidP="00016A1A">
            <w:pPr>
              <w:jc w:val="right"/>
              <w:rPr>
                <w:b/>
              </w:rPr>
            </w:pPr>
          </w:p>
          <w:p w14:paraId="6E159045" w14:textId="77777777" w:rsidR="00016A1A" w:rsidRPr="00445DA6" w:rsidRDefault="00016A1A" w:rsidP="00016A1A">
            <w:pPr>
              <w:jc w:val="right"/>
              <w:rPr>
                <w:b/>
              </w:rPr>
            </w:pPr>
            <w:r w:rsidRPr="00445DA6">
              <w:rPr>
                <w:b/>
              </w:rPr>
              <w:t>37 485</w:t>
            </w:r>
          </w:p>
        </w:tc>
        <w:tc>
          <w:tcPr>
            <w:tcW w:w="696" w:type="pct"/>
            <w:tcBorders>
              <w:top w:val="single" w:sz="12" w:space="0" w:color="auto"/>
              <w:left w:val="single" w:sz="12" w:space="0" w:color="auto"/>
              <w:right w:val="single" w:sz="12" w:space="0" w:color="000000"/>
            </w:tcBorders>
          </w:tcPr>
          <w:p w14:paraId="4C4CA2C6" w14:textId="77777777" w:rsidR="00016A1A" w:rsidRPr="00445DA6" w:rsidRDefault="00016A1A" w:rsidP="00016A1A">
            <w:pPr>
              <w:jc w:val="right"/>
              <w:rPr>
                <w:b/>
              </w:rPr>
            </w:pPr>
          </w:p>
          <w:p w14:paraId="330D5B93" w14:textId="77777777" w:rsidR="00016A1A" w:rsidRPr="00445DA6" w:rsidRDefault="00016A1A" w:rsidP="00016A1A">
            <w:pPr>
              <w:jc w:val="right"/>
              <w:rPr>
                <w:b/>
              </w:rPr>
            </w:pPr>
            <w:r w:rsidRPr="00445DA6">
              <w:rPr>
                <w:b/>
              </w:rPr>
              <w:t>37 485</w:t>
            </w:r>
          </w:p>
        </w:tc>
        <w:tc>
          <w:tcPr>
            <w:tcW w:w="697" w:type="pct"/>
            <w:tcBorders>
              <w:top w:val="single" w:sz="12" w:space="0" w:color="auto"/>
              <w:left w:val="single" w:sz="12" w:space="0" w:color="000000"/>
              <w:right w:val="single" w:sz="12" w:space="0" w:color="000000"/>
            </w:tcBorders>
          </w:tcPr>
          <w:p w14:paraId="227EE17C" w14:textId="77777777" w:rsidR="00016A1A" w:rsidRPr="00AE0102" w:rsidRDefault="00016A1A" w:rsidP="00016A1A">
            <w:pPr>
              <w:jc w:val="right"/>
              <w:rPr>
                <w:b/>
              </w:rPr>
            </w:pPr>
          </w:p>
          <w:p w14:paraId="789D05AB" w14:textId="77777777" w:rsidR="00016A1A" w:rsidRPr="00AE0102" w:rsidRDefault="00016A1A" w:rsidP="00016A1A">
            <w:pPr>
              <w:jc w:val="right"/>
              <w:rPr>
                <w:b/>
              </w:rPr>
            </w:pPr>
            <w:r w:rsidRPr="00AE0102">
              <w:rPr>
                <w:b/>
              </w:rPr>
              <w:t>1 145</w:t>
            </w:r>
          </w:p>
        </w:tc>
        <w:tc>
          <w:tcPr>
            <w:tcW w:w="366" w:type="pct"/>
            <w:tcBorders>
              <w:top w:val="single" w:sz="12" w:space="0" w:color="auto"/>
              <w:left w:val="single" w:sz="12" w:space="0" w:color="000000"/>
              <w:right w:val="single" w:sz="12" w:space="0" w:color="000000"/>
            </w:tcBorders>
          </w:tcPr>
          <w:p w14:paraId="3AEF7718" w14:textId="77777777" w:rsidR="00016A1A" w:rsidRPr="009240A2" w:rsidRDefault="00016A1A" w:rsidP="00016A1A">
            <w:pPr>
              <w:jc w:val="right"/>
              <w:rPr>
                <w:b/>
              </w:rPr>
            </w:pPr>
          </w:p>
          <w:p w14:paraId="0FB8A4DF" w14:textId="77777777" w:rsidR="00016A1A" w:rsidRPr="009240A2" w:rsidRDefault="00016A1A" w:rsidP="00016A1A">
            <w:pPr>
              <w:jc w:val="right"/>
              <w:rPr>
                <w:b/>
              </w:rPr>
            </w:pPr>
            <w:r w:rsidRPr="009240A2">
              <w:rPr>
                <w:b/>
              </w:rPr>
              <w:t>3,05</w:t>
            </w:r>
          </w:p>
        </w:tc>
        <w:tc>
          <w:tcPr>
            <w:tcW w:w="532" w:type="pct"/>
            <w:tcBorders>
              <w:top w:val="single" w:sz="12" w:space="0" w:color="auto"/>
              <w:left w:val="single" w:sz="12" w:space="0" w:color="000000"/>
              <w:right w:val="single" w:sz="12" w:space="0" w:color="auto"/>
            </w:tcBorders>
          </w:tcPr>
          <w:p w14:paraId="3999A7A0" w14:textId="77777777" w:rsidR="00016A1A" w:rsidRPr="009240A2" w:rsidRDefault="00016A1A" w:rsidP="00016A1A">
            <w:pPr>
              <w:jc w:val="right"/>
              <w:rPr>
                <w:b/>
              </w:rPr>
            </w:pPr>
          </w:p>
          <w:p w14:paraId="56C069D5" w14:textId="77777777" w:rsidR="00016A1A" w:rsidRPr="009240A2" w:rsidRDefault="00016A1A" w:rsidP="00016A1A">
            <w:pPr>
              <w:jc w:val="right"/>
              <w:rPr>
                <w:b/>
              </w:rPr>
            </w:pPr>
            <w:r w:rsidRPr="009240A2">
              <w:rPr>
                <w:b/>
              </w:rPr>
              <w:t>74,93</w:t>
            </w:r>
          </w:p>
        </w:tc>
      </w:tr>
      <w:tr w:rsidR="00016A1A" w:rsidRPr="004B11AC" w14:paraId="3A98C9A1" w14:textId="77777777" w:rsidTr="00016A1A">
        <w:trPr>
          <w:trHeight w:val="574"/>
          <w:jc w:val="center"/>
        </w:trPr>
        <w:tc>
          <w:tcPr>
            <w:tcW w:w="1324" w:type="pct"/>
            <w:tcBorders>
              <w:left w:val="single" w:sz="12" w:space="0" w:color="auto"/>
              <w:right w:val="single" w:sz="12" w:space="0" w:color="000000"/>
            </w:tcBorders>
          </w:tcPr>
          <w:p w14:paraId="246CF2A4" w14:textId="77777777" w:rsidR="00016A1A" w:rsidRPr="008651ED" w:rsidRDefault="00016A1A" w:rsidP="00016A1A">
            <w:pPr>
              <w:snapToGrid w:val="0"/>
            </w:pPr>
            <w:r w:rsidRPr="008651ED">
              <w:t>prostředky SR - SD</w:t>
            </w:r>
          </w:p>
          <w:p w14:paraId="02A55540" w14:textId="77777777" w:rsidR="00016A1A" w:rsidRPr="008651ED" w:rsidRDefault="00016A1A" w:rsidP="00016A1A">
            <w:r w:rsidRPr="008651ED">
              <w:t>prostředky SR – ID</w:t>
            </w:r>
          </w:p>
        </w:tc>
        <w:tc>
          <w:tcPr>
            <w:tcW w:w="688" w:type="pct"/>
            <w:tcBorders>
              <w:left w:val="single" w:sz="12" w:space="0" w:color="000000"/>
              <w:right w:val="single" w:sz="12" w:space="0" w:color="000000"/>
            </w:tcBorders>
          </w:tcPr>
          <w:p w14:paraId="1BC4194C" w14:textId="77777777" w:rsidR="00016A1A" w:rsidRPr="008651ED" w:rsidRDefault="00016A1A" w:rsidP="00016A1A">
            <w:pPr>
              <w:jc w:val="right"/>
            </w:pPr>
            <w:r w:rsidRPr="008651ED">
              <w:t>0</w:t>
            </w:r>
          </w:p>
          <w:p w14:paraId="4D0B300F" w14:textId="77777777" w:rsidR="00016A1A" w:rsidRPr="008651ED" w:rsidRDefault="00016A1A" w:rsidP="00016A1A">
            <w:pPr>
              <w:jc w:val="right"/>
            </w:pPr>
            <w:r w:rsidRPr="008651ED">
              <w:t>0</w:t>
            </w:r>
          </w:p>
        </w:tc>
        <w:tc>
          <w:tcPr>
            <w:tcW w:w="697" w:type="pct"/>
            <w:tcBorders>
              <w:left w:val="single" w:sz="12" w:space="0" w:color="000000"/>
              <w:right w:val="single" w:sz="12" w:space="0" w:color="auto"/>
            </w:tcBorders>
          </w:tcPr>
          <w:p w14:paraId="413F89D0" w14:textId="77777777" w:rsidR="00016A1A" w:rsidRPr="00445DA6" w:rsidRDefault="00016A1A" w:rsidP="00016A1A">
            <w:pPr>
              <w:jc w:val="right"/>
            </w:pPr>
            <w:r w:rsidRPr="00445DA6">
              <w:t>0</w:t>
            </w:r>
          </w:p>
          <w:p w14:paraId="3D96CCA6" w14:textId="77777777" w:rsidR="00016A1A" w:rsidRPr="00445DA6" w:rsidRDefault="00016A1A" w:rsidP="00016A1A">
            <w:pPr>
              <w:jc w:val="right"/>
            </w:pPr>
            <w:r w:rsidRPr="00445DA6">
              <w:t>0</w:t>
            </w:r>
          </w:p>
        </w:tc>
        <w:tc>
          <w:tcPr>
            <w:tcW w:w="696" w:type="pct"/>
            <w:tcBorders>
              <w:left w:val="single" w:sz="12" w:space="0" w:color="auto"/>
              <w:right w:val="single" w:sz="12" w:space="0" w:color="000000"/>
            </w:tcBorders>
          </w:tcPr>
          <w:p w14:paraId="5D35DF35" w14:textId="77777777" w:rsidR="00016A1A" w:rsidRPr="00445DA6" w:rsidRDefault="00016A1A" w:rsidP="00016A1A">
            <w:pPr>
              <w:jc w:val="right"/>
            </w:pPr>
            <w:r w:rsidRPr="00445DA6">
              <w:t>0</w:t>
            </w:r>
          </w:p>
          <w:p w14:paraId="76C0EB76" w14:textId="77777777" w:rsidR="00016A1A" w:rsidRPr="00445DA6" w:rsidRDefault="00016A1A" w:rsidP="00016A1A">
            <w:pPr>
              <w:jc w:val="right"/>
            </w:pPr>
            <w:r w:rsidRPr="00445DA6">
              <w:t>0</w:t>
            </w:r>
          </w:p>
        </w:tc>
        <w:tc>
          <w:tcPr>
            <w:tcW w:w="697" w:type="pct"/>
            <w:tcBorders>
              <w:left w:val="single" w:sz="12" w:space="0" w:color="000000"/>
              <w:right w:val="single" w:sz="12" w:space="0" w:color="000000"/>
            </w:tcBorders>
          </w:tcPr>
          <w:p w14:paraId="62160DB1" w14:textId="77777777" w:rsidR="00016A1A" w:rsidRPr="00AE0102" w:rsidRDefault="00016A1A" w:rsidP="00016A1A">
            <w:pPr>
              <w:jc w:val="right"/>
            </w:pPr>
            <w:r w:rsidRPr="00AE0102">
              <w:t>0</w:t>
            </w:r>
          </w:p>
          <w:p w14:paraId="03183B03" w14:textId="77777777" w:rsidR="00016A1A" w:rsidRPr="00AE0102" w:rsidRDefault="00016A1A" w:rsidP="00016A1A">
            <w:pPr>
              <w:jc w:val="right"/>
            </w:pPr>
            <w:r w:rsidRPr="00AE0102">
              <w:t>0</w:t>
            </w:r>
          </w:p>
        </w:tc>
        <w:tc>
          <w:tcPr>
            <w:tcW w:w="366" w:type="pct"/>
            <w:tcBorders>
              <w:left w:val="single" w:sz="12" w:space="0" w:color="000000"/>
              <w:right w:val="single" w:sz="12" w:space="0" w:color="000000"/>
            </w:tcBorders>
          </w:tcPr>
          <w:p w14:paraId="539C914B" w14:textId="77777777" w:rsidR="00016A1A" w:rsidRPr="009240A2" w:rsidRDefault="00016A1A" w:rsidP="00016A1A">
            <w:pPr>
              <w:jc w:val="right"/>
            </w:pPr>
            <w:r w:rsidRPr="009240A2">
              <w:t>x</w:t>
            </w:r>
          </w:p>
          <w:p w14:paraId="387ED4B9" w14:textId="77777777" w:rsidR="00016A1A" w:rsidRPr="009240A2" w:rsidRDefault="00016A1A" w:rsidP="00016A1A">
            <w:pPr>
              <w:jc w:val="right"/>
            </w:pPr>
            <w:r w:rsidRPr="009240A2">
              <w:t>x</w:t>
            </w:r>
          </w:p>
        </w:tc>
        <w:tc>
          <w:tcPr>
            <w:tcW w:w="532" w:type="pct"/>
            <w:tcBorders>
              <w:left w:val="single" w:sz="12" w:space="0" w:color="000000"/>
              <w:right w:val="single" w:sz="12" w:space="0" w:color="auto"/>
            </w:tcBorders>
          </w:tcPr>
          <w:p w14:paraId="74B38BF4" w14:textId="77777777" w:rsidR="00016A1A" w:rsidRPr="009240A2" w:rsidRDefault="00016A1A" w:rsidP="00016A1A">
            <w:pPr>
              <w:jc w:val="right"/>
            </w:pPr>
            <w:r w:rsidRPr="009240A2">
              <w:t>x</w:t>
            </w:r>
          </w:p>
          <w:p w14:paraId="270D0C2C" w14:textId="77777777" w:rsidR="00016A1A" w:rsidRPr="009240A2" w:rsidRDefault="00016A1A" w:rsidP="00016A1A">
            <w:pPr>
              <w:jc w:val="right"/>
            </w:pPr>
            <w:r w:rsidRPr="009240A2">
              <w:t>x</w:t>
            </w:r>
          </w:p>
        </w:tc>
      </w:tr>
      <w:tr w:rsidR="00016A1A" w:rsidRPr="004B11AC" w14:paraId="7CD9D950" w14:textId="77777777" w:rsidTr="00016A1A">
        <w:trPr>
          <w:trHeight w:val="183"/>
          <w:jc w:val="center"/>
        </w:trPr>
        <w:tc>
          <w:tcPr>
            <w:tcW w:w="1324" w:type="pct"/>
            <w:tcBorders>
              <w:left w:val="single" w:sz="12" w:space="0" w:color="auto"/>
              <w:bottom w:val="single" w:sz="12" w:space="0" w:color="auto"/>
              <w:right w:val="single" w:sz="12" w:space="0" w:color="000000"/>
            </w:tcBorders>
          </w:tcPr>
          <w:p w14:paraId="127BF092" w14:textId="77777777" w:rsidR="00016A1A" w:rsidRPr="008651ED" w:rsidRDefault="00016A1A" w:rsidP="00016A1A">
            <w:pPr>
              <w:snapToGrid w:val="0"/>
            </w:pPr>
            <w:r w:rsidRPr="008651ED">
              <w:t>prostředky EU</w:t>
            </w:r>
          </w:p>
        </w:tc>
        <w:tc>
          <w:tcPr>
            <w:tcW w:w="688" w:type="pct"/>
            <w:tcBorders>
              <w:left w:val="single" w:sz="12" w:space="0" w:color="000000"/>
              <w:bottom w:val="single" w:sz="12" w:space="0" w:color="auto"/>
              <w:right w:val="single" w:sz="12" w:space="0" w:color="000000"/>
            </w:tcBorders>
          </w:tcPr>
          <w:p w14:paraId="37C8C4AA" w14:textId="77777777" w:rsidR="00016A1A" w:rsidRPr="008651ED" w:rsidRDefault="00016A1A" w:rsidP="00016A1A">
            <w:pPr>
              <w:snapToGrid w:val="0"/>
              <w:jc w:val="right"/>
            </w:pPr>
            <w:r w:rsidRPr="008651ED">
              <w:t xml:space="preserve">1 528 </w:t>
            </w:r>
          </w:p>
        </w:tc>
        <w:tc>
          <w:tcPr>
            <w:tcW w:w="697" w:type="pct"/>
            <w:tcBorders>
              <w:left w:val="single" w:sz="12" w:space="0" w:color="000000"/>
              <w:bottom w:val="single" w:sz="12" w:space="0" w:color="auto"/>
              <w:right w:val="single" w:sz="12" w:space="0" w:color="auto"/>
            </w:tcBorders>
          </w:tcPr>
          <w:p w14:paraId="2C2D8D5E" w14:textId="77777777" w:rsidR="00016A1A" w:rsidRPr="00445DA6" w:rsidRDefault="00016A1A" w:rsidP="00016A1A">
            <w:pPr>
              <w:snapToGrid w:val="0"/>
              <w:jc w:val="right"/>
            </w:pPr>
            <w:r w:rsidRPr="00445DA6">
              <w:t>37 485</w:t>
            </w:r>
          </w:p>
        </w:tc>
        <w:tc>
          <w:tcPr>
            <w:tcW w:w="696" w:type="pct"/>
            <w:tcBorders>
              <w:left w:val="single" w:sz="12" w:space="0" w:color="auto"/>
              <w:bottom w:val="single" w:sz="12" w:space="0" w:color="auto"/>
              <w:right w:val="single" w:sz="12" w:space="0" w:color="000000"/>
            </w:tcBorders>
          </w:tcPr>
          <w:p w14:paraId="6A95204B" w14:textId="77777777" w:rsidR="00016A1A" w:rsidRPr="00445DA6" w:rsidRDefault="00016A1A" w:rsidP="00016A1A">
            <w:pPr>
              <w:snapToGrid w:val="0"/>
              <w:jc w:val="right"/>
            </w:pPr>
            <w:r w:rsidRPr="00445DA6">
              <w:t>37 485</w:t>
            </w:r>
          </w:p>
        </w:tc>
        <w:tc>
          <w:tcPr>
            <w:tcW w:w="697" w:type="pct"/>
            <w:tcBorders>
              <w:left w:val="single" w:sz="12" w:space="0" w:color="000000"/>
              <w:bottom w:val="single" w:sz="12" w:space="0" w:color="auto"/>
              <w:right w:val="single" w:sz="12" w:space="0" w:color="000000"/>
            </w:tcBorders>
          </w:tcPr>
          <w:p w14:paraId="7604D295" w14:textId="77777777" w:rsidR="00016A1A" w:rsidRPr="00AE0102" w:rsidRDefault="00016A1A" w:rsidP="00016A1A">
            <w:pPr>
              <w:snapToGrid w:val="0"/>
              <w:jc w:val="right"/>
            </w:pPr>
            <w:r w:rsidRPr="00AE0102">
              <w:t xml:space="preserve">1 145 </w:t>
            </w:r>
          </w:p>
        </w:tc>
        <w:tc>
          <w:tcPr>
            <w:tcW w:w="366" w:type="pct"/>
            <w:tcBorders>
              <w:left w:val="single" w:sz="12" w:space="0" w:color="000000"/>
              <w:bottom w:val="single" w:sz="12" w:space="0" w:color="auto"/>
              <w:right w:val="single" w:sz="12" w:space="0" w:color="000000"/>
            </w:tcBorders>
          </w:tcPr>
          <w:p w14:paraId="320F8934" w14:textId="77777777" w:rsidR="00016A1A" w:rsidRPr="009240A2" w:rsidRDefault="00016A1A" w:rsidP="00016A1A">
            <w:pPr>
              <w:snapToGrid w:val="0"/>
              <w:jc w:val="right"/>
            </w:pPr>
            <w:r w:rsidRPr="009240A2">
              <w:t>3,05</w:t>
            </w:r>
          </w:p>
        </w:tc>
        <w:tc>
          <w:tcPr>
            <w:tcW w:w="532" w:type="pct"/>
            <w:tcBorders>
              <w:left w:val="single" w:sz="12" w:space="0" w:color="000000"/>
              <w:bottom w:val="single" w:sz="12" w:space="0" w:color="auto"/>
              <w:right w:val="single" w:sz="12" w:space="0" w:color="auto"/>
            </w:tcBorders>
          </w:tcPr>
          <w:p w14:paraId="190F5919" w14:textId="77777777" w:rsidR="00016A1A" w:rsidRPr="009240A2" w:rsidRDefault="00016A1A" w:rsidP="00016A1A">
            <w:pPr>
              <w:snapToGrid w:val="0"/>
              <w:jc w:val="right"/>
            </w:pPr>
            <w:r w:rsidRPr="009240A2">
              <w:t>74,93</w:t>
            </w:r>
          </w:p>
        </w:tc>
      </w:tr>
      <w:tr w:rsidR="00016A1A" w:rsidRPr="004B11AC" w14:paraId="34E397DC" w14:textId="77777777" w:rsidTr="00016A1A">
        <w:trPr>
          <w:trHeight w:val="1134"/>
          <w:jc w:val="center"/>
        </w:trPr>
        <w:tc>
          <w:tcPr>
            <w:tcW w:w="1324" w:type="pct"/>
            <w:tcBorders>
              <w:top w:val="single" w:sz="12" w:space="0" w:color="auto"/>
              <w:left w:val="single" w:sz="12" w:space="0" w:color="auto"/>
              <w:right w:val="single" w:sz="12" w:space="0" w:color="000000"/>
            </w:tcBorders>
          </w:tcPr>
          <w:p w14:paraId="4C72CBF8" w14:textId="77777777" w:rsidR="00016A1A" w:rsidRPr="008651ED" w:rsidRDefault="00016A1A" w:rsidP="00016A1A">
            <w:pPr>
              <w:snapToGrid w:val="0"/>
              <w:rPr>
                <w:b/>
              </w:rPr>
            </w:pPr>
            <w:r w:rsidRPr="008651ED">
              <w:rPr>
                <w:b/>
              </w:rPr>
              <w:t>Investiční transfery veřejným rozpočtům územní úrovně</w:t>
            </w:r>
          </w:p>
          <w:p w14:paraId="6B07D750" w14:textId="77777777" w:rsidR="00016A1A" w:rsidRPr="008651ED" w:rsidRDefault="00016A1A" w:rsidP="00016A1A">
            <w:pPr>
              <w:snapToGrid w:val="0"/>
              <w:rPr>
                <w:b/>
              </w:rPr>
            </w:pPr>
            <w:r w:rsidRPr="008651ED">
              <w:t>v tom:</w:t>
            </w:r>
          </w:p>
        </w:tc>
        <w:tc>
          <w:tcPr>
            <w:tcW w:w="688" w:type="pct"/>
            <w:tcBorders>
              <w:top w:val="single" w:sz="12" w:space="0" w:color="auto"/>
              <w:left w:val="single" w:sz="12" w:space="0" w:color="000000"/>
              <w:right w:val="single" w:sz="12" w:space="0" w:color="000000"/>
            </w:tcBorders>
          </w:tcPr>
          <w:p w14:paraId="26DBF952" w14:textId="77777777" w:rsidR="00016A1A" w:rsidRPr="008651ED" w:rsidRDefault="00016A1A" w:rsidP="00016A1A">
            <w:pPr>
              <w:jc w:val="right"/>
              <w:rPr>
                <w:b/>
                <w:bCs/>
              </w:rPr>
            </w:pPr>
          </w:p>
          <w:p w14:paraId="5FF88FEF" w14:textId="77777777" w:rsidR="00016A1A" w:rsidRPr="008651ED" w:rsidRDefault="00016A1A" w:rsidP="00016A1A">
            <w:pPr>
              <w:jc w:val="right"/>
              <w:rPr>
                <w:b/>
                <w:bCs/>
              </w:rPr>
            </w:pPr>
          </w:p>
          <w:p w14:paraId="5DB6B929" w14:textId="77777777" w:rsidR="00016A1A" w:rsidRPr="008651ED" w:rsidRDefault="00016A1A" w:rsidP="00016A1A">
            <w:pPr>
              <w:jc w:val="right"/>
              <w:rPr>
                <w:b/>
                <w:bCs/>
              </w:rPr>
            </w:pPr>
            <w:r w:rsidRPr="008651ED">
              <w:rPr>
                <w:b/>
                <w:bCs/>
              </w:rPr>
              <w:t>0</w:t>
            </w:r>
          </w:p>
        </w:tc>
        <w:tc>
          <w:tcPr>
            <w:tcW w:w="697" w:type="pct"/>
            <w:tcBorders>
              <w:top w:val="single" w:sz="12" w:space="0" w:color="auto"/>
              <w:left w:val="single" w:sz="12" w:space="0" w:color="000000"/>
              <w:right w:val="single" w:sz="12" w:space="0" w:color="auto"/>
            </w:tcBorders>
          </w:tcPr>
          <w:p w14:paraId="45EA44F8" w14:textId="77777777" w:rsidR="00016A1A" w:rsidRPr="00445DA6" w:rsidRDefault="00016A1A" w:rsidP="00016A1A">
            <w:pPr>
              <w:jc w:val="right"/>
              <w:rPr>
                <w:b/>
              </w:rPr>
            </w:pPr>
          </w:p>
          <w:p w14:paraId="4764A739" w14:textId="77777777" w:rsidR="00016A1A" w:rsidRPr="00445DA6" w:rsidRDefault="00016A1A" w:rsidP="00016A1A">
            <w:pPr>
              <w:jc w:val="right"/>
              <w:rPr>
                <w:b/>
              </w:rPr>
            </w:pPr>
          </w:p>
          <w:p w14:paraId="7B701A55" w14:textId="77777777" w:rsidR="00016A1A" w:rsidRPr="00445DA6" w:rsidRDefault="00016A1A" w:rsidP="00016A1A">
            <w:pPr>
              <w:jc w:val="right"/>
              <w:rPr>
                <w:b/>
              </w:rPr>
            </w:pPr>
            <w:r w:rsidRPr="00445DA6">
              <w:rPr>
                <w:b/>
              </w:rPr>
              <w:t>0</w:t>
            </w:r>
          </w:p>
        </w:tc>
        <w:tc>
          <w:tcPr>
            <w:tcW w:w="696" w:type="pct"/>
            <w:tcBorders>
              <w:top w:val="single" w:sz="12" w:space="0" w:color="auto"/>
              <w:left w:val="single" w:sz="12" w:space="0" w:color="auto"/>
              <w:right w:val="single" w:sz="12" w:space="0" w:color="000000"/>
            </w:tcBorders>
          </w:tcPr>
          <w:p w14:paraId="16AF2CE9" w14:textId="77777777" w:rsidR="00016A1A" w:rsidRPr="00445DA6" w:rsidRDefault="00016A1A" w:rsidP="00016A1A">
            <w:pPr>
              <w:jc w:val="right"/>
              <w:rPr>
                <w:b/>
              </w:rPr>
            </w:pPr>
          </w:p>
          <w:p w14:paraId="595AAE33" w14:textId="77777777" w:rsidR="00016A1A" w:rsidRPr="00445DA6" w:rsidRDefault="00016A1A" w:rsidP="00016A1A">
            <w:pPr>
              <w:jc w:val="right"/>
              <w:rPr>
                <w:b/>
              </w:rPr>
            </w:pPr>
          </w:p>
          <w:p w14:paraId="06D9C647" w14:textId="77777777" w:rsidR="00016A1A" w:rsidRPr="00445DA6" w:rsidRDefault="00016A1A" w:rsidP="00016A1A">
            <w:pPr>
              <w:jc w:val="right"/>
              <w:rPr>
                <w:b/>
              </w:rPr>
            </w:pPr>
            <w:r w:rsidRPr="00445DA6">
              <w:rPr>
                <w:b/>
              </w:rPr>
              <w:t xml:space="preserve">0 </w:t>
            </w:r>
          </w:p>
        </w:tc>
        <w:tc>
          <w:tcPr>
            <w:tcW w:w="697" w:type="pct"/>
            <w:tcBorders>
              <w:top w:val="single" w:sz="12" w:space="0" w:color="auto"/>
              <w:left w:val="single" w:sz="12" w:space="0" w:color="000000"/>
              <w:right w:val="single" w:sz="12" w:space="0" w:color="000000"/>
            </w:tcBorders>
          </w:tcPr>
          <w:p w14:paraId="6B984CE9" w14:textId="77777777" w:rsidR="00016A1A" w:rsidRPr="00FB31C7" w:rsidRDefault="00016A1A" w:rsidP="00016A1A">
            <w:pPr>
              <w:jc w:val="right"/>
              <w:rPr>
                <w:b/>
                <w:bCs/>
              </w:rPr>
            </w:pPr>
          </w:p>
          <w:p w14:paraId="4CCB6C8C" w14:textId="77777777" w:rsidR="00016A1A" w:rsidRPr="00FB31C7" w:rsidRDefault="00016A1A" w:rsidP="00016A1A">
            <w:pPr>
              <w:jc w:val="right"/>
              <w:rPr>
                <w:b/>
                <w:bCs/>
              </w:rPr>
            </w:pPr>
          </w:p>
          <w:p w14:paraId="331011E6" w14:textId="77777777" w:rsidR="00016A1A" w:rsidRPr="00FB31C7" w:rsidRDefault="00016A1A" w:rsidP="00016A1A">
            <w:pPr>
              <w:jc w:val="right"/>
              <w:rPr>
                <w:b/>
                <w:bCs/>
              </w:rPr>
            </w:pPr>
            <w:r w:rsidRPr="00FB31C7">
              <w:rPr>
                <w:b/>
                <w:bCs/>
              </w:rPr>
              <w:t>0</w:t>
            </w:r>
          </w:p>
        </w:tc>
        <w:tc>
          <w:tcPr>
            <w:tcW w:w="366" w:type="pct"/>
            <w:tcBorders>
              <w:top w:val="single" w:sz="12" w:space="0" w:color="auto"/>
              <w:left w:val="single" w:sz="12" w:space="0" w:color="000000"/>
              <w:right w:val="single" w:sz="12" w:space="0" w:color="000000"/>
            </w:tcBorders>
          </w:tcPr>
          <w:p w14:paraId="0A8B72A2" w14:textId="77777777" w:rsidR="00016A1A" w:rsidRPr="00FB31C7" w:rsidRDefault="00016A1A" w:rsidP="00016A1A">
            <w:pPr>
              <w:jc w:val="right"/>
              <w:rPr>
                <w:b/>
              </w:rPr>
            </w:pPr>
          </w:p>
          <w:p w14:paraId="22B96EAB" w14:textId="77777777" w:rsidR="00016A1A" w:rsidRPr="00FB31C7" w:rsidRDefault="00016A1A" w:rsidP="00016A1A">
            <w:pPr>
              <w:jc w:val="right"/>
              <w:rPr>
                <w:b/>
              </w:rPr>
            </w:pPr>
          </w:p>
          <w:p w14:paraId="3ED76A57" w14:textId="77777777" w:rsidR="00016A1A" w:rsidRPr="00FB31C7" w:rsidRDefault="00016A1A" w:rsidP="00016A1A">
            <w:pPr>
              <w:jc w:val="right"/>
              <w:rPr>
                <w:b/>
              </w:rPr>
            </w:pPr>
            <w:r w:rsidRPr="00FB31C7">
              <w:rPr>
                <w:b/>
              </w:rPr>
              <w:t>x</w:t>
            </w:r>
          </w:p>
        </w:tc>
        <w:tc>
          <w:tcPr>
            <w:tcW w:w="532" w:type="pct"/>
            <w:tcBorders>
              <w:top w:val="single" w:sz="12" w:space="0" w:color="auto"/>
              <w:left w:val="single" w:sz="12" w:space="0" w:color="000000"/>
              <w:right w:val="single" w:sz="12" w:space="0" w:color="auto"/>
            </w:tcBorders>
          </w:tcPr>
          <w:p w14:paraId="69176BBC" w14:textId="77777777" w:rsidR="00016A1A" w:rsidRPr="009240A2" w:rsidRDefault="00016A1A" w:rsidP="00016A1A">
            <w:pPr>
              <w:jc w:val="right"/>
              <w:rPr>
                <w:b/>
              </w:rPr>
            </w:pPr>
          </w:p>
          <w:p w14:paraId="428D0D39" w14:textId="77777777" w:rsidR="00016A1A" w:rsidRPr="009240A2" w:rsidRDefault="00016A1A" w:rsidP="00016A1A">
            <w:pPr>
              <w:jc w:val="right"/>
              <w:rPr>
                <w:b/>
              </w:rPr>
            </w:pPr>
          </w:p>
          <w:p w14:paraId="38411C33" w14:textId="77777777" w:rsidR="00016A1A" w:rsidRPr="009240A2" w:rsidRDefault="00016A1A" w:rsidP="00016A1A">
            <w:pPr>
              <w:jc w:val="right"/>
              <w:rPr>
                <w:b/>
              </w:rPr>
            </w:pPr>
            <w:r w:rsidRPr="009240A2">
              <w:rPr>
                <w:b/>
              </w:rPr>
              <w:t>x</w:t>
            </w:r>
          </w:p>
        </w:tc>
      </w:tr>
      <w:tr w:rsidR="00016A1A" w:rsidRPr="004B11AC" w14:paraId="6AA558D8" w14:textId="77777777" w:rsidTr="00016A1A">
        <w:trPr>
          <w:trHeight w:val="221"/>
          <w:jc w:val="center"/>
        </w:trPr>
        <w:tc>
          <w:tcPr>
            <w:tcW w:w="1324" w:type="pct"/>
            <w:tcBorders>
              <w:left w:val="single" w:sz="12" w:space="0" w:color="auto"/>
              <w:right w:val="single" w:sz="12" w:space="0" w:color="000000"/>
            </w:tcBorders>
          </w:tcPr>
          <w:p w14:paraId="1A45A9C4" w14:textId="77777777" w:rsidR="00016A1A" w:rsidRPr="008651ED" w:rsidRDefault="00016A1A" w:rsidP="00016A1A">
            <w:pPr>
              <w:snapToGrid w:val="0"/>
            </w:pPr>
            <w:r w:rsidRPr="008651ED">
              <w:t>prostředky SR - SD</w:t>
            </w:r>
          </w:p>
        </w:tc>
        <w:tc>
          <w:tcPr>
            <w:tcW w:w="688" w:type="pct"/>
            <w:tcBorders>
              <w:left w:val="single" w:sz="12" w:space="0" w:color="000000"/>
              <w:right w:val="single" w:sz="12" w:space="0" w:color="000000"/>
            </w:tcBorders>
          </w:tcPr>
          <w:p w14:paraId="7D8E8BAE" w14:textId="77777777" w:rsidR="00016A1A" w:rsidRPr="008651ED" w:rsidRDefault="00016A1A" w:rsidP="00016A1A">
            <w:pPr>
              <w:snapToGrid w:val="0"/>
              <w:jc w:val="right"/>
            </w:pPr>
            <w:r w:rsidRPr="008651ED">
              <w:t>0</w:t>
            </w:r>
          </w:p>
        </w:tc>
        <w:tc>
          <w:tcPr>
            <w:tcW w:w="697" w:type="pct"/>
            <w:tcBorders>
              <w:left w:val="single" w:sz="12" w:space="0" w:color="000000"/>
              <w:right w:val="single" w:sz="12" w:space="0" w:color="auto"/>
            </w:tcBorders>
          </w:tcPr>
          <w:p w14:paraId="60919D5A" w14:textId="77777777" w:rsidR="00016A1A" w:rsidRPr="00445DA6" w:rsidRDefault="00016A1A" w:rsidP="00016A1A">
            <w:pPr>
              <w:snapToGrid w:val="0"/>
              <w:jc w:val="right"/>
            </w:pPr>
            <w:r w:rsidRPr="00445DA6">
              <w:t>0</w:t>
            </w:r>
          </w:p>
        </w:tc>
        <w:tc>
          <w:tcPr>
            <w:tcW w:w="696" w:type="pct"/>
            <w:tcBorders>
              <w:left w:val="single" w:sz="12" w:space="0" w:color="auto"/>
              <w:right w:val="single" w:sz="12" w:space="0" w:color="000000"/>
            </w:tcBorders>
          </w:tcPr>
          <w:p w14:paraId="4D4E6B5F" w14:textId="77777777" w:rsidR="00016A1A" w:rsidRPr="00445DA6" w:rsidRDefault="00016A1A" w:rsidP="00016A1A">
            <w:pPr>
              <w:snapToGrid w:val="0"/>
              <w:jc w:val="right"/>
            </w:pPr>
            <w:r w:rsidRPr="00445DA6">
              <w:t>0</w:t>
            </w:r>
          </w:p>
        </w:tc>
        <w:tc>
          <w:tcPr>
            <w:tcW w:w="697" w:type="pct"/>
            <w:tcBorders>
              <w:left w:val="single" w:sz="12" w:space="0" w:color="000000"/>
              <w:right w:val="single" w:sz="12" w:space="0" w:color="000000"/>
            </w:tcBorders>
          </w:tcPr>
          <w:p w14:paraId="547A0802" w14:textId="77777777" w:rsidR="00016A1A" w:rsidRPr="00FB31C7" w:rsidRDefault="00016A1A" w:rsidP="00016A1A">
            <w:pPr>
              <w:snapToGrid w:val="0"/>
              <w:jc w:val="right"/>
            </w:pPr>
            <w:r w:rsidRPr="00FB31C7">
              <w:t>0</w:t>
            </w:r>
          </w:p>
        </w:tc>
        <w:tc>
          <w:tcPr>
            <w:tcW w:w="366" w:type="pct"/>
            <w:tcBorders>
              <w:left w:val="single" w:sz="12" w:space="0" w:color="000000"/>
              <w:right w:val="single" w:sz="12" w:space="0" w:color="000000"/>
            </w:tcBorders>
          </w:tcPr>
          <w:p w14:paraId="68920F2A" w14:textId="77777777" w:rsidR="00016A1A" w:rsidRPr="00FB31C7" w:rsidRDefault="00016A1A" w:rsidP="00016A1A">
            <w:pPr>
              <w:snapToGrid w:val="0"/>
              <w:jc w:val="right"/>
            </w:pPr>
            <w:r w:rsidRPr="00FB31C7">
              <w:t>x</w:t>
            </w:r>
          </w:p>
        </w:tc>
        <w:tc>
          <w:tcPr>
            <w:tcW w:w="532" w:type="pct"/>
            <w:tcBorders>
              <w:left w:val="single" w:sz="12" w:space="0" w:color="000000"/>
              <w:right w:val="single" w:sz="12" w:space="0" w:color="auto"/>
            </w:tcBorders>
          </w:tcPr>
          <w:p w14:paraId="465CA150" w14:textId="77777777" w:rsidR="00016A1A" w:rsidRPr="009240A2" w:rsidRDefault="00016A1A" w:rsidP="00016A1A">
            <w:pPr>
              <w:snapToGrid w:val="0"/>
              <w:jc w:val="right"/>
            </w:pPr>
            <w:r w:rsidRPr="009240A2">
              <w:t>x</w:t>
            </w:r>
          </w:p>
        </w:tc>
      </w:tr>
      <w:tr w:rsidR="00016A1A" w:rsidRPr="004B11AC" w14:paraId="6B11AF5B" w14:textId="77777777" w:rsidTr="00016A1A">
        <w:trPr>
          <w:trHeight w:val="221"/>
          <w:jc w:val="center"/>
        </w:trPr>
        <w:tc>
          <w:tcPr>
            <w:tcW w:w="1324" w:type="pct"/>
            <w:tcBorders>
              <w:left w:val="single" w:sz="12" w:space="0" w:color="auto"/>
              <w:right w:val="single" w:sz="12" w:space="0" w:color="000000"/>
            </w:tcBorders>
          </w:tcPr>
          <w:p w14:paraId="644E4E0D" w14:textId="77777777" w:rsidR="00016A1A" w:rsidRPr="008651ED" w:rsidRDefault="00016A1A" w:rsidP="00016A1A">
            <w:pPr>
              <w:snapToGrid w:val="0"/>
            </w:pPr>
            <w:r w:rsidRPr="008651ED">
              <w:t>prostředky SR - ID</w:t>
            </w:r>
          </w:p>
        </w:tc>
        <w:tc>
          <w:tcPr>
            <w:tcW w:w="688" w:type="pct"/>
            <w:tcBorders>
              <w:left w:val="single" w:sz="12" w:space="0" w:color="000000"/>
              <w:right w:val="single" w:sz="12" w:space="0" w:color="000000"/>
            </w:tcBorders>
          </w:tcPr>
          <w:p w14:paraId="2B154508" w14:textId="77777777" w:rsidR="00016A1A" w:rsidRPr="008651ED" w:rsidRDefault="00016A1A" w:rsidP="00016A1A">
            <w:pPr>
              <w:snapToGrid w:val="0"/>
              <w:jc w:val="right"/>
            </w:pPr>
            <w:r w:rsidRPr="008651ED">
              <w:t>0</w:t>
            </w:r>
          </w:p>
        </w:tc>
        <w:tc>
          <w:tcPr>
            <w:tcW w:w="697" w:type="pct"/>
            <w:tcBorders>
              <w:left w:val="single" w:sz="12" w:space="0" w:color="000000"/>
              <w:right w:val="single" w:sz="12" w:space="0" w:color="auto"/>
            </w:tcBorders>
          </w:tcPr>
          <w:p w14:paraId="6A06047E" w14:textId="77777777" w:rsidR="00016A1A" w:rsidRPr="00445DA6" w:rsidRDefault="00016A1A" w:rsidP="00016A1A">
            <w:pPr>
              <w:snapToGrid w:val="0"/>
              <w:jc w:val="right"/>
            </w:pPr>
            <w:r w:rsidRPr="00445DA6">
              <w:t>0</w:t>
            </w:r>
          </w:p>
        </w:tc>
        <w:tc>
          <w:tcPr>
            <w:tcW w:w="696" w:type="pct"/>
            <w:tcBorders>
              <w:left w:val="single" w:sz="12" w:space="0" w:color="auto"/>
              <w:right w:val="single" w:sz="12" w:space="0" w:color="000000"/>
            </w:tcBorders>
          </w:tcPr>
          <w:p w14:paraId="03E745A5" w14:textId="77777777" w:rsidR="00016A1A" w:rsidRPr="00445DA6" w:rsidRDefault="00016A1A" w:rsidP="00016A1A">
            <w:pPr>
              <w:snapToGrid w:val="0"/>
              <w:jc w:val="right"/>
            </w:pPr>
            <w:r w:rsidRPr="00445DA6">
              <w:t>0</w:t>
            </w:r>
          </w:p>
        </w:tc>
        <w:tc>
          <w:tcPr>
            <w:tcW w:w="697" w:type="pct"/>
            <w:tcBorders>
              <w:left w:val="single" w:sz="12" w:space="0" w:color="000000"/>
              <w:right w:val="single" w:sz="12" w:space="0" w:color="000000"/>
            </w:tcBorders>
          </w:tcPr>
          <w:p w14:paraId="5A6785AF" w14:textId="77777777" w:rsidR="00016A1A" w:rsidRPr="00FB31C7" w:rsidRDefault="00016A1A" w:rsidP="00016A1A">
            <w:pPr>
              <w:snapToGrid w:val="0"/>
              <w:jc w:val="right"/>
            </w:pPr>
            <w:r w:rsidRPr="00FB31C7">
              <w:t>0</w:t>
            </w:r>
          </w:p>
        </w:tc>
        <w:tc>
          <w:tcPr>
            <w:tcW w:w="366" w:type="pct"/>
            <w:tcBorders>
              <w:left w:val="single" w:sz="12" w:space="0" w:color="000000"/>
              <w:right w:val="single" w:sz="12" w:space="0" w:color="000000"/>
            </w:tcBorders>
          </w:tcPr>
          <w:p w14:paraId="508073FF" w14:textId="77777777" w:rsidR="00016A1A" w:rsidRPr="00FB31C7" w:rsidRDefault="00016A1A" w:rsidP="00016A1A">
            <w:pPr>
              <w:snapToGrid w:val="0"/>
              <w:jc w:val="right"/>
            </w:pPr>
            <w:r w:rsidRPr="00FB31C7">
              <w:t>x</w:t>
            </w:r>
          </w:p>
        </w:tc>
        <w:tc>
          <w:tcPr>
            <w:tcW w:w="532" w:type="pct"/>
            <w:tcBorders>
              <w:left w:val="single" w:sz="12" w:space="0" w:color="000000"/>
              <w:right w:val="single" w:sz="12" w:space="0" w:color="auto"/>
            </w:tcBorders>
          </w:tcPr>
          <w:p w14:paraId="6AEEED47" w14:textId="77777777" w:rsidR="00016A1A" w:rsidRPr="009240A2" w:rsidRDefault="00016A1A" w:rsidP="00016A1A">
            <w:pPr>
              <w:snapToGrid w:val="0"/>
              <w:jc w:val="right"/>
            </w:pPr>
            <w:r w:rsidRPr="009240A2">
              <w:t>x</w:t>
            </w:r>
          </w:p>
        </w:tc>
      </w:tr>
      <w:tr w:rsidR="00016A1A" w:rsidRPr="004B11AC" w14:paraId="21F6AA74" w14:textId="77777777" w:rsidTr="00016A1A">
        <w:trPr>
          <w:trHeight w:val="221"/>
          <w:jc w:val="center"/>
        </w:trPr>
        <w:tc>
          <w:tcPr>
            <w:tcW w:w="1324" w:type="pct"/>
            <w:tcBorders>
              <w:left w:val="single" w:sz="12" w:space="0" w:color="auto"/>
              <w:bottom w:val="single" w:sz="12" w:space="0" w:color="auto"/>
              <w:right w:val="single" w:sz="12" w:space="0" w:color="000000"/>
            </w:tcBorders>
          </w:tcPr>
          <w:p w14:paraId="20812BEC" w14:textId="77777777" w:rsidR="00016A1A" w:rsidRPr="008651ED" w:rsidRDefault="00016A1A" w:rsidP="00016A1A">
            <w:pPr>
              <w:snapToGrid w:val="0"/>
            </w:pPr>
            <w:r w:rsidRPr="008651ED">
              <w:t>prostředky EU</w:t>
            </w:r>
          </w:p>
        </w:tc>
        <w:tc>
          <w:tcPr>
            <w:tcW w:w="688" w:type="pct"/>
            <w:tcBorders>
              <w:left w:val="single" w:sz="12" w:space="0" w:color="000000"/>
              <w:bottom w:val="single" w:sz="12" w:space="0" w:color="auto"/>
              <w:right w:val="single" w:sz="12" w:space="0" w:color="000000"/>
            </w:tcBorders>
          </w:tcPr>
          <w:p w14:paraId="167ECBF0" w14:textId="77777777" w:rsidR="00016A1A" w:rsidRPr="008651ED" w:rsidRDefault="00016A1A" w:rsidP="00016A1A">
            <w:pPr>
              <w:snapToGrid w:val="0"/>
              <w:jc w:val="right"/>
              <w:rPr>
                <w:vertAlign w:val="superscript"/>
              </w:rPr>
            </w:pPr>
            <w:r w:rsidRPr="008651ED">
              <w:t>0</w:t>
            </w:r>
          </w:p>
        </w:tc>
        <w:tc>
          <w:tcPr>
            <w:tcW w:w="697" w:type="pct"/>
            <w:tcBorders>
              <w:left w:val="single" w:sz="12" w:space="0" w:color="000000"/>
              <w:bottom w:val="single" w:sz="12" w:space="0" w:color="auto"/>
              <w:right w:val="single" w:sz="12" w:space="0" w:color="auto"/>
            </w:tcBorders>
          </w:tcPr>
          <w:p w14:paraId="19626971" w14:textId="77777777" w:rsidR="00016A1A" w:rsidRPr="00445DA6" w:rsidRDefault="00016A1A" w:rsidP="00016A1A">
            <w:pPr>
              <w:snapToGrid w:val="0"/>
              <w:jc w:val="right"/>
            </w:pPr>
            <w:r w:rsidRPr="00445DA6">
              <w:t>0</w:t>
            </w:r>
          </w:p>
        </w:tc>
        <w:tc>
          <w:tcPr>
            <w:tcW w:w="696" w:type="pct"/>
            <w:tcBorders>
              <w:left w:val="single" w:sz="12" w:space="0" w:color="auto"/>
              <w:bottom w:val="single" w:sz="12" w:space="0" w:color="auto"/>
              <w:right w:val="single" w:sz="12" w:space="0" w:color="000000"/>
            </w:tcBorders>
          </w:tcPr>
          <w:p w14:paraId="6F73D0D1" w14:textId="77777777" w:rsidR="00016A1A" w:rsidRPr="00445DA6" w:rsidRDefault="00016A1A" w:rsidP="00016A1A">
            <w:pPr>
              <w:snapToGrid w:val="0"/>
              <w:jc w:val="right"/>
            </w:pPr>
            <w:r w:rsidRPr="00445DA6">
              <w:t>0</w:t>
            </w:r>
          </w:p>
        </w:tc>
        <w:tc>
          <w:tcPr>
            <w:tcW w:w="697" w:type="pct"/>
            <w:tcBorders>
              <w:left w:val="single" w:sz="12" w:space="0" w:color="000000"/>
              <w:bottom w:val="single" w:sz="12" w:space="0" w:color="auto"/>
              <w:right w:val="single" w:sz="12" w:space="0" w:color="000000"/>
            </w:tcBorders>
          </w:tcPr>
          <w:p w14:paraId="491EC7AE" w14:textId="77777777" w:rsidR="00016A1A" w:rsidRPr="00FB31C7" w:rsidRDefault="00016A1A" w:rsidP="00016A1A">
            <w:pPr>
              <w:snapToGrid w:val="0"/>
              <w:jc w:val="right"/>
              <w:rPr>
                <w:vertAlign w:val="superscript"/>
              </w:rPr>
            </w:pPr>
            <w:r w:rsidRPr="00FB31C7">
              <w:t>0</w:t>
            </w:r>
          </w:p>
        </w:tc>
        <w:tc>
          <w:tcPr>
            <w:tcW w:w="366" w:type="pct"/>
            <w:tcBorders>
              <w:left w:val="single" w:sz="12" w:space="0" w:color="000000"/>
              <w:bottom w:val="single" w:sz="12" w:space="0" w:color="auto"/>
              <w:right w:val="single" w:sz="12" w:space="0" w:color="000000"/>
            </w:tcBorders>
          </w:tcPr>
          <w:p w14:paraId="3CDF2B76" w14:textId="77777777" w:rsidR="00016A1A" w:rsidRPr="00FB31C7" w:rsidRDefault="00016A1A" w:rsidP="00016A1A">
            <w:pPr>
              <w:snapToGrid w:val="0"/>
              <w:jc w:val="right"/>
            </w:pPr>
            <w:r w:rsidRPr="00FB31C7">
              <w:t>x</w:t>
            </w:r>
          </w:p>
        </w:tc>
        <w:tc>
          <w:tcPr>
            <w:tcW w:w="532" w:type="pct"/>
            <w:tcBorders>
              <w:left w:val="single" w:sz="12" w:space="0" w:color="000000"/>
              <w:bottom w:val="single" w:sz="12" w:space="0" w:color="auto"/>
              <w:right w:val="single" w:sz="12" w:space="0" w:color="auto"/>
            </w:tcBorders>
          </w:tcPr>
          <w:p w14:paraId="5893321F" w14:textId="77777777" w:rsidR="00016A1A" w:rsidRPr="009240A2" w:rsidRDefault="00016A1A" w:rsidP="00016A1A">
            <w:pPr>
              <w:snapToGrid w:val="0"/>
              <w:jc w:val="right"/>
            </w:pPr>
            <w:r w:rsidRPr="009240A2">
              <w:t>x</w:t>
            </w:r>
          </w:p>
        </w:tc>
      </w:tr>
      <w:tr w:rsidR="00016A1A" w:rsidRPr="004B11AC" w14:paraId="2F2DFCE4" w14:textId="77777777" w:rsidTr="00016A1A">
        <w:trPr>
          <w:trHeight w:val="858"/>
          <w:jc w:val="center"/>
        </w:trPr>
        <w:tc>
          <w:tcPr>
            <w:tcW w:w="1324" w:type="pct"/>
            <w:tcBorders>
              <w:top w:val="single" w:sz="12" w:space="0" w:color="auto"/>
              <w:left w:val="single" w:sz="12" w:space="0" w:color="auto"/>
              <w:right w:val="single" w:sz="12" w:space="0" w:color="000000"/>
            </w:tcBorders>
          </w:tcPr>
          <w:p w14:paraId="0EF5D9CB" w14:textId="77777777" w:rsidR="00016A1A" w:rsidRPr="008651ED" w:rsidRDefault="00016A1A" w:rsidP="00016A1A">
            <w:pPr>
              <w:snapToGrid w:val="0"/>
              <w:rPr>
                <w:b/>
              </w:rPr>
            </w:pPr>
            <w:r w:rsidRPr="008651ED">
              <w:rPr>
                <w:b/>
              </w:rPr>
              <w:t>Investiční transfery státním fondům</w:t>
            </w:r>
          </w:p>
          <w:p w14:paraId="08B0F653" w14:textId="77777777" w:rsidR="00016A1A" w:rsidRPr="008651ED" w:rsidRDefault="00016A1A" w:rsidP="00016A1A">
            <w:pPr>
              <w:snapToGrid w:val="0"/>
              <w:rPr>
                <w:b/>
              </w:rPr>
            </w:pPr>
            <w:r w:rsidRPr="008651ED">
              <w:t>v tom</w:t>
            </w:r>
            <w:r w:rsidRPr="0008535C">
              <w:t>:</w:t>
            </w:r>
          </w:p>
        </w:tc>
        <w:tc>
          <w:tcPr>
            <w:tcW w:w="688" w:type="pct"/>
            <w:tcBorders>
              <w:top w:val="single" w:sz="12" w:space="0" w:color="auto"/>
              <w:left w:val="single" w:sz="12" w:space="0" w:color="000000"/>
              <w:right w:val="single" w:sz="12" w:space="0" w:color="000000"/>
            </w:tcBorders>
          </w:tcPr>
          <w:p w14:paraId="07E67CC3" w14:textId="77777777" w:rsidR="00016A1A" w:rsidRPr="008651ED" w:rsidRDefault="00016A1A" w:rsidP="00016A1A">
            <w:pPr>
              <w:tabs>
                <w:tab w:val="left" w:pos="1170"/>
              </w:tabs>
              <w:jc w:val="right"/>
              <w:rPr>
                <w:b/>
              </w:rPr>
            </w:pPr>
          </w:p>
          <w:p w14:paraId="304CF791" w14:textId="77777777" w:rsidR="00016A1A" w:rsidRPr="008651ED" w:rsidRDefault="00016A1A" w:rsidP="00016A1A">
            <w:pPr>
              <w:tabs>
                <w:tab w:val="left" w:pos="1170"/>
              </w:tabs>
              <w:jc w:val="right"/>
              <w:rPr>
                <w:b/>
              </w:rPr>
            </w:pPr>
            <w:r w:rsidRPr="008651ED">
              <w:rPr>
                <w:b/>
              </w:rPr>
              <w:t>32 269 684</w:t>
            </w:r>
          </w:p>
        </w:tc>
        <w:tc>
          <w:tcPr>
            <w:tcW w:w="697" w:type="pct"/>
            <w:tcBorders>
              <w:top w:val="single" w:sz="12" w:space="0" w:color="auto"/>
              <w:left w:val="single" w:sz="12" w:space="0" w:color="000000"/>
              <w:right w:val="single" w:sz="12" w:space="0" w:color="auto"/>
            </w:tcBorders>
          </w:tcPr>
          <w:p w14:paraId="13C24E65" w14:textId="77777777" w:rsidR="00016A1A" w:rsidRPr="00445DA6" w:rsidRDefault="00016A1A" w:rsidP="00016A1A">
            <w:pPr>
              <w:jc w:val="right"/>
              <w:rPr>
                <w:b/>
              </w:rPr>
            </w:pPr>
          </w:p>
          <w:p w14:paraId="20462E91" w14:textId="77777777" w:rsidR="00016A1A" w:rsidRPr="00445DA6" w:rsidRDefault="00016A1A" w:rsidP="00016A1A">
            <w:pPr>
              <w:jc w:val="right"/>
              <w:rPr>
                <w:b/>
              </w:rPr>
            </w:pPr>
            <w:r w:rsidRPr="00445DA6">
              <w:rPr>
                <w:b/>
              </w:rPr>
              <w:t>48 689</w:t>
            </w:r>
            <w:r>
              <w:rPr>
                <w:b/>
              </w:rPr>
              <w:t> </w:t>
            </w:r>
            <w:r w:rsidRPr="00445DA6">
              <w:rPr>
                <w:b/>
              </w:rPr>
              <w:t>758</w:t>
            </w:r>
          </w:p>
        </w:tc>
        <w:tc>
          <w:tcPr>
            <w:tcW w:w="696" w:type="pct"/>
            <w:tcBorders>
              <w:top w:val="single" w:sz="12" w:space="0" w:color="auto"/>
              <w:left w:val="single" w:sz="12" w:space="0" w:color="auto"/>
              <w:right w:val="single" w:sz="12" w:space="0" w:color="000000"/>
            </w:tcBorders>
          </w:tcPr>
          <w:p w14:paraId="3F753B28" w14:textId="77777777" w:rsidR="00016A1A" w:rsidRDefault="00016A1A" w:rsidP="00016A1A">
            <w:pPr>
              <w:jc w:val="right"/>
              <w:rPr>
                <w:b/>
                <w:color w:val="FF0000"/>
              </w:rPr>
            </w:pPr>
          </w:p>
          <w:p w14:paraId="0F6B3624" w14:textId="77777777" w:rsidR="00016A1A" w:rsidRPr="004B11AC" w:rsidRDefault="00016A1A" w:rsidP="00016A1A">
            <w:pPr>
              <w:jc w:val="right"/>
              <w:rPr>
                <w:b/>
                <w:color w:val="FF0000"/>
              </w:rPr>
            </w:pPr>
            <w:r w:rsidRPr="00464288">
              <w:rPr>
                <w:b/>
              </w:rPr>
              <w:t>44 583 671</w:t>
            </w:r>
          </w:p>
        </w:tc>
        <w:tc>
          <w:tcPr>
            <w:tcW w:w="697" w:type="pct"/>
            <w:tcBorders>
              <w:top w:val="single" w:sz="12" w:space="0" w:color="auto"/>
              <w:left w:val="single" w:sz="12" w:space="0" w:color="000000"/>
              <w:right w:val="single" w:sz="12" w:space="0" w:color="000000"/>
            </w:tcBorders>
          </w:tcPr>
          <w:p w14:paraId="1F08B6EE" w14:textId="77777777" w:rsidR="00016A1A" w:rsidRPr="004B11AC" w:rsidRDefault="00016A1A" w:rsidP="00016A1A">
            <w:pPr>
              <w:tabs>
                <w:tab w:val="left" w:pos="1170"/>
              </w:tabs>
              <w:jc w:val="right"/>
              <w:rPr>
                <w:b/>
                <w:color w:val="FF0000"/>
              </w:rPr>
            </w:pPr>
          </w:p>
          <w:p w14:paraId="2C5E969D" w14:textId="77777777" w:rsidR="00016A1A" w:rsidRPr="004B11AC" w:rsidRDefault="00016A1A" w:rsidP="00016A1A">
            <w:pPr>
              <w:tabs>
                <w:tab w:val="left" w:pos="1170"/>
              </w:tabs>
              <w:jc w:val="right"/>
              <w:rPr>
                <w:b/>
                <w:color w:val="FF0000"/>
              </w:rPr>
            </w:pPr>
            <w:r w:rsidRPr="001E3DDD">
              <w:rPr>
                <w:b/>
              </w:rPr>
              <w:t>44 742 923</w:t>
            </w:r>
          </w:p>
        </w:tc>
        <w:tc>
          <w:tcPr>
            <w:tcW w:w="366" w:type="pct"/>
            <w:tcBorders>
              <w:top w:val="single" w:sz="12" w:space="0" w:color="auto"/>
              <w:left w:val="single" w:sz="12" w:space="0" w:color="000000"/>
              <w:right w:val="single" w:sz="12" w:space="0" w:color="000000"/>
            </w:tcBorders>
          </w:tcPr>
          <w:p w14:paraId="43C4C9D2" w14:textId="77777777" w:rsidR="00016A1A" w:rsidRPr="009240A2" w:rsidRDefault="00016A1A" w:rsidP="00016A1A">
            <w:pPr>
              <w:jc w:val="right"/>
              <w:rPr>
                <w:b/>
              </w:rPr>
            </w:pPr>
          </w:p>
          <w:p w14:paraId="6F7F4D63" w14:textId="77777777" w:rsidR="00016A1A" w:rsidRPr="009240A2" w:rsidRDefault="00016A1A" w:rsidP="00016A1A">
            <w:pPr>
              <w:jc w:val="right"/>
              <w:rPr>
                <w:b/>
              </w:rPr>
            </w:pPr>
            <w:r w:rsidRPr="009240A2">
              <w:rPr>
                <w:b/>
              </w:rPr>
              <w:t>100,36</w:t>
            </w:r>
          </w:p>
        </w:tc>
        <w:tc>
          <w:tcPr>
            <w:tcW w:w="532" w:type="pct"/>
            <w:tcBorders>
              <w:top w:val="single" w:sz="12" w:space="0" w:color="auto"/>
              <w:left w:val="single" w:sz="12" w:space="0" w:color="000000"/>
              <w:right w:val="single" w:sz="12" w:space="0" w:color="auto"/>
            </w:tcBorders>
          </w:tcPr>
          <w:p w14:paraId="01C8AF7A" w14:textId="77777777" w:rsidR="00016A1A" w:rsidRPr="009240A2" w:rsidRDefault="00016A1A" w:rsidP="00016A1A">
            <w:pPr>
              <w:jc w:val="right"/>
              <w:rPr>
                <w:b/>
              </w:rPr>
            </w:pPr>
          </w:p>
          <w:p w14:paraId="0B008D00" w14:textId="77777777" w:rsidR="00016A1A" w:rsidRPr="009240A2" w:rsidRDefault="00016A1A" w:rsidP="00016A1A">
            <w:pPr>
              <w:jc w:val="right"/>
              <w:rPr>
                <w:b/>
              </w:rPr>
            </w:pPr>
            <w:r w:rsidRPr="009240A2">
              <w:rPr>
                <w:b/>
              </w:rPr>
              <w:t>138,65</w:t>
            </w:r>
          </w:p>
        </w:tc>
      </w:tr>
      <w:tr w:rsidR="00016A1A" w:rsidRPr="004B11AC" w14:paraId="5AD1701A" w14:textId="77777777" w:rsidTr="00016A1A">
        <w:trPr>
          <w:trHeight w:val="650"/>
          <w:jc w:val="center"/>
        </w:trPr>
        <w:tc>
          <w:tcPr>
            <w:tcW w:w="1324" w:type="pct"/>
            <w:tcBorders>
              <w:left w:val="single" w:sz="12" w:space="0" w:color="auto"/>
              <w:bottom w:val="single" w:sz="12" w:space="0" w:color="auto"/>
              <w:right w:val="single" w:sz="12" w:space="0" w:color="000000"/>
            </w:tcBorders>
          </w:tcPr>
          <w:p w14:paraId="124B70AB" w14:textId="77777777" w:rsidR="00016A1A" w:rsidRPr="008651ED" w:rsidRDefault="00016A1A" w:rsidP="00016A1A">
            <w:pPr>
              <w:snapToGrid w:val="0"/>
            </w:pPr>
            <w:r w:rsidRPr="008651ED">
              <w:t>prostředky SR</w:t>
            </w:r>
          </w:p>
          <w:p w14:paraId="732DFD0A" w14:textId="77777777" w:rsidR="00016A1A" w:rsidRPr="008651ED" w:rsidRDefault="00016A1A" w:rsidP="00016A1A">
            <w:pPr>
              <w:snapToGrid w:val="0"/>
            </w:pPr>
            <w:r w:rsidRPr="008651ED">
              <w:t>prostředky EU</w:t>
            </w:r>
          </w:p>
        </w:tc>
        <w:tc>
          <w:tcPr>
            <w:tcW w:w="688" w:type="pct"/>
            <w:tcBorders>
              <w:left w:val="single" w:sz="12" w:space="0" w:color="000000"/>
              <w:bottom w:val="single" w:sz="12" w:space="0" w:color="auto"/>
              <w:right w:val="single" w:sz="12" w:space="0" w:color="000000"/>
            </w:tcBorders>
          </w:tcPr>
          <w:p w14:paraId="46515192" w14:textId="77777777" w:rsidR="00016A1A" w:rsidRPr="008651ED" w:rsidRDefault="00016A1A" w:rsidP="00016A1A">
            <w:pPr>
              <w:tabs>
                <w:tab w:val="left" w:pos="1170"/>
              </w:tabs>
              <w:snapToGrid w:val="0"/>
              <w:jc w:val="right"/>
            </w:pPr>
            <w:r w:rsidRPr="008651ED">
              <w:t>18 204 753</w:t>
            </w:r>
          </w:p>
          <w:p w14:paraId="38B323AF" w14:textId="77777777" w:rsidR="00016A1A" w:rsidRPr="008651ED" w:rsidRDefault="00016A1A" w:rsidP="00016A1A">
            <w:pPr>
              <w:tabs>
                <w:tab w:val="left" w:pos="1170"/>
              </w:tabs>
              <w:snapToGrid w:val="0"/>
              <w:jc w:val="right"/>
            </w:pPr>
            <w:r w:rsidRPr="008651ED">
              <w:t xml:space="preserve">14 064 931 </w:t>
            </w:r>
          </w:p>
        </w:tc>
        <w:tc>
          <w:tcPr>
            <w:tcW w:w="697" w:type="pct"/>
            <w:tcBorders>
              <w:left w:val="single" w:sz="12" w:space="0" w:color="000000"/>
              <w:bottom w:val="single" w:sz="12" w:space="0" w:color="auto"/>
              <w:right w:val="single" w:sz="12" w:space="0" w:color="auto"/>
            </w:tcBorders>
          </w:tcPr>
          <w:p w14:paraId="4B6CBBA7" w14:textId="77777777" w:rsidR="00016A1A" w:rsidRPr="00445DA6" w:rsidRDefault="00016A1A" w:rsidP="00016A1A">
            <w:pPr>
              <w:snapToGrid w:val="0"/>
              <w:jc w:val="right"/>
            </w:pPr>
            <w:r w:rsidRPr="00445DA6">
              <w:t>30 000 000</w:t>
            </w:r>
          </w:p>
          <w:p w14:paraId="2567CFA9" w14:textId="77777777" w:rsidR="00016A1A" w:rsidRPr="00445DA6" w:rsidRDefault="00016A1A" w:rsidP="00016A1A">
            <w:pPr>
              <w:snapToGrid w:val="0"/>
              <w:jc w:val="right"/>
            </w:pPr>
            <w:r w:rsidRPr="00445DA6">
              <w:t>18 689 758</w:t>
            </w:r>
          </w:p>
        </w:tc>
        <w:tc>
          <w:tcPr>
            <w:tcW w:w="696" w:type="pct"/>
            <w:tcBorders>
              <w:left w:val="single" w:sz="12" w:space="0" w:color="auto"/>
              <w:bottom w:val="single" w:sz="12" w:space="0" w:color="auto"/>
              <w:right w:val="single" w:sz="12" w:space="0" w:color="000000"/>
            </w:tcBorders>
          </w:tcPr>
          <w:p w14:paraId="1A963FA4" w14:textId="77777777" w:rsidR="00016A1A" w:rsidRPr="00464288" w:rsidRDefault="00016A1A" w:rsidP="00016A1A">
            <w:pPr>
              <w:snapToGrid w:val="0"/>
              <w:jc w:val="right"/>
            </w:pPr>
            <w:r w:rsidRPr="00464288">
              <w:t>25 895 082</w:t>
            </w:r>
          </w:p>
          <w:p w14:paraId="111447BB" w14:textId="77777777" w:rsidR="00016A1A" w:rsidRPr="004B11AC" w:rsidRDefault="00016A1A" w:rsidP="00016A1A">
            <w:pPr>
              <w:snapToGrid w:val="0"/>
              <w:jc w:val="right"/>
              <w:rPr>
                <w:color w:val="FF0000"/>
              </w:rPr>
            </w:pPr>
            <w:r w:rsidRPr="00464288">
              <w:t xml:space="preserve">18 688 589 </w:t>
            </w:r>
          </w:p>
        </w:tc>
        <w:tc>
          <w:tcPr>
            <w:tcW w:w="697" w:type="pct"/>
            <w:tcBorders>
              <w:left w:val="single" w:sz="12" w:space="0" w:color="000000"/>
              <w:bottom w:val="single" w:sz="12" w:space="0" w:color="auto"/>
              <w:right w:val="single" w:sz="12" w:space="0" w:color="000000"/>
            </w:tcBorders>
          </w:tcPr>
          <w:p w14:paraId="5210798B" w14:textId="77777777" w:rsidR="00016A1A" w:rsidRPr="001E3DDD" w:rsidRDefault="00016A1A" w:rsidP="00016A1A">
            <w:pPr>
              <w:tabs>
                <w:tab w:val="left" w:pos="1170"/>
              </w:tabs>
              <w:snapToGrid w:val="0"/>
              <w:jc w:val="right"/>
            </w:pPr>
            <w:r w:rsidRPr="001E3DDD">
              <w:t>27 181 146</w:t>
            </w:r>
          </w:p>
          <w:p w14:paraId="5D13B491" w14:textId="77777777" w:rsidR="00016A1A" w:rsidRPr="004B11AC" w:rsidRDefault="00016A1A" w:rsidP="00016A1A">
            <w:pPr>
              <w:tabs>
                <w:tab w:val="left" w:pos="1170"/>
              </w:tabs>
              <w:snapToGrid w:val="0"/>
              <w:jc w:val="right"/>
              <w:rPr>
                <w:color w:val="FF0000"/>
              </w:rPr>
            </w:pPr>
            <w:r w:rsidRPr="001E3DDD">
              <w:t xml:space="preserve">17 561 777 </w:t>
            </w:r>
          </w:p>
        </w:tc>
        <w:tc>
          <w:tcPr>
            <w:tcW w:w="366" w:type="pct"/>
            <w:tcBorders>
              <w:left w:val="single" w:sz="12" w:space="0" w:color="000000"/>
              <w:bottom w:val="single" w:sz="12" w:space="0" w:color="auto"/>
              <w:right w:val="single" w:sz="12" w:space="0" w:color="000000"/>
            </w:tcBorders>
          </w:tcPr>
          <w:p w14:paraId="58030E2B" w14:textId="77777777" w:rsidR="00016A1A" w:rsidRPr="009240A2" w:rsidRDefault="00016A1A" w:rsidP="00016A1A">
            <w:pPr>
              <w:snapToGrid w:val="0"/>
              <w:jc w:val="right"/>
            </w:pPr>
            <w:r w:rsidRPr="009240A2">
              <w:t>104,97</w:t>
            </w:r>
          </w:p>
          <w:p w14:paraId="08436C41" w14:textId="77777777" w:rsidR="00016A1A" w:rsidRPr="009240A2" w:rsidRDefault="00016A1A" w:rsidP="00016A1A">
            <w:pPr>
              <w:snapToGrid w:val="0"/>
              <w:jc w:val="right"/>
            </w:pPr>
            <w:r w:rsidRPr="009240A2">
              <w:t>93,97</w:t>
            </w:r>
          </w:p>
        </w:tc>
        <w:tc>
          <w:tcPr>
            <w:tcW w:w="532" w:type="pct"/>
            <w:tcBorders>
              <w:left w:val="single" w:sz="12" w:space="0" w:color="000000"/>
              <w:bottom w:val="single" w:sz="12" w:space="0" w:color="auto"/>
              <w:right w:val="single" w:sz="12" w:space="0" w:color="auto"/>
            </w:tcBorders>
          </w:tcPr>
          <w:p w14:paraId="1D9CAAEB" w14:textId="77777777" w:rsidR="00016A1A" w:rsidRPr="009240A2" w:rsidRDefault="00016A1A" w:rsidP="00016A1A">
            <w:pPr>
              <w:snapToGrid w:val="0"/>
              <w:jc w:val="right"/>
            </w:pPr>
            <w:r w:rsidRPr="009240A2">
              <w:t>149,31</w:t>
            </w:r>
          </w:p>
          <w:p w14:paraId="1E55C0C8" w14:textId="77777777" w:rsidR="00016A1A" w:rsidRPr="009240A2" w:rsidRDefault="00016A1A" w:rsidP="00016A1A">
            <w:pPr>
              <w:snapToGrid w:val="0"/>
              <w:jc w:val="right"/>
            </w:pPr>
            <w:r w:rsidRPr="009240A2">
              <w:t>124,86</w:t>
            </w:r>
          </w:p>
        </w:tc>
      </w:tr>
      <w:tr w:rsidR="00016A1A" w:rsidRPr="004B11AC" w14:paraId="65741926" w14:textId="77777777" w:rsidTr="00016A1A">
        <w:trPr>
          <w:trHeight w:val="873"/>
          <w:jc w:val="center"/>
        </w:trPr>
        <w:tc>
          <w:tcPr>
            <w:tcW w:w="1324" w:type="pct"/>
            <w:tcBorders>
              <w:top w:val="single" w:sz="12" w:space="0" w:color="auto"/>
              <w:left w:val="single" w:sz="12" w:space="0" w:color="auto"/>
              <w:right w:val="single" w:sz="12" w:space="0" w:color="000000"/>
            </w:tcBorders>
            <w:vAlign w:val="center"/>
          </w:tcPr>
          <w:p w14:paraId="2FC67F2C" w14:textId="77777777" w:rsidR="00016A1A" w:rsidRPr="008651ED" w:rsidRDefault="00016A1A" w:rsidP="00016A1A">
            <w:r w:rsidRPr="008651ED">
              <w:rPr>
                <w:b/>
              </w:rPr>
              <w:t>Kapitálové výdaje celkem</w:t>
            </w:r>
          </w:p>
          <w:p w14:paraId="6D0979C6" w14:textId="77777777" w:rsidR="00016A1A" w:rsidRPr="008651ED" w:rsidRDefault="00016A1A" w:rsidP="00016A1A">
            <w:pPr>
              <w:snapToGrid w:val="0"/>
            </w:pPr>
            <w:r w:rsidRPr="008651ED">
              <w:t>v tom:</w:t>
            </w:r>
          </w:p>
          <w:p w14:paraId="1F918303" w14:textId="77777777" w:rsidR="00016A1A" w:rsidRPr="008651ED" w:rsidRDefault="00016A1A" w:rsidP="00016A1A">
            <w:pPr>
              <w:snapToGrid w:val="0"/>
            </w:pPr>
            <w:r w:rsidRPr="008651ED">
              <w:t>prostředky SR</w:t>
            </w:r>
          </w:p>
        </w:tc>
        <w:tc>
          <w:tcPr>
            <w:tcW w:w="688" w:type="pct"/>
            <w:tcBorders>
              <w:top w:val="single" w:sz="12" w:space="0" w:color="auto"/>
              <w:left w:val="single" w:sz="12" w:space="0" w:color="000000"/>
              <w:right w:val="single" w:sz="12" w:space="0" w:color="000000"/>
            </w:tcBorders>
            <w:vAlign w:val="center"/>
          </w:tcPr>
          <w:p w14:paraId="2C5BDB17" w14:textId="77777777" w:rsidR="00016A1A" w:rsidRPr="008651ED" w:rsidRDefault="00016A1A" w:rsidP="00016A1A">
            <w:pPr>
              <w:tabs>
                <w:tab w:val="left" w:pos="1170"/>
              </w:tabs>
              <w:jc w:val="right"/>
              <w:rPr>
                <w:b/>
              </w:rPr>
            </w:pPr>
            <w:r w:rsidRPr="008651ED">
              <w:rPr>
                <w:b/>
              </w:rPr>
              <w:t>32 413 985</w:t>
            </w:r>
          </w:p>
          <w:p w14:paraId="5AF0C264" w14:textId="77777777" w:rsidR="00016A1A" w:rsidRPr="008651ED" w:rsidRDefault="00016A1A" w:rsidP="00016A1A">
            <w:pPr>
              <w:tabs>
                <w:tab w:val="left" w:pos="1170"/>
              </w:tabs>
              <w:snapToGrid w:val="0"/>
              <w:jc w:val="right"/>
            </w:pPr>
          </w:p>
          <w:p w14:paraId="615E69A4" w14:textId="77777777" w:rsidR="00016A1A" w:rsidRPr="008651ED" w:rsidRDefault="00016A1A" w:rsidP="00016A1A">
            <w:pPr>
              <w:tabs>
                <w:tab w:val="left" w:pos="1170"/>
              </w:tabs>
              <w:snapToGrid w:val="0"/>
              <w:jc w:val="right"/>
              <w:rPr>
                <w:b/>
              </w:rPr>
            </w:pPr>
            <w:r w:rsidRPr="008651ED">
              <w:t xml:space="preserve">18 339 977 </w:t>
            </w:r>
          </w:p>
        </w:tc>
        <w:tc>
          <w:tcPr>
            <w:tcW w:w="697" w:type="pct"/>
            <w:tcBorders>
              <w:top w:val="single" w:sz="12" w:space="0" w:color="auto"/>
              <w:left w:val="single" w:sz="12" w:space="0" w:color="000000"/>
              <w:right w:val="single" w:sz="12" w:space="0" w:color="auto"/>
            </w:tcBorders>
            <w:vAlign w:val="center"/>
          </w:tcPr>
          <w:p w14:paraId="7E07A752" w14:textId="77777777" w:rsidR="00016A1A" w:rsidRPr="00445DA6" w:rsidRDefault="00016A1A" w:rsidP="00016A1A">
            <w:pPr>
              <w:jc w:val="right"/>
              <w:rPr>
                <w:b/>
              </w:rPr>
            </w:pPr>
            <w:r w:rsidRPr="00445DA6">
              <w:rPr>
                <w:b/>
              </w:rPr>
              <w:t>48 828 265</w:t>
            </w:r>
          </w:p>
          <w:p w14:paraId="06AAE077" w14:textId="77777777" w:rsidR="00016A1A" w:rsidRPr="00445DA6" w:rsidRDefault="00016A1A" w:rsidP="00016A1A">
            <w:pPr>
              <w:snapToGrid w:val="0"/>
              <w:jc w:val="right"/>
            </w:pPr>
          </w:p>
          <w:p w14:paraId="6471E974" w14:textId="77777777" w:rsidR="00016A1A" w:rsidRPr="00445DA6" w:rsidRDefault="00016A1A" w:rsidP="00016A1A">
            <w:pPr>
              <w:snapToGrid w:val="0"/>
              <w:jc w:val="right"/>
              <w:rPr>
                <w:b/>
              </w:rPr>
            </w:pPr>
            <w:r w:rsidRPr="00445DA6">
              <w:t>30 093 772</w:t>
            </w:r>
          </w:p>
        </w:tc>
        <w:tc>
          <w:tcPr>
            <w:tcW w:w="696" w:type="pct"/>
            <w:tcBorders>
              <w:top w:val="single" w:sz="12" w:space="0" w:color="auto"/>
              <w:left w:val="single" w:sz="12" w:space="0" w:color="auto"/>
              <w:right w:val="single" w:sz="12" w:space="0" w:color="000000"/>
            </w:tcBorders>
            <w:vAlign w:val="center"/>
          </w:tcPr>
          <w:p w14:paraId="0115F823" w14:textId="77777777" w:rsidR="00016A1A" w:rsidRPr="0094695D" w:rsidRDefault="00016A1A" w:rsidP="00016A1A">
            <w:pPr>
              <w:jc w:val="right"/>
              <w:rPr>
                <w:b/>
              </w:rPr>
            </w:pPr>
            <w:r w:rsidRPr="0094695D">
              <w:rPr>
                <w:b/>
              </w:rPr>
              <w:t>44 717 271</w:t>
            </w:r>
          </w:p>
          <w:p w14:paraId="42DD06E5" w14:textId="77777777" w:rsidR="00016A1A" w:rsidRPr="0094695D" w:rsidRDefault="00016A1A" w:rsidP="00016A1A">
            <w:pPr>
              <w:snapToGrid w:val="0"/>
              <w:jc w:val="right"/>
            </w:pPr>
          </w:p>
          <w:p w14:paraId="345E512A" w14:textId="77777777" w:rsidR="00016A1A" w:rsidRPr="0094695D" w:rsidRDefault="00016A1A" w:rsidP="00016A1A">
            <w:pPr>
              <w:snapToGrid w:val="0"/>
              <w:jc w:val="right"/>
              <w:rPr>
                <w:b/>
              </w:rPr>
            </w:pPr>
            <w:r w:rsidRPr="0094695D">
              <w:t>25 983 946</w:t>
            </w:r>
          </w:p>
        </w:tc>
        <w:tc>
          <w:tcPr>
            <w:tcW w:w="697" w:type="pct"/>
            <w:tcBorders>
              <w:top w:val="single" w:sz="12" w:space="0" w:color="auto"/>
              <w:left w:val="single" w:sz="12" w:space="0" w:color="000000"/>
              <w:right w:val="single" w:sz="12" w:space="0" w:color="000000"/>
            </w:tcBorders>
            <w:vAlign w:val="center"/>
          </w:tcPr>
          <w:p w14:paraId="215C92A0" w14:textId="77777777" w:rsidR="00016A1A" w:rsidRPr="00D97398" w:rsidRDefault="00016A1A" w:rsidP="00016A1A">
            <w:pPr>
              <w:tabs>
                <w:tab w:val="left" w:pos="1170"/>
              </w:tabs>
              <w:jc w:val="right"/>
              <w:rPr>
                <w:b/>
              </w:rPr>
            </w:pPr>
            <w:r w:rsidRPr="00D97398">
              <w:rPr>
                <w:b/>
              </w:rPr>
              <w:t>44 793 958</w:t>
            </w:r>
          </w:p>
          <w:p w14:paraId="7771B9D8" w14:textId="77777777" w:rsidR="00016A1A" w:rsidRPr="00D97398" w:rsidRDefault="00016A1A" w:rsidP="00016A1A">
            <w:pPr>
              <w:tabs>
                <w:tab w:val="left" w:pos="1170"/>
              </w:tabs>
              <w:snapToGrid w:val="0"/>
              <w:jc w:val="right"/>
            </w:pPr>
          </w:p>
          <w:p w14:paraId="60F39CBC" w14:textId="77777777" w:rsidR="00016A1A" w:rsidRPr="00D97398" w:rsidRDefault="00016A1A" w:rsidP="00016A1A">
            <w:pPr>
              <w:tabs>
                <w:tab w:val="left" w:pos="1170"/>
              </w:tabs>
              <w:snapToGrid w:val="0"/>
              <w:jc w:val="right"/>
              <w:rPr>
                <w:b/>
              </w:rPr>
            </w:pPr>
            <w:r>
              <w:t>2</w:t>
            </w:r>
            <w:r w:rsidRPr="00D97398">
              <w:t xml:space="preserve">7 223 716 </w:t>
            </w:r>
          </w:p>
        </w:tc>
        <w:tc>
          <w:tcPr>
            <w:tcW w:w="366" w:type="pct"/>
            <w:tcBorders>
              <w:top w:val="single" w:sz="12" w:space="0" w:color="auto"/>
              <w:left w:val="single" w:sz="12" w:space="0" w:color="000000"/>
              <w:right w:val="single" w:sz="12" w:space="0" w:color="000000"/>
            </w:tcBorders>
            <w:vAlign w:val="center"/>
          </w:tcPr>
          <w:p w14:paraId="7CD0CF81" w14:textId="77777777" w:rsidR="00016A1A" w:rsidRPr="009240A2" w:rsidRDefault="00016A1A" w:rsidP="00016A1A">
            <w:pPr>
              <w:jc w:val="right"/>
              <w:rPr>
                <w:b/>
              </w:rPr>
            </w:pPr>
            <w:r w:rsidRPr="009240A2">
              <w:rPr>
                <w:b/>
              </w:rPr>
              <w:t>100,17</w:t>
            </w:r>
          </w:p>
          <w:p w14:paraId="71B587B0" w14:textId="77777777" w:rsidR="00016A1A" w:rsidRPr="009240A2" w:rsidRDefault="00016A1A" w:rsidP="00016A1A">
            <w:pPr>
              <w:snapToGrid w:val="0"/>
              <w:jc w:val="right"/>
            </w:pPr>
          </w:p>
          <w:p w14:paraId="5C2366A5" w14:textId="77777777" w:rsidR="00016A1A" w:rsidRPr="009240A2" w:rsidRDefault="00016A1A" w:rsidP="00016A1A">
            <w:pPr>
              <w:snapToGrid w:val="0"/>
              <w:jc w:val="right"/>
              <w:rPr>
                <w:b/>
              </w:rPr>
            </w:pPr>
            <w:r w:rsidRPr="009240A2">
              <w:t>104,</w:t>
            </w:r>
            <w:r>
              <w:t>7</w:t>
            </w:r>
            <w:r w:rsidRPr="009240A2">
              <w:t>7</w:t>
            </w:r>
          </w:p>
        </w:tc>
        <w:tc>
          <w:tcPr>
            <w:tcW w:w="532" w:type="pct"/>
            <w:tcBorders>
              <w:top w:val="single" w:sz="12" w:space="0" w:color="auto"/>
              <w:left w:val="single" w:sz="12" w:space="0" w:color="000000"/>
              <w:right w:val="single" w:sz="12" w:space="0" w:color="auto"/>
            </w:tcBorders>
            <w:vAlign w:val="center"/>
          </w:tcPr>
          <w:p w14:paraId="55259D95" w14:textId="77777777" w:rsidR="00016A1A" w:rsidRPr="009240A2" w:rsidRDefault="00016A1A" w:rsidP="00016A1A">
            <w:pPr>
              <w:jc w:val="right"/>
              <w:rPr>
                <w:b/>
              </w:rPr>
            </w:pPr>
            <w:r w:rsidRPr="009240A2">
              <w:rPr>
                <w:b/>
              </w:rPr>
              <w:t>138,19</w:t>
            </w:r>
          </w:p>
          <w:p w14:paraId="1F1B4E93" w14:textId="77777777" w:rsidR="00016A1A" w:rsidRPr="009240A2" w:rsidRDefault="00016A1A" w:rsidP="00016A1A">
            <w:pPr>
              <w:snapToGrid w:val="0"/>
              <w:jc w:val="right"/>
            </w:pPr>
          </w:p>
          <w:p w14:paraId="75A21106" w14:textId="77777777" w:rsidR="00016A1A" w:rsidRPr="009240A2" w:rsidRDefault="00016A1A" w:rsidP="00016A1A">
            <w:pPr>
              <w:snapToGrid w:val="0"/>
              <w:jc w:val="right"/>
              <w:rPr>
                <w:b/>
              </w:rPr>
            </w:pPr>
            <w:r w:rsidRPr="009240A2">
              <w:t>148,44</w:t>
            </w:r>
          </w:p>
        </w:tc>
      </w:tr>
      <w:tr w:rsidR="00016A1A" w:rsidRPr="004B11AC" w14:paraId="41A4B99B" w14:textId="77777777" w:rsidTr="00016A1A">
        <w:trPr>
          <w:trHeight w:val="1380"/>
          <w:jc w:val="center"/>
        </w:trPr>
        <w:tc>
          <w:tcPr>
            <w:tcW w:w="1324" w:type="pct"/>
            <w:tcBorders>
              <w:left w:val="single" w:sz="12" w:space="0" w:color="auto"/>
              <w:bottom w:val="single" w:sz="12" w:space="0" w:color="auto"/>
              <w:right w:val="single" w:sz="12" w:space="0" w:color="000000"/>
            </w:tcBorders>
          </w:tcPr>
          <w:p w14:paraId="31F5BE51" w14:textId="77777777" w:rsidR="00016A1A" w:rsidRPr="008651ED" w:rsidRDefault="00016A1A" w:rsidP="00016A1A">
            <w:pPr>
              <w:snapToGrid w:val="0"/>
            </w:pPr>
            <w:r w:rsidRPr="008651ED">
              <w:t>prostředky EU</w:t>
            </w:r>
          </w:p>
          <w:p w14:paraId="3B92F867" w14:textId="77777777" w:rsidR="00016A1A" w:rsidRPr="008651ED" w:rsidRDefault="00016A1A" w:rsidP="00016A1A">
            <w:pPr>
              <w:snapToGrid w:val="0"/>
            </w:pPr>
            <w:r w:rsidRPr="008651ED">
              <w:t xml:space="preserve">výzkum, vývoj a inovace </w:t>
            </w:r>
          </w:p>
          <w:p w14:paraId="10504C21" w14:textId="77777777" w:rsidR="00016A1A" w:rsidRPr="008651ED" w:rsidRDefault="00016A1A" w:rsidP="00016A1A">
            <w:pPr>
              <w:snapToGrid w:val="0"/>
            </w:pPr>
            <w:r w:rsidRPr="008651ED">
              <w:t>z toho:</w:t>
            </w:r>
          </w:p>
          <w:p w14:paraId="7385571E" w14:textId="77777777" w:rsidR="00016A1A" w:rsidRPr="008651ED" w:rsidRDefault="00016A1A" w:rsidP="00016A1A">
            <w:pPr>
              <w:snapToGrid w:val="0"/>
            </w:pPr>
            <w:r w:rsidRPr="008651ED">
              <w:t>programové financování</w:t>
            </w:r>
          </w:p>
          <w:p w14:paraId="5D6BFE87" w14:textId="77777777" w:rsidR="00016A1A" w:rsidRPr="008651ED" w:rsidRDefault="00016A1A" w:rsidP="00016A1A">
            <w:pPr>
              <w:snapToGrid w:val="0"/>
            </w:pPr>
            <w:r w:rsidRPr="008651ED">
              <w:t>(EDS/SMVS)</w:t>
            </w:r>
          </w:p>
        </w:tc>
        <w:tc>
          <w:tcPr>
            <w:tcW w:w="688" w:type="pct"/>
            <w:tcBorders>
              <w:left w:val="single" w:sz="12" w:space="0" w:color="000000"/>
              <w:bottom w:val="single" w:sz="12" w:space="0" w:color="auto"/>
              <w:right w:val="single" w:sz="12" w:space="0" w:color="000000"/>
            </w:tcBorders>
          </w:tcPr>
          <w:p w14:paraId="131058C9" w14:textId="77777777" w:rsidR="00016A1A" w:rsidRPr="008651ED" w:rsidRDefault="00016A1A" w:rsidP="00016A1A">
            <w:pPr>
              <w:tabs>
                <w:tab w:val="left" w:pos="1170"/>
              </w:tabs>
              <w:snapToGrid w:val="0"/>
              <w:jc w:val="right"/>
            </w:pPr>
            <w:r w:rsidRPr="008651ED">
              <w:t>14 066 459</w:t>
            </w:r>
          </w:p>
          <w:p w14:paraId="752AE564" w14:textId="77777777" w:rsidR="00016A1A" w:rsidRPr="008651ED" w:rsidRDefault="00016A1A" w:rsidP="00016A1A">
            <w:pPr>
              <w:tabs>
                <w:tab w:val="left" w:pos="1170"/>
              </w:tabs>
              <w:snapToGrid w:val="0"/>
              <w:jc w:val="right"/>
            </w:pPr>
            <w:r w:rsidRPr="008651ED">
              <w:t>7 549</w:t>
            </w:r>
          </w:p>
          <w:p w14:paraId="09AF2D62" w14:textId="77777777" w:rsidR="00016A1A" w:rsidRPr="008651ED" w:rsidRDefault="00016A1A" w:rsidP="00016A1A">
            <w:pPr>
              <w:jc w:val="right"/>
            </w:pPr>
          </w:p>
          <w:p w14:paraId="206CCC6A" w14:textId="77777777" w:rsidR="00016A1A" w:rsidRPr="008651ED" w:rsidRDefault="00016A1A" w:rsidP="00016A1A">
            <w:pPr>
              <w:jc w:val="right"/>
            </w:pPr>
          </w:p>
          <w:p w14:paraId="08EAC0C0" w14:textId="77777777" w:rsidR="00016A1A" w:rsidRPr="008651ED" w:rsidRDefault="00016A1A" w:rsidP="00016A1A">
            <w:pPr>
              <w:jc w:val="right"/>
            </w:pPr>
            <w:r w:rsidRPr="008651ED">
              <w:t>32 406 436</w:t>
            </w:r>
            <w:r w:rsidRPr="008651ED">
              <w:rPr>
                <w:vertAlign w:val="superscript"/>
              </w:rPr>
              <w:t>+)</w:t>
            </w:r>
          </w:p>
        </w:tc>
        <w:tc>
          <w:tcPr>
            <w:tcW w:w="697" w:type="pct"/>
            <w:tcBorders>
              <w:left w:val="single" w:sz="12" w:space="0" w:color="000000"/>
              <w:bottom w:val="single" w:sz="12" w:space="0" w:color="auto"/>
              <w:right w:val="single" w:sz="12" w:space="0" w:color="auto"/>
            </w:tcBorders>
          </w:tcPr>
          <w:p w14:paraId="30F128BE" w14:textId="77777777" w:rsidR="00016A1A" w:rsidRPr="00445DA6" w:rsidRDefault="00016A1A" w:rsidP="00016A1A">
            <w:pPr>
              <w:snapToGrid w:val="0"/>
              <w:jc w:val="right"/>
            </w:pPr>
            <w:r w:rsidRPr="00445DA6">
              <w:t>18 727 243</w:t>
            </w:r>
          </w:p>
          <w:p w14:paraId="2EB4D432" w14:textId="77777777" w:rsidR="00016A1A" w:rsidRPr="00445DA6" w:rsidRDefault="00016A1A" w:rsidP="00016A1A">
            <w:pPr>
              <w:snapToGrid w:val="0"/>
              <w:jc w:val="right"/>
            </w:pPr>
            <w:r w:rsidRPr="00445DA6">
              <w:t>7 250</w:t>
            </w:r>
          </w:p>
          <w:p w14:paraId="6A3D4D77" w14:textId="77777777" w:rsidR="00016A1A" w:rsidRPr="00445DA6" w:rsidRDefault="00016A1A" w:rsidP="00016A1A">
            <w:pPr>
              <w:jc w:val="right"/>
            </w:pPr>
          </w:p>
          <w:p w14:paraId="4CD1BD20" w14:textId="77777777" w:rsidR="00016A1A" w:rsidRPr="00445DA6" w:rsidRDefault="00016A1A" w:rsidP="00016A1A">
            <w:pPr>
              <w:jc w:val="right"/>
            </w:pPr>
          </w:p>
          <w:p w14:paraId="255147DF" w14:textId="77777777" w:rsidR="00016A1A" w:rsidRPr="00445DA6" w:rsidRDefault="00016A1A" w:rsidP="00016A1A">
            <w:pPr>
              <w:jc w:val="right"/>
            </w:pPr>
            <w:r w:rsidRPr="00445DA6">
              <w:t>48 821 015</w:t>
            </w:r>
            <w:r w:rsidRPr="00445DA6">
              <w:rPr>
                <w:vertAlign w:val="superscript"/>
              </w:rPr>
              <w:t>+)</w:t>
            </w:r>
          </w:p>
        </w:tc>
        <w:tc>
          <w:tcPr>
            <w:tcW w:w="696" w:type="pct"/>
            <w:tcBorders>
              <w:left w:val="single" w:sz="12" w:space="0" w:color="auto"/>
              <w:bottom w:val="single" w:sz="12" w:space="0" w:color="auto"/>
              <w:right w:val="single" w:sz="12" w:space="0" w:color="000000"/>
            </w:tcBorders>
          </w:tcPr>
          <w:p w14:paraId="3A3F0849" w14:textId="77777777" w:rsidR="00016A1A" w:rsidRPr="00464288" w:rsidRDefault="00016A1A" w:rsidP="00016A1A">
            <w:pPr>
              <w:snapToGrid w:val="0"/>
              <w:jc w:val="right"/>
            </w:pPr>
            <w:r w:rsidRPr="00464288">
              <w:t>18 726 07</w:t>
            </w:r>
            <w:r>
              <w:t>4</w:t>
            </w:r>
          </w:p>
          <w:p w14:paraId="1F2D9CEE" w14:textId="77777777" w:rsidR="00016A1A" w:rsidRPr="00464288" w:rsidRDefault="00016A1A" w:rsidP="00016A1A">
            <w:pPr>
              <w:snapToGrid w:val="0"/>
              <w:jc w:val="right"/>
            </w:pPr>
            <w:r w:rsidRPr="00464288">
              <w:t>7 250</w:t>
            </w:r>
          </w:p>
          <w:p w14:paraId="33EA2A15" w14:textId="77777777" w:rsidR="00016A1A" w:rsidRPr="004B11AC" w:rsidRDefault="00016A1A" w:rsidP="00016A1A">
            <w:pPr>
              <w:jc w:val="right"/>
              <w:rPr>
                <w:color w:val="FF0000"/>
              </w:rPr>
            </w:pPr>
          </w:p>
          <w:p w14:paraId="395D3661" w14:textId="77777777" w:rsidR="00016A1A" w:rsidRPr="004B11AC" w:rsidRDefault="00016A1A" w:rsidP="00016A1A">
            <w:pPr>
              <w:jc w:val="right"/>
              <w:rPr>
                <w:color w:val="FF0000"/>
              </w:rPr>
            </w:pPr>
          </w:p>
          <w:p w14:paraId="47FBFD68" w14:textId="77777777" w:rsidR="00016A1A" w:rsidRPr="004B11AC" w:rsidRDefault="00016A1A" w:rsidP="00016A1A">
            <w:pPr>
              <w:jc w:val="right"/>
              <w:rPr>
                <w:color w:val="FF0000"/>
              </w:rPr>
            </w:pPr>
            <w:r w:rsidRPr="00FB31C7">
              <w:t>44 710 021</w:t>
            </w:r>
            <w:r w:rsidRPr="00FB31C7">
              <w:rPr>
                <w:vertAlign w:val="superscript"/>
              </w:rPr>
              <w:t>+)</w:t>
            </w:r>
          </w:p>
        </w:tc>
        <w:tc>
          <w:tcPr>
            <w:tcW w:w="697" w:type="pct"/>
            <w:tcBorders>
              <w:left w:val="single" w:sz="12" w:space="0" w:color="000000"/>
              <w:bottom w:val="single" w:sz="12" w:space="0" w:color="auto"/>
              <w:right w:val="single" w:sz="12" w:space="0" w:color="000000"/>
            </w:tcBorders>
          </w:tcPr>
          <w:p w14:paraId="29355447" w14:textId="77777777" w:rsidR="00016A1A" w:rsidRPr="00D97398" w:rsidRDefault="00016A1A" w:rsidP="00016A1A">
            <w:pPr>
              <w:tabs>
                <w:tab w:val="left" w:pos="1170"/>
              </w:tabs>
              <w:snapToGrid w:val="0"/>
              <w:jc w:val="right"/>
            </w:pPr>
            <w:r w:rsidRPr="00D97398">
              <w:t>17 562 992</w:t>
            </w:r>
          </w:p>
          <w:p w14:paraId="7DEEE4EE" w14:textId="77777777" w:rsidR="00016A1A" w:rsidRPr="00D97398" w:rsidRDefault="00016A1A" w:rsidP="00016A1A">
            <w:pPr>
              <w:tabs>
                <w:tab w:val="left" w:pos="1170"/>
              </w:tabs>
              <w:snapToGrid w:val="0"/>
              <w:jc w:val="right"/>
            </w:pPr>
            <w:r w:rsidRPr="00D97398">
              <w:t>7 250</w:t>
            </w:r>
          </w:p>
          <w:p w14:paraId="50D1870E" w14:textId="77777777" w:rsidR="00016A1A" w:rsidRPr="00D97398" w:rsidRDefault="00016A1A" w:rsidP="00016A1A">
            <w:pPr>
              <w:jc w:val="right"/>
            </w:pPr>
          </w:p>
          <w:p w14:paraId="11370306" w14:textId="77777777" w:rsidR="00016A1A" w:rsidRPr="00D97398" w:rsidRDefault="00016A1A" w:rsidP="00016A1A">
            <w:pPr>
              <w:jc w:val="right"/>
            </w:pPr>
          </w:p>
          <w:p w14:paraId="067BB5FB" w14:textId="77777777" w:rsidR="00016A1A" w:rsidRPr="00D97398" w:rsidRDefault="00016A1A" w:rsidP="00016A1A">
            <w:pPr>
              <w:jc w:val="right"/>
            </w:pPr>
            <w:r w:rsidRPr="00D97398">
              <w:t>44 786 708</w:t>
            </w:r>
            <w:r w:rsidRPr="00D97398">
              <w:rPr>
                <w:vertAlign w:val="superscript"/>
              </w:rPr>
              <w:t>+)</w:t>
            </w:r>
          </w:p>
        </w:tc>
        <w:tc>
          <w:tcPr>
            <w:tcW w:w="366" w:type="pct"/>
            <w:tcBorders>
              <w:left w:val="single" w:sz="12" w:space="0" w:color="000000"/>
              <w:bottom w:val="single" w:sz="12" w:space="0" w:color="auto"/>
              <w:right w:val="single" w:sz="12" w:space="0" w:color="000000"/>
            </w:tcBorders>
          </w:tcPr>
          <w:p w14:paraId="53010585" w14:textId="77777777" w:rsidR="00016A1A" w:rsidRPr="009240A2" w:rsidRDefault="00016A1A" w:rsidP="00016A1A">
            <w:pPr>
              <w:snapToGrid w:val="0"/>
              <w:jc w:val="right"/>
            </w:pPr>
            <w:r w:rsidRPr="009240A2">
              <w:t>93,79</w:t>
            </w:r>
          </w:p>
          <w:p w14:paraId="693DA704" w14:textId="77777777" w:rsidR="00016A1A" w:rsidRPr="009240A2" w:rsidRDefault="00016A1A" w:rsidP="00016A1A">
            <w:pPr>
              <w:snapToGrid w:val="0"/>
              <w:jc w:val="right"/>
            </w:pPr>
            <w:r w:rsidRPr="009240A2">
              <w:t>100,00</w:t>
            </w:r>
          </w:p>
          <w:p w14:paraId="7D3D2D46" w14:textId="77777777" w:rsidR="00016A1A" w:rsidRPr="009240A2" w:rsidRDefault="00016A1A" w:rsidP="00016A1A">
            <w:pPr>
              <w:snapToGrid w:val="0"/>
              <w:jc w:val="right"/>
            </w:pPr>
          </w:p>
          <w:p w14:paraId="2EFEDB0E" w14:textId="77777777" w:rsidR="00016A1A" w:rsidRPr="009240A2" w:rsidRDefault="00016A1A" w:rsidP="00016A1A">
            <w:pPr>
              <w:snapToGrid w:val="0"/>
              <w:jc w:val="right"/>
            </w:pPr>
          </w:p>
          <w:p w14:paraId="02266F0C" w14:textId="77777777" w:rsidR="00016A1A" w:rsidRPr="009240A2" w:rsidRDefault="00016A1A" w:rsidP="00016A1A">
            <w:pPr>
              <w:snapToGrid w:val="0"/>
              <w:jc w:val="right"/>
            </w:pPr>
            <w:r w:rsidRPr="009240A2">
              <w:t>100,17</w:t>
            </w:r>
          </w:p>
        </w:tc>
        <w:tc>
          <w:tcPr>
            <w:tcW w:w="532" w:type="pct"/>
            <w:tcBorders>
              <w:left w:val="single" w:sz="12" w:space="0" w:color="000000"/>
              <w:bottom w:val="single" w:sz="12" w:space="0" w:color="auto"/>
              <w:right w:val="single" w:sz="12" w:space="0" w:color="auto"/>
            </w:tcBorders>
          </w:tcPr>
          <w:p w14:paraId="177ED35D" w14:textId="77777777" w:rsidR="00016A1A" w:rsidRPr="009240A2" w:rsidRDefault="00016A1A" w:rsidP="00016A1A">
            <w:pPr>
              <w:snapToGrid w:val="0"/>
              <w:jc w:val="right"/>
            </w:pPr>
            <w:r w:rsidRPr="009240A2">
              <w:t>124,86</w:t>
            </w:r>
          </w:p>
          <w:p w14:paraId="777F4C82" w14:textId="77777777" w:rsidR="00016A1A" w:rsidRPr="009240A2" w:rsidRDefault="00016A1A" w:rsidP="00016A1A">
            <w:pPr>
              <w:snapToGrid w:val="0"/>
              <w:jc w:val="right"/>
            </w:pPr>
            <w:r w:rsidRPr="009240A2">
              <w:t>96,04</w:t>
            </w:r>
          </w:p>
          <w:p w14:paraId="69A71122" w14:textId="77777777" w:rsidR="00016A1A" w:rsidRPr="009240A2" w:rsidRDefault="00016A1A" w:rsidP="00016A1A">
            <w:pPr>
              <w:snapToGrid w:val="0"/>
              <w:jc w:val="right"/>
            </w:pPr>
          </w:p>
          <w:p w14:paraId="49493392" w14:textId="77777777" w:rsidR="00016A1A" w:rsidRPr="009240A2" w:rsidRDefault="00016A1A" w:rsidP="00016A1A">
            <w:pPr>
              <w:snapToGrid w:val="0"/>
              <w:jc w:val="right"/>
            </w:pPr>
          </w:p>
          <w:p w14:paraId="184C494C" w14:textId="77777777" w:rsidR="00016A1A" w:rsidRPr="009240A2" w:rsidRDefault="00016A1A" w:rsidP="00016A1A">
            <w:pPr>
              <w:snapToGrid w:val="0"/>
              <w:jc w:val="right"/>
            </w:pPr>
            <w:r w:rsidRPr="009240A2">
              <w:t>138,20</w:t>
            </w:r>
          </w:p>
        </w:tc>
      </w:tr>
    </w:tbl>
    <w:p w14:paraId="677156B5" w14:textId="77777777" w:rsidR="00016A1A" w:rsidRPr="00016A1A" w:rsidRDefault="00016A1A" w:rsidP="00016A1A">
      <w:pPr>
        <w:pStyle w:val="Odstavecseseznamem"/>
        <w:spacing w:before="120"/>
        <w:ind w:left="340"/>
        <w:rPr>
          <w:color w:val="FF0000"/>
          <w:sz w:val="22"/>
          <w:szCs w:val="22"/>
          <w:u w:val="single"/>
        </w:rPr>
      </w:pPr>
    </w:p>
    <w:p w14:paraId="02185113" w14:textId="77777777" w:rsidR="00016A1A" w:rsidRDefault="00016A1A" w:rsidP="00016A1A">
      <w:pPr>
        <w:pStyle w:val="Odstavecseseznamem"/>
        <w:spacing w:before="120"/>
        <w:ind w:left="340"/>
        <w:rPr>
          <w:sz w:val="22"/>
          <w:szCs w:val="22"/>
          <w:u w:val="single"/>
        </w:rPr>
      </w:pPr>
    </w:p>
    <w:p w14:paraId="79EAE7EB" w14:textId="77777777" w:rsidR="00016A1A" w:rsidRPr="00016A1A" w:rsidRDefault="00016A1A" w:rsidP="00016A1A">
      <w:pPr>
        <w:pStyle w:val="Odstavecseseznamem"/>
        <w:spacing w:before="120"/>
        <w:ind w:left="340"/>
        <w:rPr>
          <w:sz w:val="22"/>
          <w:szCs w:val="22"/>
          <w:u w:val="single"/>
        </w:rPr>
      </w:pPr>
      <w:r w:rsidRPr="00016A1A">
        <w:rPr>
          <w:sz w:val="22"/>
          <w:szCs w:val="22"/>
          <w:u w:val="single"/>
        </w:rPr>
        <w:lastRenderedPageBreak/>
        <w:t>Poznámka:</w:t>
      </w:r>
    </w:p>
    <w:p w14:paraId="43D00E0C" w14:textId="77777777" w:rsidR="00016A1A" w:rsidRPr="00016A1A" w:rsidRDefault="00016A1A" w:rsidP="00016A1A">
      <w:pPr>
        <w:pStyle w:val="Odstavecseseznamem"/>
        <w:ind w:left="340"/>
        <w:rPr>
          <w:sz w:val="22"/>
          <w:szCs w:val="22"/>
        </w:rPr>
      </w:pPr>
      <w:r w:rsidRPr="00016A1A">
        <w:rPr>
          <w:sz w:val="22"/>
          <w:szCs w:val="22"/>
        </w:rPr>
        <w:t>Prostředky SR - SD – systémová dotace</w:t>
      </w:r>
    </w:p>
    <w:p w14:paraId="1FB7AD84" w14:textId="77777777" w:rsidR="00016A1A" w:rsidRPr="00016A1A" w:rsidRDefault="00016A1A" w:rsidP="00016A1A">
      <w:pPr>
        <w:pStyle w:val="Odstavecseseznamem"/>
        <w:ind w:left="340"/>
        <w:rPr>
          <w:sz w:val="22"/>
          <w:szCs w:val="22"/>
        </w:rPr>
      </w:pPr>
      <w:r w:rsidRPr="00016A1A">
        <w:rPr>
          <w:sz w:val="22"/>
          <w:szCs w:val="22"/>
        </w:rPr>
        <w:t>Prostředky SR - ID – individuální dotace</w:t>
      </w:r>
    </w:p>
    <w:p w14:paraId="64885B8C" w14:textId="77777777" w:rsidR="00016A1A" w:rsidRPr="00016A1A" w:rsidRDefault="00016A1A" w:rsidP="00016A1A">
      <w:pPr>
        <w:pStyle w:val="Odstavecseseznamem"/>
        <w:ind w:left="340"/>
        <w:rPr>
          <w:sz w:val="22"/>
          <w:szCs w:val="22"/>
        </w:rPr>
      </w:pPr>
      <w:r w:rsidRPr="00016A1A">
        <w:rPr>
          <w:sz w:val="22"/>
          <w:szCs w:val="22"/>
        </w:rPr>
        <w:t>Prostředky</w:t>
      </w:r>
    </w:p>
    <w:p w14:paraId="5E2CE558" w14:textId="77777777" w:rsidR="00016A1A" w:rsidRPr="00016A1A" w:rsidRDefault="00016A1A" w:rsidP="00016A1A">
      <w:pPr>
        <w:pStyle w:val="Odstavecseseznamem"/>
        <w:ind w:left="340"/>
        <w:rPr>
          <w:sz w:val="22"/>
          <w:szCs w:val="22"/>
        </w:rPr>
      </w:pPr>
      <w:r w:rsidRPr="00016A1A">
        <w:rPr>
          <w:sz w:val="22"/>
          <w:szCs w:val="22"/>
        </w:rPr>
        <w:t xml:space="preserve"> SR - SUV – systémově určený výdaj investiční</w:t>
      </w:r>
    </w:p>
    <w:p w14:paraId="7B6758DA" w14:textId="77777777" w:rsidR="00016A1A" w:rsidRPr="00016A1A" w:rsidRDefault="00016A1A" w:rsidP="00016A1A">
      <w:pPr>
        <w:pStyle w:val="Odstavecseseznamem"/>
        <w:ind w:left="340"/>
        <w:rPr>
          <w:sz w:val="22"/>
          <w:szCs w:val="22"/>
        </w:rPr>
      </w:pPr>
      <w:r w:rsidRPr="00016A1A">
        <w:rPr>
          <w:sz w:val="22"/>
          <w:szCs w:val="22"/>
        </w:rPr>
        <w:t>Prostředky SR - IPV – individuálně posuzovaný výdaj investiční</w:t>
      </w:r>
    </w:p>
    <w:p w14:paraId="46C89503" w14:textId="77777777" w:rsidR="00016A1A" w:rsidRPr="00016A1A" w:rsidRDefault="00016A1A" w:rsidP="00016A1A">
      <w:pPr>
        <w:pStyle w:val="Odstavecseseznamem"/>
        <w:ind w:left="340"/>
        <w:rPr>
          <w:sz w:val="22"/>
          <w:szCs w:val="22"/>
        </w:rPr>
      </w:pPr>
      <w:r w:rsidRPr="00016A1A">
        <w:rPr>
          <w:sz w:val="22"/>
          <w:szCs w:val="22"/>
        </w:rPr>
        <w:t>Prostředky EU – výdaje kryté příjmem z rozpočtu EU</w:t>
      </w:r>
    </w:p>
    <w:p w14:paraId="18096AA3" w14:textId="77777777" w:rsidR="00016A1A" w:rsidRPr="00016A1A" w:rsidRDefault="00016A1A" w:rsidP="00016A1A">
      <w:pPr>
        <w:pStyle w:val="Odstavecseseznamem"/>
        <w:ind w:left="340"/>
        <w:jc w:val="both"/>
        <w:rPr>
          <w:sz w:val="22"/>
          <w:szCs w:val="22"/>
        </w:rPr>
      </w:pPr>
      <w:r w:rsidRPr="00016A1A">
        <w:rPr>
          <w:sz w:val="22"/>
          <w:szCs w:val="22"/>
        </w:rPr>
        <w:t>+) včetně dotace z EU</w:t>
      </w:r>
    </w:p>
    <w:p w14:paraId="3C4C9AD3" w14:textId="7E60B2DB" w:rsidR="00016A1A" w:rsidRPr="00D97398" w:rsidRDefault="00016A1A" w:rsidP="00016A1A">
      <w:pPr>
        <w:pStyle w:val="Titulek"/>
        <w:ind w:left="340"/>
      </w:pPr>
      <w:bookmarkStart w:id="408" w:name="_Toc508879879"/>
      <w:bookmarkStart w:id="409" w:name="_Toc508880155"/>
      <w:bookmarkStart w:id="410" w:name="_Toc34288684"/>
      <w:r w:rsidRPr="00D97398">
        <w:t xml:space="preserve">Graf č. </w:t>
      </w:r>
      <w:r w:rsidRPr="00D97398">
        <w:rPr>
          <w:noProof/>
        </w:rPr>
        <w:fldChar w:fldCharType="begin"/>
      </w:r>
      <w:r w:rsidRPr="00D97398">
        <w:rPr>
          <w:noProof/>
        </w:rPr>
        <w:instrText xml:space="preserve"> SEQ Graf_č. \* ARABIC </w:instrText>
      </w:r>
      <w:r w:rsidRPr="00D97398">
        <w:rPr>
          <w:noProof/>
        </w:rPr>
        <w:fldChar w:fldCharType="separate"/>
      </w:r>
      <w:r w:rsidR="00DF450F">
        <w:rPr>
          <w:noProof/>
        </w:rPr>
        <w:t>17</w:t>
      </w:r>
      <w:r w:rsidRPr="00D97398">
        <w:rPr>
          <w:noProof/>
        </w:rPr>
        <w:fldChar w:fldCharType="end"/>
      </w:r>
      <w:r w:rsidRPr="00D97398">
        <w:t>:  Členění kapitálových výdajů kapitoly 327-MD</w:t>
      </w:r>
      <w:bookmarkEnd w:id="408"/>
      <w:bookmarkEnd w:id="409"/>
      <w:bookmarkEnd w:id="410"/>
    </w:p>
    <w:p w14:paraId="61DC5F8D" w14:textId="77777777" w:rsidR="00016A1A" w:rsidRPr="00016A1A" w:rsidRDefault="00016A1A" w:rsidP="00016A1A">
      <w:pPr>
        <w:pStyle w:val="Odstavecseseznamem"/>
        <w:ind w:left="340"/>
        <w:rPr>
          <w:color w:val="FF0000"/>
        </w:rPr>
      </w:pPr>
      <w:r w:rsidRPr="004B11AC">
        <w:rPr>
          <w:noProof/>
        </w:rPr>
        <w:drawing>
          <wp:inline distT="0" distB="0" distL="0" distR="0" wp14:anchorId="5FB0E5DE" wp14:editId="2FBD71E5">
            <wp:extent cx="5749290" cy="2343150"/>
            <wp:effectExtent l="0" t="0" r="3810" b="0"/>
            <wp:docPr id="31" name="Graf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5E4A8853" w14:textId="77777777" w:rsidR="00016A1A" w:rsidRPr="003F5268" w:rsidRDefault="00016A1A" w:rsidP="00155668">
      <w:pPr>
        <w:pStyle w:val="KOMtext"/>
        <w:rPr>
          <w:sz w:val="22"/>
          <w:u w:val="single"/>
        </w:rPr>
      </w:pPr>
      <w:r w:rsidRPr="003F5268">
        <w:rPr>
          <w:u w:val="single"/>
        </w:rPr>
        <w:t>Přehled čerpání kapitálových výdajů v jednotlivých čtvrtletích v letech 2015-2019 ukazuje následující tabulka:</w:t>
      </w:r>
    </w:p>
    <w:p w14:paraId="6C5CCBC4" w14:textId="4FEAD37F" w:rsidR="00016A1A" w:rsidRPr="00862493" w:rsidRDefault="00281F9B" w:rsidP="00016A1A">
      <w:pPr>
        <w:pStyle w:val="Odstavecseseznamem"/>
        <w:ind w:left="340" w:right="-424"/>
        <w:jc w:val="both"/>
      </w:pPr>
      <w:r>
        <w:rPr>
          <w:sz w:val="22"/>
        </w:rPr>
        <w:t xml:space="preserve">                                                                                                                                                 </w:t>
      </w:r>
      <w:r w:rsidR="00016A1A" w:rsidRPr="00016A1A">
        <w:rPr>
          <w:sz w:val="22"/>
        </w:rPr>
        <w:t xml:space="preserve"> </w:t>
      </w:r>
      <w:r w:rsidR="00016A1A" w:rsidRPr="00862493">
        <w:t>v tis. Kč</w:t>
      </w:r>
    </w:p>
    <w:tbl>
      <w:tblPr>
        <w:tblW w:w="5000" w:type="pct"/>
        <w:tblCellMar>
          <w:left w:w="70" w:type="dxa"/>
          <w:right w:w="70" w:type="dxa"/>
        </w:tblCellMar>
        <w:tblLook w:val="0000" w:firstRow="0" w:lastRow="0" w:firstColumn="0" w:lastColumn="0" w:noHBand="0" w:noVBand="0"/>
      </w:tblPr>
      <w:tblGrid>
        <w:gridCol w:w="1437"/>
        <w:gridCol w:w="1503"/>
        <w:gridCol w:w="1659"/>
        <w:gridCol w:w="1503"/>
        <w:gridCol w:w="1580"/>
        <w:gridCol w:w="1503"/>
      </w:tblGrid>
      <w:tr w:rsidR="00016A1A" w:rsidRPr="00862493" w14:paraId="73550C99" w14:textId="77777777" w:rsidTr="00016A1A">
        <w:tc>
          <w:tcPr>
            <w:tcW w:w="782" w:type="pct"/>
            <w:tcBorders>
              <w:top w:val="single" w:sz="12" w:space="0" w:color="000000"/>
              <w:left w:val="single" w:sz="12" w:space="0" w:color="000000"/>
              <w:bottom w:val="single" w:sz="12" w:space="0" w:color="000000"/>
              <w:right w:val="single" w:sz="12" w:space="0" w:color="000000"/>
            </w:tcBorders>
          </w:tcPr>
          <w:p w14:paraId="3F020275" w14:textId="77777777" w:rsidR="00016A1A" w:rsidRPr="00862493" w:rsidRDefault="00016A1A" w:rsidP="00016A1A">
            <w:pPr>
              <w:snapToGrid w:val="0"/>
              <w:jc w:val="both"/>
            </w:pPr>
          </w:p>
        </w:tc>
        <w:tc>
          <w:tcPr>
            <w:tcW w:w="818" w:type="pct"/>
            <w:tcBorders>
              <w:top w:val="single" w:sz="12" w:space="0" w:color="000000"/>
              <w:left w:val="single" w:sz="12" w:space="0" w:color="000000"/>
              <w:bottom w:val="single" w:sz="12" w:space="0" w:color="000000"/>
              <w:right w:val="single" w:sz="12" w:space="0" w:color="000000"/>
            </w:tcBorders>
            <w:vAlign w:val="center"/>
          </w:tcPr>
          <w:p w14:paraId="4B251DD7" w14:textId="77777777" w:rsidR="00016A1A" w:rsidRPr="00862493" w:rsidRDefault="00016A1A" w:rsidP="00016A1A">
            <w:pPr>
              <w:snapToGrid w:val="0"/>
              <w:jc w:val="center"/>
            </w:pPr>
            <w:r w:rsidRPr="00862493">
              <w:t>1. čtvrtletí</w:t>
            </w:r>
          </w:p>
        </w:tc>
        <w:tc>
          <w:tcPr>
            <w:tcW w:w="903" w:type="pct"/>
            <w:tcBorders>
              <w:top w:val="single" w:sz="12" w:space="0" w:color="000000"/>
              <w:left w:val="single" w:sz="12" w:space="0" w:color="000000"/>
              <w:bottom w:val="single" w:sz="12" w:space="0" w:color="000000"/>
              <w:right w:val="single" w:sz="12" w:space="0" w:color="000000"/>
            </w:tcBorders>
            <w:vAlign w:val="center"/>
          </w:tcPr>
          <w:p w14:paraId="69F6AB0D" w14:textId="77777777" w:rsidR="00016A1A" w:rsidRPr="00862493" w:rsidRDefault="00016A1A" w:rsidP="00016A1A">
            <w:pPr>
              <w:snapToGrid w:val="0"/>
              <w:jc w:val="center"/>
            </w:pPr>
            <w:r w:rsidRPr="00862493">
              <w:t>2. čtvrtletí</w:t>
            </w:r>
          </w:p>
        </w:tc>
        <w:tc>
          <w:tcPr>
            <w:tcW w:w="818" w:type="pct"/>
            <w:tcBorders>
              <w:top w:val="single" w:sz="12" w:space="0" w:color="000000"/>
              <w:left w:val="single" w:sz="12" w:space="0" w:color="000000"/>
              <w:bottom w:val="single" w:sz="12" w:space="0" w:color="000000"/>
              <w:right w:val="single" w:sz="12" w:space="0" w:color="000000"/>
            </w:tcBorders>
            <w:vAlign w:val="center"/>
          </w:tcPr>
          <w:p w14:paraId="370D0BC8" w14:textId="77777777" w:rsidR="00016A1A" w:rsidRPr="00862493" w:rsidRDefault="00016A1A" w:rsidP="00016A1A">
            <w:pPr>
              <w:snapToGrid w:val="0"/>
              <w:jc w:val="center"/>
            </w:pPr>
            <w:r w:rsidRPr="00862493">
              <w:t>3. čtvrtletí</w:t>
            </w:r>
          </w:p>
        </w:tc>
        <w:tc>
          <w:tcPr>
            <w:tcW w:w="860" w:type="pct"/>
            <w:tcBorders>
              <w:top w:val="single" w:sz="12" w:space="0" w:color="000000"/>
              <w:left w:val="single" w:sz="12" w:space="0" w:color="000000"/>
              <w:bottom w:val="single" w:sz="12" w:space="0" w:color="000000"/>
              <w:right w:val="single" w:sz="12" w:space="0" w:color="000000"/>
            </w:tcBorders>
            <w:vAlign w:val="center"/>
          </w:tcPr>
          <w:p w14:paraId="0A89CD61" w14:textId="77777777" w:rsidR="00016A1A" w:rsidRPr="00862493" w:rsidRDefault="00016A1A" w:rsidP="00016A1A">
            <w:pPr>
              <w:snapToGrid w:val="0"/>
              <w:jc w:val="center"/>
            </w:pPr>
            <w:r w:rsidRPr="00862493">
              <w:t>4.  čtvrtletí</w:t>
            </w:r>
          </w:p>
        </w:tc>
        <w:tc>
          <w:tcPr>
            <w:tcW w:w="818" w:type="pct"/>
            <w:tcBorders>
              <w:top w:val="single" w:sz="12" w:space="0" w:color="000000"/>
              <w:left w:val="single" w:sz="12" w:space="0" w:color="000000"/>
              <w:bottom w:val="single" w:sz="12" w:space="0" w:color="000000"/>
              <w:right w:val="single" w:sz="12" w:space="0" w:color="000000"/>
            </w:tcBorders>
            <w:vAlign w:val="center"/>
          </w:tcPr>
          <w:p w14:paraId="6398ADEB" w14:textId="77777777" w:rsidR="00016A1A" w:rsidRPr="00862493" w:rsidRDefault="00016A1A" w:rsidP="00016A1A">
            <w:pPr>
              <w:snapToGrid w:val="0"/>
              <w:jc w:val="center"/>
            </w:pPr>
            <w:r w:rsidRPr="00862493">
              <w:t>Celkem</w:t>
            </w:r>
          </w:p>
        </w:tc>
      </w:tr>
      <w:tr w:rsidR="00016A1A" w:rsidRPr="00862493" w14:paraId="22AF5C73" w14:textId="77777777" w:rsidTr="00016A1A">
        <w:tc>
          <w:tcPr>
            <w:tcW w:w="782" w:type="pct"/>
            <w:tcBorders>
              <w:top w:val="single" w:sz="12" w:space="0" w:color="000000"/>
              <w:left w:val="single" w:sz="12" w:space="0" w:color="000000"/>
              <w:right w:val="single" w:sz="12" w:space="0" w:color="000000"/>
            </w:tcBorders>
          </w:tcPr>
          <w:p w14:paraId="20D14FEE" w14:textId="77777777" w:rsidR="00016A1A" w:rsidRPr="00862493" w:rsidRDefault="00016A1A" w:rsidP="00016A1A">
            <w:pPr>
              <w:snapToGrid w:val="0"/>
              <w:jc w:val="both"/>
              <w:rPr>
                <w:b/>
                <w:sz w:val="16"/>
                <w:szCs w:val="16"/>
              </w:rPr>
            </w:pPr>
          </w:p>
        </w:tc>
        <w:tc>
          <w:tcPr>
            <w:tcW w:w="818" w:type="pct"/>
            <w:tcBorders>
              <w:top w:val="single" w:sz="12" w:space="0" w:color="000000"/>
              <w:left w:val="single" w:sz="12" w:space="0" w:color="000000"/>
              <w:right w:val="single" w:sz="12" w:space="0" w:color="000000"/>
            </w:tcBorders>
          </w:tcPr>
          <w:p w14:paraId="18F42B2A" w14:textId="77777777" w:rsidR="00016A1A" w:rsidRPr="00862493" w:rsidRDefault="00016A1A" w:rsidP="00016A1A">
            <w:pPr>
              <w:snapToGrid w:val="0"/>
              <w:jc w:val="right"/>
              <w:rPr>
                <w:sz w:val="16"/>
                <w:szCs w:val="16"/>
              </w:rPr>
            </w:pPr>
          </w:p>
        </w:tc>
        <w:tc>
          <w:tcPr>
            <w:tcW w:w="903" w:type="pct"/>
            <w:tcBorders>
              <w:top w:val="single" w:sz="12" w:space="0" w:color="000000"/>
              <w:left w:val="single" w:sz="12" w:space="0" w:color="000000"/>
              <w:right w:val="single" w:sz="12" w:space="0" w:color="000000"/>
            </w:tcBorders>
          </w:tcPr>
          <w:p w14:paraId="6A28AB98" w14:textId="77777777" w:rsidR="00016A1A" w:rsidRPr="00862493" w:rsidRDefault="00016A1A" w:rsidP="00016A1A">
            <w:pPr>
              <w:snapToGrid w:val="0"/>
              <w:jc w:val="right"/>
              <w:rPr>
                <w:sz w:val="16"/>
                <w:szCs w:val="16"/>
              </w:rPr>
            </w:pPr>
          </w:p>
        </w:tc>
        <w:tc>
          <w:tcPr>
            <w:tcW w:w="818" w:type="pct"/>
            <w:tcBorders>
              <w:top w:val="single" w:sz="12" w:space="0" w:color="000000"/>
              <w:left w:val="single" w:sz="12" w:space="0" w:color="000000"/>
              <w:right w:val="single" w:sz="12" w:space="0" w:color="000000"/>
            </w:tcBorders>
          </w:tcPr>
          <w:p w14:paraId="354BCF0B" w14:textId="77777777" w:rsidR="00016A1A" w:rsidRPr="00862493" w:rsidRDefault="00016A1A" w:rsidP="00016A1A">
            <w:pPr>
              <w:snapToGrid w:val="0"/>
              <w:jc w:val="right"/>
              <w:rPr>
                <w:sz w:val="16"/>
                <w:szCs w:val="16"/>
              </w:rPr>
            </w:pPr>
          </w:p>
        </w:tc>
        <w:tc>
          <w:tcPr>
            <w:tcW w:w="860" w:type="pct"/>
            <w:tcBorders>
              <w:top w:val="single" w:sz="12" w:space="0" w:color="000000"/>
              <w:left w:val="single" w:sz="12" w:space="0" w:color="000000"/>
              <w:right w:val="single" w:sz="12" w:space="0" w:color="000000"/>
            </w:tcBorders>
          </w:tcPr>
          <w:p w14:paraId="3852B742" w14:textId="77777777" w:rsidR="00016A1A" w:rsidRPr="00862493" w:rsidRDefault="00016A1A" w:rsidP="00016A1A">
            <w:pPr>
              <w:snapToGrid w:val="0"/>
              <w:jc w:val="right"/>
              <w:rPr>
                <w:sz w:val="16"/>
                <w:szCs w:val="16"/>
              </w:rPr>
            </w:pPr>
          </w:p>
        </w:tc>
        <w:tc>
          <w:tcPr>
            <w:tcW w:w="818" w:type="pct"/>
            <w:tcBorders>
              <w:top w:val="single" w:sz="12" w:space="0" w:color="000000"/>
              <w:left w:val="single" w:sz="12" w:space="0" w:color="000000"/>
              <w:right w:val="single" w:sz="12" w:space="0" w:color="000000"/>
            </w:tcBorders>
          </w:tcPr>
          <w:p w14:paraId="584D25C8" w14:textId="77777777" w:rsidR="00016A1A" w:rsidRPr="00862493" w:rsidRDefault="00016A1A" w:rsidP="00016A1A">
            <w:pPr>
              <w:snapToGrid w:val="0"/>
              <w:jc w:val="right"/>
              <w:rPr>
                <w:sz w:val="16"/>
                <w:szCs w:val="16"/>
              </w:rPr>
            </w:pPr>
          </w:p>
        </w:tc>
      </w:tr>
      <w:tr w:rsidR="00016A1A" w:rsidRPr="00862493" w14:paraId="0208D75F" w14:textId="77777777" w:rsidTr="00016A1A">
        <w:tc>
          <w:tcPr>
            <w:tcW w:w="782" w:type="pct"/>
            <w:tcBorders>
              <w:left w:val="single" w:sz="12" w:space="0" w:color="000000"/>
              <w:right w:val="single" w:sz="12" w:space="0" w:color="000000"/>
            </w:tcBorders>
          </w:tcPr>
          <w:p w14:paraId="3C7A65BE" w14:textId="77777777" w:rsidR="00016A1A" w:rsidRPr="00862493" w:rsidRDefault="00016A1A" w:rsidP="00016A1A">
            <w:pPr>
              <w:snapToGrid w:val="0"/>
              <w:jc w:val="center"/>
            </w:pPr>
            <w:r w:rsidRPr="00862493">
              <w:t>Rok 2015</w:t>
            </w:r>
          </w:p>
        </w:tc>
        <w:tc>
          <w:tcPr>
            <w:tcW w:w="818" w:type="pct"/>
            <w:tcBorders>
              <w:left w:val="single" w:sz="12" w:space="0" w:color="000000"/>
              <w:right w:val="single" w:sz="12" w:space="0" w:color="000000"/>
            </w:tcBorders>
          </w:tcPr>
          <w:p w14:paraId="3E9E0C2E" w14:textId="77777777" w:rsidR="00016A1A" w:rsidRPr="00862493" w:rsidRDefault="00016A1A" w:rsidP="00016A1A">
            <w:pPr>
              <w:snapToGrid w:val="0"/>
              <w:jc w:val="right"/>
              <w:rPr>
                <w:sz w:val="22"/>
                <w:szCs w:val="22"/>
              </w:rPr>
            </w:pPr>
            <w:r w:rsidRPr="00862493">
              <w:rPr>
                <w:sz w:val="22"/>
                <w:szCs w:val="22"/>
              </w:rPr>
              <w:t>2 283 420</w:t>
            </w:r>
          </w:p>
        </w:tc>
        <w:tc>
          <w:tcPr>
            <w:tcW w:w="903" w:type="pct"/>
            <w:tcBorders>
              <w:left w:val="single" w:sz="12" w:space="0" w:color="000000"/>
              <w:right w:val="single" w:sz="12" w:space="0" w:color="000000"/>
            </w:tcBorders>
          </w:tcPr>
          <w:p w14:paraId="5046189A" w14:textId="77777777" w:rsidR="00016A1A" w:rsidRPr="00862493" w:rsidRDefault="00016A1A" w:rsidP="00016A1A">
            <w:pPr>
              <w:snapToGrid w:val="0"/>
              <w:jc w:val="right"/>
              <w:rPr>
                <w:sz w:val="22"/>
                <w:szCs w:val="22"/>
              </w:rPr>
            </w:pPr>
            <w:r w:rsidRPr="00862493">
              <w:rPr>
                <w:sz w:val="22"/>
                <w:szCs w:val="22"/>
              </w:rPr>
              <w:t>9 694 379</w:t>
            </w:r>
          </w:p>
        </w:tc>
        <w:tc>
          <w:tcPr>
            <w:tcW w:w="818" w:type="pct"/>
            <w:tcBorders>
              <w:left w:val="single" w:sz="12" w:space="0" w:color="000000"/>
              <w:right w:val="single" w:sz="12" w:space="0" w:color="000000"/>
            </w:tcBorders>
          </w:tcPr>
          <w:p w14:paraId="2C2AA842" w14:textId="77777777" w:rsidR="00016A1A" w:rsidRPr="00862493" w:rsidRDefault="00016A1A" w:rsidP="00016A1A">
            <w:pPr>
              <w:snapToGrid w:val="0"/>
              <w:jc w:val="right"/>
              <w:rPr>
                <w:sz w:val="22"/>
                <w:szCs w:val="22"/>
              </w:rPr>
            </w:pPr>
            <w:r w:rsidRPr="00862493">
              <w:rPr>
                <w:sz w:val="22"/>
                <w:szCs w:val="22"/>
              </w:rPr>
              <w:t>3 838 890</w:t>
            </w:r>
          </w:p>
        </w:tc>
        <w:tc>
          <w:tcPr>
            <w:tcW w:w="860" w:type="pct"/>
            <w:tcBorders>
              <w:left w:val="single" w:sz="12" w:space="0" w:color="000000"/>
              <w:right w:val="single" w:sz="12" w:space="0" w:color="000000"/>
            </w:tcBorders>
          </w:tcPr>
          <w:p w14:paraId="7B85BD6C" w14:textId="77777777" w:rsidR="00016A1A" w:rsidRPr="00862493" w:rsidRDefault="00016A1A" w:rsidP="00016A1A">
            <w:pPr>
              <w:snapToGrid w:val="0"/>
              <w:jc w:val="right"/>
              <w:rPr>
                <w:sz w:val="22"/>
                <w:szCs w:val="22"/>
              </w:rPr>
            </w:pPr>
            <w:r w:rsidRPr="00862493">
              <w:rPr>
                <w:sz w:val="22"/>
                <w:szCs w:val="22"/>
              </w:rPr>
              <w:t>29 881 913</w:t>
            </w:r>
          </w:p>
        </w:tc>
        <w:tc>
          <w:tcPr>
            <w:tcW w:w="818" w:type="pct"/>
            <w:tcBorders>
              <w:left w:val="single" w:sz="12" w:space="0" w:color="000000"/>
              <w:right w:val="single" w:sz="12" w:space="0" w:color="000000"/>
            </w:tcBorders>
          </w:tcPr>
          <w:p w14:paraId="54C0C315" w14:textId="77777777" w:rsidR="00016A1A" w:rsidRPr="00862493" w:rsidRDefault="00016A1A" w:rsidP="00016A1A">
            <w:pPr>
              <w:snapToGrid w:val="0"/>
              <w:jc w:val="right"/>
              <w:rPr>
                <w:sz w:val="22"/>
                <w:szCs w:val="22"/>
              </w:rPr>
            </w:pPr>
            <w:r w:rsidRPr="00862493">
              <w:rPr>
                <w:sz w:val="22"/>
                <w:szCs w:val="22"/>
              </w:rPr>
              <w:t>45 698 602</w:t>
            </w:r>
          </w:p>
        </w:tc>
      </w:tr>
      <w:tr w:rsidR="00016A1A" w:rsidRPr="00862493" w14:paraId="2DC93E8E" w14:textId="77777777" w:rsidTr="00016A1A">
        <w:trPr>
          <w:trHeight w:val="238"/>
        </w:trPr>
        <w:tc>
          <w:tcPr>
            <w:tcW w:w="782" w:type="pct"/>
            <w:tcBorders>
              <w:left w:val="single" w:sz="12" w:space="0" w:color="000000"/>
              <w:bottom w:val="single" w:sz="12" w:space="0" w:color="000000"/>
              <w:right w:val="single" w:sz="12" w:space="0" w:color="000000"/>
            </w:tcBorders>
          </w:tcPr>
          <w:p w14:paraId="283B09B7" w14:textId="77777777" w:rsidR="00016A1A" w:rsidRPr="00862493" w:rsidRDefault="00016A1A" w:rsidP="00016A1A">
            <w:pPr>
              <w:snapToGrid w:val="0"/>
              <w:spacing w:before="80"/>
              <w:jc w:val="center"/>
            </w:pPr>
            <w:r w:rsidRPr="00862493">
              <w:t>%</w:t>
            </w:r>
          </w:p>
        </w:tc>
        <w:tc>
          <w:tcPr>
            <w:tcW w:w="818" w:type="pct"/>
            <w:tcBorders>
              <w:left w:val="single" w:sz="12" w:space="0" w:color="000000"/>
              <w:bottom w:val="single" w:sz="12" w:space="0" w:color="000000"/>
              <w:right w:val="single" w:sz="12" w:space="0" w:color="000000"/>
            </w:tcBorders>
          </w:tcPr>
          <w:p w14:paraId="7BF07FC8" w14:textId="77777777" w:rsidR="00016A1A" w:rsidRPr="00862493" w:rsidRDefault="00016A1A" w:rsidP="00016A1A">
            <w:pPr>
              <w:snapToGrid w:val="0"/>
              <w:spacing w:before="80"/>
              <w:jc w:val="right"/>
              <w:rPr>
                <w:sz w:val="22"/>
                <w:szCs w:val="22"/>
              </w:rPr>
            </w:pPr>
            <w:r w:rsidRPr="00862493">
              <w:rPr>
                <w:sz w:val="22"/>
                <w:szCs w:val="22"/>
              </w:rPr>
              <w:t>9,34</w:t>
            </w:r>
          </w:p>
        </w:tc>
        <w:tc>
          <w:tcPr>
            <w:tcW w:w="903" w:type="pct"/>
            <w:tcBorders>
              <w:left w:val="single" w:sz="12" w:space="0" w:color="000000"/>
              <w:bottom w:val="single" w:sz="12" w:space="0" w:color="000000"/>
              <w:right w:val="single" w:sz="12" w:space="0" w:color="000000"/>
            </w:tcBorders>
          </w:tcPr>
          <w:p w14:paraId="54630561" w14:textId="77777777" w:rsidR="00016A1A" w:rsidRPr="00862493" w:rsidRDefault="00016A1A" w:rsidP="00016A1A">
            <w:pPr>
              <w:snapToGrid w:val="0"/>
              <w:spacing w:before="80"/>
              <w:jc w:val="right"/>
              <w:rPr>
                <w:sz w:val="22"/>
                <w:szCs w:val="22"/>
              </w:rPr>
            </w:pPr>
            <w:r w:rsidRPr="00862493">
              <w:rPr>
                <w:sz w:val="22"/>
                <w:szCs w:val="22"/>
              </w:rPr>
              <w:t>39,62</w:t>
            </w:r>
          </w:p>
        </w:tc>
        <w:tc>
          <w:tcPr>
            <w:tcW w:w="818" w:type="pct"/>
            <w:tcBorders>
              <w:left w:val="single" w:sz="12" w:space="0" w:color="000000"/>
              <w:bottom w:val="single" w:sz="12" w:space="0" w:color="000000"/>
              <w:right w:val="single" w:sz="12" w:space="0" w:color="000000"/>
            </w:tcBorders>
          </w:tcPr>
          <w:p w14:paraId="75D23F77" w14:textId="77777777" w:rsidR="00016A1A" w:rsidRPr="00862493" w:rsidRDefault="00016A1A" w:rsidP="00016A1A">
            <w:pPr>
              <w:snapToGrid w:val="0"/>
              <w:spacing w:before="80"/>
              <w:jc w:val="right"/>
              <w:rPr>
                <w:sz w:val="22"/>
                <w:szCs w:val="22"/>
              </w:rPr>
            </w:pPr>
            <w:r w:rsidRPr="00862493">
              <w:rPr>
                <w:sz w:val="22"/>
                <w:szCs w:val="22"/>
              </w:rPr>
              <w:t>15,69</w:t>
            </w:r>
          </w:p>
        </w:tc>
        <w:tc>
          <w:tcPr>
            <w:tcW w:w="860" w:type="pct"/>
            <w:tcBorders>
              <w:left w:val="single" w:sz="12" w:space="0" w:color="000000"/>
              <w:bottom w:val="single" w:sz="12" w:space="0" w:color="000000"/>
              <w:right w:val="single" w:sz="12" w:space="0" w:color="000000"/>
            </w:tcBorders>
          </w:tcPr>
          <w:p w14:paraId="1DD9A148" w14:textId="77777777" w:rsidR="00016A1A" w:rsidRPr="00862493" w:rsidRDefault="00016A1A" w:rsidP="00016A1A">
            <w:pPr>
              <w:snapToGrid w:val="0"/>
              <w:spacing w:before="80"/>
              <w:jc w:val="right"/>
              <w:rPr>
                <w:sz w:val="22"/>
                <w:szCs w:val="22"/>
              </w:rPr>
            </w:pPr>
            <w:r w:rsidRPr="00862493">
              <w:rPr>
                <w:sz w:val="22"/>
                <w:szCs w:val="22"/>
              </w:rPr>
              <w:t>122,13</w:t>
            </w:r>
          </w:p>
        </w:tc>
        <w:tc>
          <w:tcPr>
            <w:tcW w:w="818" w:type="pct"/>
            <w:tcBorders>
              <w:left w:val="single" w:sz="12" w:space="0" w:color="000000"/>
              <w:bottom w:val="single" w:sz="12" w:space="0" w:color="000000"/>
              <w:right w:val="single" w:sz="12" w:space="0" w:color="000000"/>
            </w:tcBorders>
          </w:tcPr>
          <w:p w14:paraId="410D141C" w14:textId="77777777" w:rsidR="00016A1A" w:rsidRPr="00862493" w:rsidRDefault="00016A1A" w:rsidP="00016A1A">
            <w:pPr>
              <w:snapToGrid w:val="0"/>
              <w:spacing w:before="80"/>
              <w:jc w:val="right"/>
              <w:rPr>
                <w:sz w:val="22"/>
                <w:szCs w:val="22"/>
              </w:rPr>
            </w:pPr>
            <w:r w:rsidRPr="00862493">
              <w:rPr>
                <w:sz w:val="22"/>
                <w:szCs w:val="22"/>
              </w:rPr>
              <w:t>186,78</w:t>
            </w:r>
          </w:p>
        </w:tc>
      </w:tr>
      <w:tr w:rsidR="00016A1A" w:rsidRPr="00862493" w14:paraId="66604791" w14:textId="77777777" w:rsidTr="00016A1A">
        <w:tc>
          <w:tcPr>
            <w:tcW w:w="782" w:type="pct"/>
            <w:tcBorders>
              <w:top w:val="single" w:sz="12" w:space="0" w:color="000000"/>
              <w:left w:val="single" w:sz="12" w:space="0" w:color="000000"/>
              <w:right w:val="single" w:sz="12" w:space="0" w:color="000000"/>
            </w:tcBorders>
          </w:tcPr>
          <w:p w14:paraId="1C7192E6" w14:textId="77777777" w:rsidR="00016A1A" w:rsidRPr="00862493" w:rsidRDefault="00016A1A" w:rsidP="00016A1A">
            <w:pPr>
              <w:snapToGrid w:val="0"/>
              <w:jc w:val="center"/>
              <w:rPr>
                <w:sz w:val="10"/>
                <w:szCs w:val="10"/>
              </w:rPr>
            </w:pPr>
          </w:p>
        </w:tc>
        <w:tc>
          <w:tcPr>
            <w:tcW w:w="818" w:type="pct"/>
            <w:tcBorders>
              <w:top w:val="single" w:sz="12" w:space="0" w:color="000000"/>
              <w:left w:val="single" w:sz="12" w:space="0" w:color="000000"/>
              <w:right w:val="single" w:sz="12" w:space="0" w:color="000000"/>
            </w:tcBorders>
          </w:tcPr>
          <w:p w14:paraId="4C1D35B4" w14:textId="77777777" w:rsidR="00016A1A" w:rsidRPr="00862493" w:rsidRDefault="00016A1A" w:rsidP="00016A1A">
            <w:pPr>
              <w:snapToGrid w:val="0"/>
              <w:jc w:val="right"/>
              <w:rPr>
                <w:sz w:val="10"/>
                <w:szCs w:val="10"/>
              </w:rPr>
            </w:pPr>
          </w:p>
        </w:tc>
        <w:tc>
          <w:tcPr>
            <w:tcW w:w="903" w:type="pct"/>
            <w:tcBorders>
              <w:top w:val="single" w:sz="12" w:space="0" w:color="000000"/>
              <w:left w:val="single" w:sz="12" w:space="0" w:color="000000"/>
              <w:right w:val="single" w:sz="12" w:space="0" w:color="000000"/>
            </w:tcBorders>
          </w:tcPr>
          <w:p w14:paraId="17A2246B" w14:textId="77777777" w:rsidR="00016A1A" w:rsidRPr="00862493" w:rsidRDefault="00016A1A" w:rsidP="00016A1A">
            <w:pPr>
              <w:snapToGrid w:val="0"/>
              <w:jc w:val="right"/>
              <w:rPr>
                <w:sz w:val="10"/>
                <w:szCs w:val="10"/>
              </w:rPr>
            </w:pPr>
          </w:p>
        </w:tc>
        <w:tc>
          <w:tcPr>
            <w:tcW w:w="818" w:type="pct"/>
            <w:tcBorders>
              <w:top w:val="single" w:sz="12" w:space="0" w:color="000000"/>
              <w:left w:val="single" w:sz="12" w:space="0" w:color="000000"/>
              <w:right w:val="single" w:sz="12" w:space="0" w:color="000000"/>
            </w:tcBorders>
          </w:tcPr>
          <w:p w14:paraId="425BD12C" w14:textId="77777777" w:rsidR="00016A1A" w:rsidRPr="00862493" w:rsidRDefault="00016A1A" w:rsidP="00016A1A">
            <w:pPr>
              <w:snapToGrid w:val="0"/>
              <w:jc w:val="right"/>
              <w:rPr>
                <w:sz w:val="10"/>
                <w:szCs w:val="10"/>
              </w:rPr>
            </w:pPr>
          </w:p>
        </w:tc>
        <w:tc>
          <w:tcPr>
            <w:tcW w:w="860" w:type="pct"/>
            <w:tcBorders>
              <w:top w:val="single" w:sz="12" w:space="0" w:color="000000"/>
              <w:left w:val="single" w:sz="12" w:space="0" w:color="000000"/>
              <w:right w:val="single" w:sz="12" w:space="0" w:color="000000"/>
            </w:tcBorders>
          </w:tcPr>
          <w:p w14:paraId="57745695" w14:textId="77777777" w:rsidR="00016A1A" w:rsidRPr="00862493" w:rsidRDefault="00016A1A" w:rsidP="00016A1A">
            <w:pPr>
              <w:snapToGrid w:val="0"/>
              <w:jc w:val="right"/>
              <w:rPr>
                <w:sz w:val="10"/>
                <w:szCs w:val="10"/>
              </w:rPr>
            </w:pPr>
          </w:p>
        </w:tc>
        <w:tc>
          <w:tcPr>
            <w:tcW w:w="818" w:type="pct"/>
            <w:tcBorders>
              <w:top w:val="single" w:sz="12" w:space="0" w:color="000000"/>
              <w:left w:val="single" w:sz="12" w:space="0" w:color="000000"/>
              <w:right w:val="single" w:sz="12" w:space="0" w:color="000000"/>
            </w:tcBorders>
          </w:tcPr>
          <w:p w14:paraId="252A648D" w14:textId="77777777" w:rsidR="00016A1A" w:rsidRPr="00862493" w:rsidRDefault="00016A1A" w:rsidP="00016A1A">
            <w:pPr>
              <w:snapToGrid w:val="0"/>
              <w:jc w:val="right"/>
              <w:rPr>
                <w:sz w:val="10"/>
                <w:szCs w:val="10"/>
              </w:rPr>
            </w:pPr>
          </w:p>
        </w:tc>
      </w:tr>
      <w:tr w:rsidR="00016A1A" w:rsidRPr="00862493" w14:paraId="3E1D0D69" w14:textId="77777777" w:rsidTr="00016A1A">
        <w:tc>
          <w:tcPr>
            <w:tcW w:w="782" w:type="pct"/>
            <w:tcBorders>
              <w:left w:val="single" w:sz="12" w:space="0" w:color="000000"/>
              <w:right w:val="single" w:sz="12" w:space="0" w:color="000000"/>
            </w:tcBorders>
          </w:tcPr>
          <w:p w14:paraId="16A6776B" w14:textId="77777777" w:rsidR="00016A1A" w:rsidRPr="00862493" w:rsidRDefault="00016A1A" w:rsidP="00016A1A">
            <w:pPr>
              <w:snapToGrid w:val="0"/>
              <w:jc w:val="center"/>
            </w:pPr>
            <w:r w:rsidRPr="00862493">
              <w:t>Rok 2016</w:t>
            </w:r>
          </w:p>
        </w:tc>
        <w:tc>
          <w:tcPr>
            <w:tcW w:w="818" w:type="pct"/>
            <w:tcBorders>
              <w:left w:val="single" w:sz="12" w:space="0" w:color="000000"/>
              <w:right w:val="single" w:sz="12" w:space="0" w:color="000000"/>
            </w:tcBorders>
          </w:tcPr>
          <w:p w14:paraId="0B401360" w14:textId="77777777" w:rsidR="00016A1A" w:rsidRPr="00862493" w:rsidRDefault="00016A1A" w:rsidP="00016A1A">
            <w:pPr>
              <w:snapToGrid w:val="0"/>
              <w:jc w:val="right"/>
              <w:rPr>
                <w:sz w:val="22"/>
                <w:szCs w:val="22"/>
              </w:rPr>
            </w:pPr>
            <w:r w:rsidRPr="00862493">
              <w:rPr>
                <w:sz w:val="22"/>
                <w:szCs w:val="22"/>
              </w:rPr>
              <w:t>2 375 623</w:t>
            </w:r>
          </w:p>
        </w:tc>
        <w:tc>
          <w:tcPr>
            <w:tcW w:w="903" w:type="pct"/>
            <w:tcBorders>
              <w:left w:val="single" w:sz="12" w:space="0" w:color="000000"/>
              <w:right w:val="single" w:sz="12" w:space="0" w:color="000000"/>
            </w:tcBorders>
          </w:tcPr>
          <w:p w14:paraId="3433F2A3" w14:textId="77777777" w:rsidR="00016A1A" w:rsidRPr="00862493" w:rsidRDefault="00016A1A" w:rsidP="00016A1A">
            <w:pPr>
              <w:snapToGrid w:val="0"/>
              <w:jc w:val="right"/>
              <w:rPr>
                <w:sz w:val="22"/>
                <w:szCs w:val="22"/>
              </w:rPr>
            </w:pPr>
            <w:r w:rsidRPr="00862493">
              <w:rPr>
                <w:sz w:val="22"/>
                <w:szCs w:val="22"/>
              </w:rPr>
              <w:t>7 194 214</w:t>
            </w:r>
          </w:p>
        </w:tc>
        <w:tc>
          <w:tcPr>
            <w:tcW w:w="818" w:type="pct"/>
            <w:tcBorders>
              <w:left w:val="single" w:sz="12" w:space="0" w:color="000000"/>
              <w:right w:val="single" w:sz="12" w:space="0" w:color="000000"/>
            </w:tcBorders>
          </w:tcPr>
          <w:p w14:paraId="47F029DC" w14:textId="77777777" w:rsidR="00016A1A" w:rsidRPr="00862493" w:rsidRDefault="00016A1A" w:rsidP="00016A1A">
            <w:pPr>
              <w:snapToGrid w:val="0"/>
              <w:jc w:val="right"/>
              <w:rPr>
                <w:sz w:val="22"/>
                <w:szCs w:val="22"/>
              </w:rPr>
            </w:pPr>
            <w:r w:rsidRPr="00862493">
              <w:rPr>
                <w:sz w:val="22"/>
                <w:szCs w:val="22"/>
              </w:rPr>
              <w:t>6 635 773</w:t>
            </w:r>
          </w:p>
        </w:tc>
        <w:tc>
          <w:tcPr>
            <w:tcW w:w="860" w:type="pct"/>
            <w:tcBorders>
              <w:left w:val="single" w:sz="12" w:space="0" w:color="000000"/>
              <w:right w:val="single" w:sz="12" w:space="0" w:color="000000"/>
            </w:tcBorders>
          </w:tcPr>
          <w:p w14:paraId="6382C42C" w14:textId="77777777" w:rsidR="00016A1A" w:rsidRPr="00862493" w:rsidRDefault="00016A1A" w:rsidP="00016A1A">
            <w:pPr>
              <w:snapToGrid w:val="0"/>
              <w:jc w:val="right"/>
              <w:rPr>
                <w:sz w:val="22"/>
                <w:szCs w:val="22"/>
              </w:rPr>
            </w:pPr>
            <w:r w:rsidRPr="00862493">
              <w:rPr>
                <w:sz w:val="22"/>
                <w:szCs w:val="22"/>
              </w:rPr>
              <w:t>17 569 682</w:t>
            </w:r>
          </w:p>
        </w:tc>
        <w:tc>
          <w:tcPr>
            <w:tcW w:w="818" w:type="pct"/>
            <w:tcBorders>
              <w:left w:val="single" w:sz="12" w:space="0" w:color="000000"/>
              <w:right w:val="single" w:sz="12" w:space="0" w:color="000000"/>
            </w:tcBorders>
          </w:tcPr>
          <w:p w14:paraId="2AACB15D" w14:textId="77777777" w:rsidR="00016A1A" w:rsidRPr="00862493" w:rsidRDefault="00016A1A" w:rsidP="00016A1A">
            <w:pPr>
              <w:snapToGrid w:val="0"/>
              <w:jc w:val="right"/>
              <w:rPr>
                <w:sz w:val="22"/>
                <w:szCs w:val="22"/>
              </w:rPr>
            </w:pPr>
            <w:r w:rsidRPr="00862493">
              <w:rPr>
                <w:sz w:val="22"/>
                <w:szCs w:val="22"/>
              </w:rPr>
              <w:t>33  775 292</w:t>
            </w:r>
          </w:p>
        </w:tc>
      </w:tr>
      <w:tr w:rsidR="00016A1A" w:rsidRPr="00862493" w14:paraId="590AE199" w14:textId="77777777" w:rsidTr="00016A1A">
        <w:tc>
          <w:tcPr>
            <w:tcW w:w="782" w:type="pct"/>
            <w:tcBorders>
              <w:left w:val="single" w:sz="12" w:space="0" w:color="000000"/>
              <w:bottom w:val="single" w:sz="12" w:space="0" w:color="000000"/>
              <w:right w:val="single" w:sz="12" w:space="0" w:color="000000"/>
            </w:tcBorders>
          </w:tcPr>
          <w:p w14:paraId="7B9839B3" w14:textId="77777777" w:rsidR="00016A1A" w:rsidRPr="00862493" w:rsidRDefault="00016A1A" w:rsidP="00016A1A">
            <w:pPr>
              <w:snapToGrid w:val="0"/>
              <w:spacing w:before="80"/>
              <w:jc w:val="center"/>
            </w:pPr>
            <w:r w:rsidRPr="00862493">
              <w:t>%</w:t>
            </w:r>
          </w:p>
        </w:tc>
        <w:tc>
          <w:tcPr>
            <w:tcW w:w="818" w:type="pct"/>
            <w:tcBorders>
              <w:left w:val="single" w:sz="12" w:space="0" w:color="000000"/>
              <w:bottom w:val="single" w:sz="12" w:space="0" w:color="000000"/>
              <w:right w:val="single" w:sz="12" w:space="0" w:color="000000"/>
            </w:tcBorders>
          </w:tcPr>
          <w:p w14:paraId="19EA8FF3" w14:textId="77777777" w:rsidR="00016A1A" w:rsidRPr="00862493" w:rsidRDefault="00016A1A" w:rsidP="00016A1A">
            <w:pPr>
              <w:snapToGrid w:val="0"/>
              <w:spacing w:before="80"/>
              <w:jc w:val="right"/>
              <w:rPr>
                <w:sz w:val="22"/>
                <w:szCs w:val="22"/>
              </w:rPr>
            </w:pPr>
            <w:r w:rsidRPr="00862493">
              <w:rPr>
                <w:sz w:val="22"/>
                <w:szCs w:val="22"/>
              </w:rPr>
              <w:t>8,29</w:t>
            </w:r>
          </w:p>
        </w:tc>
        <w:tc>
          <w:tcPr>
            <w:tcW w:w="903" w:type="pct"/>
            <w:tcBorders>
              <w:left w:val="single" w:sz="12" w:space="0" w:color="000000"/>
              <w:bottom w:val="single" w:sz="12" w:space="0" w:color="000000"/>
              <w:right w:val="single" w:sz="12" w:space="0" w:color="000000"/>
            </w:tcBorders>
          </w:tcPr>
          <w:p w14:paraId="56A123EF" w14:textId="77777777" w:rsidR="00016A1A" w:rsidRPr="00862493" w:rsidRDefault="00016A1A" w:rsidP="00016A1A">
            <w:pPr>
              <w:snapToGrid w:val="0"/>
              <w:spacing w:before="80"/>
              <w:jc w:val="right"/>
              <w:rPr>
                <w:sz w:val="22"/>
                <w:szCs w:val="22"/>
              </w:rPr>
            </w:pPr>
            <w:r w:rsidRPr="00862493">
              <w:rPr>
                <w:sz w:val="22"/>
                <w:szCs w:val="22"/>
              </w:rPr>
              <w:t>25,11</w:t>
            </w:r>
          </w:p>
        </w:tc>
        <w:tc>
          <w:tcPr>
            <w:tcW w:w="818" w:type="pct"/>
            <w:tcBorders>
              <w:left w:val="single" w:sz="12" w:space="0" w:color="000000"/>
              <w:bottom w:val="single" w:sz="12" w:space="0" w:color="000000"/>
              <w:right w:val="single" w:sz="12" w:space="0" w:color="000000"/>
            </w:tcBorders>
          </w:tcPr>
          <w:p w14:paraId="7EEC6CAD" w14:textId="77777777" w:rsidR="00016A1A" w:rsidRPr="00862493" w:rsidRDefault="00016A1A" w:rsidP="00016A1A">
            <w:pPr>
              <w:snapToGrid w:val="0"/>
              <w:spacing w:before="80"/>
              <w:jc w:val="right"/>
              <w:rPr>
                <w:sz w:val="22"/>
                <w:szCs w:val="22"/>
              </w:rPr>
            </w:pPr>
            <w:r w:rsidRPr="00862493">
              <w:rPr>
                <w:sz w:val="22"/>
                <w:szCs w:val="22"/>
              </w:rPr>
              <w:t>23,16</w:t>
            </w:r>
          </w:p>
        </w:tc>
        <w:tc>
          <w:tcPr>
            <w:tcW w:w="860" w:type="pct"/>
            <w:tcBorders>
              <w:left w:val="single" w:sz="12" w:space="0" w:color="000000"/>
              <w:bottom w:val="single" w:sz="12" w:space="0" w:color="000000"/>
              <w:right w:val="single" w:sz="12" w:space="0" w:color="000000"/>
            </w:tcBorders>
          </w:tcPr>
          <w:p w14:paraId="4F12156B" w14:textId="77777777" w:rsidR="00016A1A" w:rsidRPr="00862493" w:rsidRDefault="00016A1A" w:rsidP="00016A1A">
            <w:pPr>
              <w:snapToGrid w:val="0"/>
              <w:spacing w:before="80"/>
              <w:jc w:val="right"/>
              <w:rPr>
                <w:sz w:val="22"/>
                <w:szCs w:val="22"/>
              </w:rPr>
            </w:pPr>
            <w:r w:rsidRPr="00862493">
              <w:rPr>
                <w:sz w:val="22"/>
                <w:szCs w:val="22"/>
              </w:rPr>
              <w:t>61,32</w:t>
            </w:r>
          </w:p>
        </w:tc>
        <w:tc>
          <w:tcPr>
            <w:tcW w:w="818" w:type="pct"/>
            <w:tcBorders>
              <w:left w:val="single" w:sz="12" w:space="0" w:color="000000"/>
              <w:bottom w:val="single" w:sz="12" w:space="0" w:color="000000"/>
              <w:right w:val="single" w:sz="12" w:space="0" w:color="000000"/>
            </w:tcBorders>
          </w:tcPr>
          <w:p w14:paraId="03CC8B5B" w14:textId="77777777" w:rsidR="00016A1A" w:rsidRPr="00862493" w:rsidRDefault="00016A1A" w:rsidP="00016A1A">
            <w:pPr>
              <w:snapToGrid w:val="0"/>
              <w:spacing w:before="80"/>
              <w:jc w:val="right"/>
              <w:rPr>
                <w:sz w:val="22"/>
                <w:szCs w:val="22"/>
              </w:rPr>
            </w:pPr>
            <w:r w:rsidRPr="00862493">
              <w:rPr>
                <w:sz w:val="22"/>
                <w:szCs w:val="22"/>
              </w:rPr>
              <w:t>117,88</w:t>
            </w:r>
          </w:p>
        </w:tc>
      </w:tr>
      <w:tr w:rsidR="00016A1A" w:rsidRPr="00862493" w14:paraId="6A14B943" w14:textId="77777777" w:rsidTr="00016A1A">
        <w:tc>
          <w:tcPr>
            <w:tcW w:w="782" w:type="pct"/>
            <w:tcBorders>
              <w:top w:val="single" w:sz="12" w:space="0" w:color="000000"/>
              <w:left w:val="single" w:sz="12" w:space="0" w:color="000000"/>
              <w:right w:val="single" w:sz="12" w:space="0" w:color="000000"/>
            </w:tcBorders>
          </w:tcPr>
          <w:p w14:paraId="117D85A0" w14:textId="77777777" w:rsidR="00016A1A" w:rsidRPr="00862493" w:rsidRDefault="00016A1A" w:rsidP="00016A1A">
            <w:pPr>
              <w:snapToGrid w:val="0"/>
              <w:jc w:val="center"/>
              <w:rPr>
                <w:sz w:val="10"/>
                <w:szCs w:val="10"/>
              </w:rPr>
            </w:pPr>
          </w:p>
        </w:tc>
        <w:tc>
          <w:tcPr>
            <w:tcW w:w="818" w:type="pct"/>
            <w:tcBorders>
              <w:top w:val="single" w:sz="12" w:space="0" w:color="000000"/>
              <w:left w:val="single" w:sz="12" w:space="0" w:color="000000"/>
              <w:right w:val="single" w:sz="12" w:space="0" w:color="000000"/>
            </w:tcBorders>
          </w:tcPr>
          <w:p w14:paraId="177BF2D7" w14:textId="77777777" w:rsidR="00016A1A" w:rsidRPr="00862493" w:rsidRDefault="00016A1A" w:rsidP="00016A1A">
            <w:pPr>
              <w:snapToGrid w:val="0"/>
              <w:jc w:val="right"/>
              <w:rPr>
                <w:sz w:val="10"/>
                <w:szCs w:val="10"/>
              </w:rPr>
            </w:pPr>
          </w:p>
        </w:tc>
        <w:tc>
          <w:tcPr>
            <w:tcW w:w="903" w:type="pct"/>
            <w:tcBorders>
              <w:top w:val="single" w:sz="12" w:space="0" w:color="000000"/>
              <w:left w:val="single" w:sz="12" w:space="0" w:color="000000"/>
              <w:right w:val="single" w:sz="12" w:space="0" w:color="000000"/>
            </w:tcBorders>
          </w:tcPr>
          <w:p w14:paraId="091FDFED" w14:textId="77777777" w:rsidR="00016A1A" w:rsidRPr="00862493" w:rsidRDefault="00016A1A" w:rsidP="00016A1A">
            <w:pPr>
              <w:snapToGrid w:val="0"/>
              <w:jc w:val="right"/>
              <w:rPr>
                <w:sz w:val="10"/>
                <w:szCs w:val="10"/>
              </w:rPr>
            </w:pPr>
          </w:p>
        </w:tc>
        <w:tc>
          <w:tcPr>
            <w:tcW w:w="818" w:type="pct"/>
            <w:tcBorders>
              <w:top w:val="single" w:sz="12" w:space="0" w:color="000000"/>
              <w:left w:val="single" w:sz="12" w:space="0" w:color="000000"/>
              <w:right w:val="single" w:sz="12" w:space="0" w:color="000000"/>
            </w:tcBorders>
          </w:tcPr>
          <w:p w14:paraId="26DE34F5" w14:textId="77777777" w:rsidR="00016A1A" w:rsidRPr="00862493" w:rsidRDefault="00016A1A" w:rsidP="00016A1A">
            <w:pPr>
              <w:snapToGrid w:val="0"/>
              <w:jc w:val="right"/>
              <w:rPr>
                <w:sz w:val="10"/>
                <w:szCs w:val="10"/>
              </w:rPr>
            </w:pPr>
          </w:p>
        </w:tc>
        <w:tc>
          <w:tcPr>
            <w:tcW w:w="860" w:type="pct"/>
            <w:tcBorders>
              <w:top w:val="single" w:sz="12" w:space="0" w:color="000000"/>
              <w:left w:val="single" w:sz="12" w:space="0" w:color="000000"/>
              <w:right w:val="single" w:sz="12" w:space="0" w:color="000000"/>
            </w:tcBorders>
          </w:tcPr>
          <w:p w14:paraId="35A254C6" w14:textId="77777777" w:rsidR="00016A1A" w:rsidRPr="00862493" w:rsidRDefault="00016A1A" w:rsidP="00016A1A">
            <w:pPr>
              <w:snapToGrid w:val="0"/>
              <w:jc w:val="right"/>
              <w:rPr>
                <w:sz w:val="10"/>
                <w:szCs w:val="10"/>
              </w:rPr>
            </w:pPr>
          </w:p>
        </w:tc>
        <w:tc>
          <w:tcPr>
            <w:tcW w:w="818" w:type="pct"/>
            <w:tcBorders>
              <w:top w:val="single" w:sz="12" w:space="0" w:color="000000"/>
              <w:left w:val="single" w:sz="12" w:space="0" w:color="000000"/>
              <w:right w:val="single" w:sz="12" w:space="0" w:color="000000"/>
            </w:tcBorders>
          </w:tcPr>
          <w:p w14:paraId="2F9B0B7E" w14:textId="77777777" w:rsidR="00016A1A" w:rsidRPr="00862493" w:rsidRDefault="00016A1A" w:rsidP="00016A1A">
            <w:pPr>
              <w:snapToGrid w:val="0"/>
              <w:jc w:val="right"/>
              <w:rPr>
                <w:sz w:val="10"/>
                <w:szCs w:val="10"/>
              </w:rPr>
            </w:pPr>
          </w:p>
        </w:tc>
      </w:tr>
      <w:tr w:rsidR="00016A1A" w:rsidRPr="00862493" w14:paraId="263E26D1" w14:textId="77777777" w:rsidTr="00016A1A">
        <w:trPr>
          <w:trHeight w:val="255"/>
        </w:trPr>
        <w:tc>
          <w:tcPr>
            <w:tcW w:w="782" w:type="pct"/>
            <w:tcBorders>
              <w:left w:val="single" w:sz="12" w:space="0" w:color="000000"/>
              <w:right w:val="single" w:sz="12" w:space="0" w:color="000000"/>
            </w:tcBorders>
          </w:tcPr>
          <w:p w14:paraId="38142D09" w14:textId="77777777" w:rsidR="00016A1A" w:rsidRPr="00862493" w:rsidRDefault="00016A1A" w:rsidP="00016A1A">
            <w:pPr>
              <w:snapToGrid w:val="0"/>
              <w:jc w:val="center"/>
            </w:pPr>
            <w:r w:rsidRPr="00862493">
              <w:t>Rok 2017</w:t>
            </w:r>
          </w:p>
        </w:tc>
        <w:tc>
          <w:tcPr>
            <w:tcW w:w="818" w:type="pct"/>
            <w:tcBorders>
              <w:left w:val="single" w:sz="12" w:space="0" w:color="000000"/>
              <w:right w:val="single" w:sz="12" w:space="0" w:color="000000"/>
            </w:tcBorders>
          </w:tcPr>
          <w:p w14:paraId="7910891C" w14:textId="77777777" w:rsidR="00016A1A" w:rsidRPr="00862493" w:rsidRDefault="00016A1A" w:rsidP="00016A1A">
            <w:pPr>
              <w:snapToGrid w:val="0"/>
              <w:jc w:val="right"/>
              <w:rPr>
                <w:sz w:val="22"/>
                <w:szCs w:val="22"/>
              </w:rPr>
            </w:pPr>
            <w:r w:rsidRPr="00862493">
              <w:rPr>
                <w:sz w:val="22"/>
                <w:szCs w:val="22"/>
              </w:rPr>
              <w:t>1 442 099</w:t>
            </w:r>
          </w:p>
        </w:tc>
        <w:tc>
          <w:tcPr>
            <w:tcW w:w="903" w:type="pct"/>
            <w:tcBorders>
              <w:left w:val="single" w:sz="12" w:space="0" w:color="000000"/>
              <w:right w:val="single" w:sz="12" w:space="0" w:color="000000"/>
            </w:tcBorders>
          </w:tcPr>
          <w:p w14:paraId="0A68E505" w14:textId="77777777" w:rsidR="00016A1A" w:rsidRPr="00862493" w:rsidRDefault="00016A1A" w:rsidP="00016A1A">
            <w:pPr>
              <w:snapToGrid w:val="0"/>
              <w:jc w:val="right"/>
              <w:rPr>
                <w:sz w:val="22"/>
                <w:szCs w:val="22"/>
              </w:rPr>
            </w:pPr>
            <w:r w:rsidRPr="00862493">
              <w:rPr>
                <w:sz w:val="22"/>
                <w:szCs w:val="22"/>
              </w:rPr>
              <w:t>1 706 200</w:t>
            </w:r>
          </w:p>
        </w:tc>
        <w:tc>
          <w:tcPr>
            <w:tcW w:w="818" w:type="pct"/>
            <w:tcBorders>
              <w:left w:val="single" w:sz="12" w:space="0" w:color="000000"/>
              <w:right w:val="single" w:sz="12" w:space="0" w:color="000000"/>
            </w:tcBorders>
          </w:tcPr>
          <w:p w14:paraId="7526AF61" w14:textId="77777777" w:rsidR="00016A1A" w:rsidRPr="00862493" w:rsidRDefault="00016A1A" w:rsidP="00016A1A">
            <w:pPr>
              <w:snapToGrid w:val="0"/>
              <w:jc w:val="right"/>
              <w:rPr>
                <w:sz w:val="22"/>
                <w:szCs w:val="22"/>
              </w:rPr>
            </w:pPr>
            <w:r w:rsidRPr="00862493">
              <w:rPr>
                <w:sz w:val="22"/>
                <w:szCs w:val="22"/>
              </w:rPr>
              <w:t>9 462 552</w:t>
            </w:r>
          </w:p>
        </w:tc>
        <w:tc>
          <w:tcPr>
            <w:tcW w:w="860" w:type="pct"/>
            <w:tcBorders>
              <w:left w:val="single" w:sz="12" w:space="0" w:color="000000"/>
              <w:right w:val="single" w:sz="12" w:space="0" w:color="000000"/>
            </w:tcBorders>
          </w:tcPr>
          <w:p w14:paraId="68230FC7" w14:textId="77777777" w:rsidR="00016A1A" w:rsidRPr="00862493" w:rsidRDefault="00016A1A" w:rsidP="00016A1A">
            <w:pPr>
              <w:snapToGrid w:val="0"/>
              <w:jc w:val="right"/>
              <w:rPr>
                <w:sz w:val="22"/>
                <w:szCs w:val="22"/>
              </w:rPr>
            </w:pPr>
            <w:r w:rsidRPr="00862493">
              <w:rPr>
                <w:sz w:val="22"/>
                <w:szCs w:val="22"/>
              </w:rPr>
              <w:t>19 194 826</w:t>
            </w:r>
          </w:p>
        </w:tc>
        <w:tc>
          <w:tcPr>
            <w:tcW w:w="818" w:type="pct"/>
            <w:tcBorders>
              <w:left w:val="single" w:sz="12" w:space="0" w:color="000000"/>
              <w:right w:val="single" w:sz="12" w:space="0" w:color="000000"/>
            </w:tcBorders>
          </w:tcPr>
          <w:p w14:paraId="242122BB" w14:textId="77777777" w:rsidR="00016A1A" w:rsidRPr="00862493" w:rsidRDefault="00016A1A" w:rsidP="00016A1A">
            <w:pPr>
              <w:snapToGrid w:val="0"/>
              <w:jc w:val="right"/>
              <w:rPr>
                <w:sz w:val="22"/>
                <w:szCs w:val="22"/>
              </w:rPr>
            </w:pPr>
            <w:r w:rsidRPr="00862493">
              <w:rPr>
                <w:sz w:val="22"/>
                <w:szCs w:val="22"/>
              </w:rPr>
              <w:t>31 805 677</w:t>
            </w:r>
          </w:p>
        </w:tc>
      </w:tr>
      <w:tr w:rsidR="00016A1A" w:rsidRPr="00862493" w14:paraId="1B612AA5" w14:textId="77777777" w:rsidTr="00016A1A">
        <w:tc>
          <w:tcPr>
            <w:tcW w:w="782" w:type="pct"/>
            <w:tcBorders>
              <w:left w:val="single" w:sz="12" w:space="0" w:color="000000"/>
              <w:bottom w:val="single" w:sz="12" w:space="0" w:color="000000"/>
              <w:right w:val="single" w:sz="12" w:space="0" w:color="000000"/>
            </w:tcBorders>
          </w:tcPr>
          <w:p w14:paraId="3963F352" w14:textId="77777777" w:rsidR="00016A1A" w:rsidRPr="00862493" w:rsidRDefault="00016A1A" w:rsidP="00016A1A">
            <w:pPr>
              <w:snapToGrid w:val="0"/>
              <w:spacing w:before="80"/>
              <w:jc w:val="center"/>
            </w:pPr>
            <w:r w:rsidRPr="00862493">
              <w:t>%</w:t>
            </w:r>
          </w:p>
        </w:tc>
        <w:tc>
          <w:tcPr>
            <w:tcW w:w="818" w:type="pct"/>
            <w:tcBorders>
              <w:left w:val="single" w:sz="12" w:space="0" w:color="000000"/>
              <w:bottom w:val="single" w:sz="12" w:space="0" w:color="000000"/>
              <w:right w:val="single" w:sz="12" w:space="0" w:color="000000"/>
            </w:tcBorders>
          </w:tcPr>
          <w:p w14:paraId="4A7A70FF" w14:textId="77777777" w:rsidR="00016A1A" w:rsidRPr="00862493" w:rsidRDefault="00016A1A" w:rsidP="00016A1A">
            <w:pPr>
              <w:snapToGrid w:val="0"/>
              <w:spacing w:before="80"/>
              <w:jc w:val="right"/>
              <w:rPr>
                <w:sz w:val="22"/>
                <w:szCs w:val="22"/>
              </w:rPr>
            </w:pPr>
            <w:r w:rsidRPr="00862493">
              <w:rPr>
                <w:sz w:val="22"/>
                <w:szCs w:val="22"/>
              </w:rPr>
              <w:t>3,99</w:t>
            </w:r>
          </w:p>
        </w:tc>
        <w:tc>
          <w:tcPr>
            <w:tcW w:w="903" w:type="pct"/>
            <w:tcBorders>
              <w:left w:val="single" w:sz="12" w:space="0" w:color="000000"/>
              <w:bottom w:val="single" w:sz="12" w:space="0" w:color="000000"/>
              <w:right w:val="single" w:sz="12" w:space="0" w:color="000000"/>
            </w:tcBorders>
          </w:tcPr>
          <w:p w14:paraId="564DC92B" w14:textId="77777777" w:rsidR="00016A1A" w:rsidRPr="00862493" w:rsidRDefault="00016A1A" w:rsidP="00016A1A">
            <w:pPr>
              <w:snapToGrid w:val="0"/>
              <w:spacing w:before="80"/>
              <w:jc w:val="right"/>
              <w:rPr>
                <w:sz w:val="22"/>
                <w:szCs w:val="22"/>
              </w:rPr>
            </w:pPr>
            <w:r w:rsidRPr="00862493">
              <w:rPr>
                <w:sz w:val="22"/>
                <w:szCs w:val="22"/>
              </w:rPr>
              <w:t>4,72</w:t>
            </w:r>
          </w:p>
        </w:tc>
        <w:tc>
          <w:tcPr>
            <w:tcW w:w="818" w:type="pct"/>
            <w:tcBorders>
              <w:left w:val="single" w:sz="12" w:space="0" w:color="000000"/>
              <w:bottom w:val="single" w:sz="12" w:space="0" w:color="000000"/>
              <w:right w:val="single" w:sz="12" w:space="0" w:color="000000"/>
            </w:tcBorders>
          </w:tcPr>
          <w:p w14:paraId="012B4AFF" w14:textId="77777777" w:rsidR="00016A1A" w:rsidRPr="00862493" w:rsidRDefault="00016A1A" w:rsidP="00016A1A">
            <w:pPr>
              <w:snapToGrid w:val="0"/>
              <w:spacing w:before="80"/>
              <w:jc w:val="right"/>
              <w:rPr>
                <w:sz w:val="22"/>
                <w:szCs w:val="22"/>
              </w:rPr>
            </w:pPr>
            <w:r w:rsidRPr="00862493">
              <w:rPr>
                <w:sz w:val="22"/>
                <w:szCs w:val="22"/>
              </w:rPr>
              <w:t>26,18</w:t>
            </w:r>
          </w:p>
        </w:tc>
        <w:tc>
          <w:tcPr>
            <w:tcW w:w="860" w:type="pct"/>
            <w:tcBorders>
              <w:left w:val="single" w:sz="12" w:space="0" w:color="000000"/>
              <w:bottom w:val="single" w:sz="12" w:space="0" w:color="000000"/>
              <w:right w:val="single" w:sz="12" w:space="0" w:color="000000"/>
            </w:tcBorders>
          </w:tcPr>
          <w:p w14:paraId="74E8B9FA" w14:textId="77777777" w:rsidR="00016A1A" w:rsidRPr="00862493" w:rsidRDefault="00016A1A" w:rsidP="00016A1A">
            <w:pPr>
              <w:snapToGrid w:val="0"/>
              <w:spacing w:before="80"/>
              <w:jc w:val="right"/>
              <w:rPr>
                <w:sz w:val="22"/>
                <w:szCs w:val="22"/>
              </w:rPr>
            </w:pPr>
            <w:r w:rsidRPr="00862493">
              <w:rPr>
                <w:sz w:val="22"/>
                <w:szCs w:val="22"/>
              </w:rPr>
              <w:t>53,11</w:t>
            </w:r>
          </w:p>
        </w:tc>
        <w:tc>
          <w:tcPr>
            <w:tcW w:w="818" w:type="pct"/>
            <w:tcBorders>
              <w:left w:val="single" w:sz="12" w:space="0" w:color="000000"/>
              <w:bottom w:val="single" w:sz="12" w:space="0" w:color="000000"/>
              <w:right w:val="single" w:sz="12" w:space="0" w:color="000000"/>
            </w:tcBorders>
          </w:tcPr>
          <w:p w14:paraId="1F33A582" w14:textId="77777777" w:rsidR="00016A1A" w:rsidRPr="00862493" w:rsidRDefault="00016A1A" w:rsidP="00016A1A">
            <w:pPr>
              <w:snapToGrid w:val="0"/>
              <w:spacing w:before="80"/>
              <w:jc w:val="right"/>
              <w:rPr>
                <w:sz w:val="22"/>
                <w:szCs w:val="22"/>
              </w:rPr>
            </w:pPr>
            <w:r w:rsidRPr="00862493">
              <w:rPr>
                <w:sz w:val="22"/>
                <w:szCs w:val="22"/>
              </w:rPr>
              <w:t>88,00</w:t>
            </w:r>
          </w:p>
        </w:tc>
      </w:tr>
      <w:tr w:rsidR="00016A1A" w:rsidRPr="00862493" w14:paraId="1541C952" w14:textId="77777777" w:rsidTr="00016A1A">
        <w:tc>
          <w:tcPr>
            <w:tcW w:w="782" w:type="pct"/>
            <w:tcBorders>
              <w:top w:val="single" w:sz="12" w:space="0" w:color="000000"/>
              <w:left w:val="single" w:sz="12" w:space="0" w:color="000000"/>
              <w:right w:val="single" w:sz="12" w:space="0" w:color="000000"/>
            </w:tcBorders>
          </w:tcPr>
          <w:p w14:paraId="79ADBB2D" w14:textId="77777777" w:rsidR="00016A1A" w:rsidRPr="00862493" w:rsidRDefault="00016A1A" w:rsidP="00016A1A">
            <w:pPr>
              <w:snapToGrid w:val="0"/>
              <w:jc w:val="center"/>
              <w:rPr>
                <w:sz w:val="10"/>
                <w:szCs w:val="10"/>
              </w:rPr>
            </w:pPr>
          </w:p>
        </w:tc>
        <w:tc>
          <w:tcPr>
            <w:tcW w:w="818" w:type="pct"/>
            <w:tcBorders>
              <w:top w:val="single" w:sz="12" w:space="0" w:color="000000"/>
              <w:left w:val="single" w:sz="12" w:space="0" w:color="000000"/>
              <w:right w:val="single" w:sz="12" w:space="0" w:color="000000"/>
            </w:tcBorders>
          </w:tcPr>
          <w:p w14:paraId="18F2B93E" w14:textId="77777777" w:rsidR="00016A1A" w:rsidRPr="00862493" w:rsidRDefault="00016A1A" w:rsidP="00016A1A">
            <w:pPr>
              <w:snapToGrid w:val="0"/>
              <w:jc w:val="right"/>
              <w:rPr>
                <w:sz w:val="10"/>
                <w:szCs w:val="10"/>
              </w:rPr>
            </w:pPr>
          </w:p>
        </w:tc>
        <w:tc>
          <w:tcPr>
            <w:tcW w:w="903" w:type="pct"/>
            <w:tcBorders>
              <w:top w:val="single" w:sz="12" w:space="0" w:color="000000"/>
              <w:left w:val="single" w:sz="12" w:space="0" w:color="000000"/>
              <w:right w:val="single" w:sz="12" w:space="0" w:color="000000"/>
            </w:tcBorders>
          </w:tcPr>
          <w:p w14:paraId="32B937CC" w14:textId="77777777" w:rsidR="00016A1A" w:rsidRPr="00862493" w:rsidRDefault="00016A1A" w:rsidP="00016A1A">
            <w:pPr>
              <w:snapToGrid w:val="0"/>
              <w:jc w:val="right"/>
              <w:rPr>
                <w:sz w:val="10"/>
                <w:szCs w:val="10"/>
              </w:rPr>
            </w:pPr>
          </w:p>
        </w:tc>
        <w:tc>
          <w:tcPr>
            <w:tcW w:w="818" w:type="pct"/>
            <w:tcBorders>
              <w:top w:val="single" w:sz="12" w:space="0" w:color="000000"/>
              <w:left w:val="single" w:sz="12" w:space="0" w:color="000000"/>
              <w:right w:val="single" w:sz="12" w:space="0" w:color="000000"/>
            </w:tcBorders>
          </w:tcPr>
          <w:p w14:paraId="069E5066" w14:textId="77777777" w:rsidR="00016A1A" w:rsidRPr="00862493" w:rsidRDefault="00016A1A" w:rsidP="00016A1A">
            <w:pPr>
              <w:snapToGrid w:val="0"/>
              <w:jc w:val="right"/>
              <w:rPr>
                <w:sz w:val="10"/>
                <w:szCs w:val="10"/>
              </w:rPr>
            </w:pPr>
          </w:p>
        </w:tc>
        <w:tc>
          <w:tcPr>
            <w:tcW w:w="860" w:type="pct"/>
            <w:tcBorders>
              <w:top w:val="single" w:sz="12" w:space="0" w:color="000000"/>
              <w:left w:val="single" w:sz="12" w:space="0" w:color="000000"/>
              <w:right w:val="single" w:sz="12" w:space="0" w:color="000000"/>
            </w:tcBorders>
          </w:tcPr>
          <w:p w14:paraId="027F10E1" w14:textId="77777777" w:rsidR="00016A1A" w:rsidRPr="00862493" w:rsidRDefault="00016A1A" w:rsidP="00016A1A">
            <w:pPr>
              <w:snapToGrid w:val="0"/>
              <w:jc w:val="right"/>
              <w:rPr>
                <w:sz w:val="10"/>
                <w:szCs w:val="10"/>
              </w:rPr>
            </w:pPr>
          </w:p>
        </w:tc>
        <w:tc>
          <w:tcPr>
            <w:tcW w:w="818" w:type="pct"/>
            <w:tcBorders>
              <w:top w:val="single" w:sz="12" w:space="0" w:color="000000"/>
              <w:left w:val="single" w:sz="12" w:space="0" w:color="000000"/>
              <w:right w:val="single" w:sz="12" w:space="0" w:color="000000"/>
            </w:tcBorders>
          </w:tcPr>
          <w:p w14:paraId="5FB74793" w14:textId="77777777" w:rsidR="00016A1A" w:rsidRPr="00862493" w:rsidRDefault="00016A1A" w:rsidP="00016A1A">
            <w:pPr>
              <w:snapToGrid w:val="0"/>
              <w:jc w:val="right"/>
              <w:rPr>
                <w:sz w:val="10"/>
                <w:szCs w:val="10"/>
              </w:rPr>
            </w:pPr>
          </w:p>
        </w:tc>
      </w:tr>
      <w:tr w:rsidR="00016A1A" w:rsidRPr="00862493" w14:paraId="471EF613" w14:textId="77777777" w:rsidTr="00016A1A">
        <w:tc>
          <w:tcPr>
            <w:tcW w:w="782" w:type="pct"/>
            <w:tcBorders>
              <w:left w:val="single" w:sz="12" w:space="0" w:color="000000"/>
              <w:right w:val="single" w:sz="12" w:space="0" w:color="000000"/>
            </w:tcBorders>
          </w:tcPr>
          <w:p w14:paraId="17D4FD06" w14:textId="77777777" w:rsidR="00016A1A" w:rsidRPr="00862493" w:rsidRDefault="00016A1A" w:rsidP="00016A1A">
            <w:pPr>
              <w:snapToGrid w:val="0"/>
              <w:jc w:val="center"/>
            </w:pPr>
            <w:r w:rsidRPr="00862493">
              <w:t>Rok 2018</w:t>
            </w:r>
          </w:p>
        </w:tc>
        <w:tc>
          <w:tcPr>
            <w:tcW w:w="818" w:type="pct"/>
            <w:tcBorders>
              <w:left w:val="single" w:sz="12" w:space="0" w:color="000000"/>
              <w:right w:val="single" w:sz="12" w:space="0" w:color="000000"/>
            </w:tcBorders>
          </w:tcPr>
          <w:p w14:paraId="60FB856D" w14:textId="77777777" w:rsidR="00016A1A" w:rsidRPr="00862493" w:rsidRDefault="00016A1A" w:rsidP="00016A1A">
            <w:pPr>
              <w:snapToGrid w:val="0"/>
              <w:jc w:val="right"/>
              <w:rPr>
                <w:sz w:val="22"/>
                <w:szCs w:val="22"/>
              </w:rPr>
            </w:pPr>
            <w:r w:rsidRPr="00862493">
              <w:rPr>
                <w:sz w:val="22"/>
                <w:szCs w:val="22"/>
              </w:rPr>
              <w:t>2 565 402</w:t>
            </w:r>
          </w:p>
        </w:tc>
        <w:tc>
          <w:tcPr>
            <w:tcW w:w="903" w:type="pct"/>
            <w:tcBorders>
              <w:left w:val="single" w:sz="12" w:space="0" w:color="000000"/>
              <w:right w:val="single" w:sz="12" w:space="0" w:color="000000"/>
            </w:tcBorders>
          </w:tcPr>
          <w:p w14:paraId="2C3A93EB" w14:textId="77777777" w:rsidR="00016A1A" w:rsidRPr="00862493" w:rsidRDefault="00016A1A" w:rsidP="00016A1A">
            <w:pPr>
              <w:snapToGrid w:val="0"/>
              <w:jc w:val="right"/>
              <w:rPr>
                <w:sz w:val="22"/>
                <w:szCs w:val="22"/>
              </w:rPr>
            </w:pPr>
            <w:r w:rsidRPr="00862493">
              <w:rPr>
                <w:sz w:val="22"/>
                <w:szCs w:val="22"/>
              </w:rPr>
              <w:t>2 963 626</w:t>
            </w:r>
          </w:p>
        </w:tc>
        <w:tc>
          <w:tcPr>
            <w:tcW w:w="818" w:type="pct"/>
            <w:tcBorders>
              <w:left w:val="single" w:sz="12" w:space="0" w:color="000000"/>
              <w:right w:val="single" w:sz="12" w:space="0" w:color="000000"/>
            </w:tcBorders>
          </w:tcPr>
          <w:p w14:paraId="5E4978BC" w14:textId="77777777" w:rsidR="00016A1A" w:rsidRPr="00862493" w:rsidRDefault="00016A1A" w:rsidP="00016A1A">
            <w:pPr>
              <w:snapToGrid w:val="0"/>
              <w:jc w:val="right"/>
              <w:rPr>
                <w:sz w:val="22"/>
                <w:szCs w:val="22"/>
              </w:rPr>
            </w:pPr>
            <w:r w:rsidRPr="00862493">
              <w:rPr>
                <w:sz w:val="22"/>
                <w:szCs w:val="22"/>
              </w:rPr>
              <w:t>9 585 573</w:t>
            </w:r>
          </w:p>
        </w:tc>
        <w:tc>
          <w:tcPr>
            <w:tcW w:w="860" w:type="pct"/>
            <w:tcBorders>
              <w:left w:val="single" w:sz="12" w:space="0" w:color="000000"/>
              <w:right w:val="single" w:sz="12" w:space="0" w:color="000000"/>
            </w:tcBorders>
          </w:tcPr>
          <w:p w14:paraId="43A9A062" w14:textId="77777777" w:rsidR="00016A1A" w:rsidRPr="00862493" w:rsidRDefault="00016A1A" w:rsidP="00016A1A">
            <w:pPr>
              <w:snapToGrid w:val="0"/>
              <w:jc w:val="right"/>
              <w:rPr>
                <w:sz w:val="22"/>
                <w:szCs w:val="22"/>
              </w:rPr>
            </w:pPr>
            <w:r w:rsidRPr="00862493">
              <w:rPr>
                <w:sz w:val="22"/>
                <w:szCs w:val="22"/>
              </w:rPr>
              <w:t>17 299 384</w:t>
            </w:r>
          </w:p>
        </w:tc>
        <w:tc>
          <w:tcPr>
            <w:tcW w:w="818" w:type="pct"/>
            <w:tcBorders>
              <w:left w:val="single" w:sz="12" w:space="0" w:color="000000"/>
              <w:right w:val="single" w:sz="12" w:space="0" w:color="000000"/>
            </w:tcBorders>
          </w:tcPr>
          <w:p w14:paraId="5D7AB281" w14:textId="77777777" w:rsidR="00016A1A" w:rsidRPr="00862493" w:rsidRDefault="00016A1A" w:rsidP="00016A1A">
            <w:pPr>
              <w:snapToGrid w:val="0"/>
              <w:jc w:val="right"/>
              <w:rPr>
                <w:sz w:val="22"/>
                <w:szCs w:val="22"/>
              </w:rPr>
            </w:pPr>
            <w:r w:rsidRPr="00862493">
              <w:rPr>
                <w:sz w:val="22"/>
                <w:szCs w:val="22"/>
              </w:rPr>
              <w:t>32 413 985</w:t>
            </w:r>
          </w:p>
        </w:tc>
      </w:tr>
      <w:tr w:rsidR="00016A1A" w:rsidRPr="00862493" w14:paraId="16FA6715" w14:textId="77777777" w:rsidTr="00016A1A">
        <w:tc>
          <w:tcPr>
            <w:tcW w:w="782" w:type="pct"/>
            <w:tcBorders>
              <w:left w:val="single" w:sz="12" w:space="0" w:color="000000"/>
              <w:bottom w:val="single" w:sz="12" w:space="0" w:color="000000"/>
              <w:right w:val="single" w:sz="12" w:space="0" w:color="000000"/>
            </w:tcBorders>
          </w:tcPr>
          <w:p w14:paraId="09D3105F" w14:textId="77777777" w:rsidR="00016A1A" w:rsidRPr="00862493" w:rsidRDefault="00016A1A" w:rsidP="00016A1A">
            <w:pPr>
              <w:snapToGrid w:val="0"/>
              <w:spacing w:before="80"/>
              <w:jc w:val="center"/>
            </w:pPr>
            <w:r w:rsidRPr="00862493">
              <w:t>%</w:t>
            </w:r>
          </w:p>
        </w:tc>
        <w:tc>
          <w:tcPr>
            <w:tcW w:w="818" w:type="pct"/>
            <w:tcBorders>
              <w:left w:val="single" w:sz="12" w:space="0" w:color="000000"/>
              <w:bottom w:val="single" w:sz="12" w:space="0" w:color="000000"/>
              <w:right w:val="single" w:sz="12" w:space="0" w:color="000000"/>
            </w:tcBorders>
          </w:tcPr>
          <w:p w14:paraId="0127BB59" w14:textId="77777777" w:rsidR="00016A1A" w:rsidRPr="00862493" w:rsidRDefault="00016A1A" w:rsidP="00016A1A">
            <w:pPr>
              <w:snapToGrid w:val="0"/>
              <w:spacing w:before="80"/>
              <w:jc w:val="right"/>
              <w:rPr>
                <w:sz w:val="22"/>
                <w:szCs w:val="22"/>
              </w:rPr>
            </w:pPr>
            <w:r w:rsidRPr="00862493">
              <w:rPr>
                <w:sz w:val="22"/>
                <w:szCs w:val="22"/>
              </w:rPr>
              <w:t>6,79</w:t>
            </w:r>
          </w:p>
        </w:tc>
        <w:tc>
          <w:tcPr>
            <w:tcW w:w="903" w:type="pct"/>
            <w:tcBorders>
              <w:left w:val="single" w:sz="12" w:space="0" w:color="000000"/>
              <w:bottom w:val="single" w:sz="12" w:space="0" w:color="000000"/>
              <w:right w:val="single" w:sz="12" w:space="0" w:color="000000"/>
            </w:tcBorders>
          </w:tcPr>
          <w:p w14:paraId="6C4AE699" w14:textId="77777777" w:rsidR="00016A1A" w:rsidRPr="00862493" w:rsidRDefault="00016A1A" w:rsidP="00016A1A">
            <w:pPr>
              <w:snapToGrid w:val="0"/>
              <w:spacing w:before="80"/>
              <w:jc w:val="right"/>
              <w:rPr>
                <w:sz w:val="22"/>
                <w:szCs w:val="22"/>
              </w:rPr>
            </w:pPr>
            <w:r w:rsidRPr="00862493">
              <w:rPr>
                <w:sz w:val="22"/>
                <w:szCs w:val="22"/>
              </w:rPr>
              <w:t>7,85</w:t>
            </w:r>
          </w:p>
        </w:tc>
        <w:tc>
          <w:tcPr>
            <w:tcW w:w="818" w:type="pct"/>
            <w:tcBorders>
              <w:left w:val="single" w:sz="12" w:space="0" w:color="000000"/>
              <w:bottom w:val="single" w:sz="12" w:space="0" w:color="000000"/>
              <w:right w:val="single" w:sz="12" w:space="0" w:color="000000"/>
            </w:tcBorders>
          </w:tcPr>
          <w:p w14:paraId="107D6E4D" w14:textId="77777777" w:rsidR="00016A1A" w:rsidRPr="00862493" w:rsidRDefault="00016A1A" w:rsidP="00016A1A">
            <w:pPr>
              <w:snapToGrid w:val="0"/>
              <w:spacing w:before="80"/>
              <w:jc w:val="right"/>
              <w:rPr>
                <w:sz w:val="22"/>
                <w:szCs w:val="22"/>
              </w:rPr>
            </w:pPr>
            <w:r w:rsidRPr="00862493">
              <w:rPr>
                <w:sz w:val="22"/>
                <w:szCs w:val="22"/>
              </w:rPr>
              <w:t>25,37</w:t>
            </w:r>
          </w:p>
        </w:tc>
        <w:tc>
          <w:tcPr>
            <w:tcW w:w="860" w:type="pct"/>
            <w:tcBorders>
              <w:left w:val="single" w:sz="12" w:space="0" w:color="000000"/>
              <w:bottom w:val="single" w:sz="12" w:space="0" w:color="000000"/>
              <w:right w:val="single" w:sz="12" w:space="0" w:color="000000"/>
            </w:tcBorders>
          </w:tcPr>
          <w:p w14:paraId="36FD4296" w14:textId="77777777" w:rsidR="00016A1A" w:rsidRPr="00862493" w:rsidRDefault="00016A1A" w:rsidP="00016A1A">
            <w:pPr>
              <w:snapToGrid w:val="0"/>
              <w:spacing w:before="80"/>
              <w:jc w:val="right"/>
              <w:rPr>
                <w:sz w:val="22"/>
                <w:szCs w:val="22"/>
              </w:rPr>
            </w:pPr>
            <w:r w:rsidRPr="00862493">
              <w:rPr>
                <w:sz w:val="22"/>
                <w:szCs w:val="22"/>
              </w:rPr>
              <w:t>45,80</w:t>
            </w:r>
          </w:p>
        </w:tc>
        <w:tc>
          <w:tcPr>
            <w:tcW w:w="818" w:type="pct"/>
            <w:tcBorders>
              <w:left w:val="single" w:sz="12" w:space="0" w:color="000000"/>
              <w:bottom w:val="single" w:sz="12" w:space="0" w:color="000000"/>
              <w:right w:val="single" w:sz="12" w:space="0" w:color="000000"/>
            </w:tcBorders>
          </w:tcPr>
          <w:p w14:paraId="2CF03A54" w14:textId="77777777" w:rsidR="00016A1A" w:rsidRPr="00862493" w:rsidRDefault="00016A1A" w:rsidP="00016A1A">
            <w:pPr>
              <w:snapToGrid w:val="0"/>
              <w:spacing w:before="80"/>
              <w:jc w:val="right"/>
              <w:rPr>
                <w:sz w:val="22"/>
                <w:szCs w:val="22"/>
              </w:rPr>
            </w:pPr>
            <w:r w:rsidRPr="00862493">
              <w:rPr>
                <w:sz w:val="22"/>
                <w:szCs w:val="22"/>
              </w:rPr>
              <w:t>85,81</w:t>
            </w:r>
          </w:p>
        </w:tc>
      </w:tr>
      <w:tr w:rsidR="00016A1A" w:rsidRPr="00862493" w14:paraId="10ED13DD" w14:textId="77777777" w:rsidTr="00016A1A">
        <w:tc>
          <w:tcPr>
            <w:tcW w:w="782" w:type="pct"/>
            <w:tcBorders>
              <w:top w:val="single" w:sz="12" w:space="0" w:color="000000"/>
              <w:left w:val="single" w:sz="12" w:space="0" w:color="000000"/>
              <w:right w:val="single" w:sz="12" w:space="0" w:color="000000"/>
            </w:tcBorders>
          </w:tcPr>
          <w:p w14:paraId="1F515DCF" w14:textId="77777777" w:rsidR="00016A1A" w:rsidRPr="00862493" w:rsidRDefault="00016A1A" w:rsidP="00016A1A">
            <w:pPr>
              <w:snapToGrid w:val="0"/>
              <w:jc w:val="center"/>
              <w:rPr>
                <w:sz w:val="10"/>
                <w:szCs w:val="10"/>
              </w:rPr>
            </w:pPr>
          </w:p>
        </w:tc>
        <w:tc>
          <w:tcPr>
            <w:tcW w:w="818" w:type="pct"/>
            <w:tcBorders>
              <w:top w:val="single" w:sz="12" w:space="0" w:color="000000"/>
              <w:left w:val="single" w:sz="12" w:space="0" w:color="000000"/>
              <w:right w:val="single" w:sz="12" w:space="0" w:color="000000"/>
            </w:tcBorders>
          </w:tcPr>
          <w:p w14:paraId="0F888520" w14:textId="77777777" w:rsidR="00016A1A" w:rsidRPr="00862493" w:rsidRDefault="00016A1A" w:rsidP="00016A1A">
            <w:pPr>
              <w:snapToGrid w:val="0"/>
              <w:jc w:val="right"/>
              <w:rPr>
                <w:sz w:val="10"/>
                <w:szCs w:val="10"/>
              </w:rPr>
            </w:pPr>
          </w:p>
        </w:tc>
        <w:tc>
          <w:tcPr>
            <w:tcW w:w="903" w:type="pct"/>
            <w:tcBorders>
              <w:top w:val="single" w:sz="12" w:space="0" w:color="000000"/>
              <w:left w:val="single" w:sz="12" w:space="0" w:color="000000"/>
              <w:right w:val="single" w:sz="12" w:space="0" w:color="000000"/>
            </w:tcBorders>
          </w:tcPr>
          <w:p w14:paraId="0367D593" w14:textId="77777777" w:rsidR="00016A1A" w:rsidRPr="00862493" w:rsidRDefault="00016A1A" w:rsidP="00016A1A">
            <w:pPr>
              <w:snapToGrid w:val="0"/>
              <w:jc w:val="right"/>
              <w:rPr>
                <w:sz w:val="10"/>
                <w:szCs w:val="10"/>
              </w:rPr>
            </w:pPr>
          </w:p>
        </w:tc>
        <w:tc>
          <w:tcPr>
            <w:tcW w:w="818" w:type="pct"/>
            <w:tcBorders>
              <w:top w:val="single" w:sz="12" w:space="0" w:color="000000"/>
              <w:left w:val="single" w:sz="12" w:space="0" w:color="000000"/>
              <w:right w:val="single" w:sz="12" w:space="0" w:color="000000"/>
            </w:tcBorders>
          </w:tcPr>
          <w:p w14:paraId="41791DAD" w14:textId="77777777" w:rsidR="00016A1A" w:rsidRPr="00862493" w:rsidRDefault="00016A1A" w:rsidP="00016A1A">
            <w:pPr>
              <w:snapToGrid w:val="0"/>
              <w:jc w:val="right"/>
              <w:rPr>
                <w:sz w:val="10"/>
                <w:szCs w:val="10"/>
              </w:rPr>
            </w:pPr>
          </w:p>
        </w:tc>
        <w:tc>
          <w:tcPr>
            <w:tcW w:w="860" w:type="pct"/>
            <w:tcBorders>
              <w:top w:val="single" w:sz="12" w:space="0" w:color="000000"/>
              <w:left w:val="single" w:sz="12" w:space="0" w:color="000000"/>
              <w:right w:val="single" w:sz="12" w:space="0" w:color="000000"/>
            </w:tcBorders>
          </w:tcPr>
          <w:p w14:paraId="5E74554E" w14:textId="77777777" w:rsidR="00016A1A" w:rsidRPr="00862493" w:rsidRDefault="00016A1A" w:rsidP="00016A1A">
            <w:pPr>
              <w:snapToGrid w:val="0"/>
              <w:jc w:val="right"/>
              <w:rPr>
                <w:sz w:val="10"/>
                <w:szCs w:val="10"/>
              </w:rPr>
            </w:pPr>
          </w:p>
        </w:tc>
        <w:tc>
          <w:tcPr>
            <w:tcW w:w="818" w:type="pct"/>
            <w:tcBorders>
              <w:top w:val="single" w:sz="12" w:space="0" w:color="000000"/>
              <w:left w:val="single" w:sz="12" w:space="0" w:color="000000"/>
              <w:right w:val="single" w:sz="12" w:space="0" w:color="000000"/>
            </w:tcBorders>
          </w:tcPr>
          <w:p w14:paraId="2FF97AE9" w14:textId="77777777" w:rsidR="00016A1A" w:rsidRPr="00862493" w:rsidRDefault="00016A1A" w:rsidP="00016A1A">
            <w:pPr>
              <w:snapToGrid w:val="0"/>
              <w:jc w:val="right"/>
              <w:rPr>
                <w:sz w:val="10"/>
                <w:szCs w:val="10"/>
              </w:rPr>
            </w:pPr>
          </w:p>
        </w:tc>
      </w:tr>
      <w:tr w:rsidR="00016A1A" w:rsidRPr="00862493" w14:paraId="4B705402" w14:textId="77777777" w:rsidTr="00016A1A">
        <w:tc>
          <w:tcPr>
            <w:tcW w:w="782" w:type="pct"/>
            <w:tcBorders>
              <w:left w:val="single" w:sz="12" w:space="0" w:color="000000"/>
              <w:right w:val="single" w:sz="12" w:space="0" w:color="000000"/>
            </w:tcBorders>
          </w:tcPr>
          <w:p w14:paraId="721FC93E" w14:textId="77777777" w:rsidR="00016A1A" w:rsidRPr="00862493" w:rsidRDefault="00016A1A" w:rsidP="00016A1A">
            <w:pPr>
              <w:snapToGrid w:val="0"/>
              <w:jc w:val="center"/>
            </w:pPr>
            <w:r w:rsidRPr="00862493">
              <w:t>Rok 2019</w:t>
            </w:r>
          </w:p>
        </w:tc>
        <w:tc>
          <w:tcPr>
            <w:tcW w:w="818" w:type="pct"/>
            <w:tcBorders>
              <w:left w:val="single" w:sz="12" w:space="0" w:color="000000"/>
              <w:right w:val="single" w:sz="12" w:space="0" w:color="000000"/>
            </w:tcBorders>
          </w:tcPr>
          <w:p w14:paraId="4878460F" w14:textId="77777777" w:rsidR="00016A1A" w:rsidRPr="00862493" w:rsidRDefault="00016A1A" w:rsidP="00016A1A">
            <w:pPr>
              <w:snapToGrid w:val="0"/>
              <w:jc w:val="right"/>
              <w:rPr>
                <w:sz w:val="22"/>
                <w:szCs w:val="22"/>
              </w:rPr>
            </w:pPr>
            <w:r>
              <w:rPr>
                <w:sz w:val="22"/>
                <w:szCs w:val="22"/>
              </w:rPr>
              <w:t>3 018 829</w:t>
            </w:r>
          </w:p>
        </w:tc>
        <w:tc>
          <w:tcPr>
            <w:tcW w:w="903" w:type="pct"/>
            <w:tcBorders>
              <w:left w:val="single" w:sz="12" w:space="0" w:color="000000"/>
              <w:right w:val="single" w:sz="12" w:space="0" w:color="000000"/>
            </w:tcBorders>
          </w:tcPr>
          <w:p w14:paraId="49249513" w14:textId="77777777" w:rsidR="00016A1A" w:rsidRPr="00862493" w:rsidRDefault="00016A1A" w:rsidP="00016A1A">
            <w:pPr>
              <w:snapToGrid w:val="0"/>
              <w:jc w:val="right"/>
              <w:rPr>
                <w:sz w:val="22"/>
                <w:szCs w:val="22"/>
              </w:rPr>
            </w:pPr>
            <w:r>
              <w:rPr>
                <w:sz w:val="22"/>
                <w:szCs w:val="22"/>
              </w:rPr>
              <w:t>5 923 576</w:t>
            </w:r>
          </w:p>
        </w:tc>
        <w:tc>
          <w:tcPr>
            <w:tcW w:w="818" w:type="pct"/>
            <w:tcBorders>
              <w:left w:val="single" w:sz="12" w:space="0" w:color="000000"/>
              <w:right w:val="single" w:sz="12" w:space="0" w:color="000000"/>
            </w:tcBorders>
          </w:tcPr>
          <w:p w14:paraId="1B77DBC3" w14:textId="77777777" w:rsidR="00016A1A" w:rsidRPr="00862493" w:rsidRDefault="00016A1A" w:rsidP="00016A1A">
            <w:pPr>
              <w:snapToGrid w:val="0"/>
              <w:jc w:val="right"/>
              <w:rPr>
                <w:sz w:val="22"/>
                <w:szCs w:val="22"/>
              </w:rPr>
            </w:pPr>
            <w:r>
              <w:rPr>
                <w:sz w:val="22"/>
                <w:szCs w:val="22"/>
              </w:rPr>
              <w:t>19 367 419</w:t>
            </w:r>
          </w:p>
        </w:tc>
        <w:tc>
          <w:tcPr>
            <w:tcW w:w="860" w:type="pct"/>
            <w:tcBorders>
              <w:left w:val="single" w:sz="12" w:space="0" w:color="000000"/>
              <w:right w:val="single" w:sz="12" w:space="0" w:color="000000"/>
            </w:tcBorders>
          </w:tcPr>
          <w:p w14:paraId="603683DB" w14:textId="77777777" w:rsidR="00016A1A" w:rsidRPr="00862493" w:rsidRDefault="00016A1A" w:rsidP="00016A1A">
            <w:pPr>
              <w:snapToGrid w:val="0"/>
              <w:jc w:val="right"/>
              <w:rPr>
                <w:sz w:val="22"/>
                <w:szCs w:val="22"/>
              </w:rPr>
            </w:pPr>
            <w:r>
              <w:rPr>
                <w:sz w:val="22"/>
                <w:szCs w:val="22"/>
              </w:rPr>
              <w:t>16 484 134</w:t>
            </w:r>
          </w:p>
        </w:tc>
        <w:tc>
          <w:tcPr>
            <w:tcW w:w="818" w:type="pct"/>
            <w:tcBorders>
              <w:left w:val="single" w:sz="12" w:space="0" w:color="000000"/>
              <w:right w:val="single" w:sz="12" w:space="0" w:color="000000"/>
            </w:tcBorders>
          </w:tcPr>
          <w:p w14:paraId="266D555B" w14:textId="77777777" w:rsidR="00016A1A" w:rsidRPr="00862493" w:rsidRDefault="00016A1A" w:rsidP="00016A1A">
            <w:pPr>
              <w:snapToGrid w:val="0"/>
              <w:jc w:val="right"/>
              <w:rPr>
                <w:sz w:val="22"/>
                <w:szCs w:val="22"/>
              </w:rPr>
            </w:pPr>
            <w:r>
              <w:rPr>
                <w:sz w:val="22"/>
                <w:szCs w:val="22"/>
              </w:rPr>
              <w:t>44 793 958</w:t>
            </w:r>
          </w:p>
        </w:tc>
      </w:tr>
      <w:tr w:rsidR="00016A1A" w:rsidRPr="00862493" w14:paraId="4C0CB16C" w14:textId="77777777" w:rsidTr="00016A1A">
        <w:tc>
          <w:tcPr>
            <w:tcW w:w="782" w:type="pct"/>
            <w:tcBorders>
              <w:left w:val="single" w:sz="12" w:space="0" w:color="000000"/>
              <w:bottom w:val="single" w:sz="12" w:space="0" w:color="000000"/>
              <w:right w:val="single" w:sz="12" w:space="0" w:color="000000"/>
            </w:tcBorders>
          </w:tcPr>
          <w:p w14:paraId="2F53A34D" w14:textId="77777777" w:rsidR="00016A1A" w:rsidRPr="00862493" w:rsidRDefault="00016A1A" w:rsidP="00016A1A">
            <w:pPr>
              <w:snapToGrid w:val="0"/>
              <w:spacing w:before="80"/>
              <w:jc w:val="center"/>
            </w:pPr>
            <w:r w:rsidRPr="00862493">
              <w:t>%</w:t>
            </w:r>
          </w:p>
        </w:tc>
        <w:tc>
          <w:tcPr>
            <w:tcW w:w="818" w:type="pct"/>
            <w:tcBorders>
              <w:left w:val="single" w:sz="12" w:space="0" w:color="000000"/>
              <w:bottom w:val="single" w:sz="12" w:space="0" w:color="000000"/>
              <w:right w:val="single" w:sz="12" w:space="0" w:color="000000"/>
            </w:tcBorders>
          </w:tcPr>
          <w:p w14:paraId="36AC7AE5" w14:textId="77777777" w:rsidR="00016A1A" w:rsidRPr="00862493" w:rsidRDefault="00016A1A" w:rsidP="00016A1A">
            <w:pPr>
              <w:snapToGrid w:val="0"/>
              <w:spacing w:before="80"/>
              <w:jc w:val="right"/>
              <w:rPr>
                <w:sz w:val="22"/>
                <w:szCs w:val="22"/>
              </w:rPr>
            </w:pPr>
            <w:r>
              <w:rPr>
                <w:sz w:val="22"/>
                <w:szCs w:val="22"/>
              </w:rPr>
              <w:t>6,75</w:t>
            </w:r>
          </w:p>
        </w:tc>
        <w:tc>
          <w:tcPr>
            <w:tcW w:w="903" w:type="pct"/>
            <w:tcBorders>
              <w:left w:val="single" w:sz="12" w:space="0" w:color="000000"/>
              <w:bottom w:val="single" w:sz="12" w:space="0" w:color="000000"/>
              <w:right w:val="single" w:sz="12" w:space="0" w:color="000000"/>
            </w:tcBorders>
          </w:tcPr>
          <w:p w14:paraId="11F36655" w14:textId="77777777" w:rsidR="00016A1A" w:rsidRPr="00862493" w:rsidRDefault="00016A1A" w:rsidP="00016A1A">
            <w:pPr>
              <w:snapToGrid w:val="0"/>
              <w:spacing w:before="80"/>
              <w:jc w:val="right"/>
              <w:rPr>
                <w:sz w:val="22"/>
                <w:szCs w:val="22"/>
              </w:rPr>
            </w:pPr>
            <w:r>
              <w:rPr>
                <w:sz w:val="22"/>
                <w:szCs w:val="22"/>
              </w:rPr>
              <w:t>13,25</w:t>
            </w:r>
          </w:p>
        </w:tc>
        <w:tc>
          <w:tcPr>
            <w:tcW w:w="818" w:type="pct"/>
            <w:tcBorders>
              <w:left w:val="single" w:sz="12" w:space="0" w:color="000000"/>
              <w:bottom w:val="single" w:sz="12" w:space="0" w:color="000000"/>
              <w:right w:val="single" w:sz="12" w:space="0" w:color="000000"/>
            </w:tcBorders>
          </w:tcPr>
          <w:p w14:paraId="41A974C4" w14:textId="77777777" w:rsidR="00016A1A" w:rsidRPr="00862493" w:rsidRDefault="00016A1A" w:rsidP="00016A1A">
            <w:pPr>
              <w:snapToGrid w:val="0"/>
              <w:spacing w:before="80"/>
              <w:jc w:val="right"/>
              <w:rPr>
                <w:sz w:val="22"/>
                <w:szCs w:val="22"/>
              </w:rPr>
            </w:pPr>
            <w:r>
              <w:rPr>
                <w:sz w:val="22"/>
                <w:szCs w:val="22"/>
              </w:rPr>
              <w:t>43,31</w:t>
            </w:r>
          </w:p>
        </w:tc>
        <w:tc>
          <w:tcPr>
            <w:tcW w:w="860" w:type="pct"/>
            <w:tcBorders>
              <w:left w:val="single" w:sz="12" w:space="0" w:color="000000"/>
              <w:bottom w:val="single" w:sz="12" w:space="0" w:color="000000"/>
              <w:right w:val="single" w:sz="12" w:space="0" w:color="000000"/>
            </w:tcBorders>
          </w:tcPr>
          <w:p w14:paraId="1CF14B49" w14:textId="77777777" w:rsidR="00016A1A" w:rsidRPr="00862493" w:rsidRDefault="00016A1A" w:rsidP="00016A1A">
            <w:pPr>
              <w:snapToGrid w:val="0"/>
              <w:spacing w:before="80"/>
              <w:jc w:val="right"/>
              <w:rPr>
                <w:sz w:val="22"/>
                <w:szCs w:val="22"/>
              </w:rPr>
            </w:pPr>
            <w:r>
              <w:rPr>
                <w:sz w:val="22"/>
                <w:szCs w:val="22"/>
              </w:rPr>
              <w:t>36,86</w:t>
            </w:r>
          </w:p>
        </w:tc>
        <w:tc>
          <w:tcPr>
            <w:tcW w:w="818" w:type="pct"/>
            <w:tcBorders>
              <w:left w:val="single" w:sz="12" w:space="0" w:color="000000"/>
              <w:bottom w:val="single" w:sz="12" w:space="0" w:color="000000"/>
              <w:right w:val="single" w:sz="12" w:space="0" w:color="000000"/>
            </w:tcBorders>
          </w:tcPr>
          <w:p w14:paraId="6FE1FF51" w14:textId="77777777" w:rsidR="00016A1A" w:rsidRPr="00862493" w:rsidRDefault="00016A1A" w:rsidP="00016A1A">
            <w:pPr>
              <w:snapToGrid w:val="0"/>
              <w:spacing w:before="80"/>
              <w:jc w:val="right"/>
              <w:rPr>
                <w:sz w:val="22"/>
                <w:szCs w:val="22"/>
              </w:rPr>
            </w:pPr>
            <w:r>
              <w:rPr>
                <w:sz w:val="22"/>
                <w:szCs w:val="22"/>
              </w:rPr>
              <w:t>100,17</w:t>
            </w:r>
          </w:p>
        </w:tc>
      </w:tr>
    </w:tbl>
    <w:p w14:paraId="1DFF64C3" w14:textId="77777777" w:rsidR="00016A1A" w:rsidRPr="00016A1A" w:rsidRDefault="00016A1A" w:rsidP="00155668">
      <w:pPr>
        <w:pStyle w:val="Odstavecseseznamem"/>
        <w:spacing w:before="120"/>
        <w:ind w:left="0"/>
        <w:jc w:val="both"/>
        <w:rPr>
          <w:i/>
          <w:sz w:val="22"/>
          <w:szCs w:val="22"/>
        </w:rPr>
      </w:pPr>
      <w:bookmarkStart w:id="411" w:name="_Toc508879880"/>
      <w:bookmarkStart w:id="412" w:name="_Toc508880156"/>
      <w:r w:rsidRPr="00016A1A">
        <w:rPr>
          <w:i/>
          <w:sz w:val="22"/>
          <w:szCs w:val="22"/>
          <w:u w:val="single"/>
        </w:rPr>
        <w:t>Poznámka:</w:t>
      </w:r>
      <w:r w:rsidRPr="00016A1A">
        <w:rPr>
          <w:i/>
          <w:sz w:val="22"/>
          <w:szCs w:val="22"/>
        </w:rPr>
        <w:t xml:space="preserve">  %  -  plnění k rozpočtu po všech změnách k 31.12. příslušného roku </w:t>
      </w:r>
    </w:p>
    <w:p w14:paraId="69C94F39" w14:textId="63620E34" w:rsidR="00016A1A" w:rsidRPr="00862493" w:rsidRDefault="00016A1A" w:rsidP="00155668">
      <w:pPr>
        <w:pStyle w:val="KOMtext"/>
      </w:pPr>
      <w:r w:rsidRPr="00862493">
        <w:lastRenderedPageBreak/>
        <w:t>Z výše uvedeného přehledu je patrné, že v roce 2015 bylo čerpání kapitálových prostředků vyšší ve 2. a 4. čtvrtletí. Důvodem bylo poskytnutí investiční dotace SFDI ve výši 6,5 mld. Kč ve </w:t>
      </w:r>
      <w:r w:rsidR="00155668">
        <w:br/>
      </w:r>
      <w:r w:rsidRPr="00862493">
        <w:t xml:space="preserve">2. čtvrtletí, 3,7 mld. Kč ve 3. čtvrtletí a ve 4. čtvrtletí 25,3 mld. Kč. Investiční prostředky určené pro </w:t>
      </w:r>
      <w:r w:rsidRPr="00155668">
        <w:t>podnikatelské</w:t>
      </w:r>
      <w:r w:rsidRPr="00862493">
        <w:t xml:space="preserve"> subjekty byly čerpány ve 2.</w:t>
      </w:r>
      <w:r w:rsidR="00155668">
        <w:t xml:space="preserve"> čtvrtletí ve výši 3,2 mld. Kč</w:t>
      </w:r>
      <w:r w:rsidRPr="00862493">
        <w:t xml:space="preserve"> a ve 4. čtvrtletí ve výši 4,5 mld. Kč.</w:t>
      </w:r>
    </w:p>
    <w:p w14:paraId="6AF13B5C" w14:textId="77777777" w:rsidR="00016A1A" w:rsidRPr="00862493" w:rsidRDefault="00016A1A" w:rsidP="00155668">
      <w:pPr>
        <w:pStyle w:val="KOMtext"/>
      </w:pPr>
      <w:r w:rsidRPr="00862493">
        <w:t>V roce 2016 bylo čerpání kapitálových prostředků rovnoměrné v 2. a 3. čtvrtletí. Vyšší čerpání kapitálových výdajů bylo ve 4. čtvrtletí. Důvodem bylo poskytnutí investiční dotace SFDI ve výši 17,4 mld. Kč.</w:t>
      </w:r>
    </w:p>
    <w:p w14:paraId="437F29B7" w14:textId="77777777" w:rsidR="00016A1A" w:rsidRPr="00862493" w:rsidRDefault="00016A1A" w:rsidP="00155668">
      <w:pPr>
        <w:pStyle w:val="KOMtext"/>
      </w:pPr>
      <w:r w:rsidRPr="00862493">
        <w:t xml:space="preserve">V roce 2017 bylo čerpání kapitálových prostředků rovnoměrné v 1. a 2 čtvrtletí. Vyšší čerpání bylo ve 4. čtvrtletí. Důvodem bylo poskytnutí </w:t>
      </w:r>
      <w:r w:rsidR="00155668">
        <w:t>investiční dotace SFDI ve výši</w:t>
      </w:r>
      <w:r w:rsidRPr="00862493">
        <w:t xml:space="preserve"> 19,1 mld. Kč, dále byly ve větší míře čerpány prostředky určené</w:t>
      </w:r>
      <w:r w:rsidR="00155668">
        <w:t xml:space="preserve"> pro příspěvkové organizace </w:t>
      </w:r>
      <w:r w:rsidRPr="00862493">
        <w:t xml:space="preserve">a organizační složky státu. </w:t>
      </w:r>
    </w:p>
    <w:p w14:paraId="00701D89" w14:textId="77777777" w:rsidR="00016A1A" w:rsidRPr="00862493" w:rsidRDefault="00016A1A" w:rsidP="00155668">
      <w:pPr>
        <w:pStyle w:val="KOMtext"/>
      </w:pPr>
      <w:r w:rsidRPr="00862493">
        <w:t>V roce 2018 bylo čerpání kapitálových prostředků rovnoměrné v 1. a 2 čtvrtletí. Vyšší čerpání bylo ve 4. čtvrtletí. Důvodem bylo poskytnutí investiční dotace</w:t>
      </w:r>
      <w:r w:rsidR="00155668">
        <w:t xml:space="preserve"> SFDI ve výši </w:t>
      </w:r>
      <w:r w:rsidRPr="00862493">
        <w:t xml:space="preserve">17,2 mld. Kč, dále byly ve větší míře čerpány prostředky určené pro organizační složky státu. </w:t>
      </w:r>
    </w:p>
    <w:p w14:paraId="6829D241" w14:textId="3FF70F92" w:rsidR="00016A1A" w:rsidRPr="00B32F20" w:rsidRDefault="00016A1A" w:rsidP="00155668">
      <w:pPr>
        <w:pStyle w:val="KOMtext"/>
      </w:pPr>
      <w:r w:rsidRPr="00B32F20">
        <w:t>V roce 2019 bylo  čerpání kapitálových prostředky vyšší ve 3. a 4 čtvrtletí. Důvodem bylo poskytnutí investiční dotace SFDI ve výši 19,3 mld. Kč ve 3. čtvrtletí a ve 4. čtvrtletí</w:t>
      </w:r>
      <w:r>
        <w:t xml:space="preserve"> </w:t>
      </w:r>
      <w:r w:rsidRPr="00B32F20">
        <w:t xml:space="preserve">ve výši 16,4 mld. Kč.   </w:t>
      </w:r>
    </w:p>
    <w:p w14:paraId="2773FE61" w14:textId="77777777" w:rsidR="00016A1A" w:rsidRPr="00127D56" w:rsidRDefault="00016A1A" w:rsidP="00155668">
      <w:pPr>
        <w:pStyle w:val="KOMtext"/>
      </w:pPr>
      <w:r w:rsidRPr="00127D56">
        <w:t xml:space="preserve">Pokud jde o celkovou výši čerpání kapitálových výdajů v jednotlivých letech, nejvyššího čerpání bylo dosaženo v roce 2015. Důvodem byla nutnost dočerpat prostředky Operačního programu Doprava (2007-2013). </w:t>
      </w:r>
    </w:p>
    <w:p w14:paraId="27F28A5C" w14:textId="77777777" w:rsidR="00016A1A" w:rsidRPr="00862493" w:rsidRDefault="00016A1A" w:rsidP="00155668">
      <w:pPr>
        <w:pStyle w:val="KOMtext"/>
      </w:pPr>
      <w:r w:rsidRPr="00016A1A">
        <w:rPr>
          <w:u w:val="single"/>
        </w:rPr>
        <w:t>V roce 2015</w:t>
      </w:r>
      <w:r w:rsidRPr="00862493">
        <w:t xml:space="preserve"> se oproti roku 2014 zvýšilo čerpání kapitálových výdajů o 27,9 mld. Kč.  Zvýšení bylo realizováno především zvýšením čerpání investiční dotace SFDI o 20,3 mld. Kč </w:t>
      </w:r>
      <w:r w:rsidRPr="00862493">
        <w:br/>
        <w:t>a zvýšením čerpání dotace podnikatelským subjektům o 7,5 mld. Kč, a to v souvislosti s dočerpáním Operačního programu Doprava (2007-2013).</w:t>
      </w:r>
    </w:p>
    <w:p w14:paraId="1EB2AAF7" w14:textId="77777777" w:rsidR="00016A1A" w:rsidRPr="00862493" w:rsidRDefault="00016A1A" w:rsidP="00155668">
      <w:pPr>
        <w:pStyle w:val="KOMtext"/>
        <w:rPr>
          <w:szCs w:val="24"/>
        </w:rPr>
      </w:pPr>
      <w:r w:rsidRPr="00862493">
        <w:rPr>
          <w:u w:val="single"/>
        </w:rPr>
        <w:t>V roce 2016</w:t>
      </w:r>
      <w:r w:rsidRPr="00862493">
        <w:t xml:space="preserve"> se oproti roku 2015 snížilo čerpání kapitálových výdajů o 11,9 mld. Kč.  Snížení bylo realizováno především snížením čerpání </w:t>
      </w:r>
      <w:r w:rsidRPr="00155668">
        <w:t>investiční</w:t>
      </w:r>
      <w:r w:rsidR="00155668">
        <w:t xml:space="preserve"> dotace SFDI o 10,4 mld. Kč</w:t>
      </w:r>
      <w:r w:rsidRPr="00862493">
        <w:t xml:space="preserve"> a snížením čerpání dotace podnikatelským subjektům o 2,4 mld. Kč. Současně došlo k navýšení čerpání dotace územním rozpočtům o 0,9 mld. Kč. </w:t>
      </w:r>
      <w:r w:rsidRPr="00862493">
        <w:rPr>
          <w:szCs w:val="24"/>
        </w:rPr>
        <w:t>Nižší čerpání investiční dotace SFDI (prostředků EU) bylo způsobeno nízkým čerpáním prostředků Operačního programu Doprava (2007–2013), které se pouze dočerpávaly, a čerpání prostředků Operačního programu Doprava (2014 – 2020) je teprve na počátku.</w:t>
      </w:r>
    </w:p>
    <w:p w14:paraId="47557A68" w14:textId="77777777" w:rsidR="00016A1A" w:rsidRPr="00862493" w:rsidRDefault="00016A1A" w:rsidP="00155668">
      <w:pPr>
        <w:pStyle w:val="KOMtext"/>
      </w:pPr>
      <w:r w:rsidRPr="00016A1A">
        <w:rPr>
          <w:u w:val="single"/>
        </w:rPr>
        <w:lastRenderedPageBreak/>
        <w:t>V roce 2017</w:t>
      </w:r>
      <w:r w:rsidRPr="00862493">
        <w:t xml:space="preserve"> se oproti roku 2016 snížilo čerpání kapitálových výdajů o 2 mld. Kč. Snížení bylo realizováno především snížením čerpání investiční dotace podnikatelským subjektům </w:t>
      </w:r>
      <w:r w:rsidRPr="00862493">
        <w:br/>
        <w:t xml:space="preserve">o 5,3 mld. Kč (v roce 2016 byla jednorázově poskytnuta dotace na obnovu vozového parku linky R 13 Brno-Břeclav-Olomouc a nákup nádražních budov a souvisejícího majetku z ČD, a.s. do majetku SŽDC, s.o.) a snížením čerpání dotace územním rozpočtům o 1,1 mld. Kč. Současně došlo k navýšení čerpání investiční dotace SFDI o 4,3 mld. Kč a čerpání příspěvkových </w:t>
      </w:r>
      <w:r w:rsidRPr="00862493">
        <w:br/>
        <w:t>a podobných organizací o 0,1 mld. Kč. Vyšší čerpání investiční dotace SFDI je způsobeno čerpáním prostředků Operačního programu Doprava (2014-2020), prostředků komunitárních programů (Nástroj pro propojení Evropy 2014</w:t>
      </w:r>
      <w:r w:rsidRPr="00016A1A">
        <w:rPr>
          <w:vertAlign w:val="superscript"/>
        </w:rPr>
        <w:t>+</w:t>
      </w:r>
      <w:r w:rsidRPr="00862493">
        <w:t xml:space="preserve">) a prostředků určených na krytí deficitu SFDI. </w:t>
      </w:r>
      <w:r w:rsidRPr="00862493">
        <w:br/>
        <w:t xml:space="preserve">U podnikatelských subjektů nebylo zahájeno čerpání prostředků Operačního programu Doprava (2014-2020). </w:t>
      </w:r>
    </w:p>
    <w:p w14:paraId="3545B5DC" w14:textId="77777777" w:rsidR="00016A1A" w:rsidRDefault="00016A1A" w:rsidP="00155668">
      <w:pPr>
        <w:pStyle w:val="KOMtext"/>
      </w:pPr>
      <w:r w:rsidRPr="00016A1A">
        <w:rPr>
          <w:u w:val="single"/>
        </w:rPr>
        <w:t>V roce 2018</w:t>
      </w:r>
      <w:r w:rsidRPr="00862493">
        <w:t xml:space="preserve"> se oproti roku 2017 zvýšilo čerpání kapitálových výdajů o 0,6 mld. Kč. Zvýšení  bylo realizováno především zvýšením čerpání investiční dotace SFDI. Vyšší čerpání investiční dotace SFDI je způsobeno vyšším čerpáním prostředků určených na krytí deficitu SFDI a dále navýšením čerpání u prostředků komunitárních programů (Nástroj pro propojení Evropy2014+). </w:t>
      </w:r>
    </w:p>
    <w:p w14:paraId="4E5E76BD" w14:textId="77777777" w:rsidR="00016A1A" w:rsidRPr="00927602" w:rsidRDefault="00016A1A" w:rsidP="00155668">
      <w:pPr>
        <w:pStyle w:val="KOMtext"/>
      </w:pPr>
      <w:r w:rsidRPr="00016A1A">
        <w:rPr>
          <w:u w:val="single"/>
        </w:rPr>
        <w:t>V roce 2019</w:t>
      </w:r>
      <w:r w:rsidRPr="00B32F20">
        <w:t xml:space="preserve"> se oproti roku 2018 zvýšilo čerpání kapitálových výdajů o 12,4 mld. Kč. Zvýšení  bylo realizováno především zvýšením čerpání investiční dotace</w:t>
      </w:r>
      <w:r>
        <w:t xml:space="preserve"> SFDI. </w:t>
      </w:r>
      <w:r w:rsidRPr="00927602">
        <w:t>Vyšší čerpání investiční dotace SFDI je způsobeno vyšším čerpáním prostředky určených na krytí deficitu SFDI.</w:t>
      </w:r>
    </w:p>
    <w:p w14:paraId="18FE04E2" w14:textId="77777777" w:rsidR="00016A1A" w:rsidRPr="00862493" w:rsidRDefault="00016A1A" w:rsidP="00155668">
      <w:pPr>
        <w:pStyle w:val="KOMtext"/>
      </w:pPr>
      <w:r w:rsidRPr="00862493">
        <w:t xml:space="preserve">Kapitálové výdaje byly účelně vynaloženy v souladu se schválenými dokumentacemi jednotlivých programů a Rozhodnutím o poskytnutí dotace v případě kapitálových výdajů určených veřejným výzkumným institucím.  </w:t>
      </w:r>
    </w:p>
    <w:p w14:paraId="640E0BDF" w14:textId="77777777" w:rsidR="00016A1A" w:rsidRPr="00927602" w:rsidRDefault="00016A1A" w:rsidP="00155668">
      <w:pPr>
        <w:pStyle w:val="KOMtext"/>
      </w:pPr>
      <w:r w:rsidRPr="00927602">
        <w:t>Největší podíl kapitálových výdajů byl vynaložen na krytí deficitu SFDI, v rámci Operačního programu Doprava (2014-2020) a Nástroje pro propojení Evropy 2014+.</w:t>
      </w:r>
    </w:p>
    <w:p w14:paraId="09EA4594" w14:textId="77777777" w:rsidR="00016A1A" w:rsidRPr="009B02DC" w:rsidRDefault="00016A1A" w:rsidP="00155668">
      <w:pPr>
        <w:pStyle w:val="KOMtext"/>
      </w:pPr>
      <w:r w:rsidRPr="009B02DC">
        <w:t xml:space="preserve">Financování v rámci Operačního programu Doprava (2014-2020) probíhalo zejména formou dotací zprostředkujícího subjektu, tj. SFDI, a to v oblasti dopravní infrastruktury </w:t>
      </w:r>
      <w:r w:rsidRPr="009B02DC">
        <w:br/>
        <w:t>ve vlastnictví státu. SFDI zabezpečuje, aby prostředky byly konečným příjemcům poskytnuty plně v souladu s jednotlivými schvalovacími protokoly pro jednotlivé projekty tak, aby byla dodržena účelnost vynaložených prostředků. Vzhledem k tomu, že se ale ve většině případů jedná o víceleté projekty, bude možné plně vyhodnotit přínos a účelnost vynaložených prostředků až po skončení realizace tohoto operačního programu. U podnikatelských subjektů nebylo dosud zahájeno čerpání prostředků Operačního programu Doprava (2014-2020).</w:t>
      </w:r>
    </w:p>
    <w:p w14:paraId="7B7BF0E4" w14:textId="77777777" w:rsidR="00016A1A" w:rsidRPr="00016A1A" w:rsidRDefault="00016A1A" w:rsidP="00155668">
      <w:pPr>
        <w:pStyle w:val="KOMtext"/>
        <w:rPr>
          <w:sz w:val="22"/>
          <w:szCs w:val="22"/>
        </w:rPr>
      </w:pPr>
      <w:r>
        <w:t xml:space="preserve">V oblasti financování reprodukce majetku organizačních složek státu byly, stejně jako v předchozích letech, dále rozvíjeny informační a komunikační technologie (ICT). Kapitálové výdaje byly vynaloženy zejména k rozvoji informačních systémů „Digitálního tachografu“                         a „Technických prohlídek“. Další investice směřovaly do rozvoje aplikace Registru silničních vozidel, rozšíření informačního systému Centrálního registru řidičů o nové funkcionality                                      a upgrade manažerského modulu Národního kontaktního místa. </w:t>
      </w:r>
    </w:p>
    <w:p w14:paraId="5CD54886" w14:textId="77777777" w:rsidR="00016A1A" w:rsidRPr="00016A1A" w:rsidRDefault="00016A1A" w:rsidP="00016A1A">
      <w:pPr>
        <w:spacing w:before="120" w:after="120"/>
        <w:jc w:val="both"/>
        <w:rPr>
          <w:bCs/>
          <w:color w:val="FF0000"/>
          <w:szCs w:val="20"/>
        </w:rPr>
      </w:pPr>
    </w:p>
    <w:p w14:paraId="7D4C1385" w14:textId="5E0FD982" w:rsidR="00016A1A" w:rsidRPr="008E6E9D" w:rsidRDefault="00016A1A" w:rsidP="00016A1A">
      <w:pPr>
        <w:pStyle w:val="Titulek"/>
      </w:pPr>
      <w:bookmarkStart w:id="413" w:name="_Toc34288685"/>
      <w:r w:rsidRPr="008E6E9D">
        <w:lastRenderedPageBreak/>
        <w:t xml:space="preserve">Graf č. </w:t>
      </w:r>
      <w:r w:rsidRPr="008E6E9D">
        <w:rPr>
          <w:noProof/>
        </w:rPr>
        <w:fldChar w:fldCharType="begin"/>
      </w:r>
      <w:r w:rsidRPr="008E6E9D">
        <w:rPr>
          <w:noProof/>
        </w:rPr>
        <w:instrText xml:space="preserve"> SEQ Graf_č. \* ARABIC </w:instrText>
      </w:r>
      <w:r w:rsidRPr="008E6E9D">
        <w:rPr>
          <w:noProof/>
        </w:rPr>
        <w:fldChar w:fldCharType="separate"/>
      </w:r>
      <w:r w:rsidR="00DF450F">
        <w:rPr>
          <w:noProof/>
        </w:rPr>
        <w:t>18</w:t>
      </w:r>
      <w:r w:rsidRPr="008E6E9D">
        <w:rPr>
          <w:noProof/>
        </w:rPr>
        <w:fldChar w:fldCharType="end"/>
      </w:r>
      <w:r w:rsidRPr="008E6E9D">
        <w:t xml:space="preserve">:  Přehled čerpání kapitálových výdajů v jednotlivých čtvrtletích v letech </w:t>
      </w:r>
      <w:r w:rsidRPr="008E6E9D">
        <w:br/>
        <w:t>2015-201</w:t>
      </w:r>
      <w:bookmarkEnd w:id="411"/>
      <w:bookmarkEnd w:id="412"/>
      <w:r w:rsidRPr="008E6E9D">
        <w:t>9 (tis. Kč)</w:t>
      </w:r>
      <w:bookmarkEnd w:id="413"/>
    </w:p>
    <w:p w14:paraId="6A95C329" w14:textId="77777777" w:rsidR="00016A1A" w:rsidRPr="00016A1A" w:rsidRDefault="00016A1A" w:rsidP="00016A1A">
      <w:pPr>
        <w:rPr>
          <w:color w:val="FF0000"/>
        </w:rPr>
      </w:pPr>
      <w:r w:rsidRPr="004B11AC">
        <w:rPr>
          <w:noProof/>
        </w:rPr>
        <w:drawing>
          <wp:inline distT="0" distB="0" distL="0" distR="0" wp14:anchorId="6D4B71E9" wp14:editId="025DE9FD">
            <wp:extent cx="5760720" cy="2552700"/>
            <wp:effectExtent l="0" t="0" r="0" b="0"/>
            <wp:docPr id="21"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0E6CE0D4" w14:textId="77777777" w:rsidR="00155668" w:rsidRPr="00155668" w:rsidRDefault="00155668" w:rsidP="00275CE2">
      <w:pPr>
        <w:pStyle w:val="Odstavecseseznamem"/>
        <w:keepNext/>
        <w:numPr>
          <w:ilvl w:val="1"/>
          <w:numId w:val="43"/>
        </w:numPr>
        <w:overflowPunct w:val="0"/>
        <w:autoSpaceDE w:val="0"/>
        <w:autoSpaceDN w:val="0"/>
        <w:adjustRightInd w:val="0"/>
        <w:spacing w:before="240" w:after="120"/>
        <w:contextualSpacing w:val="0"/>
        <w:jc w:val="both"/>
        <w:textAlignment w:val="baseline"/>
        <w:outlineLvl w:val="2"/>
        <w:rPr>
          <w:b/>
          <w:vanish/>
          <w:szCs w:val="20"/>
        </w:rPr>
      </w:pPr>
      <w:bookmarkStart w:id="414" w:name="_Toc508879540"/>
      <w:bookmarkStart w:id="415" w:name="_Toc508879881"/>
      <w:bookmarkStart w:id="416" w:name="_Toc508880157"/>
      <w:bookmarkStart w:id="417" w:name="_Toc508883820"/>
      <w:bookmarkStart w:id="418" w:name="_Toc508884023"/>
      <w:bookmarkStart w:id="419" w:name="_Toc508884114"/>
      <w:bookmarkStart w:id="420" w:name="_Toc508884406"/>
      <w:bookmarkStart w:id="421" w:name="_Toc508887037"/>
      <w:bookmarkStart w:id="422" w:name="_Toc508887288"/>
      <w:bookmarkStart w:id="423" w:name="_Toc508887720"/>
      <w:bookmarkStart w:id="424" w:name="_Toc508887826"/>
      <w:bookmarkStart w:id="425" w:name="_Toc535839573"/>
      <w:bookmarkStart w:id="426" w:name="_Toc535839741"/>
      <w:bookmarkStart w:id="427" w:name="_Toc970023"/>
      <w:bookmarkStart w:id="428" w:name="_Toc1042937"/>
      <w:bookmarkStart w:id="429" w:name="_Toc1050817"/>
      <w:bookmarkStart w:id="430" w:name="_Toc1144993"/>
      <w:bookmarkStart w:id="431" w:name="_Toc1145119"/>
      <w:bookmarkStart w:id="432" w:name="_Toc1145715"/>
      <w:bookmarkStart w:id="433" w:name="_Toc1376749"/>
      <w:bookmarkStart w:id="434" w:name="_Toc1376827"/>
      <w:bookmarkStart w:id="435" w:name="_Toc1377472"/>
      <w:bookmarkStart w:id="436" w:name="_Toc1473475"/>
      <w:bookmarkStart w:id="437" w:name="_Toc1491629"/>
      <w:bookmarkStart w:id="438" w:name="_Toc1491708"/>
      <w:bookmarkStart w:id="439" w:name="_Toc1561686"/>
      <w:bookmarkStart w:id="440" w:name="_Toc2756985"/>
      <w:bookmarkStart w:id="441" w:name="_Toc2786529"/>
      <w:bookmarkStart w:id="442" w:name="_Toc2789289"/>
      <w:bookmarkStart w:id="443" w:name="_Toc2789416"/>
      <w:bookmarkStart w:id="444" w:name="_Toc508879541"/>
      <w:bookmarkStart w:id="445" w:name="_Toc508879882"/>
      <w:bookmarkStart w:id="446" w:name="_Toc508880158"/>
      <w:bookmarkStart w:id="447" w:name="_Toc508883821"/>
      <w:bookmarkStart w:id="448" w:name="_Toc508884024"/>
      <w:bookmarkStart w:id="449" w:name="_Toc508884115"/>
      <w:bookmarkStart w:id="450" w:name="_Toc508884407"/>
      <w:bookmarkStart w:id="451" w:name="_Toc508887038"/>
      <w:bookmarkStart w:id="452" w:name="_Toc508887289"/>
      <w:bookmarkStart w:id="453" w:name="_Toc508887721"/>
      <w:bookmarkStart w:id="454" w:name="_Toc508887827"/>
      <w:bookmarkStart w:id="455" w:name="_Toc535839574"/>
      <w:bookmarkStart w:id="456" w:name="_Toc535839742"/>
      <w:bookmarkStart w:id="457" w:name="_Toc970024"/>
      <w:bookmarkStart w:id="458" w:name="_Toc1042938"/>
      <w:bookmarkStart w:id="459" w:name="_Toc1050818"/>
      <w:bookmarkStart w:id="460" w:name="_Toc1144994"/>
      <w:bookmarkStart w:id="461" w:name="_Toc1145120"/>
      <w:bookmarkStart w:id="462" w:name="_Toc1145716"/>
      <w:bookmarkStart w:id="463" w:name="_Toc1376750"/>
      <w:bookmarkStart w:id="464" w:name="_Toc1376828"/>
      <w:bookmarkStart w:id="465" w:name="_Toc1377473"/>
      <w:bookmarkStart w:id="466" w:name="_Toc1473476"/>
      <w:bookmarkStart w:id="467" w:name="_Toc1491630"/>
      <w:bookmarkStart w:id="468" w:name="_Toc1491709"/>
      <w:bookmarkStart w:id="469" w:name="_Toc1561687"/>
      <w:bookmarkStart w:id="470" w:name="_Toc2756986"/>
      <w:bookmarkStart w:id="471" w:name="_Toc2786530"/>
      <w:bookmarkStart w:id="472" w:name="_Toc2789290"/>
      <w:bookmarkStart w:id="473" w:name="_Toc2789417"/>
      <w:bookmarkStart w:id="474" w:name="_Toc508879542"/>
      <w:bookmarkStart w:id="475" w:name="_Toc508879883"/>
      <w:bookmarkStart w:id="476" w:name="_Toc508880159"/>
      <w:bookmarkStart w:id="477" w:name="_Toc508883822"/>
      <w:bookmarkStart w:id="478" w:name="_Toc508884025"/>
      <w:bookmarkStart w:id="479" w:name="_Toc508884116"/>
      <w:bookmarkStart w:id="480" w:name="_Toc508884408"/>
      <w:bookmarkStart w:id="481" w:name="_Toc508887039"/>
      <w:bookmarkStart w:id="482" w:name="_Toc508887290"/>
      <w:bookmarkStart w:id="483" w:name="_Toc508887722"/>
      <w:bookmarkStart w:id="484" w:name="_Toc508887828"/>
      <w:bookmarkStart w:id="485" w:name="_Toc535839575"/>
      <w:bookmarkStart w:id="486" w:name="_Toc535839743"/>
      <w:bookmarkStart w:id="487" w:name="_Toc970025"/>
      <w:bookmarkStart w:id="488" w:name="_Toc1042939"/>
      <w:bookmarkStart w:id="489" w:name="_Toc1050819"/>
      <w:bookmarkStart w:id="490" w:name="_Toc1144995"/>
      <w:bookmarkStart w:id="491" w:name="_Toc1145121"/>
      <w:bookmarkStart w:id="492" w:name="_Toc1145717"/>
      <w:bookmarkStart w:id="493" w:name="_Toc1376751"/>
      <w:bookmarkStart w:id="494" w:name="_Toc1376829"/>
      <w:bookmarkStart w:id="495" w:name="_Toc1377474"/>
      <w:bookmarkStart w:id="496" w:name="_Toc1473477"/>
      <w:bookmarkStart w:id="497" w:name="_Toc1491631"/>
      <w:bookmarkStart w:id="498" w:name="_Toc1491710"/>
      <w:bookmarkStart w:id="499" w:name="_Toc1561688"/>
      <w:bookmarkStart w:id="500" w:name="_Toc2756987"/>
      <w:bookmarkStart w:id="501" w:name="_Toc2786531"/>
      <w:bookmarkStart w:id="502" w:name="_Toc2789291"/>
      <w:bookmarkStart w:id="503" w:name="_Toc2789418"/>
      <w:bookmarkStart w:id="504" w:name="_Toc508879543"/>
      <w:bookmarkStart w:id="505" w:name="_Toc508879884"/>
      <w:bookmarkStart w:id="506" w:name="_Toc508880160"/>
      <w:bookmarkStart w:id="507" w:name="_Toc508883823"/>
      <w:bookmarkStart w:id="508" w:name="_Toc508884026"/>
      <w:bookmarkStart w:id="509" w:name="_Toc508884117"/>
      <w:bookmarkStart w:id="510" w:name="_Toc508884409"/>
      <w:bookmarkStart w:id="511" w:name="_Toc508887040"/>
      <w:bookmarkStart w:id="512" w:name="_Toc508887291"/>
      <w:bookmarkStart w:id="513" w:name="_Toc508887723"/>
      <w:bookmarkStart w:id="514" w:name="_Toc508887829"/>
      <w:bookmarkStart w:id="515" w:name="_Toc535839576"/>
      <w:bookmarkStart w:id="516" w:name="_Toc535839744"/>
      <w:bookmarkStart w:id="517" w:name="_Toc970026"/>
      <w:bookmarkStart w:id="518" w:name="_Toc1042940"/>
      <w:bookmarkStart w:id="519" w:name="_Toc1050820"/>
      <w:bookmarkStart w:id="520" w:name="_Toc1144996"/>
      <w:bookmarkStart w:id="521" w:name="_Toc1145122"/>
      <w:bookmarkStart w:id="522" w:name="_Toc1145718"/>
      <w:bookmarkStart w:id="523" w:name="_Toc1376752"/>
      <w:bookmarkStart w:id="524" w:name="_Toc1376830"/>
      <w:bookmarkStart w:id="525" w:name="_Toc1377475"/>
      <w:bookmarkStart w:id="526" w:name="_Toc1473478"/>
      <w:bookmarkStart w:id="527" w:name="_Toc1491632"/>
      <w:bookmarkStart w:id="528" w:name="_Toc1491711"/>
      <w:bookmarkStart w:id="529" w:name="_Toc1561689"/>
      <w:bookmarkStart w:id="530" w:name="_Toc2756988"/>
      <w:bookmarkStart w:id="531" w:name="_Toc2786532"/>
      <w:bookmarkStart w:id="532" w:name="_Toc2789292"/>
      <w:bookmarkStart w:id="533" w:name="_Toc2789419"/>
      <w:bookmarkStart w:id="534" w:name="_Toc508879544"/>
      <w:bookmarkStart w:id="535" w:name="_Toc508879885"/>
      <w:bookmarkStart w:id="536" w:name="_Toc508880161"/>
      <w:bookmarkStart w:id="537" w:name="_Toc508883824"/>
      <w:bookmarkStart w:id="538" w:name="_Toc508884027"/>
      <w:bookmarkStart w:id="539" w:name="_Toc508884118"/>
      <w:bookmarkStart w:id="540" w:name="_Toc508884410"/>
      <w:bookmarkStart w:id="541" w:name="_Toc508887041"/>
      <w:bookmarkStart w:id="542" w:name="_Toc508887292"/>
      <w:bookmarkStart w:id="543" w:name="_Toc508887724"/>
      <w:bookmarkStart w:id="544" w:name="_Toc508887830"/>
      <w:bookmarkStart w:id="545" w:name="_Toc535839577"/>
      <w:bookmarkStart w:id="546" w:name="_Toc535839745"/>
      <w:bookmarkStart w:id="547" w:name="_Toc970027"/>
      <w:bookmarkStart w:id="548" w:name="_Toc1042941"/>
      <w:bookmarkStart w:id="549" w:name="_Toc1050821"/>
      <w:bookmarkStart w:id="550" w:name="_Toc1144997"/>
      <w:bookmarkStart w:id="551" w:name="_Toc1145123"/>
      <w:bookmarkStart w:id="552" w:name="_Toc1145719"/>
      <w:bookmarkStart w:id="553" w:name="_Toc1376753"/>
      <w:bookmarkStart w:id="554" w:name="_Toc1376831"/>
      <w:bookmarkStart w:id="555" w:name="_Toc1377476"/>
      <w:bookmarkStart w:id="556" w:name="_Toc1473479"/>
      <w:bookmarkStart w:id="557" w:name="_Toc1491633"/>
      <w:bookmarkStart w:id="558" w:name="_Toc1491712"/>
      <w:bookmarkStart w:id="559" w:name="_Toc1561690"/>
      <w:bookmarkStart w:id="560" w:name="_Toc2756989"/>
      <w:bookmarkStart w:id="561" w:name="_Toc2786533"/>
      <w:bookmarkStart w:id="562" w:name="_Toc2789293"/>
      <w:bookmarkStart w:id="563" w:name="_Toc2789420"/>
      <w:bookmarkStart w:id="564" w:name="_Toc508879545"/>
      <w:bookmarkStart w:id="565" w:name="_Toc508879886"/>
      <w:bookmarkStart w:id="566" w:name="_Toc508880162"/>
      <w:bookmarkStart w:id="567" w:name="_Toc508883825"/>
      <w:bookmarkStart w:id="568" w:name="_Toc508884028"/>
      <w:bookmarkStart w:id="569" w:name="_Toc508884119"/>
      <w:bookmarkStart w:id="570" w:name="_Toc508884411"/>
      <w:bookmarkStart w:id="571" w:name="_Toc508887042"/>
      <w:bookmarkStart w:id="572" w:name="_Toc508887293"/>
      <w:bookmarkStart w:id="573" w:name="_Toc508887725"/>
      <w:bookmarkStart w:id="574" w:name="_Toc508887831"/>
      <w:bookmarkStart w:id="575" w:name="_Toc535839578"/>
      <w:bookmarkStart w:id="576" w:name="_Toc535839746"/>
      <w:bookmarkStart w:id="577" w:name="_Toc970028"/>
      <w:bookmarkStart w:id="578" w:name="_Toc1042942"/>
      <w:bookmarkStart w:id="579" w:name="_Toc1050822"/>
      <w:bookmarkStart w:id="580" w:name="_Toc1144998"/>
      <w:bookmarkStart w:id="581" w:name="_Toc1145124"/>
      <w:bookmarkStart w:id="582" w:name="_Toc1145720"/>
      <w:bookmarkStart w:id="583" w:name="_Toc1376754"/>
      <w:bookmarkStart w:id="584" w:name="_Toc1376832"/>
      <w:bookmarkStart w:id="585" w:name="_Toc1377477"/>
      <w:bookmarkStart w:id="586" w:name="_Toc1473480"/>
      <w:bookmarkStart w:id="587" w:name="_Toc1491634"/>
      <w:bookmarkStart w:id="588" w:name="_Toc1491713"/>
      <w:bookmarkStart w:id="589" w:name="_Toc1561691"/>
      <w:bookmarkStart w:id="590" w:name="_Toc2756990"/>
      <w:bookmarkStart w:id="591" w:name="_Toc2786534"/>
      <w:bookmarkStart w:id="592" w:name="_Toc2789294"/>
      <w:bookmarkStart w:id="593" w:name="_Toc2789421"/>
      <w:bookmarkStart w:id="594" w:name="_Toc508879546"/>
      <w:bookmarkStart w:id="595" w:name="_Toc508879887"/>
      <w:bookmarkStart w:id="596" w:name="_Toc508880163"/>
      <w:bookmarkStart w:id="597" w:name="_Toc508883826"/>
      <w:bookmarkStart w:id="598" w:name="_Toc508884029"/>
      <w:bookmarkStart w:id="599" w:name="_Toc508884120"/>
      <w:bookmarkStart w:id="600" w:name="_Toc508884412"/>
      <w:bookmarkStart w:id="601" w:name="_Toc508887043"/>
      <w:bookmarkStart w:id="602" w:name="_Toc508887294"/>
      <w:bookmarkStart w:id="603" w:name="_Toc508887726"/>
      <w:bookmarkStart w:id="604" w:name="_Toc508887832"/>
      <w:bookmarkStart w:id="605" w:name="_Toc535839579"/>
      <w:bookmarkStart w:id="606" w:name="_Toc535839747"/>
      <w:bookmarkStart w:id="607" w:name="_Toc970029"/>
      <w:bookmarkStart w:id="608" w:name="_Toc1042943"/>
      <w:bookmarkStart w:id="609" w:name="_Toc1050823"/>
      <w:bookmarkStart w:id="610" w:name="_Toc1144999"/>
      <w:bookmarkStart w:id="611" w:name="_Toc1145125"/>
      <w:bookmarkStart w:id="612" w:name="_Toc1145721"/>
      <w:bookmarkStart w:id="613" w:name="_Toc1376755"/>
      <w:bookmarkStart w:id="614" w:name="_Toc1376833"/>
      <w:bookmarkStart w:id="615" w:name="_Toc1377478"/>
      <w:bookmarkStart w:id="616" w:name="_Toc1473481"/>
      <w:bookmarkStart w:id="617" w:name="_Toc1491635"/>
      <w:bookmarkStart w:id="618" w:name="_Toc1491714"/>
      <w:bookmarkStart w:id="619" w:name="_Toc1561692"/>
      <w:bookmarkStart w:id="620" w:name="_Toc2756991"/>
      <w:bookmarkStart w:id="621" w:name="_Toc2786535"/>
      <w:bookmarkStart w:id="622" w:name="_Toc2789295"/>
      <w:bookmarkStart w:id="623" w:name="_Toc2789422"/>
      <w:bookmarkStart w:id="624" w:name="_Toc508879547"/>
      <w:bookmarkStart w:id="625" w:name="_Toc508879888"/>
      <w:bookmarkStart w:id="626" w:name="_Toc508880164"/>
      <w:bookmarkStart w:id="627" w:name="_Toc508883827"/>
      <w:bookmarkStart w:id="628" w:name="_Toc508884030"/>
      <w:bookmarkStart w:id="629" w:name="_Toc508884121"/>
      <w:bookmarkStart w:id="630" w:name="_Toc508884413"/>
      <w:bookmarkStart w:id="631" w:name="_Toc508887044"/>
      <w:bookmarkStart w:id="632" w:name="_Toc508887295"/>
      <w:bookmarkStart w:id="633" w:name="_Toc508887727"/>
      <w:bookmarkStart w:id="634" w:name="_Toc508887833"/>
      <w:bookmarkStart w:id="635" w:name="_Toc535839580"/>
      <w:bookmarkStart w:id="636" w:name="_Toc535839748"/>
      <w:bookmarkStart w:id="637" w:name="_Toc970030"/>
      <w:bookmarkStart w:id="638" w:name="_Toc1042944"/>
      <w:bookmarkStart w:id="639" w:name="_Toc1050824"/>
      <w:bookmarkStart w:id="640" w:name="_Toc1145000"/>
      <w:bookmarkStart w:id="641" w:name="_Toc1145126"/>
      <w:bookmarkStart w:id="642" w:name="_Toc1145722"/>
      <w:bookmarkStart w:id="643" w:name="_Toc1376756"/>
      <w:bookmarkStart w:id="644" w:name="_Toc1376834"/>
      <w:bookmarkStart w:id="645" w:name="_Toc1377479"/>
      <w:bookmarkStart w:id="646" w:name="_Toc1473482"/>
      <w:bookmarkStart w:id="647" w:name="_Toc1491636"/>
      <w:bookmarkStart w:id="648" w:name="_Toc1491715"/>
      <w:bookmarkStart w:id="649" w:name="_Toc1561693"/>
      <w:bookmarkStart w:id="650" w:name="_Toc2756992"/>
      <w:bookmarkStart w:id="651" w:name="_Toc2786536"/>
      <w:bookmarkStart w:id="652" w:name="_Toc2789296"/>
      <w:bookmarkStart w:id="653" w:name="_Toc2789423"/>
      <w:bookmarkStart w:id="654" w:name="_Toc508879548"/>
      <w:bookmarkStart w:id="655" w:name="_Toc508879889"/>
      <w:bookmarkStart w:id="656" w:name="_Toc508880165"/>
      <w:bookmarkStart w:id="657" w:name="_Toc508883828"/>
      <w:bookmarkStart w:id="658" w:name="_Toc508884031"/>
      <w:bookmarkStart w:id="659" w:name="_Toc508884122"/>
      <w:bookmarkStart w:id="660" w:name="_Toc508884414"/>
      <w:bookmarkStart w:id="661" w:name="_Toc508887045"/>
      <w:bookmarkStart w:id="662" w:name="_Toc508887296"/>
      <w:bookmarkStart w:id="663" w:name="_Toc508887728"/>
      <w:bookmarkStart w:id="664" w:name="_Toc508887834"/>
      <w:bookmarkStart w:id="665" w:name="_Toc535839581"/>
      <w:bookmarkStart w:id="666" w:name="_Toc535839749"/>
      <w:bookmarkStart w:id="667" w:name="_Toc970031"/>
      <w:bookmarkStart w:id="668" w:name="_Toc1042945"/>
      <w:bookmarkStart w:id="669" w:name="_Toc1050825"/>
      <w:bookmarkStart w:id="670" w:name="_Toc1145001"/>
      <w:bookmarkStart w:id="671" w:name="_Toc1145127"/>
      <w:bookmarkStart w:id="672" w:name="_Toc1145723"/>
      <w:bookmarkStart w:id="673" w:name="_Toc1376757"/>
      <w:bookmarkStart w:id="674" w:name="_Toc1376835"/>
      <w:bookmarkStart w:id="675" w:name="_Toc1377480"/>
      <w:bookmarkStart w:id="676" w:name="_Toc1473483"/>
      <w:bookmarkStart w:id="677" w:name="_Toc1491637"/>
      <w:bookmarkStart w:id="678" w:name="_Toc1491716"/>
      <w:bookmarkStart w:id="679" w:name="_Toc1561694"/>
      <w:bookmarkStart w:id="680" w:name="_Toc2756993"/>
      <w:bookmarkStart w:id="681" w:name="_Toc2786537"/>
      <w:bookmarkStart w:id="682" w:name="_Toc2789297"/>
      <w:bookmarkStart w:id="683" w:name="_Toc2789424"/>
      <w:bookmarkStart w:id="684" w:name="_Toc508879549"/>
      <w:bookmarkStart w:id="685" w:name="_Toc508879890"/>
      <w:bookmarkStart w:id="686" w:name="_Toc508880166"/>
      <w:bookmarkStart w:id="687" w:name="_Toc508883829"/>
      <w:bookmarkStart w:id="688" w:name="_Toc508884032"/>
      <w:bookmarkStart w:id="689" w:name="_Toc508884123"/>
      <w:bookmarkStart w:id="690" w:name="_Toc508884415"/>
      <w:bookmarkStart w:id="691" w:name="_Toc508887046"/>
      <w:bookmarkStart w:id="692" w:name="_Toc508887297"/>
      <w:bookmarkStart w:id="693" w:name="_Toc508887729"/>
      <w:bookmarkStart w:id="694" w:name="_Toc508887835"/>
      <w:bookmarkStart w:id="695" w:name="_Toc535839582"/>
      <w:bookmarkStart w:id="696" w:name="_Toc535839750"/>
      <w:bookmarkStart w:id="697" w:name="_Toc970032"/>
      <w:bookmarkStart w:id="698" w:name="_Toc1042946"/>
      <w:bookmarkStart w:id="699" w:name="_Toc1050826"/>
      <w:bookmarkStart w:id="700" w:name="_Toc1145002"/>
      <w:bookmarkStart w:id="701" w:name="_Toc1145128"/>
      <w:bookmarkStart w:id="702" w:name="_Toc1145724"/>
      <w:bookmarkStart w:id="703" w:name="_Toc1376758"/>
      <w:bookmarkStart w:id="704" w:name="_Toc1376836"/>
      <w:bookmarkStart w:id="705" w:name="_Toc1377481"/>
      <w:bookmarkStart w:id="706" w:name="_Toc1473484"/>
      <w:bookmarkStart w:id="707" w:name="_Toc1491638"/>
      <w:bookmarkStart w:id="708" w:name="_Toc1491717"/>
      <w:bookmarkStart w:id="709" w:name="_Toc1561695"/>
      <w:bookmarkStart w:id="710" w:name="_Toc2756994"/>
      <w:bookmarkStart w:id="711" w:name="_Toc2786538"/>
      <w:bookmarkStart w:id="712" w:name="_Toc2789298"/>
      <w:bookmarkStart w:id="713" w:name="_Toc2789425"/>
      <w:bookmarkStart w:id="714" w:name="_Toc508879550"/>
      <w:bookmarkStart w:id="715" w:name="_Toc508879891"/>
      <w:bookmarkStart w:id="716" w:name="_Toc508880167"/>
      <w:bookmarkStart w:id="717" w:name="_Toc508883830"/>
      <w:bookmarkStart w:id="718" w:name="_Toc508884033"/>
      <w:bookmarkStart w:id="719" w:name="_Toc508884124"/>
      <w:bookmarkStart w:id="720" w:name="_Toc508884416"/>
      <w:bookmarkStart w:id="721" w:name="_Toc508887047"/>
      <w:bookmarkStart w:id="722" w:name="_Toc508887298"/>
      <w:bookmarkStart w:id="723" w:name="_Toc508887730"/>
      <w:bookmarkStart w:id="724" w:name="_Toc508887836"/>
      <w:bookmarkStart w:id="725" w:name="_Toc535839583"/>
      <w:bookmarkStart w:id="726" w:name="_Toc535839751"/>
      <w:bookmarkStart w:id="727" w:name="_Toc970033"/>
      <w:bookmarkStart w:id="728" w:name="_Toc1042947"/>
      <w:bookmarkStart w:id="729" w:name="_Toc1050827"/>
      <w:bookmarkStart w:id="730" w:name="_Toc1145003"/>
      <w:bookmarkStart w:id="731" w:name="_Toc1145129"/>
      <w:bookmarkStart w:id="732" w:name="_Toc1145725"/>
      <w:bookmarkStart w:id="733" w:name="_Toc1376759"/>
      <w:bookmarkStart w:id="734" w:name="_Toc1376837"/>
      <w:bookmarkStart w:id="735" w:name="_Toc1377482"/>
      <w:bookmarkStart w:id="736" w:name="_Toc1473485"/>
      <w:bookmarkStart w:id="737" w:name="_Toc1491639"/>
      <w:bookmarkStart w:id="738" w:name="_Toc1491718"/>
      <w:bookmarkStart w:id="739" w:name="_Toc1561696"/>
      <w:bookmarkStart w:id="740" w:name="_Toc2756995"/>
      <w:bookmarkStart w:id="741" w:name="_Toc2786539"/>
      <w:bookmarkStart w:id="742" w:name="_Toc2789299"/>
      <w:bookmarkStart w:id="743" w:name="_Toc2789426"/>
      <w:bookmarkStart w:id="744" w:name="_Toc508879551"/>
      <w:bookmarkStart w:id="745" w:name="_Toc508879892"/>
      <w:bookmarkStart w:id="746" w:name="_Toc508880168"/>
      <w:bookmarkStart w:id="747" w:name="_Toc508883831"/>
      <w:bookmarkStart w:id="748" w:name="_Toc508884034"/>
      <w:bookmarkStart w:id="749" w:name="_Toc508884125"/>
      <w:bookmarkStart w:id="750" w:name="_Toc508884417"/>
      <w:bookmarkStart w:id="751" w:name="_Toc508887048"/>
      <w:bookmarkStart w:id="752" w:name="_Toc508887299"/>
      <w:bookmarkStart w:id="753" w:name="_Toc508887731"/>
      <w:bookmarkStart w:id="754" w:name="_Toc508887837"/>
      <w:bookmarkStart w:id="755" w:name="_Toc535839584"/>
      <w:bookmarkStart w:id="756" w:name="_Toc535839752"/>
      <w:bookmarkStart w:id="757" w:name="_Toc970034"/>
      <w:bookmarkStart w:id="758" w:name="_Toc1042948"/>
      <w:bookmarkStart w:id="759" w:name="_Toc1050828"/>
      <w:bookmarkStart w:id="760" w:name="_Toc1145004"/>
      <w:bookmarkStart w:id="761" w:name="_Toc1145130"/>
      <w:bookmarkStart w:id="762" w:name="_Toc1145726"/>
      <w:bookmarkStart w:id="763" w:name="_Toc1376760"/>
      <w:bookmarkStart w:id="764" w:name="_Toc1376838"/>
      <w:bookmarkStart w:id="765" w:name="_Toc1377483"/>
      <w:bookmarkStart w:id="766" w:name="_Toc1473486"/>
      <w:bookmarkStart w:id="767" w:name="_Toc1491640"/>
      <w:bookmarkStart w:id="768" w:name="_Toc1491719"/>
      <w:bookmarkStart w:id="769" w:name="_Toc1561697"/>
      <w:bookmarkStart w:id="770" w:name="_Toc2756996"/>
      <w:bookmarkStart w:id="771" w:name="_Toc2786540"/>
      <w:bookmarkStart w:id="772" w:name="_Toc2789300"/>
      <w:bookmarkStart w:id="773" w:name="_Toc2789427"/>
      <w:bookmarkStart w:id="774" w:name="_Toc508879552"/>
      <w:bookmarkStart w:id="775" w:name="_Toc508879893"/>
      <w:bookmarkStart w:id="776" w:name="_Toc508880169"/>
      <w:bookmarkStart w:id="777" w:name="_Toc508883832"/>
      <w:bookmarkStart w:id="778" w:name="_Toc508884035"/>
      <w:bookmarkStart w:id="779" w:name="_Toc508884126"/>
      <w:bookmarkStart w:id="780" w:name="_Toc508884418"/>
      <w:bookmarkStart w:id="781" w:name="_Toc508887049"/>
      <w:bookmarkStart w:id="782" w:name="_Toc508887300"/>
      <w:bookmarkStart w:id="783" w:name="_Toc508887732"/>
      <w:bookmarkStart w:id="784" w:name="_Toc508887838"/>
      <w:bookmarkStart w:id="785" w:name="_Toc535839585"/>
      <w:bookmarkStart w:id="786" w:name="_Toc535839753"/>
      <w:bookmarkStart w:id="787" w:name="_Toc970035"/>
      <w:bookmarkStart w:id="788" w:name="_Toc1042949"/>
      <w:bookmarkStart w:id="789" w:name="_Toc1050829"/>
      <w:bookmarkStart w:id="790" w:name="_Toc1145005"/>
      <w:bookmarkStart w:id="791" w:name="_Toc1145131"/>
      <w:bookmarkStart w:id="792" w:name="_Toc1145727"/>
      <w:bookmarkStart w:id="793" w:name="_Toc1376761"/>
      <w:bookmarkStart w:id="794" w:name="_Toc1376839"/>
      <w:bookmarkStart w:id="795" w:name="_Toc1377484"/>
      <w:bookmarkStart w:id="796" w:name="_Toc1473487"/>
      <w:bookmarkStart w:id="797" w:name="_Toc1491641"/>
      <w:bookmarkStart w:id="798" w:name="_Toc1491720"/>
      <w:bookmarkStart w:id="799" w:name="_Toc1561698"/>
      <w:bookmarkStart w:id="800" w:name="_Toc2756997"/>
      <w:bookmarkStart w:id="801" w:name="_Toc2786541"/>
      <w:bookmarkStart w:id="802" w:name="_Toc2789301"/>
      <w:bookmarkStart w:id="803" w:name="_Toc2789428"/>
      <w:bookmarkStart w:id="804" w:name="_Toc508879553"/>
      <w:bookmarkStart w:id="805" w:name="_Toc508879894"/>
      <w:bookmarkStart w:id="806" w:name="_Toc508880170"/>
      <w:bookmarkStart w:id="807" w:name="_Toc508883833"/>
      <w:bookmarkStart w:id="808" w:name="_Toc508884036"/>
      <w:bookmarkStart w:id="809" w:name="_Toc508884127"/>
      <w:bookmarkStart w:id="810" w:name="_Toc508884419"/>
      <w:bookmarkStart w:id="811" w:name="_Toc508887050"/>
      <w:bookmarkStart w:id="812" w:name="_Toc508887301"/>
      <w:bookmarkStart w:id="813" w:name="_Toc508887733"/>
      <w:bookmarkStart w:id="814" w:name="_Toc508887839"/>
      <w:bookmarkStart w:id="815" w:name="_Toc535839586"/>
      <w:bookmarkStart w:id="816" w:name="_Toc535839754"/>
      <w:bookmarkStart w:id="817" w:name="_Toc970036"/>
      <w:bookmarkStart w:id="818" w:name="_Toc1042950"/>
      <w:bookmarkStart w:id="819" w:name="_Toc1050830"/>
      <w:bookmarkStart w:id="820" w:name="_Toc1145006"/>
      <w:bookmarkStart w:id="821" w:name="_Toc1145132"/>
      <w:bookmarkStart w:id="822" w:name="_Toc1145728"/>
      <w:bookmarkStart w:id="823" w:name="_Toc1376762"/>
      <w:bookmarkStart w:id="824" w:name="_Toc1376840"/>
      <w:bookmarkStart w:id="825" w:name="_Toc1377485"/>
      <w:bookmarkStart w:id="826" w:name="_Toc1473488"/>
      <w:bookmarkStart w:id="827" w:name="_Toc1491642"/>
      <w:bookmarkStart w:id="828" w:name="_Toc1491721"/>
      <w:bookmarkStart w:id="829" w:name="_Toc1561699"/>
      <w:bookmarkStart w:id="830" w:name="_Toc2756998"/>
      <w:bookmarkStart w:id="831" w:name="_Toc2786542"/>
      <w:bookmarkStart w:id="832" w:name="_Toc2789302"/>
      <w:bookmarkStart w:id="833" w:name="_Toc2789429"/>
      <w:bookmarkStart w:id="834" w:name="_Toc508879554"/>
      <w:bookmarkStart w:id="835" w:name="_Toc508879895"/>
      <w:bookmarkStart w:id="836" w:name="_Toc508880171"/>
      <w:bookmarkStart w:id="837" w:name="_Toc508883834"/>
      <w:bookmarkStart w:id="838" w:name="_Toc508884037"/>
      <w:bookmarkStart w:id="839" w:name="_Toc508884128"/>
      <w:bookmarkStart w:id="840" w:name="_Toc508884420"/>
      <w:bookmarkStart w:id="841" w:name="_Toc508887051"/>
      <w:bookmarkStart w:id="842" w:name="_Toc508887302"/>
      <w:bookmarkStart w:id="843" w:name="_Toc508887734"/>
      <w:bookmarkStart w:id="844" w:name="_Toc508887840"/>
      <w:bookmarkStart w:id="845" w:name="_Toc535839587"/>
      <w:bookmarkStart w:id="846" w:name="_Toc535839755"/>
      <w:bookmarkStart w:id="847" w:name="_Toc970037"/>
      <w:bookmarkStart w:id="848" w:name="_Toc1042951"/>
      <w:bookmarkStart w:id="849" w:name="_Toc1050831"/>
      <w:bookmarkStart w:id="850" w:name="_Toc1145007"/>
      <w:bookmarkStart w:id="851" w:name="_Toc1145133"/>
      <w:bookmarkStart w:id="852" w:name="_Toc1145729"/>
      <w:bookmarkStart w:id="853" w:name="_Toc1376763"/>
      <w:bookmarkStart w:id="854" w:name="_Toc1376841"/>
      <w:bookmarkStart w:id="855" w:name="_Toc1377486"/>
      <w:bookmarkStart w:id="856" w:name="_Toc1473489"/>
      <w:bookmarkStart w:id="857" w:name="_Toc1491643"/>
      <w:bookmarkStart w:id="858" w:name="_Toc1491722"/>
      <w:bookmarkStart w:id="859" w:name="_Toc1561700"/>
      <w:bookmarkStart w:id="860" w:name="_Toc2756999"/>
      <w:bookmarkStart w:id="861" w:name="_Toc2786543"/>
      <w:bookmarkStart w:id="862" w:name="_Toc2789303"/>
      <w:bookmarkStart w:id="863" w:name="_Toc2789430"/>
      <w:bookmarkStart w:id="864" w:name="_Toc508879555"/>
      <w:bookmarkStart w:id="865" w:name="_Toc508879896"/>
      <w:bookmarkStart w:id="866" w:name="_Toc508880172"/>
      <w:bookmarkStart w:id="867" w:name="_Toc508883835"/>
      <w:bookmarkStart w:id="868" w:name="_Toc508884038"/>
      <w:bookmarkStart w:id="869" w:name="_Toc508884129"/>
      <w:bookmarkStart w:id="870" w:name="_Toc508884421"/>
      <w:bookmarkStart w:id="871" w:name="_Toc508887052"/>
      <w:bookmarkStart w:id="872" w:name="_Toc508887303"/>
      <w:bookmarkStart w:id="873" w:name="_Toc508887735"/>
      <w:bookmarkStart w:id="874" w:name="_Toc508887841"/>
      <w:bookmarkStart w:id="875" w:name="_Toc535839588"/>
      <w:bookmarkStart w:id="876" w:name="_Toc535839756"/>
      <w:bookmarkStart w:id="877" w:name="_Toc970038"/>
      <w:bookmarkStart w:id="878" w:name="_Toc1042952"/>
      <w:bookmarkStart w:id="879" w:name="_Toc1050832"/>
      <w:bookmarkStart w:id="880" w:name="_Toc1145008"/>
      <w:bookmarkStart w:id="881" w:name="_Toc1145134"/>
      <w:bookmarkStart w:id="882" w:name="_Toc1145730"/>
      <w:bookmarkStart w:id="883" w:name="_Toc1376764"/>
      <w:bookmarkStart w:id="884" w:name="_Toc1376842"/>
      <w:bookmarkStart w:id="885" w:name="_Toc1377487"/>
      <w:bookmarkStart w:id="886" w:name="_Toc1473490"/>
      <w:bookmarkStart w:id="887" w:name="_Toc1491644"/>
      <w:bookmarkStart w:id="888" w:name="_Toc1491723"/>
      <w:bookmarkStart w:id="889" w:name="_Toc1561701"/>
      <w:bookmarkStart w:id="890" w:name="_Toc2757000"/>
      <w:bookmarkStart w:id="891" w:name="_Toc2786544"/>
      <w:bookmarkStart w:id="892" w:name="_Toc2789304"/>
      <w:bookmarkStart w:id="893" w:name="_Toc2789431"/>
      <w:bookmarkStart w:id="894" w:name="_Toc508879556"/>
      <w:bookmarkStart w:id="895" w:name="_Toc508879897"/>
      <w:bookmarkStart w:id="896" w:name="_Toc508880173"/>
      <w:bookmarkStart w:id="897" w:name="_Toc508883836"/>
      <w:bookmarkStart w:id="898" w:name="_Toc508884039"/>
      <w:bookmarkStart w:id="899" w:name="_Toc508884130"/>
      <w:bookmarkStart w:id="900" w:name="_Toc508884422"/>
      <w:bookmarkStart w:id="901" w:name="_Toc508887053"/>
      <w:bookmarkStart w:id="902" w:name="_Toc508887304"/>
      <w:bookmarkStart w:id="903" w:name="_Toc508887736"/>
      <w:bookmarkStart w:id="904" w:name="_Toc508887842"/>
      <w:bookmarkStart w:id="905" w:name="_Toc535839589"/>
      <w:bookmarkStart w:id="906" w:name="_Toc535839757"/>
      <w:bookmarkStart w:id="907" w:name="_Toc970039"/>
      <w:bookmarkStart w:id="908" w:name="_Toc1042953"/>
      <w:bookmarkStart w:id="909" w:name="_Toc1050833"/>
      <w:bookmarkStart w:id="910" w:name="_Toc1145009"/>
      <w:bookmarkStart w:id="911" w:name="_Toc1145135"/>
      <w:bookmarkStart w:id="912" w:name="_Toc1145731"/>
      <w:bookmarkStart w:id="913" w:name="_Toc1376765"/>
      <w:bookmarkStart w:id="914" w:name="_Toc1376843"/>
      <w:bookmarkStart w:id="915" w:name="_Toc1377488"/>
      <w:bookmarkStart w:id="916" w:name="_Toc1473491"/>
      <w:bookmarkStart w:id="917" w:name="_Toc1491645"/>
      <w:bookmarkStart w:id="918" w:name="_Toc1491724"/>
      <w:bookmarkStart w:id="919" w:name="_Toc1561702"/>
      <w:bookmarkStart w:id="920" w:name="_Toc2757001"/>
      <w:bookmarkStart w:id="921" w:name="_Toc2786545"/>
      <w:bookmarkStart w:id="922" w:name="_Toc2789305"/>
      <w:bookmarkStart w:id="923" w:name="_Toc2789432"/>
      <w:bookmarkStart w:id="924" w:name="_Toc508879557"/>
      <w:bookmarkStart w:id="925" w:name="_Toc508879898"/>
      <w:bookmarkStart w:id="926" w:name="_Toc508880174"/>
      <w:bookmarkStart w:id="927" w:name="_Toc508883837"/>
      <w:bookmarkStart w:id="928" w:name="_Toc508884040"/>
      <w:bookmarkStart w:id="929" w:name="_Toc508884131"/>
      <w:bookmarkStart w:id="930" w:name="_Toc508884423"/>
      <w:bookmarkStart w:id="931" w:name="_Toc508887054"/>
      <w:bookmarkStart w:id="932" w:name="_Toc508887305"/>
      <w:bookmarkStart w:id="933" w:name="_Toc508887737"/>
      <w:bookmarkStart w:id="934" w:name="_Toc508887843"/>
      <w:bookmarkStart w:id="935" w:name="_Toc535839590"/>
      <w:bookmarkStart w:id="936" w:name="_Toc535839758"/>
      <w:bookmarkStart w:id="937" w:name="_Toc970040"/>
      <w:bookmarkStart w:id="938" w:name="_Toc1042954"/>
      <w:bookmarkStart w:id="939" w:name="_Toc1050834"/>
      <w:bookmarkStart w:id="940" w:name="_Toc1145010"/>
      <w:bookmarkStart w:id="941" w:name="_Toc1145136"/>
      <w:bookmarkStart w:id="942" w:name="_Toc1145732"/>
      <w:bookmarkStart w:id="943" w:name="_Toc1376766"/>
      <w:bookmarkStart w:id="944" w:name="_Toc1376844"/>
      <w:bookmarkStart w:id="945" w:name="_Toc1377489"/>
      <w:bookmarkStart w:id="946" w:name="_Toc1473492"/>
      <w:bookmarkStart w:id="947" w:name="_Toc1491646"/>
      <w:bookmarkStart w:id="948" w:name="_Toc1491725"/>
      <w:bookmarkStart w:id="949" w:name="_Toc1561703"/>
      <w:bookmarkStart w:id="950" w:name="_Toc2757002"/>
      <w:bookmarkStart w:id="951" w:name="_Toc2786546"/>
      <w:bookmarkStart w:id="952" w:name="_Toc2789306"/>
      <w:bookmarkStart w:id="953" w:name="_Toc2789433"/>
      <w:bookmarkStart w:id="954" w:name="_Toc32587604"/>
      <w:bookmarkStart w:id="955" w:name="_Toc32587698"/>
      <w:bookmarkStart w:id="956" w:name="_Toc32935725"/>
      <w:bookmarkStart w:id="957" w:name="_Toc34204613"/>
      <w:bookmarkStart w:id="958" w:name="_Toc34286406"/>
      <w:bookmarkStart w:id="959" w:name="_Toc34286473"/>
      <w:bookmarkStart w:id="960" w:name="_Toc508879899"/>
      <w:bookmarkStart w:id="961" w:name="_Toc508880175"/>
      <w:bookmarkStart w:id="962" w:name="_Toc1376845"/>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14:paraId="01F9CBD5" w14:textId="77777777" w:rsidR="005D362D" w:rsidRPr="00155668" w:rsidRDefault="00E87DD3" w:rsidP="00BB64C4">
      <w:pPr>
        <w:pStyle w:val="Nadpis3"/>
        <w:rPr>
          <w:color w:val="FF0000"/>
        </w:rPr>
      </w:pPr>
      <w:bookmarkStart w:id="963" w:name="_Toc34286474"/>
      <w:r w:rsidRPr="00016A1A">
        <w:t>I</w:t>
      </w:r>
      <w:r w:rsidR="00632D06" w:rsidRPr="00016A1A">
        <w:t>nvestiční nákupy a související výdaje organizačních složek státu</w:t>
      </w:r>
      <w:bookmarkEnd w:id="960"/>
      <w:bookmarkEnd w:id="961"/>
      <w:bookmarkEnd w:id="962"/>
      <w:bookmarkEnd w:id="963"/>
    </w:p>
    <w:p w14:paraId="670D614D" w14:textId="77777777" w:rsidR="00016A1A" w:rsidRPr="0048139A" w:rsidRDefault="00016A1A" w:rsidP="00DB2320">
      <w:pPr>
        <w:keepNext/>
        <w:ind w:left="357" w:right="1"/>
        <w:jc w:val="right"/>
        <w:rPr>
          <w:lang w:eastAsia="ar-SA"/>
        </w:rPr>
      </w:pPr>
      <w:bookmarkStart w:id="964" w:name="_Toc317489636"/>
      <w:bookmarkStart w:id="965" w:name="_Toc413413668"/>
      <w:r w:rsidRPr="0048139A">
        <w:rPr>
          <w:lang w:eastAsia="ar-SA"/>
        </w:rPr>
        <w:t>v </w:t>
      </w:r>
      <w:r w:rsidRPr="0048139A">
        <w:t>tis</w:t>
      </w:r>
      <w:r w:rsidRPr="0048139A">
        <w:rPr>
          <w:lang w:eastAsia="ar-SA"/>
        </w:rPr>
        <w:t>. Kč</w:t>
      </w:r>
    </w:p>
    <w:tbl>
      <w:tblPr>
        <w:tblW w:w="9210" w:type="dxa"/>
        <w:tblInd w:w="70" w:type="dxa"/>
        <w:tblLayout w:type="fixed"/>
        <w:tblCellMar>
          <w:left w:w="70" w:type="dxa"/>
          <w:right w:w="70" w:type="dxa"/>
        </w:tblCellMar>
        <w:tblLook w:val="0000" w:firstRow="0" w:lastRow="0" w:firstColumn="0" w:lastColumn="0" w:noHBand="0" w:noVBand="0"/>
      </w:tblPr>
      <w:tblGrid>
        <w:gridCol w:w="3780"/>
        <w:gridCol w:w="1125"/>
        <w:gridCol w:w="1125"/>
        <w:gridCol w:w="1125"/>
        <w:gridCol w:w="1125"/>
        <w:gridCol w:w="930"/>
      </w:tblGrid>
      <w:tr w:rsidR="00016A1A" w:rsidRPr="0048139A" w14:paraId="28D939EE" w14:textId="77777777" w:rsidTr="00016A1A">
        <w:tc>
          <w:tcPr>
            <w:tcW w:w="3780" w:type="dxa"/>
            <w:tcBorders>
              <w:top w:val="single" w:sz="4" w:space="0" w:color="000000"/>
              <w:left w:val="single" w:sz="4" w:space="0" w:color="000000"/>
              <w:bottom w:val="single" w:sz="4" w:space="0" w:color="000000"/>
            </w:tcBorders>
          </w:tcPr>
          <w:p w14:paraId="075AA64A" w14:textId="77777777" w:rsidR="00016A1A" w:rsidRPr="0048139A" w:rsidRDefault="00016A1A" w:rsidP="00016A1A">
            <w:pPr>
              <w:snapToGrid w:val="0"/>
              <w:jc w:val="center"/>
              <w:rPr>
                <w:sz w:val="22"/>
                <w:szCs w:val="22"/>
                <w:lang w:eastAsia="ar-SA"/>
              </w:rPr>
            </w:pPr>
          </w:p>
          <w:p w14:paraId="3BAA0ACC" w14:textId="77777777" w:rsidR="00016A1A" w:rsidRPr="0048139A" w:rsidRDefault="00016A1A" w:rsidP="00016A1A">
            <w:pPr>
              <w:jc w:val="center"/>
              <w:rPr>
                <w:sz w:val="22"/>
                <w:szCs w:val="22"/>
                <w:lang w:eastAsia="ar-SA"/>
              </w:rPr>
            </w:pPr>
            <w:r w:rsidRPr="0048139A">
              <w:rPr>
                <w:sz w:val="22"/>
                <w:szCs w:val="22"/>
                <w:lang w:eastAsia="ar-SA"/>
              </w:rPr>
              <w:t>Název ukazatele</w:t>
            </w:r>
          </w:p>
        </w:tc>
        <w:tc>
          <w:tcPr>
            <w:tcW w:w="1125" w:type="dxa"/>
            <w:tcBorders>
              <w:top w:val="single" w:sz="4" w:space="0" w:color="000000"/>
              <w:left w:val="single" w:sz="4" w:space="0" w:color="000000"/>
              <w:bottom w:val="single" w:sz="4" w:space="0" w:color="000000"/>
            </w:tcBorders>
            <w:vAlign w:val="center"/>
          </w:tcPr>
          <w:p w14:paraId="056D0A81" w14:textId="77777777" w:rsidR="00016A1A" w:rsidRPr="0048139A" w:rsidRDefault="00016A1A" w:rsidP="00016A1A">
            <w:pPr>
              <w:snapToGrid w:val="0"/>
              <w:jc w:val="center"/>
              <w:rPr>
                <w:sz w:val="22"/>
                <w:szCs w:val="22"/>
                <w:lang w:eastAsia="ar-SA"/>
              </w:rPr>
            </w:pPr>
            <w:r w:rsidRPr="0048139A">
              <w:rPr>
                <w:sz w:val="22"/>
                <w:szCs w:val="22"/>
                <w:lang w:eastAsia="ar-SA"/>
              </w:rPr>
              <w:t>Skutečnost</w:t>
            </w:r>
          </w:p>
          <w:p w14:paraId="4338BAE6" w14:textId="77777777" w:rsidR="00016A1A" w:rsidRPr="0048139A" w:rsidRDefault="00016A1A" w:rsidP="00016A1A">
            <w:pPr>
              <w:jc w:val="center"/>
              <w:rPr>
                <w:sz w:val="22"/>
                <w:szCs w:val="22"/>
                <w:lang w:eastAsia="ar-SA"/>
              </w:rPr>
            </w:pPr>
            <w:r w:rsidRPr="0048139A">
              <w:rPr>
                <w:sz w:val="22"/>
                <w:szCs w:val="22"/>
                <w:lang w:eastAsia="ar-SA"/>
              </w:rPr>
              <w:t>2018</w:t>
            </w:r>
          </w:p>
        </w:tc>
        <w:tc>
          <w:tcPr>
            <w:tcW w:w="1125" w:type="dxa"/>
            <w:tcBorders>
              <w:top w:val="single" w:sz="4" w:space="0" w:color="000000"/>
              <w:left w:val="single" w:sz="4" w:space="0" w:color="000000"/>
              <w:bottom w:val="single" w:sz="4" w:space="0" w:color="000000"/>
            </w:tcBorders>
            <w:vAlign w:val="center"/>
          </w:tcPr>
          <w:p w14:paraId="7266E0B2" w14:textId="77777777" w:rsidR="00016A1A" w:rsidRPr="0048139A" w:rsidRDefault="00016A1A" w:rsidP="00016A1A">
            <w:pPr>
              <w:snapToGrid w:val="0"/>
              <w:jc w:val="center"/>
              <w:rPr>
                <w:sz w:val="22"/>
                <w:szCs w:val="22"/>
                <w:lang w:eastAsia="ar-SA"/>
              </w:rPr>
            </w:pPr>
            <w:r w:rsidRPr="0048139A">
              <w:rPr>
                <w:sz w:val="22"/>
                <w:szCs w:val="22"/>
                <w:lang w:eastAsia="ar-SA"/>
              </w:rPr>
              <w:t>Schválený</w:t>
            </w:r>
          </w:p>
          <w:p w14:paraId="6FC6F004" w14:textId="77777777" w:rsidR="00016A1A" w:rsidRPr="0048139A" w:rsidRDefault="00016A1A" w:rsidP="00016A1A">
            <w:pPr>
              <w:jc w:val="center"/>
              <w:rPr>
                <w:sz w:val="22"/>
                <w:szCs w:val="22"/>
                <w:lang w:eastAsia="ar-SA"/>
              </w:rPr>
            </w:pPr>
            <w:r w:rsidRPr="0048139A">
              <w:rPr>
                <w:sz w:val="22"/>
                <w:szCs w:val="22"/>
                <w:lang w:eastAsia="ar-SA"/>
              </w:rPr>
              <w:t>rozpočet</w:t>
            </w:r>
          </w:p>
          <w:p w14:paraId="3DF2C443" w14:textId="77777777" w:rsidR="00016A1A" w:rsidRPr="0048139A" w:rsidRDefault="00016A1A" w:rsidP="00016A1A">
            <w:pPr>
              <w:jc w:val="center"/>
              <w:rPr>
                <w:sz w:val="22"/>
                <w:szCs w:val="22"/>
                <w:lang w:eastAsia="ar-SA"/>
              </w:rPr>
            </w:pPr>
            <w:r w:rsidRPr="0048139A">
              <w:rPr>
                <w:sz w:val="22"/>
                <w:szCs w:val="22"/>
                <w:lang w:eastAsia="ar-SA"/>
              </w:rPr>
              <w:t>2019</w:t>
            </w:r>
          </w:p>
        </w:tc>
        <w:tc>
          <w:tcPr>
            <w:tcW w:w="1125" w:type="dxa"/>
            <w:tcBorders>
              <w:top w:val="single" w:sz="4" w:space="0" w:color="000000"/>
              <w:left w:val="single" w:sz="4" w:space="0" w:color="000000"/>
              <w:bottom w:val="single" w:sz="4" w:space="0" w:color="000000"/>
            </w:tcBorders>
            <w:vAlign w:val="center"/>
          </w:tcPr>
          <w:p w14:paraId="25600D17" w14:textId="77777777" w:rsidR="00016A1A" w:rsidRPr="0048139A" w:rsidRDefault="00016A1A" w:rsidP="00016A1A">
            <w:pPr>
              <w:snapToGrid w:val="0"/>
              <w:jc w:val="center"/>
              <w:rPr>
                <w:sz w:val="22"/>
                <w:szCs w:val="22"/>
                <w:lang w:eastAsia="ar-SA"/>
              </w:rPr>
            </w:pPr>
            <w:r w:rsidRPr="0048139A">
              <w:rPr>
                <w:sz w:val="22"/>
                <w:szCs w:val="22"/>
                <w:lang w:eastAsia="ar-SA"/>
              </w:rPr>
              <w:t>Upravený</w:t>
            </w:r>
          </w:p>
          <w:p w14:paraId="70E30185" w14:textId="77777777" w:rsidR="00016A1A" w:rsidRPr="0048139A" w:rsidRDefault="00016A1A" w:rsidP="00016A1A">
            <w:pPr>
              <w:jc w:val="center"/>
              <w:rPr>
                <w:sz w:val="22"/>
                <w:szCs w:val="22"/>
                <w:lang w:eastAsia="ar-SA"/>
              </w:rPr>
            </w:pPr>
            <w:r w:rsidRPr="0048139A">
              <w:rPr>
                <w:sz w:val="22"/>
                <w:szCs w:val="22"/>
                <w:lang w:eastAsia="ar-SA"/>
              </w:rPr>
              <w:t>rozpočet</w:t>
            </w:r>
          </w:p>
          <w:p w14:paraId="4FBE472C" w14:textId="77777777" w:rsidR="00016A1A" w:rsidRPr="0048139A" w:rsidRDefault="00016A1A" w:rsidP="00016A1A">
            <w:pPr>
              <w:jc w:val="center"/>
              <w:rPr>
                <w:sz w:val="22"/>
                <w:szCs w:val="22"/>
                <w:lang w:eastAsia="ar-SA"/>
              </w:rPr>
            </w:pPr>
            <w:r w:rsidRPr="0048139A">
              <w:rPr>
                <w:sz w:val="22"/>
                <w:szCs w:val="22"/>
                <w:lang w:eastAsia="ar-SA"/>
              </w:rPr>
              <w:t>2019</w:t>
            </w:r>
          </w:p>
        </w:tc>
        <w:tc>
          <w:tcPr>
            <w:tcW w:w="1125" w:type="dxa"/>
            <w:tcBorders>
              <w:top w:val="single" w:sz="4" w:space="0" w:color="000000"/>
              <w:left w:val="single" w:sz="4" w:space="0" w:color="000000"/>
              <w:bottom w:val="single" w:sz="4" w:space="0" w:color="000000"/>
            </w:tcBorders>
            <w:vAlign w:val="center"/>
          </w:tcPr>
          <w:p w14:paraId="51BD4690" w14:textId="77777777" w:rsidR="00016A1A" w:rsidRPr="0048139A" w:rsidRDefault="00016A1A" w:rsidP="00016A1A">
            <w:pPr>
              <w:snapToGrid w:val="0"/>
              <w:jc w:val="center"/>
              <w:rPr>
                <w:sz w:val="22"/>
                <w:szCs w:val="22"/>
                <w:lang w:eastAsia="ar-SA"/>
              </w:rPr>
            </w:pPr>
            <w:r w:rsidRPr="0048139A">
              <w:rPr>
                <w:sz w:val="22"/>
                <w:szCs w:val="22"/>
                <w:lang w:eastAsia="ar-SA"/>
              </w:rPr>
              <w:t>Skutečnost</w:t>
            </w:r>
          </w:p>
          <w:p w14:paraId="6548EB83" w14:textId="77777777" w:rsidR="00016A1A" w:rsidRPr="0048139A" w:rsidRDefault="00016A1A" w:rsidP="00016A1A">
            <w:pPr>
              <w:jc w:val="center"/>
              <w:rPr>
                <w:sz w:val="22"/>
                <w:szCs w:val="22"/>
                <w:lang w:eastAsia="ar-SA"/>
              </w:rPr>
            </w:pPr>
            <w:r w:rsidRPr="0048139A">
              <w:rPr>
                <w:sz w:val="22"/>
                <w:szCs w:val="22"/>
                <w:lang w:eastAsia="ar-SA"/>
              </w:rPr>
              <w:t>2019</w:t>
            </w:r>
          </w:p>
        </w:tc>
        <w:tc>
          <w:tcPr>
            <w:tcW w:w="930" w:type="dxa"/>
            <w:tcBorders>
              <w:top w:val="single" w:sz="4" w:space="0" w:color="000000"/>
              <w:left w:val="single" w:sz="4" w:space="0" w:color="000000"/>
              <w:bottom w:val="single" w:sz="4" w:space="0" w:color="000000"/>
              <w:right w:val="single" w:sz="4" w:space="0" w:color="000000"/>
            </w:tcBorders>
            <w:vAlign w:val="center"/>
          </w:tcPr>
          <w:p w14:paraId="397FDB54" w14:textId="77777777" w:rsidR="00016A1A" w:rsidRPr="00263CF6" w:rsidRDefault="00016A1A" w:rsidP="00016A1A">
            <w:pPr>
              <w:snapToGrid w:val="0"/>
              <w:jc w:val="center"/>
              <w:rPr>
                <w:sz w:val="22"/>
                <w:szCs w:val="22"/>
                <w:lang w:eastAsia="ar-SA"/>
              </w:rPr>
            </w:pPr>
            <w:r w:rsidRPr="00263CF6">
              <w:rPr>
                <w:sz w:val="22"/>
                <w:szCs w:val="22"/>
                <w:lang w:eastAsia="ar-SA"/>
              </w:rPr>
              <w:t>Index</w:t>
            </w:r>
          </w:p>
          <w:p w14:paraId="790DFE14" w14:textId="77777777" w:rsidR="00016A1A" w:rsidRPr="00263CF6" w:rsidRDefault="00016A1A" w:rsidP="00016A1A">
            <w:pPr>
              <w:jc w:val="center"/>
              <w:rPr>
                <w:sz w:val="22"/>
                <w:szCs w:val="22"/>
                <w:lang w:eastAsia="ar-SA"/>
              </w:rPr>
            </w:pPr>
            <w:r w:rsidRPr="00263CF6">
              <w:rPr>
                <w:sz w:val="22"/>
                <w:szCs w:val="22"/>
                <w:lang w:eastAsia="ar-SA"/>
              </w:rPr>
              <w:t>19/18         (v %)</w:t>
            </w:r>
          </w:p>
        </w:tc>
      </w:tr>
      <w:tr w:rsidR="00016A1A" w:rsidRPr="004B11AC" w14:paraId="07D9A240" w14:textId="77777777" w:rsidTr="00016A1A">
        <w:tc>
          <w:tcPr>
            <w:tcW w:w="3780" w:type="dxa"/>
            <w:tcBorders>
              <w:top w:val="single" w:sz="4" w:space="0" w:color="000000"/>
              <w:left w:val="single" w:sz="4" w:space="0" w:color="000000"/>
              <w:bottom w:val="single" w:sz="4" w:space="0" w:color="auto"/>
            </w:tcBorders>
          </w:tcPr>
          <w:p w14:paraId="30903242" w14:textId="77777777" w:rsidR="00016A1A" w:rsidRPr="0048139A" w:rsidRDefault="00016A1A" w:rsidP="00016A1A">
            <w:pPr>
              <w:snapToGrid w:val="0"/>
              <w:jc w:val="center"/>
              <w:rPr>
                <w:sz w:val="22"/>
                <w:szCs w:val="22"/>
                <w:lang w:eastAsia="ar-SA"/>
              </w:rPr>
            </w:pPr>
            <w:r w:rsidRPr="0048139A">
              <w:rPr>
                <w:sz w:val="22"/>
                <w:szCs w:val="22"/>
                <w:lang w:eastAsia="ar-SA"/>
              </w:rPr>
              <w:t>a</w:t>
            </w:r>
          </w:p>
        </w:tc>
        <w:tc>
          <w:tcPr>
            <w:tcW w:w="1125" w:type="dxa"/>
            <w:tcBorders>
              <w:top w:val="single" w:sz="4" w:space="0" w:color="000000"/>
              <w:left w:val="single" w:sz="4" w:space="0" w:color="000000"/>
              <w:bottom w:val="single" w:sz="4" w:space="0" w:color="auto"/>
            </w:tcBorders>
          </w:tcPr>
          <w:p w14:paraId="26E4DCCE" w14:textId="77777777" w:rsidR="00016A1A" w:rsidRPr="0048139A" w:rsidRDefault="00016A1A" w:rsidP="00016A1A">
            <w:pPr>
              <w:snapToGrid w:val="0"/>
              <w:jc w:val="center"/>
              <w:rPr>
                <w:sz w:val="22"/>
                <w:szCs w:val="22"/>
                <w:lang w:eastAsia="ar-SA"/>
              </w:rPr>
            </w:pPr>
            <w:r w:rsidRPr="0048139A">
              <w:rPr>
                <w:sz w:val="22"/>
                <w:szCs w:val="22"/>
                <w:lang w:eastAsia="ar-SA"/>
              </w:rPr>
              <w:t>1</w:t>
            </w:r>
          </w:p>
        </w:tc>
        <w:tc>
          <w:tcPr>
            <w:tcW w:w="1125" w:type="dxa"/>
            <w:tcBorders>
              <w:top w:val="single" w:sz="4" w:space="0" w:color="000000"/>
              <w:left w:val="single" w:sz="4" w:space="0" w:color="000000"/>
              <w:bottom w:val="single" w:sz="4" w:space="0" w:color="auto"/>
            </w:tcBorders>
          </w:tcPr>
          <w:p w14:paraId="34F7819C" w14:textId="77777777" w:rsidR="00016A1A" w:rsidRPr="0048139A" w:rsidRDefault="00016A1A" w:rsidP="00016A1A">
            <w:pPr>
              <w:snapToGrid w:val="0"/>
              <w:jc w:val="center"/>
              <w:rPr>
                <w:sz w:val="22"/>
                <w:szCs w:val="22"/>
                <w:lang w:eastAsia="ar-SA"/>
              </w:rPr>
            </w:pPr>
            <w:r w:rsidRPr="0048139A">
              <w:rPr>
                <w:sz w:val="22"/>
                <w:szCs w:val="22"/>
                <w:lang w:eastAsia="ar-SA"/>
              </w:rPr>
              <w:t>2</w:t>
            </w:r>
          </w:p>
        </w:tc>
        <w:tc>
          <w:tcPr>
            <w:tcW w:w="1125" w:type="dxa"/>
            <w:tcBorders>
              <w:top w:val="single" w:sz="4" w:space="0" w:color="000000"/>
              <w:left w:val="single" w:sz="4" w:space="0" w:color="000000"/>
              <w:bottom w:val="single" w:sz="4" w:space="0" w:color="auto"/>
            </w:tcBorders>
          </w:tcPr>
          <w:p w14:paraId="16340F0C" w14:textId="77777777" w:rsidR="00016A1A" w:rsidRPr="0048139A" w:rsidRDefault="00016A1A" w:rsidP="00016A1A">
            <w:pPr>
              <w:snapToGrid w:val="0"/>
              <w:jc w:val="center"/>
              <w:rPr>
                <w:sz w:val="22"/>
                <w:szCs w:val="22"/>
                <w:lang w:eastAsia="ar-SA"/>
              </w:rPr>
            </w:pPr>
            <w:r w:rsidRPr="0048139A">
              <w:rPr>
                <w:sz w:val="22"/>
                <w:szCs w:val="22"/>
                <w:lang w:eastAsia="ar-SA"/>
              </w:rPr>
              <w:t>3</w:t>
            </w:r>
          </w:p>
        </w:tc>
        <w:tc>
          <w:tcPr>
            <w:tcW w:w="1125" w:type="dxa"/>
            <w:tcBorders>
              <w:top w:val="single" w:sz="4" w:space="0" w:color="000000"/>
              <w:left w:val="single" w:sz="4" w:space="0" w:color="000000"/>
              <w:bottom w:val="single" w:sz="4" w:space="0" w:color="auto"/>
            </w:tcBorders>
          </w:tcPr>
          <w:p w14:paraId="6631FCE0" w14:textId="77777777" w:rsidR="00016A1A" w:rsidRPr="0048139A" w:rsidRDefault="00016A1A" w:rsidP="00016A1A">
            <w:pPr>
              <w:snapToGrid w:val="0"/>
              <w:jc w:val="center"/>
              <w:rPr>
                <w:sz w:val="22"/>
                <w:szCs w:val="22"/>
                <w:lang w:eastAsia="ar-SA"/>
              </w:rPr>
            </w:pPr>
            <w:r w:rsidRPr="0048139A">
              <w:rPr>
                <w:sz w:val="22"/>
                <w:szCs w:val="22"/>
                <w:lang w:eastAsia="ar-SA"/>
              </w:rPr>
              <w:t>4</w:t>
            </w:r>
          </w:p>
        </w:tc>
        <w:tc>
          <w:tcPr>
            <w:tcW w:w="930" w:type="dxa"/>
            <w:tcBorders>
              <w:top w:val="single" w:sz="4" w:space="0" w:color="000000"/>
              <w:left w:val="single" w:sz="4" w:space="0" w:color="000000"/>
              <w:bottom w:val="single" w:sz="4" w:space="0" w:color="auto"/>
              <w:right w:val="single" w:sz="4" w:space="0" w:color="000000"/>
            </w:tcBorders>
          </w:tcPr>
          <w:p w14:paraId="26BEFC16" w14:textId="77777777" w:rsidR="00016A1A" w:rsidRPr="00263CF6" w:rsidRDefault="00016A1A" w:rsidP="00016A1A">
            <w:pPr>
              <w:snapToGrid w:val="0"/>
              <w:jc w:val="center"/>
              <w:rPr>
                <w:sz w:val="22"/>
                <w:szCs w:val="22"/>
                <w:lang w:eastAsia="ar-SA"/>
              </w:rPr>
            </w:pPr>
            <w:r w:rsidRPr="00263CF6">
              <w:rPr>
                <w:sz w:val="22"/>
                <w:szCs w:val="22"/>
                <w:lang w:eastAsia="ar-SA"/>
              </w:rPr>
              <w:t>5</w:t>
            </w:r>
          </w:p>
        </w:tc>
      </w:tr>
      <w:tr w:rsidR="00016A1A" w:rsidRPr="004B11AC" w14:paraId="61DDEDB5" w14:textId="77777777" w:rsidTr="00016A1A">
        <w:trPr>
          <w:trHeight w:val="388"/>
        </w:trPr>
        <w:tc>
          <w:tcPr>
            <w:tcW w:w="3780" w:type="dxa"/>
            <w:tcBorders>
              <w:top w:val="single" w:sz="4" w:space="0" w:color="auto"/>
              <w:left w:val="single" w:sz="4" w:space="0" w:color="auto"/>
              <w:right w:val="single" w:sz="4" w:space="0" w:color="auto"/>
            </w:tcBorders>
          </w:tcPr>
          <w:p w14:paraId="433224F3" w14:textId="77777777" w:rsidR="00016A1A" w:rsidRPr="0048139A" w:rsidRDefault="00016A1A" w:rsidP="00016A1A">
            <w:pPr>
              <w:snapToGrid w:val="0"/>
              <w:jc w:val="both"/>
              <w:rPr>
                <w:sz w:val="20"/>
                <w:szCs w:val="20"/>
                <w:lang w:eastAsia="ar-SA"/>
              </w:rPr>
            </w:pPr>
            <w:r w:rsidRPr="0048139A">
              <w:rPr>
                <w:b/>
                <w:sz w:val="20"/>
                <w:szCs w:val="20"/>
                <w:lang w:eastAsia="ar-SA"/>
              </w:rPr>
              <w:t>Investiční nákupy a související výdaje OSS</w:t>
            </w:r>
            <w:r w:rsidRPr="0048139A">
              <w:rPr>
                <w:sz w:val="20"/>
                <w:szCs w:val="20"/>
                <w:lang w:eastAsia="ar-SA"/>
              </w:rPr>
              <w:t xml:space="preserve">  </w:t>
            </w:r>
          </w:p>
          <w:p w14:paraId="75C064DA" w14:textId="77777777" w:rsidR="00016A1A" w:rsidRPr="0048139A" w:rsidRDefault="00016A1A" w:rsidP="00016A1A">
            <w:pPr>
              <w:snapToGrid w:val="0"/>
              <w:jc w:val="both"/>
              <w:rPr>
                <w:sz w:val="20"/>
                <w:szCs w:val="20"/>
                <w:lang w:eastAsia="ar-SA"/>
              </w:rPr>
            </w:pPr>
            <w:r w:rsidRPr="0048139A">
              <w:rPr>
                <w:sz w:val="20"/>
                <w:szCs w:val="20"/>
                <w:lang w:eastAsia="ar-SA"/>
              </w:rPr>
              <w:t>v tom:</w:t>
            </w:r>
          </w:p>
        </w:tc>
        <w:tc>
          <w:tcPr>
            <w:tcW w:w="1125" w:type="dxa"/>
            <w:tcBorders>
              <w:top w:val="single" w:sz="2" w:space="0" w:color="auto"/>
              <w:left w:val="single" w:sz="2" w:space="0" w:color="auto"/>
              <w:right w:val="single" w:sz="2" w:space="0" w:color="000000"/>
            </w:tcBorders>
            <w:shd w:val="clear" w:color="auto" w:fill="auto"/>
          </w:tcPr>
          <w:p w14:paraId="70E9F295" w14:textId="77777777" w:rsidR="00016A1A" w:rsidRPr="00263CF6" w:rsidRDefault="00016A1A" w:rsidP="00016A1A">
            <w:pPr>
              <w:jc w:val="right"/>
              <w:rPr>
                <w:b/>
                <w:bCs/>
                <w:sz w:val="20"/>
                <w:szCs w:val="20"/>
                <w:lang w:eastAsia="ar-SA"/>
              </w:rPr>
            </w:pPr>
            <w:r w:rsidRPr="00263CF6">
              <w:rPr>
                <w:b/>
                <w:bCs/>
                <w:sz w:val="20"/>
                <w:szCs w:val="20"/>
                <w:lang w:eastAsia="ar-SA"/>
              </w:rPr>
              <w:t>77 143</w:t>
            </w:r>
          </w:p>
        </w:tc>
        <w:tc>
          <w:tcPr>
            <w:tcW w:w="1125" w:type="dxa"/>
            <w:tcBorders>
              <w:top w:val="single" w:sz="4" w:space="0" w:color="auto"/>
              <w:left w:val="single" w:sz="4" w:space="0" w:color="auto"/>
              <w:right w:val="single" w:sz="4" w:space="0" w:color="auto"/>
            </w:tcBorders>
          </w:tcPr>
          <w:p w14:paraId="5A0C33D7" w14:textId="77777777" w:rsidR="00016A1A" w:rsidRPr="00263CF6" w:rsidRDefault="00016A1A" w:rsidP="00016A1A">
            <w:pPr>
              <w:jc w:val="right"/>
              <w:rPr>
                <w:b/>
                <w:bCs/>
                <w:sz w:val="20"/>
                <w:szCs w:val="20"/>
                <w:lang w:eastAsia="ar-SA"/>
              </w:rPr>
            </w:pPr>
            <w:r w:rsidRPr="00263CF6">
              <w:rPr>
                <w:b/>
                <w:bCs/>
                <w:sz w:val="20"/>
                <w:szCs w:val="20"/>
                <w:lang w:eastAsia="ar-SA"/>
              </w:rPr>
              <w:t>93 772</w:t>
            </w:r>
          </w:p>
        </w:tc>
        <w:tc>
          <w:tcPr>
            <w:tcW w:w="1125" w:type="dxa"/>
            <w:tcBorders>
              <w:top w:val="single" w:sz="2" w:space="0" w:color="auto"/>
              <w:left w:val="single" w:sz="2" w:space="0" w:color="auto"/>
              <w:right w:val="single" w:sz="2" w:space="0" w:color="auto"/>
            </w:tcBorders>
          </w:tcPr>
          <w:p w14:paraId="212DA6BC" w14:textId="77777777" w:rsidR="00016A1A" w:rsidRPr="00263CF6" w:rsidRDefault="00016A1A" w:rsidP="00016A1A">
            <w:pPr>
              <w:jc w:val="right"/>
              <w:rPr>
                <w:b/>
                <w:bCs/>
                <w:sz w:val="20"/>
                <w:szCs w:val="20"/>
                <w:lang w:eastAsia="ar-SA"/>
              </w:rPr>
            </w:pPr>
            <w:r w:rsidRPr="00263CF6">
              <w:rPr>
                <w:b/>
                <w:bCs/>
                <w:sz w:val="20"/>
                <w:szCs w:val="20"/>
                <w:lang w:eastAsia="ar-SA"/>
              </w:rPr>
              <w:t>88 864</w:t>
            </w:r>
          </w:p>
        </w:tc>
        <w:tc>
          <w:tcPr>
            <w:tcW w:w="1125" w:type="dxa"/>
            <w:tcBorders>
              <w:top w:val="single" w:sz="2" w:space="0" w:color="auto"/>
              <w:left w:val="single" w:sz="2" w:space="0" w:color="auto"/>
              <w:right w:val="single" w:sz="2" w:space="0" w:color="000000"/>
            </w:tcBorders>
            <w:shd w:val="clear" w:color="auto" w:fill="auto"/>
          </w:tcPr>
          <w:p w14:paraId="6F6235CA" w14:textId="77777777" w:rsidR="00016A1A" w:rsidRPr="00263CF6" w:rsidRDefault="00016A1A" w:rsidP="00016A1A">
            <w:pPr>
              <w:jc w:val="right"/>
              <w:rPr>
                <w:b/>
                <w:bCs/>
                <w:sz w:val="20"/>
                <w:szCs w:val="20"/>
                <w:lang w:eastAsia="ar-SA"/>
              </w:rPr>
            </w:pPr>
            <w:r w:rsidRPr="00263CF6">
              <w:rPr>
                <w:b/>
                <w:bCs/>
                <w:sz w:val="20"/>
                <w:szCs w:val="20"/>
                <w:lang w:eastAsia="ar-SA"/>
              </w:rPr>
              <w:t>42 640</w:t>
            </w:r>
          </w:p>
        </w:tc>
        <w:tc>
          <w:tcPr>
            <w:tcW w:w="930" w:type="dxa"/>
            <w:tcBorders>
              <w:top w:val="single" w:sz="2" w:space="0" w:color="auto"/>
              <w:left w:val="single" w:sz="2" w:space="0" w:color="000000"/>
              <w:bottom w:val="nil"/>
              <w:right w:val="single" w:sz="5" w:space="0" w:color="auto"/>
            </w:tcBorders>
            <w:shd w:val="clear" w:color="auto" w:fill="auto"/>
          </w:tcPr>
          <w:p w14:paraId="25B668C4" w14:textId="77777777" w:rsidR="00016A1A" w:rsidRPr="00263CF6" w:rsidRDefault="00016A1A" w:rsidP="00016A1A">
            <w:pPr>
              <w:jc w:val="right"/>
              <w:rPr>
                <w:b/>
                <w:bCs/>
                <w:sz w:val="20"/>
                <w:szCs w:val="20"/>
              </w:rPr>
            </w:pPr>
            <w:r w:rsidRPr="00263CF6">
              <w:rPr>
                <w:b/>
                <w:bCs/>
                <w:sz w:val="20"/>
                <w:szCs w:val="20"/>
                <w:lang w:eastAsia="ar-SA"/>
              </w:rPr>
              <w:t>55,27</w:t>
            </w:r>
          </w:p>
        </w:tc>
      </w:tr>
      <w:tr w:rsidR="00016A1A" w:rsidRPr="004B11AC" w14:paraId="0CC5028E" w14:textId="77777777" w:rsidTr="00016A1A">
        <w:tc>
          <w:tcPr>
            <w:tcW w:w="3780" w:type="dxa"/>
            <w:tcBorders>
              <w:left w:val="single" w:sz="4" w:space="0" w:color="000000"/>
            </w:tcBorders>
          </w:tcPr>
          <w:p w14:paraId="19F53609" w14:textId="77777777" w:rsidR="00016A1A" w:rsidRPr="0048139A" w:rsidRDefault="00016A1A" w:rsidP="00016A1A">
            <w:pPr>
              <w:snapToGrid w:val="0"/>
              <w:jc w:val="both"/>
              <w:rPr>
                <w:sz w:val="20"/>
                <w:lang w:eastAsia="ar-SA"/>
              </w:rPr>
            </w:pPr>
            <w:bookmarkStart w:id="966" w:name="_Hlk316895354"/>
            <w:r w:rsidRPr="0048139A">
              <w:rPr>
                <w:sz w:val="20"/>
                <w:lang w:eastAsia="ar-SA"/>
              </w:rPr>
              <w:t>Ústřední orgán MD</w:t>
            </w:r>
          </w:p>
        </w:tc>
        <w:tc>
          <w:tcPr>
            <w:tcW w:w="1125" w:type="dxa"/>
            <w:tcBorders>
              <w:left w:val="single" w:sz="2" w:space="0" w:color="000000"/>
              <w:right w:val="single" w:sz="2" w:space="0" w:color="000000"/>
            </w:tcBorders>
            <w:shd w:val="clear" w:color="auto" w:fill="auto"/>
            <w:vAlign w:val="center"/>
          </w:tcPr>
          <w:p w14:paraId="6F26C5B8" w14:textId="77777777" w:rsidR="00016A1A" w:rsidRPr="0048139A" w:rsidRDefault="00016A1A" w:rsidP="00016A1A">
            <w:pPr>
              <w:snapToGrid w:val="0"/>
              <w:jc w:val="right"/>
              <w:rPr>
                <w:sz w:val="20"/>
                <w:lang w:eastAsia="ar-SA"/>
              </w:rPr>
            </w:pPr>
            <w:r w:rsidRPr="0048139A">
              <w:rPr>
                <w:sz w:val="20"/>
                <w:lang w:eastAsia="ar-SA"/>
              </w:rPr>
              <w:t xml:space="preserve">53 915 </w:t>
            </w:r>
          </w:p>
        </w:tc>
        <w:tc>
          <w:tcPr>
            <w:tcW w:w="1125" w:type="dxa"/>
            <w:tcBorders>
              <w:left w:val="single" w:sz="4" w:space="0" w:color="000000"/>
            </w:tcBorders>
          </w:tcPr>
          <w:p w14:paraId="3D7C0480" w14:textId="77777777" w:rsidR="00016A1A" w:rsidRPr="00263CF6" w:rsidRDefault="00016A1A" w:rsidP="00016A1A">
            <w:pPr>
              <w:snapToGrid w:val="0"/>
              <w:jc w:val="right"/>
              <w:rPr>
                <w:sz w:val="20"/>
                <w:lang w:eastAsia="ar-SA"/>
              </w:rPr>
            </w:pPr>
            <w:r w:rsidRPr="00263CF6">
              <w:rPr>
                <w:sz w:val="20"/>
                <w:lang w:eastAsia="ar-SA"/>
              </w:rPr>
              <w:t>68 415</w:t>
            </w:r>
          </w:p>
        </w:tc>
        <w:tc>
          <w:tcPr>
            <w:tcW w:w="1125" w:type="dxa"/>
            <w:tcBorders>
              <w:left w:val="single" w:sz="2" w:space="0" w:color="000000"/>
            </w:tcBorders>
            <w:vAlign w:val="center"/>
          </w:tcPr>
          <w:p w14:paraId="59C588A0" w14:textId="77777777" w:rsidR="00016A1A" w:rsidRPr="00263CF6" w:rsidRDefault="00016A1A" w:rsidP="00016A1A">
            <w:pPr>
              <w:snapToGrid w:val="0"/>
              <w:jc w:val="right"/>
              <w:rPr>
                <w:sz w:val="20"/>
                <w:lang w:eastAsia="ar-SA"/>
              </w:rPr>
            </w:pPr>
            <w:r w:rsidRPr="00263CF6">
              <w:rPr>
                <w:sz w:val="20"/>
                <w:lang w:eastAsia="ar-SA"/>
              </w:rPr>
              <w:t>64 567</w:t>
            </w:r>
          </w:p>
        </w:tc>
        <w:tc>
          <w:tcPr>
            <w:tcW w:w="1125" w:type="dxa"/>
            <w:tcBorders>
              <w:left w:val="single" w:sz="2" w:space="0" w:color="000000"/>
              <w:right w:val="single" w:sz="2" w:space="0" w:color="000000"/>
            </w:tcBorders>
            <w:shd w:val="clear" w:color="auto" w:fill="auto"/>
            <w:vAlign w:val="center"/>
          </w:tcPr>
          <w:p w14:paraId="0A175212" w14:textId="77777777" w:rsidR="00016A1A" w:rsidRPr="00263CF6" w:rsidRDefault="00016A1A" w:rsidP="00016A1A">
            <w:pPr>
              <w:snapToGrid w:val="0"/>
              <w:jc w:val="right"/>
              <w:rPr>
                <w:sz w:val="20"/>
                <w:lang w:eastAsia="ar-SA"/>
              </w:rPr>
            </w:pPr>
            <w:r w:rsidRPr="00263CF6">
              <w:rPr>
                <w:sz w:val="20"/>
                <w:lang w:eastAsia="ar-SA"/>
              </w:rPr>
              <w:t xml:space="preserve">28 749 </w:t>
            </w:r>
          </w:p>
        </w:tc>
        <w:tc>
          <w:tcPr>
            <w:tcW w:w="930" w:type="dxa"/>
            <w:tcBorders>
              <w:top w:val="nil"/>
              <w:left w:val="single" w:sz="2" w:space="0" w:color="000000"/>
              <w:bottom w:val="nil"/>
              <w:right w:val="single" w:sz="5" w:space="0" w:color="auto"/>
            </w:tcBorders>
            <w:shd w:val="clear" w:color="auto" w:fill="auto"/>
            <w:vAlign w:val="center"/>
          </w:tcPr>
          <w:p w14:paraId="3BB43E40" w14:textId="77777777" w:rsidR="00016A1A" w:rsidRPr="00263CF6" w:rsidRDefault="00016A1A" w:rsidP="00016A1A">
            <w:pPr>
              <w:jc w:val="right"/>
              <w:rPr>
                <w:bCs/>
                <w:sz w:val="20"/>
                <w:szCs w:val="20"/>
              </w:rPr>
            </w:pPr>
            <w:r w:rsidRPr="00263CF6">
              <w:rPr>
                <w:bCs/>
                <w:sz w:val="20"/>
                <w:szCs w:val="20"/>
                <w:lang w:eastAsia="ar-SA"/>
              </w:rPr>
              <w:t>53,32</w:t>
            </w:r>
          </w:p>
        </w:tc>
      </w:tr>
      <w:tr w:rsidR="00016A1A" w:rsidRPr="004B11AC" w14:paraId="55C4E378" w14:textId="77777777" w:rsidTr="00016A1A">
        <w:tc>
          <w:tcPr>
            <w:tcW w:w="3780" w:type="dxa"/>
            <w:tcBorders>
              <w:left w:val="single" w:sz="4" w:space="0" w:color="000000"/>
            </w:tcBorders>
          </w:tcPr>
          <w:p w14:paraId="7CFFCB3D" w14:textId="77777777" w:rsidR="00016A1A" w:rsidRPr="0048139A" w:rsidRDefault="00016A1A" w:rsidP="00016A1A">
            <w:pPr>
              <w:snapToGrid w:val="0"/>
              <w:jc w:val="both"/>
              <w:rPr>
                <w:i/>
                <w:sz w:val="20"/>
                <w:lang w:eastAsia="ar-SA"/>
              </w:rPr>
            </w:pPr>
            <w:r w:rsidRPr="0048139A">
              <w:rPr>
                <w:i/>
                <w:sz w:val="20"/>
                <w:lang w:eastAsia="ar-SA"/>
              </w:rPr>
              <w:t xml:space="preserve">   z toho prostředky EU</w:t>
            </w:r>
          </w:p>
        </w:tc>
        <w:tc>
          <w:tcPr>
            <w:tcW w:w="1125" w:type="dxa"/>
            <w:tcBorders>
              <w:left w:val="single" w:sz="2" w:space="0" w:color="000000"/>
              <w:right w:val="single" w:sz="2" w:space="0" w:color="000000"/>
            </w:tcBorders>
            <w:shd w:val="clear" w:color="auto" w:fill="auto"/>
            <w:vAlign w:val="center"/>
          </w:tcPr>
          <w:p w14:paraId="7C24D233" w14:textId="77777777" w:rsidR="00016A1A" w:rsidRPr="0048139A" w:rsidRDefault="00016A1A" w:rsidP="00016A1A">
            <w:pPr>
              <w:snapToGrid w:val="0"/>
              <w:jc w:val="right"/>
              <w:rPr>
                <w:i/>
                <w:sz w:val="20"/>
                <w:lang w:eastAsia="ar-SA"/>
              </w:rPr>
            </w:pPr>
            <w:r w:rsidRPr="0048139A">
              <w:rPr>
                <w:i/>
                <w:sz w:val="20"/>
                <w:lang w:eastAsia="ar-SA"/>
              </w:rPr>
              <w:t>0</w:t>
            </w:r>
          </w:p>
        </w:tc>
        <w:tc>
          <w:tcPr>
            <w:tcW w:w="1125" w:type="dxa"/>
            <w:tcBorders>
              <w:left w:val="single" w:sz="4" w:space="0" w:color="000000"/>
            </w:tcBorders>
          </w:tcPr>
          <w:p w14:paraId="2BA0F639" w14:textId="77777777" w:rsidR="00016A1A" w:rsidRPr="00263CF6" w:rsidRDefault="00016A1A" w:rsidP="00016A1A">
            <w:pPr>
              <w:snapToGrid w:val="0"/>
              <w:jc w:val="right"/>
              <w:rPr>
                <w:i/>
                <w:sz w:val="20"/>
                <w:lang w:eastAsia="ar-SA"/>
              </w:rPr>
            </w:pPr>
            <w:r w:rsidRPr="00263CF6">
              <w:rPr>
                <w:i/>
                <w:sz w:val="20"/>
                <w:lang w:eastAsia="ar-SA"/>
              </w:rPr>
              <w:t>0</w:t>
            </w:r>
          </w:p>
        </w:tc>
        <w:tc>
          <w:tcPr>
            <w:tcW w:w="1125" w:type="dxa"/>
            <w:tcBorders>
              <w:left w:val="single" w:sz="2" w:space="0" w:color="000000"/>
            </w:tcBorders>
            <w:vAlign w:val="center"/>
          </w:tcPr>
          <w:p w14:paraId="5912C0BF" w14:textId="77777777" w:rsidR="00016A1A" w:rsidRPr="00263CF6" w:rsidRDefault="00016A1A" w:rsidP="00016A1A">
            <w:pPr>
              <w:snapToGrid w:val="0"/>
              <w:jc w:val="right"/>
              <w:rPr>
                <w:i/>
                <w:sz w:val="20"/>
                <w:lang w:eastAsia="ar-SA"/>
              </w:rPr>
            </w:pPr>
            <w:r w:rsidRPr="00263CF6">
              <w:rPr>
                <w:i/>
                <w:sz w:val="20"/>
                <w:lang w:eastAsia="ar-SA"/>
              </w:rPr>
              <w:t>0</w:t>
            </w:r>
          </w:p>
        </w:tc>
        <w:tc>
          <w:tcPr>
            <w:tcW w:w="1125" w:type="dxa"/>
            <w:tcBorders>
              <w:left w:val="single" w:sz="2" w:space="0" w:color="000000"/>
              <w:right w:val="single" w:sz="2" w:space="0" w:color="000000"/>
            </w:tcBorders>
            <w:shd w:val="clear" w:color="auto" w:fill="auto"/>
            <w:vAlign w:val="center"/>
          </w:tcPr>
          <w:p w14:paraId="3F7949A3" w14:textId="77777777" w:rsidR="00016A1A" w:rsidRPr="00263CF6" w:rsidRDefault="00016A1A" w:rsidP="00016A1A">
            <w:pPr>
              <w:snapToGrid w:val="0"/>
              <w:jc w:val="right"/>
              <w:rPr>
                <w:i/>
                <w:sz w:val="20"/>
                <w:lang w:eastAsia="ar-SA"/>
              </w:rPr>
            </w:pPr>
            <w:r w:rsidRPr="00263CF6">
              <w:rPr>
                <w:i/>
                <w:sz w:val="20"/>
                <w:lang w:eastAsia="ar-SA"/>
              </w:rPr>
              <w:t>70</w:t>
            </w:r>
          </w:p>
        </w:tc>
        <w:tc>
          <w:tcPr>
            <w:tcW w:w="930" w:type="dxa"/>
            <w:tcBorders>
              <w:top w:val="nil"/>
              <w:left w:val="single" w:sz="2" w:space="0" w:color="000000"/>
              <w:bottom w:val="nil"/>
              <w:right w:val="single" w:sz="5" w:space="0" w:color="auto"/>
            </w:tcBorders>
            <w:shd w:val="clear" w:color="auto" w:fill="auto"/>
            <w:vAlign w:val="center"/>
          </w:tcPr>
          <w:p w14:paraId="2B0ABB6C" w14:textId="77777777" w:rsidR="00016A1A" w:rsidRPr="00263CF6" w:rsidRDefault="00016A1A" w:rsidP="00016A1A">
            <w:pPr>
              <w:jc w:val="right"/>
              <w:rPr>
                <w:bCs/>
                <w:sz w:val="20"/>
                <w:szCs w:val="20"/>
              </w:rPr>
            </w:pPr>
            <w:r w:rsidRPr="00263CF6">
              <w:rPr>
                <w:bCs/>
                <w:sz w:val="20"/>
                <w:szCs w:val="20"/>
              </w:rPr>
              <w:t>x</w:t>
            </w:r>
          </w:p>
        </w:tc>
      </w:tr>
      <w:tr w:rsidR="00016A1A" w:rsidRPr="004B11AC" w14:paraId="2B9150DA" w14:textId="77777777" w:rsidTr="00016A1A">
        <w:tc>
          <w:tcPr>
            <w:tcW w:w="3780" w:type="dxa"/>
            <w:tcBorders>
              <w:left w:val="single" w:sz="4" w:space="0" w:color="000000"/>
            </w:tcBorders>
          </w:tcPr>
          <w:p w14:paraId="7D574623" w14:textId="77777777" w:rsidR="00016A1A" w:rsidRPr="0048139A" w:rsidRDefault="00016A1A" w:rsidP="00016A1A">
            <w:pPr>
              <w:snapToGrid w:val="0"/>
              <w:jc w:val="both"/>
              <w:rPr>
                <w:sz w:val="20"/>
                <w:lang w:eastAsia="ar-SA"/>
              </w:rPr>
            </w:pPr>
            <w:r w:rsidRPr="0048139A">
              <w:rPr>
                <w:sz w:val="20"/>
                <w:lang w:eastAsia="ar-SA"/>
              </w:rPr>
              <w:t>Drážní úřad</w:t>
            </w:r>
          </w:p>
        </w:tc>
        <w:tc>
          <w:tcPr>
            <w:tcW w:w="1125" w:type="dxa"/>
            <w:tcBorders>
              <w:left w:val="single" w:sz="2" w:space="0" w:color="000000"/>
              <w:right w:val="single" w:sz="2" w:space="0" w:color="000000"/>
            </w:tcBorders>
            <w:shd w:val="clear" w:color="auto" w:fill="auto"/>
            <w:vAlign w:val="center"/>
          </w:tcPr>
          <w:p w14:paraId="182A9ADD" w14:textId="77777777" w:rsidR="00016A1A" w:rsidRPr="0048139A" w:rsidRDefault="00016A1A" w:rsidP="00016A1A">
            <w:pPr>
              <w:snapToGrid w:val="0"/>
              <w:jc w:val="right"/>
              <w:rPr>
                <w:sz w:val="20"/>
                <w:lang w:eastAsia="ar-SA"/>
              </w:rPr>
            </w:pPr>
            <w:r w:rsidRPr="0048139A">
              <w:rPr>
                <w:sz w:val="20"/>
                <w:lang w:eastAsia="ar-SA"/>
              </w:rPr>
              <w:t>2 576</w:t>
            </w:r>
          </w:p>
        </w:tc>
        <w:tc>
          <w:tcPr>
            <w:tcW w:w="1125" w:type="dxa"/>
            <w:tcBorders>
              <w:left w:val="single" w:sz="4" w:space="0" w:color="000000"/>
            </w:tcBorders>
          </w:tcPr>
          <w:p w14:paraId="3583C45C" w14:textId="77777777" w:rsidR="00016A1A" w:rsidRPr="00263CF6" w:rsidRDefault="00016A1A" w:rsidP="00016A1A">
            <w:pPr>
              <w:snapToGrid w:val="0"/>
              <w:jc w:val="right"/>
              <w:rPr>
                <w:sz w:val="20"/>
                <w:lang w:eastAsia="ar-SA"/>
              </w:rPr>
            </w:pPr>
            <w:r w:rsidRPr="00263CF6">
              <w:rPr>
                <w:sz w:val="20"/>
                <w:lang w:eastAsia="ar-SA"/>
              </w:rPr>
              <w:t>1 860</w:t>
            </w:r>
          </w:p>
        </w:tc>
        <w:tc>
          <w:tcPr>
            <w:tcW w:w="1125" w:type="dxa"/>
            <w:tcBorders>
              <w:left w:val="single" w:sz="2" w:space="0" w:color="000000"/>
            </w:tcBorders>
            <w:vAlign w:val="center"/>
          </w:tcPr>
          <w:p w14:paraId="1B10E07B" w14:textId="77777777" w:rsidR="00016A1A" w:rsidRPr="00263CF6" w:rsidRDefault="00016A1A" w:rsidP="00016A1A">
            <w:pPr>
              <w:snapToGrid w:val="0"/>
              <w:jc w:val="right"/>
              <w:rPr>
                <w:sz w:val="20"/>
                <w:lang w:eastAsia="ar-SA"/>
              </w:rPr>
            </w:pPr>
            <w:r w:rsidRPr="00263CF6">
              <w:rPr>
                <w:sz w:val="20"/>
                <w:lang w:eastAsia="ar-SA"/>
              </w:rPr>
              <w:t>800</w:t>
            </w:r>
          </w:p>
        </w:tc>
        <w:tc>
          <w:tcPr>
            <w:tcW w:w="1125" w:type="dxa"/>
            <w:tcBorders>
              <w:left w:val="single" w:sz="2" w:space="0" w:color="000000"/>
              <w:right w:val="single" w:sz="2" w:space="0" w:color="000000"/>
            </w:tcBorders>
            <w:shd w:val="clear" w:color="auto" w:fill="auto"/>
            <w:vAlign w:val="center"/>
          </w:tcPr>
          <w:p w14:paraId="7180871A" w14:textId="77777777" w:rsidR="00016A1A" w:rsidRPr="00263CF6" w:rsidRDefault="00016A1A" w:rsidP="00016A1A">
            <w:pPr>
              <w:snapToGrid w:val="0"/>
              <w:jc w:val="right"/>
              <w:rPr>
                <w:sz w:val="20"/>
                <w:lang w:eastAsia="ar-SA"/>
              </w:rPr>
            </w:pPr>
            <w:r w:rsidRPr="00263CF6">
              <w:rPr>
                <w:sz w:val="20"/>
                <w:lang w:eastAsia="ar-SA"/>
              </w:rPr>
              <w:t>95</w:t>
            </w:r>
          </w:p>
        </w:tc>
        <w:tc>
          <w:tcPr>
            <w:tcW w:w="930" w:type="dxa"/>
            <w:tcBorders>
              <w:top w:val="nil"/>
              <w:left w:val="single" w:sz="2" w:space="0" w:color="000000"/>
              <w:bottom w:val="nil"/>
              <w:right w:val="single" w:sz="5" w:space="0" w:color="auto"/>
            </w:tcBorders>
            <w:shd w:val="clear" w:color="auto" w:fill="auto"/>
            <w:vAlign w:val="center"/>
          </w:tcPr>
          <w:p w14:paraId="6ACBE807" w14:textId="77777777" w:rsidR="00016A1A" w:rsidRPr="00263CF6" w:rsidRDefault="00016A1A" w:rsidP="00016A1A">
            <w:pPr>
              <w:jc w:val="right"/>
              <w:rPr>
                <w:bCs/>
                <w:sz w:val="20"/>
                <w:szCs w:val="20"/>
              </w:rPr>
            </w:pPr>
            <w:r w:rsidRPr="00263CF6">
              <w:rPr>
                <w:bCs/>
                <w:sz w:val="20"/>
                <w:szCs w:val="20"/>
              </w:rPr>
              <w:t>3,69</w:t>
            </w:r>
          </w:p>
        </w:tc>
      </w:tr>
      <w:tr w:rsidR="00016A1A" w:rsidRPr="004B11AC" w14:paraId="7104A13F" w14:textId="77777777" w:rsidTr="00016A1A">
        <w:tc>
          <w:tcPr>
            <w:tcW w:w="3780" w:type="dxa"/>
            <w:tcBorders>
              <w:left w:val="single" w:sz="4" w:space="0" w:color="000000"/>
            </w:tcBorders>
          </w:tcPr>
          <w:p w14:paraId="00D77BDD" w14:textId="77777777" w:rsidR="00016A1A" w:rsidRPr="0048139A" w:rsidRDefault="00016A1A" w:rsidP="00016A1A">
            <w:pPr>
              <w:snapToGrid w:val="0"/>
              <w:jc w:val="both"/>
              <w:rPr>
                <w:sz w:val="20"/>
                <w:lang w:eastAsia="ar-SA"/>
              </w:rPr>
            </w:pPr>
            <w:r w:rsidRPr="0048139A">
              <w:rPr>
                <w:sz w:val="20"/>
                <w:lang w:eastAsia="ar-SA"/>
              </w:rPr>
              <w:t>Drážní inspekce</w:t>
            </w:r>
          </w:p>
        </w:tc>
        <w:tc>
          <w:tcPr>
            <w:tcW w:w="1125" w:type="dxa"/>
            <w:tcBorders>
              <w:left w:val="single" w:sz="2" w:space="0" w:color="000000"/>
              <w:right w:val="single" w:sz="2" w:space="0" w:color="000000"/>
            </w:tcBorders>
            <w:shd w:val="clear" w:color="auto" w:fill="auto"/>
            <w:vAlign w:val="center"/>
          </w:tcPr>
          <w:p w14:paraId="65B77765" w14:textId="77777777" w:rsidR="00016A1A" w:rsidRPr="0048139A" w:rsidRDefault="00016A1A" w:rsidP="00016A1A">
            <w:pPr>
              <w:snapToGrid w:val="0"/>
              <w:jc w:val="right"/>
              <w:rPr>
                <w:sz w:val="20"/>
                <w:lang w:eastAsia="ar-SA"/>
              </w:rPr>
            </w:pPr>
            <w:r w:rsidRPr="0048139A">
              <w:rPr>
                <w:sz w:val="20"/>
                <w:lang w:eastAsia="ar-SA"/>
              </w:rPr>
              <w:t>155</w:t>
            </w:r>
          </w:p>
        </w:tc>
        <w:tc>
          <w:tcPr>
            <w:tcW w:w="1125" w:type="dxa"/>
            <w:tcBorders>
              <w:left w:val="single" w:sz="4" w:space="0" w:color="000000"/>
            </w:tcBorders>
          </w:tcPr>
          <w:p w14:paraId="4A6C3AAE" w14:textId="77777777" w:rsidR="00016A1A" w:rsidRPr="00263CF6" w:rsidRDefault="00016A1A" w:rsidP="00016A1A">
            <w:pPr>
              <w:snapToGrid w:val="0"/>
              <w:jc w:val="right"/>
              <w:rPr>
                <w:sz w:val="20"/>
                <w:lang w:eastAsia="ar-SA"/>
              </w:rPr>
            </w:pPr>
            <w:r w:rsidRPr="00263CF6">
              <w:rPr>
                <w:sz w:val="20"/>
                <w:lang w:eastAsia="ar-SA"/>
              </w:rPr>
              <w:t>3 650</w:t>
            </w:r>
          </w:p>
        </w:tc>
        <w:tc>
          <w:tcPr>
            <w:tcW w:w="1125" w:type="dxa"/>
            <w:tcBorders>
              <w:left w:val="single" w:sz="2" w:space="0" w:color="000000"/>
            </w:tcBorders>
            <w:vAlign w:val="center"/>
          </w:tcPr>
          <w:p w14:paraId="3513F41D" w14:textId="77777777" w:rsidR="00016A1A" w:rsidRPr="00263CF6" w:rsidRDefault="00016A1A" w:rsidP="00016A1A">
            <w:pPr>
              <w:snapToGrid w:val="0"/>
              <w:jc w:val="right"/>
              <w:rPr>
                <w:sz w:val="20"/>
                <w:lang w:eastAsia="ar-SA"/>
              </w:rPr>
            </w:pPr>
            <w:r w:rsidRPr="00263CF6">
              <w:rPr>
                <w:sz w:val="20"/>
                <w:lang w:eastAsia="ar-SA"/>
              </w:rPr>
              <w:t>3 650</w:t>
            </w:r>
          </w:p>
        </w:tc>
        <w:tc>
          <w:tcPr>
            <w:tcW w:w="1125" w:type="dxa"/>
            <w:tcBorders>
              <w:left w:val="single" w:sz="2" w:space="0" w:color="000000"/>
              <w:right w:val="single" w:sz="2" w:space="0" w:color="000000"/>
            </w:tcBorders>
            <w:shd w:val="clear" w:color="auto" w:fill="auto"/>
            <w:vAlign w:val="center"/>
          </w:tcPr>
          <w:p w14:paraId="5988BA46" w14:textId="77777777" w:rsidR="00016A1A" w:rsidRPr="00263CF6" w:rsidRDefault="00016A1A" w:rsidP="00016A1A">
            <w:pPr>
              <w:snapToGrid w:val="0"/>
              <w:jc w:val="right"/>
              <w:rPr>
                <w:sz w:val="20"/>
                <w:lang w:eastAsia="ar-SA"/>
              </w:rPr>
            </w:pPr>
            <w:r w:rsidRPr="00263CF6">
              <w:rPr>
                <w:sz w:val="20"/>
                <w:lang w:eastAsia="ar-SA"/>
              </w:rPr>
              <w:t>1 935</w:t>
            </w:r>
          </w:p>
        </w:tc>
        <w:tc>
          <w:tcPr>
            <w:tcW w:w="930" w:type="dxa"/>
            <w:tcBorders>
              <w:top w:val="nil"/>
              <w:left w:val="single" w:sz="2" w:space="0" w:color="000000"/>
              <w:bottom w:val="nil"/>
              <w:right w:val="single" w:sz="5" w:space="0" w:color="auto"/>
            </w:tcBorders>
            <w:shd w:val="clear" w:color="auto" w:fill="auto"/>
            <w:vAlign w:val="center"/>
          </w:tcPr>
          <w:p w14:paraId="6D5F030B" w14:textId="77777777" w:rsidR="00016A1A" w:rsidRPr="00263CF6" w:rsidRDefault="00016A1A" w:rsidP="00016A1A">
            <w:pPr>
              <w:jc w:val="right"/>
              <w:rPr>
                <w:bCs/>
                <w:sz w:val="20"/>
                <w:szCs w:val="20"/>
              </w:rPr>
            </w:pPr>
            <w:r w:rsidRPr="00263CF6">
              <w:rPr>
                <w:bCs/>
                <w:sz w:val="20"/>
                <w:szCs w:val="20"/>
              </w:rPr>
              <w:t>1 248,39</w:t>
            </w:r>
          </w:p>
        </w:tc>
      </w:tr>
      <w:tr w:rsidR="00016A1A" w:rsidRPr="004B11AC" w14:paraId="3AEF3E7D" w14:textId="77777777" w:rsidTr="00016A1A">
        <w:tc>
          <w:tcPr>
            <w:tcW w:w="3780" w:type="dxa"/>
            <w:tcBorders>
              <w:left w:val="single" w:sz="4" w:space="0" w:color="000000"/>
            </w:tcBorders>
          </w:tcPr>
          <w:p w14:paraId="59AAEF96" w14:textId="77777777" w:rsidR="00016A1A" w:rsidRPr="0048139A" w:rsidRDefault="00016A1A" w:rsidP="00016A1A">
            <w:pPr>
              <w:snapToGrid w:val="0"/>
              <w:jc w:val="both"/>
              <w:rPr>
                <w:sz w:val="20"/>
                <w:lang w:eastAsia="ar-SA"/>
              </w:rPr>
            </w:pPr>
            <w:r w:rsidRPr="0048139A">
              <w:rPr>
                <w:sz w:val="20"/>
                <w:lang w:eastAsia="ar-SA"/>
              </w:rPr>
              <w:t>Ředitelství vodních cest ČR</w:t>
            </w:r>
          </w:p>
        </w:tc>
        <w:tc>
          <w:tcPr>
            <w:tcW w:w="1125" w:type="dxa"/>
            <w:tcBorders>
              <w:left w:val="single" w:sz="2" w:space="0" w:color="000000"/>
              <w:right w:val="single" w:sz="2" w:space="0" w:color="000000"/>
            </w:tcBorders>
            <w:shd w:val="clear" w:color="auto" w:fill="auto"/>
            <w:vAlign w:val="center"/>
          </w:tcPr>
          <w:p w14:paraId="0DB63785" w14:textId="77777777" w:rsidR="00016A1A" w:rsidRPr="0048139A" w:rsidRDefault="00016A1A" w:rsidP="00016A1A">
            <w:pPr>
              <w:snapToGrid w:val="0"/>
              <w:jc w:val="right"/>
              <w:rPr>
                <w:sz w:val="20"/>
                <w:lang w:eastAsia="ar-SA"/>
              </w:rPr>
            </w:pPr>
            <w:r w:rsidRPr="0048139A">
              <w:rPr>
                <w:sz w:val="20"/>
                <w:lang w:eastAsia="ar-SA"/>
              </w:rPr>
              <w:t>2 619</w:t>
            </w:r>
          </w:p>
        </w:tc>
        <w:tc>
          <w:tcPr>
            <w:tcW w:w="1125" w:type="dxa"/>
            <w:tcBorders>
              <w:left w:val="single" w:sz="4" w:space="0" w:color="000000"/>
            </w:tcBorders>
          </w:tcPr>
          <w:p w14:paraId="227C9D9E" w14:textId="77777777" w:rsidR="00016A1A" w:rsidRPr="00263CF6" w:rsidRDefault="00016A1A" w:rsidP="00016A1A">
            <w:pPr>
              <w:snapToGrid w:val="0"/>
              <w:jc w:val="right"/>
              <w:rPr>
                <w:sz w:val="20"/>
                <w:lang w:eastAsia="ar-SA"/>
              </w:rPr>
            </w:pPr>
            <w:r w:rsidRPr="00263CF6">
              <w:rPr>
                <w:sz w:val="20"/>
                <w:lang w:eastAsia="ar-SA"/>
              </w:rPr>
              <w:t>100</w:t>
            </w:r>
          </w:p>
        </w:tc>
        <w:tc>
          <w:tcPr>
            <w:tcW w:w="1125" w:type="dxa"/>
            <w:tcBorders>
              <w:left w:val="single" w:sz="2" w:space="0" w:color="000000"/>
            </w:tcBorders>
            <w:vAlign w:val="center"/>
          </w:tcPr>
          <w:p w14:paraId="21B787FF" w14:textId="77777777" w:rsidR="00016A1A" w:rsidRPr="00263CF6" w:rsidRDefault="00016A1A" w:rsidP="00016A1A">
            <w:pPr>
              <w:snapToGrid w:val="0"/>
              <w:jc w:val="right"/>
              <w:rPr>
                <w:sz w:val="20"/>
                <w:lang w:eastAsia="ar-SA"/>
              </w:rPr>
            </w:pPr>
            <w:r w:rsidRPr="00263CF6">
              <w:rPr>
                <w:sz w:val="20"/>
                <w:lang w:eastAsia="ar-SA"/>
              </w:rPr>
              <w:t>100</w:t>
            </w:r>
          </w:p>
        </w:tc>
        <w:tc>
          <w:tcPr>
            <w:tcW w:w="1125" w:type="dxa"/>
            <w:tcBorders>
              <w:left w:val="single" w:sz="2" w:space="0" w:color="000000"/>
              <w:right w:val="single" w:sz="2" w:space="0" w:color="000000"/>
            </w:tcBorders>
            <w:shd w:val="clear" w:color="auto" w:fill="auto"/>
            <w:vAlign w:val="center"/>
          </w:tcPr>
          <w:p w14:paraId="18E91410" w14:textId="77777777" w:rsidR="00016A1A" w:rsidRPr="00263CF6" w:rsidRDefault="00016A1A" w:rsidP="00016A1A">
            <w:pPr>
              <w:snapToGrid w:val="0"/>
              <w:jc w:val="right"/>
              <w:rPr>
                <w:sz w:val="20"/>
                <w:lang w:eastAsia="ar-SA"/>
              </w:rPr>
            </w:pPr>
            <w:r w:rsidRPr="00263CF6">
              <w:rPr>
                <w:sz w:val="20"/>
                <w:lang w:eastAsia="ar-SA"/>
              </w:rPr>
              <w:t>580</w:t>
            </w:r>
          </w:p>
        </w:tc>
        <w:tc>
          <w:tcPr>
            <w:tcW w:w="930" w:type="dxa"/>
            <w:tcBorders>
              <w:top w:val="nil"/>
              <w:left w:val="single" w:sz="2" w:space="0" w:color="000000"/>
              <w:bottom w:val="nil"/>
              <w:right w:val="single" w:sz="5" w:space="0" w:color="auto"/>
            </w:tcBorders>
            <w:shd w:val="clear" w:color="auto" w:fill="auto"/>
            <w:vAlign w:val="center"/>
          </w:tcPr>
          <w:p w14:paraId="40B355CC" w14:textId="77777777" w:rsidR="00016A1A" w:rsidRPr="00263CF6" w:rsidRDefault="00016A1A" w:rsidP="00016A1A">
            <w:pPr>
              <w:jc w:val="right"/>
              <w:rPr>
                <w:bCs/>
                <w:sz w:val="20"/>
                <w:szCs w:val="20"/>
              </w:rPr>
            </w:pPr>
            <w:r w:rsidRPr="00263CF6">
              <w:rPr>
                <w:bCs/>
                <w:sz w:val="20"/>
                <w:szCs w:val="20"/>
              </w:rPr>
              <w:t>22,15</w:t>
            </w:r>
          </w:p>
        </w:tc>
      </w:tr>
      <w:tr w:rsidR="00016A1A" w:rsidRPr="004B11AC" w14:paraId="55FF1C2E" w14:textId="77777777" w:rsidTr="00016A1A">
        <w:tc>
          <w:tcPr>
            <w:tcW w:w="3780" w:type="dxa"/>
            <w:tcBorders>
              <w:left w:val="single" w:sz="4" w:space="0" w:color="000000"/>
            </w:tcBorders>
          </w:tcPr>
          <w:p w14:paraId="073D10EA" w14:textId="77777777" w:rsidR="00016A1A" w:rsidRPr="0048139A" w:rsidRDefault="00016A1A" w:rsidP="00016A1A">
            <w:pPr>
              <w:snapToGrid w:val="0"/>
              <w:jc w:val="both"/>
              <w:rPr>
                <w:sz w:val="20"/>
                <w:lang w:eastAsia="ar-SA"/>
              </w:rPr>
            </w:pPr>
            <w:r w:rsidRPr="0048139A">
              <w:rPr>
                <w:sz w:val="20"/>
                <w:lang w:eastAsia="ar-SA"/>
              </w:rPr>
              <w:t>Státní plavební správa</w:t>
            </w:r>
          </w:p>
        </w:tc>
        <w:tc>
          <w:tcPr>
            <w:tcW w:w="1125" w:type="dxa"/>
            <w:tcBorders>
              <w:left w:val="single" w:sz="2" w:space="0" w:color="000000"/>
              <w:right w:val="single" w:sz="2" w:space="0" w:color="000000"/>
            </w:tcBorders>
            <w:shd w:val="clear" w:color="auto" w:fill="auto"/>
            <w:vAlign w:val="center"/>
          </w:tcPr>
          <w:p w14:paraId="4CBE89C5" w14:textId="77777777" w:rsidR="00016A1A" w:rsidRPr="0048139A" w:rsidRDefault="00016A1A" w:rsidP="00016A1A">
            <w:pPr>
              <w:snapToGrid w:val="0"/>
              <w:jc w:val="right"/>
              <w:rPr>
                <w:sz w:val="20"/>
                <w:lang w:eastAsia="ar-SA"/>
              </w:rPr>
            </w:pPr>
            <w:r w:rsidRPr="0048139A">
              <w:rPr>
                <w:sz w:val="20"/>
                <w:lang w:eastAsia="ar-SA"/>
              </w:rPr>
              <w:t>6 859</w:t>
            </w:r>
          </w:p>
        </w:tc>
        <w:tc>
          <w:tcPr>
            <w:tcW w:w="1125" w:type="dxa"/>
            <w:tcBorders>
              <w:left w:val="single" w:sz="4" w:space="0" w:color="000000"/>
            </w:tcBorders>
          </w:tcPr>
          <w:p w14:paraId="44B81D36" w14:textId="77777777" w:rsidR="00016A1A" w:rsidRPr="00263CF6" w:rsidRDefault="00016A1A" w:rsidP="00016A1A">
            <w:pPr>
              <w:snapToGrid w:val="0"/>
              <w:jc w:val="right"/>
              <w:rPr>
                <w:sz w:val="20"/>
                <w:lang w:eastAsia="ar-SA"/>
              </w:rPr>
            </w:pPr>
            <w:r w:rsidRPr="00263CF6">
              <w:rPr>
                <w:sz w:val="20"/>
                <w:lang w:eastAsia="ar-SA"/>
              </w:rPr>
              <w:t>6 897</w:t>
            </w:r>
          </w:p>
        </w:tc>
        <w:tc>
          <w:tcPr>
            <w:tcW w:w="1125" w:type="dxa"/>
            <w:tcBorders>
              <w:left w:val="single" w:sz="2" w:space="0" w:color="000000"/>
            </w:tcBorders>
            <w:vAlign w:val="center"/>
          </w:tcPr>
          <w:p w14:paraId="664587DE" w14:textId="77777777" w:rsidR="00016A1A" w:rsidRPr="00263CF6" w:rsidRDefault="00016A1A" w:rsidP="00016A1A">
            <w:pPr>
              <w:snapToGrid w:val="0"/>
              <w:jc w:val="right"/>
              <w:rPr>
                <w:sz w:val="20"/>
                <w:lang w:eastAsia="ar-SA"/>
              </w:rPr>
            </w:pPr>
            <w:r w:rsidRPr="00263CF6">
              <w:rPr>
                <w:sz w:val="20"/>
                <w:lang w:eastAsia="ar-SA"/>
              </w:rPr>
              <w:t>6 897</w:t>
            </w:r>
          </w:p>
        </w:tc>
        <w:tc>
          <w:tcPr>
            <w:tcW w:w="1125" w:type="dxa"/>
            <w:tcBorders>
              <w:left w:val="single" w:sz="2" w:space="0" w:color="000000"/>
              <w:right w:val="single" w:sz="2" w:space="0" w:color="000000"/>
            </w:tcBorders>
            <w:shd w:val="clear" w:color="auto" w:fill="auto"/>
            <w:vAlign w:val="center"/>
          </w:tcPr>
          <w:p w14:paraId="147A3508" w14:textId="77777777" w:rsidR="00016A1A" w:rsidRPr="00263CF6" w:rsidRDefault="00016A1A" w:rsidP="00016A1A">
            <w:pPr>
              <w:snapToGrid w:val="0"/>
              <w:jc w:val="right"/>
              <w:rPr>
                <w:sz w:val="20"/>
                <w:lang w:eastAsia="ar-SA"/>
              </w:rPr>
            </w:pPr>
            <w:r w:rsidRPr="00263CF6">
              <w:rPr>
                <w:sz w:val="20"/>
                <w:lang w:eastAsia="ar-SA"/>
              </w:rPr>
              <w:t>7 246</w:t>
            </w:r>
          </w:p>
        </w:tc>
        <w:tc>
          <w:tcPr>
            <w:tcW w:w="930" w:type="dxa"/>
            <w:tcBorders>
              <w:top w:val="nil"/>
              <w:left w:val="single" w:sz="2" w:space="0" w:color="000000"/>
              <w:bottom w:val="nil"/>
              <w:right w:val="single" w:sz="5" w:space="0" w:color="auto"/>
            </w:tcBorders>
            <w:shd w:val="clear" w:color="auto" w:fill="auto"/>
            <w:vAlign w:val="center"/>
          </w:tcPr>
          <w:p w14:paraId="2F511E2B" w14:textId="77777777" w:rsidR="00016A1A" w:rsidRPr="00263CF6" w:rsidRDefault="00016A1A" w:rsidP="00016A1A">
            <w:pPr>
              <w:jc w:val="right"/>
              <w:rPr>
                <w:bCs/>
                <w:sz w:val="20"/>
                <w:szCs w:val="20"/>
              </w:rPr>
            </w:pPr>
            <w:r w:rsidRPr="00263CF6">
              <w:rPr>
                <w:bCs/>
                <w:sz w:val="20"/>
                <w:szCs w:val="20"/>
              </w:rPr>
              <w:t>105,64</w:t>
            </w:r>
          </w:p>
        </w:tc>
      </w:tr>
      <w:tr w:rsidR="00016A1A" w:rsidRPr="004B11AC" w14:paraId="03BECFEE" w14:textId="77777777" w:rsidTr="00016A1A">
        <w:tc>
          <w:tcPr>
            <w:tcW w:w="3780" w:type="dxa"/>
            <w:tcBorders>
              <w:left w:val="single" w:sz="4" w:space="0" w:color="000000"/>
            </w:tcBorders>
          </w:tcPr>
          <w:p w14:paraId="36E8F245" w14:textId="77777777" w:rsidR="00016A1A" w:rsidRPr="0048139A" w:rsidRDefault="00016A1A" w:rsidP="00016A1A">
            <w:pPr>
              <w:snapToGrid w:val="0"/>
              <w:jc w:val="both"/>
              <w:rPr>
                <w:sz w:val="20"/>
                <w:lang w:eastAsia="ar-SA"/>
              </w:rPr>
            </w:pPr>
            <w:r w:rsidRPr="0048139A">
              <w:rPr>
                <w:sz w:val="20"/>
                <w:lang w:eastAsia="ar-SA"/>
              </w:rPr>
              <w:t>Úřad pro civilní letectví</w:t>
            </w:r>
          </w:p>
        </w:tc>
        <w:tc>
          <w:tcPr>
            <w:tcW w:w="1125" w:type="dxa"/>
            <w:tcBorders>
              <w:left w:val="single" w:sz="2" w:space="0" w:color="000000"/>
              <w:right w:val="single" w:sz="2" w:space="0" w:color="000000"/>
            </w:tcBorders>
            <w:shd w:val="clear" w:color="auto" w:fill="auto"/>
            <w:vAlign w:val="center"/>
          </w:tcPr>
          <w:p w14:paraId="21A30793" w14:textId="77777777" w:rsidR="00016A1A" w:rsidRPr="0048139A" w:rsidRDefault="00016A1A" w:rsidP="00016A1A">
            <w:pPr>
              <w:snapToGrid w:val="0"/>
              <w:jc w:val="right"/>
              <w:rPr>
                <w:sz w:val="20"/>
                <w:lang w:eastAsia="ar-SA"/>
              </w:rPr>
            </w:pPr>
            <w:r w:rsidRPr="0048139A">
              <w:rPr>
                <w:sz w:val="20"/>
                <w:lang w:eastAsia="ar-SA"/>
              </w:rPr>
              <w:t>10 110</w:t>
            </w:r>
          </w:p>
        </w:tc>
        <w:tc>
          <w:tcPr>
            <w:tcW w:w="1125" w:type="dxa"/>
            <w:tcBorders>
              <w:left w:val="single" w:sz="4" w:space="0" w:color="000000"/>
            </w:tcBorders>
            <w:vAlign w:val="center"/>
          </w:tcPr>
          <w:p w14:paraId="06666953" w14:textId="77777777" w:rsidR="00016A1A" w:rsidRPr="00263CF6" w:rsidRDefault="00016A1A" w:rsidP="00016A1A">
            <w:pPr>
              <w:snapToGrid w:val="0"/>
              <w:jc w:val="right"/>
              <w:rPr>
                <w:sz w:val="20"/>
                <w:lang w:eastAsia="ar-SA"/>
              </w:rPr>
            </w:pPr>
            <w:r w:rsidRPr="00263CF6">
              <w:rPr>
                <w:sz w:val="20"/>
                <w:lang w:eastAsia="ar-SA"/>
              </w:rPr>
              <w:t>11 550</w:t>
            </w:r>
          </w:p>
        </w:tc>
        <w:tc>
          <w:tcPr>
            <w:tcW w:w="1125" w:type="dxa"/>
            <w:tcBorders>
              <w:left w:val="single" w:sz="2" w:space="0" w:color="000000"/>
            </w:tcBorders>
            <w:vAlign w:val="center"/>
          </w:tcPr>
          <w:p w14:paraId="21E33D3E" w14:textId="77777777" w:rsidR="00016A1A" w:rsidRPr="00263CF6" w:rsidRDefault="00016A1A" w:rsidP="00016A1A">
            <w:pPr>
              <w:snapToGrid w:val="0"/>
              <w:jc w:val="right"/>
              <w:rPr>
                <w:sz w:val="20"/>
                <w:lang w:eastAsia="ar-SA"/>
              </w:rPr>
            </w:pPr>
            <w:r w:rsidRPr="00263CF6">
              <w:rPr>
                <w:sz w:val="20"/>
                <w:lang w:eastAsia="ar-SA"/>
              </w:rPr>
              <w:t>11 550</w:t>
            </w:r>
          </w:p>
        </w:tc>
        <w:tc>
          <w:tcPr>
            <w:tcW w:w="1125" w:type="dxa"/>
            <w:tcBorders>
              <w:left w:val="single" w:sz="2" w:space="0" w:color="000000"/>
              <w:right w:val="single" w:sz="2" w:space="0" w:color="000000"/>
            </w:tcBorders>
            <w:shd w:val="clear" w:color="auto" w:fill="auto"/>
            <w:vAlign w:val="center"/>
          </w:tcPr>
          <w:p w14:paraId="25B12DD2" w14:textId="77777777" w:rsidR="00016A1A" w:rsidRPr="00263CF6" w:rsidRDefault="00016A1A" w:rsidP="00016A1A">
            <w:pPr>
              <w:snapToGrid w:val="0"/>
              <w:jc w:val="right"/>
              <w:rPr>
                <w:sz w:val="20"/>
                <w:lang w:eastAsia="ar-SA"/>
              </w:rPr>
            </w:pPr>
            <w:r w:rsidRPr="00263CF6">
              <w:rPr>
                <w:sz w:val="20"/>
                <w:lang w:eastAsia="ar-SA"/>
              </w:rPr>
              <w:t>3 6</w:t>
            </w:r>
            <w:r>
              <w:rPr>
                <w:sz w:val="20"/>
                <w:lang w:eastAsia="ar-SA"/>
              </w:rPr>
              <w:t>29</w:t>
            </w:r>
          </w:p>
        </w:tc>
        <w:tc>
          <w:tcPr>
            <w:tcW w:w="930" w:type="dxa"/>
            <w:tcBorders>
              <w:top w:val="nil"/>
              <w:left w:val="single" w:sz="2" w:space="0" w:color="000000"/>
              <w:right w:val="single" w:sz="5" w:space="0" w:color="auto"/>
            </w:tcBorders>
            <w:shd w:val="clear" w:color="auto" w:fill="auto"/>
            <w:vAlign w:val="center"/>
          </w:tcPr>
          <w:p w14:paraId="193790E8" w14:textId="77777777" w:rsidR="00016A1A" w:rsidRPr="00263CF6" w:rsidRDefault="00016A1A" w:rsidP="00016A1A">
            <w:pPr>
              <w:jc w:val="right"/>
              <w:rPr>
                <w:bCs/>
                <w:sz w:val="20"/>
                <w:szCs w:val="20"/>
              </w:rPr>
            </w:pPr>
            <w:r w:rsidRPr="00263CF6">
              <w:rPr>
                <w:bCs/>
                <w:sz w:val="20"/>
                <w:szCs w:val="20"/>
              </w:rPr>
              <w:t>35,9</w:t>
            </w:r>
            <w:r>
              <w:rPr>
                <w:bCs/>
                <w:sz w:val="20"/>
                <w:szCs w:val="20"/>
              </w:rPr>
              <w:t>0</w:t>
            </w:r>
          </w:p>
        </w:tc>
      </w:tr>
      <w:tr w:rsidR="00016A1A" w:rsidRPr="004B11AC" w14:paraId="6C2D3EDA" w14:textId="77777777" w:rsidTr="004D018A">
        <w:trPr>
          <w:trHeight w:val="547"/>
        </w:trPr>
        <w:tc>
          <w:tcPr>
            <w:tcW w:w="3780" w:type="dxa"/>
            <w:tcBorders>
              <w:left w:val="single" w:sz="4" w:space="0" w:color="000000"/>
              <w:bottom w:val="single" w:sz="4" w:space="0" w:color="000000"/>
            </w:tcBorders>
          </w:tcPr>
          <w:p w14:paraId="4A3B810D" w14:textId="77777777" w:rsidR="00016A1A" w:rsidRPr="0048139A" w:rsidRDefault="00016A1A" w:rsidP="00016A1A">
            <w:pPr>
              <w:snapToGrid w:val="0"/>
              <w:jc w:val="both"/>
              <w:rPr>
                <w:sz w:val="20"/>
                <w:lang w:eastAsia="ar-SA"/>
              </w:rPr>
            </w:pPr>
            <w:r w:rsidRPr="0048139A">
              <w:rPr>
                <w:sz w:val="20"/>
                <w:lang w:eastAsia="ar-SA"/>
              </w:rPr>
              <w:t>Ústav pro odborné zjišťování příčin leteckých nehod</w:t>
            </w:r>
          </w:p>
        </w:tc>
        <w:tc>
          <w:tcPr>
            <w:tcW w:w="1125" w:type="dxa"/>
            <w:tcBorders>
              <w:left w:val="single" w:sz="2" w:space="0" w:color="000000"/>
              <w:bottom w:val="single" w:sz="2" w:space="0" w:color="auto"/>
              <w:right w:val="single" w:sz="2" w:space="0" w:color="000000"/>
            </w:tcBorders>
            <w:shd w:val="clear" w:color="auto" w:fill="auto"/>
            <w:vAlign w:val="center"/>
          </w:tcPr>
          <w:p w14:paraId="67D2B446" w14:textId="77777777" w:rsidR="00016A1A" w:rsidRPr="0048139A" w:rsidRDefault="00016A1A" w:rsidP="00016A1A">
            <w:pPr>
              <w:jc w:val="right"/>
              <w:rPr>
                <w:sz w:val="20"/>
                <w:lang w:eastAsia="ar-SA"/>
              </w:rPr>
            </w:pPr>
          </w:p>
          <w:p w14:paraId="195AD87E" w14:textId="77777777" w:rsidR="00016A1A" w:rsidRPr="0048139A" w:rsidRDefault="00016A1A" w:rsidP="00016A1A">
            <w:pPr>
              <w:jc w:val="right"/>
              <w:rPr>
                <w:sz w:val="20"/>
                <w:lang w:eastAsia="ar-SA"/>
              </w:rPr>
            </w:pPr>
            <w:r w:rsidRPr="0048139A">
              <w:rPr>
                <w:sz w:val="20"/>
                <w:lang w:eastAsia="ar-SA"/>
              </w:rPr>
              <w:t>909</w:t>
            </w:r>
          </w:p>
        </w:tc>
        <w:tc>
          <w:tcPr>
            <w:tcW w:w="1125" w:type="dxa"/>
            <w:tcBorders>
              <w:left w:val="single" w:sz="4" w:space="0" w:color="000000"/>
              <w:bottom w:val="single" w:sz="4" w:space="0" w:color="auto"/>
            </w:tcBorders>
            <w:vAlign w:val="center"/>
          </w:tcPr>
          <w:p w14:paraId="4D30254D" w14:textId="77777777" w:rsidR="00016A1A" w:rsidRPr="00263CF6" w:rsidRDefault="00016A1A" w:rsidP="004D018A">
            <w:pPr>
              <w:jc w:val="right"/>
              <w:rPr>
                <w:sz w:val="20"/>
                <w:lang w:eastAsia="ar-SA"/>
              </w:rPr>
            </w:pPr>
          </w:p>
          <w:p w14:paraId="4B13D868" w14:textId="77777777" w:rsidR="00016A1A" w:rsidRPr="00263CF6" w:rsidRDefault="00016A1A" w:rsidP="004D018A">
            <w:pPr>
              <w:jc w:val="right"/>
              <w:rPr>
                <w:sz w:val="20"/>
                <w:lang w:eastAsia="ar-SA"/>
              </w:rPr>
            </w:pPr>
            <w:r w:rsidRPr="00263CF6">
              <w:rPr>
                <w:sz w:val="20"/>
                <w:lang w:eastAsia="ar-SA"/>
              </w:rPr>
              <w:t>1 300</w:t>
            </w:r>
          </w:p>
        </w:tc>
        <w:tc>
          <w:tcPr>
            <w:tcW w:w="1125" w:type="dxa"/>
            <w:tcBorders>
              <w:left w:val="single" w:sz="2" w:space="0" w:color="000000"/>
              <w:bottom w:val="single" w:sz="2" w:space="0" w:color="auto"/>
            </w:tcBorders>
            <w:vAlign w:val="center"/>
          </w:tcPr>
          <w:p w14:paraId="5361FB07" w14:textId="77777777" w:rsidR="00016A1A" w:rsidRPr="00263CF6" w:rsidRDefault="00016A1A" w:rsidP="00016A1A">
            <w:pPr>
              <w:jc w:val="right"/>
              <w:rPr>
                <w:sz w:val="20"/>
                <w:lang w:eastAsia="ar-SA"/>
              </w:rPr>
            </w:pPr>
          </w:p>
          <w:p w14:paraId="70E80EEF" w14:textId="77777777" w:rsidR="00016A1A" w:rsidRPr="00263CF6" w:rsidRDefault="00016A1A" w:rsidP="00016A1A">
            <w:pPr>
              <w:jc w:val="right"/>
              <w:rPr>
                <w:sz w:val="20"/>
                <w:lang w:eastAsia="ar-SA"/>
              </w:rPr>
            </w:pPr>
            <w:r w:rsidRPr="00263CF6">
              <w:rPr>
                <w:sz w:val="20"/>
                <w:lang w:eastAsia="ar-SA"/>
              </w:rPr>
              <w:t>1 300</w:t>
            </w:r>
          </w:p>
        </w:tc>
        <w:tc>
          <w:tcPr>
            <w:tcW w:w="1125" w:type="dxa"/>
            <w:tcBorders>
              <w:left w:val="single" w:sz="2" w:space="0" w:color="000000"/>
              <w:bottom w:val="single" w:sz="2" w:space="0" w:color="auto"/>
              <w:right w:val="single" w:sz="2" w:space="0" w:color="000000"/>
            </w:tcBorders>
            <w:shd w:val="clear" w:color="auto" w:fill="auto"/>
            <w:vAlign w:val="center"/>
          </w:tcPr>
          <w:p w14:paraId="1191ED66" w14:textId="77777777" w:rsidR="00016A1A" w:rsidRPr="00263CF6" w:rsidRDefault="00016A1A" w:rsidP="00016A1A">
            <w:pPr>
              <w:jc w:val="right"/>
              <w:rPr>
                <w:sz w:val="20"/>
                <w:lang w:eastAsia="ar-SA"/>
              </w:rPr>
            </w:pPr>
          </w:p>
          <w:p w14:paraId="264D1E39" w14:textId="77777777" w:rsidR="00016A1A" w:rsidRPr="00263CF6" w:rsidRDefault="00016A1A" w:rsidP="00016A1A">
            <w:pPr>
              <w:jc w:val="right"/>
              <w:rPr>
                <w:sz w:val="20"/>
                <w:lang w:eastAsia="ar-SA"/>
              </w:rPr>
            </w:pPr>
            <w:r>
              <w:rPr>
                <w:sz w:val="20"/>
                <w:lang w:eastAsia="ar-SA"/>
              </w:rPr>
              <w:t>406</w:t>
            </w:r>
          </w:p>
        </w:tc>
        <w:tc>
          <w:tcPr>
            <w:tcW w:w="930" w:type="dxa"/>
            <w:tcBorders>
              <w:top w:val="nil"/>
              <w:left w:val="single" w:sz="2" w:space="0" w:color="000000"/>
              <w:bottom w:val="single" w:sz="2" w:space="0" w:color="auto"/>
              <w:right w:val="single" w:sz="5" w:space="0" w:color="auto"/>
            </w:tcBorders>
            <w:shd w:val="clear" w:color="auto" w:fill="auto"/>
            <w:vAlign w:val="center"/>
          </w:tcPr>
          <w:p w14:paraId="778D4513" w14:textId="77777777" w:rsidR="00016A1A" w:rsidRPr="00263CF6" w:rsidRDefault="00016A1A" w:rsidP="00016A1A">
            <w:pPr>
              <w:jc w:val="right"/>
              <w:rPr>
                <w:bCs/>
                <w:sz w:val="20"/>
                <w:szCs w:val="20"/>
              </w:rPr>
            </w:pPr>
          </w:p>
          <w:p w14:paraId="019FD7FA" w14:textId="77777777" w:rsidR="00016A1A" w:rsidRPr="00263CF6" w:rsidRDefault="00016A1A" w:rsidP="00016A1A">
            <w:pPr>
              <w:jc w:val="right"/>
              <w:rPr>
                <w:bCs/>
                <w:sz w:val="20"/>
                <w:szCs w:val="20"/>
              </w:rPr>
            </w:pPr>
            <w:r w:rsidRPr="00263CF6">
              <w:rPr>
                <w:bCs/>
                <w:sz w:val="20"/>
                <w:szCs w:val="20"/>
              </w:rPr>
              <w:t>44,</w:t>
            </w:r>
            <w:r>
              <w:rPr>
                <w:bCs/>
                <w:sz w:val="20"/>
                <w:szCs w:val="20"/>
              </w:rPr>
              <w:t>66</w:t>
            </w:r>
          </w:p>
        </w:tc>
      </w:tr>
    </w:tbl>
    <w:bookmarkEnd w:id="966"/>
    <w:p w14:paraId="1ED11168" w14:textId="77777777" w:rsidR="00016A1A" w:rsidRDefault="00016A1A" w:rsidP="00155668">
      <w:pPr>
        <w:pStyle w:val="KOMtext"/>
        <w:rPr>
          <w:bCs/>
        </w:rPr>
      </w:pPr>
      <w:r>
        <w:t xml:space="preserve">Pro rok 2019 byl stanoven schválený objem výdajů na </w:t>
      </w:r>
      <w:r w:rsidRPr="00263CF6">
        <w:t xml:space="preserve">investiční nákupy a související výdaje organizačních složek státu v částce 93 772 </w:t>
      </w:r>
      <w:r w:rsidRPr="00263CF6">
        <w:rPr>
          <w:bCs/>
        </w:rPr>
        <w:t>tis. Kč</w:t>
      </w:r>
      <w:r>
        <w:rPr>
          <w:bCs/>
        </w:rPr>
        <w:t xml:space="preserve">. Prostředky byly určeny na program </w:t>
      </w:r>
      <w:r w:rsidRPr="00E82B50">
        <w:rPr>
          <w:b/>
          <w:bCs/>
        </w:rPr>
        <w:t>127 03 „Rozvoj a obnova MTZ systému řízení MD-OSS“</w:t>
      </w:r>
      <w:r>
        <w:rPr>
          <w:bCs/>
        </w:rPr>
        <w:t>. V průběhu roku byla účast státu upravena na částku 88 864 tis. Kč.</w:t>
      </w:r>
    </w:p>
    <w:p w14:paraId="55958A7D" w14:textId="77777777" w:rsidR="00016A1A" w:rsidRPr="00E82B50" w:rsidRDefault="00016A1A" w:rsidP="00155668">
      <w:pPr>
        <w:pStyle w:val="KOMtext"/>
      </w:pPr>
      <w:r w:rsidRPr="00E82B50">
        <w:t>Organizace z částky upraveného rozpočtu čerpaly prostř</w:t>
      </w:r>
      <w:r w:rsidR="00155668">
        <w:t xml:space="preserve">edky ve výši 42 640 tis. Kč, </w:t>
      </w:r>
      <w:r w:rsidRPr="00E82B50">
        <w:t>tj. 47,98 % upraveného rozpočtu, z toho nároky z nespotřebovaných výdajů minul</w:t>
      </w:r>
      <w:r w:rsidR="00155668">
        <w:t xml:space="preserve">ých let </w:t>
      </w:r>
      <w:r w:rsidRPr="00E82B50">
        <w:t xml:space="preserve">22 142 tis. Kč, prostředky EU 70 tis. Kč, mimorozpočtový zdroj (RF) 278 tis. Kč. </w:t>
      </w:r>
    </w:p>
    <w:p w14:paraId="64EEB0BA" w14:textId="7621AFDD" w:rsidR="00016A1A" w:rsidRPr="00E82B50" w:rsidRDefault="00016A1A" w:rsidP="00016A1A">
      <w:pPr>
        <w:pStyle w:val="Titulek"/>
      </w:pPr>
      <w:bookmarkStart w:id="967" w:name="_Toc508879900"/>
      <w:bookmarkStart w:id="968" w:name="_Toc508880176"/>
      <w:bookmarkStart w:id="969" w:name="_Toc34288686"/>
      <w:bookmarkStart w:id="970" w:name="_Toc255297648"/>
      <w:bookmarkEnd w:id="964"/>
      <w:r w:rsidRPr="00E82B50">
        <w:lastRenderedPageBreak/>
        <w:t xml:space="preserve">Graf č. </w:t>
      </w:r>
      <w:r w:rsidRPr="00E82B50">
        <w:rPr>
          <w:noProof/>
        </w:rPr>
        <w:fldChar w:fldCharType="begin"/>
      </w:r>
      <w:r w:rsidRPr="00E82B50">
        <w:rPr>
          <w:noProof/>
        </w:rPr>
        <w:instrText xml:space="preserve"> SEQ Graf_č. \* ARABIC </w:instrText>
      </w:r>
      <w:r w:rsidRPr="00E82B50">
        <w:rPr>
          <w:noProof/>
        </w:rPr>
        <w:fldChar w:fldCharType="separate"/>
      </w:r>
      <w:r w:rsidR="00DF450F">
        <w:rPr>
          <w:noProof/>
        </w:rPr>
        <w:t>19</w:t>
      </w:r>
      <w:r w:rsidRPr="00E82B50">
        <w:rPr>
          <w:noProof/>
        </w:rPr>
        <w:fldChar w:fldCharType="end"/>
      </w:r>
      <w:r w:rsidRPr="00E82B50">
        <w:t>:  Přehled kapitálových výdajů organizačních složek státu kapitoly 327-MD</w:t>
      </w:r>
      <w:bookmarkEnd w:id="967"/>
      <w:bookmarkEnd w:id="968"/>
      <w:bookmarkEnd w:id="969"/>
    </w:p>
    <w:p w14:paraId="33FECF2D" w14:textId="77777777" w:rsidR="00016A1A" w:rsidRPr="004B11AC" w:rsidRDefault="00016A1A" w:rsidP="00016A1A">
      <w:pPr>
        <w:rPr>
          <w:color w:val="FF0000"/>
        </w:rPr>
      </w:pPr>
      <w:r w:rsidRPr="004B11AC">
        <w:rPr>
          <w:noProof/>
          <w:color w:val="FF0000"/>
        </w:rPr>
        <w:drawing>
          <wp:inline distT="0" distB="0" distL="0" distR="0" wp14:anchorId="67E64994" wp14:editId="0E8884BC">
            <wp:extent cx="5749290" cy="2534856"/>
            <wp:effectExtent l="0" t="0" r="3810" b="0"/>
            <wp:docPr id="43" name="Graf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bookmarkEnd w:id="970"/>
    <w:p w14:paraId="515EB1A3" w14:textId="77777777" w:rsidR="00016A1A" w:rsidRPr="00723777" w:rsidRDefault="00016A1A" w:rsidP="00016A1A">
      <w:pPr>
        <w:spacing w:after="120"/>
        <w:ind w:firstLine="709"/>
        <w:jc w:val="both"/>
        <w:rPr>
          <w:szCs w:val="20"/>
        </w:rPr>
      </w:pPr>
      <w:r w:rsidRPr="00723777">
        <w:rPr>
          <w:szCs w:val="20"/>
        </w:rPr>
        <w:t>Prostředky byly čerpány v rámci:</w:t>
      </w:r>
    </w:p>
    <w:p w14:paraId="38D18E36" w14:textId="77777777" w:rsidR="00016A1A" w:rsidRPr="007A1C53" w:rsidRDefault="00016A1A" w:rsidP="00275CE2">
      <w:pPr>
        <w:pStyle w:val="KOMtext"/>
        <w:numPr>
          <w:ilvl w:val="0"/>
          <w:numId w:val="52"/>
        </w:numPr>
        <w:ind w:left="709" w:hanging="425"/>
        <w:rPr>
          <w:lang w:eastAsia="ar-SA"/>
        </w:rPr>
      </w:pPr>
      <w:r w:rsidRPr="00723777">
        <w:rPr>
          <w:lang w:eastAsia="ar-SA"/>
        </w:rPr>
        <w:t xml:space="preserve">programu  </w:t>
      </w:r>
      <w:r w:rsidRPr="00723777">
        <w:rPr>
          <w:b/>
          <w:lang w:eastAsia="ar-SA"/>
        </w:rPr>
        <w:t xml:space="preserve">127 01 „Rozvoj a obnova MTZ systému řízení MD - OSS“ </w:t>
      </w:r>
      <w:r w:rsidR="00155668">
        <w:rPr>
          <w:lang w:eastAsia="ar-SA"/>
        </w:rPr>
        <w:t>ve výši</w:t>
      </w:r>
      <w:r w:rsidRPr="00723777">
        <w:rPr>
          <w:lang w:eastAsia="ar-SA"/>
        </w:rPr>
        <w:t xml:space="preserve"> </w:t>
      </w:r>
      <w:r w:rsidR="00A06E49">
        <w:rPr>
          <w:lang w:eastAsia="ar-SA"/>
        </w:rPr>
        <w:br/>
      </w:r>
      <w:r w:rsidRPr="00723777">
        <w:rPr>
          <w:lang w:eastAsia="ar-SA"/>
        </w:rPr>
        <w:t>2 452 tis. Kč, z toho nároky 2 452 tis. Kč. Prostředky byly čerpány ústředním orgánem MD na akce související s</w:t>
      </w:r>
      <w:r>
        <w:rPr>
          <w:lang w:eastAsia="ar-SA"/>
        </w:rPr>
        <w:t> </w:t>
      </w:r>
      <w:r w:rsidRPr="00723777">
        <w:rPr>
          <w:lang w:eastAsia="ar-SA"/>
        </w:rPr>
        <w:t>ICT</w:t>
      </w:r>
      <w:r>
        <w:rPr>
          <w:lang w:eastAsia="ar-SA"/>
        </w:rPr>
        <w:t xml:space="preserve">. </w:t>
      </w:r>
    </w:p>
    <w:p w14:paraId="5A4978D8" w14:textId="4F5C1EE0" w:rsidR="00016A1A" w:rsidRPr="00155668" w:rsidRDefault="00016A1A" w:rsidP="00275CE2">
      <w:pPr>
        <w:pStyle w:val="KOMtext"/>
        <w:numPr>
          <w:ilvl w:val="0"/>
          <w:numId w:val="52"/>
        </w:numPr>
        <w:ind w:left="709" w:hanging="425"/>
      </w:pPr>
      <w:r w:rsidRPr="00155668">
        <w:t xml:space="preserve">programu  </w:t>
      </w:r>
      <w:r w:rsidRPr="00281F9B">
        <w:rPr>
          <w:b/>
        </w:rPr>
        <w:t>127 03 „Rozvoj a obnova MTZ systému řízení MD - OSS“</w:t>
      </w:r>
      <w:r w:rsidRPr="00155668">
        <w:t xml:space="preserve"> ve výši </w:t>
      </w:r>
      <w:r w:rsidRPr="00155668">
        <w:br/>
        <w:t xml:space="preserve">40 188 tis. Kč, z toho prostředky EU 70 tis. Kč, nároky 19 690 tis. Kč, prostředky rezervního fondu 278 tis. Kč.  Prostředky byly čerpány ústředním orgánem MD ve výši 26 297 tis. Kč (z toho nároky 13 281 tis. Kč, z toho prostředky EU 70 tis. Kč, </w:t>
      </w:r>
      <w:r w:rsidR="00281F9B">
        <w:t xml:space="preserve">z toho </w:t>
      </w:r>
      <w:r w:rsidRPr="00155668">
        <w:t>prostředky rezervního fondu 278 tis. Kč), Státní plavební správou ve výši 7 246 tis. Kč (z toho nároky 2 975 tis. Kč), Úřadem pro civilní letectví ve výši 3 629</w:t>
      </w:r>
      <w:r w:rsidR="00155668">
        <w:t xml:space="preserve"> tis. Kč (z toho nároky </w:t>
      </w:r>
      <w:r w:rsidRPr="00155668">
        <w:t xml:space="preserve">513 tis. Kč), Drážní inspekcí ve výši 1 935 tis. Kč (z toho nároky 1 935 tis. Kč), Ředitelstvím vodních cest </w:t>
      </w:r>
      <w:r w:rsidR="00F238ED">
        <w:t xml:space="preserve">ČR </w:t>
      </w:r>
      <w:r w:rsidRPr="00155668">
        <w:t xml:space="preserve">ve výši 580 tis. Kč (z toho nároky 580 tis. Kč),  Ústavem pro odborné zjišťování příčin leteckých nehod ve výši 406 tis. Kč (z toho nároky </w:t>
      </w:r>
      <w:r w:rsidR="00631835">
        <w:br/>
      </w:r>
      <w:r w:rsidRPr="00155668">
        <w:t>406 tis. Kč), Drážním úřadem ve výši 95 tis. Kč, a to hlavně na akce související s ICT, na výrobu preventivních audiovizuálních a rozhlasovýc</w:t>
      </w:r>
      <w:r w:rsidR="00155668">
        <w:t xml:space="preserve">h spotů s tematikou bezpečnosti </w:t>
      </w:r>
      <w:r w:rsidRPr="00155668">
        <w:t xml:space="preserve">silničního provozu, na nákup automobilů, automatického hasicího systému, portálového jeřábu, kancelářské techniky, atd. </w:t>
      </w:r>
    </w:p>
    <w:p w14:paraId="4FADDE65" w14:textId="77777777" w:rsidR="00016A1A" w:rsidRPr="00723777" w:rsidRDefault="00016A1A" w:rsidP="00CD1704">
      <w:pPr>
        <w:pStyle w:val="KOMtext"/>
        <w:keepNext/>
      </w:pPr>
      <w:r w:rsidRPr="00155668">
        <w:rPr>
          <w:u w:val="single"/>
        </w:rPr>
        <w:lastRenderedPageBreak/>
        <w:t>Porovnání investičních nákupů a souvisejících výdajů organizač</w:t>
      </w:r>
      <w:r w:rsidR="00155668">
        <w:rPr>
          <w:u w:val="single"/>
        </w:rPr>
        <w:t xml:space="preserve">ních složek státu </w:t>
      </w:r>
      <w:r w:rsidRPr="00155668">
        <w:rPr>
          <w:u w:val="single"/>
        </w:rPr>
        <w:t>ve vývojové řadě 2015 – 2019</w:t>
      </w:r>
      <w:r w:rsidRPr="00723777">
        <w:t xml:space="preserve"> v rozdělení na jednotlivé organizace:</w:t>
      </w:r>
    </w:p>
    <w:p w14:paraId="5C39A00E" w14:textId="77777777" w:rsidR="00016A1A" w:rsidRPr="00723777" w:rsidRDefault="00016A1A" w:rsidP="00DB2320">
      <w:pPr>
        <w:keepNext/>
        <w:ind w:left="357" w:right="1"/>
        <w:jc w:val="right"/>
      </w:pPr>
      <w:r w:rsidRPr="00723777">
        <w:t>v tis.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1152"/>
        <w:gridCol w:w="1152"/>
        <w:gridCol w:w="1152"/>
        <w:gridCol w:w="1152"/>
        <w:gridCol w:w="1152"/>
      </w:tblGrid>
      <w:tr w:rsidR="00016A1A" w:rsidRPr="00723777" w14:paraId="3E0DDBA9" w14:textId="77777777" w:rsidTr="00155668">
        <w:trPr>
          <w:tblHeader/>
        </w:trPr>
        <w:tc>
          <w:tcPr>
            <w:tcW w:w="3420" w:type="dxa"/>
          </w:tcPr>
          <w:p w14:paraId="29BE3159" w14:textId="77777777" w:rsidR="00016A1A" w:rsidRPr="00723777" w:rsidRDefault="00016A1A" w:rsidP="00016A1A">
            <w:pPr>
              <w:jc w:val="center"/>
              <w:rPr>
                <w:sz w:val="22"/>
                <w:szCs w:val="22"/>
              </w:rPr>
            </w:pPr>
          </w:p>
          <w:p w14:paraId="0077EB44" w14:textId="77777777" w:rsidR="00016A1A" w:rsidRPr="00723777" w:rsidRDefault="00016A1A" w:rsidP="00016A1A">
            <w:pPr>
              <w:jc w:val="center"/>
              <w:rPr>
                <w:sz w:val="22"/>
                <w:szCs w:val="22"/>
              </w:rPr>
            </w:pPr>
            <w:r w:rsidRPr="00723777">
              <w:rPr>
                <w:sz w:val="22"/>
                <w:szCs w:val="22"/>
              </w:rPr>
              <w:t>Ukazatel</w:t>
            </w:r>
          </w:p>
        </w:tc>
        <w:tc>
          <w:tcPr>
            <w:tcW w:w="1152" w:type="dxa"/>
            <w:vAlign w:val="center"/>
          </w:tcPr>
          <w:p w14:paraId="13895191" w14:textId="77777777" w:rsidR="00016A1A" w:rsidRPr="00723777" w:rsidRDefault="00016A1A" w:rsidP="00016A1A">
            <w:pPr>
              <w:jc w:val="center"/>
              <w:rPr>
                <w:sz w:val="22"/>
                <w:szCs w:val="22"/>
              </w:rPr>
            </w:pPr>
            <w:r w:rsidRPr="00723777">
              <w:rPr>
                <w:sz w:val="22"/>
                <w:szCs w:val="22"/>
              </w:rPr>
              <w:t>Skutečnost 2015</w:t>
            </w:r>
          </w:p>
        </w:tc>
        <w:tc>
          <w:tcPr>
            <w:tcW w:w="1152" w:type="dxa"/>
            <w:vAlign w:val="center"/>
          </w:tcPr>
          <w:p w14:paraId="160AF48E" w14:textId="77777777" w:rsidR="00016A1A" w:rsidRPr="00723777" w:rsidRDefault="00016A1A" w:rsidP="00016A1A">
            <w:pPr>
              <w:jc w:val="center"/>
              <w:rPr>
                <w:sz w:val="22"/>
                <w:szCs w:val="22"/>
              </w:rPr>
            </w:pPr>
            <w:r w:rsidRPr="00723777">
              <w:rPr>
                <w:sz w:val="22"/>
                <w:szCs w:val="22"/>
              </w:rPr>
              <w:t>Skutečnost</w:t>
            </w:r>
          </w:p>
          <w:p w14:paraId="3D54B880" w14:textId="77777777" w:rsidR="00016A1A" w:rsidRPr="00723777" w:rsidRDefault="00016A1A" w:rsidP="00016A1A">
            <w:pPr>
              <w:jc w:val="center"/>
              <w:rPr>
                <w:sz w:val="22"/>
                <w:szCs w:val="22"/>
              </w:rPr>
            </w:pPr>
            <w:r w:rsidRPr="00723777">
              <w:rPr>
                <w:sz w:val="22"/>
                <w:szCs w:val="22"/>
              </w:rPr>
              <w:t>2016</w:t>
            </w:r>
          </w:p>
        </w:tc>
        <w:tc>
          <w:tcPr>
            <w:tcW w:w="1152" w:type="dxa"/>
            <w:vAlign w:val="center"/>
          </w:tcPr>
          <w:p w14:paraId="7636DE93" w14:textId="77777777" w:rsidR="00016A1A" w:rsidRPr="00723777" w:rsidRDefault="00016A1A" w:rsidP="00016A1A">
            <w:pPr>
              <w:jc w:val="center"/>
              <w:rPr>
                <w:sz w:val="22"/>
                <w:szCs w:val="22"/>
              </w:rPr>
            </w:pPr>
            <w:r w:rsidRPr="00723777">
              <w:rPr>
                <w:sz w:val="22"/>
                <w:szCs w:val="22"/>
              </w:rPr>
              <w:t>Skutečnost</w:t>
            </w:r>
          </w:p>
          <w:p w14:paraId="3205AE48" w14:textId="77777777" w:rsidR="00016A1A" w:rsidRPr="00723777" w:rsidRDefault="00016A1A" w:rsidP="00016A1A">
            <w:pPr>
              <w:jc w:val="center"/>
              <w:rPr>
                <w:sz w:val="22"/>
                <w:szCs w:val="22"/>
              </w:rPr>
            </w:pPr>
            <w:r w:rsidRPr="00723777">
              <w:rPr>
                <w:sz w:val="22"/>
                <w:szCs w:val="22"/>
              </w:rPr>
              <w:t>2017</w:t>
            </w:r>
          </w:p>
        </w:tc>
        <w:tc>
          <w:tcPr>
            <w:tcW w:w="1152" w:type="dxa"/>
            <w:vAlign w:val="center"/>
          </w:tcPr>
          <w:p w14:paraId="1EFBC3D2" w14:textId="77777777" w:rsidR="00016A1A" w:rsidRPr="00723777" w:rsidRDefault="00016A1A" w:rsidP="00016A1A">
            <w:pPr>
              <w:jc w:val="center"/>
              <w:rPr>
                <w:sz w:val="22"/>
                <w:szCs w:val="22"/>
              </w:rPr>
            </w:pPr>
            <w:r w:rsidRPr="00723777">
              <w:rPr>
                <w:sz w:val="22"/>
                <w:szCs w:val="22"/>
              </w:rPr>
              <w:t>Skutečnost</w:t>
            </w:r>
          </w:p>
          <w:p w14:paraId="3B940397" w14:textId="77777777" w:rsidR="00016A1A" w:rsidRPr="00723777" w:rsidRDefault="00016A1A" w:rsidP="00016A1A">
            <w:pPr>
              <w:jc w:val="center"/>
              <w:rPr>
                <w:sz w:val="22"/>
                <w:szCs w:val="22"/>
              </w:rPr>
            </w:pPr>
            <w:r w:rsidRPr="00723777">
              <w:rPr>
                <w:sz w:val="22"/>
                <w:szCs w:val="22"/>
              </w:rPr>
              <w:t>2018</w:t>
            </w:r>
          </w:p>
        </w:tc>
        <w:tc>
          <w:tcPr>
            <w:tcW w:w="1152" w:type="dxa"/>
          </w:tcPr>
          <w:p w14:paraId="385A8974" w14:textId="77777777" w:rsidR="00016A1A" w:rsidRPr="00723777" w:rsidRDefault="00016A1A" w:rsidP="00016A1A">
            <w:pPr>
              <w:jc w:val="center"/>
              <w:rPr>
                <w:sz w:val="22"/>
                <w:szCs w:val="22"/>
              </w:rPr>
            </w:pPr>
            <w:r w:rsidRPr="00723777">
              <w:rPr>
                <w:sz w:val="22"/>
                <w:szCs w:val="22"/>
              </w:rPr>
              <w:t>Skutečnost</w:t>
            </w:r>
          </w:p>
          <w:p w14:paraId="0457F991" w14:textId="77777777" w:rsidR="00016A1A" w:rsidRPr="00723777" w:rsidRDefault="00016A1A" w:rsidP="00016A1A">
            <w:pPr>
              <w:jc w:val="center"/>
              <w:rPr>
                <w:sz w:val="22"/>
                <w:szCs w:val="22"/>
              </w:rPr>
            </w:pPr>
            <w:r w:rsidRPr="00723777">
              <w:rPr>
                <w:sz w:val="22"/>
                <w:szCs w:val="22"/>
              </w:rPr>
              <w:t xml:space="preserve">2019 </w:t>
            </w:r>
          </w:p>
        </w:tc>
      </w:tr>
      <w:tr w:rsidR="00016A1A" w:rsidRPr="00723777" w14:paraId="3A8D4C4C" w14:textId="77777777" w:rsidTr="00155668">
        <w:trPr>
          <w:tblHeader/>
        </w:trPr>
        <w:tc>
          <w:tcPr>
            <w:tcW w:w="3420" w:type="dxa"/>
            <w:tcBorders>
              <w:bottom w:val="single" w:sz="4" w:space="0" w:color="auto"/>
            </w:tcBorders>
          </w:tcPr>
          <w:p w14:paraId="34B0ADC6" w14:textId="77777777" w:rsidR="00016A1A" w:rsidRPr="00723777" w:rsidRDefault="00016A1A" w:rsidP="00016A1A">
            <w:pPr>
              <w:jc w:val="center"/>
              <w:rPr>
                <w:sz w:val="22"/>
                <w:szCs w:val="22"/>
              </w:rPr>
            </w:pPr>
            <w:r w:rsidRPr="00723777">
              <w:rPr>
                <w:sz w:val="22"/>
                <w:szCs w:val="22"/>
              </w:rPr>
              <w:t>a</w:t>
            </w:r>
          </w:p>
        </w:tc>
        <w:tc>
          <w:tcPr>
            <w:tcW w:w="1152" w:type="dxa"/>
            <w:tcBorders>
              <w:bottom w:val="single" w:sz="4" w:space="0" w:color="auto"/>
            </w:tcBorders>
          </w:tcPr>
          <w:p w14:paraId="7907546D" w14:textId="77777777" w:rsidR="00016A1A" w:rsidRPr="00723777" w:rsidRDefault="00016A1A" w:rsidP="00016A1A">
            <w:pPr>
              <w:jc w:val="center"/>
              <w:rPr>
                <w:sz w:val="22"/>
                <w:szCs w:val="22"/>
              </w:rPr>
            </w:pPr>
            <w:r w:rsidRPr="00723777">
              <w:rPr>
                <w:sz w:val="22"/>
                <w:szCs w:val="22"/>
              </w:rPr>
              <w:t>1</w:t>
            </w:r>
          </w:p>
        </w:tc>
        <w:tc>
          <w:tcPr>
            <w:tcW w:w="1152" w:type="dxa"/>
            <w:tcBorders>
              <w:bottom w:val="single" w:sz="4" w:space="0" w:color="auto"/>
            </w:tcBorders>
          </w:tcPr>
          <w:p w14:paraId="293ECF16" w14:textId="77777777" w:rsidR="00016A1A" w:rsidRPr="00723777" w:rsidRDefault="00016A1A" w:rsidP="00016A1A">
            <w:pPr>
              <w:jc w:val="center"/>
              <w:rPr>
                <w:sz w:val="22"/>
                <w:szCs w:val="22"/>
              </w:rPr>
            </w:pPr>
            <w:r w:rsidRPr="00723777">
              <w:rPr>
                <w:sz w:val="22"/>
                <w:szCs w:val="22"/>
              </w:rPr>
              <w:t>2</w:t>
            </w:r>
          </w:p>
        </w:tc>
        <w:tc>
          <w:tcPr>
            <w:tcW w:w="1152" w:type="dxa"/>
            <w:tcBorders>
              <w:bottom w:val="single" w:sz="4" w:space="0" w:color="auto"/>
            </w:tcBorders>
          </w:tcPr>
          <w:p w14:paraId="699B51A3" w14:textId="77777777" w:rsidR="00016A1A" w:rsidRPr="00723777" w:rsidRDefault="00016A1A" w:rsidP="00016A1A">
            <w:pPr>
              <w:jc w:val="center"/>
              <w:rPr>
                <w:sz w:val="22"/>
                <w:szCs w:val="22"/>
              </w:rPr>
            </w:pPr>
            <w:r w:rsidRPr="00723777">
              <w:rPr>
                <w:sz w:val="22"/>
                <w:szCs w:val="22"/>
              </w:rPr>
              <w:t>3</w:t>
            </w:r>
          </w:p>
        </w:tc>
        <w:tc>
          <w:tcPr>
            <w:tcW w:w="1152" w:type="dxa"/>
            <w:tcBorders>
              <w:bottom w:val="single" w:sz="4" w:space="0" w:color="auto"/>
            </w:tcBorders>
          </w:tcPr>
          <w:p w14:paraId="0697C178" w14:textId="77777777" w:rsidR="00016A1A" w:rsidRPr="00723777" w:rsidRDefault="00016A1A" w:rsidP="00016A1A">
            <w:pPr>
              <w:jc w:val="center"/>
              <w:rPr>
                <w:sz w:val="22"/>
                <w:szCs w:val="22"/>
              </w:rPr>
            </w:pPr>
            <w:r w:rsidRPr="00723777">
              <w:rPr>
                <w:sz w:val="22"/>
                <w:szCs w:val="22"/>
              </w:rPr>
              <w:t>4</w:t>
            </w:r>
          </w:p>
        </w:tc>
        <w:tc>
          <w:tcPr>
            <w:tcW w:w="1152" w:type="dxa"/>
            <w:tcBorders>
              <w:bottom w:val="single" w:sz="4" w:space="0" w:color="auto"/>
            </w:tcBorders>
          </w:tcPr>
          <w:p w14:paraId="06E5D79D" w14:textId="77777777" w:rsidR="00016A1A" w:rsidRPr="00723777" w:rsidRDefault="00016A1A" w:rsidP="00016A1A">
            <w:pPr>
              <w:jc w:val="center"/>
              <w:rPr>
                <w:sz w:val="22"/>
                <w:szCs w:val="22"/>
              </w:rPr>
            </w:pPr>
            <w:r w:rsidRPr="00723777">
              <w:rPr>
                <w:sz w:val="22"/>
                <w:szCs w:val="22"/>
              </w:rPr>
              <w:t>5</w:t>
            </w:r>
          </w:p>
        </w:tc>
      </w:tr>
      <w:tr w:rsidR="00016A1A" w:rsidRPr="00723777" w14:paraId="64026A6B" w14:textId="77777777" w:rsidTr="00155668">
        <w:trPr>
          <w:trHeight w:val="388"/>
          <w:tblHeader/>
        </w:trPr>
        <w:tc>
          <w:tcPr>
            <w:tcW w:w="3420" w:type="dxa"/>
            <w:tcBorders>
              <w:top w:val="single" w:sz="4" w:space="0" w:color="auto"/>
              <w:left w:val="single" w:sz="4" w:space="0" w:color="auto"/>
              <w:bottom w:val="nil"/>
              <w:right w:val="single" w:sz="4" w:space="0" w:color="auto"/>
            </w:tcBorders>
          </w:tcPr>
          <w:p w14:paraId="59B4C42B" w14:textId="77777777" w:rsidR="00016A1A" w:rsidRPr="00723777" w:rsidRDefault="00016A1A" w:rsidP="00016A1A">
            <w:pPr>
              <w:snapToGrid w:val="0"/>
              <w:spacing w:before="120"/>
              <w:rPr>
                <w:b/>
                <w:bCs/>
                <w:sz w:val="20"/>
                <w:szCs w:val="20"/>
              </w:rPr>
            </w:pPr>
            <w:r w:rsidRPr="00723777">
              <w:rPr>
                <w:b/>
                <w:bCs/>
                <w:sz w:val="20"/>
                <w:szCs w:val="20"/>
              </w:rPr>
              <w:t>Organizační složky státu</w:t>
            </w:r>
          </w:p>
          <w:p w14:paraId="06D6872E" w14:textId="77777777" w:rsidR="00016A1A" w:rsidRPr="00723777" w:rsidRDefault="00016A1A" w:rsidP="00016A1A">
            <w:pPr>
              <w:rPr>
                <w:sz w:val="20"/>
                <w:szCs w:val="20"/>
              </w:rPr>
            </w:pPr>
            <w:r w:rsidRPr="00723777">
              <w:rPr>
                <w:sz w:val="20"/>
                <w:szCs w:val="20"/>
              </w:rPr>
              <w:t xml:space="preserve">v tom: </w:t>
            </w:r>
          </w:p>
        </w:tc>
        <w:tc>
          <w:tcPr>
            <w:tcW w:w="1152" w:type="dxa"/>
            <w:tcBorders>
              <w:top w:val="single" w:sz="4" w:space="0" w:color="auto"/>
              <w:left w:val="single" w:sz="4" w:space="0" w:color="auto"/>
              <w:bottom w:val="nil"/>
              <w:right w:val="single" w:sz="4" w:space="0" w:color="auto"/>
            </w:tcBorders>
          </w:tcPr>
          <w:p w14:paraId="6F0CB637" w14:textId="77777777" w:rsidR="00016A1A" w:rsidRPr="00723777" w:rsidRDefault="00016A1A" w:rsidP="00016A1A">
            <w:pPr>
              <w:spacing w:before="120"/>
              <w:jc w:val="right"/>
              <w:rPr>
                <w:b/>
                <w:bCs/>
                <w:sz w:val="20"/>
                <w:szCs w:val="20"/>
                <w:lang w:eastAsia="ar-SA"/>
              </w:rPr>
            </w:pPr>
            <w:r w:rsidRPr="00723777">
              <w:rPr>
                <w:b/>
                <w:bCs/>
                <w:sz w:val="20"/>
                <w:szCs w:val="20"/>
                <w:lang w:eastAsia="ar-SA"/>
              </w:rPr>
              <w:t>69 779</w:t>
            </w:r>
          </w:p>
        </w:tc>
        <w:tc>
          <w:tcPr>
            <w:tcW w:w="1152" w:type="dxa"/>
            <w:tcBorders>
              <w:top w:val="single" w:sz="4" w:space="0" w:color="auto"/>
              <w:left w:val="single" w:sz="4" w:space="0" w:color="auto"/>
              <w:bottom w:val="nil"/>
              <w:right w:val="single" w:sz="4" w:space="0" w:color="auto"/>
            </w:tcBorders>
          </w:tcPr>
          <w:p w14:paraId="55B75942" w14:textId="77777777" w:rsidR="00016A1A" w:rsidRPr="00723777" w:rsidRDefault="00016A1A" w:rsidP="00016A1A">
            <w:pPr>
              <w:spacing w:before="120"/>
              <w:jc w:val="right"/>
              <w:rPr>
                <w:b/>
                <w:bCs/>
                <w:sz w:val="20"/>
                <w:szCs w:val="20"/>
                <w:lang w:eastAsia="ar-SA"/>
              </w:rPr>
            </w:pPr>
            <w:r w:rsidRPr="00723777">
              <w:rPr>
                <w:b/>
                <w:bCs/>
                <w:sz w:val="20"/>
                <w:szCs w:val="20"/>
                <w:lang w:eastAsia="ar-SA"/>
              </w:rPr>
              <w:t>78 149</w:t>
            </w:r>
          </w:p>
        </w:tc>
        <w:tc>
          <w:tcPr>
            <w:tcW w:w="1152" w:type="dxa"/>
            <w:tcBorders>
              <w:top w:val="single" w:sz="4" w:space="0" w:color="auto"/>
              <w:left w:val="single" w:sz="4" w:space="0" w:color="auto"/>
              <w:bottom w:val="nil"/>
              <w:right w:val="single" w:sz="4" w:space="0" w:color="auto"/>
            </w:tcBorders>
          </w:tcPr>
          <w:p w14:paraId="75E82DC9" w14:textId="77777777" w:rsidR="00016A1A" w:rsidRPr="00723777" w:rsidRDefault="00016A1A" w:rsidP="00016A1A">
            <w:pPr>
              <w:spacing w:before="120"/>
              <w:jc w:val="right"/>
              <w:rPr>
                <w:b/>
                <w:bCs/>
                <w:sz w:val="20"/>
                <w:szCs w:val="20"/>
                <w:lang w:eastAsia="ar-SA"/>
              </w:rPr>
            </w:pPr>
            <w:r w:rsidRPr="00723777">
              <w:rPr>
                <w:b/>
                <w:bCs/>
                <w:sz w:val="20"/>
                <w:szCs w:val="20"/>
                <w:lang w:eastAsia="ar-SA"/>
              </w:rPr>
              <w:t>51 267</w:t>
            </w:r>
          </w:p>
        </w:tc>
        <w:tc>
          <w:tcPr>
            <w:tcW w:w="1152" w:type="dxa"/>
            <w:tcBorders>
              <w:top w:val="single" w:sz="4" w:space="0" w:color="auto"/>
              <w:left w:val="single" w:sz="4" w:space="0" w:color="auto"/>
              <w:bottom w:val="nil"/>
              <w:right w:val="single" w:sz="4" w:space="0" w:color="auto"/>
            </w:tcBorders>
          </w:tcPr>
          <w:p w14:paraId="67317F0A" w14:textId="77777777" w:rsidR="00016A1A" w:rsidRPr="00723777" w:rsidRDefault="00016A1A" w:rsidP="00016A1A">
            <w:pPr>
              <w:spacing w:before="120"/>
              <w:jc w:val="right"/>
              <w:rPr>
                <w:b/>
                <w:bCs/>
                <w:sz w:val="20"/>
                <w:szCs w:val="20"/>
                <w:lang w:eastAsia="ar-SA"/>
              </w:rPr>
            </w:pPr>
            <w:r w:rsidRPr="00723777">
              <w:rPr>
                <w:b/>
                <w:bCs/>
                <w:sz w:val="20"/>
                <w:szCs w:val="20"/>
                <w:lang w:eastAsia="ar-SA"/>
              </w:rPr>
              <w:t>77 143</w:t>
            </w:r>
          </w:p>
        </w:tc>
        <w:tc>
          <w:tcPr>
            <w:tcW w:w="1152" w:type="dxa"/>
            <w:tcBorders>
              <w:top w:val="single" w:sz="4" w:space="0" w:color="auto"/>
              <w:left w:val="single" w:sz="4" w:space="0" w:color="auto"/>
              <w:bottom w:val="nil"/>
              <w:right w:val="single" w:sz="4" w:space="0" w:color="auto"/>
            </w:tcBorders>
          </w:tcPr>
          <w:p w14:paraId="70E388C2" w14:textId="77777777" w:rsidR="00016A1A" w:rsidRPr="00723777" w:rsidRDefault="00016A1A" w:rsidP="00016A1A">
            <w:pPr>
              <w:spacing w:before="120"/>
              <w:jc w:val="right"/>
              <w:rPr>
                <w:b/>
                <w:bCs/>
                <w:sz w:val="20"/>
                <w:szCs w:val="20"/>
                <w:lang w:eastAsia="ar-SA"/>
              </w:rPr>
            </w:pPr>
            <w:r w:rsidRPr="00723777">
              <w:rPr>
                <w:b/>
                <w:bCs/>
                <w:sz w:val="20"/>
                <w:szCs w:val="20"/>
                <w:lang w:eastAsia="ar-SA"/>
              </w:rPr>
              <w:t>42 640</w:t>
            </w:r>
          </w:p>
        </w:tc>
      </w:tr>
      <w:tr w:rsidR="00016A1A" w:rsidRPr="00723777" w14:paraId="5CDFDBAC" w14:textId="77777777" w:rsidTr="00155668">
        <w:trPr>
          <w:tblHeader/>
        </w:trPr>
        <w:tc>
          <w:tcPr>
            <w:tcW w:w="3420" w:type="dxa"/>
            <w:tcBorders>
              <w:top w:val="nil"/>
              <w:left w:val="single" w:sz="4" w:space="0" w:color="auto"/>
              <w:bottom w:val="nil"/>
              <w:right w:val="single" w:sz="4" w:space="0" w:color="auto"/>
            </w:tcBorders>
            <w:vAlign w:val="center"/>
          </w:tcPr>
          <w:p w14:paraId="4BB97319" w14:textId="77777777" w:rsidR="00016A1A" w:rsidRPr="00723777" w:rsidRDefault="00016A1A" w:rsidP="00016A1A">
            <w:pPr>
              <w:snapToGrid w:val="0"/>
              <w:jc w:val="both"/>
              <w:rPr>
                <w:sz w:val="20"/>
                <w:szCs w:val="20"/>
              </w:rPr>
            </w:pPr>
            <w:r w:rsidRPr="00723777">
              <w:rPr>
                <w:sz w:val="20"/>
                <w:szCs w:val="20"/>
              </w:rPr>
              <w:t>Ústřední orgán MD</w:t>
            </w:r>
          </w:p>
        </w:tc>
        <w:tc>
          <w:tcPr>
            <w:tcW w:w="1152" w:type="dxa"/>
            <w:tcBorders>
              <w:top w:val="nil"/>
              <w:left w:val="single" w:sz="4" w:space="0" w:color="auto"/>
              <w:bottom w:val="nil"/>
              <w:right w:val="single" w:sz="4" w:space="0" w:color="auto"/>
            </w:tcBorders>
          </w:tcPr>
          <w:p w14:paraId="248152F6" w14:textId="77777777" w:rsidR="00016A1A" w:rsidRPr="00723777" w:rsidRDefault="00016A1A" w:rsidP="00016A1A">
            <w:pPr>
              <w:snapToGrid w:val="0"/>
              <w:jc w:val="right"/>
              <w:rPr>
                <w:sz w:val="20"/>
                <w:lang w:eastAsia="ar-SA"/>
              </w:rPr>
            </w:pPr>
            <w:r w:rsidRPr="00723777">
              <w:rPr>
                <w:sz w:val="20"/>
                <w:lang w:eastAsia="ar-SA"/>
              </w:rPr>
              <w:t>43 943</w:t>
            </w:r>
          </w:p>
        </w:tc>
        <w:tc>
          <w:tcPr>
            <w:tcW w:w="1152" w:type="dxa"/>
            <w:tcBorders>
              <w:top w:val="nil"/>
              <w:left w:val="single" w:sz="4" w:space="0" w:color="auto"/>
              <w:bottom w:val="nil"/>
              <w:right w:val="single" w:sz="4" w:space="0" w:color="auto"/>
            </w:tcBorders>
          </w:tcPr>
          <w:p w14:paraId="105868C8" w14:textId="77777777" w:rsidR="00016A1A" w:rsidRPr="00723777" w:rsidRDefault="00016A1A" w:rsidP="00016A1A">
            <w:pPr>
              <w:snapToGrid w:val="0"/>
              <w:jc w:val="right"/>
              <w:rPr>
                <w:sz w:val="20"/>
                <w:lang w:eastAsia="ar-SA"/>
              </w:rPr>
            </w:pPr>
            <w:r w:rsidRPr="00723777">
              <w:rPr>
                <w:sz w:val="20"/>
                <w:lang w:eastAsia="ar-SA"/>
              </w:rPr>
              <w:t>50 665</w:t>
            </w:r>
          </w:p>
        </w:tc>
        <w:tc>
          <w:tcPr>
            <w:tcW w:w="1152" w:type="dxa"/>
            <w:tcBorders>
              <w:top w:val="nil"/>
              <w:left w:val="single" w:sz="4" w:space="0" w:color="auto"/>
              <w:bottom w:val="nil"/>
              <w:right w:val="single" w:sz="4" w:space="0" w:color="auto"/>
            </w:tcBorders>
          </w:tcPr>
          <w:p w14:paraId="2AB88A16" w14:textId="77777777" w:rsidR="00016A1A" w:rsidRPr="00723777" w:rsidRDefault="00016A1A" w:rsidP="00016A1A">
            <w:pPr>
              <w:snapToGrid w:val="0"/>
              <w:jc w:val="right"/>
              <w:rPr>
                <w:sz w:val="20"/>
                <w:lang w:eastAsia="ar-SA"/>
              </w:rPr>
            </w:pPr>
            <w:r w:rsidRPr="00723777">
              <w:rPr>
                <w:sz w:val="20"/>
                <w:lang w:eastAsia="ar-SA"/>
              </w:rPr>
              <w:t>33 440</w:t>
            </w:r>
          </w:p>
        </w:tc>
        <w:tc>
          <w:tcPr>
            <w:tcW w:w="1152" w:type="dxa"/>
            <w:tcBorders>
              <w:top w:val="nil"/>
              <w:left w:val="single" w:sz="4" w:space="0" w:color="auto"/>
              <w:bottom w:val="nil"/>
              <w:right w:val="single" w:sz="4" w:space="0" w:color="auto"/>
            </w:tcBorders>
          </w:tcPr>
          <w:p w14:paraId="04964823" w14:textId="77777777" w:rsidR="00016A1A" w:rsidRPr="00723777" w:rsidRDefault="00016A1A" w:rsidP="00016A1A">
            <w:pPr>
              <w:snapToGrid w:val="0"/>
              <w:jc w:val="right"/>
              <w:rPr>
                <w:sz w:val="20"/>
                <w:lang w:eastAsia="ar-SA"/>
              </w:rPr>
            </w:pPr>
            <w:r w:rsidRPr="00723777">
              <w:rPr>
                <w:sz w:val="20"/>
                <w:lang w:eastAsia="ar-SA"/>
              </w:rPr>
              <w:t>53 915</w:t>
            </w:r>
          </w:p>
        </w:tc>
        <w:tc>
          <w:tcPr>
            <w:tcW w:w="1152" w:type="dxa"/>
            <w:tcBorders>
              <w:top w:val="nil"/>
              <w:left w:val="single" w:sz="4" w:space="0" w:color="auto"/>
              <w:bottom w:val="nil"/>
              <w:right w:val="single" w:sz="4" w:space="0" w:color="auto"/>
            </w:tcBorders>
          </w:tcPr>
          <w:p w14:paraId="145A0789" w14:textId="77777777" w:rsidR="00016A1A" w:rsidRPr="00723777" w:rsidRDefault="00016A1A" w:rsidP="00016A1A">
            <w:pPr>
              <w:snapToGrid w:val="0"/>
              <w:jc w:val="right"/>
              <w:rPr>
                <w:sz w:val="20"/>
                <w:lang w:eastAsia="ar-SA"/>
              </w:rPr>
            </w:pPr>
            <w:r w:rsidRPr="00723777">
              <w:rPr>
                <w:sz w:val="20"/>
                <w:lang w:eastAsia="ar-SA"/>
              </w:rPr>
              <w:t>28 749</w:t>
            </w:r>
          </w:p>
        </w:tc>
      </w:tr>
      <w:tr w:rsidR="00016A1A" w:rsidRPr="00723777" w14:paraId="1BEE89E1" w14:textId="77777777" w:rsidTr="00155668">
        <w:trPr>
          <w:tblHeader/>
        </w:trPr>
        <w:tc>
          <w:tcPr>
            <w:tcW w:w="3420" w:type="dxa"/>
            <w:tcBorders>
              <w:top w:val="nil"/>
              <w:left w:val="single" w:sz="4" w:space="0" w:color="auto"/>
              <w:bottom w:val="nil"/>
              <w:right w:val="single" w:sz="4" w:space="0" w:color="auto"/>
            </w:tcBorders>
            <w:vAlign w:val="center"/>
          </w:tcPr>
          <w:p w14:paraId="12FB4B93" w14:textId="77777777" w:rsidR="00016A1A" w:rsidRPr="00723777" w:rsidRDefault="00016A1A" w:rsidP="00016A1A">
            <w:pPr>
              <w:snapToGrid w:val="0"/>
              <w:jc w:val="both"/>
              <w:rPr>
                <w:sz w:val="20"/>
                <w:szCs w:val="20"/>
              </w:rPr>
            </w:pPr>
            <w:r w:rsidRPr="00723777">
              <w:rPr>
                <w:sz w:val="20"/>
                <w:szCs w:val="20"/>
              </w:rPr>
              <w:t>Drážní úřad</w:t>
            </w:r>
          </w:p>
        </w:tc>
        <w:tc>
          <w:tcPr>
            <w:tcW w:w="1152" w:type="dxa"/>
            <w:tcBorders>
              <w:top w:val="nil"/>
              <w:left w:val="single" w:sz="4" w:space="0" w:color="auto"/>
              <w:bottom w:val="nil"/>
              <w:right w:val="single" w:sz="4" w:space="0" w:color="auto"/>
            </w:tcBorders>
          </w:tcPr>
          <w:p w14:paraId="4D8F0411" w14:textId="77777777" w:rsidR="00016A1A" w:rsidRPr="00723777" w:rsidRDefault="00016A1A" w:rsidP="00016A1A">
            <w:pPr>
              <w:snapToGrid w:val="0"/>
              <w:jc w:val="right"/>
              <w:rPr>
                <w:sz w:val="20"/>
                <w:lang w:eastAsia="ar-SA"/>
              </w:rPr>
            </w:pPr>
            <w:r w:rsidRPr="00723777">
              <w:rPr>
                <w:sz w:val="20"/>
                <w:lang w:eastAsia="ar-SA"/>
              </w:rPr>
              <w:t>5 032</w:t>
            </w:r>
          </w:p>
        </w:tc>
        <w:tc>
          <w:tcPr>
            <w:tcW w:w="1152" w:type="dxa"/>
            <w:tcBorders>
              <w:top w:val="nil"/>
              <w:left w:val="single" w:sz="4" w:space="0" w:color="auto"/>
              <w:bottom w:val="nil"/>
              <w:right w:val="single" w:sz="4" w:space="0" w:color="auto"/>
            </w:tcBorders>
          </w:tcPr>
          <w:p w14:paraId="029BECD3" w14:textId="77777777" w:rsidR="00016A1A" w:rsidRPr="00723777" w:rsidRDefault="00016A1A" w:rsidP="00016A1A">
            <w:pPr>
              <w:snapToGrid w:val="0"/>
              <w:jc w:val="right"/>
              <w:rPr>
                <w:sz w:val="20"/>
                <w:lang w:eastAsia="ar-SA"/>
              </w:rPr>
            </w:pPr>
            <w:r w:rsidRPr="00723777">
              <w:rPr>
                <w:sz w:val="20"/>
                <w:lang w:eastAsia="ar-SA"/>
              </w:rPr>
              <w:t>2 933</w:t>
            </w:r>
          </w:p>
        </w:tc>
        <w:tc>
          <w:tcPr>
            <w:tcW w:w="1152" w:type="dxa"/>
            <w:tcBorders>
              <w:top w:val="nil"/>
              <w:left w:val="single" w:sz="4" w:space="0" w:color="000000"/>
              <w:bottom w:val="nil"/>
              <w:right w:val="single" w:sz="4" w:space="0" w:color="000000"/>
            </w:tcBorders>
          </w:tcPr>
          <w:p w14:paraId="32D91CAA" w14:textId="77777777" w:rsidR="00016A1A" w:rsidRPr="00723777" w:rsidRDefault="00016A1A" w:rsidP="00016A1A">
            <w:pPr>
              <w:snapToGrid w:val="0"/>
              <w:jc w:val="right"/>
              <w:rPr>
                <w:sz w:val="20"/>
                <w:lang w:eastAsia="ar-SA"/>
              </w:rPr>
            </w:pPr>
            <w:r w:rsidRPr="00723777">
              <w:rPr>
                <w:sz w:val="20"/>
                <w:lang w:eastAsia="ar-SA"/>
              </w:rPr>
              <w:t>1 898</w:t>
            </w:r>
          </w:p>
        </w:tc>
        <w:tc>
          <w:tcPr>
            <w:tcW w:w="1152" w:type="dxa"/>
            <w:tcBorders>
              <w:top w:val="nil"/>
              <w:left w:val="single" w:sz="4" w:space="0" w:color="000000"/>
              <w:bottom w:val="nil"/>
              <w:right w:val="single" w:sz="4" w:space="0" w:color="000000"/>
            </w:tcBorders>
          </w:tcPr>
          <w:p w14:paraId="4E2D8093" w14:textId="77777777" w:rsidR="00016A1A" w:rsidRPr="00723777" w:rsidRDefault="00016A1A" w:rsidP="00016A1A">
            <w:pPr>
              <w:snapToGrid w:val="0"/>
              <w:jc w:val="right"/>
              <w:rPr>
                <w:sz w:val="20"/>
                <w:lang w:eastAsia="ar-SA"/>
              </w:rPr>
            </w:pPr>
            <w:r w:rsidRPr="00723777">
              <w:rPr>
                <w:sz w:val="20"/>
                <w:lang w:eastAsia="ar-SA"/>
              </w:rPr>
              <w:t>2 576</w:t>
            </w:r>
          </w:p>
        </w:tc>
        <w:tc>
          <w:tcPr>
            <w:tcW w:w="1152" w:type="dxa"/>
            <w:tcBorders>
              <w:top w:val="nil"/>
              <w:left w:val="single" w:sz="4" w:space="0" w:color="000000"/>
              <w:bottom w:val="nil"/>
              <w:right w:val="single" w:sz="4" w:space="0" w:color="000000"/>
            </w:tcBorders>
          </w:tcPr>
          <w:p w14:paraId="42AA5793" w14:textId="77777777" w:rsidR="00016A1A" w:rsidRPr="00723777" w:rsidRDefault="00016A1A" w:rsidP="00016A1A">
            <w:pPr>
              <w:snapToGrid w:val="0"/>
              <w:jc w:val="right"/>
              <w:rPr>
                <w:sz w:val="20"/>
                <w:lang w:eastAsia="ar-SA"/>
              </w:rPr>
            </w:pPr>
            <w:r w:rsidRPr="00723777">
              <w:rPr>
                <w:sz w:val="20"/>
                <w:lang w:eastAsia="ar-SA"/>
              </w:rPr>
              <w:t>95</w:t>
            </w:r>
          </w:p>
        </w:tc>
      </w:tr>
      <w:tr w:rsidR="00016A1A" w:rsidRPr="00723777" w14:paraId="26FC7080" w14:textId="77777777" w:rsidTr="00155668">
        <w:trPr>
          <w:tblHeader/>
        </w:trPr>
        <w:tc>
          <w:tcPr>
            <w:tcW w:w="3420" w:type="dxa"/>
            <w:tcBorders>
              <w:top w:val="nil"/>
              <w:left w:val="single" w:sz="4" w:space="0" w:color="auto"/>
              <w:bottom w:val="nil"/>
              <w:right w:val="single" w:sz="4" w:space="0" w:color="auto"/>
            </w:tcBorders>
            <w:vAlign w:val="center"/>
          </w:tcPr>
          <w:p w14:paraId="292C50A9" w14:textId="77777777" w:rsidR="00016A1A" w:rsidRPr="00723777" w:rsidRDefault="00016A1A" w:rsidP="00016A1A">
            <w:pPr>
              <w:snapToGrid w:val="0"/>
              <w:jc w:val="both"/>
              <w:rPr>
                <w:sz w:val="20"/>
                <w:szCs w:val="20"/>
              </w:rPr>
            </w:pPr>
            <w:r w:rsidRPr="00723777">
              <w:rPr>
                <w:sz w:val="20"/>
                <w:szCs w:val="20"/>
              </w:rPr>
              <w:t>Drážní inspekce</w:t>
            </w:r>
          </w:p>
        </w:tc>
        <w:tc>
          <w:tcPr>
            <w:tcW w:w="1152" w:type="dxa"/>
            <w:tcBorders>
              <w:top w:val="nil"/>
              <w:left w:val="single" w:sz="4" w:space="0" w:color="auto"/>
              <w:bottom w:val="nil"/>
              <w:right w:val="single" w:sz="4" w:space="0" w:color="auto"/>
            </w:tcBorders>
          </w:tcPr>
          <w:p w14:paraId="241F27A8" w14:textId="77777777" w:rsidR="00016A1A" w:rsidRPr="00723777" w:rsidRDefault="00016A1A" w:rsidP="00016A1A">
            <w:pPr>
              <w:snapToGrid w:val="0"/>
              <w:jc w:val="right"/>
              <w:rPr>
                <w:sz w:val="20"/>
                <w:lang w:eastAsia="ar-SA"/>
              </w:rPr>
            </w:pPr>
            <w:r w:rsidRPr="00723777">
              <w:rPr>
                <w:sz w:val="20"/>
                <w:lang w:eastAsia="ar-SA"/>
              </w:rPr>
              <w:t>141</w:t>
            </w:r>
          </w:p>
        </w:tc>
        <w:tc>
          <w:tcPr>
            <w:tcW w:w="1152" w:type="dxa"/>
            <w:tcBorders>
              <w:top w:val="nil"/>
              <w:left w:val="single" w:sz="4" w:space="0" w:color="auto"/>
              <w:bottom w:val="nil"/>
              <w:right w:val="single" w:sz="4" w:space="0" w:color="auto"/>
            </w:tcBorders>
          </w:tcPr>
          <w:p w14:paraId="5A411DB7" w14:textId="77777777" w:rsidR="00016A1A" w:rsidRPr="00723777" w:rsidRDefault="00016A1A" w:rsidP="00016A1A">
            <w:pPr>
              <w:snapToGrid w:val="0"/>
              <w:jc w:val="right"/>
              <w:rPr>
                <w:sz w:val="20"/>
                <w:lang w:eastAsia="ar-SA"/>
              </w:rPr>
            </w:pPr>
            <w:r w:rsidRPr="00723777">
              <w:rPr>
                <w:sz w:val="20"/>
                <w:lang w:eastAsia="ar-SA"/>
              </w:rPr>
              <w:t>178</w:t>
            </w:r>
          </w:p>
        </w:tc>
        <w:tc>
          <w:tcPr>
            <w:tcW w:w="1152" w:type="dxa"/>
            <w:tcBorders>
              <w:top w:val="nil"/>
              <w:left w:val="single" w:sz="4" w:space="0" w:color="000000"/>
              <w:bottom w:val="nil"/>
              <w:right w:val="single" w:sz="4" w:space="0" w:color="000000"/>
            </w:tcBorders>
          </w:tcPr>
          <w:p w14:paraId="0F1DCC7A" w14:textId="77777777" w:rsidR="00016A1A" w:rsidRPr="00723777" w:rsidRDefault="00016A1A" w:rsidP="00016A1A">
            <w:pPr>
              <w:snapToGrid w:val="0"/>
              <w:jc w:val="right"/>
              <w:rPr>
                <w:sz w:val="20"/>
                <w:lang w:eastAsia="ar-SA"/>
              </w:rPr>
            </w:pPr>
            <w:r w:rsidRPr="00723777">
              <w:rPr>
                <w:sz w:val="20"/>
                <w:lang w:eastAsia="ar-SA"/>
              </w:rPr>
              <w:t>2 941</w:t>
            </w:r>
          </w:p>
        </w:tc>
        <w:tc>
          <w:tcPr>
            <w:tcW w:w="1152" w:type="dxa"/>
            <w:tcBorders>
              <w:top w:val="nil"/>
              <w:left w:val="single" w:sz="4" w:space="0" w:color="000000"/>
              <w:bottom w:val="nil"/>
              <w:right w:val="single" w:sz="4" w:space="0" w:color="000000"/>
            </w:tcBorders>
          </w:tcPr>
          <w:p w14:paraId="053A1361" w14:textId="77777777" w:rsidR="00016A1A" w:rsidRPr="00723777" w:rsidRDefault="00016A1A" w:rsidP="00016A1A">
            <w:pPr>
              <w:snapToGrid w:val="0"/>
              <w:jc w:val="right"/>
              <w:rPr>
                <w:sz w:val="20"/>
                <w:lang w:eastAsia="ar-SA"/>
              </w:rPr>
            </w:pPr>
            <w:r w:rsidRPr="00723777">
              <w:rPr>
                <w:sz w:val="20"/>
                <w:lang w:eastAsia="ar-SA"/>
              </w:rPr>
              <w:t>155</w:t>
            </w:r>
          </w:p>
        </w:tc>
        <w:tc>
          <w:tcPr>
            <w:tcW w:w="1152" w:type="dxa"/>
            <w:tcBorders>
              <w:top w:val="nil"/>
              <w:left w:val="single" w:sz="4" w:space="0" w:color="000000"/>
              <w:bottom w:val="nil"/>
              <w:right w:val="single" w:sz="4" w:space="0" w:color="000000"/>
            </w:tcBorders>
          </w:tcPr>
          <w:p w14:paraId="2006266A" w14:textId="77777777" w:rsidR="00016A1A" w:rsidRPr="00723777" w:rsidRDefault="00016A1A" w:rsidP="00016A1A">
            <w:pPr>
              <w:snapToGrid w:val="0"/>
              <w:jc w:val="right"/>
              <w:rPr>
                <w:sz w:val="20"/>
                <w:lang w:eastAsia="ar-SA"/>
              </w:rPr>
            </w:pPr>
            <w:r w:rsidRPr="00723777">
              <w:rPr>
                <w:sz w:val="20"/>
                <w:lang w:eastAsia="ar-SA"/>
              </w:rPr>
              <w:t>1 935</w:t>
            </w:r>
          </w:p>
        </w:tc>
      </w:tr>
      <w:tr w:rsidR="00016A1A" w:rsidRPr="00723777" w14:paraId="40BBD32F" w14:textId="77777777" w:rsidTr="00155668">
        <w:trPr>
          <w:tblHeader/>
        </w:trPr>
        <w:tc>
          <w:tcPr>
            <w:tcW w:w="3420" w:type="dxa"/>
            <w:tcBorders>
              <w:top w:val="nil"/>
              <w:left w:val="single" w:sz="4" w:space="0" w:color="auto"/>
              <w:bottom w:val="nil"/>
              <w:right w:val="single" w:sz="4" w:space="0" w:color="auto"/>
            </w:tcBorders>
            <w:vAlign w:val="center"/>
          </w:tcPr>
          <w:p w14:paraId="3D74969F" w14:textId="77777777" w:rsidR="00016A1A" w:rsidRPr="00723777" w:rsidRDefault="00016A1A" w:rsidP="00016A1A">
            <w:pPr>
              <w:snapToGrid w:val="0"/>
              <w:jc w:val="both"/>
              <w:rPr>
                <w:sz w:val="20"/>
                <w:szCs w:val="20"/>
              </w:rPr>
            </w:pPr>
            <w:r w:rsidRPr="00723777">
              <w:rPr>
                <w:sz w:val="20"/>
                <w:szCs w:val="20"/>
              </w:rPr>
              <w:t>Ředitelství vodních cest ČR</w:t>
            </w:r>
          </w:p>
        </w:tc>
        <w:tc>
          <w:tcPr>
            <w:tcW w:w="1152" w:type="dxa"/>
            <w:tcBorders>
              <w:top w:val="nil"/>
              <w:left w:val="single" w:sz="4" w:space="0" w:color="auto"/>
              <w:bottom w:val="nil"/>
              <w:right w:val="single" w:sz="4" w:space="0" w:color="auto"/>
            </w:tcBorders>
          </w:tcPr>
          <w:p w14:paraId="3CC32D79" w14:textId="77777777" w:rsidR="00016A1A" w:rsidRPr="00723777" w:rsidRDefault="00016A1A" w:rsidP="00016A1A">
            <w:pPr>
              <w:snapToGrid w:val="0"/>
              <w:jc w:val="right"/>
              <w:rPr>
                <w:sz w:val="20"/>
                <w:lang w:eastAsia="ar-SA"/>
              </w:rPr>
            </w:pPr>
            <w:r w:rsidRPr="00723777">
              <w:rPr>
                <w:sz w:val="20"/>
                <w:lang w:eastAsia="ar-SA"/>
              </w:rPr>
              <w:t>8 580</w:t>
            </w:r>
          </w:p>
        </w:tc>
        <w:tc>
          <w:tcPr>
            <w:tcW w:w="1152" w:type="dxa"/>
            <w:tcBorders>
              <w:top w:val="nil"/>
              <w:left w:val="single" w:sz="4" w:space="0" w:color="auto"/>
              <w:bottom w:val="nil"/>
              <w:right w:val="single" w:sz="4" w:space="0" w:color="auto"/>
            </w:tcBorders>
          </w:tcPr>
          <w:p w14:paraId="26B46163" w14:textId="77777777" w:rsidR="00016A1A" w:rsidRPr="00723777" w:rsidRDefault="00016A1A" w:rsidP="00016A1A">
            <w:pPr>
              <w:snapToGrid w:val="0"/>
              <w:jc w:val="right"/>
              <w:rPr>
                <w:sz w:val="20"/>
                <w:lang w:eastAsia="ar-SA"/>
              </w:rPr>
            </w:pPr>
            <w:r w:rsidRPr="00723777">
              <w:rPr>
                <w:sz w:val="20"/>
                <w:lang w:eastAsia="ar-SA"/>
              </w:rPr>
              <w:t>2 550</w:t>
            </w:r>
          </w:p>
        </w:tc>
        <w:tc>
          <w:tcPr>
            <w:tcW w:w="1152" w:type="dxa"/>
            <w:tcBorders>
              <w:top w:val="nil"/>
              <w:left w:val="single" w:sz="4" w:space="0" w:color="000000"/>
              <w:bottom w:val="nil"/>
              <w:right w:val="single" w:sz="4" w:space="0" w:color="000000"/>
            </w:tcBorders>
          </w:tcPr>
          <w:p w14:paraId="7108D20D" w14:textId="77777777" w:rsidR="00016A1A" w:rsidRPr="00723777" w:rsidRDefault="00016A1A" w:rsidP="00016A1A">
            <w:pPr>
              <w:snapToGrid w:val="0"/>
              <w:jc w:val="right"/>
              <w:rPr>
                <w:sz w:val="20"/>
                <w:lang w:eastAsia="ar-SA"/>
              </w:rPr>
            </w:pPr>
            <w:r w:rsidRPr="00723777">
              <w:rPr>
                <w:sz w:val="20"/>
                <w:lang w:eastAsia="ar-SA"/>
              </w:rPr>
              <w:t>1 282</w:t>
            </w:r>
          </w:p>
        </w:tc>
        <w:tc>
          <w:tcPr>
            <w:tcW w:w="1152" w:type="dxa"/>
            <w:tcBorders>
              <w:top w:val="nil"/>
              <w:left w:val="single" w:sz="4" w:space="0" w:color="000000"/>
              <w:bottom w:val="nil"/>
              <w:right w:val="single" w:sz="4" w:space="0" w:color="000000"/>
            </w:tcBorders>
          </w:tcPr>
          <w:p w14:paraId="7A6F3AAD" w14:textId="77777777" w:rsidR="00016A1A" w:rsidRPr="00723777" w:rsidRDefault="00016A1A" w:rsidP="00016A1A">
            <w:pPr>
              <w:snapToGrid w:val="0"/>
              <w:jc w:val="right"/>
              <w:rPr>
                <w:sz w:val="20"/>
                <w:lang w:eastAsia="ar-SA"/>
              </w:rPr>
            </w:pPr>
            <w:r w:rsidRPr="00723777">
              <w:rPr>
                <w:sz w:val="20"/>
                <w:lang w:eastAsia="ar-SA"/>
              </w:rPr>
              <w:t>2 619</w:t>
            </w:r>
          </w:p>
        </w:tc>
        <w:tc>
          <w:tcPr>
            <w:tcW w:w="1152" w:type="dxa"/>
            <w:tcBorders>
              <w:top w:val="nil"/>
              <w:left w:val="single" w:sz="4" w:space="0" w:color="000000"/>
              <w:bottom w:val="nil"/>
              <w:right w:val="single" w:sz="4" w:space="0" w:color="000000"/>
            </w:tcBorders>
          </w:tcPr>
          <w:p w14:paraId="182AE5BA" w14:textId="77777777" w:rsidR="00016A1A" w:rsidRPr="00723777" w:rsidRDefault="00016A1A" w:rsidP="00016A1A">
            <w:pPr>
              <w:snapToGrid w:val="0"/>
              <w:jc w:val="right"/>
              <w:rPr>
                <w:sz w:val="20"/>
                <w:lang w:eastAsia="ar-SA"/>
              </w:rPr>
            </w:pPr>
            <w:r w:rsidRPr="00723777">
              <w:rPr>
                <w:sz w:val="20"/>
                <w:lang w:eastAsia="ar-SA"/>
              </w:rPr>
              <w:t>580</w:t>
            </w:r>
          </w:p>
        </w:tc>
      </w:tr>
      <w:tr w:rsidR="00016A1A" w:rsidRPr="00723777" w14:paraId="3FD157E1" w14:textId="77777777" w:rsidTr="00155668">
        <w:trPr>
          <w:tblHeader/>
        </w:trPr>
        <w:tc>
          <w:tcPr>
            <w:tcW w:w="3420" w:type="dxa"/>
            <w:tcBorders>
              <w:top w:val="nil"/>
              <w:left w:val="single" w:sz="4" w:space="0" w:color="auto"/>
              <w:bottom w:val="nil"/>
              <w:right w:val="single" w:sz="4" w:space="0" w:color="auto"/>
            </w:tcBorders>
            <w:vAlign w:val="center"/>
          </w:tcPr>
          <w:p w14:paraId="00A177E9" w14:textId="77777777" w:rsidR="00016A1A" w:rsidRPr="00723777" w:rsidRDefault="00016A1A" w:rsidP="00016A1A">
            <w:pPr>
              <w:snapToGrid w:val="0"/>
              <w:jc w:val="both"/>
              <w:rPr>
                <w:sz w:val="20"/>
                <w:szCs w:val="20"/>
              </w:rPr>
            </w:pPr>
            <w:r w:rsidRPr="00723777">
              <w:rPr>
                <w:sz w:val="20"/>
                <w:szCs w:val="20"/>
              </w:rPr>
              <w:t>Státní plavební správa</w:t>
            </w:r>
          </w:p>
        </w:tc>
        <w:tc>
          <w:tcPr>
            <w:tcW w:w="1152" w:type="dxa"/>
            <w:tcBorders>
              <w:top w:val="nil"/>
              <w:left w:val="single" w:sz="4" w:space="0" w:color="auto"/>
              <w:bottom w:val="nil"/>
              <w:right w:val="single" w:sz="4" w:space="0" w:color="auto"/>
            </w:tcBorders>
          </w:tcPr>
          <w:p w14:paraId="4D81E436" w14:textId="77777777" w:rsidR="00016A1A" w:rsidRPr="00723777" w:rsidRDefault="00016A1A" w:rsidP="00016A1A">
            <w:pPr>
              <w:snapToGrid w:val="0"/>
              <w:jc w:val="right"/>
              <w:rPr>
                <w:sz w:val="20"/>
                <w:lang w:eastAsia="ar-SA"/>
              </w:rPr>
            </w:pPr>
            <w:r w:rsidRPr="00723777">
              <w:rPr>
                <w:sz w:val="20"/>
                <w:lang w:eastAsia="ar-SA"/>
              </w:rPr>
              <w:t>6 525</w:t>
            </w:r>
          </w:p>
        </w:tc>
        <w:tc>
          <w:tcPr>
            <w:tcW w:w="1152" w:type="dxa"/>
            <w:tcBorders>
              <w:top w:val="nil"/>
              <w:left w:val="single" w:sz="4" w:space="0" w:color="auto"/>
              <w:bottom w:val="nil"/>
              <w:right w:val="single" w:sz="4" w:space="0" w:color="auto"/>
            </w:tcBorders>
          </w:tcPr>
          <w:p w14:paraId="0B1CB8CC" w14:textId="77777777" w:rsidR="00016A1A" w:rsidRPr="00723777" w:rsidRDefault="00016A1A" w:rsidP="00016A1A">
            <w:pPr>
              <w:snapToGrid w:val="0"/>
              <w:jc w:val="right"/>
              <w:rPr>
                <w:sz w:val="20"/>
                <w:lang w:eastAsia="ar-SA"/>
              </w:rPr>
            </w:pPr>
            <w:r w:rsidRPr="00723777">
              <w:rPr>
                <w:sz w:val="20"/>
                <w:lang w:eastAsia="ar-SA"/>
              </w:rPr>
              <w:t>15 006</w:t>
            </w:r>
          </w:p>
        </w:tc>
        <w:tc>
          <w:tcPr>
            <w:tcW w:w="1152" w:type="dxa"/>
            <w:tcBorders>
              <w:top w:val="nil"/>
              <w:left w:val="single" w:sz="4" w:space="0" w:color="000000"/>
              <w:bottom w:val="nil"/>
              <w:right w:val="single" w:sz="4" w:space="0" w:color="000000"/>
            </w:tcBorders>
          </w:tcPr>
          <w:p w14:paraId="67EA2C7E" w14:textId="77777777" w:rsidR="00016A1A" w:rsidRPr="00723777" w:rsidRDefault="00016A1A" w:rsidP="00016A1A">
            <w:pPr>
              <w:snapToGrid w:val="0"/>
              <w:jc w:val="right"/>
              <w:rPr>
                <w:sz w:val="20"/>
                <w:lang w:eastAsia="ar-SA"/>
              </w:rPr>
            </w:pPr>
            <w:r w:rsidRPr="00723777">
              <w:rPr>
                <w:sz w:val="20"/>
                <w:lang w:eastAsia="ar-SA"/>
              </w:rPr>
              <w:t>7 019</w:t>
            </w:r>
          </w:p>
        </w:tc>
        <w:tc>
          <w:tcPr>
            <w:tcW w:w="1152" w:type="dxa"/>
            <w:tcBorders>
              <w:top w:val="nil"/>
              <w:left w:val="single" w:sz="4" w:space="0" w:color="000000"/>
              <w:bottom w:val="nil"/>
              <w:right w:val="single" w:sz="4" w:space="0" w:color="000000"/>
            </w:tcBorders>
          </w:tcPr>
          <w:p w14:paraId="1DB9DB6E" w14:textId="77777777" w:rsidR="00016A1A" w:rsidRPr="00723777" w:rsidRDefault="00016A1A" w:rsidP="00016A1A">
            <w:pPr>
              <w:snapToGrid w:val="0"/>
              <w:jc w:val="right"/>
              <w:rPr>
                <w:sz w:val="20"/>
                <w:lang w:eastAsia="ar-SA"/>
              </w:rPr>
            </w:pPr>
            <w:r w:rsidRPr="00723777">
              <w:rPr>
                <w:sz w:val="20"/>
                <w:lang w:eastAsia="ar-SA"/>
              </w:rPr>
              <w:t>6 859</w:t>
            </w:r>
          </w:p>
        </w:tc>
        <w:tc>
          <w:tcPr>
            <w:tcW w:w="1152" w:type="dxa"/>
            <w:tcBorders>
              <w:top w:val="nil"/>
              <w:left w:val="single" w:sz="4" w:space="0" w:color="000000"/>
              <w:bottom w:val="nil"/>
              <w:right w:val="single" w:sz="4" w:space="0" w:color="000000"/>
            </w:tcBorders>
          </w:tcPr>
          <w:p w14:paraId="7E23D5E3" w14:textId="77777777" w:rsidR="00016A1A" w:rsidRPr="00723777" w:rsidRDefault="00016A1A" w:rsidP="00016A1A">
            <w:pPr>
              <w:snapToGrid w:val="0"/>
              <w:jc w:val="right"/>
              <w:rPr>
                <w:sz w:val="20"/>
                <w:lang w:eastAsia="ar-SA"/>
              </w:rPr>
            </w:pPr>
            <w:r w:rsidRPr="00723777">
              <w:rPr>
                <w:sz w:val="20"/>
                <w:lang w:eastAsia="ar-SA"/>
              </w:rPr>
              <w:t>7 246</w:t>
            </w:r>
          </w:p>
        </w:tc>
      </w:tr>
      <w:tr w:rsidR="00016A1A" w:rsidRPr="00723777" w14:paraId="781A0FF0" w14:textId="77777777" w:rsidTr="00155668">
        <w:trPr>
          <w:tblHeader/>
        </w:trPr>
        <w:tc>
          <w:tcPr>
            <w:tcW w:w="3420" w:type="dxa"/>
            <w:tcBorders>
              <w:top w:val="nil"/>
              <w:left w:val="single" w:sz="4" w:space="0" w:color="auto"/>
              <w:bottom w:val="nil"/>
              <w:right w:val="single" w:sz="4" w:space="0" w:color="auto"/>
            </w:tcBorders>
            <w:vAlign w:val="center"/>
          </w:tcPr>
          <w:p w14:paraId="5D253AAA" w14:textId="77777777" w:rsidR="00016A1A" w:rsidRPr="00723777" w:rsidRDefault="00016A1A" w:rsidP="00016A1A">
            <w:pPr>
              <w:snapToGrid w:val="0"/>
              <w:jc w:val="both"/>
              <w:rPr>
                <w:sz w:val="20"/>
                <w:szCs w:val="20"/>
              </w:rPr>
            </w:pPr>
            <w:r w:rsidRPr="00723777">
              <w:rPr>
                <w:sz w:val="20"/>
                <w:szCs w:val="20"/>
              </w:rPr>
              <w:t>Úřad pro civilní letectví</w:t>
            </w:r>
          </w:p>
        </w:tc>
        <w:tc>
          <w:tcPr>
            <w:tcW w:w="1152" w:type="dxa"/>
            <w:tcBorders>
              <w:top w:val="nil"/>
              <w:left w:val="single" w:sz="4" w:space="0" w:color="auto"/>
              <w:bottom w:val="nil"/>
              <w:right w:val="single" w:sz="4" w:space="0" w:color="auto"/>
            </w:tcBorders>
          </w:tcPr>
          <w:p w14:paraId="7848631F" w14:textId="77777777" w:rsidR="00016A1A" w:rsidRPr="00723777" w:rsidRDefault="00016A1A" w:rsidP="00016A1A">
            <w:pPr>
              <w:snapToGrid w:val="0"/>
              <w:jc w:val="right"/>
              <w:rPr>
                <w:sz w:val="20"/>
                <w:lang w:eastAsia="ar-SA"/>
              </w:rPr>
            </w:pPr>
            <w:r w:rsidRPr="00723777">
              <w:rPr>
                <w:sz w:val="20"/>
                <w:lang w:eastAsia="ar-SA"/>
              </w:rPr>
              <w:t>4 185</w:t>
            </w:r>
          </w:p>
        </w:tc>
        <w:tc>
          <w:tcPr>
            <w:tcW w:w="1152" w:type="dxa"/>
            <w:tcBorders>
              <w:top w:val="nil"/>
              <w:left w:val="single" w:sz="4" w:space="0" w:color="auto"/>
              <w:bottom w:val="nil"/>
              <w:right w:val="single" w:sz="4" w:space="0" w:color="auto"/>
            </w:tcBorders>
          </w:tcPr>
          <w:p w14:paraId="0C0F9486" w14:textId="77777777" w:rsidR="00016A1A" w:rsidRPr="00723777" w:rsidRDefault="00016A1A" w:rsidP="00016A1A">
            <w:pPr>
              <w:snapToGrid w:val="0"/>
              <w:jc w:val="right"/>
              <w:rPr>
                <w:sz w:val="20"/>
                <w:lang w:eastAsia="ar-SA"/>
              </w:rPr>
            </w:pPr>
            <w:r w:rsidRPr="00723777">
              <w:rPr>
                <w:sz w:val="20"/>
                <w:lang w:eastAsia="ar-SA"/>
              </w:rPr>
              <w:t>4 987</w:t>
            </w:r>
          </w:p>
        </w:tc>
        <w:tc>
          <w:tcPr>
            <w:tcW w:w="1152" w:type="dxa"/>
            <w:tcBorders>
              <w:top w:val="nil"/>
              <w:left w:val="single" w:sz="4" w:space="0" w:color="000000"/>
              <w:bottom w:val="nil"/>
              <w:right w:val="single" w:sz="4" w:space="0" w:color="000000"/>
            </w:tcBorders>
            <w:vAlign w:val="center"/>
          </w:tcPr>
          <w:p w14:paraId="4CC1A0AF" w14:textId="77777777" w:rsidR="00016A1A" w:rsidRPr="00723777" w:rsidRDefault="00016A1A" w:rsidP="00016A1A">
            <w:pPr>
              <w:snapToGrid w:val="0"/>
              <w:jc w:val="right"/>
              <w:rPr>
                <w:sz w:val="20"/>
                <w:lang w:eastAsia="ar-SA"/>
              </w:rPr>
            </w:pPr>
            <w:r w:rsidRPr="00723777">
              <w:rPr>
                <w:sz w:val="20"/>
                <w:lang w:eastAsia="ar-SA"/>
              </w:rPr>
              <w:t>3 647</w:t>
            </w:r>
          </w:p>
        </w:tc>
        <w:tc>
          <w:tcPr>
            <w:tcW w:w="1152" w:type="dxa"/>
            <w:tcBorders>
              <w:top w:val="nil"/>
              <w:left w:val="single" w:sz="4" w:space="0" w:color="000000"/>
              <w:bottom w:val="nil"/>
              <w:right w:val="single" w:sz="4" w:space="0" w:color="000000"/>
            </w:tcBorders>
            <w:vAlign w:val="center"/>
          </w:tcPr>
          <w:p w14:paraId="3B3E48C5" w14:textId="77777777" w:rsidR="00016A1A" w:rsidRPr="00723777" w:rsidRDefault="00016A1A" w:rsidP="00016A1A">
            <w:pPr>
              <w:snapToGrid w:val="0"/>
              <w:jc w:val="right"/>
              <w:rPr>
                <w:sz w:val="20"/>
                <w:lang w:eastAsia="ar-SA"/>
              </w:rPr>
            </w:pPr>
            <w:r w:rsidRPr="00723777">
              <w:rPr>
                <w:sz w:val="20"/>
                <w:lang w:eastAsia="ar-SA"/>
              </w:rPr>
              <w:t>10 110</w:t>
            </w:r>
          </w:p>
        </w:tc>
        <w:tc>
          <w:tcPr>
            <w:tcW w:w="1152" w:type="dxa"/>
            <w:tcBorders>
              <w:top w:val="nil"/>
              <w:left w:val="single" w:sz="4" w:space="0" w:color="000000"/>
              <w:bottom w:val="nil"/>
              <w:right w:val="single" w:sz="4" w:space="0" w:color="000000"/>
            </w:tcBorders>
            <w:vAlign w:val="center"/>
          </w:tcPr>
          <w:p w14:paraId="5F7A7652" w14:textId="77777777" w:rsidR="00016A1A" w:rsidRPr="00723777" w:rsidRDefault="00016A1A" w:rsidP="00016A1A">
            <w:pPr>
              <w:snapToGrid w:val="0"/>
              <w:jc w:val="right"/>
              <w:rPr>
                <w:sz w:val="20"/>
                <w:lang w:eastAsia="ar-SA"/>
              </w:rPr>
            </w:pPr>
            <w:r w:rsidRPr="00723777">
              <w:rPr>
                <w:sz w:val="20"/>
                <w:lang w:eastAsia="ar-SA"/>
              </w:rPr>
              <w:t>3 6</w:t>
            </w:r>
            <w:r>
              <w:rPr>
                <w:sz w:val="20"/>
                <w:lang w:eastAsia="ar-SA"/>
              </w:rPr>
              <w:t>29</w:t>
            </w:r>
          </w:p>
        </w:tc>
      </w:tr>
      <w:tr w:rsidR="00016A1A" w:rsidRPr="00723777" w14:paraId="03F89A4B" w14:textId="77777777" w:rsidTr="00155668">
        <w:trPr>
          <w:tblHeader/>
        </w:trPr>
        <w:tc>
          <w:tcPr>
            <w:tcW w:w="3420" w:type="dxa"/>
            <w:tcBorders>
              <w:top w:val="nil"/>
              <w:left w:val="single" w:sz="4" w:space="0" w:color="auto"/>
              <w:bottom w:val="single" w:sz="4" w:space="0" w:color="auto"/>
              <w:right w:val="single" w:sz="4" w:space="0" w:color="auto"/>
            </w:tcBorders>
            <w:vAlign w:val="center"/>
          </w:tcPr>
          <w:p w14:paraId="1AE25676" w14:textId="77777777" w:rsidR="00016A1A" w:rsidRPr="00723777" w:rsidRDefault="00016A1A" w:rsidP="00016A1A">
            <w:pPr>
              <w:snapToGrid w:val="0"/>
              <w:jc w:val="both"/>
              <w:rPr>
                <w:sz w:val="20"/>
                <w:szCs w:val="20"/>
              </w:rPr>
            </w:pPr>
            <w:r w:rsidRPr="00723777">
              <w:rPr>
                <w:sz w:val="20"/>
                <w:szCs w:val="20"/>
              </w:rPr>
              <w:t>Ústav pro odborné zjišťování příčin leteckých nehod</w:t>
            </w:r>
          </w:p>
        </w:tc>
        <w:tc>
          <w:tcPr>
            <w:tcW w:w="1152" w:type="dxa"/>
            <w:tcBorders>
              <w:top w:val="nil"/>
              <w:left w:val="single" w:sz="4" w:space="0" w:color="auto"/>
              <w:bottom w:val="single" w:sz="4" w:space="0" w:color="auto"/>
              <w:right w:val="single" w:sz="4" w:space="0" w:color="auto"/>
            </w:tcBorders>
          </w:tcPr>
          <w:p w14:paraId="781BB279" w14:textId="77777777" w:rsidR="00016A1A" w:rsidRPr="00723777" w:rsidRDefault="00016A1A" w:rsidP="00016A1A">
            <w:pPr>
              <w:jc w:val="right"/>
              <w:rPr>
                <w:sz w:val="20"/>
                <w:lang w:eastAsia="ar-SA"/>
              </w:rPr>
            </w:pPr>
          </w:p>
          <w:p w14:paraId="599AC258" w14:textId="77777777" w:rsidR="00016A1A" w:rsidRPr="00723777" w:rsidRDefault="00016A1A" w:rsidP="00016A1A">
            <w:pPr>
              <w:jc w:val="right"/>
              <w:rPr>
                <w:sz w:val="20"/>
                <w:lang w:eastAsia="ar-SA"/>
              </w:rPr>
            </w:pPr>
            <w:r w:rsidRPr="00723777">
              <w:rPr>
                <w:sz w:val="20"/>
                <w:lang w:eastAsia="ar-SA"/>
              </w:rPr>
              <w:t>1 373</w:t>
            </w:r>
          </w:p>
        </w:tc>
        <w:tc>
          <w:tcPr>
            <w:tcW w:w="1152" w:type="dxa"/>
            <w:tcBorders>
              <w:top w:val="nil"/>
              <w:left w:val="single" w:sz="4" w:space="0" w:color="auto"/>
              <w:bottom w:val="single" w:sz="4" w:space="0" w:color="auto"/>
              <w:right w:val="single" w:sz="4" w:space="0" w:color="auto"/>
            </w:tcBorders>
          </w:tcPr>
          <w:p w14:paraId="211E8383" w14:textId="77777777" w:rsidR="00016A1A" w:rsidRPr="00723777" w:rsidRDefault="00016A1A" w:rsidP="00016A1A">
            <w:pPr>
              <w:jc w:val="right"/>
              <w:rPr>
                <w:sz w:val="20"/>
                <w:lang w:eastAsia="ar-SA"/>
              </w:rPr>
            </w:pPr>
          </w:p>
          <w:p w14:paraId="2AA7EE64" w14:textId="77777777" w:rsidR="00016A1A" w:rsidRPr="00723777" w:rsidRDefault="00016A1A" w:rsidP="00016A1A">
            <w:pPr>
              <w:jc w:val="right"/>
              <w:rPr>
                <w:sz w:val="20"/>
                <w:lang w:eastAsia="ar-SA"/>
              </w:rPr>
            </w:pPr>
            <w:r w:rsidRPr="00723777">
              <w:rPr>
                <w:sz w:val="20"/>
                <w:lang w:eastAsia="ar-SA"/>
              </w:rPr>
              <w:t>1 830</w:t>
            </w:r>
          </w:p>
        </w:tc>
        <w:tc>
          <w:tcPr>
            <w:tcW w:w="1152" w:type="dxa"/>
            <w:tcBorders>
              <w:top w:val="nil"/>
              <w:left w:val="single" w:sz="4" w:space="0" w:color="000000"/>
              <w:bottom w:val="single" w:sz="4" w:space="0" w:color="auto"/>
              <w:right w:val="single" w:sz="4" w:space="0" w:color="000000"/>
            </w:tcBorders>
          </w:tcPr>
          <w:p w14:paraId="077135D8" w14:textId="77777777" w:rsidR="00016A1A" w:rsidRPr="00723777" w:rsidRDefault="00016A1A" w:rsidP="00016A1A">
            <w:pPr>
              <w:jc w:val="right"/>
              <w:rPr>
                <w:sz w:val="20"/>
                <w:lang w:eastAsia="ar-SA"/>
              </w:rPr>
            </w:pPr>
          </w:p>
          <w:p w14:paraId="1D2B45D6" w14:textId="77777777" w:rsidR="00016A1A" w:rsidRPr="00723777" w:rsidRDefault="00016A1A" w:rsidP="00016A1A">
            <w:pPr>
              <w:jc w:val="right"/>
              <w:rPr>
                <w:sz w:val="20"/>
                <w:lang w:eastAsia="ar-SA"/>
              </w:rPr>
            </w:pPr>
            <w:r w:rsidRPr="00723777">
              <w:rPr>
                <w:sz w:val="20"/>
                <w:lang w:eastAsia="ar-SA"/>
              </w:rPr>
              <w:t>1 040</w:t>
            </w:r>
          </w:p>
        </w:tc>
        <w:tc>
          <w:tcPr>
            <w:tcW w:w="1152" w:type="dxa"/>
            <w:tcBorders>
              <w:top w:val="nil"/>
              <w:left w:val="single" w:sz="4" w:space="0" w:color="000000"/>
              <w:bottom w:val="single" w:sz="4" w:space="0" w:color="auto"/>
              <w:right w:val="single" w:sz="4" w:space="0" w:color="000000"/>
            </w:tcBorders>
          </w:tcPr>
          <w:p w14:paraId="2022D638" w14:textId="77777777" w:rsidR="00016A1A" w:rsidRPr="00723777" w:rsidRDefault="00016A1A" w:rsidP="00016A1A">
            <w:pPr>
              <w:jc w:val="right"/>
              <w:rPr>
                <w:sz w:val="20"/>
                <w:lang w:eastAsia="ar-SA"/>
              </w:rPr>
            </w:pPr>
          </w:p>
          <w:p w14:paraId="7380F403" w14:textId="77777777" w:rsidR="00016A1A" w:rsidRPr="00723777" w:rsidRDefault="00016A1A" w:rsidP="00016A1A">
            <w:pPr>
              <w:jc w:val="right"/>
              <w:rPr>
                <w:sz w:val="20"/>
                <w:lang w:eastAsia="ar-SA"/>
              </w:rPr>
            </w:pPr>
            <w:r w:rsidRPr="00723777">
              <w:rPr>
                <w:sz w:val="20"/>
                <w:lang w:eastAsia="ar-SA"/>
              </w:rPr>
              <w:t>909</w:t>
            </w:r>
          </w:p>
        </w:tc>
        <w:tc>
          <w:tcPr>
            <w:tcW w:w="1152" w:type="dxa"/>
            <w:tcBorders>
              <w:top w:val="nil"/>
              <w:left w:val="single" w:sz="4" w:space="0" w:color="000000"/>
              <w:bottom w:val="single" w:sz="4" w:space="0" w:color="auto"/>
              <w:right w:val="single" w:sz="4" w:space="0" w:color="000000"/>
            </w:tcBorders>
          </w:tcPr>
          <w:p w14:paraId="351E16D8" w14:textId="77777777" w:rsidR="00016A1A" w:rsidRPr="00723777" w:rsidRDefault="00016A1A" w:rsidP="00016A1A">
            <w:pPr>
              <w:jc w:val="right"/>
              <w:rPr>
                <w:sz w:val="20"/>
                <w:lang w:eastAsia="ar-SA"/>
              </w:rPr>
            </w:pPr>
          </w:p>
          <w:p w14:paraId="5E5F2AC4" w14:textId="77777777" w:rsidR="00016A1A" w:rsidRPr="00723777" w:rsidRDefault="00016A1A" w:rsidP="00016A1A">
            <w:pPr>
              <w:jc w:val="right"/>
              <w:rPr>
                <w:sz w:val="20"/>
                <w:lang w:eastAsia="ar-SA"/>
              </w:rPr>
            </w:pPr>
            <w:r w:rsidRPr="00723777">
              <w:rPr>
                <w:sz w:val="20"/>
                <w:lang w:eastAsia="ar-SA"/>
              </w:rPr>
              <w:t>40</w:t>
            </w:r>
            <w:r>
              <w:rPr>
                <w:sz w:val="20"/>
                <w:lang w:eastAsia="ar-SA"/>
              </w:rPr>
              <w:t>6</w:t>
            </w:r>
          </w:p>
        </w:tc>
      </w:tr>
    </w:tbl>
    <w:p w14:paraId="7343D0BC" w14:textId="77777777" w:rsidR="00016A1A" w:rsidRDefault="00016A1A" w:rsidP="00155668">
      <w:pPr>
        <w:pStyle w:val="KOMtext"/>
      </w:pPr>
      <w:r>
        <w:t>Výše čerpaných prostředků v roce 2015 a 2016 byl</w:t>
      </w:r>
      <w:r w:rsidR="00155668">
        <w:t xml:space="preserve">a ovlivněna zahájením realizace </w:t>
      </w:r>
      <w:r>
        <w:t>dlouhodobých investičních akcí ICT, jejich přípravné fáze probíhaly již koncem roku 2014.   </w:t>
      </w:r>
    </w:p>
    <w:p w14:paraId="0BABC3EC" w14:textId="77777777" w:rsidR="00016A1A" w:rsidRDefault="00016A1A" w:rsidP="00155668">
      <w:pPr>
        <w:pStyle w:val="KOMtext"/>
      </w:pPr>
      <w:r>
        <w:t>Snížené čerpání investičních prostředků v roce 2017 bylo ovlivněno postupným ukončováním realizace víceletých projektů ICT v programu 127 01. Realizace tohoto programu byla ukončena k 31. 12. 2019. V roce 2017 byly u převážné většiny akcí na informační systémy hrazeny prostředky pouze na zajištění správy a běžného provozu.</w:t>
      </w:r>
    </w:p>
    <w:p w14:paraId="5787DF84" w14:textId="77777777" w:rsidR="00016A1A" w:rsidRDefault="00016A1A" w:rsidP="00155668">
      <w:pPr>
        <w:pStyle w:val="KOMtext"/>
        <w:rPr>
          <w:color w:val="000000"/>
        </w:rPr>
      </w:pPr>
      <w:r>
        <w:t xml:space="preserve">V letech 2016-2019 byla v programu 127 01 dokončována realizace pouze dlouhodobých akcí na rozvoj a správu informačních systémů. Nové investiční projekty byly od r. 2016 zahajovány v programu 127 03. V roce 2018 došlo k navýšení investic do rozvoje IS na základě nově uzavíraných smluvních závazků. </w:t>
      </w:r>
      <w:r>
        <w:rPr>
          <w:color w:val="000000"/>
        </w:rPr>
        <w:t>V roce 2019 pokračovala převážně realizace projektů s uzavřenými smlouvami z roku 2018 prostřednictvím běžné provozní podpory. Investice do rozvoje je plánována od následujícího roku 2020.</w:t>
      </w:r>
    </w:p>
    <w:p w14:paraId="1296C04B" w14:textId="77777777" w:rsidR="00260B96" w:rsidRPr="00016A1A" w:rsidRDefault="00260B96" w:rsidP="00155668">
      <w:pPr>
        <w:pStyle w:val="Nadpis3"/>
      </w:pPr>
      <w:bookmarkStart w:id="971" w:name="_Toc508879901"/>
      <w:bookmarkStart w:id="972" w:name="_Toc508880177"/>
      <w:bookmarkStart w:id="973" w:name="_Toc535839760"/>
      <w:bookmarkStart w:id="974" w:name="_Toc1376846"/>
      <w:bookmarkStart w:id="975" w:name="_Toc34286475"/>
      <w:bookmarkStart w:id="976" w:name="_Toc255297649"/>
      <w:r w:rsidRPr="00016A1A">
        <w:t>Investiční transfery zřízeným příspěvkovým organizacím</w:t>
      </w:r>
      <w:bookmarkEnd w:id="971"/>
      <w:bookmarkEnd w:id="972"/>
      <w:bookmarkEnd w:id="973"/>
      <w:bookmarkEnd w:id="974"/>
      <w:bookmarkEnd w:id="975"/>
    </w:p>
    <w:p w14:paraId="3C5BC1F5" w14:textId="77777777" w:rsidR="00016A1A" w:rsidRPr="00C37EF4" w:rsidRDefault="00016A1A" w:rsidP="00DB2320">
      <w:pPr>
        <w:keepNext/>
        <w:ind w:left="357" w:right="1"/>
        <w:jc w:val="right"/>
        <w:rPr>
          <w:lang w:eastAsia="ar-SA"/>
        </w:rPr>
      </w:pPr>
      <w:bookmarkStart w:id="977" w:name="_Toc488158899"/>
      <w:bookmarkStart w:id="978" w:name="_Toc488236046"/>
      <w:bookmarkStart w:id="979" w:name="_Toc505845221"/>
      <w:bookmarkStart w:id="980" w:name="_Toc508879903"/>
      <w:bookmarkStart w:id="981" w:name="_Toc508880179"/>
      <w:bookmarkStart w:id="982" w:name="_Toc1376847"/>
      <w:r w:rsidRPr="00C37EF4">
        <w:rPr>
          <w:b/>
          <w:bCs/>
          <w:sz w:val="22"/>
          <w:szCs w:val="22"/>
          <w:lang w:eastAsia="ar-SA"/>
        </w:rPr>
        <w:t xml:space="preserve">               </w:t>
      </w:r>
      <w:r w:rsidRPr="00C37EF4">
        <w:rPr>
          <w:lang w:eastAsia="ar-SA"/>
        </w:rPr>
        <w:t>v </w:t>
      </w:r>
      <w:r w:rsidRPr="00C37EF4">
        <w:t>tis</w:t>
      </w:r>
      <w:r w:rsidRPr="00C37EF4">
        <w:rPr>
          <w:lang w:eastAsia="ar-SA"/>
        </w:rPr>
        <w:t>. Kč</w:t>
      </w:r>
    </w:p>
    <w:tbl>
      <w:tblPr>
        <w:tblW w:w="9176" w:type="dxa"/>
        <w:tblInd w:w="70" w:type="dxa"/>
        <w:tblLayout w:type="fixed"/>
        <w:tblCellMar>
          <w:left w:w="70" w:type="dxa"/>
          <w:right w:w="70" w:type="dxa"/>
        </w:tblCellMar>
        <w:tblLook w:val="0000" w:firstRow="0" w:lastRow="0" w:firstColumn="0" w:lastColumn="0" w:noHBand="0" w:noVBand="0"/>
      </w:tblPr>
      <w:tblGrid>
        <w:gridCol w:w="3742"/>
        <w:gridCol w:w="1125"/>
        <w:gridCol w:w="1125"/>
        <w:gridCol w:w="1125"/>
        <w:gridCol w:w="1209"/>
        <w:gridCol w:w="850"/>
      </w:tblGrid>
      <w:tr w:rsidR="00016A1A" w:rsidRPr="00C37EF4" w14:paraId="7510753E" w14:textId="77777777" w:rsidTr="00A06E49">
        <w:trPr>
          <w:trHeight w:val="194"/>
          <w:tblHeader/>
        </w:trPr>
        <w:tc>
          <w:tcPr>
            <w:tcW w:w="3742" w:type="dxa"/>
            <w:tcBorders>
              <w:top w:val="single" w:sz="4" w:space="0" w:color="000000"/>
              <w:left w:val="single" w:sz="4" w:space="0" w:color="000000"/>
              <w:bottom w:val="single" w:sz="4" w:space="0" w:color="000000"/>
            </w:tcBorders>
          </w:tcPr>
          <w:p w14:paraId="272C9D23" w14:textId="77777777" w:rsidR="00016A1A" w:rsidRPr="00C37EF4" w:rsidRDefault="00016A1A" w:rsidP="00016A1A">
            <w:pPr>
              <w:snapToGrid w:val="0"/>
              <w:jc w:val="center"/>
              <w:rPr>
                <w:b/>
                <w:bCs/>
                <w:sz w:val="22"/>
                <w:szCs w:val="22"/>
                <w:lang w:eastAsia="ar-SA"/>
              </w:rPr>
            </w:pPr>
            <w:r w:rsidRPr="00C37EF4">
              <w:rPr>
                <w:b/>
                <w:bCs/>
                <w:sz w:val="22"/>
                <w:szCs w:val="22"/>
                <w:lang w:eastAsia="ar-SA"/>
              </w:rPr>
              <w:t xml:space="preserve">                                                                                                   </w:t>
            </w:r>
          </w:p>
          <w:p w14:paraId="759505FA" w14:textId="77777777" w:rsidR="00016A1A" w:rsidRPr="00C37EF4" w:rsidRDefault="00016A1A" w:rsidP="00016A1A">
            <w:pPr>
              <w:jc w:val="center"/>
              <w:rPr>
                <w:sz w:val="22"/>
                <w:szCs w:val="22"/>
                <w:lang w:eastAsia="ar-SA"/>
              </w:rPr>
            </w:pPr>
            <w:r w:rsidRPr="00C37EF4">
              <w:rPr>
                <w:sz w:val="22"/>
                <w:szCs w:val="22"/>
                <w:lang w:eastAsia="ar-SA"/>
              </w:rPr>
              <w:t>Ukazatel</w:t>
            </w:r>
          </w:p>
        </w:tc>
        <w:tc>
          <w:tcPr>
            <w:tcW w:w="1125" w:type="dxa"/>
            <w:tcBorders>
              <w:top w:val="single" w:sz="4" w:space="0" w:color="000000"/>
              <w:left w:val="single" w:sz="4" w:space="0" w:color="000000"/>
              <w:bottom w:val="single" w:sz="4" w:space="0" w:color="000000"/>
            </w:tcBorders>
            <w:vAlign w:val="center"/>
          </w:tcPr>
          <w:p w14:paraId="711345D9" w14:textId="77777777" w:rsidR="00016A1A" w:rsidRPr="00C37EF4" w:rsidRDefault="00016A1A" w:rsidP="00016A1A">
            <w:pPr>
              <w:snapToGrid w:val="0"/>
              <w:jc w:val="center"/>
              <w:rPr>
                <w:sz w:val="22"/>
                <w:szCs w:val="22"/>
                <w:lang w:eastAsia="ar-SA"/>
              </w:rPr>
            </w:pPr>
            <w:r w:rsidRPr="00C37EF4">
              <w:rPr>
                <w:sz w:val="22"/>
                <w:szCs w:val="22"/>
                <w:lang w:eastAsia="ar-SA"/>
              </w:rPr>
              <w:t>Skutečnost</w:t>
            </w:r>
          </w:p>
          <w:p w14:paraId="0B6B83C1" w14:textId="77777777" w:rsidR="00016A1A" w:rsidRPr="00C37EF4" w:rsidRDefault="00016A1A" w:rsidP="00016A1A">
            <w:pPr>
              <w:jc w:val="center"/>
              <w:rPr>
                <w:sz w:val="22"/>
                <w:szCs w:val="22"/>
                <w:lang w:eastAsia="ar-SA"/>
              </w:rPr>
            </w:pPr>
            <w:r w:rsidRPr="00C37EF4">
              <w:rPr>
                <w:sz w:val="22"/>
                <w:szCs w:val="22"/>
                <w:lang w:eastAsia="ar-SA"/>
              </w:rPr>
              <w:t>2018</w:t>
            </w:r>
          </w:p>
        </w:tc>
        <w:tc>
          <w:tcPr>
            <w:tcW w:w="1125" w:type="dxa"/>
            <w:tcBorders>
              <w:top w:val="single" w:sz="4" w:space="0" w:color="000000"/>
              <w:left w:val="single" w:sz="4" w:space="0" w:color="000000"/>
              <w:bottom w:val="single" w:sz="4" w:space="0" w:color="000000"/>
            </w:tcBorders>
            <w:vAlign w:val="center"/>
          </w:tcPr>
          <w:p w14:paraId="36AA4893" w14:textId="77777777" w:rsidR="00016A1A" w:rsidRPr="00C37EF4" w:rsidRDefault="00016A1A" w:rsidP="00016A1A">
            <w:pPr>
              <w:snapToGrid w:val="0"/>
              <w:jc w:val="center"/>
              <w:rPr>
                <w:sz w:val="22"/>
                <w:szCs w:val="22"/>
                <w:lang w:eastAsia="ar-SA"/>
              </w:rPr>
            </w:pPr>
            <w:r w:rsidRPr="00C37EF4">
              <w:rPr>
                <w:sz w:val="22"/>
                <w:szCs w:val="22"/>
                <w:lang w:eastAsia="ar-SA"/>
              </w:rPr>
              <w:t>Schválený</w:t>
            </w:r>
          </w:p>
          <w:p w14:paraId="3DAEF17D" w14:textId="77777777" w:rsidR="00016A1A" w:rsidRPr="00C37EF4" w:rsidRDefault="00016A1A" w:rsidP="00016A1A">
            <w:pPr>
              <w:jc w:val="center"/>
              <w:rPr>
                <w:sz w:val="22"/>
                <w:szCs w:val="22"/>
                <w:lang w:eastAsia="ar-SA"/>
              </w:rPr>
            </w:pPr>
            <w:r w:rsidRPr="00C37EF4">
              <w:rPr>
                <w:sz w:val="22"/>
                <w:szCs w:val="22"/>
                <w:lang w:eastAsia="ar-SA"/>
              </w:rPr>
              <w:t>rozpočet</w:t>
            </w:r>
          </w:p>
          <w:p w14:paraId="7B732A30" w14:textId="77777777" w:rsidR="00016A1A" w:rsidRPr="00C37EF4" w:rsidRDefault="00016A1A" w:rsidP="00016A1A">
            <w:pPr>
              <w:jc w:val="center"/>
              <w:rPr>
                <w:sz w:val="22"/>
                <w:szCs w:val="22"/>
                <w:lang w:eastAsia="ar-SA"/>
              </w:rPr>
            </w:pPr>
            <w:r w:rsidRPr="00C37EF4">
              <w:rPr>
                <w:sz w:val="22"/>
                <w:szCs w:val="22"/>
                <w:lang w:eastAsia="ar-SA"/>
              </w:rPr>
              <w:t>2019</w:t>
            </w:r>
          </w:p>
        </w:tc>
        <w:tc>
          <w:tcPr>
            <w:tcW w:w="1125" w:type="dxa"/>
            <w:tcBorders>
              <w:top w:val="single" w:sz="4" w:space="0" w:color="000000"/>
              <w:left w:val="single" w:sz="4" w:space="0" w:color="000000"/>
              <w:bottom w:val="single" w:sz="4" w:space="0" w:color="000000"/>
            </w:tcBorders>
            <w:vAlign w:val="center"/>
          </w:tcPr>
          <w:p w14:paraId="0C267537" w14:textId="77777777" w:rsidR="00016A1A" w:rsidRPr="00C37EF4" w:rsidRDefault="00016A1A" w:rsidP="00016A1A">
            <w:pPr>
              <w:snapToGrid w:val="0"/>
              <w:jc w:val="center"/>
              <w:rPr>
                <w:sz w:val="22"/>
                <w:szCs w:val="22"/>
                <w:lang w:eastAsia="ar-SA"/>
              </w:rPr>
            </w:pPr>
            <w:r w:rsidRPr="00C37EF4">
              <w:rPr>
                <w:sz w:val="22"/>
                <w:szCs w:val="22"/>
                <w:lang w:eastAsia="ar-SA"/>
              </w:rPr>
              <w:t>Upravený</w:t>
            </w:r>
          </w:p>
          <w:p w14:paraId="3A6B8989" w14:textId="77777777" w:rsidR="00016A1A" w:rsidRPr="00C37EF4" w:rsidRDefault="00016A1A" w:rsidP="00016A1A">
            <w:pPr>
              <w:jc w:val="center"/>
              <w:rPr>
                <w:sz w:val="22"/>
                <w:szCs w:val="22"/>
                <w:lang w:eastAsia="ar-SA"/>
              </w:rPr>
            </w:pPr>
            <w:r w:rsidRPr="00C37EF4">
              <w:rPr>
                <w:sz w:val="22"/>
                <w:szCs w:val="22"/>
                <w:lang w:eastAsia="ar-SA"/>
              </w:rPr>
              <w:t>rozpočet</w:t>
            </w:r>
          </w:p>
          <w:p w14:paraId="4A881C58" w14:textId="77777777" w:rsidR="00016A1A" w:rsidRPr="00C37EF4" w:rsidRDefault="00016A1A" w:rsidP="00016A1A">
            <w:pPr>
              <w:jc w:val="center"/>
              <w:rPr>
                <w:sz w:val="22"/>
                <w:szCs w:val="22"/>
                <w:lang w:eastAsia="ar-SA"/>
              </w:rPr>
            </w:pPr>
            <w:r w:rsidRPr="00C37EF4">
              <w:rPr>
                <w:sz w:val="22"/>
                <w:szCs w:val="22"/>
                <w:lang w:eastAsia="ar-SA"/>
              </w:rPr>
              <w:t>2019</w:t>
            </w:r>
          </w:p>
        </w:tc>
        <w:tc>
          <w:tcPr>
            <w:tcW w:w="1209" w:type="dxa"/>
            <w:tcBorders>
              <w:top w:val="single" w:sz="4" w:space="0" w:color="000000"/>
              <w:left w:val="single" w:sz="4" w:space="0" w:color="000000"/>
              <w:bottom w:val="single" w:sz="4" w:space="0" w:color="000000"/>
            </w:tcBorders>
            <w:vAlign w:val="center"/>
          </w:tcPr>
          <w:p w14:paraId="62B4320F" w14:textId="77777777" w:rsidR="00016A1A" w:rsidRPr="00C37EF4" w:rsidRDefault="00016A1A" w:rsidP="00016A1A">
            <w:pPr>
              <w:snapToGrid w:val="0"/>
              <w:jc w:val="center"/>
              <w:rPr>
                <w:sz w:val="22"/>
                <w:szCs w:val="22"/>
                <w:lang w:eastAsia="ar-SA"/>
              </w:rPr>
            </w:pPr>
            <w:r w:rsidRPr="00C37EF4">
              <w:rPr>
                <w:sz w:val="22"/>
                <w:szCs w:val="22"/>
                <w:lang w:eastAsia="ar-SA"/>
              </w:rPr>
              <w:t>Skutečnost</w:t>
            </w:r>
          </w:p>
          <w:p w14:paraId="35F15E57" w14:textId="77777777" w:rsidR="00016A1A" w:rsidRPr="00C37EF4" w:rsidRDefault="00016A1A" w:rsidP="00016A1A">
            <w:pPr>
              <w:jc w:val="center"/>
              <w:rPr>
                <w:sz w:val="22"/>
                <w:szCs w:val="22"/>
                <w:lang w:eastAsia="ar-SA"/>
              </w:rPr>
            </w:pPr>
            <w:r w:rsidRPr="00C37EF4">
              <w:rPr>
                <w:sz w:val="22"/>
                <w:szCs w:val="22"/>
                <w:lang w:eastAsia="ar-SA"/>
              </w:rPr>
              <w:t>2019</w:t>
            </w:r>
          </w:p>
        </w:tc>
        <w:tc>
          <w:tcPr>
            <w:tcW w:w="850" w:type="dxa"/>
            <w:tcBorders>
              <w:top w:val="single" w:sz="4" w:space="0" w:color="000000"/>
              <w:left w:val="single" w:sz="4" w:space="0" w:color="000000"/>
              <w:bottom w:val="single" w:sz="4" w:space="0" w:color="000000"/>
              <w:right w:val="single" w:sz="4" w:space="0" w:color="000000"/>
            </w:tcBorders>
            <w:vAlign w:val="center"/>
          </w:tcPr>
          <w:p w14:paraId="07BCF0DF" w14:textId="77777777" w:rsidR="00016A1A" w:rsidRPr="00C37EF4" w:rsidRDefault="00016A1A" w:rsidP="00016A1A">
            <w:pPr>
              <w:snapToGrid w:val="0"/>
              <w:jc w:val="center"/>
              <w:rPr>
                <w:sz w:val="22"/>
                <w:szCs w:val="22"/>
                <w:lang w:eastAsia="ar-SA"/>
              </w:rPr>
            </w:pPr>
            <w:r w:rsidRPr="00C37EF4">
              <w:rPr>
                <w:sz w:val="22"/>
                <w:szCs w:val="22"/>
                <w:lang w:eastAsia="ar-SA"/>
              </w:rPr>
              <w:t>Index</w:t>
            </w:r>
          </w:p>
          <w:p w14:paraId="76715680" w14:textId="77777777" w:rsidR="00016A1A" w:rsidRPr="00C37EF4" w:rsidRDefault="00016A1A" w:rsidP="00016A1A">
            <w:pPr>
              <w:jc w:val="center"/>
              <w:rPr>
                <w:sz w:val="22"/>
                <w:szCs w:val="22"/>
                <w:lang w:eastAsia="ar-SA"/>
              </w:rPr>
            </w:pPr>
            <w:r w:rsidRPr="00C37EF4">
              <w:rPr>
                <w:sz w:val="22"/>
                <w:szCs w:val="22"/>
                <w:lang w:eastAsia="ar-SA"/>
              </w:rPr>
              <w:t>19/18         (v %)</w:t>
            </w:r>
          </w:p>
        </w:tc>
      </w:tr>
      <w:tr w:rsidR="00016A1A" w:rsidRPr="00C37EF4" w14:paraId="644AA877" w14:textId="77777777" w:rsidTr="00A06E49">
        <w:trPr>
          <w:tblHeader/>
        </w:trPr>
        <w:tc>
          <w:tcPr>
            <w:tcW w:w="3742" w:type="dxa"/>
            <w:tcBorders>
              <w:left w:val="single" w:sz="4" w:space="0" w:color="000000"/>
              <w:bottom w:val="single" w:sz="4" w:space="0" w:color="000000"/>
            </w:tcBorders>
          </w:tcPr>
          <w:p w14:paraId="136EB866" w14:textId="77777777" w:rsidR="00016A1A" w:rsidRPr="00C37EF4" w:rsidRDefault="00016A1A" w:rsidP="00016A1A">
            <w:pPr>
              <w:snapToGrid w:val="0"/>
              <w:jc w:val="center"/>
              <w:rPr>
                <w:sz w:val="22"/>
                <w:szCs w:val="22"/>
                <w:lang w:eastAsia="ar-SA"/>
              </w:rPr>
            </w:pPr>
            <w:r w:rsidRPr="00C37EF4">
              <w:rPr>
                <w:sz w:val="22"/>
                <w:szCs w:val="22"/>
                <w:lang w:eastAsia="ar-SA"/>
              </w:rPr>
              <w:t>a</w:t>
            </w:r>
          </w:p>
        </w:tc>
        <w:tc>
          <w:tcPr>
            <w:tcW w:w="1125" w:type="dxa"/>
            <w:tcBorders>
              <w:left w:val="single" w:sz="4" w:space="0" w:color="000000"/>
              <w:bottom w:val="single" w:sz="4" w:space="0" w:color="000000"/>
            </w:tcBorders>
          </w:tcPr>
          <w:p w14:paraId="19A4D1B0" w14:textId="77777777" w:rsidR="00016A1A" w:rsidRPr="00C37EF4" w:rsidRDefault="00016A1A" w:rsidP="00016A1A">
            <w:pPr>
              <w:snapToGrid w:val="0"/>
              <w:jc w:val="center"/>
              <w:rPr>
                <w:sz w:val="22"/>
                <w:szCs w:val="22"/>
                <w:lang w:eastAsia="ar-SA"/>
              </w:rPr>
            </w:pPr>
            <w:r w:rsidRPr="00C37EF4">
              <w:rPr>
                <w:sz w:val="22"/>
                <w:szCs w:val="22"/>
                <w:lang w:eastAsia="ar-SA"/>
              </w:rPr>
              <w:t>1</w:t>
            </w:r>
          </w:p>
        </w:tc>
        <w:tc>
          <w:tcPr>
            <w:tcW w:w="1125" w:type="dxa"/>
            <w:tcBorders>
              <w:left w:val="single" w:sz="4" w:space="0" w:color="000000"/>
              <w:bottom w:val="single" w:sz="4" w:space="0" w:color="000000"/>
            </w:tcBorders>
          </w:tcPr>
          <w:p w14:paraId="630CFBFE" w14:textId="77777777" w:rsidR="00016A1A" w:rsidRPr="00C37EF4" w:rsidRDefault="00016A1A" w:rsidP="00016A1A">
            <w:pPr>
              <w:snapToGrid w:val="0"/>
              <w:jc w:val="center"/>
              <w:rPr>
                <w:sz w:val="22"/>
                <w:szCs w:val="22"/>
                <w:lang w:eastAsia="ar-SA"/>
              </w:rPr>
            </w:pPr>
            <w:r w:rsidRPr="00C37EF4">
              <w:rPr>
                <w:sz w:val="22"/>
                <w:szCs w:val="22"/>
                <w:lang w:eastAsia="ar-SA"/>
              </w:rPr>
              <w:t>2</w:t>
            </w:r>
          </w:p>
        </w:tc>
        <w:tc>
          <w:tcPr>
            <w:tcW w:w="1125" w:type="dxa"/>
            <w:tcBorders>
              <w:left w:val="single" w:sz="4" w:space="0" w:color="000000"/>
              <w:bottom w:val="single" w:sz="4" w:space="0" w:color="000000"/>
            </w:tcBorders>
          </w:tcPr>
          <w:p w14:paraId="042C1BD0" w14:textId="77777777" w:rsidR="00016A1A" w:rsidRPr="00C37EF4" w:rsidRDefault="00016A1A" w:rsidP="00016A1A">
            <w:pPr>
              <w:snapToGrid w:val="0"/>
              <w:jc w:val="center"/>
              <w:rPr>
                <w:sz w:val="22"/>
                <w:szCs w:val="22"/>
                <w:lang w:eastAsia="ar-SA"/>
              </w:rPr>
            </w:pPr>
            <w:r w:rsidRPr="00C37EF4">
              <w:rPr>
                <w:sz w:val="22"/>
                <w:szCs w:val="22"/>
                <w:lang w:eastAsia="ar-SA"/>
              </w:rPr>
              <w:t>3</w:t>
            </w:r>
          </w:p>
        </w:tc>
        <w:tc>
          <w:tcPr>
            <w:tcW w:w="1209" w:type="dxa"/>
            <w:tcBorders>
              <w:left w:val="single" w:sz="4" w:space="0" w:color="000000"/>
              <w:bottom w:val="single" w:sz="4" w:space="0" w:color="000000"/>
            </w:tcBorders>
          </w:tcPr>
          <w:p w14:paraId="2B33BA8E" w14:textId="77777777" w:rsidR="00016A1A" w:rsidRPr="00C37EF4" w:rsidRDefault="00016A1A" w:rsidP="00016A1A">
            <w:pPr>
              <w:snapToGrid w:val="0"/>
              <w:jc w:val="center"/>
              <w:rPr>
                <w:sz w:val="22"/>
                <w:szCs w:val="22"/>
                <w:lang w:eastAsia="ar-SA"/>
              </w:rPr>
            </w:pPr>
            <w:r w:rsidRPr="00C37EF4">
              <w:rPr>
                <w:sz w:val="22"/>
                <w:szCs w:val="22"/>
                <w:lang w:eastAsia="ar-SA"/>
              </w:rPr>
              <w:t>4</w:t>
            </w:r>
          </w:p>
        </w:tc>
        <w:tc>
          <w:tcPr>
            <w:tcW w:w="850" w:type="dxa"/>
            <w:tcBorders>
              <w:left w:val="single" w:sz="4" w:space="0" w:color="000000"/>
              <w:bottom w:val="single" w:sz="4" w:space="0" w:color="000000"/>
              <w:right w:val="single" w:sz="4" w:space="0" w:color="000000"/>
            </w:tcBorders>
          </w:tcPr>
          <w:p w14:paraId="7A8891B4" w14:textId="77777777" w:rsidR="00016A1A" w:rsidRPr="00C37EF4" w:rsidRDefault="00016A1A" w:rsidP="00016A1A">
            <w:pPr>
              <w:snapToGrid w:val="0"/>
              <w:jc w:val="center"/>
              <w:rPr>
                <w:sz w:val="22"/>
                <w:szCs w:val="22"/>
                <w:lang w:eastAsia="ar-SA"/>
              </w:rPr>
            </w:pPr>
            <w:r w:rsidRPr="00C37EF4">
              <w:rPr>
                <w:sz w:val="22"/>
                <w:szCs w:val="22"/>
                <w:lang w:eastAsia="ar-SA"/>
              </w:rPr>
              <w:t>5</w:t>
            </w:r>
          </w:p>
        </w:tc>
      </w:tr>
      <w:tr w:rsidR="00016A1A" w:rsidRPr="00C37EF4" w14:paraId="300B7087" w14:textId="77777777" w:rsidTr="00A06E49">
        <w:trPr>
          <w:trHeight w:val="956"/>
          <w:tblHeader/>
        </w:trPr>
        <w:tc>
          <w:tcPr>
            <w:tcW w:w="3742" w:type="dxa"/>
            <w:tcBorders>
              <w:left w:val="single" w:sz="4" w:space="0" w:color="000000"/>
              <w:bottom w:val="single" w:sz="4" w:space="0" w:color="000000"/>
            </w:tcBorders>
          </w:tcPr>
          <w:p w14:paraId="1F2DC3A9" w14:textId="77777777" w:rsidR="00016A1A" w:rsidRPr="00C37EF4" w:rsidRDefault="00016A1A" w:rsidP="00016A1A">
            <w:pPr>
              <w:tabs>
                <w:tab w:val="left" w:pos="0"/>
                <w:tab w:val="left" w:pos="110"/>
              </w:tabs>
              <w:snapToGrid w:val="0"/>
              <w:spacing w:before="120"/>
              <w:rPr>
                <w:b/>
                <w:sz w:val="20"/>
                <w:szCs w:val="20"/>
                <w:lang w:eastAsia="ar-SA"/>
              </w:rPr>
            </w:pPr>
            <w:r w:rsidRPr="00C37EF4">
              <w:rPr>
                <w:b/>
                <w:sz w:val="20"/>
                <w:szCs w:val="20"/>
                <w:lang w:eastAsia="ar-SA"/>
              </w:rPr>
              <w:t>Investiční transfery zřízeným PO</w:t>
            </w:r>
          </w:p>
          <w:p w14:paraId="39B7E97C" w14:textId="77777777" w:rsidR="00016A1A" w:rsidRPr="00C37EF4" w:rsidRDefault="00016A1A" w:rsidP="00016A1A">
            <w:pPr>
              <w:tabs>
                <w:tab w:val="left" w:pos="0"/>
                <w:tab w:val="left" w:pos="110"/>
              </w:tabs>
              <w:rPr>
                <w:sz w:val="20"/>
                <w:szCs w:val="20"/>
                <w:lang w:eastAsia="ar-SA"/>
              </w:rPr>
            </w:pPr>
            <w:r w:rsidRPr="00C37EF4">
              <w:rPr>
                <w:sz w:val="20"/>
                <w:szCs w:val="20"/>
                <w:lang w:eastAsia="ar-SA"/>
              </w:rPr>
              <w:t>v tom:</w:t>
            </w:r>
          </w:p>
          <w:p w14:paraId="5F8511A3" w14:textId="77777777" w:rsidR="00016A1A" w:rsidRPr="00C37EF4" w:rsidRDefault="00016A1A" w:rsidP="00016A1A">
            <w:pPr>
              <w:tabs>
                <w:tab w:val="left" w:pos="0"/>
                <w:tab w:val="left" w:pos="110"/>
              </w:tabs>
              <w:rPr>
                <w:sz w:val="20"/>
                <w:szCs w:val="20"/>
                <w:lang w:eastAsia="ar-SA"/>
              </w:rPr>
            </w:pPr>
            <w:r w:rsidRPr="00C37EF4">
              <w:rPr>
                <w:sz w:val="20"/>
                <w:szCs w:val="20"/>
                <w:lang w:eastAsia="ar-SA"/>
              </w:rPr>
              <w:t>Ředitelství silnic a dálnic ČR</w:t>
            </w:r>
          </w:p>
          <w:p w14:paraId="0F028105" w14:textId="77777777" w:rsidR="00016A1A" w:rsidRPr="00C37EF4" w:rsidRDefault="00016A1A" w:rsidP="00016A1A">
            <w:pPr>
              <w:tabs>
                <w:tab w:val="left" w:pos="0"/>
                <w:tab w:val="left" w:pos="110"/>
              </w:tabs>
              <w:rPr>
                <w:i/>
                <w:sz w:val="20"/>
                <w:szCs w:val="20"/>
                <w:lang w:eastAsia="ar-SA"/>
              </w:rPr>
            </w:pPr>
            <w:r w:rsidRPr="00C37EF4">
              <w:rPr>
                <w:i/>
                <w:sz w:val="20"/>
                <w:szCs w:val="20"/>
                <w:lang w:eastAsia="ar-SA"/>
              </w:rPr>
              <w:t xml:space="preserve"> z toho: prostředky EU </w:t>
            </w:r>
          </w:p>
          <w:p w14:paraId="6E1C5862" w14:textId="77777777" w:rsidR="00016A1A" w:rsidRPr="00C37EF4" w:rsidRDefault="00016A1A" w:rsidP="00016A1A">
            <w:pPr>
              <w:tabs>
                <w:tab w:val="left" w:pos="0"/>
                <w:tab w:val="left" w:pos="110"/>
              </w:tabs>
              <w:rPr>
                <w:sz w:val="20"/>
                <w:szCs w:val="20"/>
                <w:lang w:eastAsia="ar-SA"/>
              </w:rPr>
            </w:pPr>
            <w:r w:rsidRPr="00C37EF4">
              <w:rPr>
                <w:sz w:val="20"/>
                <w:szCs w:val="20"/>
                <w:lang w:eastAsia="ar-SA"/>
              </w:rPr>
              <w:t>Centrum služeb pro silniční dopravu</w:t>
            </w:r>
          </w:p>
        </w:tc>
        <w:tc>
          <w:tcPr>
            <w:tcW w:w="1125" w:type="dxa"/>
            <w:tcBorders>
              <w:left w:val="single" w:sz="4" w:space="0" w:color="000000"/>
              <w:bottom w:val="single" w:sz="4" w:space="0" w:color="000000"/>
            </w:tcBorders>
          </w:tcPr>
          <w:p w14:paraId="507790F3" w14:textId="77777777" w:rsidR="00016A1A" w:rsidRPr="00C37EF4" w:rsidRDefault="00016A1A" w:rsidP="00016A1A">
            <w:pPr>
              <w:snapToGrid w:val="0"/>
              <w:spacing w:before="120"/>
              <w:jc w:val="right"/>
              <w:rPr>
                <w:b/>
                <w:sz w:val="20"/>
                <w:szCs w:val="20"/>
                <w:lang w:eastAsia="ar-SA"/>
              </w:rPr>
            </w:pPr>
            <w:r w:rsidRPr="00C37EF4">
              <w:rPr>
                <w:b/>
                <w:sz w:val="20"/>
                <w:szCs w:val="20"/>
                <w:lang w:eastAsia="ar-SA"/>
              </w:rPr>
              <w:t>58 081</w:t>
            </w:r>
          </w:p>
          <w:p w14:paraId="1600A31B" w14:textId="77777777" w:rsidR="00016A1A" w:rsidRPr="00C37EF4" w:rsidRDefault="00016A1A" w:rsidP="00016A1A">
            <w:pPr>
              <w:jc w:val="right"/>
              <w:rPr>
                <w:b/>
                <w:sz w:val="20"/>
                <w:szCs w:val="20"/>
                <w:lang w:eastAsia="ar-SA"/>
              </w:rPr>
            </w:pPr>
          </w:p>
          <w:p w14:paraId="317DFAB5" w14:textId="77777777" w:rsidR="00016A1A" w:rsidRPr="00C37EF4" w:rsidRDefault="00016A1A" w:rsidP="00016A1A">
            <w:pPr>
              <w:jc w:val="right"/>
              <w:rPr>
                <w:sz w:val="20"/>
                <w:szCs w:val="20"/>
                <w:lang w:eastAsia="ar-SA"/>
              </w:rPr>
            </w:pPr>
            <w:r w:rsidRPr="00C37EF4">
              <w:rPr>
                <w:sz w:val="20"/>
                <w:szCs w:val="20"/>
                <w:lang w:eastAsia="ar-SA"/>
              </w:rPr>
              <w:t>48 808</w:t>
            </w:r>
          </w:p>
          <w:p w14:paraId="4907B890" w14:textId="77777777" w:rsidR="00016A1A" w:rsidRPr="00C37EF4" w:rsidRDefault="00016A1A" w:rsidP="00016A1A">
            <w:pPr>
              <w:jc w:val="right"/>
              <w:rPr>
                <w:i/>
                <w:sz w:val="20"/>
                <w:szCs w:val="20"/>
                <w:lang w:eastAsia="ar-SA"/>
              </w:rPr>
            </w:pPr>
            <w:r w:rsidRPr="00C37EF4">
              <w:rPr>
                <w:i/>
                <w:sz w:val="20"/>
                <w:szCs w:val="20"/>
                <w:lang w:eastAsia="ar-SA"/>
              </w:rPr>
              <w:t>0</w:t>
            </w:r>
          </w:p>
          <w:p w14:paraId="484038BD" w14:textId="77777777" w:rsidR="00016A1A" w:rsidRPr="00C37EF4" w:rsidRDefault="00016A1A" w:rsidP="00016A1A">
            <w:pPr>
              <w:jc w:val="right"/>
              <w:rPr>
                <w:sz w:val="20"/>
                <w:szCs w:val="20"/>
                <w:lang w:eastAsia="ar-SA"/>
              </w:rPr>
            </w:pPr>
            <w:r w:rsidRPr="00C37EF4">
              <w:rPr>
                <w:sz w:val="20"/>
                <w:szCs w:val="20"/>
                <w:lang w:eastAsia="ar-SA"/>
              </w:rPr>
              <w:t>9 273</w:t>
            </w:r>
          </w:p>
        </w:tc>
        <w:tc>
          <w:tcPr>
            <w:tcW w:w="1125" w:type="dxa"/>
            <w:tcBorders>
              <w:left w:val="single" w:sz="4" w:space="0" w:color="000000"/>
              <w:bottom w:val="single" w:sz="4" w:space="0" w:color="000000"/>
            </w:tcBorders>
          </w:tcPr>
          <w:p w14:paraId="62CD8EFD" w14:textId="77777777" w:rsidR="00016A1A" w:rsidRPr="00C37EF4" w:rsidRDefault="00016A1A" w:rsidP="00016A1A">
            <w:pPr>
              <w:snapToGrid w:val="0"/>
              <w:spacing w:before="120"/>
              <w:jc w:val="right"/>
              <w:rPr>
                <w:b/>
                <w:sz w:val="20"/>
                <w:szCs w:val="20"/>
                <w:lang w:eastAsia="ar-SA"/>
              </w:rPr>
            </w:pPr>
            <w:r w:rsidRPr="00C37EF4">
              <w:rPr>
                <w:b/>
                <w:sz w:val="20"/>
                <w:szCs w:val="20"/>
                <w:lang w:eastAsia="ar-SA"/>
              </w:rPr>
              <w:t>0</w:t>
            </w:r>
          </w:p>
          <w:p w14:paraId="02F36212" w14:textId="77777777" w:rsidR="00016A1A" w:rsidRPr="00C37EF4" w:rsidRDefault="00016A1A" w:rsidP="00016A1A">
            <w:pPr>
              <w:jc w:val="right"/>
              <w:rPr>
                <w:b/>
                <w:sz w:val="20"/>
                <w:szCs w:val="20"/>
                <w:lang w:eastAsia="ar-SA"/>
              </w:rPr>
            </w:pPr>
          </w:p>
          <w:p w14:paraId="4E05FE11" w14:textId="77777777" w:rsidR="00016A1A" w:rsidRPr="00C37EF4" w:rsidRDefault="00016A1A" w:rsidP="00016A1A">
            <w:pPr>
              <w:jc w:val="right"/>
              <w:rPr>
                <w:sz w:val="20"/>
                <w:szCs w:val="20"/>
                <w:lang w:eastAsia="ar-SA"/>
              </w:rPr>
            </w:pPr>
            <w:r w:rsidRPr="00C37EF4">
              <w:rPr>
                <w:sz w:val="20"/>
                <w:szCs w:val="20"/>
                <w:lang w:eastAsia="ar-SA"/>
              </w:rPr>
              <w:t>0</w:t>
            </w:r>
          </w:p>
          <w:p w14:paraId="56F0AE7D" w14:textId="77777777" w:rsidR="00016A1A" w:rsidRPr="00C37EF4" w:rsidRDefault="00016A1A" w:rsidP="00016A1A">
            <w:pPr>
              <w:jc w:val="right"/>
              <w:rPr>
                <w:i/>
                <w:sz w:val="20"/>
                <w:szCs w:val="20"/>
                <w:lang w:eastAsia="ar-SA"/>
              </w:rPr>
            </w:pPr>
            <w:r w:rsidRPr="00C37EF4">
              <w:rPr>
                <w:i/>
                <w:sz w:val="20"/>
                <w:szCs w:val="20"/>
                <w:lang w:eastAsia="ar-SA"/>
              </w:rPr>
              <w:t>0</w:t>
            </w:r>
          </w:p>
          <w:p w14:paraId="6A62D9DC" w14:textId="77777777" w:rsidR="00016A1A" w:rsidRPr="00C37EF4" w:rsidRDefault="00016A1A" w:rsidP="00016A1A">
            <w:pPr>
              <w:jc w:val="right"/>
              <w:rPr>
                <w:sz w:val="20"/>
                <w:szCs w:val="20"/>
                <w:lang w:eastAsia="ar-SA"/>
              </w:rPr>
            </w:pPr>
            <w:r w:rsidRPr="00C37EF4">
              <w:rPr>
                <w:sz w:val="20"/>
                <w:szCs w:val="20"/>
                <w:lang w:eastAsia="ar-SA"/>
              </w:rPr>
              <w:t>0</w:t>
            </w:r>
          </w:p>
        </w:tc>
        <w:tc>
          <w:tcPr>
            <w:tcW w:w="1125" w:type="dxa"/>
            <w:tcBorders>
              <w:left w:val="single" w:sz="4" w:space="0" w:color="000000"/>
              <w:bottom w:val="single" w:sz="4" w:space="0" w:color="000000"/>
            </w:tcBorders>
          </w:tcPr>
          <w:p w14:paraId="6D4CAEB3" w14:textId="77777777" w:rsidR="00016A1A" w:rsidRPr="00C37EF4" w:rsidRDefault="00016A1A" w:rsidP="00016A1A">
            <w:pPr>
              <w:snapToGrid w:val="0"/>
              <w:spacing w:before="120"/>
              <w:jc w:val="right"/>
              <w:rPr>
                <w:b/>
                <w:sz w:val="20"/>
                <w:szCs w:val="20"/>
                <w:lang w:eastAsia="ar-SA"/>
              </w:rPr>
            </w:pPr>
            <w:r w:rsidRPr="00C37EF4">
              <w:rPr>
                <w:b/>
                <w:sz w:val="20"/>
                <w:szCs w:val="20"/>
                <w:lang w:eastAsia="ar-SA"/>
              </w:rPr>
              <w:t>0</w:t>
            </w:r>
          </w:p>
          <w:p w14:paraId="31D70ACE" w14:textId="77777777" w:rsidR="00016A1A" w:rsidRPr="00C37EF4" w:rsidRDefault="00016A1A" w:rsidP="00016A1A">
            <w:pPr>
              <w:jc w:val="right"/>
              <w:rPr>
                <w:b/>
                <w:sz w:val="20"/>
                <w:szCs w:val="20"/>
                <w:lang w:eastAsia="ar-SA"/>
              </w:rPr>
            </w:pPr>
          </w:p>
          <w:p w14:paraId="21C64B64" w14:textId="77777777" w:rsidR="00016A1A" w:rsidRPr="00C37EF4" w:rsidRDefault="00016A1A" w:rsidP="00016A1A">
            <w:pPr>
              <w:jc w:val="right"/>
              <w:rPr>
                <w:sz w:val="20"/>
                <w:szCs w:val="20"/>
                <w:lang w:eastAsia="ar-SA"/>
              </w:rPr>
            </w:pPr>
            <w:r w:rsidRPr="00C37EF4">
              <w:rPr>
                <w:sz w:val="20"/>
                <w:szCs w:val="20"/>
                <w:lang w:eastAsia="ar-SA"/>
              </w:rPr>
              <w:t>0</w:t>
            </w:r>
          </w:p>
          <w:p w14:paraId="4F470AE7" w14:textId="77777777" w:rsidR="00016A1A" w:rsidRPr="00C37EF4" w:rsidRDefault="00016A1A" w:rsidP="00016A1A">
            <w:pPr>
              <w:jc w:val="right"/>
              <w:rPr>
                <w:i/>
                <w:sz w:val="20"/>
                <w:szCs w:val="20"/>
                <w:lang w:eastAsia="ar-SA"/>
              </w:rPr>
            </w:pPr>
            <w:r w:rsidRPr="00C37EF4">
              <w:rPr>
                <w:i/>
                <w:sz w:val="20"/>
                <w:szCs w:val="20"/>
                <w:lang w:eastAsia="ar-SA"/>
              </w:rPr>
              <w:t>0</w:t>
            </w:r>
          </w:p>
          <w:p w14:paraId="737A1602" w14:textId="77777777" w:rsidR="00016A1A" w:rsidRPr="00C37EF4" w:rsidRDefault="00016A1A" w:rsidP="00016A1A">
            <w:pPr>
              <w:jc w:val="right"/>
              <w:rPr>
                <w:sz w:val="20"/>
                <w:szCs w:val="20"/>
                <w:lang w:eastAsia="ar-SA"/>
              </w:rPr>
            </w:pPr>
            <w:r w:rsidRPr="00C37EF4">
              <w:rPr>
                <w:sz w:val="20"/>
                <w:szCs w:val="20"/>
                <w:lang w:eastAsia="ar-SA"/>
              </w:rPr>
              <w:t>0</w:t>
            </w:r>
          </w:p>
        </w:tc>
        <w:tc>
          <w:tcPr>
            <w:tcW w:w="1209" w:type="dxa"/>
            <w:tcBorders>
              <w:left w:val="single" w:sz="4" w:space="0" w:color="000000"/>
              <w:bottom w:val="single" w:sz="4" w:space="0" w:color="000000"/>
            </w:tcBorders>
          </w:tcPr>
          <w:p w14:paraId="2DAB3F9E" w14:textId="77777777" w:rsidR="00016A1A" w:rsidRPr="00C37EF4" w:rsidRDefault="00016A1A" w:rsidP="00016A1A">
            <w:pPr>
              <w:snapToGrid w:val="0"/>
              <w:spacing w:before="120"/>
              <w:jc w:val="right"/>
              <w:rPr>
                <w:b/>
                <w:sz w:val="20"/>
                <w:szCs w:val="20"/>
                <w:lang w:eastAsia="ar-SA"/>
              </w:rPr>
            </w:pPr>
            <w:r w:rsidRPr="00C37EF4">
              <w:rPr>
                <w:b/>
                <w:sz w:val="20"/>
                <w:szCs w:val="20"/>
                <w:lang w:eastAsia="ar-SA"/>
              </w:rPr>
              <w:t>0</w:t>
            </w:r>
          </w:p>
          <w:p w14:paraId="1DB451AA" w14:textId="77777777" w:rsidR="00016A1A" w:rsidRPr="00C37EF4" w:rsidRDefault="00016A1A" w:rsidP="00016A1A">
            <w:pPr>
              <w:jc w:val="right"/>
              <w:rPr>
                <w:b/>
                <w:sz w:val="20"/>
                <w:szCs w:val="20"/>
                <w:lang w:eastAsia="ar-SA"/>
              </w:rPr>
            </w:pPr>
          </w:p>
          <w:p w14:paraId="29ADA241" w14:textId="77777777" w:rsidR="00016A1A" w:rsidRPr="00C37EF4" w:rsidRDefault="00016A1A" w:rsidP="00016A1A">
            <w:pPr>
              <w:jc w:val="right"/>
              <w:rPr>
                <w:sz w:val="20"/>
                <w:szCs w:val="20"/>
                <w:lang w:eastAsia="ar-SA"/>
              </w:rPr>
            </w:pPr>
            <w:r w:rsidRPr="00C37EF4">
              <w:rPr>
                <w:sz w:val="20"/>
                <w:szCs w:val="20"/>
                <w:lang w:eastAsia="ar-SA"/>
              </w:rPr>
              <w:t>0</w:t>
            </w:r>
          </w:p>
          <w:p w14:paraId="053653A2" w14:textId="77777777" w:rsidR="00016A1A" w:rsidRPr="00C37EF4" w:rsidRDefault="00016A1A" w:rsidP="00016A1A">
            <w:pPr>
              <w:jc w:val="right"/>
              <w:rPr>
                <w:i/>
                <w:sz w:val="20"/>
                <w:szCs w:val="20"/>
                <w:lang w:eastAsia="ar-SA"/>
              </w:rPr>
            </w:pPr>
            <w:r w:rsidRPr="00C37EF4">
              <w:rPr>
                <w:i/>
                <w:sz w:val="20"/>
                <w:szCs w:val="20"/>
                <w:lang w:eastAsia="ar-SA"/>
              </w:rPr>
              <w:t>0</w:t>
            </w:r>
          </w:p>
          <w:p w14:paraId="1033344A" w14:textId="77777777" w:rsidR="00016A1A" w:rsidRPr="00C37EF4" w:rsidRDefault="00016A1A" w:rsidP="00016A1A">
            <w:pPr>
              <w:jc w:val="right"/>
              <w:rPr>
                <w:sz w:val="20"/>
                <w:szCs w:val="20"/>
                <w:lang w:eastAsia="ar-SA"/>
              </w:rPr>
            </w:pPr>
            <w:r w:rsidRPr="00C37EF4">
              <w:rPr>
                <w:sz w:val="20"/>
                <w:szCs w:val="20"/>
                <w:lang w:eastAsia="ar-SA"/>
              </w:rPr>
              <w:t>0</w:t>
            </w:r>
          </w:p>
        </w:tc>
        <w:tc>
          <w:tcPr>
            <w:tcW w:w="850" w:type="dxa"/>
            <w:tcBorders>
              <w:left w:val="single" w:sz="4" w:space="0" w:color="000000"/>
              <w:bottom w:val="single" w:sz="4" w:space="0" w:color="000000"/>
              <w:right w:val="single" w:sz="4" w:space="0" w:color="000000"/>
            </w:tcBorders>
          </w:tcPr>
          <w:p w14:paraId="1769A479" w14:textId="77777777" w:rsidR="00016A1A" w:rsidRPr="00C37EF4" w:rsidRDefault="00016A1A" w:rsidP="00016A1A">
            <w:pPr>
              <w:snapToGrid w:val="0"/>
              <w:spacing w:before="120"/>
              <w:jc w:val="right"/>
              <w:rPr>
                <w:b/>
                <w:sz w:val="20"/>
                <w:szCs w:val="20"/>
                <w:lang w:eastAsia="ar-SA"/>
              </w:rPr>
            </w:pPr>
            <w:r>
              <w:rPr>
                <w:b/>
                <w:sz w:val="20"/>
                <w:szCs w:val="20"/>
                <w:lang w:eastAsia="ar-SA"/>
              </w:rPr>
              <w:t>0,00</w:t>
            </w:r>
          </w:p>
          <w:p w14:paraId="4AD7622A" w14:textId="77777777" w:rsidR="00016A1A" w:rsidRPr="00C37EF4" w:rsidRDefault="00016A1A" w:rsidP="00016A1A">
            <w:pPr>
              <w:jc w:val="right"/>
              <w:rPr>
                <w:b/>
                <w:sz w:val="20"/>
                <w:szCs w:val="20"/>
                <w:lang w:eastAsia="ar-SA"/>
              </w:rPr>
            </w:pPr>
          </w:p>
          <w:p w14:paraId="43DDC58A" w14:textId="77777777" w:rsidR="00016A1A" w:rsidRPr="00C37EF4" w:rsidRDefault="00016A1A" w:rsidP="00016A1A">
            <w:pPr>
              <w:jc w:val="right"/>
              <w:rPr>
                <w:sz w:val="20"/>
                <w:szCs w:val="20"/>
                <w:lang w:eastAsia="ar-SA"/>
              </w:rPr>
            </w:pPr>
            <w:r>
              <w:rPr>
                <w:sz w:val="20"/>
                <w:szCs w:val="20"/>
                <w:lang w:eastAsia="ar-SA"/>
              </w:rPr>
              <w:t>0,00</w:t>
            </w:r>
          </w:p>
          <w:p w14:paraId="2DF028A2" w14:textId="77777777" w:rsidR="00016A1A" w:rsidRPr="00C37EF4" w:rsidRDefault="00016A1A" w:rsidP="00016A1A">
            <w:pPr>
              <w:jc w:val="right"/>
              <w:rPr>
                <w:i/>
                <w:sz w:val="20"/>
                <w:szCs w:val="20"/>
                <w:lang w:eastAsia="ar-SA"/>
              </w:rPr>
            </w:pPr>
            <w:r>
              <w:rPr>
                <w:i/>
                <w:sz w:val="20"/>
                <w:szCs w:val="20"/>
                <w:lang w:eastAsia="ar-SA"/>
              </w:rPr>
              <w:t>0,00</w:t>
            </w:r>
          </w:p>
          <w:p w14:paraId="71539F19" w14:textId="77777777" w:rsidR="00016A1A" w:rsidRPr="00C37EF4" w:rsidRDefault="00016A1A" w:rsidP="00016A1A">
            <w:pPr>
              <w:jc w:val="right"/>
              <w:rPr>
                <w:sz w:val="20"/>
                <w:szCs w:val="20"/>
                <w:lang w:eastAsia="ar-SA"/>
              </w:rPr>
            </w:pPr>
            <w:r>
              <w:rPr>
                <w:sz w:val="20"/>
                <w:szCs w:val="20"/>
                <w:lang w:eastAsia="ar-SA"/>
              </w:rPr>
              <w:t>0,00</w:t>
            </w:r>
          </w:p>
        </w:tc>
      </w:tr>
    </w:tbl>
    <w:p w14:paraId="41E8BAFE" w14:textId="7E575A29" w:rsidR="00016A1A" w:rsidRPr="00C37EF4" w:rsidRDefault="00016A1A" w:rsidP="00155668">
      <w:pPr>
        <w:pStyle w:val="KOMtext"/>
        <w:rPr>
          <w:lang w:eastAsia="ar-SA"/>
        </w:rPr>
      </w:pPr>
      <w:r w:rsidRPr="00C37EF4">
        <w:rPr>
          <w:lang w:eastAsia="ar-SA"/>
        </w:rPr>
        <w:t xml:space="preserve">Pro rok 2019 nebyl stanoven schválený rozpočet pro investiční transfery zřízeným příspěvkovým organizacím. V průběhu roku 2019 nedošlo k úpravě schváleného rozpočtu ani k jeho čerpání. </w:t>
      </w:r>
    </w:p>
    <w:p w14:paraId="185A74D9" w14:textId="77777777" w:rsidR="00016A1A" w:rsidRPr="00C37EF4" w:rsidRDefault="00016A1A" w:rsidP="00513541">
      <w:pPr>
        <w:pStyle w:val="KOMtext"/>
        <w:keepNext/>
      </w:pPr>
      <w:r w:rsidRPr="00155668">
        <w:rPr>
          <w:u w:val="single"/>
        </w:rPr>
        <w:lastRenderedPageBreak/>
        <w:t>V následující tabulce je provedeno srovnání investičních transferů zřízeným příspěvkovým organizacím ve vývojové řadě 2015 – 2019</w:t>
      </w:r>
      <w:r w:rsidRPr="00C37EF4">
        <w:t>:</w:t>
      </w:r>
    </w:p>
    <w:p w14:paraId="614162C0" w14:textId="77777777" w:rsidR="00016A1A" w:rsidRPr="00C37EF4" w:rsidRDefault="00016A1A" w:rsidP="00DB2320">
      <w:pPr>
        <w:keepNext/>
        <w:ind w:left="357" w:right="1"/>
        <w:jc w:val="right"/>
      </w:pPr>
      <w:r w:rsidRPr="00C37EF4">
        <w:t>v tis. Kč</w:t>
      </w:r>
    </w:p>
    <w:tbl>
      <w:tblPr>
        <w:tblW w:w="918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03"/>
        <w:gridCol w:w="1196"/>
        <w:gridCol w:w="1197"/>
        <w:gridCol w:w="1197"/>
        <w:gridCol w:w="1197"/>
        <w:gridCol w:w="1197"/>
      </w:tblGrid>
      <w:tr w:rsidR="00016A1A" w:rsidRPr="00C37EF4" w14:paraId="2EAA0111" w14:textId="77777777" w:rsidTr="00A06E49">
        <w:trPr>
          <w:tblHeader/>
        </w:trPr>
        <w:tc>
          <w:tcPr>
            <w:tcW w:w="3203" w:type="dxa"/>
          </w:tcPr>
          <w:p w14:paraId="24764940" w14:textId="77777777" w:rsidR="00016A1A" w:rsidRPr="00C37EF4" w:rsidRDefault="00016A1A" w:rsidP="00016A1A">
            <w:pPr>
              <w:jc w:val="center"/>
              <w:rPr>
                <w:sz w:val="22"/>
                <w:szCs w:val="22"/>
              </w:rPr>
            </w:pPr>
          </w:p>
          <w:p w14:paraId="68E4EC7F" w14:textId="77777777" w:rsidR="00016A1A" w:rsidRPr="00C37EF4" w:rsidRDefault="00016A1A" w:rsidP="00016A1A">
            <w:pPr>
              <w:jc w:val="center"/>
              <w:rPr>
                <w:sz w:val="22"/>
                <w:szCs w:val="22"/>
              </w:rPr>
            </w:pPr>
            <w:r w:rsidRPr="00C37EF4">
              <w:rPr>
                <w:sz w:val="22"/>
                <w:szCs w:val="22"/>
              </w:rPr>
              <w:t>Ukazatel</w:t>
            </w:r>
          </w:p>
        </w:tc>
        <w:tc>
          <w:tcPr>
            <w:tcW w:w="1196" w:type="dxa"/>
            <w:vAlign w:val="center"/>
          </w:tcPr>
          <w:p w14:paraId="3151B295" w14:textId="77777777" w:rsidR="00016A1A" w:rsidRPr="00C37EF4" w:rsidRDefault="00016A1A" w:rsidP="00016A1A">
            <w:pPr>
              <w:jc w:val="center"/>
              <w:rPr>
                <w:sz w:val="22"/>
                <w:szCs w:val="22"/>
              </w:rPr>
            </w:pPr>
            <w:r w:rsidRPr="00C37EF4">
              <w:rPr>
                <w:sz w:val="22"/>
                <w:szCs w:val="22"/>
              </w:rPr>
              <w:t>Skutečnost</w:t>
            </w:r>
          </w:p>
          <w:p w14:paraId="263CCDEE" w14:textId="77777777" w:rsidR="00016A1A" w:rsidRPr="00C37EF4" w:rsidRDefault="00016A1A" w:rsidP="00016A1A">
            <w:pPr>
              <w:jc w:val="center"/>
              <w:rPr>
                <w:sz w:val="22"/>
                <w:szCs w:val="22"/>
              </w:rPr>
            </w:pPr>
            <w:r w:rsidRPr="00C37EF4">
              <w:rPr>
                <w:sz w:val="22"/>
                <w:szCs w:val="22"/>
              </w:rPr>
              <w:t xml:space="preserve">2015 </w:t>
            </w:r>
          </w:p>
        </w:tc>
        <w:tc>
          <w:tcPr>
            <w:tcW w:w="1197" w:type="dxa"/>
            <w:vAlign w:val="center"/>
          </w:tcPr>
          <w:p w14:paraId="05B4E819" w14:textId="77777777" w:rsidR="00016A1A" w:rsidRPr="00C37EF4" w:rsidRDefault="00016A1A" w:rsidP="00016A1A">
            <w:pPr>
              <w:jc w:val="center"/>
              <w:rPr>
                <w:sz w:val="22"/>
                <w:szCs w:val="22"/>
              </w:rPr>
            </w:pPr>
            <w:r w:rsidRPr="00C37EF4">
              <w:rPr>
                <w:sz w:val="22"/>
                <w:szCs w:val="22"/>
              </w:rPr>
              <w:t>Skutečnost</w:t>
            </w:r>
          </w:p>
          <w:p w14:paraId="0838C93F" w14:textId="77777777" w:rsidR="00016A1A" w:rsidRPr="00C37EF4" w:rsidRDefault="00016A1A" w:rsidP="00016A1A">
            <w:pPr>
              <w:jc w:val="center"/>
              <w:rPr>
                <w:sz w:val="22"/>
                <w:szCs w:val="22"/>
              </w:rPr>
            </w:pPr>
            <w:r w:rsidRPr="00C37EF4">
              <w:rPr>
                <w:sz w:val="22"/>
                <w:szCs w:val="22"/>
              </w:rPr>
              <w:t>2016</w:t>
            </w:r>
          </w:p>
        </w:tc>
        <w:tc>
          <w:tcPr>
            <w:tcW w:w="1197" w:type="dxa"/>
            <w:vAlign w:val="center"/>
          </w:tcPr>
          <w:p w14:paraId="058D3847" w14:textId="77777777" w:rsidR="00016A1A" w:rsidRPr="00C37EF4" w:rsidRDefault="00016A1A" w:rsidP="00016A1A">
            <w:pPr>
              <w:jc w:val="center"/>
              <w:rPr>
                <w:sz w:val="22"/>
                <w:szCs w:val="22"/>
              </w:rPr>
            </w:pPr>
            <w:r w:rsidRPr="00C37EF4">
              <w:rPr>
                <w:sz w:val="22"/>
                <w:szCs w:val="22"/>
              </w:rPr>
              <w:t>Skutečnost</w:t>
            </w:r>
          </w:p>
          <w:p w14:paraId="15B4ACB9" w14:textId="77777777" w:rsidR="00016A1A" w:rsidRPr="00C37EF4" w:rsidRDefault="00016A1A" w:rsidP="00016A1A">
            <w:pPr>
              <w:jc w:val="center"/>
              <w:rPr>
                <w:sz w:val="22"/>
                <w:szCs w:val="22"/>
              </w:rPr>
            </w:pPr>
            <w:r w:rsidRPr="00C37EF4">
              <w:rPr>
                <w:sz w:val="22"/>
                <w:szCs w:val="22"/>
              </w:rPr>
              <w:t>2017</w:t>
            </w:r>
          </w:p>
        </w:tc>
        <w:tc>
          <w:tcPr>
            <w:tcW w:w="1197" w:type="dxa"/>
            <w:vAlign w:val="center"/>
          </w:tcPr>
          <w:p w14:paraId="4F530022" w14:textId="77777777" w:rsidR="00016A1A" w:rsidRPr="00C37EF4" w:rsidRDefault="00016A1A" w:rsidP="00016A1A">
            <w:pPr>
              <w:jc w:val="center"/>
              <w:rPr>
                <w:sz w:val="22"/>
                <w:szCs w:val="22"/>
              </w:rPr>
            </w:pPr>
            <w:r w:rsidRPr="00C37EF4">
              <w:rPr>
                <w:sz w:val="22"/>
                <w:szCs w:val="22"/>
              </w:rPr>
              <w:t>Skutečnost</w:t>
            </w:r>
          </w:p>
          <w:p w14:paraId="3E390AC4" w14:textId="77777777" w:rsidR="00016A1A" w:rsidRPr="00C37EF4" w:rsidRDefault="00016A1A" w:rsidP="00016A1A">
            <w:pPr>
              <w:jc w:val="center"/>
              <w:rPr>
                <w:sz w:val="22"/>
                <w:szCs w:val="22"/>
              </w:rPr>
            </w:pPr>
            <w:r w:rsidRPr="00C37EF4">
              <w:rPr>
                <w:sz w:val="22"/>
                <w:szCs w:val="22"/>
              </w:rPr>
              <w:t>2018</w:t>
            </w:r>
          </w:p>
        </w:tc>
        <w:tc>
          <w:tcPr>
            <w:tcW w:w="1197" w:type="dxa"/>
            <w:vAlign w:val="center"/>
          </w:tcPr>
          <w:p w14:paraId="2D5EE90E" w14:textId="77777777" w:rsidR="00016A1A" w:rsidRPr="00C37EF4" w:rsidRDefault="00016A1A" w:rsidP="00016A1A">
            <w:pPr>
              <w:jc w:val="center"/>
              <w:rPr>
                <w:sz w:val="22"/>
                <w:szCs w:val="22"/>
              </w:rPr>
            </w:pPr>
            <w:r w:rsidRPr="00C37EF4">
              <w:rPr>
                <w:sz w:val="22"/>
                <w:szCs w:val="22"/>
              </w:rPr>
              <w:t>Skutečnost</w:t>
            </w:r>
          </w:p>
          <w:p w14:paraId="2D1F8E7C" w14:textId="77777777" w:rsidR="00016A1A" w:rsidRPr="00C37EF4" w:rsidRDefault="00016A1A" w:rsidP="00016A1A">
            <w:pPr>
              <w:jc w:val="center"/>
              <w:rPr>
                <w:sz w:val="22"/>
                <w:szCs w:val="22"/>
              </w:rPr>
            </w:pPr>
            <w:r w:rsidRPr="00C37EF4">
              <w:rPr>
                <w:sz w:val="22"/>
                <w:szCs w:val="22"/>
              </w:rPr>
              <w:t>2019</w:t>
            </w:r>
          </w:p>
        </w:tc>
      </w:tr>
      <w:tr w:rsidR="00016A1A" w:rsidRPr="00C37EF4" w14:paraId="7DC52E18" w14:textId="77777777" w:rsidTr="00A06E49">
        <w:trPr>
          <w:tblHeader/>
        </w:trPr>
        <w:tc>
          <w:tcPr>
            <w:tcW w:w="3203" w:type="dxa"/>
            <w:tcBorders>
              <w:bottom w:val="single" w:sz="4" w:space="0" w:color="auto"/>
            </w:tcBorders>
          </w:tcPr>
          <w:p w14:paraId="4AF7B0BB" w14:textId="77777777" w:rsidR="00016A1A" w:rsidRPr="00C37EF4" w:rsidRDefault="00016A1A" w:rsidP="00016A1A">
            <w:pPr>
              <w:jc w:val="center"/>
              <w:rPr>
                <w:sz w:val="22"/>
                <w:szCs w:val="22"/>
              </w:rPr>
            </w:pPr>
            <w:r w:rsidRPr="00C37EF4">
              <w:rPr>
                <w:sz w:val="22"/>
                <w:szCs w:val="22"/>
              </w:rPr>
              <w:t>a</w:t>
            </w:r>
          </w:p>
        </w:tc>
        <w:tc>
          <w:tcPr>
            <w:tcW w:w="1196" w:type="dxa"/>
            <w:tcBorders>
              <w:bottom w:val="single" w:sz="4" w:space="0" w:color="auto"/>
            </w:tcBorders>
          </w:tcPr>
          <w:p w14:paraId="1B43E1AF" w14:textId="77777777" w:rsidR="00016A1A" w:rsidRPr="00C37EF4" w:rsidRDefault="00016A1A" w:rsidP="00016A1A">
            <w:pPr>
              <w:jc w:val="center"/>
              <w:rPr>
                <w:sz w:val="22"/>
                <w:szCs w:val="22"/>
              </w:rPr>
            </w:pPr>
            <w:r w:rsidRPr="00C37EF4">
              <w:rPr>
                <w:sz w:val="22"/>
                <w:szCs w:val="22"/>
              </w:rPr>
              <w:t>1</w:t>
            </w:r>
          </w:p>
        </w:tc>
        <w:tc>
          <w:tcPr>
            <w:tcW w:w="1197" w:type="dxa"/>
            <w:tcBorders>
              <w:bottom w:val="single" w:sz="4" w:space="0" w:color="auto"/>
            </w:tcBorders>
          </w:tcPr>
          <w:p w14:paraId="1635B1B2" w14:textId="77777777" w:rsidR="00016A1A" w:rsidRPr="00C37EF4" w:rsidRDefault="00016A1A" w:rsidP="00016A1A">
            <w:pPr>
              <w:jc w:val="center"/>
              <w:rPr>
                <w:sz w:val="22"/>
                <w:szCs w:val="22"/>
              </w:rPr>
            </w:pPr>
            <w:r w:rsidRPr="00C37EF4">
              <w:rPr>
                <w:sz w:val="22"/>
                <w:szCs w:val="22"/>
              </w:rPr>
              <w:t>2</w:t>
            </w:r>
          </w:p>
        </w:tc>
        <w:tc>
          <w:tcPr>
            <w:tcW w:w="1197" w:type="dxa"/>
            <w:tcBorders>
              <w:bottom w:val="single" w:sz="4" w:space="0" w:color="auto"/>
            </w:tcBorders>
          </w:tcPr>
          <w:p w14:paraId="24EEB935" w14:textId="77777777" w:rsidR="00016A1A" w:rsidRPr="00C37EF4" w:rsidRDefault="00016A1A" w:rsidP="00016A1A">
            <w:pPr>
              <w:jc w:val="center"/>
              <w:rPr>
                <w:sz w:val="22"/>
                <w:szCs w:val="22"/>
              </w:rPr>
            </w:pPr>
            <w:r w:rsidRPr="00C37EF4">
              <w:rPr>
                <w:sz w:val="22"/>
                <w:szCs w:val="22"/>
              </w:rPr>
              <w:t>3</w:t>
            </w:r>
          </w:p>
        </w:tc>
        <w:tc>
          <w:tcPr>
            <w:tcW w:w="1197" w:type="dxa"/>
            <w:tcBorders>
              <w:bottom w:val="single" w:sz="4" w:space="0" w:color="auto"/>
            </w:tcBorders>
          </w:tcPr>
          <w:p w14:paraId="7543DAED" w14:textId="77777777" w:rsidR="00016A1A" w:rsidRPr="00C37EF4" w:rsidRDefault="00016A1A" w:rsidP="00016A1A">
            <w:pPr>
              <w:jc w:val="center"/>
              <w:rPr>
                <w:sz w:val="22"/>
                <w:szCs w:val="22"/>
              </w:rPr>
            </w:pPr>
            <w:r w:rsidRPr="00C37EF4">
              <w:rPr>
                <w:sz w:val="22"/>
                <w:szCs w:val="22"/>
              </w:rPr>
              <w:t>4</w:t>
            </w:r>
          </w:p>
        </w:tc>
        <w:tc>
          <w:tcPr>
            <w:tcW w:w="1197" w:type="dxa"/>
            <w:tcBorders>
              <w:bottom w:val="single" w:sz="4" w:space="0" w:color="auto"/>
            </w:tcBorders>
          </w:tcPr>
          <w:p w14:paraId="4732AA89" w14:textId="77777777" w:rsidR="00016A1A" w:rsidRPr="00C37EF4" w:rsidRDefault="00016A1A" w:rsidP="00016A1A">
            <w:pPr>
              <w:jc w:val="center"/>
              <w:rPr>
                <w:sz w:val="22"/>
                <w:szCs w:val="22"/>
              </w:rPr>
            </w:pPr>
            <w:r w:rsidRPr="00C37EF4">
              <w:rPr>
                <w:sz w:val="22"/>
                <w:szCs w:val="22"/>
              </w:rPr>
              <w:t>5</w:t>
            </w:r>
          </w:p>
        </w:tc>
      </w:tr>
      <w:tr w:rsidR="00016A1A" w:rsidRPr="00C37EF4" w14:paraId="6B450100" w14:textId="77777777" w:rsidTr="00A06E49">
        <w:trPr>
          <w:trHeight w:val="388"/>
          <w:tblHeader/>
        </w:trPr>
        <w:tc>
          <w:tcPr>
            <w:tcW w:w="3203" w:type="dxa"/>
            <w:tcBorders>
              <w:top w:val="single" w:sz="4" w:space="0" w:color="auto"/>
              <w:left w:val="single" w:sz="4" w:space="0" w:color="auto"/>
              <w:bottom w:val="nil"/>
              <w:right w:val="single" w:sz="4" w:space="0" w:color="auto"/>
            </w:tcBorders>
          </w:tcPr>
          <w:p w14:paraId="1086573E" w14:textId="77777777" w:rsidR="00016A1A" w:rsidRPr="00C37EF4" w:rsidRDefault="00016A1A" w:rsidP="00016A1A">
            <w:pPr>
              <w:rPr>
                <w:b/>
                <w:sz w:val="20"/>
                <w:szCs w:val="20"/>
              </w:rPr>
            </w:pPr>
            <w:r w:rsidRPr="00C37EF4">
              <w:rPr>
                <w:b/>
                <w:sz w:val="20"/>
                <w:szCs w:val="20"/>
              </w:rPr>
              <w:t>Zřízené příspěvkové organizace</w:t>
            </w:r>
          </w:p>
          <w:p w14:paraId="0CCD9734" w14:textId="77777777" w:rsidR="00016A1A" w:rsidRPr="00C37EF4" w:rsidRDefault="00016A1A" w:rsidP="00016A1A">
            <w:pPr>
              <w:jc w:val="both"/>
              <w:rPr>
                <w:sz w:val="20"/>
                <w:szCs w:val="20"/>
              </w:rPr>
            </w:pPr>
            <w:r w:rsidRPr="00C37EF4">
              <w:rPr>
                <w:sz w:val="20"/>
                <w:szCs w:val="20"/>
              </w:rPr>
              <w:t>v tom:</w:t>
            </w:r>
          </w:p>
        </w:tc>
        <w:tc>
          <w:tcPr>
            <w:tcW w:w="1196" w:type="dxa"/>
            <w:tcBorders>
              <w:top w:val="single" w:sz="4" w:space="0" w:color="auto"/>
              <w:left w:val="single" w:sz="4" w:space="0" w:color="auto"/>
              <w:bottom w:val="nil"/>
              <w:right w:val="single" w:sz="4" w:space="0" w:color="auto"/>
            </w:tcBorders>
          </w:tcPr>
          <w:p w14:paraId="462E69C7" w14:textId="77777777" w:rsidR="00016A1A" w:rsidRPr="00C37EF4" w:rsidRDefault="00016A1A" w:rsidP="00016A1A">
            <w:pPr>
              <w:jc w:val="right"/>
              <w:rPr>
                <w:b/>
                <w:bCs/>
                <w:sz w:val="20"/>
                <w:szCs w:val="20"/>
              </w:rPr>
            </w:pPr>
            <w:r w:rsidRPr="00C37EF4">
              <w:rPr>
                <w:b/>
                <w:bCs/>
                <w:sz w:val="20"/>
                <w:szCs w:val="20"/>
              </w:rPr>
              <w:t>99 180</w:t>
            </w:r>
          </w:p>
        </w:tc>
        <w:tc>
          <w:tcPr>
            <w:tcW w:w="1197" w:type="dxa"/>
            <w:tcBorders>
              <w:top w:val="single" w:sz="4" w:space="0" w:color="auto"/>
              <w:left w:val="single" w:sz="4" w:space="0" w:color="auto"/>
              <w:bottom w:val="nil"/>
              <w:right w:val="single" w:sz="4" w:space="0" w:color="auto"/>
            </w:tcBorders>
          </w:tcPr>
          <w:p w14:paraId="7D9CC07F" w14:textId="77777777" w:rsidR="00016A1A" w:rsidRPr="00C37EF4" w:rsidRDefault="00016A1A" w:rsidP="00016A1A">
            <w:pPr>
              <w:jc w:val="right"/>
              <w:rPr>
                <w:b/>
                <w:bCs/>
                <w:sz w:val="20"/>
                <w:szCs w:val="20"/>
              </w:rPr>
            </w:pPr>
            <w:r w:rsidRPr="00C37EF4">
              <w:rPr>
                <w:b/>
                <w:bCs/>
                <w:sz w:val="20"/>
                <w:szCs w:val="20"/>
              </w:rPr>
              <w:t>0</w:t>
            </w:r>
          </w:p>
        </w:tc>
        <w:tc>
          <w:tcPr>
            <w:tcW w:w="1197" w:type="dxa"/>
            <w:tcBorders>
              <w:top w:val="single" w:sz="4" w:space="0" w:color="auto"/>
              <w:left w:val="single" w:sz="4" w:space="0" w:color="auto"/>
              <w:bottom w:val="nil"/>
              <w:right w:val="single" w:sz="4" w:space="0" w:color="auto"/>
            </w:tcBorders>
          </w:tcPr>
          <w:p w14:paraId="0191B3BD" w14:textId="77777777" w:rsidR="00016A1A" w:rsidRPr="00C37EF4" w:rsidRDefault="00016A1A" w:rsidP="00016A1A">
            <w:pPr>
              <w:jc w:val="right"/>
              <w:rPr>
                <w:b/>
                <w:bCs/>
                <w:sz w:val="20"/>
                <w:szCs w:val="20"/>
              </w:rPr>
            </w:pPr>
            <w:r w:rsidRPr="00C37EF4">
              <w:rPr>
                <w:b/>
                <w:bCs/>
                <w:sz w:val="20"/>
                <w:szCs w:val="20"/>
              </w:rPr>
              <w:t>89 160</w:t>
            </w:r>
          </w:p>
        </w:tc>
        <w:tc>
          <w:tcPr>
            <w:tcW w:w="1197" w:type="dxa"/>
            <w:tcBorders>
              <w:top w:val="single" w:sz="4" w:space="0" w:color="auto"/>
              <w:left w:val="single" w:sz="4" w:space="0" w:color="auto"/>
              <w:bottom w:val="nil"/>
              <w:right w:val="single" w:sz="4" w:space="0" w:color="auto"/>
            </w:tcBorders>
          </w:tcPr>
          <w:p w14:paraId="4DA906D7" w14:textId="77777777" w:rsidR="00016A1A" w:rsidRPr="00C37EF4" w:rsidRDefault="00016A1A" w:rsidP="00016A1A">
            <w:pPr>
              <w:jc w:val="right"/>
              <w:rPr>
                <w:b/>
                <w:bCs/>
                <w:sz w:val="20"/>
                <w:szCs w:val="20"/>
              </w:rPr>
            </w:pPr>
            <w:r w:rsidRPr="00C37EF4">
              <w:rPr>
                <w:b/>
                <w:bCs/>
                <w:sz w:val="20"/>
                <w:szCs w:val="20"/>
              </w:rPr>
              <w:t>58 081</w:t>
            </w:r>
          </w:p>
        </w:tc>
        <w:tc>
          <w:tcPr>
            <w:tcW w:w="1197" w:type="dxa"/>
            <w:tcBorders>
              <w:top w:val="single" w:sz="4" w:space="0" w:color="auto"/>
              <w:left w:val="single" w:sz="4" w:space="0" w:color="auto"/>
              <w:bottom w:val="nil"/>
              <w:right w:val="single" w:sz="4" w:space="0" w:color="auto"/>
            </w:tcBorders>
          </w:tcPr>
          <w:p w14:paraId="68785440" w14:textId="77777777" w:rsidR="00016A1A" w:rsidRPr="00C37EF4" w:rsidRDefault="00016A1A" w:rsidP="00016A1A">
            <w:pPr>
              <w:jc w:val="right"/>
              <w:rPr>
                <w:b/>
                <w:bCs/>
                <w:sz w:val="20"/>
                <w:szCs w:val="20"/>
              </w:rPr>
            </w:pPr>
            <w:r w:rsidRPr="00C37EF4">
              <w:rPr>
                <w:b/>
                <w:bCs/>
                <w:sz w:val="20"/>
                <w:szCs w:val="20"/>
              </w:rPr>
              <w:t>0</w:t>
            </w:r>
          </w:p>
        </w:tc>
      </w:tr>
      <w:tr w:rsidR="00016A1A" w:rsidRPr="00C37EF4" w14:paraId="7E2374DC" w14:textId="77777777" w:rsidTr="00A06E49">
        <w:trPr>
          <w:tblHeader/>
        </w:trPr>
        <w:tc>
          <w:tcPr>
            <w:tcW w:w="3203" w:type="dxa"/>
            <w:tcBorders>
              <w:top w:val="nil"/>
              <w:left w:val="single" w:sz="4" w:space="0" w:color="auto"/>
              <w:bottom w:val="nil"/>
              <w:right w:val="single" w:sz="4" w:space="0" w:color="auto"/>
            </w:tcBorders>
          </w:tcPr>
          <w:p w14:paraId="51445077" w14:textId="77777777" w:rsidR="00016A1A" w:rsidRPr="00C37EF4" w:rsidRDefault="00016A1A" w:rsidP="00016A1A">
            <w:pPr>
              <w:jc w:val="both"/>
              <w:rPr>
                <w:sz w:val="20"/>
                <w:szCs w:val="20"/>
              </w:rPr>
            </w:pPr>
            <w:r w:rsidRPr="00C37EF4">
              <w:rPr>
                <w:sz w:val="20"/>
                <w:szCs w:val="20"/>
              </w:rPr>
              <w:t>Ředitelství silnic a dálnic ČR</w:t>
            </w:r>
          </w:p>
        </w:tc>
        <w:tc>
          <w:tcPr>
            <w:tcW w:w="1196" w:type="dxa"/>
            <w:tcBorders>
              <w:top w:val="nil"/>
              <w:left w:val="single" w:sz="4" w:space="0" w:color="auto"/>
              <w:bottom w:val="nil"/>
              <w:right w:val="single" w:sz="4" w:space="0" w:color="auto"/>
            </w:tcBorders>
          </w:tcPr>
          <w:p w14:paraId="44CFBB9F" w14:textId="77777777" w:rsidR="00016A1A" w:rsidRPr="00C37EF4" w:rsidRDefault="00016A1A" w:rsidP="00016A1A">
            <w:pPr>
              <w:jc w:val="right"/>
              <w:rPr>
                <w:sz w:val="20"/>
                <w:szCs w:val="20"/>
              </w:rPr>
            </w:pPr>
            <w:r w:rsidRPr="00C37EF4">
              <w:rPr>
                <w:sz w:val="20"/>
                <w:szCs w:val="20"/>
              </w:rPr>
              <w:t>99 180</w:t>
            </w:r>
          </w:p>
        </w:tc>
        <w:tc>
          <w:tcPr>
            <w:tcW w:w="1197" w:type="dxa"/>
            <w:tcBorders>
              <w:top w:val="nil"/>
              <w:left w:val="single" w:sz="4" w:space="0" w:color="auto"/>
              <w:bottom w:val="nil"/>
              <w:right w:val="single" w:sz="4" w:space="0" w:color="auto"/>
            </w:tcBorders>
          </w:tcPr>
          <w:p w14:paraId="705DAD28" w14:textId="77777777" w:rsidR="00016A1A" w:rsidRPr="00C37EF4" w:rsidRDefault="00016A1A" w:rsidP="00016A1A">
            <w:pPr>
              <w:jc w:val="right"/>
              <w:rPr>
                <w:sz w:val="20"/>
                <w:szCs w:val="20"/>
              </w:rPr>
            </w:pPr>
            <w:r w:rsidRPr="00C37EF4">
              <w:rPr>
                <w:sz w:val="20"/>
                <w:szCs w:val="20"/>
              </w:rPr>
              <w:t>0</w:t>
            </w:r>
          </w:p>
        </w:tc>
        <w:tc>
          <w:tcPr>
            <w:tcW w:w="1197" w:type="dxa"/>
            <w:tcBorders>
              <w:top w:val="nil"/>
              <w:left w:val="single" w:sz="4" w:space="0" w:color="auto"/>
              <w:bottom w:val="nil"/>
              <w:right w:val="single" w:sz="4" w:space="0" w:color="auto"/>
            </w:tcBorders>
          </w:tcPr>
          <w:p w14:paraId="54C8D509" w14:textId="77777777" w:rsidR="00016A1A" w:rsidRPr="00C37EF4" w:rsidRDefault="00016A1A" w:rsidP="00016A1A">
            <w:pPr>
              <w:jc w:val="right"/>
              <w:rPr>
                <w:sz w:val="20"/>
                <w:szCs w:val="20"/>
              </w:rPr>
            </w:pPr>
            <w:r w:rsidRPr="00C37EF4">
              <w:rPr>
                <w:sz w:val="20"/>
                <w:szCs w:val="20"/>
              </w:rPr>
              <w:t>73 705</w:t>
            </w:r>
          </w:p>
        </w:tc>
        <w:tc>
          <w:tcPr>
            <w:tcW w:w="1197" w:type="dxa"/>
            <w:tcBorders>
              <w:top w:val="nil"/>
              <w:left w:val="single" w:sz="4" w:space="0" w:color="auto"/>
              <w:bottom w:val="nil"/>
              <w:right w:val="single" w:sz="4" w:space="0" w:color="auto"/>
            </w:tcBorders>
          </w:tcPr>
          <w:p w14:paraId="37A19DB3" w14:textId="77777777" w:rsidR="00016A1A" w:rsidRPr="00C37EF4" w:rsidRDefault="00016A1A" w:rsidP="00016A1A">
            <w:pPr>
              <w:jc w:val="right"/>
              <w:rPr>
                <w:sz w:val="20"/>
                <w:szCs w:val="20"/>
              </w:rPr>
            </w:pPr>
            <w:r w:rsidRPr="00C37EF4">
              <w:rPr>
                <w:sz w:val="20"/>
                <w:szCs w:val="20"/>
              </w:rPr>
              <w:t>48 808</w:t>
            </w:r>
          </w:p>
        </w:tc>
        <w:tc>
          <w:tcPr>
            <w:tcW w:w="1197" w:type="dxa"/>
            <w:tcBorders>
              <w:top w:val="nil"/>
              <w:left w:val="single" w:sz="4" w:space="0" w:color="auto"/>
              <w:bottom w:val="nil"/>
              <w:right w:val="single" w:sz="4" w:space="0" w:color="auto"/>
            </w:tcBorders>
          </w:tcPr>
          <w:p w14:paraId="4E2BB74A" w14:textId="77777777" w:rsidR="00016A1A" w:rsidRPr="00C37EF4" w:rsidRDefault="00016A1A" w:rsidP="00016A1A">
            <w:pPr>
              <w:jc w:val="right"/>
              <w:rPr>
                <w:sz w:val="20"/>
                <w:szCs w:val="20"/>
              </w:rPr>
            </w:pPr>
            <w:r w:rsidRPr="00C37EF4">
              <w:rPr>
                <w:sz w:val="20"/>
                <w:szCs w:val="20"/>
              </w:rPr>
              <w:t>0</w:t>
            </w:r>
          </w:p>
        </w:tc>
      </w:tr>
      <w:tr w:rsidR="00016A1A" w:rsidRPr="00C37EF4" w14:paraId="65C7BF62" w14:textId="77777777" w:rsidTr="00A06E49">
        <w:trPr>
          <w:tblHeader/>
        </w:trPr>
        <w:tc>
          <w:tcPr>
            <w:tcW w:w="3203" w:type="dxa"/>
            <w:tcBorders>
              <w:top w:val="nil"/>
              <w:left w:val="single" w:sz="4" w:space="0" w:color="auto"/>
              <w:bottom w:val="single" w:sz="4" w:space="0" w:color="auto"/>
              <w:right w:val="single" w:sz="4" w:space="0" w:color="auto"/>
            </w:tcBorders>
          </w:tcPr>
          <w:p w14:paraId="31471A1A" w14:textId="77777777" w:rsidR="00016A1A" w:rsidRPr="00C37EF4" w:rsidRDefault="00016A1A" w:rsidP="00016A1A">
            <w:pPr>
              <w:jc w:val="both"/>
              <w:rPr>
                <w:sz w:val="20"/>
                <w:szCs w:val="20"/>
              </w:rPr>
            </w:pPr>
            <w:r w:rsidRPr="00C37EF4">
              <w:rPr>
                <w:sz w:val="20"/>
                <w:szCs w:val="20"/>
              </w:rPr>
              <w:t>Centrum služeb pro silniční dopravu</w:t>
            </w:r>
          </w:p>
        </w:tc>
        <w:tc>
          <w:tcPr>
            <w:tcW w:w="1196" w:type="dxa"/>
            <w:tcBorders>
              <w:top w:val="nil"/>
              <w:left w:val="single" w:sz="4" w:space="0" w:color="auto"/>
              <w:bottom w:val="single" w:sz="4" w:space="0" w:color="auto"/>
              <w:right w:val="single" w:sz="4" w:space="0" w:color="auto"/>
            </w:tcBorders>
          </w:tcPr>
          <w:p w14:paraId="0FC12CCB" w14:textId="77777777" w:rsidR="00016A1A" w:rsidRPr="00C37EF4" w:rsidRDefault="00016A1A" w:rsidP="00016A1A">
            <w:pPr>
              <w:jc w:val="right"/>
              <w:rPr>
                <w:sz w:val="20"/>
                <w:szCs w:val="20"/>
              </w:rPr>
            </w:pPr>
            <w:r w:rsidRPr="00C37EF4">
              <w:rPr>
                <w:sz w:val="20"/>
                <w:szCs w:val="20"/>
              </w:rPr>
              <w:t>0</w:t>
            </w:r>
          </w:p>
        </w:tc>
        <w:tc>
          <w:tcPr>
            <w:tcW w:w="1197" w:type="dxa"/>
            <w:tcBorders>
              <w:top w:val="nil"/>
              <w:left w:val="single" w:sz="4" w:space="0" w:color="auto"/>
              <w:bottom w:val="single" w:sz="4" w:space="0" w:color="auto"/>
              <w:right w:val="single" w:sz="4" w:space="0" w:color="auto"/>
            </w:tcBorders>
          </w:tcPr>
          <w:p w14:paraId="00E016F5" w14:textId="77777777" w:rsidR="00016A1A" w:rsidRPr="00C37EF4" w:rsidRDefault="00016A1A" w:rsidP="00016A1A">
            <w:pPr>
              <w:jc w:val="right"/>
              <w:rPr>
                <w:sz w:val="20"/>
                <w:szCs w:val="20"/>
              </w:rPr>
            </w:pPr>
            <w:r w:rsidRPr="00C37EF4">
              <w:rPr>
                <w:sz w:val="20"/>
                <w:szCs w:val="20"/>
              </w:rPr>
              <w:t>0</w:t>
            </w:r>
          </w:p>
        </w:tc>
        <w:tc>
          <w:tcPr>
            <w:tcW w:w="1197" w:type="dxa"/>
            <w:tcBorders>
              <w:top w:val="nil"/>
              <w:left w:val="single" w:sz="4" w:space="0" w:color="auto"/>
              <w:bottom w:val="single" w:sz="4" w:space="0" w:color="auto"/>
              <w:right w:val="single" w:sz="4" w:space="0" w:color="auto"/>
            </w:tcBorders>
          </w:tcPr>
          <w:p w14:paraId="2FDD52C0" w14:textId="77777777" w:rsidR="00016A1A" w:rsidRPr="00C37EF4" w:rsidRDefault="00016A1A" w:rsidP="00016A1A">
            <w:pPr>
              <w:jc w:val="right"/>
              <w:rPr>
                <w:sz w:val="20"/>
                <w:szCs w:val="20"/>
              </w:rPr>
            </w:pPr>
            <w:r w:rsidRPr="00C37EF4">
              <w:rPr>
                <w:sz w:val="20"/>
                <w:szCs w:val="20"/>
              </w:rPr>
              <w:t>15 455</w:t>
            </w:r>
          </w:p>
        </w:tc>
        <w:tc>
          <w:tcPr>
            <w:tcW w:w="1197" w:type="dxa"/>
            <w:tcBorders>
              <w:top w:val="nil"/>
              <w:left w:val="single" w:sz="4" w:space="0" w:color="auto"/>
              <w:bottom w:val="single" w:sz="4" w:space="0" w:color="auto"/>
              <w:right w:val="single" w:sz="4" w:space="0" w:color="auto"/>
            </w:tcBorders>
          </w:tcPr>
          <w:p w14:paraId="58BC6DDC" w14:textId="77777777" w:rsidR="00016A1A" w:rsidRPr="00C37EF4" w:rsidRDefault="00016A1A" w:rsidP="00016A1A">
            <w:pPr>
              <w:jc w:val="right"/>
              <w:rPr>
                <w:sz w:val="20"/>
                <w:szCs w:val="20"/>
              </w:rPr>
            </w:pPr>
            <w:r w:rsidRPr="00C37EF4">
              <w:rPr>
                <w:sz w:val="20"/>
                <w:szCs w:val="20"/>
              </w:rPr>
              <w:t>9 273</w:t>
            </w:r>
          </w:p>
        </w:tc>
        <w:tc>
          <w:tcPr>
            <w:tcW w:w="1197" w:type="dxa"/>
            <w:tcBorders>
              <w:top w:val="nil"/>
              <w:left w:val="single" w:sz="4" w:space="0" w:color="auto"/>
              <w:bottom w:val="single" w:sz="4" w:space="0" w:color="auto"/>
              <w:right w:val="single" w:sz="4" w:space="0" w:color="auto"/>
            </w:tcBorders>
          </w:tcPr>
          <w:p w14:paraId="4FCF7BA8" w14:textId="77777777" w:rsidR="00016A1A" w:rsidRPr="00C37EF4" w:rsidRDefault="00016A1A" w:rsidP="00016A1A">
            <w:pPr>
              <w:jc w:val="right"/>
              <w:rPr>
                <w:sz w:val="20"/>
                <w:szCs w:val="20"/>
              </w:rPr>
            </w:pPr>
            <w:r w:rsidRPr="00C37EF4">
              <w:rPr>
                <w:sz w:val="20"/>
                <w:szCs w:val="20"/>
              </w:rPr>
              <w:t>0</w:t>
            </w:r>
          </w:p>
        </w:tc>
      </w:tr>
    </w:tbl>
    <w:p w14:paraId="3B060D43" w14:textId="54539014" w:rsidR="00016A1A" w:rsidRPr="00C37EF4" w:rsidRDefault="00016A1A" w:rsidP="00155668">
      <w:pPr>
        <w:pStyle w:val="KOMtext"/>
      </w:pPr>
      <w:r w:rsidRPr="00C37EF4">
        <w:t xml:space="preserve">Investiční prostředky určené pro příspěvkové organizace byly </w:t>
      </w:r>
      <w:r>
        <w:t>v roce</w:t>
      </w:r>
      <w:r w:rsidRPr="00C37EF4">
        <w:t xml:space="preserve"> 2015 čerpány hlavně v rámci programu 127 02 „Rozvoj</w:t>
      </w:r>
      <w:r w:rsidR="00AF72B1">
        <w:t xml:space="preserve"> a obnova MTZ systému řízení MD-</w:t>
      </w:r>
      <w:r w:rsidRPr="00C37EF4">
        <w:t>PO“, který byl ukončen v roce 2018. Jednalo se především o prostředky EU</w:t>
      </w:r>
      <w:r>
        <w:t xml:space="preserve"> ve výši 57 073 tis. Kč</w:t>
      </w:r>
      <w:r w:rsidRPr="00C37EF4">
        <w:t xml:space="preserve">, které byly čerpány v rámci subtitulu 127V0250 „Technická pomoc OPD“. V roce 2015 byly v rámci daného programu čerpány </w:t>
      </w:r>
      <w:r>
        <w:t xml:space="preserve"> také </w:t>
      </w:r>
      <w:r w:rsidRPr="00C37EF4">
        <w:t xml:space="preserve">prostředky na pořízení mechanizmů SSÚD Chotoviny. Jednalo se </w:t>
      </w:r>
      <w:r w:rsidR="00E020F2">
        <w:br/>
      </w:r>
      <w:r w:rsidRPr="00C37EF4">
        <w:t>o jednu</w:t>
      </w:r>
      <w:r>
        <w:t xml:space="preserve"> </w:t>
      </w:r>
      <w:r w:rsidRPr="00C37EF4">
        <w:t>akci</w:t>
      </w:r>
      <w:r>
        <w:t xml:space="preserve"> </w:t>
      </w:r>
      <w:r w:rsidRPr="00C37EF4">
        <w:t>(16 483 tis. Kč) - mechanizmy pro celoroční údržbu.</w:t>
      </w:r>
    </w:p>
    <w:p w14:paraId="72378413" w14:textId="77777777" w:rsidR="00016A1A" w:rsidRPr="00C37EF4" w:rsidRDefault="00016A1A" w:rsidP="00155668">
      <w:pPr>
        <w:pStyle w:val="KOMtext"/>
      </w:pPr>
      <w:r w:rsidRPr="00C37EF4">
        <w:t xml:space="preserve">V roce 2015 byly v rámci programu 327 28 „Výstavba dálnice D1 Praha-Brno-Lipník nad Bečvou“ čerpány prostředky EU ve výši 25 624 tis. Kč. Jednalo se o proplacení závěrečné 20% alokace z prostředků Fondu soudržnosti (2004-2006). Tento program byl v roce 2015 ukončen. </w:t>
      </w:r>
    </w:p>
    <w:p w14:paraId="56D2CAB5" w14:textId="77777777" w:rsidR="00016A1A" w:rsidRPr="009258ED" w:rsidRDefault="00016A1A" w:rsidP="00155668">
      <w:pPr>
        <w:pStyle w:val="KOMtext"/>
      </w:pPr>
      <w:r w:rsidRPr="009258ED">
        <w:t xml:space="preserve">V roce 2016 v rámci nového programu 127 06 „Rozvoj a obnova MTZ systému řízení MD-PO, SFDI“ byly připraveny nové akce, proběhlo výběrové řízení a začala vlastní realizace. Prostředky byly čerpány následně v roce 2017 a 2018. </w:t>
      </w:r>
    </w:p>
    <w:p w14:paraId="6FB75AB1" w14:textId="77777777" w:rsidR="00016A1A" w:rsidRDefault="00016A1A" w:rsidP="00155668">
      <w:pPr>
        <w:pStyle w:val="KOMtext"/>
      </w:pPr>
      <w:r w:rsidRPr="009258ED">
        <w:t>V roce 2018 byla v rámci programu 127 02 „Rozvoj a obnova MTZ systému řízení MD-PO“ realizována poslední akce programu, nákup mechanizace pro dálniční údržbu (zametačů). Nižší čerpání v roce 2018 je způsobeno ukončováním akcí, které byly zahájeny v roce 2016.</w:t>
      </w:r>
    </w:p>
    <w:p w14:paraId="1266CE22" w14:textId="6EF10B0B" w:rsidR="00FE566C" w:rsidRPr="009258ED" w:rsidRDefault="00FE566C" w:rsidP="004728C1">
      <w:pPr>
        <w:spacing w:before="120" w:line="276" w:lineRule="auto"/>
        <w:jc w:val="both"/>
        <w:rPr>
          <w:szCs w:val="20"/>
        </w:rPr>
      </w:pPr>
      <w:r>
        <w:rPr>
          <w:szCs w:val="20"/>
        </w:rPr>
        <w:t xml:space="preserve">V roce 2019 nebyly čerpány žádné investiční prostředky, důvodem bylo ukončení programu </w:t>
      </w:r>
      <w:r w:rsidR="00D3113A">
        <w:rPr>
          <w:szCs w:val="20"/>
        </w:rPr>
        <w:br/>
      </w:r>
      <w:r>
        <w:rPr>
          <w:szCs w:val="20"/>
        </w:rPr>
        <w:t>127 02 „Rozvoj a obnova MTZ systému řízení MD-PO“ a ukončení realizovaných akcí programu 127 06 „Rozvoj a obnova MTZ systému řízení MD-PO,SFDI“.</w:t>
      </w:r>
      <w:r w:rsidRPr="009258ED">
        <w:rPr>
          <w:szCs w:val="20"/>
        </w:rPr>
        <w:t xml:space="preserve"> </w:t>
      </w:r>
    </w:p>
    <w:p w14:paraId="0CFE994A" w14:textId="667ED3C4" w:rsidR="00FE566C" w:rsidRPr="00FE566C" w:rsidRDefault="00FE566C" w:rsidP="004728C1">
      <w:pPr>
        <w:tabs>
          <w:tab w:val="left" w:pos="0"/>
        </w:tabs>
        <w:spacing w:before="120" w:line="276" w:lineRule="auto"/>
        <w:jc w:val="both"/>
        <w:rPr>
          <w:szCs w:val="20"/>
        </w:rPr>
      </w:pPr>
      <w:r w:rsidRPr="00FE566C">
        <w:rPr>
          <w:szCs w:val="20"/>
        </w:rPr>
        <w:t xml:space="preserve">Kromě prostředků státního rozpočtu čerpaly příspěvkové organizace v roce 2019: </w:t>
      </w:r>
    </w:p>
    <w:p w14:paraId="1E4B626F" w14:textId="77777777" w:rsidR="00FE566C" w:rsidRPr="00FE566C" w:rsidRDefault="00FE566C" w:rsidP="004728C1">
      <w:pPr>
        <w:pStyle w:val="Odstavecseseznamem"/>
        <w:numPr>
          <w:ilvl w:val="0"/>
          <w:numId w:val="100"/>
        </w:numPr>
        <w:suppressAutoHyphens/>
        <w:spacing w:before="60" w:line="276" w:lineRule="auto"/>
        <w:ind w:left="709" w:hanging="425"/>
        <w:jc w:val="both"/>
        <w:rPr>
          <w:lang w:eastAsia="ar-SA"/>
        </w:rPr>
      </w:pPr>
      <w:bookmarkStart w:id="983" w:name="_Toc507592372"/>
      <w:bookmarkStart w:id="984" w:name="_Toc507592473"/>
      <w:bookmarkStart w:id="985" w:name="_Toc508879902"/>
      <w:bookmarkStart w:id="986" w:name="_Toc508880178"/>
      <w:r w:rsidRPr="00FE566C">
        <w:rPr>
          <w:lang w:eastAsia="ar-SA"/>
        </w:rPr>
        <w:t>investiční dotaci SFDI ve vazbě na zákon č. 104/2000 Sb., o Státním fondu dopravní infrastruktury v celkovém objemu 23 020 906 tis. Kč (ŘSD ČR),</w:t>
      </w:r>
      <w:bookmarkEnd w:id="983"/>
      <w:bookmarkEnd w:id="984"/>
      <w:bookmarkEnd w:id="985"/>
      <w:bookmarkEnd w:id="986"/>
      <w:r w:rsidRPr="00FE566C">
        <w:rPr>
          <w:lang w:eastAsia="ar-SA"/>
        </w:rPr>
        <w:t xml:space="preserve"> </w:t>
      </w:r>
    </w:p>
    <w:p w14:paraId="4D0BF8CA" w14:textId="77777777" w:rsidR="00FE566C" w:rsidRPr="00FE566C" w:rsidRDefault="00FE566C" w:rsidP="004728C1">
      <w:pPr>
        <w:pStyle w:val="Odstavecseseznamem"/>
        <w:numPr>
          <w:ilvl w:val="0"/>
          <w:numId w:val="100"/>
        </w:numPr>
        <w:suppressAutoHyphens/>
        <w:spacing w:before="60" w:line="276" w:lineRule="auto"/>
        <w:ind w:left="709" w:hanging="425"/>
        <w:jc w:val="both"/>
        <w:rPr>
          <w:bCs/>
          <w:lang w:eastAsia="ar-SA"/>
        </w:rPr>
      </w:pPr>
      <w:r w:rsidRPr="00FE566C">
        <w:rPr>
          <w:bCs/>
          <w:lang w:eastAsia="ar-SA"/>
        </w:rPr>
        <w:t>prostředky fondu reprodukce majetku ve výši 558 127 tis. Kč (ŘSD ČR 553 309 tis. Kč, Centrum služeb pro silniční dopravu 4 818 tis. Kč).</w:t>
      </w:r>
    </w:p>
    <w:p w14:paraId="0E85B8AF" w14:textId="77777777" w:rsidR="00DE1E79" w:rsidRPr="004B11AC" w:rsidRDefault="00DE1E79" w:rsidP="00155668">
      <w:pPr>
        <w:pStyle w:val="Nadpis3"/>
        <w:rPr>
          <w:color w:val="FF0000"/>
        </w:rPr>
      </w:pPr>
      <w:bookmarkStart w:id="987" w:name="_Toc34286476"/>
      <w:r w:rsidRPr="007847DF">
        <w:t>Investiční transfery ostatním příspěvkovým a podobným organizacím</w:t>
      </w:r>
      <w:bookmarkEnd w:id="977"/>
      <w:bookmarkEnd w:id="978"/>
      <w:bookmarkEnd w:id="979"/>
      <w:bookmarkEnd w:id="980"/>
      <w:bookmarkEnd w:id="981"/>
      <w:bookmarkEnd w:id="982"/>
      <w:bookmarkEnd w:id="987"/>
      <w:r w:rsidRPr="007847DF">
        <w:t xml:space="preserve"> </w:t>
      </w:r>
    </w:p>
    <w:p w14:paraId="3B0AC2E1" w14:textId="77777777" w:rsidR="007847DF" w:rsidRPr="00BB5DBB" w:rsidRDefault="007847DF" w:rsidP="00DB2320">
      <w:pPr>
        <w:keepNext/>
        <w:ind w:left="357" w:right="1"/>
        <w:jc w:val="right"/>
      </w:pPr>
      <w:bookmarkStart w:id="988" w:name="_Toc508879904"/>
      <w:bookmarkStart w:id="989" w:name="_Toc508880180"/>
      <w:bookmarkStart w:id="990" w:name="_Toc1376848"/>
      <w:r w:rsidRPr="00BB5DBB">
        <w:t>v tis. Kč</w:t>
      </w:r>
    </w:p>
    <w:tbl>
      <w:tblPr>
        <w:tblW w:w="918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88"/>
        <w:gridCol w:w="1247"/>
        <w:gridCol w:w="1247"/>
        <w:gridCol w:w="1247"/>
        <w:gridCol w:w="1247"/>
        <w:gridCol w:w="907"/>
      </w:tblGrid>
      <w:tr w:rsidR="007847DF" w:rsidRPr="00BB5DBB" w14:paraId="75F70B56" w14:textId="77777777" w:rsidTr="00A06E49">
        <w:trPr>
          <w:tblHeader/>
        </w:trPr>
        <w:tc>
          <w:tcPr>
            <w:tcW w:w="3288" w:type="dxa"/>
            <w:tcBorders>
              <w:right w:val="single" w:sz="4" w:space="0" w:color="auto"/>
            </w:tcBorders>
          </w:tcPr>
          <w:p w14:paraId="26E2F926" w14:textId="77777777" w:rsidR="007847DF" w:rsidRPr="00BB5DBB" w:rsidRDefault="007847DF" w:rsidP="00F915F4">
            <w:pPr>
              <w:jc w:val="center"/>
              <w:rPr>
                <w:sz w:val="22"/>
              </w:rPr>
            </w:pPr>
          </w:p>
          <w:p w14:paraId="6C7CDE40" w14:textId="77777777" w:rsidR="007847DF" w:rsidRPr="00BB5DBB" w:rsidRDefault="007847DF" w:rsidP="00F915F4">
            <w:pPr>
              <w:jc w:val="center"/>
              <w:rPr>
                <w:sz w:val="22"/>
              </w:rPr>
            </w:pPr>
            <w:r w:rsidRPr="00BB5DBB">
              <w:rPr>
                <w:sz w:val="22"/>
              </w:rPr>
              <w:t>Ukazatel</w:t>
            </w:r>
          </w:p>
        </w:tc>
        <w:tc>
          <w:tcPr>
            <w:tcW w:w="1247" w:type="dxa"/>
            <w:tcBorders>
              <w:top w:val="single" w:sz="4" w:space="0" w:color="auto"/>
              <w:bottom w:val="single" w:sz="4" w:space="0" w:color="auto"/>
              <w:right w:val="single" w:sz="4" w:space="0" w:color="auto"/>
            </w:tcBorders>
            <w:vAlign w:val="center"/>
          </w:tcPr>
          <w:p w14:paraId="0D6726FA" w14:textId="77777777" w:rsidR="007847DF" w:rsidRPr="00BB5DBB" w:rsidRDefault="007847DF" w:rsidP="00F915F4">
            <w:pPr>
              <w:jc w:val="center"/>
              <w:rPr>
                <w:sz w:val="22"/>
              </w:rPr>
            </w:pPr>
            <w:r w:rsidRPr="00BB5DBB">
              <w:rPr>
                <w:sz w:val="22"/>
              </w:rPr>
              <w:t>Skutečnost</w:t>
            </w:r>
          </w:p>
          <w:p w14:paraId="494F03AF" w14:textId="77777777" w:rsidR="007847DF" w:rsidRPr="00BB5DBB" w:rsidRDefault="007847DF" w:rsidP="00F915F4">
            <w:pPr>
              <w:jc w:val="center"/>
              <w:rPr>
                <w:sz w:val="22"/>
              </w:rPr>
            </w:pPr>
            <w:r w:rsidRPr="00BB5DBB">
              <w:rPr>
                <w:sz w:val="22"/>
              </w:rPr>
              <w:t>2018</w:t>
            </w:r>
          </w:p>
        </w:tc>
        <w:tc>
          <w:tcPr>
            <w:tcW w:w="1247" w:type="dxa"/>
            <w:tcBorders>
              <w:top w:val="single" w:sz="4" w:space="0" w:color="auto"/>
              <w:left w:val="single" w:sz="4" w:space="0" w:color="auto"/>
              <w:bottom w:val="single" w:sz="4" w:space="0" w:color="auto"/>
              <w:right w:val="single" w:sz="4" w:space="0" w:color="auto"/>
            </w:tcBorders>
            <w:vAlign w:val="center"/>
          </w:tcPr>
          <w:p w14:paraId="774D399F" w14:textId="77777777" w:rsidR="007847DF" w:rsidRPr="00BB5DBB" w:rsidRDefault="007847DF" w:rsidP="00F915F4">
            <w:pPr>
              <w:jc w:val="center"/>
              <w:rPr>
                <w:sz w:val="22"/>
              </w:rPr>
            </w:pPr>
            <w:r w:rsidRPr="00BB5DBB">
              <w:rPr>
                <w:sz w:val="22"/>
              </w:rPr>
              <w:t>Schválený</w:t>
            </w:r>
          </w:p>
          <w:p w14:paraId="68A87BED" w14:textId="77777777" w:rsidR="007847DF" w:rsidRPr="00BB5DBB" w:rsidRDefault="007847DF" w:rsidP="00F915F4">
            <w:pPr>
              <w:jc w:val="center"/>
              <w:rPr>
                <w:sz w:val="22"/>
              </w:rPr>
            </w:pPr>
            <w:r w:rsidRPr="00BB5DBB">
              <w:rPr>
                <w:sz w:val="22"/>
              </w:rPr>
              <w:t>rozpočet</w:t>
            </w:r>
          </w:p>
          <w:p w14:paraId="22A713FB" w14:textId="77777777" w:rsidR="007847DF" w:rsidRPr="00BB5DBB" w:rsidRDefault="007847DF" w:rsidP="00F915F4">
            <w:pPr>
              <w:jc w:val="center"/>
              <w:rPr>
                <w:sz w:val="22"/>
              </w:rPr>
            </w:pPr>
            <w:r w:rsidRPr="00BB5DBB">
              <w:rPr>
                <w:sz w:val="22"/>
              </w:rPr>
              <w:t>2019</w:t>
            </w:r>
          </w:p>
        </w:tc>
        <w:tc>
          <w:tcPr>
            <w:tcW w:w="1247" w:type="dxa"/>
            <w:tcBorders>
              <w:top w:val="single" w:sz="4" w:space="0" w:color="auto"/>
              <w:left w:val="single" w:sz="4" w:space="0" w:color="auto"/>
              <w:bottom w:val="single" w:sz="4" w:space="0" w:color="auto"/>
              <w:right w:val="single" w:sz="4" w:space="0" w:color="auto"/>
            </w:tcBorders>
            <w:vAlign w:val="center"/>
          </w:tcPr>
          <w:p w14:paraId="7EB658B3" w14:textId="77777777" w:rsidR="007847DF" w:rsidRPr="00BB5DBB" w:rsidRDefault="007847DF" w:rsidP="00F915F4">
            <w:pPr>
              <w:jc w:val="center"/>
              <w:rPr>
                <w:sz w:val="22"/>
              </w:rPr>
            </w:pPr>
            <w:r w:rsidRPr="00BB5DBB">
              <w:rPr>
                <w:sz w:val="22"/>
              </w:rPr>
              <w:t>Upravený</w:t>
            </w:r>
          </w:p>
          <w:p w14:paraId="3475C709" w14:textId="77777777" w:rsidR="007847DF" w:rsidRPr="00BB5DBB" w:rsidRDefault="007847DF" w:rsidP="00F915F4">
            <w:pPr>
              <w:jc w:val="center"/>
              <w:rPr>
                <w:sz w:val="22"/>
              </w:rPr>
            </w:pPr>
            <w:r w:rsidRPr="00BB5DBB">
              <w:rPr>
                <w:sz w:val="22"/>
              </w:rPr>
              <w:t>rozpočet</w:t>
            </w:r>
          </w:p>
          <w:p w14:paraId="25616F6D" w14:textId="77777777" w:rsidR="007847DF" w:rsidRPr="00BB5DBB" w:rsidRDefault="007847DF" w:rsidP="00F915F4">
            <w:pPr>
              <w:jc w:val="center"/>
              <w:rPr>
                <w:sz w:val="22"/>
              </w:rPr>
            </w:pPr>
            <w:r w:rsidRPr="00BB5DBB">
              <w:rPr>
                <w:sz w:val="22"/>
              </w:rPr>
              <w:t>2019</w:t>
            </w:r>
          </w:p>
        </w:tc>
        <w:tc>
          <w:tcPr>
            <w:tcW w:w="1247" w:type="dxa"/>
            <w:tcBorders>
              <w:top w:val="single" w:sz="4" w:space="0" w:color="auto"/>
              <w:left w:val="single" w:sz="4" w:space="0" w:color="auto"/>
              <w:bottom w:val="single" w:sz="4" w:space="0" w:color="auto"/>
            </w:tcBorders>
            <w:vAlign w:val="center"/>
          </w:tcPr>
          <w:p w14:paraId="25FC6332" w14:textId="77777777" w:rsidR="007847DF" w:rsidRPr="00BB5DBB" w:rsidRDefault="007847DF" w:rsidP="00F915F4">
            <w:pPr>
              <w:jc w:val="center"/>
              <w:rPr>
                <w:sz w:val="22"/>
              </w:rPr>
            </w:pPr>
            <w:r w:rsidRPr="00BB5DBB">
              <w:rPr>
                <w:sz w:val="22"/>
              </w:rPr>
              <w:t>Skutečnost</w:t>
            </w:r>
          </w:p>
          <w:p w14:paraId="5E762A49" w14:textId="77777777" w:rsidR="007847DF" w:rsidRPr="00BB5DBB" w:rsidRDefault="007847DF" w:rsidP="00F915F4">
            <w:pPr>
              <w:jc w:val="center"/>
              <w:rPr>
                <w:sz w:val="22"/>
              </w:rPr>
            </w:pPr>
            <w:r w:rsidRPr="00BB5DBB">
              <w:rPr>
                <w:sz w:val="22"/>
              </w:rPr>
              <w:t>2019</w:t>
            </w:r>
          </w:p>
        </w:tc>
        <w:tc>
          <w:tcPr>
            <w:tcW w:w="907" w:type="dxa"/>
            <w:tcBorders>
              <w:top w:val="single" w:sz="4" w:space="0" w:color="auto"/>
              <w:left w:val="single" w:sz="4" w:space="0" w:color="auto"/>
              <w:bottom w:val="single" w:sz="4" w:space="0" w:color="auto"/>
            </w:tcBorders>
            <w:vAlign w:val="center"/>
          </w:tcPr>
          <w:p w14:paraId="76412A67" w14:textId="77777777" w:rsidR="007847DF" w:rsidRPr="00BB5DBB" w:rsidRDefault="007847DF" w:rsidP="00F915F4">
            <w:pPr>
              <w:jc w:val="center"/>
              <w:rPr>
                <w:sz w:val="22"/>
              </w:rPr>
            </w:pPr>
            <w:r w:rsidRPr="00BB5DBB">
              <w:rPr>
                <w:sz w:val="22"/>
              </w:rPr>
              <w:t>Index</w:t>
            </w:r>
          </w:p>
          <w:p w14:paraId="3D04A33C" w14:textId="77777777" w:rsidR="007847DF" w:rsidRPr="00BB5DBB" w:rsidRDefault="007847DF" w:rsidP="00F915F4">
            <w:pPr>
              <w:jc w:val="center"/>
              <w:rPr>
                <w:sz w:val="22"/>
              </w:rPr>
            </w:pPr>
            <w:r w:rsidRPr="00BB5DBB">
              <w:rPr>
                <w:sz w:val="22"/>
              </w:rPr>
              <w:t>19/18         (v %)</w:t>
            </w:r>
          </w:p>
        </w:tc>
      </w:tr>
      <w:tr w:rsidR="007847DF" w:rsidRPr="00BB5DBB" w14:paraId="436BA431" w14:textId="77777777" w:rsidTr="00A06E49">
        <w:trPr>
          <w:tblHeader/>
        </w:trPr>
        <w:tc>
          <w:tcPr>
            <w:tcW w:w="3288" w:type="dxa"/>
            <w:tcBorders>
              <w:top w:val="single" w:sz="4" w:space="0" w:color="auto"/>
              <w:bottom w:val="single" w:sz="4" w:space="0" w:color="auto"/>
              <w:right w:val="single" w:sz="4" w:space="0" w:color="auto"/>
            </w:tcBorders>
          </w:tcPr>
          <w:p w14:paraId="217ADA94" w14:textId="77777777" w:rsidR="007847DF" w:rsidRPr="00BB5DBB" w:rsidRDefault="007847DF" w:rsidP="00F915F4">
            <w:pPr>
              <w:jc w:val="center"/>
              <w:rPr>
                <w:sz w:val="22"/>
              </w:rPr>
            </w:pPr>
            <w:r w:rsidRPr="00BB5DBB">
              <w:rPr>
                <w:sz w:val="22"/>
              </w:rPr>
              <w:t>a</w:t>
            </w:r>
          </w:p>
        </w:tc>
        <w:tc>
          <w:tcPr>
            <w:tcW w:w="1247" w:type="dxa"/>
            <w:tcBorders>
              <w:top w:val="single" w:sz="4" w:space="0" w:color="auto"/>
              <w:bottom w:val="single" w:sz="4" w:space="0" w:color="auto"/>
              <w:right w:val="single" w:sz="4" w:space="0" w:color="auto"/>
            </w:tcBorders>
          </w:tcPr>
          <w:p w14:paraId="01202ED2" w14:textId="77777777" w:rsidR="007847DF" w:rsidRPr="00BB5DBB" w:rsidRDefault="007847DF" w:rsidP="00F915F4">
            <w:pPr>
              <w:jc w:val="center"/>
              <w:rPr>
                <w:sz w:val="22"/>
              </w:rPr>
            </w:pPr>
            <w:r w:rsidRPr="00BB5DBB">
              <w:rPr>
                <w:sz w:val="22"/>
              </w:rPr>
              <w:t>1</w:t>
            </w:r>
          </w:p>
        </w:tc>
        <w:tc>
          <w:tcPr>
            <w:tcW w:w="1247" w:type="dxa"/>
            <w:tcBorders>
              <w:top w:val="single" w:sz="4" w:space="0" w:color="auto"/>
              <w:left w:val="single" w:sz="4" w:space="0" w:color="auto"/>
              <w:bottom w:val="single" w:sz="4" w:space="0" w:color="auto"/>
              <w:right w:val="single" w:sz="4" w:space="0" w:color="auto"/>
            </w:tcBorders>
          </w:tcPr>
          <w:p w14:paraId="4AB0D39A" w14:textId="77777777" w:rsidR="007847DF" w:rsidRPr="00BB5DBB" w:rsidRDefault="007847DF" w:rsidP="00F915F4">
            <w:pPr>
              <w:jc w:val="center"/>
              <w:rPr>
                <w:sz w:val="22"/>
              </w:rPr>
            </w:pPr>
            <w:r w:rsidRPr="00BB5DBB">
              <w:rPr>
                <w:sz w:val="22"/>
              </w:rPr>
              <w:t>2</w:t>
            </w:r>
          </w:p>
        </w:tc>
        <w:tc>
          <w:tcPr>
            <w:tcW w:w="1247" w:type="dxa"/>
            <w:tcBorders>
              <w:top w:val="single" w:sz="4" w:space="0" w:color="auto"/>
              <w:left w:val="single" w:sz="4" w:space="0" w:color="auto"/>
              <w:bottom w:val="single" w:sz="4" w:space="0" w:color="auto"/>
              <w:right w:val="single" w:sz="4" w:space="0" w:color="auto"/>
            </w:tcBorders>
          </w:tcPr>
          <w:p w14:paraId="7CB2A651" w14:textId="77777777" w:rsidR="007847DF" w:rsidRPr="00BB5DBB" w:rsidRDefault="007847DF" w:rsidP="00F915F4">
            <w:pPr>
              <w:jc w:val="center"/>
              <w:rPr>
                <w:sz w:val="22"/>
              </w:rPr>
            </w:pPr>
            <w:r w:rsidRPr="00BB5DBB">
              <w:rPr>
                <w:sz w:val="22"/>
              </w:rPr>
              <w:t>3</w:t>
            </w:r>
          </w:p>
        </w:tc>
        <w:tc>
          <w:tcPr>
            <w:tcW w:w="1247" w:type="dxa"/>
            <w:tcBorders>
              <w:top w:val="single" w:sz="4" w:space="0" w:color="auto"/>
              <w:left w:val="single" w:sz="4" w:space="0" w:color="auto"/>
              <w:bottom w:val="single" w:sz="4" w:space="0" w:color="auto"/>
              <w:right w:val="single" w:sz="4" w:space="0" w:color="auto"/>
            </w:tcBorders>
          </w:tcPr>
          <w:p w14:paraId="6CA361E4" w14:textId="77777777" w:rsidR="007847DF" w:rsidRPr="00BB5DBB" w:rsidRDefault="007847DF" w:rsidP="00F915F4">
            <w:pPr>
              <w:jc w:val="center"/>
              <w:rPr>
                <w:sz w:val="22"/>
              </w:rPr>
            </w:pPr>
            <w:r w:rsidRPr="00BB5DBB">
              <w:rPr>
                <w:sz w:val="22"/>
              </w:rPr>
              <w:t>4</w:t>
            </w:r>
          </w:p>
        </w:tc>
        <w:tc>
          <w:tcPr>
            <w:tcW w:w="907" w:type="dxa"/>
            <w:tcBorders>
              <w:top w:val="single" w:sz="4" w:space="0" w:color="auto"/>
              <w:left w:val="single" w:sz="4" w:space="0" w:color="auto"/>
              <w:bottom w:val="single" w:sz="4" w:space="0" w:color="auto"/>
            </w:tcBorders>
          </w:tcPr>
          <w:p w14:paraId="52EF5A65" w14:textId="77777777" w:rsidR="007847DF" w:rsidRPr="00BB5DBB" w:rsidRDefault="007847DF" w:rsidP="00F915F4">
            <w:pPr>
              <w:jc w:val="center"/>
              <w:rPr>
                <w:sz w:val="22"/>
              </w:rPr>
            </w:pPr>
            <w:r w:rsidRPr="00BB5DBB">
              <w:rPr>
                <w:sz w:val="22"/>
              </w:rPr>
              <w:t>6</w:t>
            </w:r>
          </w:p>
        </w:tc>
      </w:tr>
      <w:tr w:rsidR="007847DF" w:rsidRPr="00BB5DBB" w14:paraId="322E3F40" w14:textId="77777777" w:rsidTr="00A06E49">
        <w:trPr>
          <w:trHeight w:val="126"/>
          <w:tblHeader/>
        </w:trPr>
        <w:tc>
          <w:tcPr>
            <w:tcW w:w="3288" w:type="dxa"/>
            <w:tcBorders>
              <w:top w:val="single" w:sz="4" w:space="0" w:color="auto"/>
              <w:left w:val="single" w:sz="4" w:space="0" w:color="auto"/>
              <w:bottom w:val="nil"/>
              <w:right w:val="single" w:sz="4" w:space="0" w:color="auto"/>
            </w:tcBorders>
          </w:tcPr>
          <w:p w14:paraId="1386BAEE" w14:textId="77777777" w:rsidR="007847DF" w:rsidRPr="00BB5DBB" w:rsidRDefault="007847DF" w:rsidP="00F915F4">
            <w:pPr>
              <w:tabs>
                <w:tab w:val="left" w:pos="0"/>
                <w:tab w:val="left" w:pos="110"/>
              </w:tabs>
              <w:rPr>
                <w:sz w:val="20"/>
                <w:szCs w:val="20"/>
              </w:rPr>
            </w:pPr>
            <w:r w:rsidRPr="00BB5DBB">
              <w:rPr>
                <w:b/>
                <w:sz w:val="20"/>
                <w:szCs w:val="20"/>
              </w:rPr>
              <w:t>Ost. příspěvkové a pod. organizace</w:t>
            </w:r>
          </w:p>
        </w:tc>
        <w:tc>
          <w:tcPr>
            <w:tcW w:w="1247" w:type="dxa"/>
            <w:tcBorders>
              <w:top w:val="single" w:sz="4" w:space="0" w:color="auto"/>
              <w:left w:val="single" w:sz="4" w:space="0" w:color="auto"/>
              <w:bottom w:val="nil"/>
              <w:right w:val="single" w:sz="4" w:space="0" w:color="auto"/>
            </w:tcBorders>
          </w:tcPr>
          <w:p w14:paraId="32BDE8BF" w14:textId="77777777" w:rsidR="007847DF" w:rsidRPr="00BB5DBB" w:rsidRDefault="007847DF" w:rsidP="00F915F4">
            <w:pPr>
              <w:jc w:val="right"/>
              <w:rPr>
                <w:b/>
                <w:bCs/>
                <w:sz w:val="20"/>
                <w:szCs w:val="20"/>
              </w:rPr>
            </w:pPr>
            <w:r w:rsidRPr="00BB5DBB">
              <w:rPr>
                <w:b/>
                <w:bCs/>
                <w:sz w:val="20"/>
                <w:szCs w:val="20"/>
              </w:rPr>
              <w:t>7 549</w:t>
            </w:r>
          </w:p>
        </w:tc>
        <w:tc>
          <w:tcPr>
            <w:tcW w:w="1247" w:type="dxa"/>
            <w:tcBorders>
              <w:top w:val="single" w:sz="4" w:space="0" w:color="auto"/>
              <w:left w:val="single" w:sz="4" w:space="0" w:color="auto"/>
              <w:bottom w:val="nil"/>
              <w:right w:val="single" w:sz="4" w:space="0" w:color="auto"/>
            </w:tcBorders>
          </w:tcPr>
          <w:p w14:paraId="3A96A846" w14:textId="77777777" w:rsidR="007847DF" w:rsidRPr="00BB5DBB" w:rsidRDefault="007847DF" w:rsidP="00F915F4">
            <w:pPr>
              <w:jc w:val="right"/>
              <w:rPr>
                <w:b/>
                <w:bCs/>
                <w:sz w:val="20"/>
                <w:szCs w:val="20"/>
              </w:rPr>
            </w:pPr>
            <w:r w:rsidRPr="00BB5DBB">
              <w:rPr>
                <w:b/>
                <w:bCs/>
                <w:sz w:val="20"/>
                <w:szCs w:val="20"/>
              </w:rPr>
              <w:t>7 250</w:t>
            </w:r>
          </w:p>
        </w:tc>
        <w:tc>
          <w:tcPr>
            <w:tcW w:w="1247" w:type="dxa"/>
            <w:tcBorders>
              <w:top w:val="single" w:sz="4" w:space="0" w:color="auto"/>
              <w:left w:val="single" w:sz="4" w:space="0" w:color="auto"/>
              <w:bottom w:val="nil"/>
              <w:right w:val="single" w:sz="4" w:space="0" w:color="auto"/>
            </w:tcBorders>
          </w:tcPr>
          <w:p w14:paraId="40C26ACF" w14:textId="77777777" w:rsidR="007847DF" w:rsidRPr="00BB5DBB" w:rsidRDefault="007847DF" w:rsidP="00F915F4">
            <w:pPr>
              <w:jc w:val="right"/>
              <w:rPr>
                <w:b/>
                <w:bCs/>
                <w:sz w:val="20"/>
                <w:szCs w:val="20"/>
              </w:rPr>
            </w:pPr>
            <w:r w:rsidRPr="00BB5DBB">
              <w:rPr>
                <w:b/>
                <w:bCs/>
                <w:sz w:val="20"/>
                <w:szCs w:val="20"/>
              </w:rPr>
              <w:t>7 250</w:t>
            </w:r>
          </w:p>
        </w:tc>
        <w:tc>
          <w:tcPr>
            <w:tcW w:w="1247" w:type="dxa"/>
            <w:tcBorders>
              <w:top w:val="single" w:sz="4" w:space="0" w:color="auto"/>
              <w:left w:val="single" w:sz="4" w:space="0" w:color="auto"/>
              <w:bottom w:val="nil"/>
              <w:right w:val="single" w:sz="4" w:space="0" w:color="auto"/>
            </w:tcBorders>
          </w:tcPr>
          <w:p w14:paraId="7D8857D2" w14:textId="77777777" w:rsidR="007847DF" w:rsidRPr="00BB5DBB" w:rsidRDefault="007847DF" w:rsidP="00F915F4">
            <w:pPr>
              <w:jc w:val="right"/>
              <w:rPr>
                <w:b/>
                <w:bCs/>
                <w:sz w:val="20"/>
                <w:szCs w:val="20"/>
              </w:rPr>
            </w:pPr>
            <w:r w:rsidRPr="00BB5DBB">
              <w:rPr>
                <w:b/>
                <w:bCs/>
                <w:sz w:val="20"/>
                <w:szCs w:val="20"/>
              </w:rPr>
              <w:t>7 250</w:t>
            </w:r>
          </w:p>
        </w:tc>
        <w:tc>
          <w:tcPr>
            <w:tcW w:w="907" w:type="dxa"/>
            <w:tcBorders>
              <w:top w:val="single" w:sz="4" w:space="0" w:color="auto"/>
              <w:left w:val="single" w:sz="4" w:space="0" w:color="auto"/>
              <w:bottom w:val="nil"/>
              <w:right w:val="single" w:sz="4" w:space="0" w:color="auto"/>
            </w:tcBorders>
          </w:tcPr>
          <w:p w14:paraId="729DFE35" w14:textId="77777777" w:rsidR="007847DF" w:rsidRPr="00BB5DBB" w:rsidRDefault="007847DF" w:rsidP="00F915F4">
            <w:pPr>
              <w:jc w:val="right"/>
              <w:rPr>
                <w:b/>
                <w:bCs/>
                <w:sz w:val="20"/>
                <w:szCs w:val="20"/>
              </w:rPr>
            </w:pPr>
            <w:r w:rsidRPr="00BB5DBB">
              <w:rPr>
                <w:b/>
                <w:bCs/>
                <w:sz w:val="20"/>
                <w:szCs w:val="20"/>
              </w:rPr>
              <w:t>96,04</w:t>
            </w:r>
          </w:p>
        </w:tc>
      </w:tr>
      <w:tr w:rsidR="007847DF" w:rsidRPr="00BB5DBB" w14:paraId="2BCAD52A" w14:textId="77777777" w:rsidTr="00A06E49">
        <w:trPr>
          <w:tblHeader/>
        </w:trPr>
        <w:tc>
          <w:tcPr>
            <w:tcW w:w="3288" w:type="dxa"/>
            <w:tcBorders>
              <w:top w:val="nil"/>
              <w:left w:val="single" w:sz="4" w:space="0" w:color="auto"/>
              <w:bottom w:val="nil"/>
              <w:right w:val="single" w:sz="4" w:space="0" w:color="auto"/>
            </w:tcBorders>
          </w:tcPr>
          <w:p w14:paraId="333D47CD" w14:textId="77777777" w:rsidR="007847DF" w:rsidRPr="00BB5DBB" w:rsidRDefault="007847DF" w:rsidP="00F915F4">
            <w:pPr>
              <w:jc w:val="both"/>
              <w:rPr>
                <w:sz w:val="20"/>
                <w:szCs w:val="20"/>
              </w:rPr>
            </w:pPr>
            <w:r w:rsidRPr="00BB5DBB">
              <w:rPr>
                <w:sz w:val="20"/>
                <w:szCs w:val="20"/>
              </w:rPr>
              <w:t>v tom:</w:t>
            </w:r>
          </w:p>
        </w:tc>
        <w:tc>
          <w:tcPr>
            <w:tcW w:w="1247" w:type="dxa"/>
            <w:tcBorders>
              <w:top w:val="nil"/>
              <w:left w:val="single" w:sz="4" w:space="0" w:color="auto"/>
              <w:bottom w:val="nil"/>
              <w:right w:val="single" w:sz="4" w:space="0" w:color="auto"/>
            </w:tcBorders>
          </w:tcPr>
          <w:p w14:paraId="50F85D3C" w14:textId="77777777" w:rsidR="007847DF" w:rsidRPr="00BB5DBB" w:rsidRDefault="007847DF" w:rsidP="00F915F4">
            <w:pPr>
              <w:jc w:val="right"/>
              <w:rPr>
                <w:sz w:val="20"/>
                <w:szCs w:val="20"/>
              </w:rPr>
            </w:pPr>
          </w:p>
        </w:tc>
        <w:tc>
          <w:tcPr>
            <w:tcW w:w="1247" w:type="dxa"/>
            <w:tcBorders>
              <w:top w:val="nil"/>
              <w:left w:val="single" w:sz="4" w:space="0" w:color="auto"/>
              <w:bottom w:val="nil"/>
              <w:right w:val="single" w:sz="4" w:space="0" w:color="auto"/>
            </w:tcBorders>
          </w:tcPr>
          <w:p w14:paraId="631DB7DD" w14:textId="77777777" w:rsidR="007847DF" w:rsidRPr="00BB5DBB" w:rsidRDefault="007847DF" w:rsidP="00F915F4">
            <w:pPr>
              <w:jc w:val="right"/>
              <w:rPr>
                <w:sz w:val="20"/>
                <w:szCs w:val="20"/>
              </w:rPr>
            </w:pPr>
          </w:p>
        </w:tc>
        <w:tc>
          <w:tcPr>
            <w:tcW w:w="1247" w:type="dxa"/>
            <w:tcBorders>
              <w:top w:val="nil"/>
              <w:left w:val="single" w:sz="4" w:space="0" w:color="auto"/>
              <w:bottom w:val="nil"/>
              <w:right w:val="single" w:sz="4" w:space="0" w:color="auto"/>
            </w:tcBorders>
          </w:tcPr>
          <w:p w14:paraId="062376CD" w14:textId="77777777" w:rsidR="007847DF" w:rsidRPr="00BB5DBB" w:rsidRDefault="007847DF" w:rsidP="00F915F4">
            <w:pPr>
              <w:jc w:val="right"/>
              <w:rPr>
                <w:sz w:val="20"/>
                <w:szCs w:val="20"/>
              </w:rPr>
            </w:pPr>
          </w:p>
        </w:tc>
        <w:tc>
          <w:tcPr>
            <w:tcW w:w="1247" w:type="dxa"/>
            <w:tcBorders>
              <w:top w:val="nil"/>
              <w:left w:val="single" w:sz="4" w:space="0" w:color="auto"/>
              <w:bottom w:val="nil"/>
              <w:right w:val="single" w:sz="4" w:space="0" w:color="auto"/>
            </w:tcBorders>
          </w:tcPr>
          <w:p w14:paraId="19913DF6" w14:textId="77777777" w:rsidR="007847DF" w:rsidRPr="00BB5DBB" w:rsidRDefault="007847DF" w:rsidP="00F915F4">
            <w:pPr>
              <w:jc w:val="right"/>
              <w:rPr>
                <w:sz w:val="20"/>
                <w:szCs w:val="20"/>
              </w:rPr>
            </w:pPr>
          </w:p>
        </w:tc>
        <w:tc>
          <w:tcPr>
            <w:tcW w:w="907" w:type="dxa"/>
            <w:tcBorders>
              <w:top w:val="nil"/>
              <w:left w:val="single" w:sz="4" w:space="0" w:color="auto"/>
              <w:bottom w:val="nil"/>
              <w:right w:val="single" w:sz="4" w:space="0" w:color="auto"/>
            </w:tcBorders>
          </w:tcPr>
          <w:p w14:paraId="7402D5A3" w14:textId="77777777" w:rsidR="007847DF" w:rsidRPr="00BB5DBB" w:rsidRDefault="007847DF" w:rsidP="00F915F4">
            <w:pPr>
              <w:jc w:val="right"/>
              <w:rPr>
                <w:sz w:val="20"/>
                <w:szCs w:val="20"/>
              </w:rPr>
            </w:pPr>
          </w:p>
        </w:tc>
      </w:tr>
      <w:tr w:rsidR="007847DF" w:rsidRPr="00BB5DBB" w14:paraId="4B777D50" w14:textId="77777777" w:rsidTr="00A06E49">
        <w:trPr>
          <w:tblHeader/>
        </w:trPr>
        <w:tc>
          <w:tcPr>
            <w:tcW w:w="3288" w:type="dxa"/>
            <w:tcBorders>
              <w:top w:val="nil"/>
              <w:left w:val="single" w:sz="4" w:space="0" w:color="auto"/>
              <w:bottom w:val="single" w:sz="4" w:space="0" w:color="auto"/>
              <w:right w:val="single" w:sz="4" w:space="0" w:color="auto"/>
            </w:tcBorders>
          </w:tcPr>
          <w:p w14:paraId="1F6064FB" w14:textId="77777777" w:rsidR="007847DF" w:rsidRPr="00BB5DBB" w:rsidRDefault="007847DF" w:rsidP="00F915F4">
            <w:pPr>
              <w:jc w:val="both"/>
              <w:rPr>
                <w:sz w:val="20"/>
                <w:szCs w:val="20"/>
              </w:rPr>
            </w:pPr>
            <w:r w:rsidRPr="00BB5DBB">
              <w:rPr>
                <w:sz w:val="20"/>
                <w:szCs w:val="20"/>
              </w:rPr>
              <w:t>Veřejné výzkumné instituce</w:t>
            </w:r>
          </w:p>
          <w:p w14:paraId="500EB7EA" w14:textId="77777777" w:rsidR="007847DF" w:rsidRPr="00BB5DBB" w:rsidRDefault="007847DF" w:rsidP="00F915F4">
            <w:pPr>
              <w:jc w:val="both"/>
              <w:rPr>
                <w:i/>
                <w:sz w:val="20"/>
                <w:szCs w:val="20"/>
              </w:rPr>
            </w:pPr>
            <w:r w:rsidRPr="00BB5DBB">
              <w:rPr>
                <w:i/>
                <w:sz w:val="20"/>
                <w:szCs w:val="20"/>
              </w:rPr>
              <w:t xml:space="preserve">z toho výzkum, vývoj a inovace </w:t>
            </w:r>
          </w:p>
        </w:tc>
        <w:tc>
          <w:tcPr>
            <w:tcW w:w="1247" w:type="dxa"/>
            <w:tcBorders>
              <w:top w:val="nil"/>
              <w:left w:val="single" w:sz="4" w:space="0" w:color="auto"/>
              <w:bottom w:val="single" w:sz="4" w:space="0" w:color="auto"/>
              <w:right w:val="single" w:sz="4" w:space="0" w:color="auto"/>
            </w:tcBorders>
          </w:tcPr>
          <w:p w14:paraId="5FB277D4" w14:textId="77777777" w:rsidR="007847DF" w:rsidRPr="00BB5DBB" w:rsidRDefault="007847DF" w:rsidP="00F915F4">
            <w:pPr>
              <w:jc w:val="right"/>
              <w:rPr>
                <w:sz w:val="20"/>
                <w:szCs w:val="20"/>
              </w:rPr>
            </w:pPr>
            <w:r w:rsidRPr="00BB5DBB">
              <w:rPr>
                <w:sz w:val="20"/>
                <w:szCs w:val="20"/>
              </w:rPr>
              <w:t>7 549</w:t>
            </w:r>
          </w:p>
          <w:p w14:paraId="5CABE877" w14:textId="77777777" w:rsidR="007847DF" w:rsidRPr="00E020F2" w:rsidRDefault="007847DF" w:rsidP="00F915F4">
            <w:pPr>
              <w:jc w:val="right"/>
              <w:rPr>
                <w:i/>
                <w:sz w:val="20"/>
                <w:szCs w:val="20"/>
              </w:rPr>
            </w:pPr>
            <w:r w:rsidRPr="00E020F2">
              <w:rPr>
                <w:i/>
                <w:sz w:val="20"/>
                <w:szCs w:val="20"/>
              </w:rPr>
              <w:t>7 549</w:t>
            </w:r>
          </w:p>
        </w:tc>
        <w:tc>
          <w:tcPr>
            <w:tcW w:w="1247" w:type="dxa"/>
            <w:tcBorders>
              <w:top w:val="nil"/>
              <w:left w:val="single" w:sz="4" w:space="0" w:color="auto"/>
              <w:bottom w:val="single" w:sz="4" w:space="0" w:color="auto"/>
              <w:right w:val="single" w:sz="4" w:space="0" w:color="auto"/>
            </w:tcBorders>
          </w:tcPr>
          <w:p w14:paraId="4A01FF03" w14:textId="77777777" w:rsidR="007847DF" w:rsidRPr="00BB5DBB" w:rsidRDefault="007847DF" w:rsidP="00F915F4">
            <w:pPr>
              <w:jc w:val="right"/>
              <w:rPr>
                <w:sz w:val="20"/>
                <w:szCs w:val="20"/>
              </w:rPr>
            </w:pPr>
            <w:r w:rsidRPr="00BB5DBB">
              <w:rPr>
                <w:sz w:val="20"/>
                <w:szCs w:val="20"/>
              </w:rPr>
              <w:t>7 250</w:t>
            </w:r>
          </w:p>
          <w:p w14:paraId="49A0F181" w14:textId="77777777" w:rsidR="007847DF" w:rsidRPr="00E020F2" w:rsidRDefault="007847DF" w:rsidP="00F915F4">
            <w:pPr>
              <w:jc w:val="right"/>
              <w:rPr>
                <w:i/>
                <w:sz w:val="20"/>
                <w:szCs w:val="20"/>
              </w:rPr>
            </w:pPr>
            <w:r w:rsidRPr="00E020F2">
              <w:rPr>
                <w:i/>
                <w:sz w:val="20"/>
                <w:szCs w:val="20"/>
              </w:rPr>
              <w:t>7 250</w:t>
            </w:r>
          </w:p>
        </w:tc>
        <w:tc>
          <w:tcPr>
            <w:tcW w:w="1247" w:type="dxa"/>
            <w:tcBorders>
              <w:top w:val="nil"/>
              <w:left w:val="single" w:sz="4" w:space="0" w:color="auto"/>
              <w:bottom w:val="single" w:sz="4" w:space="0" w:color="auto"/>
              <w:right w:val="single" w:sz="4" w:space="0" w:color="auto"/>
            </w:tcBorders>
          </w:tcPr>
          <w:p w14:paraId="3E5DAC6B" w14:textId="77777777" w:rsidR="007847DF" w:rsidRPr="00BB5DBB" w:rsidRDefault="007847DF" w:rsidP="00F915F4">
            <w:pPr>
              <w:jc w:val="right"/>
              <w:rPr>
                <w:sz w:val="20"/>
                <w:szCs w:val="20"/>
              </w:rPr>
            </w:pPr>
            <w:r w:rsidRPr="00BB5DBB">
              <w:rPr>
                <w:sz w:val="20"/>
                <w:szCs w:val="20"/>
              </w:rPr>
              <w:t>7 250</w:t>
            </w:r>
          </w:p>
          <w:p w14:paraId="2AAC5472" w14:textId="77777777" w:rsidR="007847DF" w:rsidRPr="00E020F2" w:rsidRDefault="007847DF" w:rsidP="00F915F4">
            <w:pPr>
              <w:jc w:val="right"/>
              <w:rPr>
                <w:i/>
                <w:sz w:val="20"/>
                <w:szCs w:val="20"/>
              </w:rPr>
            </w:pPr>
            <w:r w:rsidRPr="00E020F2">
              <w:rPr>
                <w:i/>
                <w:sz w:val="20"/>
                <w:szCs w:val="20"/>
              </w:rPr>
              <w:t>7 250</w:t>
            </w:r>
          </w:p>
        </w:tc>
        <w:tc>
          <w:tcPr>
            <w:tcW w:w="1247" w:type="dxa"/>
            <w:tcBorders>
              <w:top w:val="nil"/>
              <w:left w:val="single" w:sz="4" w:space="0" w:color="auto"/>
              <w:bottom w:val="single" w:sz="4" w:space="0" w:color="auto"/>
              <w:right w:val="single" w:sz="4" w:space="0" w:color="auto"/>
            </w:tcBorders>
          </w:tcPr>
          <w:p w14:paraId="30306F82" w14:textId="77777777" w:rsidR="007847DF" w:rsidRPr="00BB5DBB" w:rsidRDefault="007847DF" w:rsidP="00F915F4">
            <w:pPr>
              <w:jc w:val="right"/>
              <w:rPr>
                <w:sz w:val="20"/>
                <w:szCs w:val="20"/>
              </w:rPr>
            </w:pPr>
            <w:r w:rsidRPr="00BB5DBB">
              <w:rPr>
                <w:sz w:val="20"/>
                <w:szCs w:val="20"/>
              </w:rPr>
              <w:t>7 250</w:t>
            </w:r>
          </w:p>
          <w:p w14:paraId="4D329CC0" w14:textId="77777777" w:rsidR="007847DF" w:rsidRPr="00E020F2" w:rsidRDefault="007847DF" w:rsidP="00F915F4">
            <w:pPr>
              <w:jc w:val="right"/>
              <w:rPr>
                <w:i/>
                <w:sz w:val="20"/>
                <w:szCs w:val="20"/>
              </w:rPr>
            </w:pPr>
            <w:r w:rsidRPr="00E020F2">
              <w:rPr>
                <w:i/>
                <w:sz w:val="20"/>
                <w:szCs w:val="20"/>
              </w:rPr>
              <w:t>7 250</w:t>
            </w:r>
          </w:p>
        </w:tc>
        <w:tc>
          <w:tcPr>
            <w:tcW w:w="907" w:type="dxa"/>
            <w:tcBorders>
              <w:top w:val="nil"/>
              <w:left w:val="single" w:sz="4" w:space="0" w:color="auto"/>
              <w:bottom w:val="single" w:sz="4" w:space="0" w:color="auto"/>
              <w:right w:val="single" w:sz="4" w:space="0" w:color="auto"/>
            </w:tcBorders>
          </w:tcPr>
          <w:p w14:paraId="29B45961" w14:textId="77777777" w:rsidR="007847DF" w:rsidRPr="00BB5DBB" w:rsidRDefault="007847DF" w:rsidP="00F915F4">
            <w:pPr>
              <w:jc w:val="right"/>
              <w:rPr>
                <w:sz w:val="20"/>
                <w:szCs w:val="20"/>
              </w:rPr>
            </w:pPr>
            <w:r w:rsidRPr="00BB5DBB">
              <w:rPr>
                <w:sz w:val="20"/>
                <w:szCs w:val="20"/>
              </w:rPr>
              <w:t>96,04</w:t>
            </w:r>
          </w:p>
          <w:p w14:paraId="06D599BC" w14:textId="77777777" w:rsidR="007847DF" w:rsidRPr="00E020F2" w:rsidRDefault="007847DF" w:rsidP="00F915F4">
            <w:pPr>
              <w:jc w:val="right"/>
              <w:rPr>
                <w:i/>
                <w:sz w:val="20"/>
                <w:szCs w:val="20"/>
              </w:rPr>
            </w:pPr>
            <w:r w:rsidRPr="00E020F2">
              <w:rPr>
                <w:i/>
                <w:sz w:val="20"/>
                <w:szCs w:val="20"/>
              </w:rPr>
              <w:t>96,04</w:t>
            </w:r>
          </w:p>
        </w:tc>
      </w:tr>
    </w:tbl>
    <w:p w14:paraId="420F52DC" w14:textId="77777777" w:rsidR="007847DF" w:rsidRPr="00BB5DBB" w:rsidRDefault="007847DF" w:rsidP="00155668">
      <w:pPr>
        <w:pStyle w:val="Nadpis6"/>
      </w:pPr>
      <w:r w:rsidRPr="00BB5DBB">
        <w:lastRenderedPageBreak/>
        <w:t>Investiční transfery veřejným výzkumným institucím</w:t>
      </w:r>
    </w:p>
    <w:p w14:paraId="60EA91DE" w14:textId="77777777" w:rsidR="007847DF" w:rsidRPr="00BB5DBB" w:rsidRDefault="007847DF" w:rsidP="00155668">
      <w:pPr>
        <w:pStyle w:val="KOMtext"/>
      </w:pPr>
      <w:r w:rsidRPr="00BB5DBB">
        <w:t>Investiční část institucionální podpory byla pro ro</w:t>
      </w:r>
      <w:r w:rsidR="00155668">
        <w:t xml:space="preserve">k 2019 rozpočtována ve výši </w:t>
      </w:r>
      <w:r w:rsidRPr="00BB5DBB">
        <w:t xml:space="preserve">7 250 tis. Kč.  V průběhu roku 2019 nebyl rozpočet upravován. </w:t>
      </w:r>
    </w:p>
    <w:p w14:paraId="21EAEA96" w14:textId="77777777" w:rsidR="007847DF" w:rsidRPr="00BB5DBB" w:rsidRDefault="007847DF" w:rsidP="00A42AE8">
      <w:pPr>
        <w:pStyle w:val="KOMtext"/>
      </w:pPr>
      <w:r w:rsidRPr="00BB5DBB">
        <w:t xml:space="preserve">Finanční prostředky byly čerpány ve výši 7 250 tis. Kč, tj. 100,00 % upraveného (schváleného) rozpočtu. </w:t>
      </w:r>
    </w:p>
    <w:p w14:paraId="4C363669" w14:textId="77777777" w:rsidR="007847DF" w:rsidRPr="00C70EB9" w:rsidRDefault="007847DF" w:rsidP="00A42AE8">
      <w:pPr>
        <w:pStyle w:val="KOMtext"/>
      </w:pPr>
      <w:r w:rsidRPr="00BB5DBB">
        <w:rPr>
          <w:b/>
        </w:rPr>
        <w:t>Prostředky investiční části institucionální podpory</w:t>
      </w:r>
      <w:r w:rsidRPr="00BB5DBB">
        <w:t xml:space="preserve"> čerpala veřejná výzkumná instituce rezortu dopravy Centrum dopravního výzkumu na pořízení majetku. </w:t>
      </w:r>
      <w:r w:rsidRPr="00C70EB9">
        <w:t xml:space="preserve">Jednalo se o nákup                       např. kompaktního přístroje systému pro měření kvality ovzduší, umožňující častou a snadnou změnu místa měření, inspekčního dronu, georadaru, užitkových automobilů, ultraodstředivého mlýna, serverů atd. </w:t>
      </w:r>
    </w:p>
    <w:p w14:paraId="56D243A4" w14:textId="77777777" w:rsidR="007847DF" w:rsidRPr="00BB5DBB" w:rsidRDefault="007847DF" w:rsidP="00A42AE8">
      <w:pPr>
        <w:pStyle w:val="KOMtext"/>
      </w:pPr>
      <w:r w:rsidRPr="00A42AE8">
        <w:rPr>
          <w:u w:val="single"/>
        </w:rPr>
        <w:t>V následující tabulce je provedeno srovnání investičních transferů veřejným výzkumným institucím ve vývojové řadě 2015 – 2019</w:t>
      </w:r>
      <w:r w:rsidRPr="00BB5DBB">
        <w:t>:</w:t>
      </w:r>
    </w:p>
    <w:p w14:paraId="5B79E130" w14:textId="77777777" w:rsidR="007847DF" w:rsidRPr="00BB5DBB" w:rsidRDefault="007847DF" w:rsidP="00DB2320">
      <w:pPr>
        <w:keepNext/>
        <w:ind w:left="357" w:right="1"/>
        <w:jc w:val="right"/>
        <w:rPr>
          <w:szCs w:val="20"/>
        </w:rPr>
      </w:pPr>
      <w:r w:rsidRPr="004B11AC">
        <w:rPr>
          <w:color w:val="FF0000"/>
          <w:szCs w:val="20"/>
        </w:rPr>
        <w:tab/>
      </w:r>
      <w:r w:rsidRPr="004B11AC">
        <w:rPr>
          <w:color w:val="FF0000"/>
          <w:szCs w:val="20"/>
        </w:rPr>
        <w:tab/>
      </w:r>
      <w:r w:rsidRPr="004B11AC">
        <w:rPr>
          <w:color w:val="FF0000"/>
          <w:szCs w:val="20"/>
        </w:rPr>
        <w:tab/>
      </w:r>
      <w:r w:rsidRPr="004B11AC">
        <w:rPr>
          <w:color w:val="FF0000"/>
          <w:szCs w:val="20"/>
        </w:rPr>
        <w:tab/>
      </w:r>
      <w:r w:rsidRPr="004B11AC">
        <w:rPr>
          <w:color w:val="FF0000"/>
          <w:szCs w:val="20"/>
        </w:rPr>
        <w:tab/>
      </w:r>
      <w:r w:rsidRPr="004B11AC">
        <w:rPr>
          <w:color w:val="FF0000"/>
          <w:szCs w:val="20"/>
        </w:rPr>
        <w:tab/>
      </w:r>
      <w:r w:rsidRPr="004B11AC">
        <w:rPr>
          <w:color w:val="FF0000"/>
          <w:szCs w:val="20"/>
        </w:rPr>
        <w:tab/>
      </w:r>
      <w:r w:rsidRPr="004B11AC">
        <w:rPr>
          <w:color w:val="FF0000"/>
          <w:szCs w:val="20"/>
        </w:rPr>
        <w:tab/>
      </w:r>
      <w:r w:rsidRPr="004B11AC">
        <w:rPr>
          <w:color w:val="FF0000"/>
          <w:szCs w:val="20"/>
        </w:rPr>
        <w:tab/>
      </w:r>
      <w:r w:rsidRPr="004B11AC">
        <w:rPr>
          <w:color w:val="FF0000"/>
          <w:szCs w:val="20"/>
        </w:rPr>
        <w:tab/>
        <w:t xml:space="preserve">           </w:t>
      </w:r>
      <w:r w:rsidRPr="004B11AC">
        <w:rPr>
          <w:color w:val="FF0000"/>
          <w:szCs w:val="20"/>
        </w:rPr>
        <w:tab/>
      </w:r>
      <w:r w:rsidRPr="00BB5DBB">
        <w:rPr>
          <w:szCs w:val="20"/>
        </w:rPr>
        <w:t xml:space="preserve">v </w:t>
      </w:r>
      <w:r w:rsidRPr="00DB2320">
        <w:t>tis</w:t>
      </w:r>
      <w:r w:rsidRPr="00BB5DBB">
        <w:rPr>
          <w:szCs w:val="20"/>
        </w:rPr>
        <w:t>. Kč</w:t>
      </w:r>
    </w:p>
    <w:tbl>
      <w:tblPr>
        <w:tblW w:w="92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40"/>
        <w:gridCol w:w="1196"/>
        <w:gridCol w:w="1197"/>
        <w:gridCol w:w="1197"/>
        <w:gridCol w:w="1197"/>
        <w:gridCol w:w="1197"/>
      </w:tblGrid>
      <w:tr w:rsidR="007847DF" w:rsidRPr="00BB5DBB" w14:paraId="5C344D78" w14:textId="77777777" w:rsidTr="00A42AE8">
        <w:trPr>
          <w:tblHeader/>
        </w:trPr>
        <w:tc>
          <w:tcPr>
            <w:tcW w:w="3240" w:type="dxa"/>
          </w:tcPr>
          <w:p w14:paraId="6DC0DCE1" w14:textId="77777777" w:rsidR="007847DF" w:rsidRPr="00BB5DBB" w:rsidRDefault="007847DF" w:rsidP="00F915F4">
            <w:pPr>
              <w:jc w:val="center"/>
              <w:rPr>
                <w:sz w:val="22"/>
                <w:szCs w:val="22"/>
              </w:rPr>
            </w:pPr>
          </w:p>
          <w:p w14:paraId="1AE699E7" w14:textId="77777777" w:rsidR="007847DF" w:rsidRPr="00BB5DBB" w:rsidRDefault="007847DF" w:rsidP="00F915F4">
            <w:pPr>
              <w:jc w:val="center"/>
              <w:rPr>
                <w:sz w:val="22"/>
                <w:szCs w:val="22"/>
              </w:rPr>
            </w:pPr>
            <w:r w:rsidRPr="00BB5DBB">
              <w:rPr>
                <w:sz w:val="22"/>
                <w:szCs w:val="22"/>
              </w:rPr>
              <w:t>Ukazatel</w:t>
            </w:r>
          </w:p>
        </w:tc>
        <w:tc>
          <w:tcPr>
            <w:tcW w:w="1196" w:type="dxa"/>
            <w:vAlign w:val="center"/>
          </w:tcPr>
          <w:p w14:paraId="1BAAF7A1" w14:textId="77777777" w:rsidR="007847DF" w:rsidRPr="00BB5DBB" w:rsidRDefault="007847DF" w:rsidP="00F915F4">
            <w:pPr>
              <w:jc w:val="center"/>
              <w:rPr>
                <w:sz w:val="22"/>
                <w:szCs w:val="22"/>
              </w:rPr>
            </w:pPr>
            <w:r w:rsidRPr="00BB5DBB">
              <w:rPr>
                <w:sz w:val="22"/>
                <w:szCs w:val="22"/>
              </w:rPr>
              <w:t>Skutečnost</w:t>
            </w:r>
          </w:p>
          <w:p w14:paraId="08EAA49F" w14:textId="77777777" w:rsidR="007847DF" w:rsidRPr="00BB5DBB" w:rsidRDefault="007847DF" w:rsidP="00F915F4">
            <w:pPr>
              <w:jc w:val="center"/>
              <w:rPr>
                <w:sz w:val="22"/>
                <w:szCs w:val="22"/>
              </w:rPr>
            </w:pPr>
            <w:r w:rsidRPr="00BB5DBB">
              <w:rPr>
                <w:sz w:val="22"/>
                <w:szCs w:val="22"/>
              </w:rPr>
              <w:t xml:space="preserve">2015 </w:t>
            </w:r>
          </w:p>
        </w:tc>
        <w:tc>
          <w:tcPr>
            <w:tcW w:w="1197" w:type="dxa"/>
            <w:vAlign w:val="center"/>
          </w:tcPr>
          <w:p w14:paraId="2CBA2607" w14:textId="77777777" w:rsidR="007847DF" w:rsidRPr="00BB5DBB" w:rsidRDefault="007847DF" w:rsidP="00F915F4">
            <w:pPr>
              <w:jc w:val="center"/>
              <w:rPr>
                <w:sz w:val="22"/>
                <w:szCs w:val="22"/>
              </w:rPr>
            </w:pPr>
            <w:r w:rsidRPr="00BB5DBB">
              <w:rPr>
                <w:sz w:val="22"/>
                <w:szCs w:val="22"/>
              </w:rPr>
              <w:t>Skutečnost</w:t>
            </w:r>
          </w:p>
          <w:p w14:paraId="7C51B235" w14:textId="77777777" w:rsidR="007847DF" w:rsidRPr="00BB5DBB" w:rsidRDefault="007847DF" w:rsidP="00F915F4">
            <w:pPr>
              <w:jc w:val="center"/>
              <w:rPr>
                <w:sz w:val="22"/>
                <w:szCs w:val="22"/>
              </w:rPr>
            </w:pPr>
            <w:r w:rsidRPr="00BB5DBB">
              <w:rPr>
                <w:sz w:val="22"/>
                <w:szCs w:val="22"/>
              </w:rPr>
              <w:t>2016</w:t>
            </w:r>
          </w:p>
        </w:tc>
        <w:tc>
          <w:tcPr>
            <w:tcW w:w="1197" w:type="dxa"/>
            <w:vAlign w:val="center"/>
          </w:tcPr>
          <w:p w14:paraId="652E8906" w14:textId="77777777" w:rsidR="007847DF" w:rsidRPr="00BB5DBB" w:rsidRDefault="007847DF" w:rsidP="00F915F4">
            <w:pPr>
              <w:jc w:val="center"/>
              <w:rPr>
                <w:sz w:val="22"/>
                <w:szCs w:val="22"/>
              </w:rPr>
            </w:pPr>
            <w:r w:rsidRPr="00BB5DBB">
              <w:rPr>
                <w:sz w:val="22"/>
                <w:szCs w:val="22"/>
              </w:rPr>
              <w:t>Skutečnost</w:t>
            </w:r>
          </w:p>
          <w:p w14:paraId="454B8911" w14:textId="77777777" w:rsidR="007847DF" w:rsidRPr="00BB5DBB" w:rsidRDefault="007847DF" w:rsidP="00F915F4">
            <w:pPr>
              <w:jc w:val="center"/>
              <w:rPr>
                <w:sz w:val="22"/>
                <w:szCs w:val="22"/>
              </w:rPr>
            </w:pPr>
            <w:r w:rsidRPr="00BB5DBB">
              <w:rPr>
                <w:sz w:val="22"/>
                <w:szCs w:val="22"/>
              </w:rPr>
              <w:t>2017</w:t>
            </w:r>
          </w:p>
        </w:tc>
        <w:tc>
          <w:tcPr>
            <w:tcW w:w="1197" w:type="dxa"/>
            <w:vAlign w:val="center"/>
          </w:tcPr>
          <w:p w14:paraId="7DD61B80" w14:textId="77777777" w:rsidR="007847DF" w:rsidRPr="00BB5DBB" w:rsidRDefault="007847DF" w:rsidP="00F915F4">
            <w:pPr>
              <w:jc w:val="center"/>
              <w:rPr>
                <w:sz w:val="22"/>
                <w:szCs w:val="22"/>
              </w:rPr>
            </w:pPr>
            <w:r w:rsidRPr="00BB5DBB">
              <w:rPr>
                <w:sz w:val="22"/>
                <w:szCs w:val="22"/>
              </w:rPr>
              <w:t>Skutečnost</w:t>
            </w:r>
          </w:p>
          <w:p w14:paraId="19EA04E6" w14:textId="77777777" w:rsidR="007847DF" w:rsidRPr="00BB5DBB" w:rsidRDefault="007847DF" w:rsidP="00F915F4">
            <w:pPr>
              <w:jc w:val="center"/>
              <w:rPr>
                <w:sz w:val="22"/>
                <w:szCs w:val="22"/>
              </w:rPr>
            </w:pPr>
            <w:r w:rsidRPr="00BB5DBB">
              <w:rPr>
                <w:sz w:val="22"/>
                <w:szCs w:val="22"/>
              </w:rPr>
              <w:t>2018</w:t>
            </w:r>
          </w:p>
        </w:tc>
        <w:tc>
          <w:tcPr>
            <w:tcW w:w="1197" w:type="dxa"/>
            <w:vAlign w:val="center"/>
          </w:tcPr>
          <w:p w14:paraId="41CAA7B9" w14:textId="77777777" w:rsidR="007847DF" w:rsidRPr="00BB5DBB" w:rsidRDefault="007847DF" w:rsidP="00F915F4">
            <w:pPr>
              <w:jc w:val="center"/>
              <w:rPr>
                <w:sz w:val="22"/>
                <w:szCs w:val="22"/>
              </w:rPr>
            </w:pPr>
            <w:r w:rsidRPr="00BB5DBB">
              <w:rPr>
                <w:sz w:val="22"/>
                <w:szCs w:val="22"/>
              </w:rPr>
              <w:t>Skutečnost</w:t>
            </w:r>
          </w:p>
          <w:p w14:paraId="16913894" w14:textId="77777777" w:rsidR="007847DF" w:rsidRPr="00BB5DBB" w:rsidRDefault="007847DF" w:rsidP="00F915F4">
            <w:pPr>
              <w:jc w:val="center"/>
              <w:rPr>
                <w:sz w:val="22"/>
                <w:szCs w:val="22"/>
              </w:rPr>
            </w:pPr>
            <w:r w:rsidRPr="00BB5DBB">
              <w:rPr>
                <w:sz w:val="22"/>
                <w:szCs w:val="22"/>
              </w:rPr>
              <w:t>2019</w:t>
            </w:r>
          </w:p>
        </w:tc>
      </w:tr>
      <w:tr w:rsidR="007847DF" w:rsidRPr="00BB5DBB" w14:paraId="753FA25A" w14:textId="77777777" w:rsidTr="00A42AE8">
        <w:trPr>
          <w:tblHeader/>
        </w:trPr>
        <w:tc>
          <w:tcPr>
            <w:tcW w:w="3240" w:type="dxa"/>
            <w:tcBorders>
              <w:bottom w:val="single" w:sz="4" w:space="0" w:color="auto"/>
            </w:tcBorders>
          </w:tcPr>
          <w:p w14:paraId="5D8CEE47" w14:textId="77777777" w:rsidR="007847DF" w:rsidRPr="00BB5DBB" w:rsidRDefault="007847DF" w:rsidP="00F915F4">
            <w:pPr>
              <w:jc w:val="center"/>
              <w:rPr>
                <w:sz w:val="22"/>
                <w:szCs w:val="22"/>
              </w:rPr>
            </w:pPr>
            <w:r w:rsidRPr="00BB5DBB">
              <w:rPr>
                <w:sz w:val="22"/>
                <w:szCs w:val="22"/>
              </w:rPr>
              <w:t>A</w:t>
            </w:r>
          </w:p>
        </w:tc>
        <w:tc>
          <w:tcPr>
            <w:tcW w:w="1196" w:type="dxa"/>
            <w:tcBorders>
              <w:bottom w:val="single" w:sz="4" w:space="0" w:color="auto"/>
            </w:tcBorders>
          </w:tcPr>
          <w:p w14:paraId="029DF309" w14:textId="77777777" w:rsidR="007847DF" w:rsidRPr="00BB5DBB" w:rsidRDefault="007847DF" w:rsidP="00F915F4">
            <w:pPr>
              <w:jc w:val="center"/>
              <w:rPr>
                <w:sz w:val="22"/>
                <w:szCs w:val="22"/>
              </w:rPr>
            </w:pPr>
            <w:r w:rsidRPr="00BB5DBB">
              <w:rPr>
                <w:sz w:val="22"/>
                <w:szCs w:val="22"/>
              </w:rPr>
              <w:t>1</w:t>
            </w:r>
          </w:p>
        </w:tc>
        <w:tc>
          <w:tcPr>
            <w:tcW w:w="1197" w:type="dxa"/>
            <w:tcBorders>
              <w:bottom w:val="single" w:sz="4" w:space="0" w:color="auto"/>
            </w:tcBorders>
          </w:tcPr>
          <w:p w14:paraId="00816090" w14:textId="77777777" w:rsidR="007847DF" w:rsidRPr="00BB5DBB" w:rsidRDefault="007847DF" w:rsidP="00F915F4">
            <w:pPr>
              <w:jc w:val="center"/>
              <w:rPr>
                <w:sz w:val="22"/>
                <w:szCs w:val="22"/>
              </w:rPr>
            </w:pPr>
            <w:r w:rsidRPr="00BB5DBB">
              <w:rPr>
                <w:sz w:val="22"/>
                <w:szCs w:val="22"/>
              </w:rPr>
              <w:t>2</w:t>
            </w:r>
          </w:p>
        </w:tc>
        <w:tc>
          <w:tcPr>
            <w:tcW w:w="1197" w:type="dxa"/>
            <w:tcBorders>
              <w:bottom w:val="single" w:sz="4" w:space="0" w:color="auto"/>
            </w:tcBorders>
          </w:tcPr>
          <w:p w14:paraId="7E6221F1" w14:textId="77777777" w:rsidR="007847DF" w:rsidRPr="00BB5DBB" w:rsidRDefault="007847DF" w:rsidP="00F915F4">
            <w:pPr>
              <w:jc w:val="center"/>
              <w:rPr>
                <w:sz w:val="22"/>
                <w:szCs w:val="22"/>
              </w:rPr>
            </w:pPr>
            <w:r w:rsidRPr="00BB5DBB">
              <w:rPr>
                <w:sz w:val="22"/>
                <w:szCs w:val="22"/>
              </w:rPr>
              <w:t>3</w:t>
            </w:r>
          </w:p>
        </w:tc>
        <w:tc>
          <w:tcPr>
            <w:tcW w:w="1197" w:type="dxa"/>
            <w:tcBorders>
              <w:bottom w:val="single" w:sz="4" w:space="0" w:color="auto"/>
            </w:tcBorders>
          </w:tcPr>
          <w:p w14:paraId="15BD2324" w14:textId="77777777" w:rsidR="007847DF" w:rsidRPr="00BB5DBB" w:rsidRDefault="007847DF" w:rsidP="00F915F4">
            <w:pPr>
              <w:jc w:val="center"/>
              <w:rPr>
                <w:sz w:val="22"/>
                <w:szCs w:val="22"/>
              </w:rPr>
            </w:pPr>
            <w:r w:rsidRPr="00BB5DBB">
              <w:rPr>
                <w:sz w:val="22"/>
                <w:szCs w:val="22"/>
              </w:rPr>
              <w:t>4</w:t>
            </w:r>
          </w:p>
        </w:tc>
        <w:tc>
          <w:tcPr>
            <w:tcW w:w="1197" w:type="dxa"/>
            <w:tcBorders>
              <w:bottom w:val="single" w:sz="4" w:space="0" w:color="auto"/>
            </w:tcBorders>
          </w:tcPr>
          <w:p w14:paraId="13F9E7D5" w14:textId="77777777" w:rsidR="007847DF" w:rsidRPr="00BB5DBB" w:rsidRDefault="007847DF" w:rsidP="00F915F4">
            <w:pPr>
              <w:jc w:val="center"/>
              <w:rPr>
                <w:sz w:val="22"/>
                <w:szCs w:val="22"/>
              </w:rPr>
            </w:pPr>
            <w:r w:rsidRPr="00BB5DBB">
              <w:rPr>
                <w:sz w:val="22"/>
                <w:szCs w:val="22"/>
              </w:rPr>
              <w:t>5</w:t>
            </w:r>
          </w:p>
        </w:tc>
      </w:tr>
      <w:tr w:rsidR="007847DF" w:rsidRPr="00BB5DBB" w14:paraId="3D9D4485" w14:textId="77777777" w:rsidTr="00A42AE8">
        <w:trPr>
          <w:trHeight w:val="298"/>
          <w:tblHeader/>
        </w:trPr>
        <w:tc>
          <w:tcPr>
            <w:tcW w:w="3240" w:type="dxa"/>
            <w:tcBorders>
              <w:top w:val="single" w:sz="4" w:space="0" w:color="auto"/>
              <w:left w:val="single" w:sz="4" w:space="0" w:color="auto"/>
              <w:bottom w:val="nil"/>
              <w:right w:val="single" w:sz="4" w:space="0" w:color="auto"/>
            </w:tcBorders>
          </w:tcPr>
          <w:p w14:paraId="25445DF1" w14:textId="77777777" w:rsidR="007847DF" w:rsidRPr="00BB5DBB" w:rsidRDefault="007847DF" w:rsidP="00F915F4">
            <w:pPr>
              <w:tabs>
                <w:tab w:val="left" w:pos="0"/>
                <w:tab w:val="left" w:pos="110"/>
              </w:tabs>
              <w:rPr>
                <w:sz w:val="20"/>
                <w:szCs w:val="20"/>
              </w:rPr>
            </w:pPr>
            <w:r w:rsidRPr="00BB5DBB">
              <w:rPr>
                <w:b/>
                <w:sz w:val="20"/>
                <w:szCs w:val="20"/>
              </w:rPr>
              <w:t>Ost. příspěvkové a pod. organizace</w:t>
            </w:r>
          </w:p>
        </w:tc>
        <w:tc>
          <w:tcPr>
            <w:tcW w:w="1196" w:type="dxa"/>
            <w:tcBorders>
              <w:top w:val="single" w:sz="4" w:space="0" w:color="auto"/>
              <w:left w:val="single" w:sz="4" w:space="0" w:color="auto"/>
              <w:bottom w:val="nil"/>
              <w:right w:val="single" w:sz="4" w:space="0" w:color="auto"/>
            </w:tcBorders>
          </w:tcPr>
          <w:p w14:paraId="4AD4BB25" w14:textId="77777777" w:rsidR="007847DF" w:rsidRPr="00BB5DBB" w:rsidRDefault="007847DF" w:rsidP="00F915F4">
            <w:pPr>
              <w:jc w:val="right"/>
              <w:rPr>
                <w:b/>
                <w:bCs/>
                <w:sz w:val="20"/>
                <w:szCs w:val="20"/>
              </w:rPr>
            </w:pPr>
            <w:r w:rsidRPr="00BB5DBB">
              <w:rPr>
                <w:b/>
                <w:bCs/>
                <w:sz w:val="20"/>
                <w:szCs w:val="20"/>
              </w:rPr>
              <w:t>0</w:t>
            </w:r>
          </w:p>
        </w:tc>
        <w:tc>
          <w:tcPr>
            <w:tcW w:w="1197" w:type="dxa"/>
            <w:tcBorders>
              <w:top w:val="single" w:sz="4" w:space="0" w:color="auto"/>
              <w:left w:val="single" w:sz="4" w:space="0" w:color="auto"/>
              <w:bottom w:val="nil"/>
              <w:right w:val="single" w:sz="4" w:space="0" w:color="auto"/>
            </w:tcBorders>
          </w:tcPr>
          <w:p w14:paraId="5E1C570D" w14:textId="77777777" w:rsidR="007847DF" w:rsidRPr="00BB5DBB" w:rsidRDefault="007847DF" w:rsidP="00F915F4">
            <w:pPr>
              <w:jc w:val="right"/>
              <w:rPr>
                <w:b/>
                <w:bCs/>
                <w:sz w:val="20"/>
                <w:szCs w:val="20"/>
              </w:rPr>
            </w:pPr>
            <w:r w:rsidRPr="00BB5DBB">
              <w:rPr>
                <w:b/>
                <w:bCs/>
                <w:sz w:val="20"/>
                <w:szCs w:val="20"/>
              </w:rPr>
              <w:t>0</w:t>
            </w:r>
          </w:p>
        </w:tc>
        <w:tc>
          <w:tcPr>
            <w:tcW w:w="1197" w:type="dxa"/>
            <w:tcBorders>
              <w:top w:val="single" w:sz="4" w:space="0" w:color="auto"/>
              <w:left w:val="single" w:sz="4" w:space="0" w:color="auto"/>
              <w:bottom w:val="nil"/>
              <w:right w:val="single" w:sz="4" w:space="0" w:color="auto"/>
            </w:tcBorders>
          </w:tcPr>
          <w:p w14:paraId="00447B0C" w14:textId="77777777" w:rsidR="007847DF" w:rsidRPr="00BB5DBB" w:rsidRDefault="007847DF" w:rsidP="00F915F4">
            <w:pPr>
              <w:jc w:val="right"/>
              <w:rPr>
                <w:b/>
                <w:bCs/>
                <w:sz w:val="20"/>
                <w:szCs w:val="20"/>
              </w:rPr>
            </w:pPr>
            <w:r w:rsidRPr="00BB5DBB">
              <w:rPr>
                <w:b/>
                <w:bCs/>
                <w:sz w:val="20"/>
                <w:szCs w:val="20"/>
              </w:rPr>
              <w:t>7 414</w:t>
            </w:r>
          </w:p>
        </w:tc>
        <w:tc>
          <w:tcPr>
            <w:tcW w:w="1197" w:type="dxa"/>
            <w:tcBorders>
              <w:top w:val="single" w:sz="4" w:space="0" w:color="auto"/>
              <w:left w:val="single" w:sz="4" w:space="0" w:color="auto"/>
              <w:bottom w:val="nil"/>
              <w:right w:val="single" w:sz="4" w:space="0" w:color="auto"/>
            </w:tcBorders>
          </w:tcPr>
          <w:p w14:paraId="5E312F5C" w14:textId="77777777" w:rsidR="007847DF" w:rsidRPr="00BB5DBB" w:rsidRDefault="007847DF" w:rsidP="00F915F4">
            <w:pPr>
              <w:jc w:val="right"/>
              <w:rPr>
                <w:b/>
                <w:bCs/>
                <w:sz w:val="20"/>
                <w:szCs w:val="20"/>
              </w:rPr>
            </w:pPr>
            <w:r w:rsidRPr="00BB5DBB">
              <w:rPr>
                <w:b/>
                <w:bCs/>
                <w:sz w:val="20"/>
                <w:szCs w:val="20"/>
              </w:rPr>
              <w:t>7 549</w:t>
            </w:r>
          </w:p>
        </w:tc>
        <w:tc>
          <w:tcPr>
            <w:tcW w:w="1197" w:type="dxa"/>
            <w:tcBorders>
              <w:top w:val="single" w:sz="4" w:space="0" w:color="auto"/>
              <w:left w:val="single" w:sz="4" w:space="0" w:color="auto"/>
              <w:bottom w:val="nil"/>
              <w:right w:val="single" w:sz="4" w:space="0" w:color="auto"/>
            </w:tcBorders>
          </w:tcPr>
          <w:p w14:paraId="1FF2B883" w14:textId="77777777" w:rsidR="007847DF" w:rsidRPr="00BB5DBB" w:rsidRDefault="007847DF" w:rsidP="00F915F4">
            <w:pPr>
              <w:jc w:val="right"/>
              <w:rPr>
                <w:b/>
                <w:bCs/>
                <w:sz w:val="20"/>
                <w:szCs w:val="20"/>
              </w:rPr>
            </w:pPr>
            <w:r w:rsidRPr="00BB5DBB">
              <w:rPr>
                <w:b/>
                <w:bCs/>
                <w:sz w:val="20"/>
                <w:szCs w:val="20"/>
              </w:rPr>
              <w:t>7 250</w:t>
            </w:r>
          </w:p>
        </w:tc>
      </w:tr>
      <w:tr w:rsidR="007847DF" w:rsidRPr="00BB5DBB" w14:paraId="70678BBB" w14:textId="77777777" w:rsidTr="00A42AE8">
        <w:trPr>
          <w:tblHeader/>
        </w:trPr>
        <w:tc>
          <w:tcPr>
            <w:tcW w:w="3240" w:type="dxa"/>
            <w:tcBorders>
              <w:top w:val="nil"/>
              <w:left w:val="single" w:sz="4" w:space="0" w:color="auto"/>
              <w:bottom w:val="nil"/>
              <w:right w:val="single" w:sz="4" w:space="0" w:color="auto"/>
            </w:tcBorders>
          </w:tcPr>
          <w:p w14:paraId="555A6E5E" w14:textId="77777777" w:rsidR="007847DF" w:rsidRPr="00BB5DBB" w:rsidRDefault="007847DF" w:rsidP="00F915F4">
            <w:pPr>
              <w:jc w:val="both"/>
              <w:rPr>
                <w:sz w:val="20"/>
                <w:szCs w:val="20"/>
              </w:rPr>
            </w:pPr>
            <w:r w:rsidRPr="00BB5DBB">
              <w:rPr>
                <w:sz w:val="20"/>
                <w:szCs w:val="20"/>
              </w:rPr>
              <w:t>v tom:</w:t>
            </w:r>
          </w:p>
        </w:tc>
        <w:tc>
          <w:tcPr>
            <w:tcW w:w="1196" w:type="dxa"/>
            <w:tcBorders>
              <w:top w:val="nil"/>
              <w:left w:val="single" w:sz="4" w:space="0" w:color="auto"/>
              <w:bottom w:val="nil"/>
              <w:right w:val="single" w:sz="4" w:space="0" w:color="auto"/>
            </w:tcBorders>
          </w:tcPr>
          <w:p w14:paraId="0948F401" w14:textId="77777777" w:rsidR="007847DF" w:rsidRPr="00BB5DBB" w:rsidRDefault="007847DF" w:rsidP="00F915F4">
            <w:pPr>
              <w:jc w:val="right"/>
              <w:rPr>
                <w:sz w:val="20"/>
                <w:szCs w:val="20"/>
              </w:rPr>
            </w:pPr>
          </w:p>
        </w:tc>
        <w:tc>
          <w:tcPr>
            <w:tcW w:w="1197" w:type="dxa"/>
            <w:tcBorders>
              <w:top w:val="nil"/>
              <w:left w:val="single" w:sz="4" w:space="0" w:color="auto"/>
              <w:bottom w:val="nil"/>
              <w:right w:val="single" w:sz="4" w:space="0" w:color="auto"/>
            </w:tcBorders>
          </w:tcPr>
          <w:p w14:paraId="4EC57466" w14:textId="77777777" w:rsidR="007847DF" w:rsidRPr="00BB5DBB" w:rsidRDefault="007847DF" w:rsidP="00F915F4">
            <w:pPr>
              <w:jc w:val="right"/>
              <w:rPr>
                <w:sz w:val="20"/>
                <w:szCs w:val="20"/>
              </w:rPr>
            </w:pPr>
          </w:p>
        </w:tc>
        <w:tc>
          <w:tcPr>
            <w:tcW w:w="1197" w:type="dxa"/>
            <w:tcBorders>
              <w:top w:val="nil"/>
              <w:left w:val="single" w:sz="4" w:space="0" w:color="auto"/>
              <w:bottom w:val="nil"/>
              <w:right w:val="single" w:sz="4" w:space="0" w:color="auto"/>
            </w:tcBorders>
          </w:tcPr>
          <w:p w14:paraId="080F4313" w14:textId="77777777" w:rsidR="007847DF" w:rsidRPr="00BB5DBB" w:rsidRDefault="007847DF" w:rsidP="00F915F4">
            <w:pPr>
              <w:jc w:val="right"/>
              <w:rPr>
                <w:sz w:val="20"/>
                <w:szCs w:val="20"/>
              </w:rPr>
            </w:pPr>
          </w:p>
        </w:tc>
        <w:tc>
          <w:tcPr>
            <w:tcW w:w="1197" w:type="dxa"/>
            <w:tcBorders>
              <w:top w:val="nil"/>
              <w:left w:val="single" w:sz="4" w:space="0" w:color="auto"/>
              <w:bottom w:val="nil"/>
              <w:right w:val="single" w:sz="4" w:space="0" w:color="auto"/>
            </w:tcBorders>
          </w:tcPr>
          <w:p w14:paraId="4C8CF775" w14:textId="77777777" w:rsidR="007847DF" w:rsidRPr="00BB5DBB" w:rsidRDefault="007847DF" w:rsidP="00F915F4">
            <w:pPr>
              <w:jc w:val="right"/>
              <w:rPr>
                <w:sz w:val="20"/>
                <w:szCs w:val="20"/>
              </w:rPr>
            </w:pPr>
          </w:p>
        </w:tc>
        <w:tc>
          <w:tcPr>
            <w:tcW w:w="1197" w:type="dxa"/>
            <w:tcBorders>
              <w:top w:val="nil"/>
              <w:left w:val="single" w:sz="4" w:space="0" w:color="auto"/>
              <w:bottom w:val="nil"/>
              <w:right w:val="single" w:sz="4" w:space="0" w:color="auto"/>
            </w:tcBorders>
          </w:tcPr>
          <w:p w14:paraId="56FE2F40" w14:textId="77777777" w:rsidR="007847DF" w:rsidRPr="00BB5DBB" w:rsidRDefault="007847DF" w:rsidP="00F915F4">
            <w:pPr>
              <w:jc w:val="right"/>
              <w:rPr>
                <w:sz w:val="20"/>
                <w:szCs w:val="20"/>
              </w:rPr>
            </w:pPr>
          </w:p>
        </w:tc>
      </w:tr>
      <w:tr w:rsidR="007847DF" w:rsidRPr="00BB5DBB" w14:paraId="2D88A2DB" w14:textId="77777777" w:rsidTr="00A42AE8">
        <w:trPr>
          <w:tblHeader/>
        </w:trPr>
        <w:tc>
          <w:tcPr>
            <w:tcW w:w="3240" w:type="dxa"/>
            <w:tcBorders>
              <w:top w:val="nil"/>
              <w:left w:val="single" w:sz="4" w:space="0" w:color="auto"/>
              <w:bottom w:val="single" w:sz="4" w:space="0" w:color="auto"/>
              <w:right w:val="single" w:sz="4" w:space="0" w:color="auto"/>
            </w:tcBorders>
          </w:tcPr>
          <w:p w14:paraId="4F686AD6" w14:textId="77777777" w:rsidR="007847DF" w:rsidRPr="00BB5DBB" w:rsidRDefault="007847DF" w:rsidP="00F915F4">
            <w:pPr>
              <w:jc w:val="both"/>
              <w:rPr>
                <w:i/>
                <w:sz w:val="20"/>
                <w:szCs w:val="20"/>
              </w:rPr>
            </w:pPr>
            <w:r w:rsidRPr="00BB5DBB">
              <w:rPr>
                <w:i/>
                <w:sz w:val="20"/>
                <w:szCs w:val="20"/>
              </w:rPr>
              <w:t xml:space="preserve">Veřejné výzkumné instituce </w:t>
            </w:r>
          </w:p>
        </w:tc>
        <w:tc>
          <w:tcPr>
            <w:tcW w:w="1196" w:type="dxa"/>
            <w:tcBorders>
              <w:top w:val="nil"/>
              <w:left w:val="single" w:sz="4" w:space="0" w:color="auto"/>
              <w:bottom w:val="single" w:sz="4" w:space="0" w:color="auto"/>
              <w:right w:val="single" w:sz="4" w:space="0" w:color="auto"/>
            </w:tcBorders>
          </w:tcPr>
          <w:p w14:paraId="73D76EC7" w14:textId="77777777" w:rsidR="007847DF" w:rsidRPr="00BB5DBB" w:rsidRDefault="007847DF" w:rsidP="00F915F4">
            <w:pPr>
              <w:jc w:val="right"/>
              <w:rPr>
                <w:sz w:val="20"/>
                <w:szCs w:val="20"/>
              </w:rPr>
            </w:pPr>
            <w:r w:rsidRPr="00BB5DBB">
              <w:rPr>
                <w:sz w:val="20"/>
                <w:szCs w:val="20"/>
              </w:rPr>
              <w:t>0</w:t>
            </w:r>
          </w:p>
        </w:tc>
        <w:tc>
          <w:tcPr>
            <w:tcW w:w="1197" w:type="dxa"/>
            <w:tcBorders>
              <w:top w:val="nil"/>
              <w:left w:val="single" w:sz="4" w:space="0" w:color="auto"/>
              <w:bottom w:val="single" w:sz="4" w:space="0" w:color="auto"/>
              <w:right w:val="single" w:sz="4" w:space="0" w:color="auto"/>
            </w:tcBorders>
          </w:tcPr>
          <w:p w14:paraId="2AC1BCBC" w14:textId="77777777" w:rsidR="007847DF" w:rsidRPr="00BB5DBB" w:rsidRDefault="007847DF" w:rsidP="00F915F4">
            <w:pPr>
              <w:jc w:val="right"/>
              <w:rPr>
                <w:sz w:val="20"/>
                <w:szCs w:val="20"/>
              </w:rPr>
            </w:pPr>
            <w:r w:rsidRPr="00BB5DBB">
              <w:rPr>
                <w:sz w:val="20"/>
                <w:szCs w:val="20"/>
              </w:rPr>
              <w:t>0</w:t>
            </w:r>
          </w:p>
        </w:tc>
        <w:tc>
          <w:tcPr>
            <w:tcW w:w="1197" w:type="dxa"/>
            <w:tcBorders>
              <w:top w:val="nil"/>
              <w:left w:val="single" w:sz="4" w:space="0" w:color="auto"/>
              <w:bottom w:val="single" w:sz="4" w:space="0" w:color="auto"/>
              <w:right w:val="single" w:sz="4" w:space="0" w:color="auto"/>
            </w:tcBorders>
          </w:tcPr>
          <w:p w14:paraId="65723643" w14:textId="77777777" w:rsidR="007847DF" w:rsidRPr="00BB5DBB" w:rsidRDefault="007847DF" w:rsidP="00F915F4">
            <w:pPr>
              <w:jc w:val="right"/>
              <w:rPr>
                <w:sz w:val="20"/>
                <w:szCs w:val="20"/>
              </w:rPr>
            </w:pPr>
            <w:r w:rsidRPr="00BB5DBB">
              <w:rPr>
                <w:sz w:val="20"/>
                <w:szCs w:val="20"/>
              </w:rPr>
              <w:t>7 414</w:t>
            </w:r>
          </w:p>
        </w:tc>
        <w:tc>
          <w:tcPr>
            <w:tcW w:w="1197" w:type="dxa"/>
            <w:tcBorders>
              <w:top w:val="nil"/>
              <w:left w:val="single" w:sz="4" w:space="0" w:color="auto"/>
              <w:bottom w:val="single" w:sz="4" w:space="0" w:color="auto"/>
              <w:right w:val="single" w:sz="4" w:space="0" w:color="auto"/>
            </w:tcBorders>
          </w:tcPr>
          <w:p w14:paraId="69988A7E" w14:textId="77777777" w:rsidR="007847DF" w:rsidRPr="00BB5DBB" w:rsidRDefault="007847DF" w:rsidP="00F915F4">
            <w:pPr>
              <w:jc w:val="right"/>
              <w:rPr>
                <w:sz w:val="20"/>
                <w:szCs w:val="20"/>
              </w:rPr>
            </w:pPr>
            <w:r w:rsidRPr="00BB5DBB">
              <w:rPr>
                <w:sz w:val="20"/>
                <w:szCs w:val="20"/>
              </w:rPr>
              <w:t>7 549</w:t>
            </w:r>
          </w:p>
        </w:tc>
        <w:tc>
          <w:tcPr>
            <w:tcW w:w="1197" w:type="dxa"/>
            <w:tcBorders>
              <w:top w:val="nil"/>
              <w:left w:val="single" w:sz="4" w:space="0" w:color="auto"/>
              <w:bottom w:val="single" w:sz="4" w:space="0" w:color="auto"/>
              <w:right w:val="single" w:sz="4" w:space="0" w:color="auto"/>
            </w:tcBorders>
          </w:tcPr>
          <w:p w14:paraId="1C060208" w14:textId="77777777" w:rsidR="007847DF" w:rsidRPr="00BB5DBB" w:rsidRDefault="007847DF" w:rsidP="00F915F4">
            <w:pPr>
              <w:jc w:val="right"/>
              <w:rPr>
                <w:sz w:val="20"/>
                <w:szCs w:val="20"/>
              </w:rPr>
            </w:pPr>
            <w:r w:rsidRPr="00BB5DBB">
              <w:rPr>
                <w:sz w:val="20"/>
                <w:szCs w:val="20"/>
              </w:rPr>
              <w:t>7 250</w:t>
            </w:r>
          </w:p>
        </w:tc>
      </w:tr>
    </w:tbl>
    <w:p w14:paraId="6DDC7D01" w14:textId="4D8ACE88" w:rsidR="007847DF" w:rsidRPr="002B3D4A" w:rsidRDefault="007847DF" w:rsidP="00A42AE8">
      <w:pPr>
        <w:pStyle w:val="KOMtext"/>
      </w:pPr>
      <w:r w:rsidRPr="00BB5DBB">
        <w:t>V roce 2017 byly poprvé od roku 2011 čerpány investiční transfery veřejným výzkumným  institucím</w:t>
      </w:r>
      <w:r w:rsidRPr="002B3D4A">
        <w:t>. Čerpání v </w:t>
      </w:r>
      <w:r w:rsidR="001B76AC">
        <w:t>letech</w:t>
      </w:r>
      <w:r w:rsidRPr="002B3D4A">
        <w:t xml:space="preserve"> 2019 a 2018 je srovnatelné s čerpáním v roce 2017.</w:t>
      </w:r>
    </w:p>
    <w:p w14:paraId="3EB47A36" w14:textId="77777777" w:rsidR="00DE1E79" w:rsidRPr="007847DF" w:rsidRDefault="00DE1E79" w:rsidP="00A42AE8">
      <w:pPr>
        <w:pStyle w:val="Nadpis3"/>
      </w:pPr>
      <w:bookmarkStart w:id="991" w:name="_Toc34286477"/>
      <w:r w:rsidRPr="007847DF">
        <w:t>Investiční transfery veřejným rozpočtům územní úrovně</w:t>
      </w:r>
      <w:bookmarkEnd w:id="976"/>
      <w:bookmarkEnd w:id="988"/>
      <w:bookmarkEnd w:id="989"/>
      <w:bookmarkEnd w:id="990"/>
      <w:bookmarkEnd w:id="991"/>
    </w:p>
    <w:p w14:paraId="2CC1445B" w14:textId="77777777" w:rsidR="007847DF" w:rsidRPr="00BB5DBB" w:rsidRDefault="007847DF" w:rsidP="00DB2320">
      <w:pPr>
        <w:keepNext/>
        <w:ind w:left="357" w:right="1"/>
        <w:jc w:val="right"/>
        <w:rPr>
          <w:lang w:eastAsia="ar-SA"/>
        </w:rPr>
      </w:pPr>
      <w:bookmarkStart w:id="992" w:name="_Toc255297650"/>
      <w:bookmarkStart w:id="993" w:name="_Toc508879905"/>
      <w:bookmarkStart w:id="994" w:name="_Toc508880181"/>
      <w:r w:rsidRPr="00BB5DBB">
        <w:rPr>
          <w:lang w:eastAsia="ar-SA"/>
        </w:rPr>
        <w:t>v tis. Kč</w:t>
      </w:r>
    </w:p>
    <w:tbl>
      <w:tblPr>
        <w:tblW w:w="9214" w:type="dxa"/>
        <w:tblInd w:w="70" w:type="dxa"/>
        <w:tblLayout w:type="fixed"/>
        <w:tblCellMar>
          <w:left w:w="70" w:type="dxa"/>
          <w:right w:w="70" w:type="dxa"/>
        </w:tblCellMar>
        <w:tblLook w:val="0000" w:firstRow="0" w:lastRow="0" w:firstColumn="0" w:lastColumn="0" w:noHBand="0" w:noVBand="0"/>
      </w:tblPr>
      <w:tblGrid>
        <w:gridCol w:w="3828"/>
        <w:gridCol w:w="1134"/>
        <w:gridCol w:w="1134"/>
        <w:gridCol w:w="1134"/>
        <w:gridCol w:w="1134"/>
        <w:gridCol w:w="850"/>
      </w:tblGrid>
      <w:tr w:rsidR="007847DF" w:rsidRPr="00BB5DBB" w14:paraId="05ABA3DF" w14:textId="77777777" w:rsidTr="00A42AE8">
        <w:trPr>
          <w:tblHeader/>
        </w:trPr>
        <w:tc>
          <w:tcPr>
            <w:tcW w:w="3828" w:type="dxa"/>
            <w:tcBorders>
              <w:top w:val="single" w:sz="4" w:space="0" w:color="000000"/>
              <w:left w:val="single" w:sz="4" w:space="0" w:color="000000"/>
              <w:bottom w:val="single" w:sz="4" w:space="0" w:color="000000"/>
            </w:tcBorders>
          </w:tcPr>
          <w:p w14:paraId="0D682FA1" w14:textId="77777777" w:rsidR="007847DF" w:rsidRPr="00BB5DBB" w:rsidRDefault="007847DF" w:rsidP="00F915F4">
            <w:pPr>
              <w:snapToGrid w:val="0"/>
              <w:jc w:val="center"/>
              <w:rPr>
                <w:sz w:val="22"/>
                <w:lang w:eastAsia="ar-SA"/>
              </w:rPr>
            </w:pPr>
          </w:p>
          <w:p w14:paraId="70F7DB6C" w14:textId="77777777" w:rsidR="007847DF" w:rsidRPr="00BB5DBB" w:rsidRDefault="007847DF" w:rsidP="00F915F4">
            <w:pPr>
              <w:jc w:val="center"/>
              <w:rPr>
                <w:sz w:val="22"/>
                <w:lang w:eastAsia="ar-SA"/>
              </w:rPr>
            </w:pPr>
            <w:r w:rsidRPr="00BB5DBB">
              <w:rPr>
                <w:sz w:val="22"/>
                <w:lang w:eastAsia="ar-SA"/>
              </w:rPr>
              <w:t>Ukazatel</w:t>
            </w:r>
          </w:p>
        </w:tc>
        <w:tc>
          <w:tcPr>
            <w:tcW w:w="1134" w:type="dxa"/>
            <w:tcBorders>
              <w:top w:val="single" w:sz="4" w:space="0" w:color="000000"/>
              <w:left w:val="single" w:sz="4" w:space="0" w:color="000000"/>
              <w:bottom w:val="single" w:sz="4" w:space="0" w:color="000000"/>
            </w:tcBorders>
            <w:vAlign w:val="center"/>
          </w:tcPr>
          <w:p w14:paraId="6FA9B751" w14:textId="77777777" w:rsidR="007847DF" w:rsidRPr="00BB5DBB" w:rsidRDefault="007847DF" w:rsidP="00F915F4">
            <w:pPr>
              <w:snapToGrid w:val="0"/>
              <w:jc w:val="center"/>
              <w:rPr>
                <w:sz w:val="22"/>
                <w:lang w:eastAsia="ar-SA"/>
              </w:rPr>
            </w:pPr>
            <w:r w:rsidRPr="00BB5DBB">
              <w:rPr>
                <w:sz w:val="22"/>
                <w:lang w:eastAsia="ar-SA"/>
              </w:rPr>
              <w:t>Skutečnost</w:t>
            </w:r>
          </w:p>
          <w:p w14:paraId="5CEA8CA5" w14:textId="77777777" w:rsidR="007847DF" w:rsidRPr="00BB5DBB" w:rsidRDefault="007847DF" w:rsidP="00F915F4">
            <w:pPr>
              <w:jc w:val="center"/>
              <w:rPr>
                <w:sz w:val="22"/>
                <w:lang w:eastAsia="ar-SA"/>
              </w:rPr>
            </w:pPr>
            <w:r w:rsidRPr="00BB5DBB">
              <w:rPr>
                <w:sz w:val="22"/>
                <w:lang w:eastAsia="ar-SA"/>
              </w:rPr>
              <w:t>201</w:t>
            </w:r>
            <w:r>
              <w:rPr>
                <w:sz w:val="22"/>
                <w:lang w:eastAsia="ar-SA"/>
              </w:rPr>
              <w:t>8</w:t>
            </w:r>
          </w:p>
        </w:tc>
        <w:tc>
          <w:tcPr>
            <w:tcW w:w="1134" w:type="dxa"/>
            <w:tcBorders>
              <w:top w:val="single" w:sz="4" w:space="0" w:color="000000"/>
              <w:left w:val="single" w:sz="4" w:space="0" w:color="000000"/>
              <w:bottom w:val="single" w:sz="4" w:space="0" w:color="000000"/>
            </w:tcBorders>
            <w:vAlign w:val="center"/>
          </w:tcPr>
          <w:p w14:paraId="2D227746" w14:textId="77777777" w:rsidR="007847DF" w:rsidRPr="00BB5DBB" w:rsidRDefault="007847DF" w:rsidP="00F915F4">
            <w:pPr>
              <w:snapToGrid w:val="0"/>
              <w:jc w:val="center"/>
              <w:rPr>
                <w:sz w:val="22"/>
                <w:lang w:eastAsia="ar-SA"/>
              </w:rPr>
            </w:pPr>
            <w:r w:rsidRPr="00BB5DBB">
              <w:rPr>
                <w:sz w:val="22"/>
                <w:lang w:eastAsia="ar-SA"/>
              </w:rPr>
              <w:t>Schválený</w:t>
            </w:r>
          </w:p>
          <w:p w14:paraId="1E469066" w14:textId="77777777" w:rsidR="007847DF" w:rsidRPr="00BB5DBB" w:rsidRDefault="007847DF" w:rsidP="00F915F4">
            <w:pPr>
              <w:jc w:val="center"/>
              <w:rPr>
                <w:sz w:val="22"/>
                <w:lang w:eastAsia="ar-SA"/>
              </w:rPr>
            </w:pPr>
            <w:r w:rsidRPr="00BB5DBB">
              <w:rPr>
                <w:sz w:val="22"/>
                <w:lang w:eastAsia="ar-SA"/>
              </w:rPr>
              <w:t>rozpočet</w:t>
            </w:r>
          </w:p>
          <w:p w14:paraId="141E55F9" w14:textId="77777777" w:rsidR="007847DF" w:rsidRPr="00BB5DBB" w:rsidRDefault="007847DF" w:rsidP="00F915F4">
            <w:pPr>
              <w:jc w:val="center"/>
              <w:rPr>
                <w:sz w:val="22"/>
                <w:lang w:eastAsia="ar-SA"/>
              </w:rPr>
            </w:pPr>
            <w:r w:rsidRPr="00BB5DBB">
              <w:rPr>
                <w:sz w:val="22"/>
                <w:lang w:eastAsia="ar-SA"/>
              </w:rPr>
              <w:t>201</w:t>
            </w:r>
            <w:r>
              <w:rPr>
                <w:sz w:val="22"/>
                <w:lang w:eastAsia="ar-SA"/>
              </w:rPr>
              <w:t>9</w:t>
            </w:r>
          </w:p>
        </w:tc>
        <w:tc>
          <w:tcPr>
            <w:tcW w:w="1134" w:type="dxa"/>
            <w:tcBorders>
              <w:top w:val="single" w:sz="4" w:space="0" w:color="000000"/>
              <w:left w:val="single" w:sz="4" w:space="0" w:color="000000"/>
              <w:bottom w:val="single" w:sz="4" w:space="0" w:color="000000"/>
            </w:tcBorders>
            <w:vAlign w:val="center"/>
          </w:tcPr>
          <w:p w14:paraId="6AD4FEC8" w14:textId="77777777" w:rsidR="007847DF" w:rsidRPr="00BB5DBB" w:rsidRDefault="007847DF" w:rsidP="00F915F4">
            <w:pPr>
              <w:snapToGrid w:val="0"/>
              <w:jc w:val="center"/>
              <w:rPr>
                <w:sz w:val="22"/>
                <w:lang w:eastAsia="ar-SA"/>
              </w:rPr>
            </w:pPr>
            <w:r w:rsidRPr="00BB5DBB">
              <w:rPr>
                <w:sz w:val="22"/>
                <w:lang w:eastAsia="ar-SA"/>
              </w:rPr>
              <w:t>Upravený</w:t>
            </w:r>
          </w:p>
          <w:p w14:paraId="083F29E2" w14:textId="77777777" w:rsidR="007847DF" w:rsidRPr="00BB5DBB" w:rsidRDefault="007847DF" w:rsidP="00F915F4">
            <w:pPr>
              <w:jc w:val="center"/>
              <w:rPr>
                <w:sz w:val="22"/>
                <w:lang w:eastAsia="ar-SA"/>
              </w:rPr>
            </w:pPr>
            <w:r w:rsidRPr="00BB5DBB">
              <w:rPr>
                <w:sz w:val="22"/>
                <w:lang w:eastAsia="ar-SA"/>
              </w:rPr>
              <w:t>rozpočet</w:t>
            </w:r>
          </w:p>
          <w:p w14:paraId="7A3673E0" w14:textId="77777777" w:rsidR="007847DF" w:rsidRPr="00BB5DBB" w:rsidRDefault="007847DF" w:rsidP="00F915F4">
            <w:pPr>
              <w:jc w:val="center"/>
              <w:rPr>
                <w:sz w:val="22"/>
                <w:lang w:eastAsia="ar-SA"/>
              </w:rPr>
            </w:pPr>
            <w:r w:rsidRPr="00BB5DBB">
              <w:rPr>
                <w:sz w:val="22"/>
                <w:lang w:eastAsia="ar-SA"/>
              </w:rPr>
              <w:t>201</w:t>
            </w:r>
            <w:r>
              <w:rPr>
                <w:sz w:val="22"/>
                <w:lang w:eastAsia="ar-SA"/>
              </w:rPr>
              <w:t>9</w:t>
            </w:r>
          </w:p>
        </w:tc>
        <w:tc>
          <w:tcPr>
            <w:tcW w:w="1134" w:type="dxa"/>
            <w:tcBorders>
              <w:top w:val="single" w:sz="4" w:space="0" w:color="000000"/>
              <w:left w:val="single" w:sz="4" w:space="0" w:color="000000"/>
              <w:bottom w:val="single" w:sz="4" w:space="0" w:color="000000"/>
            </w:tcBorders>
            <w:vAlign w:val="center"/>
          </w:tcPr>
          <w:p w14:paraId="16086219" w14:textId="77777777" w:rsidR="007847DF" w:rsidRPr="00BB5DBB" w:rsidRDefault="007847DF" w:rsidP="00F915F4">
            <w:pPr>
              <w:snapToGrid w:val="0"/>
              <w:jc w:val="center"/>
              <w:rPr>
                <w:sz w:val="22"/>
                <w:lang w:eastAsia="ar-SA"/>
              </w:rPr>
            </w:pPr>
            <w:r w:rsidRPr="00BB5DBB">
              <w:rPr>
                <w:sz w:val="22"/>
                <w:lang w:eastAsia="ar-SA"/>
              </w:rPr>
              <w:t>Skutečnost</w:t>
            </w:r>
          </w:p>
          <w:p w14:paraId="5AA80729" w14:textId="77777777" w:rsidR="007847DF" w:rsidRPr="00BB5DBB" w:rsidRDefault="007847DF" w:rsidP="00F915F4">
            <w:pPr>
              <w:jc w:val="center"/>
              <w:rPr>
                <w:sz w:val="22"/>
                <w:lang w:eastAsia="ar-SA"/>
              </w:rPr>
            </w:pPr>
            <w:r w:rsidRPr="00BB5DBB">
              <w:rPr>
                <w:sz w:val="22"/>
                <w:lang w:eastAsia="ar-SA"/>
              </w:rPr>
              <w:t>201</w:t>
            </w:r>
            <w:r>
              <w:rPr>
                <w:sz w:val="22"/>
                <w:lang w:eastAsia="ar-SA"/>
              </w:rPr>
              <w:t>9</w:t>
            </w:r>
          </w:p>
        </w:tc>
        <w:tc>
          <w:tcPr>
            <w:tcW w:w="850" w:type="dxa"/>
            <w:tcBorders>
              <w:top w:val="single" w:sz="4" w:space="0" w:color="000000"/>
              <w:left w:val="single" w:sz="4" w:space="0" w:color="000000"/>
              <w:bottom w:val="single" w:sz="4" w:space="0" w:color="000000"/>
              <w:right w:val="single" w:sz="4" w:space="0" w:color="000000"/>
            </w:tcBorders>
            <w:vAlign w:val="center"/>
          </w:tcPr>
          <w:p w14:paraId="7B27A4EE" w14:textId="77777777" w:rsidR="007847DF" w:rsidRPr="00BB5DBB" w:rsidRDefault="007847DF" w:rsidP="00F915F4">
            <w:pPr>
              <w:snapToGrid w:val="0"/>
              <w:jc w:val="center"/>
              <w:rPr>
                <w:sz w:val="22"/>
                <w:lang w:eastAsia="ar-SA"/>
              </w:rPr>
            </w:pPr>
            <w:r w:rsidRPr="00BB5DBB">
              <w:rPr>
                <w:sz w:val="22"/>
                <w:lang w:eastAsia="ar-SA"/>
              </w:rPr>
              <w:t>Index</w:t>
            </w:r>
          </w:p>
          <w:p w14:paraId="3AEF3406" w14:textId="77777777" w:rsidR="007847DF" w:rsidRPr="00BB5DBB" w:rsidRDefault="007847DF" w:rsidP="00F915F4">
            <w:pPr>
              <w:jc w:val="center"/>
              <w:rPr>
                <w:sz w:val="22"/>
                <w:lang w:eastAsia="ar-SA"/>
              </w:rPr>
            </w:pPr>
            <w:r w:rsidRPr="00BB5DBB">
              <w:rPr>
                <w:sz w:val="22"/>
                <w:lang w:eastAsia="ar-SA"/>
              </w:rPr>
              <w:t>1</w:t>
            </w:r>
            <w:r>
              <w:rPr>
                <w:sz w:val="22"/>
                <w:lang w:eastAsia="ar-SA"/>
              </w:rPr>
              <w:t>9</w:t>
            </w:r>
            <w:r w:rsidRPr="00BB5DBB">
              <w:rPr>
                <w:sz w:val="22"/>
                <w:lang w:eastAsia="ar-SA"/>
              </w:rPr>
              <w:t>/1</w:t>
            </w:r>
            <w:r>
              <w:rPr>
                <w:sz w:val="22"/>
                <w:lang w:eastAsia="ar-SA"/>
              </w:rPr>
              <w:t>8</w:t>
            </w:r>
            <w:r w:rsidRPr="00BB5DBB">
              <w:rPr>
                <w:sz w:val="22"/>
                <w:lang w:eastAsia="ar-SA"/>
              </w:rPr>
              <w:t xml:space="preserve">        (v %)</w:t>
            </w:r>
          </w:p>
        </w:tc>
      </w:tr>
      <w:tr w:rsidR="007847DF" w:rsidRPr="00BB5DBB" w14:paraId="70493CDC" w14:textId="77777777" w:rsidTr="00A42AE8">
        <w:trPr>
          <w:tblHeader/>
        </w:trPr>
        <w:tc>
          <w:tcPr>
            <w:tcW w:w="3828" w:type="dxa"/>
            <w:tcBorders>
              <w:left w:val="single" w:sz="4" w:space="0" w:color="000000"/>
              <w:bottom w:val="single" w:sz="4" w:space="0" w:color="000000"/>
            </w:tcBorders>
          </w:tcPr>
          <w:p w14:paraId="24BA65C0" w14:textId="77777777" w:rsidR="007847DF" w:rsidRPr="00BB5DBB" w:rsidRDefault="007847DF" w:rsidP="00F915F4">
            <w:pPr>
              <w:snapToGrid w:val="0"/>
              <w:jc w:val="center"/>
              <w:rPr>
                <w:sz w:val="22"/>
                <w:lang w:eastAsia="ar-SA"/>
              </w:rPr>
            </w:pPr>
            <w:r w:rsidRPr="00BB5DBB">
              <w:rPr>
                <w:sz w:val="22"/>
                <w:lang w:eastAsia="ar-SA"/>
              </w:rPr>
              <w:t>a</w:t>
            </w:r>
          </w:p>
        </w:tc>
        <w:tc>
          <w:tcPr>
            <w:tcW w:w="1134" w:type="dxa"/>
            <w:tcBorders>
              <w:left w:val="single" w:sz="4" w:space="0" w:color="000000"/>
              <w:bottom w:val="single" w:sz="4" w:space="0" w:color="000000"/>
            </w:tcBorders>
          </w:tcPr>
          <w:p w14:paraId="1DDE3205" w14:textId="77777777" w:rsidR="007847DF" w:rsidRPr="00BB5DBB" w:rsidRDefault="007847DF" w:rsidP="00F915F4">
            <w:pPr>
              <w:snapToGrid w:val="0"/>
              <w:jc w:val="center"/>
              <w:rPr>
                <w:sz w:val="22"/>
                <w:lang w:eastAsia="ar-SA"/>
              </w:rPr>
            </w:pPr>
            <w:r w:rsidRPr="00BB5DBB">
              <w:rPr>
                <w:sz w:val="22"/>
                <w:lang w:eastAsia="ar-SA"/>
              </w:rPr>
              <w:t>1</w:t>
            </w:r>
          </w:p>
        </w:tc>
        <w:tc>
          <w:tcPr>
            <w:tcW w:w="1134" w:type="dxa"/>
            <w:tcBorders>
              <w:left w:val="single" w:sz="4" w:space="0" w:color="000000"/>
              <w:bottom w:val="single" w:sz="4" w:space="0" w:color="000000"/>
            </w:tcBorders>
          </w:tcPr>
          <w:p w14:paraId="7031B74A" w14:textId="77777777" w:rsidR="007847DF" w:rsidRPr="00BB5DBB" w:rsidRDefault="007847DF" w:rsidP="00F915F4">
            <w:pPr>
              <w:snapToGrid w:val="0"/>
              <w:jc w:val="center"/>
              <w:rPr>
                <w:sz w:val="22"/>
                <w:lang w:eastAsia="ar-SA"/>
              </w:rPr>
            </w:pPr>
            <w:r w:rsidRPr="00BB5DBB">
              <w:rPr>
                <w:sz w:val="22"/>
                <w:lang w:eastAsia="ar-SA"/>
              </w:rPr>
              <w:t>2</w:t>
            </w:r>
          </w:p>
        </w:tc>
        <w:tc>
          <w:tcPr>
            <w:tcW w:w="1134" w:type="dxa"/>
            <w:tcBorders>
              <w:left w:val="single" w:sz="4" w:space="0" w:color="000000"/>
              <w:bottom w:val="single" w:sz="4" w:space="0" w:color="000000"/>
            </w:tcBorders>
          </w:tcPr>
          <w:p w14:paraId="3E518B0B" w14:textId="77777777" w:rsidR="007847DF" w:rsidRPr="00BB5DBB" w:rsidRDefault="007847DF" w:rsidP="00F915F4">
            <w:pPr>
              <w:snapToGrid w:val="0"/>
              <w:jc w:val="center"/>
              <w:rPr>
                <w:sz w:val="22"/>
                <w:lang w:eastAsia="ar-SA"/>
              </w:rPr>
            </w:pPr>
            <w:r w:rsidRPr="00BB5DBB">
              <w:rPr>
                <w:sz w:val="22"/>
                <w:lang w:eastAsia="ar-SA"/>
              </w:rPr>
              <w:t>3</w:t>
            </w:r>
          </w:p>
        </w:tc>
        <w:tc>
          <w:tcPr>
            <w:tcW w:w="1134" w:type="dxa"/>
            <w:tcBorders>
              <w:left w:val="single" w:sz="4" w:space="0" w:color="000000"/>
              <w:bottom w:val="single" w:sz="4" w:space="0" w:color="000000"/>
            </w:tcBorders>
          </w:tcPr>
          <w:p w14:paraId="594FF3E5" w14:textId="77777777" w:rsidR="007847DF" w:rsidRPr="00BB5DBB" w:rsidRDefault="007847DF" w:rsidP="00F915F4">
            <w:pPr>
              <w:snapToGrid w:val="0"/>
              <w:jc w:val="center"/>
              <w:rPr>
                <w:sz w:val="22"/>
                <w:lang w:eastAsia="ar-SA"/>
              </w:rPr>
            </w:pPr>
            <w:r w:rsidRPr="00BB5DBB">
              <w:rPr>
                <w:sz w:val="22"/>
                <w:lang w:eastAsia="ar-SA"/>
              </w:rPr>
              <w:t>4</w:t>
            </w:r>
          </w:p>
        </w:tc>
        <w:tc>
          <w:tcPr>
            <w:tcW w:w="850" w:type="dxa"/>
            <w:tcBorders>
              <w:left w:val="single" w:sz="4" w:space="0" w:color="000000"/>
              <w:bottom w:val="single" w:sz="4" w:space="0" w:color="000000"/>
              <w:right w:val="single" w:sz="4" w:space="0" w:color="000000"/>
            </w:tcBorders>
          </w:tcPr>
          <w:p w14:paraId="6B4C7C4B" w14:textId="77777777" w:rsidR="007847DF" w:rsidRPr="00BB5DBB" w:rsidRDefault="007847DF" w:rsidP="00F915F4">
            <w:pPr>
              <w:snapToGrid w:val="0"/>
              <w:jc w:val="center"/>
              <w:rPr>
                <w:sz w:val="22"/>
                <w:lang w:eastAsia="ar-SA"/>
              </w:rPr>
            </w:pPr>
            <w:r w:rsidRPr="00BB5DBB">
              <w:rPr>
                <w:sz w:val="22"/>
                <w:lang w:eastAsia="ar-SA"/>
              </w:rPr>
              <w:t>5</w:t>
            </w:r>
          </w:p>
        </w:tc>
      </w:tr>
      <w:tr w:rsidR="007847DF" w:rsidRPr="00BB5DBB" w14:paraId="0B92AB10" w14:textId="77777777" w:rsidTr="00A42AE8">
        <w:trPr>
          <w:trHeight w:val="388"/>
          <w:tblHeader/>
        </w:trPr>
        <w:tc>
          <w:tcPr>
            <w:tcW w:w="3828" w:type="dxa"/>
            <w:tcBorders>
              <w:left w:val="single" w:sz="4" w:space="0" w:color="000000"/>
            </w:tcBorders>
          </w:tcPr>
          <w:p w14:paraId="44B0A840" w14:textId="77777777" w:rsidR="007847DF" w:rsidRPr="00BB5DBB" w:rsidRDefault="007847DF" w:rsidP="00F915F4">
            <w:pPr>
              <w:snapToGrid w:val="0"/>
              <w:spacing w:before="120"/>
              <w:rPr>
                <w:b/>
                <w:bCs/>
                <w:sz w:val="20"/>
                <w:lang w:eastAsia="ar-SA"/>
              </w:rPr>
            </w:pPr>
            <w:r w:rsidRPr="00BB5DBB">
              <w:rPr>
                <w:b/>
                <w:bCs/>
                <w:sz w:val="20"/>
                <w:lang w:eastAsia="ar-SA"/>
              </w:rPr>
              <w:t>Investiční transfery veřejným rozpočtům územní úrovně</w:t>
            </w:r>
          </w:p>
          <w:p w14:paraId="4833817B" w14:textId="77777777" w:rsidR="007847DF" w:rsidRPr="00BB5DBB" w:rsidRDefault="007847DF" w:rsidP="00F915F4">
            <w:pPr>
              <w:rPr>
                <w:sz w:val="20"/>
                <w:lang w:eastAsia="ar-SA"/>
              </w:rPr>
            </w:pPr>
            <w:r w:rsidRPr="00BB5DBB">
              <w:rPr>
                <w:sz w:val="20"/>
                <w:lang w:eastAsia="ar-SA"/>
              </w:rPr>
              <w:t xml:space="preserve">v tom: </w:t>
            </w:r>
          </w:p>
        </w:tc>
        <w:tc>
          <w:tcPr>
            <w:tcW w:w="1134" w:type="dxa"/>
            <w:tcBorders>
              <w:left w:val="single" w:sz="4" w:space="0" w:color="000000"/>
            </w:tcBorders>
          </w:tcPr>
          <w:p w14:paraId="7AFB2A8A" w14:textId="77777777" w:rsidR="007847DF" w:rsidRPr="00BB5DBB" w:rsidRDefault="007847DF" w:rsidP="00F915F4">
            <w:pPr>
              <w:jc w:val="right"/>
              <w:rPr>
                <w:b/>
                <w:bCs/>
                <w:sz w:val="20"/>
                <w:lang w:eastAsia="ar-SA"/>
              </w:rPr>
            </w:pPr>
          </w:p>
          <w:p w14:paraId="109BEEB1" w14:textId="77777777" w:rsidR="007847DF" w:rsidRPr="00BB5DBB" w:rsidRDefault="007847DF" w:rsidP="00F915F4">
            <w:pPr>
              <w:jc w:val="right"/>
              <w:rPr>
                <w:b/>
                <w:bCs/>
                <w:sz w:val="20"/>
                <w:lang w:eastAsia="ar-SA"/>
              </w:rPr>
            </w:pPr>
            <w:r>
              <w:rPr>
                <w:b/>
                <w:bCs/>
                <w:sz w:val="20"/>
                <w:lang w:eastAsia="ar-SA"/>
              </w:rPr>
              <w:t>0</w:t>
            </w:r>
          </w:p>
          <w:p w14:paraId="4920A7D5" w14:textId="77777777" w:rsidR="007847DF" w:rsidRPr="00BB5DBB" w:rsidRDefault="007847DF" w:rsidP="00F915F4">
            <w:pPr>
              <w:jc w:val="right"/>
              <w:rPr>
                <w:b/>
                <w:bCs/>
                <w:sz w:val="20"/>
                <w:lang w:eastAsia="ar-SA"/>
              </w:rPr>
            </w:pPr>
          </w:p>
        </w:tc>
        <w:tc>
          <w:tcPr>
            <w:tcW w:w="1134" w:type="dxa"/>
            <w:tcBorders>
              <w:left w:val="single" w:sz="4" w:space="0" w:color="000000"/>
            </w:tcBorders>
          </w:tcPr>
          <w:p w14:paraId="04D384AD" w14:textId="77777777" w:rsidR="007847DF" w:rsidRPr="00BB5DBB" w:rsidRDefault="007847DF" w:rsidP="00F915F4">
            <w:pPr>
              <w:jc w:val="right"/>
              <w:rPr>
                <w:b/>
                <w:bCs/>
                <w:sz w:val="20"/>
                <w:lang w:eastAsia="ar-SA"/>
              </w:rPr>
            </w:pPr>
          </w:p>
          <w:p w14:paraId="4195A2B6" w14:textId="77777777" w:rsidR="007847DF" w:rsidRPr="00BB5DBB" w:rsidRDefault="007847DF" w:rsidP="00F915F4">
            <w:pPr>
              <w:jc w:val="right"/>
              <w:rPr>
                <w:b/>
                <w:bCs/>
                <w:sz w:val="20"/>
                <w:lang w:eastAsia="ar-SA"/>
              </w:rPr>
            </w:pPr>
            <w:r w:rsidRPr="00BB5DBB">
              <w:rPr>
                <w:b/>
                <w:bCs/>
                <w:sz w:val="20"/>
                <w:lang w:eastAsia="ar-SA"/>
              </w:rPr>
              <w:t>0</w:t>
            </w:r>
          </w:p>
          <w:p w14:paraId="248FECFF" w14:textId="77777777" w:rsidR="007847DF" w:rsidRPr="00BB5DBB" w:rsidRDefault="007847DF" w:rsidP="00F915F4">
            <w:pPr>
              <w:jc w:val="right"/>
              <w:rPr>
                <w:b/>
                <w:bCs/>
                <w:sz w:val="20"/>
                <w:lang w:eastAsia="ar-SA"/>
              </w:rPr>
            </w:pPr>
          </w:p>
        </w:tc>
        <w:tc>
          <w:tcPr>
            <w:tcW w:w="1134" w:type="dxa"/>
            <w:tcBorders>
              <w:left w:val="single" w:sz="4" w:space="0" w:color="000000"/>
            </w:tcBorders>
          </w:tcPr>
          <w:p w14:paraId="4083B40D" w14:textId="77777777" w:rsidR="007847DF" w:rsidRPr="00BB5DBB" w:rsidRDefault="007847DF" w:rsidP="00F915F4">
            <w:pPr>
              <w:jc w:val="right"/>
              <w:rPr>
                <w:b/>
                <w:bCs/>
                <w:sz w:val="20"/>
                <w:lang w:eastAsia="ar-SA"/>
              </w:rPr>
            </w:pPr>
          </w:p>
          <w:p w14:paraId="179F2028" w14:textId="77777777" w:rsidR="007847DF" w:rsidRPr="00BB5DBB" w:rsidRDefault="007847DF" w:rsidP="00F915F4">
            <w:pPr>
              <w:jc w:val="right"/>
              <w:rPr>
                <w:b/>
                <w:bCs/>
                <w:sz w:val="20"/>
                <w:lang w:eastAsia="ar-SA"/>
              </w:rPr>
            </w:pPr>
            <w:r w:rsidRPr="00BB5DBB">
              <w:rPr>
                <w:b/>
                <w:bCs/>
                <w:sz w:val="20"/>
                <w:lang w:eastAsia="ar-SA"/>
              </w:rPr>
              <w:t>0</w:t>
            </w:r>
          </w:p>
          <w:p w14:paraId="4EA1524E" w14:textId="77777777" w:rsidR="007847DF" w:rsidRPr="00BB5DBB" w:rsidRDefault="007847DF" w:rsidP="00F915F4">
            <w:pPr>
              <w:jc w:val="right"/>
              <w:rPr>
                <w:b/>
                <w:bCs/>
                <w:sz w:val="20"/>
                <w:lang w:eastAsia="ar-SA"/>
              </w:rPr>
            </w:pPr>
          </w:p>
        </w:tc>
        <w:tc>
          <w:tcPr>
            <w:tcW w:w="1134" w:type="dxa"/>
            <w:tcBorders>
              <w:left w:val="single" w:sz="4" w:space="0" w:color="000000"/>
            </w:tcBorders>
          </w:tcPr>
          <w:p w14:paraId="1DDF67E2" w14:textId="77777777" w:rsidR="007847DF" w:rsidRPr="00BB5DBB" w:rsidRDefault="007847DF" w:rsidP="00F915F4">
            <w:pPr>
              <w:jc w:val="right"/>
              <w:rPr>
                <w:b/>
                <w:bCs/>
                <w:sz w:val="20"/>
                <w:lang w:eastAsia="ar-SA"/>
              </w:rPr>
            </w:pPr>
          </w:p>
          <w:p w14:paraId="1EA11202" w14:textId="77777777" w:rsidR="007847DF" w:rsidRPr="00BB5DBB" w:rsidRDefault="007847DF" w:rsidP="00F915F4">
            <w:pPr>
              <w:jc w:val="right"/>
              <w:rPr>
                <w:b/>
                <w:bCs/>
                <w:sz w:val="20"/>
                <w:lang w:eastAsia="ar-SA"/>
              </w:rPr>
            </w:pPr>
            <w:r w:rsidRPr="00BB5DBB">
              <w:rPr>
                <w:b/>
                <w:bCs/>
                <w:sz w:val="20"/>
                <w:lang w:eastAsia="ar-SA"/>
              </w:rPr>
              <w:t>0</w:t>
            </w:r>
          </w:p>
          <w:p w14:paraId="243CA674" w14:textId="77777777" w:rsidR="007847DF" w:rsidRPr="00BB5DBB" w:rsidRDefault="007847DF" w:rsidP="00F915F4">
            <w:pPr>
              <w:jc w:val="right"/>
              <w:rPr>
                <w:b/>
                <w:bCs/>
                <w:sz w:val="20"/>
                <w:lang w:eastAsia="ar-SA"/>
              </w:rPr>
            </w:pPr>
          </w:p>
        </w:tc>
        <w:tc>
          <w:tcPr>
            <w:tcW w:w="850" w:type="dxa"/>
            <w:tcBorders>
              <w:left w:val="single" w:sz="4" w:space="0" w:color="000000"/>
              <w:right w:val="single" w:sz="4" w:space="0" w:color="000000"/>
            </w:tcBorders>
          </w:tcPr>
          <w:p w14:paraId="45CA6DCE" w14:textId="77777777" w:rsidR="007847DF" w:rsidRPr="00BB5DBB" w:rsidRDefault="007847DF" w:rsidP="00F915F4">
            <w:pPr>
              <w:jc w:val="right"/>
              <w:rPr>
                <w:b/>
                <w:bCs/>
                <w:sz w:val="20"/>
                <w:lang w:eastAsia="ar-SA"/>
              </w:rPr>
            </w:pPr>
          </w:p>
          <w:p w14:paraId="01E3647C" w14:textId="77777777" w:rsidR="007847DF" w:rsidRPr="00BB5DBB" w:rsidRDefault="007847DF" w:rsidP="00F915F4">
            <w:pPr>
              <w:jc w:val="right"/>
              <w:rPr>
                <w:b/>
                <w:bCs/>
                <w:sz w:val="20"/>
                <w:lang w:eastAsia="ar-SA"/>
              </w:rPr>
            </w:pPr>
            <w:r>
              <w:rPr>
                <w:b/>
                <w:bCs/>
                <w:sz w:val="20"/>
                <w:lang w:eastAsia="ar-SA"/>
              </w:rPr>
              <w:t>x</w:t>
            </w:r>
          </w:p>
        </w:tc>
      </w:tr>
      <w:tr w:rsidR="007847DF" w:rsidRPr="00BB5DBB" w14:paraId="67B22D42" w14:textId="77777777" w:rsidTr="00A42AE8">
        <w:trPr>
          <w:tblHeader/>
        </w:trPr>
        <w:tc>
          <w:tcPr>
            <w:tcW w:w="3828" w:type="dxa"/>
            <w:tcBorders>
              <w:left w:val="single" w:sz="4" w:space="0" w:color="000000"/>
            </w:tcBorders>
          </w:tcPr>
          <w:p w14:paraId="14B93945" w14:textId="77777777" w:rsidR="007847DF" w:rsidRPr="00BB5DBB" w:rsidRDefault="007847DF" w:rsidP="00F915F4">
            <w:pPr>
              <w:snapToGrid w:val="0"/>
              <w:jc w:val="both"/>
              <w:rPr>
                <w:sz w:val="20"/>
                <w:lang w:eastAsia="ar-SA"/>
              </w:rPr>
            </w:pPr>
            <w:r w:rsidRPr="00BB5DBB">
              <w:rPr>
                <w:sz w:val="20"/>
                <w:lang w:eastAsia="ar-SA"/>
              </w:rPr>
              <w:t>Obce</w:t>
            </w:r>
          </w:p>
        </w:tc>
        <w:tc>
          <w:tcPr>
            <w:tcW w:w="1134" w:type="dxa"/>
            <w:tcBorders>
              <w:left w:val="single" w:sz="4" w:space="0" w:color="000000"/>
            </w:tcBorders>
          </w:tcPr>
          <w:p w14:paraId="20D6B5DF" w14:textId="77777777" w:rsidR="007847DF" w:rsidRPr="00BB5DBB" w:rsidRDefault="007847DF" w:rsidP="00F915F4">
            <w:pPr>
              <w:snapToGrid w:val="0"/>
              <w:jc w:val="right"/>
              <w:rPr>
                <w:sz w:val="20"/>
                <w:lang w:eastAsia="ar-SA"/>
              </w:rPr>
            </w:pPr>
            <w:r>
              <w:rPr>
                <w:sz w:val="20"/>
                <w:lang w:eastAsia="ar-SA"/>
              </w:rPr>
              <w:t>0</w:t>
            </w:r>
          </w:p>
        </w:tc>
        <w:tc>
          <w:tcPr>
            <w:tcW w:w="1134" w:type="dxa"/>
            <w:tcBorders>
              <w:left w:val="single" w:sz="4" w:space="0" w:color="000000"/>
            </w:tcBorders>
          </w:tcPr>
          <w:p w14:paraId="680BDDE0" w14:textId="77777777" w:rsidR="007847DF" w:rsidRPr="00BB5DBB" w:rsidRDefault="007847DF" w:rsidP="00F915F4">
            <w:pPr>
              <w:snapToGrid w:val="0"/>
              <w:jc w:val="right"/>
              <w:rPr>
                <w:sz w:val="20"/>
                <w:lang w:eastAsia="ar-SA"/>
              </w:rPr>
            </w:pPr>
            <w:r w:rsidRPr="00BB5DBB">
              <w:rPr>
                <w:sz w:val="20"/>
                <w:lang w:eastAsia="ar-SA"/>
              </w:rPr>
              <w:t>0</w:t>
            </w:r>
          </w:p>
        </w:tc>
        <w:tc>
          <w:tcPr>
            <w:tcW w:w="1134" w:type="dxa"/>
            <w:tcBorders>
              <w:left w:val="single" w:sz="4" w:space="0" w:color="000000"/>
            </w:tcBorders>
          </w:tcPr>
          <w:p w14:paraId="2A4BC2DD" w14:textId="77777777" w:rsidR="007847DF" w:rsidRPr="00BB5DBB" w:rsidRDefault="007847DF" w:rsidP="00F915F4">
            <w:pPr>
              <w:snapToGrid w:val="0"/>
              <w:jc w:val="right"/>
              <w:rPr>
                <w:sz w:val="20"/>
                <w:lang w:eastAsia="ar-SA"/>
              </w:rPr>
            </w:pPr>
            <w:r w:rsidRPr="00BB5DBB">
              <w:rPr>
                <w:sz w:val="20"/>
                <w:lang w:eastAsia="ar-SA"/>
              </w:rPr>
              <w:t>0</w:t>
            </w:r>
          </w:p>
        </w:tc>
        <w:tc>
          <w:tcPr>
            <w:tcW w:w="1134" w:type="dxa"/>
            <w:tcBorders>
              <w:left w:val="single" w:sz="4" w:space="0" w:color="000000"/>
            </w:tcBorders>
          </w:tcPr>
          <w:p w14:paraId="377F6A68" w14:textId="77777777" w:rsidR="007847DF" w:rsidRPr="00BB5DBB" w:rsidRDefault="007847DF" w:rsidP="00F915F4">
            <w:pPr>
              <w:snapToGrid w:val="0"/>
              <w:jc w:val="right"/>
              <w:rPr>
                <w:sz w:val="20"/>
                <w:lang w:eastAsia="ar-SA"/>
              </w:rPr>
            </w:pPr>
            <w:r w:rsidRPr="00BB5DBB">
              <w:rPr>
                <w:sz w:val="20"/>
                <w:lang w:eastAsia="ar-SA"/>
              </w:rPr>
              <w:t>0</w:t>
            </w:r>
          </w:p>
        </w:tc>
        <w:tc>
          <w:tcPr>
            <w:tcW w:w="850" w:type="dxa"/>
            <w:tcBorders>
              <w:left w:val="single" w:sz="4" w:space="0" w:color="000000"/>
              <w:right w:val="single" w:sz="4" w:space="0" w:color="000000"/>
            </w:tcBorders>
          </w:tcPr>
          <w:p w14:paraId="2E21F49E" w14:textId="77777777" w:rsidR="007847DF" w:rsidRPr="00BB5DBB" w:rsidRDefault="007847DF" w:rsidP="00F915F4">
            <w:pPr>
              <w:snapToGrid w:val="0"/>
              <w:jc w:val="right"/>
              <w:rPr>
                <w:sz w:val="20"/>
                <w:lang w:eastAsia="ar-SA"/>
              </w:rPr>
            </w:pPr>
            <w:r>
              <w:rPr>
                <w:sz w:val="20"/>
                <w:lang w:eastAsia="ar-SA"/>
              </w:rPr>
              <w:t>x</w:t>
            </w:r>
          </w:p>
        </w:tc>
      </w:tr>
      <w:tr w:rsidR="007847DF" w:rsidRPr="00BB5DBB" w14:paraId="250CC956" w14:textId="77777777" w:rsidTr="00A42AE8">
        <w:trPr>
          <w:trHeight w:val="185"/>
          <w:tblHeader/>
        </w:trPr>
        <w:tc>
          <w:tcPr>
            <w:tcW w:w="3828" w:type="dxa"/>
            <w:tcBorders>
              <w:left w:val="single" w:sz="4" w:space="0" w:color="000000"/>
            </w:tcBorders>
          </w:tcPr>
          <w:p w14:paraId="397F3157" w14:textId="77777777" w:rsidR="007847DF" w:rsidRPr="00BB5DBB" w:rsidRDefault="007847DF" w:rsidP="00F915F4">
            <w:pPr>
              <w:snapToGrid w:val="0"/>
              <w:jc w:val="both"/>
              <w:rPr>
                <w:i/>
                <w:sz w:val="20"/>
                <w:lang w:eastAsia="ar-SA"/>
              </w:rPr>
            </w:pPr>
            <w:r w:rsidRPr="00BB5DBB">
              <w:rPr>
                <w:i/>
                <w:sz w:val="20"/>
                <w:lang w:eastAsia="ar-SA"/>
              </w:rPr>
              <w:t>z toho prostředky EU</w:t>
            </w:r>
          </w:p>
        </w:tc>
        <w:tc>
          <w:tcPr>
            <w:tcW w:w="1134" w:type="dxa"/>
            <w:tcBorders>
              <w:left w:val="single" w:sz="4" w:space="0" w:color="000000"/>
            </w:tcBorders>
          </w:tcPr>
          <w:p w14:paraId="5F94B3D1" w14:textId="77777777" w:rsidR="007847DF" w:rsidRPr="00BB5DBB" w:rsidRDefault="007847DF" w:rsidP="00F915F4">
            <w:pPr>
              <w:snapToGrid w:val="0"/>
              <w:jc w:val="right"/>
              <w:rPr>
                <w:i/>
                <w:sz w:val="20"/>
                <w:lang w:eastAsia="ar-SA"/>
              </w:rPr>
            </w:pPr>
            <w:r w:rsidRPr="00BB5DBB">
              <w:rPr>
                <w:i/>
                <w:sz w:val="20"/>
                <w:lang w:eastAsia="ar-SA"/>
              </w:rPr>
              <w:t>0</w:t>
            </w:r>
          </w:p>
        </w:tc>
        <w:tc>
          <w:tcPr>
            <w:tcW w:w="1134" w:type="dxa"/>
            <w:tcBorders>
              <w:left w:val="single" w:sz="4" w:space="0" w:color="000000"/>
            </w:tcBorders>
          </w:tcPr>
          <w:p w14:paraId="66C33144" w14:textId="77777777" w:rsidR="007847DF" w:rsidRPr="00BB5DBB" w:rsidRDefault="007847DF" w:rsidP="00F915F4">
            <w:pPr>
              <w:snapToGrid w:val="0"/>
              <w:jc w:val="right"/>
              <w:rPr>
                <w:i/>
                <w:sz w:val="20"/>
                <w:lang w:eastAsia="ar-SA"/>
              </w:rPr>
            </w:pPr>
            <w:r w:rsidRPr="00BB5DBB">
              <w:rPr>
                <w:i/>
                <w:sz w:val="20"/>
                <w:lang w:eastAsia="ar-SA"/>
              </w:rPr>
              <w:t>0</w:t>
            </w:r>
          </w:p>
        </w:tc>
        <w:tc>
          <w:tcPr>
            <w:tcW w:w="1134" w:type="dxa"/>
            <w:tcBorders>
              <w:left w:val="single" w:sz="4" w:space="0" w:color="000000"/>
            </w:tcBorders>
          </w:tcPr>
          <w:p w14:paraId="6945DD76" w14:textId="77777777" w:rsidR="007847DF" w:rsidRPr="00BB5DBB" w:rsidRDefault="007847DF" w:rsidP="00F915F4">
            <w:pPr>
              <w:snapToGrid w:val="0"/>
              <w:jc w:val="right"/>
              <w:rPr>
                <w:i/>
                <w:sz w:val="20"/>
                <w:lang w:eastAsia="ar-SA"/>
              </w:rPr>
            </w:pPr>
            <w:r w:rsidRPr="00BB5DBB">
              <w:rPr>
                <w:i/>
                <w:sz w:val="20"/>
                <w:lang w:eastAsia="ar-SA"/>
              </w:rPr>
              <w:t>0</w:t>
            </w:r>
          </w:p>
        </w:tc>
        <w:tc>
          <w:tcPr>
            <w:tcW w:w="1134" w:type="dxa"/>
            <w:tcBorders>
              <w:left w:val="single" w:sz="4" w:space="0" w:color="000000"/>
            </w:tcBorders>
          </w:tcPr>
          <w:p w14:paraId="384DD6F4" w14:textId="77777777" w:rsidR="007847DF" w:rsidRPr="00BB5DBB" w:rsidRDefault="007847DF" w:rsidP="00F915F4">
            <w:pPr>
              <w:snapToGrid w:val="0"/>
              <w:jc w:val="right"/>
              <w:rPr>
                <w:i/>
                <w:sz w:val="20"/>
                <w:lang w:eastAsia="ar-SA"/>
              </w:rPr>
            </w:pPr>
            <w:r w:rsidRPr="00BB5DBB">
              <w:rPr>
                <w:i/>
                <w:sz w:val="20"/>
                <w:lang w:eastAsia="ar-SA"/>
              </w:rPr>
              <w:t>0</w:t>
            </w:r>
          </w:p>
        </w:tc>
        <w:tc>
          <w:tcPr>
            <w:tcW w:w="850" w:type="dxa"/>
            <w:tcBorders>
              <w:left w:val="single" w:sz="4" w:space="0" w:color="000000"/>
              <w:right w:val="single" w:sz="4" w:space="0" w:color="000000"/>
            </w:tcBorders>
          </w:tcPr>
          <w:p w14:paraId="1D3C1560" w14:textId="77777777" w:rsidR="007847DF" w:rsidRPr="00BB5DBB" w:rsidRDefault="007847DF" w:rsidP="00F915F4">
            <w:pPr>
              <w:snapToGrid w:val="0"/>
              <w:jc w:val="right"/>
              <w:rPr>
                <w:i/>
                <w:sz w:val="20"/>
                <w:lang w:eastAsia="ar-SA"/>
              </w:rPr>
            </w:pPr>
            <w:r w:rsidRPr="00BB5DBB">
              <w:rPr>
                <w:i/>
                <w:sz w:val="20"/>
                <w:lang w:eastAsia="ar-SA"/>
              </w:rPr>
              <w:t>x</w:t>
            </w:r>
          </w:p>
        </w:tc>
      </w:tr>
      <w:tr w:rsidR="007847DF" w:rsidRPr="00BB5DBB" w14:paraId="4CE2F2B4" w14:textId="77777777" w:rsidTr="00A42AE8">
        <w:trPr>
          <w:trHeight w:val="185"/>
          <w:tblHeader/>
        </w:trPr>
        <w:tc>
          <w:tcPr>
            <w:tcW w:w="3828" w:type="dxa"/>
            <w:tcBorders>
              <w:left w:val="single" w:sz="4" w:space="0" w:color="000000"/>
              <w:bottom w:val="single" w:sz="4" w:space="0" w:color="000000"/>
            </w:tcBorders>
          </w:tcPr>
          <w:p w14:paraId="7694AA53" w14:textId="77777777" w:rsidR="007847DF" w:rsidRPr="00BB5DBB" w:rsidRDefault="007847DF" w:rsidP="00F915F4">
            <w:pPr>
              <w:snapToGrid w:val="0"/>
              <w:jc w:val="both"/>
              <w:rPr>
                <w:sz w:val="20"/>
                <w:lang w:eastAsia="ar-SA"/>
              </w:rPr>
            </w:pPr>
            <w:r w:rsidRPr="00BB5DBB">
              <w:rPr>
                <w:sz w:val="20"/>
                <w:lang w:eastAsia="ar-SA"/>
              </w:rPr>
              <w:t>Kraje</w:t>
            </w:r>
          </w:p>
        </w:tc>
        <w:tc>
          <w:tcPr>
            <w:tcW w:w="1134" w:type="dxa"/>
            <w:tcBorders>
              <w:left w:val="single" w:sz="4" w:space="0" w:color="000000"/>
              <w:bottom w:val="single" w:sz="4" w:space="0" w:color="000000"/>
            </w:tcBorders>
          </w:tcPr>
          <w:p w14:paraId="40573A4C" w14:textId="77777777" w:rsidR="007847DF" w:rsidRPr="00BB5DBB" w:rsidRDefault="007847DF" w:rsidP="00F915F4">
            <w:pPr>
              <w:snapToGrid w:val="0"/>
              <w:jc w:val="right"/>
              <w:rPr>
                <w:sz w:val="20"/>
                <w:lang w:eastAsia="ar-SA"/>
              </w:rPr>
            </w:pPr>
            <w:r w:rsidRPr="00BB5DBB">
              <w:rPr>
                <w:sz w:val="20"/>
                <w:lang w:eastAsia="ar-SA"/>
              </w:rPr>
              <w:t>0</w:t>
            </w:r>
          </w:p>
        </w:tc>
        <w:tc>
          <w:tcPr>
            <w:tcW w:w="1134" w:type="dxa"/>
            <w:tcBorders>
              <w:left w:val="single" w:sz="4" w:space="0" w:color="000000"/>
              <w:bottom w:val="single" w:sz="4" w:space="0" w:color="000000"/>
            </w:tcBorders>
          </w:tcPr>
          <w:p w14:paraId="6D645118" w14:textId="77777777" w:rsidR="007847DF" w:rsidRPr="00BB5DBB" w:rsidRDefault="007847DF" w:rsidP="00F915F4">
            <w:pPr>
              <w:snapToGrid w:val="0"/>
              <w:jc w:val="right"/>
              <w:rPr>
                <w:sz w:val="20"/>
                <w:lang w:eastAsia="ar-SA"/>
              </w:rPr>
            </w:pPr>
            <w:r w:rsidRPr="00BB5DBB">
              <w:rPr>
                <w:sz w:val="20"/>
                <w:lang w:eastAsia="ar-SA"/>
              </w:rPr>
              <w:t>0</w:t>
            </w:r>
          </w:p>
        </w:tc>
        <w:tc>
          <w:tcPr>
            <w:tcW w:w="1134" w:type="dxa"/>
            <w:tcBorders>
              <w:left w:val="single" w:sz="4" w:space="0" w:color="000000"/>
              <w:bottom w:val="single" w:sz="4" w:space="0" w:color="000000"/>
            </w:tcBorders>
          </w:tcPr>
          <w:p w14:paraId="3C87FD9B" w14:textId="77777777" w:rsidR="007847DF" w:rsidRPr="00BB5DBB" w:rsidRDefault="007847DF" w:rsidP="00F915F4">
            <w:pPr>
              <w:snapToGrid w:val="0"/>
              <w:jc w:val="right"/>
              <w:rPr>
                <w:sz w:val="20"/>
                <w:lang w:eastAsia="ar-SA"/>
              </w:rPr>
            </w:pPr>
            <w:r w:rsidRPr="00BB5DBB">
              <w:rPr>
                <w:sz w:val="20"/>
                <w:lang w:eastAsia="ar-SA"/>
              </w:rPr>
              <w:t>0</w:t>
            </w:r>
          </w:p>
        </w:tc>
        <w:tc>
          <w:tcPr>
            <w:tcW w:w="1134" w:type="dxa"/>
            <w:tcBorders>
              <w:left w:val="single" w:sz="4" w:space="0" w:color="000000"/>
              <w:bottom w:val="single" w:sz="4" w:space="0" w:color="000000"/>
            </w:tcBorders>
          </w:tcPr>
          <w:p w14:paraId="4818EEC3" w14:textId="77777777" w:rsidR="007847DF" w:rsidRPr="00BB5DBB" w:rsidRDefault="007847DF" w:rsidP="00F915F4">
            <w:pPr>
              <w:snapToGrid w:val="0"/>
              <w:jc w:val="right"/>
              <w:rPr>
                <w:sz w:val="20"/>
                <w:lang w:eastAsia="ar-SA"/>
              </w:rPr>
            </w:pPr>
            <w:r w:rsidRPr="00BB5DBB">
              <w:rPr>
                <w:sz w:val="20"/>
                <w:lang w:eastAsia="ar-SA"/>
              </w:rPr>
              <w:t>0</w:t>
            </w:r>
          </w:p>
        </w:tc>
        <w:tc>
          <w:tcPr>
            <w:tcW w:w="850" w:type="dxa"/>
            <w:tcBorders>
              <w:left w:val="single" w:sz="4" w:space="0" w:color="000000"/>
              <w:bottom w:val="single" w:sz="4" w:space="0" w:color="000000"/>
              <w:right w:val="single" w:sz="4" w:space="0" w:color="000000"/>
            </w:tcBorders>
          </w:tcPr>
          <w:p w14:paraId="7F8C854E" w14:textId="77777777" w:rsidR="007847DF" w:rsidRPr="00BB5DBB" w:rsidRDefault="007847DF" w:rsidP="00F915F4">
            <w:pPr>
              <w:snapToGrid w:val="0"/>
              <w:jc w:val="right"/>
              <w:rPr>
                <w:sz w:val="20"/>
                <w:lang w:eastAsia="ar-SA"/>
              </w:rPr>
            </w:pPr>
            <w:r w:rsidRPr="00BB5DBB">
              <w:rPr>
                <w:sz w:val="20"/>
                <w:lang w:eastAsia="ar-SA"/>
              </w:rPr>
              <w:t>x</w:t>
            </w:r>
          </w:p>
        </w:tc>
      </w:tr>
    </w:tbl>
    <w:p w14:paraId="3985B67D" w14:textId="77777777" w:rsidR="007847DF" w:rsidRPr="00BB5DBB" w:rsidRDefault="007847DF" w:rsidP="00A42AE8">
      <w:pPr>
        <w:pStyle w:val="KOMtext"/>
        <w:rPr>
          <w:lang w:eastAsia="ar-SA"/>
        </w:rPr>
      </w:pPr>
      <w:r w:rsidRPr="00BB5DBB">
        <w:rPr>
          <w:lang w:eastAsia="ar-SA"/>
        </w:rPr>
        <w:t>Schválený rozpočet 0 tis. Kč nebyl v průběhu roku 2019 upravován, ani čerpán.</w:t>
      </w:r>
    </w:p>
    <w:p w14:paraId="59B69DBE" w14:textId="77777777" w:rsidR="007847DF" w:rsidRPr="003F5268" w:rsidRDefault="007847DF" w:rsidP="00A42AE8">
      <w:pPr>
        <w:pStyle w:val="KOMtext"/>
        <w:rPr>
          <w:u w:val="single"/>
        </w:rPr>
      </w:pPr>
      <w:r w:rsidRPr="00A42AE8">
        <w:rPr>
          <w:u w:val="single"/>
        </w:rPr>
        <w:t xml:space="preserve">Porovnání investičních transferů veřejným rozpočtům územní úrovně ve vývojové řadě 2015 – </w:t>
      </w:r>
      <w:r w:rsidRPr="003F5268">
        <w:rPr>
          <w:u w:val="single"/>
        </w:rPr>
        <w:t>2019 v rozdělení na obce a kraje:</w:t>
      </w:r>
    </w:p>
    <w:p w14:paraId="4DCE750A" w14:textId="77777777" w:rsidR="007847DF" w:rsidRPr="00BB5DBB" w:rsidRDefault="007847DF" w:rsidP="00DB2320">
      <w:pPr>
        <w:keepNext/>
        <w:ind w:left="357" w:right="1"/>
        <w:jc w:val="right"/>
      </w:pPr>
      <w:r w:rsidRPr="00BB5DBB">
        <w:t>v </w:t>
      </w:r>
      <w:r w:rsidRPr="00DB2320">
        <w:rPr>
          <w:szCs w:val="20"/>
        </w:rPr>
        <w:t>tis</w:t>
      </w:r>
      <w:r w:rsidRPr="00BB5DBB">
        <w:t>.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1152"/>
        <w:gridCol w:w="1152"/>
        <w:gridCol w:w="1152"/>
        <w:gridCol w:w="1152"/>
        <w:gridCol w:w="1152"/>
      </w:tblGrid>
      <w:tr w:rsidR="007847DF" w:rsidRPr="00BB5DBB" w14:paraId="255E8F58" w14:textId="77777777" w:rsidTr="00A42AE8">
        <w:trPr>
          <w:tblHeader/>
        </w:trPr>
        <w:tc>
          <w:tcPr>
            <w:tcW w:w="3420" w:type="dxa"/>
          </w:tcPr>
          <w:p w14:paraId="046CD382" w14:textId="77777777" w:rsidR="007847DF" w:rsidRPr="00BB5DBB" w:rsidRDefault="007847DF" w:rsidP="00F915F4">
            <w:pPr>
              <w:jc w:val="center"/>
              <w:rPr>
                <w:sz w:val="22"/>
                <w:szCs w:val="22"/>
              </w:rPr>
            </w:pPr>
          </w:p>
          <w:p w14:paraId="5DFAD1A8" w14:textId="77777777" w:rsidR="007847DF" w:rsidRPr="00BB5DBB" w:rsidRDefault="007847DF" w:rsidP="00F915F4">
            <w:pPr>
              <w:jc w:val="center"/>
              <w:rPr>
                <w:sz w:val="22"/>
                <w:szCs w:val="22"/>
              </w:rPr>
            </w:pPr>
            <w:r w:rsidRPr="00BB5DBB">
              <w:rPr>
                <w:sz w:val="22"/>
                <w:szCs w:val="22"/>
              </w:rPr>
              <w:t>Ukazatel</w:t>
            </w:r>
          </w:p>
        </w:tc>
        <w:tc>
          <w:tcPr>
            <w:tcW w:w="1152" w:type="dxa"/>
            <w:vAlign w:val="center"/>
          </w:tcPr>
          <w:p w14:paraId="7A49F30B" w14:textId="77777777" w:rsidR="007847DF" w:rsidRPr="00BB5DBB" w:rsidRDefault="007847DF" w:rsidP="00F915F4">
            <w:pPr>
              <w:jc w:val="center"/>
              <w:rPr>
                <w:sz w:val="22"/>
                <w:szCs w:val="22"/>
              </w:rPr>
            </w:pPr>
            <w:r w:rsidRPr="00BB5DBB">
              <w:rPr>
                <w:sz w:val="22"/>
                <w:szCs w:val="22"/>
              </w:rPr>
              <w:t>Skutečnost</w:t>
            </w:r>
          </w:p>
          <w:p w14:paraId="01FDE51C" w14:textId="77777777" w:rsidR="007847DF" w:rsidRPr="00BB5DBB" w:rsidRDefault="007847DF" w:rsidP="00F915F4">
            <w:pPr>
              <w:jc w:val="center"/>
              <w:rPr>
                <w:sz w:val="22"/>
                <w:szCs w:val="22"/>
              </w:rPr>
            </w:pPr>
            <w:r w:rsidRPr="00BB5DBB">
              <w:rPr>
                <w:sz w:val="22"/>
                <w:szCs w:val="22"/>
              </w:rPr>
              <w:t>2015</w:t>
            </w:r>
          </w:p>
        </w:tc>
        <w:tc>
          <w:tcPr>
            <w:tcW w:w="1152" w:type="dxa"/>
            <w:vAlign w:val="center"/>
          </w:tcPr>
          <w:p w14:paraId="044B1D3F" w14:textId="77777777" w:rsidR="007847DF" w:rsidRPr="00BB5DBB" w:rsidRDefault="007847DF" w:rsidP="00F915F4">
            <w:pPr>
              <w:jc w:val="center"/>
              <w:rPr>
                <w:sz w:val="22"/>
                <w:szCs w:val="22"/>
              </w:rPr>
            </w:pPr>
            <w:r w:rsidRPr="00BB5DBB">
              <w:rPr>
                <w:sz w:val="22"/>
                <w:szCs w:val="22"/>
              </w:rPr>
              <w:t>Skutečnost</w:t>
            </w:r>
          </w:p>
          <w:p w14:paraId="50ADA499" w14:textId="77777777" w:rsidR="007847DF" w:rsidRPr="00BB5DBB" w:rsidRDefault="007847DF" w:rsidP="00F915F4">
            <w:pPr>
              <w:jc w:val="center"/>
              <w:rPr>
                <w:sz w:val="22"/>
                <w:szCs w:val="22"/>
              </w:rPr>
            </w:pPr>
            <w:r w:rsidRPr="00BB5DBB">
              <w:rPr>
                <w:sz w:val="22"/>
                <w:szCs w:val="22"/>
              </w:rPr>
              <w:t>2016</w:t>
            </w:r>
          </w:p>
        </w:tc>
        <w:tc>
          <w:tcPr>
            <w:tcW w:w="1152" w:type="dxa"/>
            <w:vAlign w:val="center"/>
          </w:tcPr>
          <w:p w14:paraId="30906095" w14:textId="77777777" w:rsidR="007847DF" w:rsidRPr="00BB5DBB" w:rsidRDefault="007847DF" w:rsidP="00F915F4">
            <w:pPr>
              <w:jc w:val="center"/>
              <w:rPr>
                <w:sz w:val="22"/>
                <w:szCs w:val="22"/>
              </w:rPr>
            </w:pPr>
            <w:r w:rsidRPr="00BB5DBB">
              <w:rPr>
                <w:sz w:val="22"/>
                <w:szCs w:val="22"/>
              </w:rPr>
              <w:t>Skutečnost</w:t>
            </w:r>
          </w:p>
          <w:p w14:paraId="2DD60AF9" w14:textId="77777777" w:rsidR="007847DF" w:rsidRPr="00BB5DBB" w:rsidRDefault="007847DF" w:rsidP="00F915F4">
            <w:pPr>
              <w:jc w:val="center"/>
              <w:rPr>
                <w:sz w:val="22"/>
                <w:szCs w:val="22"/>
              </w:rPr>
            </w:pPr>
            <w:r w:rsidRPr="00BB5DBB">
              <w:rPr>
                <w:sz w:val="22"/>
                <w:szCs w:val="22"/>
              </w:rPr>
              <w:t>2017</w:t>
            </w:r>
          </w:p>
        </w:tc>
        <w:tc>
          <w:tcPr>
            <w:tcW w:w="1152" w:type="dxa"/>
            <w:vAlign w:val="center"/>
          </w:tcPr>
          <w:p w14:paraId="076FB9F1" w14:textId="77777777" w:rsidR="007847DF" w:rsidRPr="00BB5DBB" w:rsidRDefault="007847DF" w:rsidP="00F915F4">
            <w:pPr>
              <w:jc w:val="center"/>
              <w:rPr>
                <w:sz w:val="22"/>
                <w:szCs w:val="22"/>
              </w:rPr>
            </w:pPr>
            <w:r w:rsidRPr="00BB5DBB">
              <w:rPr>
                <w:sz w:val="22"/>
                <w:szCs w:val="22"/>
              </w:rPr>
              <w:t>Skutečnost</w:t>
            </w:r>
          </w:p>
          <w:p w14:paraId="643D10F7" w14:textId="77777777" w:rsidR="007847DF" w:rsidRPr="00BB5DBB" w:rsidRDefault="007847DF" w:rsidP="00F915F4">
            <w:pPr>
              <w:jc w:val="center"/>
              <w:rPr>
                <w:sz w:val="22"/>
                <w:szCs w:val="22"/>
              </w:rPr>
            </w:pPr>
            <w:r w:rsidRPr="00BB5DBB">
              <w:rPr>
                <w:sz w:val="22"/>
                <w:szCs w:val="22"/>
              </w:rPr>
              <w:t>2018</w:t>
            </w:r>
          </w:p>
        </w:tc>
        <w:tc>
          <w:tcPr>
            <w:tcW w:w="1152" w:type="dxa"/>
            <w:vAlign w:val="center"/>
          </w:tcPr>
          <w:p w14:paraId="15C0B956" w14:textId="77777777" w:rsidR="007847DF" w:rsidRPr="00BB5DBB" w:rsidRDefault="007847DF" w:rsidP="00F915F4">
            <w:pPr>
              <w:jc w:val="center"/>
              <w:rPr>
                <w:sz w:val="22"/>
                <w:szCs w:val="22"/>
              </w:rPr>
            </w:pPr>
            <w:r w:rsidRPr="00BB5DBB">
              <w:rPr>
                <w:sz w:val="22"/>
                <w:szCs w:val="22"/>
              </w:rPr>
              <w:t>Skutečnost</w:t>
            </w:r>
          </w:p>
          <w:p w14:paraId="1D92D769" w14:textId="77777777" w:rsidR="007847DF" w:rsidRPr="00BB5DBB" w:rsidRDefault="007847DF" w:rsidP="00F915F4">
            <w:pPr>
              <w:jc w:val="center"/>
              <w:rPr>
                <w:sz w:val="22"/>
                <w:szCs w:val="22"/>
              </w:rPr>
            </w:pPr>
            <w:r w:rsidRPr="00BB5DBB">
              <w:rPr>
                <w:sz w:val="22"/>
                <w:szCs w:val="22"/>
              </w:rPr>
              <w:t>2019</w:t>
            </w:r>
          </w:p>
        </w:tc>
      </w:tr>
      <w:tr w:rsidR="007847DF" w:rsidRPr="00BB5DBB" w14:paraId="3360FF63" w14:textId="77777777" w:rsidTr="00A42AE8">
        <w:trPr>
          <w:tblHeader/>
        </w:trPr>
        <w:tc>
          <w:tcPr>
            <w:tcW w:w="3420" w:type="dxa"/>
            <w:tcBorders>
              <w:bottom w:val="single" w:sz="4" w:space="0" w:color="auto"/>
            </w:tcBorders>
          </w:tcPr>
          <w:p w14:paraId="37ADDF49" w14:textId="77777777" w:rsidR="007847DF" w:rsidRPr="00BB5DBB" w:rsidRDefault="007847DF" w:rsidP="00F915F4">
            <w:pPr>
              <w:jc w:val="center"/>
              <w:rPr>
                <w:sz w:val="22"/>
                <w:szCs w:val="22"/>
              </w:rPr>
            </w:pPr>
            <w:r w:rsidRPr="00BB5DBB">
              <w:rPr>
                <w:sz w:val="22"/>
                <w:szCs w:val="22"/>
              </w:rPr>
              <w:t>a</w:t>
            </w:r>
          </w:p>
        </w:tc>
        <w:tc>
          <w:tcPr>
            <w:tcW w:w="1152" w:type="dxa"/>
            <w:tcBorders>
              <w:bottom w:val="single" w:sz="4" w:space="0" w:color="auto"/>
            </w:tcBorders>
          </w:tcPr>
          <w:p w14:paraId="245BD5D4" w14:textId="77777777" w:rsidR="007847DF" w:rsidRPr="00BB5DBB" w:rsidRDefault="007847DF" w:rsidP="00F915F4">
            <w:pPr>
              <w:jc w:val="center"/>
              <w:rPr>
                <w:sz w:val="22"/>
                <w:szCs w:val="22"/>
              </w:rPr>
            </w:pPr>
            <w:r w:rsidRPr="00BB5DBB">
              <w:rPr>
                <w:sz w:val="22"/>
                <w:szCs w:val="22"/>
              </w:rPr>
              <w:t>1</w:t>
            </w:r>
          </w:p>
        </w:tc>
        <w:tc>
          <w:tcPr>
            <w:tcW w:w="1152" w:type="dxa"/>
            <w:tcBorders>
              <w:bottom w:val="single" w:sz="4" w:space="0" w:color="auto"/>
            </w:tcBorders>
          </w:tcPr>
          <w:p w14:paraId="7226E57A" w14:textId="77777777" w:rsidR="007847DF" w:rsidRPr="00BB5DBB" w:rsidRDefault="007847DF" w:rsidP="00F915F4">
            <w:pPr>
              <w:jc w:val="center"/>
              <w:rPr>
                <w:sz w:val="22"/>
                <w:szCs w:val="22"/>
              </w:rPr>
            </w:pPr>
            <w:r w:rsidRPr="00BB5DBB">
              <w:rPr>
                <w:sz w:val="22"/>
                <w:szCs w:val="22"/>
              </w:rPr>
              <w:t>2</w:t>
            </w:r>
          </w:p>
        </w:tc>
        <w:tc>
          <w:tcPr>
            <w:tcW w:w="1152" w:type="dxa"/>
            <w:tcBorders>
              <w:bottom w:val="single" w:sz="4" w:space="0" w:color="auto"/>
            </w:tcBorders>
          </w:tcPr>
          <w:p w14:paraId="593E73C0" w14:textId="77777777" w:rsidR="007847DF" w:rsidRPr="00BB5DBB" w:rsidRDefault="007847DF" w:rsidP="00F915F4">
            <w:pPr>
              <w:jc w:val="center"/>
              <w:rPr>
                <w:sz w:val="22"/>
                <w:szCs w:val="22"/>
              </w:rPr>
            </w:pPr>
            <w:r w:rsidRPr="00BB5DBB">
              <w:rPr>
                <w:sz w:val="22"/>
                <w:szCs w:val="22"/>
              </w:rPr>
              <w:t>3</w:t>
            </w:r>
          </w:p>
        </w:tc>
        <w:tc>
          <w:tcPr>
            <w:tcW w:w="1152" w:type="dxa"/>
            <w:tcBorders>
              <w:bottom w:val="single" w:sz="4" w:space="0" w:color="auto"/>
            </w:tcBorders>
          </w:tcPr>
          <w:p w14:paraId="4BEB8576" w14:textId="77777777" w:rsidR="007847DF" w:rsidRPr="00BB5DBB" w:rsidRDefault="007847DF" w:rsidP="00F915F4">
            <w:pPr>
              <w:jc w:val="center"/>
              <w:rPr>
                <w:sz w:val="22"/>
                <w:szCs w:val="22"/>
              </w:rPr>
            </w:pPr>
            <w:r w:rsidRPr="00BB5DBB">
              <w:rPr>
                <w:sz w:val="22"/>
                <w:szCs w:val="22"/>
              </w:rPr>
              <w:t>4</w:t>
            </w:r>
          </w:p>
        </w:tc>
        <w:tc>
          <w:tcPr>
            <w:tcW w:w="1152" w:type="dxa"/>
            <w:tcBorders>
              <w:bottom w:val="single" w:sz="4" w:space="0" w:color="auto"/>
            </w:tcBorders>
          </w:tcPr>
          <w:p w14:paraId="256BCB3F" w14:textId="77777777" w:rsidR="007847DF" w:rsidRPr="00BB5DBB" w:rsidRDefault="007847DF" w:rsidP="00F915F4">
            <w:pPr>
              <w:jc w:val="center"/>
              <w:rPr>
                <w:sz w:val="22"/>
                <w:szCs w:val="22"/>
              </w:rPr>
            </w:pPr>
            <w:r w:rsidRPr="00BB5DBB">
              <w:rPr>
                <w:sz w:val="22"/>
                <w:szCs w:val="22"/>
              </w:rPr>
              <w:t>5</w:t>
            </w:r>
          </w:p>
        </w:tc>
      </w:tr>
      <w:tr w:rsidR="007847DF" w:rsidRPr="00BB5DBB" w14:paraId="63DCFDD6" w14:textId="77777777" w:rsidTr="00A42AE8">
        <w:trPr>
          <w:trHeight w:val="388"/>
          <w:tblHeader/>
        </w:trPr>
        <w:tc>
          <w:tcPr>
            <w:tcW w:w="3420" w:type="dxa"/>
            <w:tcBorders>
              <w:top w:val="single" w:sz="4" w:space="0" w:color="auto"/>
              <w:left w:val="single" w:sz="4" w:space="0" w:color="auto"/>
              <w:bottom w:val="nil"/>
              <w:right w:val="single" w:sz="4" w:space="0" w:color="auto"/>
            </w:tcBorders>
          </w:tcPr>
          <w:p w14:paraId="2B324817" w14:textId="77777777" w:rsidR="007847DF" w:rsidRPr="00BB5DBB" w:rsidRDefault="007847DF" w:rsidP="00F915F4">
            <w:pPr>
              <w:snapToGrid w:val="0"/>
              <w:spacing w:before="120"/>
              <w:rPr>
                <w:b/>
                <w:bCs/>
                <w:sz w:val="20"/>
                <w:szCs w:val="20"/>
              </w:rPr>
            </w:pPr>
            <w:r w:rsidRPr="00BB5DBB">
              <w:rPr>
                <w:b/>
                <w:bCs/>
                <w:sz w:val="20"/>
                <w:szCs w:val="20"/>
              </w:rPr>
              <w:t>Veřejné rozpočty územní úrovně</w:t>
            </w:r>
          </w:p>
          <w:p w14:paraId="43046D00" w14:textId="77777777" w:rsidR="007847DF" w:rsidRPr="00BB5DBB" w:rsidRDefault="007847DF" w:rsidP="00F915F4">
            <w:pPr>
              <w:rPr>
                <w:sz w:val="20"/>
                <w:szCs w:val="20"/>
              </w:rPr>
            </w:pPr>
            <w:r w:rsidRPr="00BB5DBB">
              <w:rPr>
                <w:sz w:val="20"/>
                <w:szCs w:val="20"/>
              </w:rPr>
              <w:t xml:space="preserve">v tom: </w:t>
            </w:r>
          </w:p>
        </w:tc>
        <w:tc>
          <w:tcPr>
            <w:tcW w:w="1152" w:type="dxa"/>
            <w:tcBorders>
              <w:top w:val="single" w:sz="4" w:space="0" w:color="auto"/>
              <w:left w:val="single" w:sz="4" w:space="0" w:color="auto"/>
              <w:bottom w:val="nil"/>
              <w:right w:val="single" w:sz="4" w:space="0" w:color="auto"/>
            </w:tcBorders>
          </w:tcPr>
          <w:p w14:paraId="1BD68041" w14:textId="77777777" w:rsidR="007847DF" w:rsidRPr="00BB5DBB" w:rsidRDefault="007847DF" w:rsidP="00F915F4">
            <w:pPr>
              <w:snapToGrid w:val="0"/>
              <w:spacing w:before="120"/>
              <w:jc w:val="right"/>
              <w:rPr>
                <w:b/>
                <w:bCs/>
                <w:sz w:val="20"/>
                <w:szCs w:val="20"/>
              </w:rPr>
            </w:pPr>
            <w:r w:rsidRPr="00BB5DBB">
              <w:rPr>
                <w:b/>
                <w:bCs/>
                <w:sz w:val="20"/>
                <w:szCs w:val="20"/>
              </w:rPr>
              <w:t>81 571</w:t>
            </w:r>
          </w:p>
        </w:tc>
        <w:tc>
          <w:tcPr>
            <w:tcW w:w="1152" w:type="dxa"/>
            <w:tcBorders>
              <w:top w:val="single" w:sz="4" w:space="0" w:color="auto"/>
              <w:left w:val="single" w:sz="4" w:space="0" w:color="auto"/>
              <w:bottom w:val="nil"/>
              <w:right w:val="single" w:sz="4" w:space="0" w:color="auto"/>
            </w:tcBorders>
          </w:tcPr>
          <w:p w14:paraId="0F02FCA2" w14:textId="77777777" w:rsidR="007847DF" w:rsidRPr="00BB5DBB" w:rsidRDefault="007847DF" w:rsidP="00F915F4">
            <w:pPr>
              <w:snapToGrid w:val="0"/>
              <w:spacing w:before="120"/>
              <w:jc w:val="right"/>
              <w:rPr>
                <w:b/>
                <w:bCs/>
                <w:sz w:val="20"/>
                <w:szCs w:val="20"/>
              </w:rPr>
            </w:pPr>
            <w:r w:rsidRPr="00BB5DBB">
              <w:rPr>
                <w:b/>
                <w:bCs/>
                <w:sz w:val="20"/>
                <w:szCs w:val="20"/>
              </w:rPr>
              <w:t>1 079 829</w:t>
            </w:r>
          </w:p>
        </w:tc>
        <w:tc>
          <w:tcPr>
            <w:tcW w:w="1152" w:type="dxa"/>
            <w:tcBorders>
              <w:top w:val="single" w:sz="4" w:space="0" w:color="auto"/>
              <w:left w:val="single" w:sz="4" w:space="0" w:color="auto"/>
              <w:bottom w:val="nil"/>
              <w:right w:val="single" w:sz="4" w:space="0" w:color="auto"/>
            </w:tcBorders>
          </w:tcPr>
          <w:p w14:paraId="00A27D1E" w14:textId="77777777" w:rsidR="007847DF" w:rsidRPr="00BB5DBB" w:rsidRDefault="007847DF" w:rsidP="00F915F4">
            <w:pPr>
              <w:snapToGrid w:val="0"/>
              <w:spacing w:before="120"/>
              <w:jc w:val="right"/>
              <w:rPr>
                <w:b/>
                <w:bCs/>
                <w:sz w:val="20"/>
                <w:szCs w:val="20"/>
              </w:rPr>
            </w:pPr>
            <w:r w:rsidRPr="00BB5DBB">
              <w:rPr>
                <w:b/>
                <w:bCs/>
                <w:sz w:val="20"/>
                <w:szCs w:val="20"/>
              </w:rPr>
              <w:t>5 194</w:t>
            </w:r>
          </w:p>
        </w:tc>
        <w:tc>
          <w:tcPr>
            <w:tcW w:w="1152" w:type="dxa"/>
            <w:tcBorders>
              <w:top w:val="single" w:sz="4" w:space="0" w:color="auto"/>
              <w:left w:val="single" w:sz="4" w:space="0" w:color="auto"/>
              <w:bottom w:val="nil"/>
              <w:right w:val="single" w:sz="4" w:space="0" w:color="auto"/>
            </w:tcBorders>
          </w:tcPr>
          <w:p w14:paraId="74A68617" w14:textId="77777777" w:rsidR="007847DF" w:rsidRPr="00BB5DBB" w:rsidRDefault="007847DF" w:rsidP="00F915F4">
            <w:pPr>
              <w:snapToGrid w:val="0"/>
              <w:spacing w:before="120"/>
              <w:jc w:val="right"/>
              <w:rPr>
                <w:b/>
                <w:bCs/>
                <w:sz w:val="20"/>
                <w:szCs w:val="20"/>
              </w:rPr>
            </w:pPr>
            <w:r w:rsidRPr="00BB5DBB">
              <w:rPr>
                <w:b/>
                <w:bCs/>
                <w:sz w:val="20"/>
                <w:szCs w:val="20"/>
              </w:rPr>
              <w:t>0</w:t>
            </w:r>
          </w:p>
        </w:tc>
        <w:tc>
          <w:tcPr>
            <w:tcW w:w="1152" w:type="dxa"/>
            <w:tcBorders>
              <w:top w:val="single" w:sz="4" w:space="0" w:color="auto"/>
              <w:left w:val="single" w:sz="4" w:space="0" w:color="auto"/>
              <w:bottom w:val="nil"/>
              <w:right w:val="single" w:sz="4" w:space="0" w:color="auto"/>
            </w:tcBorders>
          </w:tcPr>
          <w:p w14:paraId="33732847" w14:textId="77777777" w:rsidR="007847DF" w:rsidRPr="00BB5DBB" w:rsidRDefault="007847DF" w:rsidP="00F915F4">
            <w:pPr>
              <w:snapToGrid w:val="0"/>
              <w:spacing w:before="120"/>
              <w:jc w:val="right"/>
              <w:rPr>
                <w:b/>
                <w:bCs/>
                <w:sz w:val="20"/>
                <w:szCs w:val="20"/>
              </w:rPr>
            </w:pPr>
            <w:r w:rsidRPr="00BB5DBB">
              <w:rPr>
                <w:b/>
                <w:bCs/>
                <w:sz w:val="20"/>
                <w:szCs w:val="20"/>
              </w:rPr>
              <w:t>0</w:t>
            </w:r>
          </w:p>
        </w:tc>
      </w:tr>
      <w:tr w:rsidR="007847DF" w:rsidRPr="00BB5DBB" w14:paraId="047061B2" w14:textId="77777777" w:rsidTr="00A42AE8">
        <w:trPr>
          <w:tblHeader/>
        </w:trPr>
        <w:tc>
          <w:tcPr>
            <w:tcW w:w="3420" w:type="dxa"/>
            <w:tcBorders>
              <w:top w:val="nil"/>
              <w:left w:val="single" w:sz="4" w:space="0" w:color="auto"/>
              <w:bottom w:val="nil"/>
              <w:right w:val="single" w:sz="4" w:space="0" w:color="auto"/>
            </w:tcBorders>
          </w:tcPr>
          <w:p w14:paraId="3002F6F9" w14:textId="77777777" w:rsidR="007847DF" w:rsidRPr="00BB5DBB" w:rsidRDefault="007847DF" w:rsidP="00F915F4">
            <w:pPr>
              <w:snapToGrid w:val="0"/>
              <w:jc w:val="both"/>
              <w:rPr>
                <w:sz w:val="20"/>
                <w:szCs w:val="20"/>
              </w:rPr>
            </w:pPr>
            <w:r w:rsidRPr="00BB5DBB">
              <w:rPr>
                <w:sz w:val="20"/>
                <w:szCs w:val="20"/>
              </w:rPr>
              <w:t>Obce</w:t>
            </w:r>
          </w:p>
        </w:tc>
        <w:tc>
          <w:tcPr>
            <w:tcW w:w="1152" w:type="dxa"/>
            <w:tcBorders>
              <w:top w:val="nil"/>
              <w:left w:val="single" w:sz="4" w:space="0" w:color="auto"/>
              <w:bottom w:val="nil"/>
              <w:right w:val="single" w:sz="4" w:space="0" w:color="auto"/>
            </w:tcBorders>
          </w:tcPr>
          <w:p w14:paraId="7CC98E70" w14:textId="77777777" w:rsidR="007847DF" w:rsidRPr="00BB5DBB" w:rsidRDefault="007847DF" w:rsidP="00F915F4">
            <w:pPr>
              <w:snapToGrid w:val="0"/>
              <w:jc w:val="right"/>
              <w:rPr>
                <w:sz w:val="20"/>
                <w:szCs w:val="20"/>
              </w:rPr>
            </w:pPr>
            <w:r w:rsidRPr="00BB5DBB">
              <w:rPr>
                <w:sz w:val="20"/>
                <w:szCs w:val="20"/>
              </w:rPr>
              <w:t>81 571</w:t>
            </w:r>
          </w:p>
        </w:tc>
        <w:tc>
          <w:tcPr>
            <w:tcW w:w="1152" w:type="dxa"/>
            <w:tcBorders>
              <w:top w:val="nil"/>
              <w:left w:val="single" w:sz="4" w:space="0" w:color="auto"/>
              <w:bottom w:val="nil"/>
              <w:right w:val="single" w:sz="4" w:space="0" w:color="auto"/>
            </w:tcBorders>
          </w:tcPr>
          <w:p w14:paraId="5B6A52AD" w14:textId="77777777" w:rsidR="007847DF" w:rsidRPr="00BB5DBB" w:rsidRDefault="007847DF" w:rsidP="00F915F4">
            <w:pPr>
              <w:snapToGrid w:val="0"/>
              <w:jc w:val="right"/>
              <w:rPr>
                <w:sz w:val="20"/>
                <w:szCs w:val="20"/>
              </w:rPr>
            </w:pPr>
            <w:r w:rsidRPr="00BB5DBB">
              <w:rPr>
                <w:sz w:val="20"/>
                <w:szCs w:val="20"/>
              </w:rPr>
              <w:t>1 079 829</w:t>
            </w:r>
          </w:p>
        </w:tc>
        <w:tc>
          <w:tcPr>
            <w:tcW w:w="1152" w:type="dxa"/>
            <w:tcBorders>
              <w:top w:val="nil"/>
              <w:left w:val="single" w:sz="4" w:space="0" w:color="auto"/>
              <w:bottom w:val="nil"/>
              <w:right w:val="single" w:sz="4" w:space="0" w:color="auto"/>
            </w:tcBorders>
          </w:tcPr>
          <w:p w14:paraId="18F29795" w14:textId="77777777" w:rsidR="007847DF" w:rsidRPr="00BB5DBB" w:rsidRDefault="007847DF" w:rsidP="00F915F4">
            <w:pPr>
              <w:snapToGrid w:val="0"/>
              <w:jc w:val="right"/>
              <w:rPr>
                <w:sz w:val="20"/>
                <w:szCs w:val="20"/>
              </w:rPr>
            </w:pPr>
            <w:r w:rsidRPr="00BB5DBB">
              <w:rPr>
                <w:sz w:val="20"/>
                <w:szCs w:val="20"/>
              </w:rPr>
              <w:t>5 194</w:t>
            </w:r>
          </w:p>
        </w:tc>
        <w:tc>
          <w:tcPr>
            <w:tcW w:w="1152" w:type="dxa"/>
            <w:tcBorders>
              <w:top w:val="nil"/>
              <w:left w:val="single" w:sz="4" w:space="0" w:color="auto"/>
              <w:bottom w:val="nil"/>
              <w:right w:val="single" w:sz="4" w:space="0" w:color="auto"/>
            </w:tcBorders>
          </w:tcPr>
          <w:p w14:paraId="2DADF5B6" w14:textId="77777777" w:rsidR="007847DF" w:rsidRPr="00BB5DBB" w:rsidRDefault="007847DF" w:rsidP="00F915F4">
            <w:pPr>
              <w:snapToGrid w:val="0"/>
              <w:jc w:val="right"/>
              <w:rPr>
                <w:sz w:val="20"/>
                <w:szCs w:val="20"/>
              </w:rPr>
            </w:pPr>
            <w:r w:rsidRPr="00BB5DBB">
              <w:rPr>
                <w:sz w:val="20"/>
                <w:szCs w:val="20"/>
              </w:rPr>
              <w:t>0</w:t>
            </w:r>
          </w:p>
        </w:tc>
        <w:tc>
          <w:tcPr>
            <w:tcW w:w="1152" w:type="dxa"/>
            <w:tcBorders>
              <w:top w:val="nil"/>
              <w:left w:val="single" w:sz="4" w:space="0" w:color="auto"/>
              <w:bottom w:val="nil"/>
              <w:right w:val="single" w:sz="4" w:space="0" w:color="auto"/>
            </w:tcBorders>
          </w:tcPr>
          <w:p w14:paraId="05B82502" w14:textId="77777777" w:rsidR="007847DF" w:rsidRPr="00BB5DBB" w:rsidRDefault="007847DF" w:rsidP="00F915F4">
            <w:pPr>
              <w:snapToGrid w:val="0"/>
              <w:jc w:val="right"/>
              <w:rPr>
                <w:sz w:val="20"/>
                <w:szCs w:val="20"/>
              </w:rPr>
            </w:pPr>
            <w:r w:rsidRPr="00BB5DBB">
              <w:rPr>
                <w:sz w:val="20"/>
                <w:szCs w:val="20"/>
              </w:rPr>
              <w:t>0</w:t>
            </w:r>
          </w:p>
        </w:tc>
      </w:tr>
      <w:tr w:rsidR="007847DF" w:rsidRPr="00BB5DBB" w14:paraId="266BAF97" w14:textId="77777777" w:rsidTr="00A42AE8">
        <w:trPr>
          <w:tblHeader/>
        </w:trPr>
        <w:tc>
          <w:tcPr>
            <w:tcW w:w="3420" w:type="dxa"/>
            <w:tcBorders>
              <w:top w:val="nil"/>
              <w:left w:val="single" w:sz="4" w:space="0" w:color="auto"/>
              <w:bottom w:val="single" w:sz="4" w:space="0" w:color="auto"/>
              <w:right w:val="single" w:sz="4" w:space="0" w:color="auto"/>
            </w:tcBorders>
          </w:tcPr>
          <w:p w14:paraId="6660A455" w14:textId="77777777" w:rsidR="007847DF" w:rsidRPr="00BB5DBB" w:rsidRDefault="007847DF" w:rsidP="00F915F4">
            <w:pPr>
              <w:snapToGrid w:val="0"/>
              <w:jc w:val="both"/>
              <w:rPr>
                <w:sz w:val="20"/>
                <w:szCs w:val="20"/>
              </w:rPr>
            </w:pPr>
            <w:r w:rsidRPr="00BB5DBB">
              <w:rPr>
                <w:sz w:val="20"/>
                <w:szCs w:val="20"/>
              </w:rPr>
              <w:t>Kraje</w:t>
            </w:r>
          </w:p>
        </w:tc>
        <w:tc>
          <w:tcPr>
            <w:tcW w:w="1152" w:type="dxa"/>
            <w:tcBorders>
              <w:top w:val="nil"/>
              <w:left w:val="single" w:sz="4" w:space="0" w:color="auto"/>
              <w:bottom w:val="single" w:sz="4" w:space="0" w:color="auto"/>
              <w:right w:val="single" w:sz="4" w:space="0" w:color="auto"/>
            </w:tcBorders>
          </w:tcPr>
          <w:p w14:paraId="248D3356" w14:textId="77777777" w:rsidR="007847DF" w:rsidRPr="00BB5DBB" w:rsidRDefault="007847DF" w:rsidP="00F915F4">
            <w:pPr>
              <w:snapToGrid w:val="0"/>
              <w:jc w:val="right"/>
              <w:rPr>
                <w:sz w:val="20"/>
                <w:szCs w:val="20"/>
              </w:rPr>
            </w:pPr>
            <w:r w:rsidRPr="00BB5DBB">
              <w:rPr>
                <w:sz w:val="20"/>
                <w:szCs w:val="20"/>
              </w:rPr>
              <w:t>0</w:t>
            </w:r>
          </w:p>
        </w:tc>
        <w:tc>
          <w:tcPr>
            <w:tcW w:w="1152" w:type="dxa"/>
            <w:tcBorders>
              <w:top w:val="nil"/>
              <w:left w:val="single" w:sz="4" w:space="0" w:color="auto"/>
              <w:bottom w:val="single" w:sz="4" w:space="0" w:color="auto"/>
              <w:right w:val="single" w:sz="4" w:space="0" w:color="auto"/>
            </w:tcBorders>
          </w:tcPr>
          <w:p w14:paraId="57F737A4" w14:textId="77777777" w:rsidR="007847DF" w:rsidRPr="00BB5DBB" w:rsidRDefault="007847DF" w:rsidP="00F915F4">
            <w:pPr>
              <w:snapToGrid w:val="0"/>
              <w:jc w:val="right"/>
              <w:rPr>
                <w:sz w:val="20"/>
                <w:szCs w:val="20"/>
              </w:rPr>
            </w:pPr>
            <w:r w:rsidRPr="00BB5DBB">
              <w:rPr>
                <w:sz w:val="20"/>
                <w:szCs w:val="20"/>
              </w:rPr>
              <w:t>0</w:t>
            </w:r>
          </w:p>
        </w:tc>
        <w:tc>
          <w:tcPr>
            <w:tcW w:w="1152" w:type="dxa"/>
            <w:tcBorders>
              <w:top w:val="nil"/>
              <w:left w:val="single" w:sz="4" w:space="0" w:color="auto"/>
              <w:bottom w:val="single" w:sz="4" w:space="0" w:color="auto"/>
              <w:right w:val="single" w:sz="4" w:space="0" w:color="auto"/>
            </w:tcBorders>
          </w:tcPr>
          <w:p w14:paraId="421E80C5" w14:textId="77777777" w:rsidR="007847DF" w:rsidRPr="00BB5DBB" w:rsidRDefault="007847DF" w:rsidP="00F915F4">
            <w:pPr>
              <w:snapToGrid w:val="0"/>
              <w:jc w:val="right"/>
              <w:rPr>
                <w:sz w:val="20"/>
                <w:szCs w:val="20"/>
              </w:rPr>
            </w:pPr>
            <w:r w:rsidRPr="00BB5DBB">
              <w:rPr>
                <w:sz w:val="20"/>
                <w:szCs w:val="20"/>
              </w:rPr>
              <w:t>0</w:t>
            </w:r>
          </w:p>
        </w:tc>
        <w:tc>
          <w:tcPr>
            <w:tcW w:w="1152" w:type="dxa"/>
            <w:tcBorders>
              <w:top w:val="nil"/>
              <w:left w:val="single" w:sz="4" w:space="0" w:color="auto"/>
              <w:bottom w:val="single" w:sz="4" w:space="0" w:color="auto"/>
              <w:right w:val="single" w:sz="4" w:space="0" w:color="auto"/>
            </w:tcBorders>
          </w:tcPr>
          <w:p w14:paraId="273ED884" w14:textId="77777777" w:rsidR="007847DF" w:rsidRPr="00BB5DBB" w:rsidRDefault="007847DF" w:rsidP="00F915F4">
            <w:pPr>
              <w:snapToGrid w:val="0"/>
              <w:jc w:val="right"/>
              <w:rPr>
                <w:sz w:val="20"/>
                <w:szCs w:val="20"/>
              </w:rPr>
            </w:pPr>
            <w:r w:rsidRPr="00BB5DBB">
              <w:rPr>
                <w:sz w:val="20"/>
                <w:szCs w:val="20"/>
              </w:rPr>
              <w:t>0</w:t>
            </w:r>
          </w:p>
        </w:tc>
        <w:tc>
          <w:tcPr>
            <w:tcW w:w="1152" w:type="dxa"/>
            <w:tcBorders>
              <w:top w:val="nil"/>
              <w:left w:val="single" w:sz="4" w:space="0" w:color="auto"/>
              <w:bottom w:val="single" w:sz="4" w:space="0" w:color="auto"/>
              <w:right w:val="single" w:sz="4" w:space="0" w:color="auto"/>
            </w:tcBorders>
          </w:tcPr>
          <w:p w14:paraId="3104F65A" w14:textId="77777777" w:rsidR="007847DF" w:rsidRPr="00BB5DBB" w:rsidRDefault="007847DF" w:rsidP="00F915F4">
            <w:pPr>
              <w:snapToGrid w:val="0"/>
              <w:jc w:val="right"/>
              <w:rPr>
                <w:sz w:val="20"/>
                <w:szCs w:val="20"/>
              </w:rPr>
            </w:pPr>
            <w:r w:rsidRPr="00BB5DBB">
              <w:rPr>
                <w:sz w:val="20"/>
                <w:szCs w:val="20"/>
              </w:rPr>
              <w:t>0</w:t>
            </w:r>
          </w:p>
        </w:tc>
      </w:tr>
    </w:tbl>
    <w:p w14:paraId="0C3C05FB" w14:textId="77777777" w:rsidR="007847DF" w:rsidRPr="0048139A" w:rsidRDefault="007847DF" w:rsidP="00A42AE8">
      <w:pPr>
        <w:pStyle w:val="KOMtext"/>
      </w:pPr>
      <w:r w:rsidRPr="0048139A">
        <w:lastRenderedPageBreak/>
        <w:t xml:space="preserve">Kolísavé čerpání prostředků  je odrazem stavu realizace jednotlivých programů.  Investiční transfery programu </w:t>
      </w:r>
      <w:r w:rsidRPr="0048139A">
        <w:rPr>
          <w:lang w:eastAsia="ar-SA"/>
        </w:rPr>
        <w:t>127 21 „Obnova místních komunikací po povodních“</w:t>
      </w:r>
      <w:r w:rsidRPr="0048139A">
        <w:t xml:space="preserve"> v roce 2016 kulminovaly. V roce 2016 došlo k výraznému jednorázovému nárůstu čerpání především z důvodu dočerpání prostředků Operačního pro</w:t>
      </w:r>
      <w:r w:rsidR="00DE2BBD">
        <w:t xml:space="preserve">gramu Doprava (2007-2013), a to </w:t>
      </w:r>
      <w:r w:rsidRPr="0048139A">
        <w:t>prostřednictvím programu 127 43 „Zavádění systému řízení a regulace silničního provozu v Praze – 2015“. Program 127 21 „Obnova místních komunikací po povodních“ byl v roce 2017 ukončen.</w:t>
      </w:r>
    </w:p>
    <w:p w14:paraId="75BE24A7" w14:textId="77777777" w:rsidR="00DE1E79" w:rsidRPr="007847DF" w:rsidRDefault="00DE1E79" w:rsidP="00A42AE8">
      <w:pPr>
        <w:pStyle w:val="Nadpis3"/>
      </w:pPr>
      <w:bookmarkStart w:id="995" w:name="_Toc1376849"/>
      <w:bookmarkStart w:id="996" w:name="_Toc34286478"/>
      <w:r w:rsidRPr="007847DF">
        <w:t>Investiční transfery podnikatelským subjektům</w:t>
      </w:r>
      <w:bookmarkEnd w:id="992"/>
      <w:bookmarkEnd w:id="993"/>
      <w:bookmarkEnd w:id="994"/>
      <w:bookmarkEnd w:id="995"/>
      <w:bookmarkEnd w:id="996"/>
    </w:p>
    <w:p w14:paraId="1A911CE5" w14:textId="77777777" w:rsidR="007847DF" w:rsidRPr="002B3D4A" w:rsidRDefault="007847DF" w:rsidP="00A42AE8">
      <w:pPr>
        <w:pStyle w:val="KOMtext"/>
      </w:pPr>
      <w:bookmarkStart w:id="997" w:name="_Toc508879907"/>
      <w:bookmarkStart w:id="998" w:name="_Toc508880183"/>
      <w:bookmarkStart w:id="999" w:name="_Toc1376850"/>
      <w:r w:rsidRPr="002B3D4A">
        <w:t xml:space="preserve">Schválený rozpočet ve výši </w:t>
      </w:r>
      <w:r>
        <w:t>37 485</w:t>
      </w:r>
      <w:r w:rsidRPr="002B3D4A">
        <w:t xml:space="preserve"> tis. Kč, z toho prostředky EU </w:t>
      </w:r>
      <w:r>
        <w:t>37 485</w:t>
      </w:r>
      <w:r w:rsidRPr="002B3D4A">
        <w:t xml:space="preserve"> tis. Kč </w:t>
      </w:r>
      <w:r>
        <w:t>ne</w:t>
      </w:r>
      <w:r w:rsidRPr="002B3D4A">
        <w:t>byl v průběhu roku 201</w:t>
      </w:r>
      <w:r>
        <w:t>9</w:t>
      </w:r>
      <w:r w:rsidRPr="002B3D4A">
        <w:t xml:space="preserve"> uprav</w:t>
      </w:r>
      <w:r>
        <w:t>ován.</w:t>
      </w:r>
    </w:p>
    <w:p w14:paraId="4C0E4B57" w14:textId="77777777" w:rsidR="007847DF" w:rsidRDefault="007847DF" w:rsidP="00A42AE8">
      <w:pPr>
        <w:pStyle w:val="KOMtext"/>
      </w:pPr>
      <w:r w:rsidRPr="002B3D4A">
        <w:t>Čerpání dosáhlo výše 1 145 tis. Kč</w:t>
      </w:r>
      <w:r w:rsidRPr="004D2594">
        <w:t xml:space="preserve">, což představuje 3,05 %  schváleného (upraveného) rozpočtu, z toho prostředky EU 1 145 tis. Kč, z toho mimorozpočtový zdroj (RF) 1 145 tis. Kč. </w:t>
      </w:r>
    </w:p>
    <w:p w14:paraId="5B6D33C0" w14:textId="77777777" w:rsidR="007847DF" w:rsidRPr="004D2594" w:rsidRDefault="007847DF" w:rsidP="00DB2320">
      <w:pPr>
        <w:keepNext/>
        <w:ind w:left="357" w:right="1"/>
        <w:jc w:val="right"/>
        <w:rPr>
          <w:lang w:eastAsia="ar-SA"/>
        </w:rPr>
      </w:pPr>
      <w:r w:rsidRPr="004D2594">
        <w:rPr>
          <w:lang w:eastAsia="ar-SA"/>
        </w:rPr>
        <w:t xml:space="preserve">v </w:t>
      </w:r>
      <w:r w:rsidRPr="00DB2320">
        <w:rPr>
          <w:szCs w:val="20"/>
        </w:rPr>
        <w:t>tis</w:t>
      </w:r>
      <w:r w:rsidRPr="004D2594">
        <w:rPr>
          <w:lang w:eastAsia="ar-SA"/>
        </w:rPr>
        <w:t>. Kč</w:t>
      </w:r>
    </w:p>
    <w:tbl>
      <w:tblPr>
        <w:tblW w:w="9221" w:type="dxa"/>
        <w:tblInd w:w="108" w:type="dxa"/>
        <w:tblLayout w:type="fixed"/>
        <w:tblLook w:val="0000" w:firstRow="0" w:lastRow="0" w:firstColumn="0" w:lastColumn="0" w:noHBand="0" w:noVBand="0"/>
      </w:tblPr>
      <w:tblGrid>
        <w:gridCol w:w="3572"/>
        <w:gridCol w:w="1191"/>
        <w:gridCol w:w="1247"/>
        <w:gridCol w:w="1145"/>
        <w:gridCol w:w="1216"/>
        <w:gridCol w:w="850"/>
      </w:tblGrid>
      <w:tr w:rsidR="007847DF" w:rsidRPr="004D2594" w14:paraId="79E8F9F1" w14:textId="77777777" w:rsidTr="00A06E49">
        <w:trPr>
          <w:tblHeader/>
        </w:trPr>
        <w:tc>
          <w:tcPr>
            <w:tcW w:w="3572" w:type="dxa"/>
            <w:tcBorders>
              <w:top w:val="single" w:sz="4" w:space="0" w:color="auto"/>
              <w:left w:val="single" w:sz="4" w:space="0" w:color="auto"/>
              <w:bottom w:val="single" w:sz="4" w:space="0" w:color="000000"/>
            </w:tcBorders>
          </w:tcPr>
          <w:p w14:paraId="07674337" w14:textId="77777777" w:rsidR="007847DF" w:rsidRPr="004D2594" w:rsidRDefault="007847DF" w:rsidP="00F915F4">
            <w:pPr>
              <w:snapToGrid w:val="0"/>
              <w:jc w:val="center"/>
              <w:rPr>
                <w:sz w:val="22"/>
                <w:szCs w:val="22"/>
                <w:lang w:eastAsia="ar-SA"/>
              </w:rPr>
            </w:pPr>
            <w:bookmarkStart w:id="1000" w:name="_Toc508879906"/>
            <w:bookmarkStart w:id="1001" w:name="_Toc508880182"/>
          </w:p>
          <w:p w14:paraId="1F8A4F21" w14:textId="77777777" w:rsidR="007847DF" w:rsidRPr="004D2594" w:rsidRDefault="007847DF" w:rsidP="00F915F4">
            <w:pPr>
              <w:jc w:val="center"/>
              <w:rPr>
                <w:sz w:val="22"/>
                <w:szCs w:val="22"/>
                <w:lang w:eastAsia="ar-SA"/>
              </w:rPr>
            </w:pPr>
            <w:r w:rsidRPr="004D2594">
              <w:rPr>
                <w:sz w:val="22"/>
                <w:szCs w:val="22"/>
                <w:lang w:eastAsia="ar-SA"/>
              </w:rPr>
              <w:t>Ukazatel</w:t>
            </w:r>
          </w:p>
        </w:tc>
        <w:tc>
          <w:tcPr>
            <w:tcW w:w="1191" w:type="dxa"/>
            <w:tcBorders>
              <w:top w:val="single" w:sz="4" w:space="0" w:color="auto"/>
              <w:left w:val="single" w:sz="4" w:space="0" w:color="000000"/>
              <w:bottom w:val="single" w:sz="4" w:space="0" w:color="000000"/>
            </w:tcBorders>
            <w:vAlign w:val="center"/>
          </w:tcPr>
          <w:p w14:paraId="180A56AB" w14:textId="77777777" w:rsidR="007847DF" w:rsidRPr="004D2594" w:rsidRDefault="007847DF" w:rsidP="00F915F4">
            <w:pPr>
              <w:snapToGrid w:val="0"/>
              <w:jc w:val="center"/>
              <w:rPr>
                <w:sz w:val="22"/>
                <w:szCs w:val="22"/>
                <w:lang w:eastAsia="ar-SA"/>
              </w:rPr>
            </w:pPr>
            <w:r w:rsidRPr="004D2594">
              <w:rPr>
                <w:sz w:val="22"/>
                <w:szCs w:val="22"/>
                <w:lang w:eastAsia="ar-SA"/>
              </w:rPr>
              <w:t>Skutečnost</w:t>
            </w:r>
          </w:p>
          <w:p w14:paraId="5FABA201" w14:textId="77777777" w:rsidR="007847DF" w:rsidRPr="004D2594" w:rsidRDefault="007847DF" w:rsidP="00F915F4">
            <w:pPr>
              <w:jc w:val="center"/>
              <w:rPr>
                <w:sz w:val="22"/>
                <w:szCs w:val="22"/>
                <w:lang w:eastAsia="ar-SA"/>
              </w:rPr>
            </w:pPr>
            <w:r w:rsidRPr="004D2594">
              <w:rPr>
                <w:sz w:val="22"/>
                <w:szCs w:val="22"/>
                <w:lang w:eastAsia="ar-SA"/>
              </w:rPr>
              <w:t>2018</w:t>
            </w:r>
          </w:p>
        </w:tc>
        <w:tc>
          <w:tcPr>
            <w:tcW w:w="1247" w:type="dxa"/>
            <w:tcBorders>
              <w:top w:val="single" w:sz="4" w:space="0" w:color="auto"/>
              <w:left w:val="single" w:sz="4" w:space="0" w:color="000000"/>
              <w:bottom w:val="single" w:sz="4" w:space="0" w:color="000000"/>
            </w:tcBorders>
            <w:vAlign w:val="center"/>
          </w:tcPr>
          <w:p w14:paraId="5672EFEE" w14:textId="77777777" w:rsidR="007847DF" w:rsidRPr="004D2594" w:rsidRDefault="007847DF" w:rsidP="00F915F4">
            <w:pPr>
              <w:snapToGrid w:val="0"/>
              <w:jc w:val="center"/>
              <w:rPr>
                <w:sz w:val="22"/>
                <w:szCs w:val="22"/>
                <w:lang w:eastAsia="ar-SA"/>
              </w:rPr>
            </w:pPr>
            <w:r w:rsidRPr="004D2594">
              <w:rPr>
                <w:sz w:val="22"/>
                <w:szCs w:val="22"/>
                <w:lang w:eastAsia="ar-SA"/>
              </w:rPr>
              <w:t>Schválený</w:t>
            </w:r>
          </w:p>
          <w:p w14:paraId="126B6910" w14:textId="77777777" w:rsidR="007847DF" w:rsidRPr="004D2594" w:rsidRDefault="007847DF" w:rsidP="00F915F4">
            <w:pPr>
              <w:jc w:val="center"/>
              <w:rPr>
                <w:sz w:val="22"/>
                <w:szCs w:val="22"/>
                <w:lang w:eastAsia="ar-SA"/>
              </w:rPr>
            </w:pPr>
            <w:r w:rsidRPr="004D2594">
              <w:rPr>
                <w:sz w:val="22"/>
                <w:szCs w:val="22"/>
                <w:lang w:eastAsia="ar-SA"/>
              </w:rPr>
              <w:t>rozpočet</w:t>
            </w:r>
          </w:p>
          <w:p w14:paraId="3DAA37FF" w14:textId="77777777" w:rsidR="007847DF" w:rsidRPr="004D2594" w:rsidRDefault="007847DF" w:rsidP="00F915F4">
            <w:pPr>
              <w:jc w:val="center"/>
              <w:rPr>
                <w:sz w:val="22"/>
                <w:szCs w:val="22"/>
                <w:lang w:eastAsia="ar-SA"/>
              </w:rPr>
            </w:pPr>
            <w:r w:rsidRPr="004D2594">
              <w:rPr>
                <w:sz w:val="22"/>
                <w:szCs w:val="22"/>
                <w:lang w:eastAsia="ar-SA"/>
              </w:rPr>
              <w:t>2019</w:t>
            </w:r>
          </w:p>
        </w:tc>
        <w:tc>
          <w:tcPr>
            <w:tcW w:w="1145" w:type="dxa"/>
            <w:tcBorders>
              <w:top w:val="single" w:sz="4" w:space="0" w:color="auto"/>
              <w:left w:val="single" w:sz="4" w:space="0" w:color="000000"/>
              <w:bottom w:val="single" w:sz="4" w:space="0" w:color="000000"/>
            </w:tcBorders>
            <w:vAlign w:val="center"/>
          </w:tcPr>
          <w:p w14:paraId="4632F96B" w14:textId="77777777" w:rsidR="007847DF" w:rsidRPr="004D2594" w:rsidRDefault="007847DF" w:rsidP="00F915F4">
            <w:pPr>
              <w:snapToGrid w:val="0"/>
              <w:jc w:val="center"/>
              <w:rPr>
                <w:sz w:val="22"/>
                <w:szCs w:val="22"/>
                <w:lang w:eastAsia="ar-SA"/>
              </w:rPr>
            </w:pPr>
            <w:r w:rsidRPr="004D2594">
              <w:rPr>
                <w:sz w:val="22"/>
                <w:szCs w:val="22"/>
                <w:lang w:eastAsia="ar-SA"/>
              </w:rPr>
              <w:t>Upravený</w:t>
            </w:r>
          </w:p>
          <w:p w14:paraId="2C975829" w14:textId="77777777" w:rsidR="007847DF" w:rsidRPr="004D2594" w:rsidRDefault="007847DF" w:rsidP="00F915F4">
            <w:pPr>
              <w:jc w:val="center"/>
              <w:rPr>
                <w:sz w:val="22"/>
                <w:szCs w:val="22"/>
                <w:lang w:eastAsia="ar-SA"/>
              </w:rPr>
            </w:pPr>
            <w:r w:rsidRPr="004D2594">
              <w:rPr>
                <w:sz w:val="22"/>
                <w:szCs w:val="22"/>
                <w:lang w:eastAsia="ar-SA"/>
              </w:rPr>
              <w:t>rozpočet</w:t>
            </w:r>
          </w:p>
          <w:p w14:paraId="451DF203" w14:textId="77777777" w:rsidR="007847DF" w:rsidRPr="004D2594" w:rsidRDefault="007847DF" w:rsidP="00F915F4">
            <w:pPr>
              <w:jc w:val="center"/>
              <w:rPr>
                <w:sz w:val="22"/>
                <w:szCs w:val="22"/>
                <w:lang w:eastAsia="ar-SA"/>
              </w:rPr>
            </w:pPr>
            <w:r w:rsidRPr="004D2594">
              <w:rPr>
                <w:sz w:val="22"/>
                <w:szCs w:val="22"/>
                <w:lang w:eastAsia="ar-SA"/>
              </w:rPr>
              <w:t>2019</w:t>
            </w:r>
          </w:p>
        </w:tc>
        <w:tc>
          <w:tcPr>
            <w:tcW w:w="1216" w:type="dxa"/>
            <w:tcBorders>
              <w:top w:val="single" w:sz="4" w:space="0" w:color="auto"/>
              <w:left w:val="single" w:sz="4" w:space="0" w:color="000000"/>
              <w:bottom w:val="single" w:sz="4" w:space="0" w:color="000000"/>
            </w:tcBorders>
            <w:vAlign w:val="center"/>
          </w:tcPr>
          <w:p w14:paraId="28DA441E" w14:textId="77777777" w:rsidR="007847DF" w:rsidRPr="004D2594" w:rsidRDefault="007847DF" w:rsidP="00F915F4">
            <w:pPr>
              <w:snapToGrid w:val="0"/>
              <w:jc w:val="center"/>
              <w:rPr>
                <w:sz w:val="22"/>
                <w:szCs w:val="22"/>
                <w:lang w:eastAsia="ar-SA"/>
              </w:rPr>
            </w:pPr>
            <w:r w:rsidRPr="004D2594">
              <w:rPr>
                <w:sz w:val="22"/>
                <w:szCs w:val="22"/>
                <w:lang w:eastAsia="ar-SA"/>
              </w:rPr>
              <w:t>Skutečnost</w:t>
            </w:r>
          </w:p>
          <w:p w14:paraId="5874035F" w14:textId="77777777" w:rsidR="007847DF" w:rsidRPr="004D2594" w:rsidRDefault="007847DF" w:rsidP="00F915F4">
            <w:pPr>
              <w:jc w:val="center"/>
              <w:rPr>
                <w:sz w:val="22"/>
                <w:szCs w:val="22"/>
                <w:lang w:eastAsia="ar-SA"/>
              </w:rPr>
            </w:pPr>
            <w:r w:rsidRPr="004D2594">
              <w:rPr>
                <w:sz w:val="22"/>
                <w:szCs w:val="22"/>
                <w:lang w:eastAsia="ar-SA"/>
              </w:rPr>
              <w:t>2019</w:t>
            </w:r>
          </w:p>
        </w:tc>
        <w:tc>
          <w:tcPr>
            <w:tcW w:w="850" w:type="dxa"/>
            <w:tcBorders>
              <w:top w:val="single" w:sz="4" w:space="0" w:color="auto"/>
              <w:left w:val="single" w:sz="4" w:space="0" w:color="000000"/>
              <w:bottom w:val="single" w:sz="4" w:space="0" w:color="000000"/>
              <w:right w:val="single" w:sz="4" w:space="0" w:color="auto"/>
            </w:tcBorders>
            <w:vAlign w:val="center"/>
          </w:tcPr>
          <w:p w14:paraId="75B2307F" w14:textId="77777777" w:rsidR="007847DF" w:rsidRPr="004D2594" w:rsidRDefault="007847DF" w:rsidP="00F915F4">
            <w:pPr>
              <w:snapToGrid w:val="0"/>
              <w:jc w:val="center"/>
              <w:rPr>
                <w:sz w:val="22"/>
                <w:szCs w:val="22"/>
                <w:lang w:eastAsia="ar-SA"/>
              </w:rPr>
            </w:pPr>
            <w:r w:rsidRPr="004D2594">
              <w:rPr>
                <w:sz w:val="22"/>
                <w:szCs w:val="22"/>
                <w:lang w:eastAsia="ar-SA"/>
              </w:rPr>
              <w:t>Index</w:t>
            </w:r>
          </w:p>
          <w:p w14:paraId="4FFB61EF" w14:textId="77777777" w:rsidR="007847DF" w:rsidRPr="004D2594" w:rsidRDefault="007847DF" w:rsidP="00F915F4">
            <w:pPr>
              <w:jc w:val="center"/>
              <w:rPr>
                <w:sz w:val="22"/>
                <w:szCs w:val="22"/>
                <w:lang w:eastAsia="ar-SA"/>
              </w:rPr>
            </w:pPr>
            <w:r w:rsidRPr="004D2594">
              <w:rPr>
                <w:sz w:val="22"/>
                <w:szCs w:val="22"/>
                <w:lang w:eastAsia="ar-SA"/>
              </w:rPr>
              <w:t>19/18       (v %)</w:t>
            </w:r>
          </w:p>
        </w:tc>
      </w:tr>
      <w:tr w:rsidR="007847DF" w:rsidRPr="004D2594" w14:paraId="6AE6D2C5" w14:textId="77777777" w:rsidTr="00A06E49">
        <w:trPr>
          <w:tblHeader/>
        </w:trPr>
        <w:tc>
          <w:tcPr>
            <w:tcW w:w="3572" w:type="dxa"/>
            <w:tcBorders>
              <w:left w:val="single" w:sz="4" w:space="0" w:color="auto"/>
              <w:bottom w:val="single" w:sz="4" w:space="0" w:color="000000"/>
            </w:tcBorders>
          </w:tcPr>
          <w:p w14:paraId="79C996DF" w14:textId="77777777" w:rsidR="007847DF" w:rsidRPr="004D2594" w:rsidRDefault="007847DF" w:rsidP="00F915F4">
            <w:pPr>
              <w:snapToGrid w:val="0"/>
              <w:jc w:val="center"/>
              <w:rPr>
                <w:sz w:val="22"/>
                <w:szCs w:val="22"/>
                <w:lang w:eastAsia="ar-SA"/>
              </w:rPr>
            </w:pPr>
            <w:r w:rsidRPr="004D2594">
              <w:rPr>
                <w:sz w:val="22"/>
                <w:szCs w:val="22"/>
                <w:lang w:eastAsia="ar-SA"/>
              </w:rPr>
              <w:t>a</w:t>
            </w:r>
          </w:p>
        </w:tc>
        <w:tc>
          <w:tcPr>
            <w:tcW w:w="1191" w:type="dxa"/>
            <w:tcBorders>
              <w:left w:val="single" w:sz="4" w:space="0" w:color="000000"/>
              <w:bottom w:val="single" w:sz="4" w:space="0" w:color="000000"/>
            </w:tcBorders>
          </w:tcPr>
          <w:p w14:paraId="45ADE0D2" w14:textId="77777777" w:rsidR="007847DF" w:rsidRPr="004D2594" w:rsidRDefault="007847DF" w:rsidP="00F915F4">
            <w:pPr>
              <w:snapToGrid w:val="0"/>
              <w:jc w:val="center"/>
              <w:rPr>
                <w:sz w:val="22"/>
                <w:szCs w:val="22"/>
                <w:lang w:eastAsia="ar-SA"/>
              </w:rPr>
            </w:pPr>
            <w:r w:rsidRPr="004D2594">
              <w:rPr>
                <w:sz w:val="22"/>
                <w:szCs w:val="22"/>
                <w:lang w:eastAsia="ar-SA"/>
              </w:rPr>
              <w:t>1</w:t>
            </w:r>
          </w:p>
        </w:tc>
        <w:tc>
          <w:tcPr>
            <w:tcW w:w="1247" w:type="dxa"/>
            <w:tcBorders>
              <w:left w:val="single" w:sz="4" w:space="0" w:color="000000"/>
              <w:bottom w:val="single" w:sz="4" w:space="0" w:color="000000"/>
            </w:tcBorders>
          </w:tcPr>
          <w:p w14:paraId="3A96C336" w14:textId="77777777" w:rsidR="007847DF" w:rsidRPr="004D2594" w:rsidRDefault="007847DF" w:rsidP="00F915F4">
            <w:pPr>
              <w:snapToGrid w:val="0"/>
              <w:jc w:val="center"/>
              <w:rPr>
                <w:sz w:val="22"/>
                <w:szCs w:val="22"/>
                <w:lang w:eastAsia="ar-SA"/>
              </w:rPr>
            </w:pPr>
            <w:r w:rsidRPr="004D2594">
              <w:rPr>
                <w:sz w:val="22"/>
                <w:szCs w:val="22"/>
                <w:lang w:eastAsia="ar-SA"/>
              </w:rPr>
              <w:t>2</w:t>
            </w:r>
          </w:p>
        </w:tc>
        <w:tc>
          <w:tcPr>
            <w:tcW w:w="1145" w:type="dxa"/>
            <w:tcBorders>
              <w:left w:val="single" w:sz="4" w:space="0" w:color="000000"/>
              <w:bottom w:val="single" w:sz="4" w:space="0" w:color="000000"/>
            </w:tcBorders>
          </w:tcPr>
          <w:p w14:paraId="44CBD02D" w14:textId="77777777" w:rsidR="007847DF" w:rsidRPr="004D2594" w:rsidRDefault="007847DF" w:rsidP="00F915F4">
            <w:pPr>
              <w:snapToGrid w:val="0"/>
              <w:jc w:val="center"/>
              <w:rPr>
                <w:sz w:val="22"/>
                <w:szCs w:val="22"/>
                <w:lang w:eastAsia="ar-SA"/>
              </w:rPr>
            </w:pPr>
            <w:r w:rsidRPr="004D2594">
              <w:rPr>
                <w:sz w:val="22"/>
                <w:szCs w:val="22"/>
                <w:lang w:eastAsia="ar-SA"/>
              </w:rPr>
              <w:t>3</w:t>
            </w:r>
          </w:p>
        </w:tc>
        <w:tc>
          <w:tcPr>
            <w:tcW w:w="1216" w:type="dxa"/>
            <w:tcBorders>
              <w:left w:val="single" w:sz="4" w:space="0" w:color="000000"/>
              <w:bottom w:val="single" w:sz="4" w:space="0" w:color="000000"/>
            </w:tcBorders>
          </w:tcPr>
          <w:p w14:paraId="59FE14DB" w14:textId="77777777" w:rsidR="007847DF" w:rsidRPr="004D2594" w:rsidRDefault="007847DF" w:rsidP="00F915F4">
            <w:pPr>
              <w:snapToGrid w:val="0"/>
              <w:jc w:val="center"/>
              <w:rPr>
                <w:sz w:val="22"/>
                <w:szCs w:val="22"/>
                <w:lang w:eastAsia="ar-SA"/>
              </w:rPr>
            </w:pPr>
            <w:r w:rsidRPr="004D2594">
              <w:rPr>
                <w:sz w:val="22"/>
                <w:szCs w:val="22"/>
                <w:lang w:eastAsia="ar-SA"/>
              </w:rPr>
              <w:t>4</w:t>
            </w:r>
          </w:p>
        </w:tc>
        <w:tc>
          <w:tcPr>
            <w:tcW w:w="850" w:type="dxa"/>
            <w:tcBorders>
              <w:left w:val="single" w:sz="4" w:space="0" w:color="000000"/>
              <w:bottom w:val="single" w:sz="4" w:space="0" w:color="000000"/>
              <w:right w:val="single" w:sz="4" w:space="0" w:color="auto"/>
            </w:tcBorders>
          </w:tcPr>
          <w:p w14:paraId="0372EC7B" w14:textId="77777777" w:rsidR="007847DF" w:rsidRPr="004D2594" w:rsidRDefault="007847DF" w:rsidP="00F915F4">
            <w:pPr>
              <w:snapToGrid w:val="0"/>
              <w:jc w:val="center"/>
              <w:rPr>
                <w:sz w:val="22"/>
                <w:szCs w:val="22"/>
                <w:lang w:eastAsia="ar-SA"/>
              </w:rPr>
            </w:pPr>
            <w:r w:rsidRPr="004D2594">
              <w:rPr>
                <w:sz w:val="22"/>
                <w:szCs w:val="22"/>
                <w:lang w:eastAsia="ar-SA"/>
              </w:rPr>
              <w:t>5</w:t>
            </w:r>
          </w:p>
        </w:tc>
      </w:tr>
      <w:tr w:rsidR="007847DF" w:rsidRPr="004D2594" w14:paraId="6669DDC6" w14:textId="77777777" w:rsidTr="00A06E49">
        <w:trPr>
          <w:tblHeader/>
        </w:trPr>
        <w:tc>
          <w:tcPr>
            <w:tcW w:w="3572" w:type="dxa"/>
            <w:tcBorders>
              <w:left w:val="single" w:sz="4" w:space="0" w:color="auto"/>
            </w:tcBorders>
          </w:tcPr>
          <w:p w14:paraId="3430B03A" w14:textId="77777777" w:rsidR="007847DF" w:rsidRPr="004D2594" w:rsidRDefault="007847DF" w:rsidP="00F915F4">
            <w:pPr>
              <w:snapToGrid w:val="0"/>
              <w:rPr>
                <w:b/>
                <w:sz w:val="20"/>
                <w:szCs w:val="20"/>
                <w:lang w:eastAsia="ar-SA"/>
              </w:rPr>
            </w:pPr>
            <w:r w:rsidRPr="004D2594">
              <w:rPr>
                <w:b/>
                <w:sz w:val="20"/>
                <w:szCs w:val="20"/>
                <w:lang w:eastAsia="ar-SA"/>
              </w:rPr>
              <w:t>Investiční transfery podnikatelským subjektům</w:t>
            </w:r>
          </w:p>
        </w:tc>
        <w:tc>
          <w:tcPr>
            <w:tcW w:w="1191" w:type="dxa"/>
            <w:tcBorders>
              <w:left w:val="single" w:sz="4" w:space="0" w:color="000000"/>
            </w:tcBorders>
            <w:vAlign w:val="center"/>
          </w:tcPr>
          <w:p w14:paraId="4AE560D5" w14:textId="77777777" w:rsidR="007847DF" w:rsidRPr="004D2594" w:rsidRDefault="007847DF" w:rsidP="00F915F4">
            <w:pPr>
              <w:jc w:val="right"/>
              <w:rPr>
                <w:b/>
                <w:sz w:val="20"/>
                <w:szCs w:val="20"/>
                <w:lang w:eastAsia="ar-SA"/>
              </w:rPr>
            </w:pPr>
            <w:r w:rsidRPr="004D2594">
              <w:rPr>
                <w:b/>
                <w:sz w:val="20"/>
                <w:szCs w:val="20"/>
                <w:lang w:eastAsia="ar-SA"/>
              </w:rPr>
              <w:t xml:space="preserve"> </w:t>
            </w:r>
          </w:p>
          <w:p w14:paraId="5CC0BB52" w14:textId="77777777" w:rsidR="007847DF" w:rsidRPr="004D2594" w:rsidRDefault="007847DF" w:rsidP="00F915F4">
            <w:pPr>
              <w:jc w:val="right"/>
              <w:rPr>
                <w:b/>
                <w:sz w:val="20"/>
                <w:szCs w:val="20"/>
                <w:lang w:eastAsia="ar-SA"/>
              </w:rPr>
            </w:pPr>
            <w:r w:rsidRPr="004D2594">
              <w:rPr>
                <w:b/>
                <w:sz w:val="20"/>
                <w:szCs w:val="20"/>
                <w:lang w:eastAsia="ar-SA"/>
              </w:rPr>
              <w:t xml:space="preserve">1 528 </w:t>
            </w:r>
          </w:p>
        </w:tc>
        <w:tc>
          <w:tcPr>
            <w:tcW w:w="1247" w:type="dxa"/>
            <w:tcBorders>
              <w:left w:val="single" w:sz="4" w:space="0" w:color="000000"/>
            </w:tcBorders>
            <w:vAlign w:val="center"/>
          </w:tcPr>
          <w:p w14:paraId="68DF20DD" w14:textId="77777777" w:rsidR="007847DF" w:rsidRPr="004D2594" w:rsidRDefault="007847DF" w:rsidP="00F915F4">
            <w:pPr>
              <w:jc w:val="right"/>
              <w:rPr>
                <w:b/>
                <w:sz w:val="20"/>
                <w:szCs w:val="20"/>
                <w:lang w:eastAsia="ar-SA"/>
              </w:rPr>
            </w:pPr>
          </w:p>
          <w:p w14:paraId="52FCA396" w14:textId="77777777" w:rsidR="007847DF" w:rsidRPr="004D2594" w:rsidRDefault="007847DF" w:rsidP="00F915F4">
            <w:pPr>
              <w:jc w:val="right"/>
              <w:rPr>
                <w:b/>
                <w:sz w:val="20"/>
                <w:szCs w:val="20"/>
                <w:lang w:eastAsia="ar-SA"/>
              </w:rPr>
            </w:pPr>
            <w:r w:rsidRPr="004D2594">
              <w:rPr>
                <w:b/>
                <w:sz w:val="20"/>
                <w:szCs w:val="20"/>
                <w:lang w:eastAsia="ar-SA"/>
              </w:rPr>
              <w:t>37 485</w:t>
            </w:r>
          </w:p>
        </w:tc>
        <w:tc>
          <w:tcPr>
            <w:tcW w:w="1145" w:type="dxa"/>
            <w:tcBorders>
              <w:left w:val="single" w:sz="4" w:space="0" w:color="000000"/>
            </w:tcBorders>
            <w:vAlign w:val="center"/>
          </w:tcPr>
          <w:p w14:paraId="411CA183" w14:textId="77777777" w:rsidR="007847DF" w:rsidRPr="004D2594" w:rsidRDefault="007847DF" w:rsidP="00F915F4">
            <w:pPr>
              <w:jc w:val="right"/>
              <w:rPr>
                <w:b/>
                <w:sz w:val="20"/>
                <w:szCs w:val="20"/>
                <w:lang w:eastAsia="ar-SA"/>
              </w:rPr>
            </w:pPr>
          </w:p>
          <w:p w14:paraId="026CE746" w14:textId="77777777" w:rsidR="007847DF" w:rsidRPr="004D2594" w:rsidRDefault="007847DF" w:rsidP="00F915F4">
            <w:pPr>
              <w:jc w:val="right"/>
              <w:rPr>
                <w:b/>
                <w:sz w:val="20"/>
                <w:szCs w:val="20"/>
                <w:lang w:eastAsia="ar-SA"/>
              </w:rPr>
            </w:pPr>
            <w:r w:rsidRPr="004D2594">
              <w:rPr>
                <w:b/>
                <w:sz w:val="20"/>
                <w:szCs w:val="20"/>
                <w:lang w:eastAsia="ar-SA"/>
              </w:rPr>
              <w:t>37 485</w:t>
            </w:r>
          </w:p>
        </w:tc>
        <w:tc>
          <w:tcPr>
            <w:tcW w:w="1216" w:type="dxa"/>
            <w:tcBorders>
              <w:left w:val="single" w:sz="4" w:space="0" w:color="000000"/>
            </w:tcBorders>
            <w:vAlign w:val="center"/>
          </w:tcPr>
          <w:p w14:paraId="26F12340" w14:textId="77777777" w:rsidR="007847DF" w:rsidRPr="004D2594" w:rsidRDefault="007847DF" w:rsidP="00F915F4">
            <w:pPr>
              <w:jc w:val="right"/>
              <w:rPr>
                <w:b/>
                <w:sz w:val="20"/>
                <w:szCs w:val="20"/>
                <w:lang w:eastAsia="ar-SA"/>
              </w:rPr>
            </w:pPr>
            <w:r w:rsidRPr="004D2594">
              <w:rPr>
                <w:b/>
                <w:sz w:val="20"/>
                <w:szCs w:val="20"/>
                <w:lang w:eastAsia="ar-SA"/>
              </w:rPr>
              <w:t xml:space="preserve"> </w:t>
            </w:r>
          </w:p>
          <w:p w14:paraId="0BE21849" w14:textId="77777777" w:rsidR="007847DF" w:rsidRPr="004D2594" w:rsidRDefault="007847DF" w:rsidP="00F915F4">
            <w:pPr>
              <w:jc w:val="right"/>
              <w:rPr>
                <w:b/>
                <w:sz w:val="20"/>
                <w:szCs w:val="20"/>
                <w:lang w:eastAsia="ar-SA"/>
              </w:rPr>
            </w:pPr>
            <w:r w:rsidRPr="004D2594">
              <w:rPr>
                <w:b/>
                <w:sz w:val="20"/>
                <w:szCs w:val="20"/>
                <w:lang w:eastAsia="ar-SA"/>
              </w:rPr>
              <w:t xml:space="preserve">1 145 </w:t>
            </w:r>
          </w:p>
        </w:tc>
        <w:tc>
          <w:tcPr>
            <w:tcW w:w="850" w:type="dxa"/>
            <w:tcBorders>
              <w:left w:val="single" w:sz="4" w:space="0" w:color="000000"/>
              <w:right w:val="single" w:sz="4" w:space="0" w:color="auto"/>
            </w:tcBorders>
            <w:vAlign w:val="center"/>
          </w:tcPr>
          <w:p w14:paraId="7BCA5E51" w14:textId="77777777" w:rsidR="007847DF" w:rsidRPr="004D2594" w:rsidRDefault="007847DF" w:rsidP="00F915F4">
            <w:pPr>
              <w:snapToGrid w:val="0"/>
              <w:jc w:val="right"/>
              <w:rPr>
                <w:b/>
                <w:sz w:val="20"/>
                <w:szCs w:val="20"/>
                <w:lang w:eastAsia="ar-SA"/>
              </w:rPr>
            </w:pPr>
          </w:p>
          <w:p w14:paraId="1D91334D" w14:textId="77777777" w:rsidR="007847DF" w:rsidRPr="004D2594" w:rsidRDefault="007847DF" w:rsidP="00F915F4">
            <w:pPr>
              <w:snapToGrid w:val="0"/>
              <w:jc w:val="right"/>
              <w:rPr>
                <w:b/>
                <w:sz w:val="20"/>
                <w:szCs w:val="20"/>
                <w:lang w:eastAsia="ar-SA"/>
              </w:rPr>
            </w:pPr>
            <w:r w:rsidRPr="004D2594">
              <w:rPr>
                <w:b/>
                <w:sz w:val="20"/>
                <w:szCs w:val="20"/>
                <w:lang w:eastAsia="ar-SA"/>
              </w:rPr>
              <w:t>74,93</w:t>
            </w:r>
          </w:p>
        </w:tc>
      </w:tr>
      <w:tr w:rsidR="007847DF" w:rsidRPr="004D2594" w14:paraId="236F17DA" w14:textId="77777777" w:rsidTr="00A06E49">
        <w:trPr>
          <w:tblHeader/>
        </w:trPr>
        <w:tc>
          <w:tcPr>
            <w:tcW w:w="3572" w:type="dxa"/>
            <w:tcBorders>
              <w:left w:val="single" w:sz="4" w:space="0" w:color="auto"/>
            </w:tcBorders>
          </w:tcPr>
          <w:p w14:paraId="066DD5BE" w14:textId="77777777" w:rsidR="007847DF" w:rsidRPr="004D2594" w:rsidRDefault="007847DF" w:rsidP="00F915F4">
            <w:pPr>
              <w:snapToGrid w:val="0"/>
              <w:rPr>
                <w:sz w:val="20"/>
                <w:szCs w:val="20"/>
                <w:lang w:eastAsia="ar-SA"/>
              </w:rPr>
            </w:pPr>
            <w:r w:rsidRPr="004D2594">
              <w:rPr>
                <w:sz w:val="20"/>
                <w:szCs w:val="20"/>
                <w:lang w:eastAsia="ar-SA"/>
              </w:rPr>
              <w:t>v tom:</w:t>
            </w:r>
          </w:p>
        </w:tc>
        <w:tc>
          <w:tcPr>
            <w:tcW w:w="1191" w:type="dxa"/>
            <w:tcBorders>
              <w:left w:val="single" w:sz="4" w:space="0" w:color="000000"/>
            </w:tcBorders>
          </w:tcPr>
          <w:p w14:paraId="3EAD8136" w14:textId="77777777" w:rsidR="007847DF" w:rsidRPr="004D2594" w:rsidRDefault="007847DF" w:rsidP="00F915F4">
            <w:pPr>
              <w:snapToGrid w:val="0"/>
              <w:jc w:val="right"/>
              <w:rPr>
                <w:sz w:val="20"/>
                <w:szCs w:val="20"/>
                <w:lang w:eastAsia="ar-SA"/>
              </w:rPr>
            </w:pPr>
          </w:p>
        </w:tc>
        <w:tc>
          <w:tcPr>
            <w:tcW w:w="1247" w:type="dxa"/>
            <w:tcBorders>
              <w:left w:val="single" w:sz="4" w:space="0" w:color="000000"/>
            </w:tcBorders>
          </w:tcPr>
          <w:p w14:paraId="2142CE62" w14:textId="77777777" w:rsidR="007847DF" w:rsidRPr="004D2594" w:rsidRDefault="007847DF" w:rsidP="00F915F4">
            <w:pPr>
              <w:snapToGrid w:val="0"/>
              <w:jc w:val="right"/>
              <w:rPr>
                <w:sz w:val="20"/>
                <w:szCs w:val="20"/>
                <w:lang w:eastAsia="ar-SA"/>
              </w:rPr>
            </w:pPr>
          </w:p>
        </w:tc>
        <w:tc>
          <w:tcPr>
            <w:tcW w:w="1145" w:type="dxa"/>
            <w:tcBorders>
              <w:left w:val="single" w:sz="4" w:space="0" w:color="000000"/>
            </w:tcBorders>
          </w:tcPr>
          <w:p w14:paraId="1AF4504F" w14:textId="77777777" w:rsidR="007847DF" w:rsidRPr="004D2594" w:rsidRDefault="007847DF" w:rsidP="00F915F4">
            <w:pPr>
              <w:snapToGrid w:val="0"/>
              <w:jc w:val="right"/>
              <w:rPr>
                <w:sz w:val="20"/>
                <w:szCs w:val="20"/>
                <w:lang w:eastAsia="ar-SA"/>
              </w:rPr>
            </w:pPr>
          </w:p>
        </w:tc>
        <w:tc>
          <w:tcPr>
            <w:tcW w:w="1216" w:type="dxa"/>
            <w:tcBorders>
              <w:left w:val="single" w:sz="4" w:space="0" w:color="000000"/>
            </w:tcBorders>
          </w:tcPr>
          <w:p w14:paraId="29B99DD9" w14:textId="77777777" w:rsidR="007847DF" w:rsidRPr="004D2594" w:rsidRDefault="007847DF" w:rsidP="00F915F4">
            <w:pPr>
              <w:snapToGrid w:val="0"/>
              <w:jc w:val="right"/>
              <w:rPr>
                <w:sz w:val="20"/>
                <w:szCs w:val="20"/>
                <w:lang w:eastAsia="ar-SA"/>
              </w:rPr>
            </w:pPr>
          </w:p>
        </w:tc>
        <w:tc>
          <w:tcPr>
            <w:tcW w:w="850" w:type="dxa"/>
            <w:tcBorders>
              <w:left w:val="single" w:sz="4" w:space="0" w:color="000000"/>
              <w:right w:val="single" w:sz="4" w:space="0" w:color="auto"/>
            </w:tcBorders>
          </w:tcPr>
          <w:p w14:paraId="50E95BAF" w14:textId="77777777" w:rsidR="007847DF" w:rsidRPr="004D2594" w:rsidRDefault="007847DF" w:rsidP="00F915F4">
            <w:pPr>
              <w:snapToGrid w:val="0"/>
              <w:jc w:val="right"/>
              <w:rPr>
                <w:sz w:val="20"/>
                <w:szCs w:val="20"/>
                <w:lang w:eastAsia="ar-SA"/>
              </w:rPr>
            </w:pPr>
          </w:p>
        </w:tc>
      </w:tr>
      <w:tr w:rsidR="007847DF" w:rsidRPr="004D2594" w14:paraId="650A77F1" w14:textId="77777777" w:rsidTr="00A06E49">
        <w:trPr>
          <w:tblHeader/>
        </w:trPr>
        <w:tc>
          <w:tcPr>
            <w:tcW w:w="3572" w:type="dxa"/>
            <w:tcBorders>
              <w:left w:val="single" w:sz="4" w:space="0" w:color="auto"/>
            </w:tcBorders>
          </w:tcPr>
          <w:p w14:paraId="77F2C069" w14:textId="77777777" w:rsidR="007847DF" w:rsidRPr="004D2594" w:rsidRDefault="007847DF" w:rsidP="00F915F4">
            <w:pPr>
              <w:snapToGrid w:val="0"/>
              <w:rPr>
                <w:sz w:val="20"/>
                <w:szCs w:val="20"/>
                <w:lang w:eastAsia="ar-SA"/>
              </w:rPr>
            </w:pPr>
            <w:r w:rsidRPr="004D2594">
              <w:rPr>
                <w:sz w:val="20"/>
                <w:szCs w:val="20"/>
                <w:lang w:eastAsia="ar-SA"/>
              </w:rPr>
              <w:t>Železniční doprava</w:t>
            </w:r>
          </w:p>
        </w:tc>
        <w:tc>
          <w:tcPr>
            <w:tcW w:w="1191" w:type="dxa"/>
            <w:tcBorders>
              <w:left w:val="single" w:sz="4" w:space="0" w:color="000000"/>
            </w:tcBorders>
          </w:tcPr>
          <w:p w14:paraId="36CC8185" w14:textId="77777777" w:rsidR="007847DF" w:rsidRPr="004D2594" w:rsidRDefault="007847DF" w:rsidP="00F915F4">
            <w:pPr>
              <w:snapToGrid w:val="0"/>
              <w:jc w:val="right"/>
              <w:rPr>
                <w:sz w:val="20"/>
                <w:szCs w:val="20"/>
                <w:lang w:eastAsia="ar-SA"/>
              </w:rPr>
            </w:pPr>
            <w:r w:rsidRPr="004D2594">
              <w:rPr>
                <w:sz w:val="20"/>
                <w:szCs w:val="20"/>
                <w:lang w:eastAsia="ar-SA"/>
              </w:rPr>
              <w:t>0</w:t>
            </w:r>
          </w:p>
        </w:tc>
        <w:tc>
          <w:tcPr>
            <w:tcW w:w="1247" w:type="dxa"/>
            <w:tcBorders>
              <w:left w:val="single" w:sz="4" w:space="0" w:color="000000"/>
            </w:tcBorders>
          </w:tcPr>
          <w:p w14:paraId="5E918B14" w14:textId="77777777" w:rsidR="007847DF" w:rsidRPr="004D2594" w:rsidRDefault="007847DF" w:rsidP="00F915F4">
            <w:pPr>
              <w:snapToGrid w:val="0"/>
              <w:jc w:val="right"/>
              <w:rPr>
                <w:sz w:val="20"/>
                <w:szCs w:val="20"/>
                <w:lang w:eastAsia="ar-SA"/>
              </w:rPr>
            </w:pPr>
            <w:r w:rsidRPr="004D2594">
              <w:rPr>
                <w:sz w:val="20"/>
                <w:szCs w:val="20"/>
                <w:lang w:eastAsia="ar-SA"/>
              </w:rPr>
              <w:t>0</w:t>
            </w:r>
          </w:p>
        </w:tc>
        <w:tc>
          <w:tcPr>
            <w:tcW w:w="1145" w:type="dxa"/>
            <w:tcBorders>
              <w:left w:val="single" w:sz="4" w:space="0" w:color="000000"/>
            </w:tcBorders>
          </w:tcPr>
          <w:p w14:paraId="10916E36" w14:textId="77777777" w:rsidR="007847DF" w:rsidRPr="004D2594" w:rsidRDefault="007847DF" w:rsidP="00F915F4">
            <w:pPr>
              <w:snapToGrid w:val="0"/>
              <w:jc w:val="right"/>
              <w:rPr>
                <w:sz w:val="20"/>
                <w:szCs w:val="20"/>
                <w:lang w:eastAsia="ar-SA"/>
              </w:rPr>
            </w:pPr>
            <w:r w:rsidRPr="004D2594">
              <w:rPr>
                <w:sz w:val="20"/>
                <w:szCs w:val="20"/>
                <w:lang w:eastAsia="ar-SA"/>
              </w:rPr>
              <w:t>0</w:t>
            </w:r>
          </w:p>
        </w:tc>
        <w:tc>
          <w:tcPr>
            <w:tcW w:w="1216" w:type="dxa"/>
            <w:tcBorders>
              <w:left w:val="single" w:sz="4" w:space="0" w:color="000000"/>
            </w:tcBorders>
          </w:tcPr>
          <w:p w14:paraId="363DCF55" w14:textId="77777777" w:rsidR="007847DF" w:rsidRPr="004D2594" w:rsidRDefault="007847DF" w:rsidP="00F915F4">
            <w:pPr>
              <w:snapToGrid w:val="0"/>
              <w:jc w:val="right"/>
              <w:rPr>
                <w:sz w:val="20"/>
                <w:szCs w:val="20"/>
                <w:lang w:eastAsia="ar-SA"/>
              </w:rPr>
            </w:pPr>
            <w:r w:rsidRPr="004D2594">
              <w:rPr>
                <w:sz w:val="20"/>
                <w:szCs w:val="20"/>
                <w:lang w:eastAsia="ar-SA"/>
              </w:rPr>
              <w:t>0</w:t>
            </w:r>
          </w:p>
        </w:tc>
        <w:tc>
          <w:tcPr>
            <w:tcW w:w="850" w:type="dxa"/>
            <w:tcBorders>
              <w:left w:val="single" w:sz="4" w:space="0" w:color="000000"/>
              <w:right w:val="single" w:sz="4" w:space="0" w:color="auto"/>
            </w:tcBorders>
          </w:tcPr>
          <w:p w14:paraId="7C47AED1" w14:textId="77777777" w:rsidR="007847DF" w:rsidRPr="004D2594" w:rsidRDefault="007847DF" w:rsidP="00F915F4">
            <w:pPr>
              <w:snapToGrid w:val="0"/>
              <w:jc w:val="right"/>
              <w:rPr>
                <w:sz w:val="20"/>
                <w:szCs w:val="20"/>
                <w:lang w:eastAsia="ar-SA"/>
              </w:rPr>
            </w:pPr>
            <w:r w:rsidRPr="004D2594">
              <w:rPr>
                <w:sz w:val="20"/>
                <w:szCs w:val="20"/>
                <w:lang w:eastAsia="ar-SA"/>
              </w:rPr>
              <w:t>x</w:t>
            </w:r>
          </w:p>
        </w:tc>
      </w:tr>
      <w:tr w:rsidR="007847DF" w:rsidRPr="004D2594" w14:paraId="632D3FD2" w14:textId="77777777" w:rsidTr="00A06E49">
        <w:trPr>
          <w:tblHeader/>
        </w:trPr>
        <w:tc>
          <w:tcPr>
            <w:tcW w:w="3572" w:type="dxa"/>
            <w:tcBorders>
              <w:left w:val="single" w:sz="4" w:space="0" w:color="auto"/>
            </w:tcBorders>
          </w:tcPr>
          <w:p w14:paraId="5DA847AB" w14:textId="77777777" w:rsidR="007847DF" w:rsidRPr="004D2594" w:rsidRDefault="007847DF" w:rsidP="00F915F4">
            <w:pPr>
              <w:snapToGrid w:val="0"/>
              <w:rPr>
                <w:sz w:val="20"/>
                <w:szCs w:val="20"/>
                <w:lang w:eastAsia="ar-SA"/>
              </w:rPr>
            </w:pPr>
            <w:r w:rsidRPr="004D2594">
              <w:rPr>
                <w:sz w:val="20"/>
                <w:szCs w:val="20"/>
                <w:lang w:eastAsia="ar-SA"/>
              </w:rPr>
              <w:t>Kombinovaná doprava</w:t>
            </w:r>
          </w:p>
        </w:tc>
        <w:tc>
          <w:tcPr>
            <w:tcW w:w="1191" w:type="dxa"/>
            <w:tcBorders>
              <w:left w:val="single" w:sz="4" w:space="0" w:color="000000"/>
            </w:tcBorders>
          </w:tcPr>
          <w:p w14:paraId="1BD25346" w14:textId="77777777" w:rsidR="007847DF" w:rsidRPr="004D2594" w:rsidRDefault="007847DF" w:rsidP="00F915F4">
            <w:pPr>
              <w:snapToGrid w:val="0"/>
              <w:jc w:val="right"/>
              <w:rPr>
                <w:sz w:val="20"/>
                <w:szCs w:val="20"/>
                <w:lang w:eastAsia="ar-SA"/>
              </w:rPr>
            </w:pPr>
            <w:r w:rsidRPr="004D2594">
              <w:rPr>
                <w:sz w:val="20"/>
                <w:szCs w:val="20"/>
                <w:lang w:eastAsia="ar-SA"/>
              </w:rPr>
              <w:t>0</w:t>
            </w:r>
          </w:p>
        </w:tc>
        <w:tc>
          <w:tcPr>
            <w:tcW w:w="1247" w:type="dxa"/>
            <w:tcBorders>
              <w:left w:val="single" w:sz="4" w:space="0" w:color="000000"/>
            </w:tcBorders>
          </w:tcPr>
          <w:p w14:paraId="6ED16A56" w14:textId="77777777" w:rsidR="007847DF" w:rsidRPr="004D2594" w:rsidRDefault="007847DF" w:rsidP="00F915F4">
            <w:pPr>
              <w:snapToGrid w:val="0"/>
              <w:jc w:val="right"/>
              <w:rPr>
                <w:sz w:val="20"/>
                <w:szCs w:val="20"/>
                <w:lang w:eastAsia="ar-SA"/>
              </w:rPr>
            </w:pPr>
            <w:r w:rsidRPr="004D2594">
              <w:rPr>
                <w:sz w:val="20"/>
                <w:szCs w:val="20"/>
                <w:lang w:eastAsia="ar-SA"/>
              </w:rPr>
              <w:t>0</w:t>
            </w:r>
          </w:p>
        </w:tc>
        <w:tc>
          <w:tcPr>
            <w:tcW w:w="1145" w:type="dxa"/>
            <w:tcBorders>
              <w:left w:val="single" w:sz="4" w:space="0" w:color="000000"/>
            </w:tcBorders>
          </w:tcPr>
          <w:p w14:paraId="72E95123" w14:textId="77777777" w:rsidR="007847DF" w:rsidRPr="004D2594" w:rsidRDefault="007847DF" w:rsidP="00F915F4">
            <w:pPr>
              <w:snapToGrid w:val="0"/>
              <w:jc w:val="right"/>
              <w:rPr>
                <w:sz w:val="20"/>
                <w:szCs w:val="20"/>
                <w:lang w:eastAsia="ar-SA"/>
              </w:rPr>
            </w:pPr>
            <w:r w:rsidRPr="004D2594">
              <w:rPr>
                <w:sz w:val="20"/>
                <w:szCs w:val="20"/>
                <w:lang w:eastAsia="ar-SA"/>
              </w:rPr>
              <w:t>0</w:t>
            </w:r>
          </w:p>
        </w:tc>
        <w:tc>
          <w:tcPr>
            <w:tcW w:w="1216" w:type="dxa"/>
            <w:tcBorders>
              <w:left w:val="single" w:sz="4" w:space="0" w:color="000000"/>
            </w:tcBorders>
          </w:tcPr>
          <w:p w14:paraId="7BDA9B21" w14:textId="77777777" w:rsidR="007847DF" w:rsidRPr="004D2594" w:rsidRDefault="007847DF" w:rsidP="00F915F4">
            <w:pPr>
              <w:snapToGrid w:val="0"/>
              <w:jc w:val="right"/>
              <w:rPr>
                <w:sz w:val="20"/>
                <w:szCs w:val="20"/>
                <w:lang w:eastAsia="ar-SA"/>
              </w:rPr>
            </w:pPr>
            <w:r w:rsidRPr="004D2594">
              <w:rPr>
                <w:sz w:val="20"/>
                <w:szCs w:val="20"/>
                <w:lang w:eastAsia="ar-SA"/>
              </w:rPr>
              <w:t>0</w:t>
            </w:r>
          </w:p>
        </w:tc>
        <w:tc>
          <w:tcPr>
            <w:tcW w:w="850" w:type="dxa"/>
            <w:tcBorders>
              <w:left w:val="single" w:sz="4" w:space="0" w:color="000000"/>
              <w:right w:val="single" w:sz="4" w:space="0" w:color="auto"/>
            </w:tcBorders>
          </w:tcPr>
          <w:p w14:paraId="0C7E4517" w14:textId="77777777" w:rsidR="007847DF" w:rsidRPr="004D2594" w:rsidRDefault="007847DF" w:rsidP="00F915F4">
            <w:pPr>
              <w:snapToGrid w:val="0"/>
              <w:jc w:val="right"/>
              <w:rPr>
                <w:sz w:val="20"/>
                <w:szCs w:val="20"/>
                <w:lang w:eastAsia="ar-SA"/>
              </w:rPr>
            </w:pPr>
            <w:r w:rsidRPr="004D2594">
              <w:rPr>
                <w:sz w:val="20"/>
                <w:szCs w:val="20"/>
                <w:lang w:eastAsia="ar-SA"/>
              </w:rPr>
              <w:t>x</w:t>
            </w:r>
          </w:p>
        </w:tc>
      </w:tr>
      <w:tr w:rsidR="007847DF" w:rsidRPr="004D2594" w14:paraId="276A76A7" w14:textId="77777777" w:rsidTr="00A06E49">
        <w:trPr>
          <w:tblHeader/>
        </w:trPr>
        <w:tc>
          <w:tcPr>
            <w:tcW w:w="3572" w:type="dxa"/>
            <w:tcBorders>
              <w:left w:val="single" w:sz="4" w:space="0" w:color="auto"/>
            </w:tcBorders>
          </w:tcPr>
          <w:p w14:paraId="59F64B88" w14:textId="77777777" w:rsidR="007847DF" w:rsidRPr="004D2594" w:rsidRDefault="007847DF" w:rsidP="00F915F4">
            <w:pPr>
              <w:snapToGrid w:val="0"/>
              <w:rPr>
                <w:sz w:val="20"/>
                <w:szCs w:val="20"/>
                <w:lang w:eastAsia="ar-SA"/>
              </w:rPr>
            </w:pPr>
            <w:r w:rsidRPr="004D2594">
              <w:rPr>
                <w:sz w:val="20"/>
                <w:szCs w:val="20"/>
                <w:lang w:eastAsia="ar-SA"/>
              </w:rPr>
              <w:t>Metro</w:t>
            </w:r>
          </w:p>
        </w:tc>
        <w:tc>
          <w:tcPr>
            <w:tcW w:w="1191" w:type="dxa"/>
            <w:tcBorders>
              <w:left w:val="single" w:sz="4" w:space="0" w:color="000000"/>
            </w:tcBorders>
          </w:tcPr>
          <w:p w14:paraId="58BC7DFE" w14:textId="77777777" w:rsidR="007847DF" w:rsidRPr="004D2594" w:rsidRDefault="007847DF" w:rsidP="00F915F4">
            <w:pPr>
              <w:snapToGrid w:val="0"/>
              <w:jc w:val="right"/>
              <w:rPr>
                <w:sz w:val="20"/>
                <w:szCs w:val="20"/>
                <w:lang w:eastAsia="ar-SA"/>
              </w:rPr>
            </w:pPr>
            <w:r w:rsidRPr="004D2594">
              <w:rPr>
                <w:sz w:val="20"/>
                <w:szCs w:val="20"/>
                <w:lang w:eastAsia="ar-SA"/>
              </w:rPr>
              <w:t>0</w:t>
            </w:r>
          </w:p>
        </w:tc>
        <w:tc>
          <w:tcPr>
            <w:tcW w:w="1247" w:type="dxa"/>
            <w:tcBorders>
              <w:left w:val="single" w:sz="4" w:space="0" w:color="000000"/>
            </w:tcBorders>
          </w:tcPr>
          <w:p w14:paraId="523A4E17" w14:textId="77777777" w:rsidR="007847DF" w:rsidRPr="004D2594" w:rsidRDefault="007847DF" w:rsidP="00F915F4">
            <w:pPr>
              <w:snapToGrid w:val="0"/>
              <w:jc w:val="right"/>
              <w:rPr>
                <w:sz w:val="20"/>
                <w:szCs w:val="20"/>
                <w:lang w:eastAsia="ar-SA"/>
              </w:rPr>
            </w:pPr>
            <w:r w:rsidRPr="004D2594">
              <w:rPr>
                <w:sz w:val="20"/>
                <w:szCs w:val="20"/>
                <w:lang w:eastAsia="ar-SA"/>
              </w:rPr>
              <w:t>0</w:t>
            </w:r>
          </w:p>
        </w:tc>
        <w:tc>
          <w:tcPr>
            <w:tcW w:w="1145" w:type="dxa"/>
            <w:tcBorders>
              <w:left w:val="single" w:sz="4" w:space="0" w:color="000000"/>
            </w:tcBorders>
          </w:tcPr>
          <w:p w14:paraId="21D2B9E0" w14:textId="77777777" w:rsidR="007847DF" w:rsidRPr="004D2594" w:rsidRDefault="007847DF" w:rsidP="00F915F4">
            <w:pPr>
              <w:snapToGrid w:val="0"/>
              <w:jc w:val="right"/>
              <w:rPr>
                <w:sz w:val="20"/>
                <w:szCs w:val="20"/>
                <w:lang w:eastAsia="ar-SA"/>
              </w:rPr>
            </w:pPr>
            <w:r w:rsidRPr="004D2594">
              <w:rPr>
                <w:sz w:val="20"/>
                <w:szCs w:val="20"/>
                <w:lang w:eastAsia="ar-SA"/>
              </w:rPr>
              <w:t>0</w:t>
            </w:r>
          </w:p>
        </w:tc>
        <w:tc>
          <w:tcPr>
            <w:tcW w:w="1216" w:type="dxa"/>
            <w:tcBorders>
              <w:left w:val="single" w:sz="4" w:space="0" w:color="000000"/>
            </w:tcBorders>
          </w:tcPr>
          <w:p w14:paraId="2C3180F8" w14:textId="77777777" w:rsidR="007847DF" w:rsidRPr="004D2594" w:rsidRDefault="007847DF" w:rsidP="00F915F4">
            <w:pPr>
              <w:snapToGrid w:val="0"/>
              <w:jc w:val="right"/>
              <w:rPr>
                <w:sz w:val="20"/>
                <w:szCs w:val="20"/>
                <w:lang w:eastAsia="ar-SA"/>
              </w:rPr>
            </w:pPr>
            <w:r w:rsidRPr="004D2594">
              <w:rPr>
                <w:sz w:val="20"/>
                <w:szCs w:val="20"/>
                <w:lang w:eastAsia="ar-SA"/>
              </w:rPr>
              <w:t>0</w:t>
            </w:r>
          </w:p>
        </w:tc>
        <w:tc>
          <w:tcPr>
            <w:tcW w:w="850" w:type="dxa"/>
            <w:tcBorders>
              <w:left w:val="single" w:sz="4" w:space="0" w:color="000000"/>
              <w:right w:val="single" w:sz="4" w:space="0" w:color="auto"/>
            </w:tcBorders>
          </w:tcPr>
          <w:p w14:paraId="022D8596" w14:textId="77777777" w:rsidR="007847DF" w:rsidRPr="004D2594" w:rsidRDefault="007847DF" w:rsidP="00F915F4">
            <w:pPr>
              <w:snapToGrid w:val="0"/>
              <w:jc w:val="right"/>
              <w:rPr>
                <w:sz w:val="20"/>
                <w:szCs w:val="20"/>
                <w:lang w:eastAsia="ar-SA"/>
              </w:rPr>
            </w:pPr>
            <w:r w:rsidRPr="004D2594">
              <w:rPr>
                <w:sz w:val="20"/>
                <w:szCs w:val="20"/>
                <w:lang w:eastAsia="ar-SA"/>
              </w:rPr>
              <w:t>x</w:t>
            </w:r>
          </w:p>
        </w:tc>
      </w:tr>
      <w:tr w:rsidR="007847DF" w:rsidRPr="004D2594" w14:paraId="6DB1618F" w14:textId="77777777" w:rsidTr="00A06E49">
        <w:trPr>
          <w:tblHeader/>
        </w:trPr>
        <w:tc>
          <w:tcPr>
            <w:tcW w:w="3572" w:type="dxa"/>
            <w:tcBorders>
              <w:left w:val="single" w:sz="4" w:space="0" w:color="auto"/>
            </w:tcBorders>
          </w:tcPr>
          <w:p w14:paraId="3A56B020" w14:textId="77777777" w:rsidR="007847DF" w:rsidRPr="004D2594" w:rsidRDefault="007847DF" w:rsidP="00F915F4">
            <w:pPr>
              <w:snapToGrid w:val="0"/>
              <w:rPr>
                <w:sz w:val="20"/>
                <w:szCs w:val="20"/>
                <w:lang w:eastAsia="ar-SA"/>
              </w:rPr>
            </w:pPr>
            <w:r w:rsidRPr="004D2594">
              <w:rPr>
                <w:sz w:val="20"/>
                <w:szCs w:val="20"/>
                <w:lang w:eastAsia="ar-SA"/>
              </w:rPr>
              <w:t>Vodní doprava</w:t>
            </w:r>
          </w:p>
        </w:tc>
        <w:tc>
          <w:tcPr>
            <w:tcW w:w="1191" w:type="dxa"/>
            <w:tcBorders>
              <w:left w:val="single" w:sz="4" w:space="0" w:color="000000"/>
            </w:tcBorders>
          </w:tcPr>
          <w:p w14:paraId="2AAF82BC" w14:textId="77777777" w:rsidR="007847DF" w:rsidRPr="004D2594" w:rsidRDefault="007847DF" w:rsidP="00F915F4">
            <w:pPr>
              <w:snapToGrid w:val="0"/>
              <w:jc w:val="right"/>
              <w:rPr>
                <w:sz w:val="20"/>
                <w:szCs w:val="20"/>
                <w:lang w:eastAsia="ar-SA"/>
              </w:rPr>
            </w:pPr>
            <w:r w:rsidRPr="004D2594">
              <w:rPr>
                <w:sz w:val="20"/>
                <w:szCs w:val="20"/>
                <w:lang w:eastAsia="ar-SA"/>
              </w:rPr>
              <w:t>0</w:t>
            </w:r>
          </w:p>
        </w:tc>
        <w:tc>
          <w:tcPr>
            <w:tcW w:w="1247" w:type="dxa"/>
            <w:tcBorders>
              <w:left w:val="single" w:sz="4" w:space="0" w:color="000000"/>
            </w:tcBorders>
          </w:tcPr>
          <w:p w14:paraId="2A37283C" w14:textId="77777777" w:rsidR="007847DF" w:rsidRPr="004D2594" w:rsidRDefault="007847DF" w:rsidP="00F915F4">
            <w:pPr>
              <w:snapToGrid w:val="0"/>
              <w:jc w:val="right"/>
              <w:rPr>
                <w:sz w:val="20"/>
                <w:szCs w:val="20"/>
                <w:lang w:eastAsia="ar-SA"/>
              </w:rPr>
            </w:pPr>
            <w:r w:rsidRPr="004D2594">
              <w:rPr>
                <w:sz w:val="20"/>
                <w:szCs w:val="20"/>
                <w:lang w:eastAsia="ar-SA"/>
              </w:rPr>
              <w:t>0</w:t>
            </w:r>
          </w:p>
        </w:tc>
        <w:tc>
          <w:tcPr>
            <w:tcW w:w="1145" w:type="dxa"/>
            <w:tcBorders>
              <w:left w:val="single" w:sz="4" w:space="0" w:color="000000"/>
            </w:tcBorders>
          </w:tcPr>
          <w:p w14:paraId="210F59A5" w14:textId="77777777" w:rsidR="007847DF" w:rsidRPr="004D2594" w:rsidRDefault="007847DF" w:rsidP="00F915F4">
            <w:pPr>
              <w:snapToGrid w:val="0"/>
              <w:jc w:val="right"/>
              <w:rPr>
                <w:sz w:val="20"/>
                <w:szCs w:val="20"/>
                <w:lang w:eastAsia="ar-SA"/>
              </w:rPr>
            </w:pPr>
            <w:r w:rsidRPr="004D2594">
              <w:rPr>
                <w:sz w:val="20"/>
                <w:szCs w:val="20"/>
                <w:lang w:eastAsia="ar-SA"/>
              </w:rPr>
              <w:t>0</w:t>
            </w:r>
          </w:p>
        </w:tc>
        <w:tc>
          <w:tcPr>
            <w:tcW w:w="1216" w:type="dxa"/>
            <w:tcBorders>
              <w:left w:val="single" w:sz="4" w:space="0" w:color="000000"/>
            </w:tcBorders>
          </w:tcPr>
          <w:p w14:paraId="64EECC3B" w14:textId="77777777" w:rsidR="007847DF" w:rsidRPr="004D2594" w:rsidRDefault="007847DF" w:rsidP="00F915F4">
            <w:pPr>
              <w:snapToGrid w:val="0"/>
              <w:jc w:val="right"/>
              <w:rPr>
                <w:sz w:val="20"/>
                <w:szCs w:val="20"/>
                <w:lang w:eastAsia="ar-SA"/>
              </w:rPr>
            </w:pPr>
            <w:r w:rsidRPr="004D2594">
              <w:rPr>
                <w:sz w:val="20"/>
                <w:szCs w:val="20"/>
                <w:lang w:eastAsia="ar-SA"/>
              </w:rPr>
              <w:t>0</w:t>
            </w:r>
          </w:p>
        </w:tc>
        <w:tc>
          <w:tcPr>
            <w:tcW w:w="850" w:type="dxa"/>
            <w:tcBorders>
              <w:left w:val="single" w:sz="4" w:space="0" w:color="000000"/>
              <w:right w:val="single" w:sz="4" w:space="0" w:color="auto"/>
            </w:tcBorders>
          </w:tcPr>
          <w:p w14:paraId="381DE39A" w14:textId="77777777" w:rsidR="007847DF" w:rsidRPr="004D2594" w:rsidRDefault="007847DF" w:rsidP="00F915F4">
            <w:pPr>
              <w:snapToGrid w:val="0"/>
              <w:jc w:val="right"/>
              <w:rPr>
                <w:sz w:val="20"/>
                <w:szCs w:val="20"/>
                <w:lang w:eastAsia="ar-SA"/>
              </w:rPr>
            </w:pPr>
            <w:r w:rsidRPr="004D2594">
              <w:rPr>
                <w:sz w:val="20"/>
                <w:szCs w:val="20"/>
                <w:lang w:eastAsia="ar-SA"/>
              </w:rPr>
              <w:t>x</w:t>
            </w:r>
          </w:p>
        </w:tc>
      </w:tr>
      <w:tr w:rsidR="007847DF" w:rsidRPr="004D2594" w14:paraId="5B94EC41" w14:textId="77777777" w:rsidTr="00A06E49">
        <w:trPr>
          <w:tblHeader/>
        </w:trPr>
        <w:tc>
          <w:tcPr>
            <w:tcW w:w="3572" w:type="dxa"/>
            <w:tcBorders>
              <w:left w:val="single" w:sz="4" w:space="0" w:color="auto"/>
            </w:tcBorders>
          </w:tcPr>
          <w:p w14:paraId="48F8AA41" w14:textId="77777777" w:rsidR="007847DF" w:rsidRPr="004D2594" w:rsidRDefault="007847DF" w:rsidP="00F915F4">
            <w:pPr>
              <w:snapToGrid w:val="0"/>
              <w:rPr>
                <w:sz w:val="20"/>
                <w:szCs w:val="20"/>
                <w:lang w:eastAsia="ar-SA"/>
              </w:rPr>
            </w:pPr>
            <w:r>
              <w:rPr>
                <w:sz w:val="20"/>
                <w:szCs w:val="20"/>
                <w:lang w:eastAsia="ar-SA"/>
              </w:rPr>
              <w:t>Silniční doprava</w:t>
            </w:r>
          </w:p>
        </w:tc>
        <w:tc>
          <w:tcPr>
            <w:tcW w:w="1191" w:type="dxa"/>
            <w:tcBorders>
              <w:left w:val="single" w:sz="4" w:space="0" w:color="000000"/>
            </w:tcBorders>
          </w:tcPr>
          <w:p w14:paraId="06A84A78" w14:textId="77777777" w:rsidR="007847DF" w:rsidRPr="004D2594" w:rsidRDefault="007847DF" w:rsidP="00F915F4">
            <w:pPr>
              <w:snapToGrid w:val="0"/>
              <w:jc w:val="right"/>
              <w:rPr>
                <w:sz w:val="20"/>
                <w:szCs w:val="20"/>
                <w:lang w:eastAsia="ar-SA"/>
              </w:rPr>
            </w:pPr>
            <w:r>
              <w:rPr>
                <w:sz w:val="20"/>
                <w:szCs w:val="20"/>
                <w:lang w:eastAsia="ar-SA"/>
              </w:rPr>
              <w:t>0</w:t>
            </w:r>
          </w:p>
        </w:tc>
        <w:tc>
          <w:tcPr>
            <w:tcW w:w="1247" w:type="dxa"/>
            <w:tcBorders>
              <w:left w:val="single" w:sz="4" w:space="0" w:color="000000"/>
            </w:tcBorders>
          </w:tcPr>
          <w:p w14:paraId="013DA2AF" w14:textId="77777777" w:rsidR="007847DF" w:rsidRPr="004D2594" w:rsidRDefault="007847DF" w:rsidP="00F915F4">
            <w:pPr>
              <w:snapToGrid w:val="0"/>
              <w:jc w:val="right"/>
              <w:rPr>
                <w:sz w:val="20"/>
                <w:szCs w:val="20"/>
                <w:lang w:eastAsia="ar-SA"/>
              </w:rPr>
            </w:pPr>
            <w:r>
              <w:rPr>
                <w:sz w:val="20"/>
                <w:szCs w:val="20"/>
                <w:lang w:eastAsia="ar-SA"/>
              </w:rPr>
              <w:t>0</w:t>
            </w:r>
          </w:p>
        </w:tc>
        <w:tc>
          <w:tcPr>
            <w:tcW w:w="1145" w:type="dxa"/>
            <w:tcBorders>
              <w:left w:val="single" w:sz="4" w:space="0" w:color="000000"/>
            </w:tcBorders>
          </w:tcPr>
          <w:p w14:paraId="3496B2D2" w14:textId="77777777" w:rsidR="007847DF" w:rsidRPr="004D2594" w:rsidRDefault="007847DF" w:rsidP="00F915F4">
            <w:pPr>
              <w:snapToGrid w:val="0"/>
              <w:jc w:val="right"/>
              <w:rPr>
                <w:sz w:val="20"/>
                <w:szCs w:val="20"/>
                <w:lang w:eastAsia="ar-SA"/>
              </w:rPr>
            </w:pPr>
            <w:r>
              <w:rPr>
                <w:sz w:val="20"/>
                <w:szCs w:val="20"/>
                <w:lang w:eastAsia="ar-SA"/>
              </w:rPr>
              <w:t>0</w:t>
            </w:r>
          </w:p>
        </w:tc>
        <w:tc>
          <w:tcPr>
            <w:tcW w:w="1216" w:type="dxa"/>
            <w:tcBorders>
              <w:left w:val="single" w:sz="4" w:space="0" w:color="000000"/>
            </w:tcBorders>
          </w:tcPr>
          <w:p w14:paraId="1456F251" w14:textId="77777777" w:rsidR="007847DF" w:rsidRPr="004D2594" w:rsidRDefault="007847DF" w:rsidP="00F915F4">
            <w:pPr>
              <w:snapToGrid w:val="0"/>
              <w:jc w:val="right"/>
              <w:rPr>
                <w:sz w:val="20"/>
                <w:szCs w:val="20"/>
                <w:lang w:eastAsia="ar-SA"/>
              </w:rPr>
            </w:pPr>
            <w:r>
              <w:rPr>
                <w:sz w:val="20"/>
                <w:szCs w:val="20"/>
                <w:lang w:eastAsia="ar-SA"/>
              </w:rPr>
              <w:t>0</w:t>
            </w:r>
          </w:p>
        </w:tc>
        <w:tc>
          <w:tcPr>
            <w:tcW w:w="850" w:type="dxa"/>
            <w:tcBorders>
              <w:left w:val="single" w:sz="4" w:space="0" w:color="000000"/>
              <w:right w:val="single" w:sz="4" w:space="0" w:color="auto"/>
            </w:tcBorders>
          </w:tcPr>
          <w:p w14:paraId="669ACC1A" w14:textId="77777777" w:rsidR="007847DF" w:rsidRPr="004D2594" w:rsidRDefault="007847DF" w:rsidP="00F915F4">
            <w:pPr>
              <w:snapToGrid w:val="0"/>
              <w:jc w:val="right"/>
              <w:rPr>
                <w:sz w:val="20"/>
                <w:szCs w:val="20"/>
                <w:lang w:eastAsia="ar-SA"/>
              </w:rPr>
            </w:pPr>
            <w:r>
              <w:rPr>
                <w:sz w:val="20"/>
                <w:szCs w:val="20"/>
                <w:lang w:eastAsia="ar-SA"/>
              </w:rPr>
              <w:t>x</w:t>
            </w:r>
          </w:p>
        </w:tc>
      </w:tr>
      <w:tr w:rsidR="007847DF" w:rsidRPr="004D2594" w14:paraId="14C6A7C6" w14:textId="77777777" w:rsidTr="00A06E49">
        <w:trPr>
          <w:tblHeader/>
        </w:trPr>
        <w:tc>
          <w:tcPr>
            <w:tcW w:w="3572" w:type="dxa"/>
            <w:tcBorders>
              <w:left w:val="single" w:sz="4" w:space="0" w:color="auto"/>
              <w:bottom w:val="single" w:sz="4" w:space="0" w:color="auto"/>
            </w:tcBorders>
          </w:tcPr>
          <w:p w14:paraId="7B3863DC" w14:textId="0113ADD1" w:rsidR="007847DF" w:rsidRPr="004D2594" w:rsidRDefault="004728C1" w:rsidP="00F915F4">
            <w:pPr>
              <w:snapToGrid w:val="0"/>
              <w:rPr>
                <w:sz w:val="20"/>
                <w:szCs w:val="20"/>
                <w:lang w:eastAsia="ar-SA"/>
              </w:rPr>
            </w:pPr>
            <w:r>
              <w:rPr>
                <w:sz w:val="20"/>
                <w:szCs w:val="20"/>
                <w:lang w:eastAsia="ar-SA"/>
              </w:rPr>
              <w:t>Inteligentní dopravní systémy</w:t>
            </w:r>
          </w:p>
        </w:tc>
        <w:tc>
          <w:tcPr>
            <w:tcW w:w="1191" w:type="dxa"/>
            <w:tcBorders>
              <w:left w:val="single" w:sz="4" w:space="0" w:color="000000"/>
              <w:bottom w:val="single" w:sz="4" w:space="0" w:color="auto"/>
            </w:tcBorders>
          </w:tcPr>
          <w:p w14:paraId="3D5BDE7E" w14:textId="77777777" w:rsidR="007847DF" w:rsidRPr="004D2594" w:rsidRDefault="007847DF" w:rsidP="00F915F4">
            <w:pPr>
              <w:snapToGrid w:val="0"/>
              <w:jc w:val="right"/>
              <w:rPr>
                <w:sz w:val="20"/>
                <w:szCs w:val="20"/>
                <w:lang w:eastAsia="ar-SA"/>
              </w:rPr>
            </w:pPr>
            <w:r w:rsidRPr="004D2594">
              <w:rPr>
                <w:sz w:val="20"/>
                <w:szCs w:val="20"/>
                <w:lang w:eastAsia="ar-SA"/>
              </w:rPr>
              <w:t>1 528</w:t>
            </w:r>
          </w:p>
        </w:tc>
        <w:tc>
          <w:tcPr>
            <w:tcW w:w="1247" w:type="dxa"/>
            <w:tcBorders>
              <w:left w:val="single" w:sz="4" w:space="0" w:color="000000"/>
              <w:bottom w:val="single" w:sz="4" w:space="0" w:color="auto"/>
            </w:tcBorders>
          </w:tcPr>
          <w:p w14:paraId="08734D16" w14:textId="77777777" w:rsidR="007847DF" w:rsidRPr="004D2594" w:rsidRDefault="007847DF" w:rsidP="00F915F4">
            <w:pPr>
              <w:snapToGrid w:val="0"/>
              <w:jc w:val="right"/>
              <w:rPr>
                <w:sz w:val="20"/>
                <w:szCs w:val="20"/>
                <w:lang w:eastAsia="ar-SA"/>
              </w:rPr>
            </w:pPr>
            <w:r w:rsidRPr="004D2594">
              <w:rPr>
                <w:sz w:val="20"/>
                <w:szCs w:val="20"/>
                <w:lang w:eastAsia="ar-SA"/>
              </w:rPr>
              <w:t>37 485</w:t>
            </w:r>
          </w:p>
        </w:tc>
        <w:tc>
          <w:tcPr>
            <w:tcW w:w="1145" w:type="dxa"/>
            <w:tcBorders>
              <w:left w:val="single" w:sz="4" w:space="0" w:color="000000"/>
              <w:bottom w:val="single" w:sz="4" w:space="0" w:color="auto"/>
            </w:tcBorders>
          </w:tcPr>
          <w:p w14:paraId="4A60F924" w14:textId="77777777" w:rsidR="007847DF" w:rsidRPr="004D2594" w:rsidRDefault="007847DF" w:rsidP="00F915F4">
            <w:pPr>
              <w:snapToGrid w:val="0"/>
              <w:jc w:val="right"/>
              <w:rPr>
                <w:sz w:val="20"/>
                <w:szCs w:val="20"/>
                <w:lang w:eastAsia="ar-SA"/>
              </w:rPr>
            </w:pPr>
            <w:r w:rsidRPr="004D2594">
              <w:rPr>
                <w:sz w:val="20"/>
                <w:szCs w:val="20"/>
                <w:lang w:eastAsia="ar-SA"/>
              </w:rPr>
              <w:t>37 485</w:t>
            </w:r>
          </w:p>
        </w:tc>
        <w:tc>
          <w:tcPr>
            <w:tcW w:w="1216" w:type="dxa"/>
            <w:tcBorders>
              <w:left w:val="single" w:sz="4" w:space="0" w:color="000000"/>
              <w:bottom w:val="single" w:sz="4" w:space="0" w:color="auto"/>
            </w:tcBorders>
          </w:tcPr>
          <w:p w14:paraId="0542C41B" w14:textId="77777777" w:rsidR="007847DF" w:rsidRPr="004D2594" w:rsidRDefault="007847DF" w:rsidP="00F915F4">
            <w:pPr>
              <w:snapToGrid w:val="0"/>
              <w:jc w:val="right"/>
              <w:rPr>
                <w:sz w:val="20"/>
                <w:szCs w:val="20"/>
                <w:lang w:eastAsia="ar-SA"/>
              </w:rPr>
            </w:pPr>
            <w:r w:rsidRPr="004D2594">
              <w:rPr>
                <w:sz w:val="20"/>
                <w:szCs w:val="20"/>
                <w:lang w:eastAsia="ar-SA"/>
              </w:rPr>
              <w:t>1 145</w:t>
            </w:r>
          </w:p>
        </w:tc>
        <w:tc>
          <w:tcPr>
            <w:tcW w:w="850" w:type="dxa"/>
            <w:tcBorders>
              <w:left w:val="single" w:sz="4" w:space="0" w:color="000000"/>
              <w:bottom w:val="single" w:sz="4" w:space="0" w:color="auto"/>
              <w:right w:val="single" w:sz="4" w:space="0" w:color="auto"/>
            </w:tcBorders>
          </w:tcPr>
          <w:p w14:paraId="6D69F41B" w14:textId="77777777" w:rsidR="007847DF" w:rsidRPr="004D2594" w:rsidRDefault="007847DF" w:rsidP="00F915F4">
            <w:pPr>
              <w:snapToGrid w:val="0"/>
              <w:jc w:val="right"/>
              <w:rPr>
                <w:sz w:val="20"/>
                <w:szCs w:val="20"/>
                <w:lang w:eastAsia="ar-SA"/>
              </w:rPr>
            </w:pPr>
            <w:r w:rsidRPr="004D2594">
              <w:rPr>
                <w:sz w:val="20"/>
                <w:szCs w:val="20"/>
                <w:lang w:eastAsia="ar-SA"/>
              </w:rPr>
              <w:t>74,93</w:t>
            </w:r>
          </w:p>
        </w:tc>
      </w:tr>
    </w:tbl>
    <w:bookmarkEnd w:id="1000"/>
    <w:bookmarkEnd w:id="1001"/>
    <w:p w14:paraId="241F0311" w14:textId="042BBD98" w:rsidR="007847DF" w:rsidRPr="001D294E" w:rsidRDefault="004728C1" w:rsidP="00A42AE8">
      <w:pPr>
        <w:pStyle w:val="Nadpis6"/>
        <w:rPr>
          <w:lang w:eastAsia="ar-SA"/>
        </w:rPr>
      </w:pPr>
      <w:r>
        <w:rPr>
          <w:lang w:eastAsia="ar-SA"/>
        </w:rPr>
        <w:t>Inteligentní dopravní systémy</w:t>
      </w:r>
    </w:p>
    <w:p w14:paraId="54C55620" w14:textId="77777777" w:rsidR="00EF3FA4" w:rsidRPr="00D609BE" w:rsidRDefault="00EF3FA4" w:rsidP="00EF3FA4">
      <w:pPr>
        <w:pStyle w:val="KOMtext"/>
        <w:rPr>
          <w:lang w:eastAsia="ar-SA"/>
        </w:rPr>
      </w:pPr>
      <w:bookmarkStart w:id="1002" w:name="OLE_LINK5"/>
      <w:bookmarkStart w:id="1003" w:name="OLE_LINK6"/>
      <w:r w:rsidRPr="00D609BE">
        <w:rPr>
          <w:lang w:eastAsia="ar-SA"/>
        </w:rPr>
        <w:t xml:space="preserve">Na rok 2019 byla stanovena účast státu na </w:t>
      </w:r>
      <w:r w:rsidRPr="00D609BE">
        <w:rPr>
          <w:b/>
          <w:lang w:eastAsia="ar-SA"/>
        </w:rPr>
        <w:t>projekt C-ROADS</w:t>
      </w:r>
      <w:r w:rsidRPr="00D609BE">
        <w:rPr>
          <w:lang w:eastAsia="ar-SA"/>
        </w:rPr>
        <w:t xml:space="preserve"> (Nástroj pro propojení Evropy CEF 2014+) v rámci programu 127 77 „Podpor</w:t>
      </w:r>
      <w:r w:rsidR="00251B76">
        <w:rPr>
          <w:lang w:eastAsia="ar-SA"/>
        </w:rPr>
        <w:t>a financování dopravy“ ve výši</w:t>
      </w:r>
      <w:r w:rsidRPr="00D609BE">
        <w:rPr>
          <w:lang w:eastAsia="ar-SA"/>
        </w:rPr>
        <w:t xml:space="preserve"> 37 485 tis. Kč, </w:t>
      </w:r>
      <w:r w:rsidR="00251B76">
        <w:rPr>
          <w:lang w:eastAsia="ar-SA"/>
        </w:rPr>
        <w:br/>
      </w:r>
      <w:r>
        <w:rPr>
          <w:lang w:eastAsia="ar-SA"/>
        </w:rPr>
        <w:t>v tom</w:t>
      </w:r>
      <w:r w:rsidRPr="00D609BE">
        <w:rPr>
          <w:lang w:eastAsia="ar-SA"/>
        </w:rPr>
        <w:t xml:space="preserve">  prostředky EU 37 485 tis. Kč. V průběhu roku nebyl schválený rozpočet upraven. Projekt si klade za cíl harmonizaci a spolupráci při zavádění systému C-ITS ve státech střední Evropy. </w:t>
      </w:r>
    </w:p>
    <w:p w14:paraId="3185F73F" w14:textId="77777777" w:rsidR="00EF3FA4" w:rsidRPr="004B11AC" w:rsidRDefault="00EF3FA4" w:rsidP="00EF3FA4">
      <w:pPr>
        <w:pStyle w:val="KOMtext"/>
        <w:rPr>
          <w:color w:val="FF0000"/>
        </w:rPr>
      </w:pPr>
      <w:r w:rsidRPr="00D609BE">
        <w:rPr>
          <w:lang w:eastAsia="ar-SA"/>
        </w:rPr>
        <w:t xml:space="preserve">Prostředky </w:t>
      </w:r>
      <w:r w:rsidRPr="00D609BE">
        <w:t>ve výši 1 145 tis. Kč, v tom prostředky EU  1 145 tis. Kč a zároveň mimorozpočtový zdroj (RF) 1 145 tis. Kč byly č</w:t>
      </w:r>
      <w:r w:rsidR="00251B76">
        <w:t xml:space="preserve">erpány O2 Czech Republic, a.s. </w:t>
      </w:r>
      <w:r w:rsidRPr="00D609BE">
        <w:t xml:space="preserve">na pořízení </w:t>
      </w:r>
      <w:r>
        <w:t>hybridních C2X jednote</w:t>
      </w:r>
      <w:r w:rsidRPr="00251B76">
        <w:t>k.</w:t>
      </w:r>
    </w:p>
    <w:p w14:paraId="7B6AFBC2" w14:textId="77777777" w:rsidR="00EF3FA4" w:rsidRPr="00251B76" w:rsidRDefault="00EF3FA4" w:rsidP="00EF3FA4">
      <w:pPr>
        <w:pStyle w:val="Nadpis8"/>
        <w:rPr>
          <w:sz w:val="24"/>
          <w:szCs w:val="24"/>
        </w:rPr>
      </w:pPr>
      <w:r w:rsidRPr="00251B76">
        <w:rPr>
          <w:sz w:val="24"/>
          <w:szCs w:val="24"/>
        </w:rPr>
        <w:t>Porovnání investičních transferů podnikatels</w:t>
      </w:r>
      <w:r w:rsidR="00513541">
        <w:rPr>
          <w:sz w:val="24"/>
          <w:szCs w:val="24"/>
        </w:rPr>
        <w:t xml:space="preserve">kým subjektům ve vývojové řadě </w:t>
      </w:r>
      <w:r w:rsidRPr="00251B76">
        <w:rPr>
          <w:sz w:val="24"/>
          <w:szCs w:val="24"/>
        </w:rPr>
        <w:t>2015 - 2019:</w:t>
      </w:r>
    </w:p>
    <w:p w14:paraId="52493371" w14:textId="77777777" w:rsidR="00EF3FA4" w:rsidRPr="00966AC1" w:rsidRDefault="00EF3FA4" w:rsidP="00DB2320">
      <w:pPr>
        <w:keepNext/>
        <w:ind w:left="357" w:right="1"/>
        <w:jc w:val="right"/>
      </w:pPr>
      <w:r>
        <w:tab/>
      </w:r>
      <w:r>
        <w:tab/>
      </w:r>
      <w:r>
        <w:tab/>
      </w:r>
      <w:r>
        <w:tab/>
      </w:r>
      <w:r>
        <w:tab/>
      </w:r>
      <w:r>
        <w:tab/>
      </w:r>
      <w:r>
        <w:tab/>
      </w:r>
      <w:r>
        <w:tab/>
      </w:r>
      <w:r>
        <w:tab/>
      </w:r>
      <w:r>
        <w:tab/>
        <w:t xml:space="preserve">     </w:t>
      </w:r>
      <w:r w:rsidRPr="00966AC1">
        <w:t>v tis.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60"/>
        <w:gridCol w:w="1260"/>
        <w:gridCol w:w="1260"/>
        <w:gridCol w:w="1260"/>
        <w:gridCol w:w="1206"/>
        <w:gridCol w:w="1134"/>
      </w:tblGrid>
      <w:tr w:rsidR="00EF3FA4" w:rsidRPr="004B11AC" w14:paraId="536F5E0E" w14:textId="77777777" w:rsidTr="00EF3FA4">
        <w:trPr>
          <w:tblHeader/>
        </w:trPr>
        <w:tc>
          <w:tcPr>
            <w:tcW w:w="3060" w:type="dxa"/>
            <w:tcBorders>
              <w:bottom w:val="single" w:sz="4" w:space="0" w:color="auto"/>
            </w:tcBorders>
          </w:tcPr>
          <w:p w14:paraId="5D475A87" w14:textId="77777777" w:rsidR="00EF3FA4" w:rsidRPr="00966AC1" w:rsidRDefault="00EF3FA4" w:rsidP="00C26B90">
            <w:pPr>
              <w:jc w:val="center"/>
              <w:rPr>
                <w:sz w:val="22"/>
                <w:szCs w:val="22"/>
              </w:rPr>
            </w:pPr>
          </w:p>
          <w:p w14:paraId="1568DD23" w14:textId="77777777" w:rsidR="00EF3FA4" w:rsidRPr="00966AC1" w:rsidRDefault="00EF3FA4" w:rsidP="00C26B90">
            <w:pPr>
              <w:jc w:val="center"/>
              <w:rPr>
                <w:sz w:val="22"/>
                <w:szCs w:val="22"/>
              </w:rPr>
            </w:pPr>
            <w:r w:rsidRPr="00966AC1">
              <w:rPr>
                <w:sz w:val="22"/>
                <w:szCs w:val="22"/>
              </w:rPr>
              <w:t>Ukazatel</w:t>
            </w:r>
          </w:p>
        </w:tc>
        <w:tc>
          <w:tcPr>
            <w:tcW w:w="1260" w:type="dxa"/>
            <w:tcBorders>
              <w:bottom w:val="single" w:sz="4" w:space="0" w:color="auto"/>
            </w:tcBorders>
            <w:vAlign w:val="center"/>
          </w:tcPr>
          <w:p w14:paraId="72F8575C" w14:textId="77777777" w:rsidR="00EF3FA4" w:rsidRPr="00966AC1" w:rsidRDefault="00EF3FA4" w:rsidP="00C26B90">
            <w:pPr>
              <w:jc w:val="center"/>
              <w:rPr>
                <w:sz w:val="22"/>
                <w:szCs w:val="22"/>
              </w:rPr>
            </w:pPr>
            <w:r w:rsidRPr="00966AC1">
              <w:rPr>
                <w:sz w:val="22"/>
                <w:szCs w:val="22"/>
              </w:rPr>
              <w:t>Skutečnost</w:t>
            </w:r>
          </w:p>
          <w:p w14:paraId="3C3C67D9" w14:textId="77777777" w:rsidR="00EF3FA4" w:rsidRPr="00966AC1" w:rsidRDefault="00EF3FA4" w:rsidP="00C26B90">
            <w:pPr>
              <w:jc w:val="center"/>
              <w:rPr>
                <w:sz w:val="22"/>
                <w:szCs w:val="22"/>
              </w:rPr>
            </w:pPr>
            <w:r w:rsidRPr="00966AC1">
              <w:rPr>
                <w:sz w:val="22"/>
                <w:szCs w:val="22"/>
              </w:rPr>
              <w:t>2015</w:t>
            </w:r>
          </w:p>
        </w:tc>
        <w:tc>
          <w:tcPr>
            <w:tcW w:w="1260" w:type="dxa"/>
            <w:tcBorders>
              <w:bottom w:val="single" w:sz="4" w:space="0" w:color="auto"/>
            </w:tcBorders>
            <w:vAlign w:val="center"/>
          </w:tcPr>
          <w:p w14:paraId="7468BA62" w14:textId="77777777" w:rsidR="00EF3FA4" w:rsidRPr="00966AC1" w:rsidRDefault="00EF3FA4" w:rsidP="00C26B90">
            <w:pPr>
              <w:jc w:val="center"/>
              <w:rPr>
                <w:sz w:val="22"/>
                <w:szCs w:val="22"/>
              </w:rPr>
            </w:pPr>
            <w:r w:rsidRPr="00966AC1">
              <w:rPr>
                <w:sz w:val="22"/>
                <w:szCs w:val="22"/>
              </w:rPr>
              <w:t>Skutečnost</w:t>
            </w:r>
          </w:p>
          <w:p w14:paraId="70C33789" w14:textId="77777777" w:rsidR="00EF3FA4" w:rsidRPr="00966AC1" w:rsidRDefault="00EF3FA4" w:rsidP="00C26B90">
            <w:pPr>
              <w:jc w:val="center"/>
              <w:rPr>
                <w:sz w:val="22"/>
                <w:szCs w:val="22"/>
              </w:rPr>
            </w:pPr>
            <w:r w:rsidRPr="00966AC1">
              <w:rPr>
                <w:sz w:val="22"/>
                <w:szCs w:val="22"/>
              </w:rPr>
              <w:t>2016</w:t>
            </w:r>
          </w:p>
        </w:tc>
        <w:tc>
          <w:tcPr>
            <w:tcW w:w="1260" w:type="dxa"/>
            <w:tcBorders>
              <w:bottom w:val="single" w:sz="4" w:space="0" w:color="auto"/>
            </w:tcBorders>
            <w:vAlign w:val="center"/>
          </w:tcPr>
          <w:p w14:paraId="0C367F61" w14:textId="77777777" w:rsidR="00EF3FA4" w:rsidRPr="00966AC1" w:rsidRDefault="00EF3FA4" w:rsidP="00C26B90">
            <w:pPr>
              <w:jc w:val="center"/>
              <w:rPr>
                <w:sz w:val="22"/>
                <w:szCs w:val="22"/>
              </w:rPr>
            </w:pPr>
            <w:r w:rsidRPr="00966AC1">
              <w:rPr>
                <w:sz w:val="22"/>
                <w:szCs w:val="22"/>
              </w:rPr>
              <w:t>Skutečnost</w:t>
            </w:r>
          </w:p>
          <w:p w14:paraId="21C1626A" w14:textId="77777777" w:rsidR="00EF3FA4" w:rsidRPr="00966AC1" w:rsidRDefault="00EF3FA4" w:rsidP="00C26B90">
            <w:pPr>
              <w:jc w:val="center"/>
              <w:rPr>
                <w:sz w:val="22"/>
                <w:szCs w:val="22"/>
              </w:rPr>
            </w:pPr>
            <w:r w:rsidRPr="00966AC1">
              <w:rPr>
                <w:sz w:val="22"/>
                <w:szCs w:val="22"/>
              </w:rPr>
              <w:t>2017</w:t>
            </w:r>
          </w:p>
        </w:tc>
        <w:tc>
          <w:tcPr>
            <w:tcW w:w="1206" w:type="dxa"/>
            <w:tcBorders>
              <w:bottom w:val="single" w:sz="4" w:space="0" w:color="auto"/>
            </w:tcBorders>
            <w:vAlign w:val="center"/>
          </w:tcPr>
          <w:p w14:paraId="12E93C80" w14:textId="77777777" w:rsidR="00EF3FA4" w:rsidRPr="00966AC1" w:rsidRDefault="00EF3FA4" w:rsidP="00C26B90">
            <w:pPr>
              <w:jc w:val="center"/>
              <w:rPr>
                <w:sz w:val="22"/>
                <w:szCs w:val="22"/>
              </w:rPr>
            </w:pPr>
            <w:r w:rsidRPr="00966AC1">
              <w:rPr>
                <w:sz w:val="22"/>
                <w:szCs w:val="22"/>
              </w:rPr>
              <w:t>Skutečnost</w:t>
            </w:r>
          </w:p>
          <w:p w14:paraId="18C2B2A0" w14:textId="77777777" w:rsidR="00EF3FA4" w:rsidRPr="00966AC1" w:rsidRDefault="00EF3FA4" w:rsidP="00C26B90">
            <w:pPr>
              <w:jc w:val="center"/>
              <w:rPr>
                <w:sz w:val="22"/>
                <w:szCs w:val="22"/>
              </w:rPr>
            </w:pPr>
            <w:r w:rsidRPr="00966AC1">
              <w:rPr>
                <w:sz w:val="22"/>
                <w:szCs w:val="22"/>
              </w:rPr>
              <w:t>2018</w:t>
            </w:r>
          </w:p>
        </w:tc>
        <w:tc>
          <w:tcPr>
            <w:tcW w:w="1134" w:type="dxa"/>
            <w:tcBorders>
              <w:bottom w:val="single" w:sz="4" w:space="0" w:color="auto"/>
            </w:tcBorders>
            <w:vAlign w:val="center"/>
          </w:tcPr>
          <w:p w14:paraId="004B597A" w14:textId="77777777" w:rsidR="00EF3FA4" w:rsidRPr="00966AC1" w:rsidRDefault="00EF3FA4" w:rsidP="00C26B90">
            <w:pPr>
              <w:jc w:val="center"/>
              <w:rPr>
                <w:sz w:val="22"/>
                <w:szCs w:val="22"/>
              </w:rPr>
            </w:pPr>
            <w:r w:rsidRPr="00966AC1">
              <w:rPr>
                <w:sz w:val="22"/>
                <w:szCs w:val="22"/>
              </w:rPr>
              <w:t>Skutečnost</w:t>
            </w:r>
          </w:p>
          <w:p w14:paraId="65B45D62" w14:textId="77777777" w:rsidR="00EF3FA4" w:rsidRPr="00966AC1" w:rsidRDefault="00EF3FA4" w:rsidP="00C26B90">
            <w:pPr>
              <w:jc w:val="center"/>
              <w:rPr>
                <w:sz w:val="22"/>
                <w:szCs w:val="22"/>
              </w:rPr>
            </w:pPr>
            <w:r w:rsidRPr="00966AC1">
              <w:rPr>
                <w:sz w:val="22"/>
                <w:szCs w:val="22"/>
              </w:rPr>
              <w:t>2019</w:t>
            </w:r>
          </w:p>
        </w:tc>
      </w:tr>
      <w:tr w:rsidR="00EF3FA4" w:rsidRPr="00966AC1" w14:paraId="2010A06A" w14:textId="77777777" w:rsidTr="00EF3FA4">
        <w:trPr>
          <w:tblHeader/>
        </w:trPr>
        <w:tc>
          <w:tcPr>
            <w:tcW w:w="3060" w:type="dxa"/>
            <w:tcBorders>
              <w:bottom w:val="single" w:sz="4" w:space="0" w:color="auto"/>
            </w:tcBorders>
          </w:tcPr>
          <w:p w14:paraId="72782510" w14:textId="77777777" w:rsidR="00EF3FA4" w:rsidRPr="00966AC1" w:rsidRDefault="00EF3FA4" w:rsidP="00C26B90">
            <w:pPr>
              <w:jc w:val="center"/>
              <w:rPr>
                <w:sz w:val="22"/>
                <w:szCs w:val="22"/>
              </w:rPr>
            </w:pPr>
            <w:r w:rsidRPr="00966AC1">
              <w:rPr>
                <w:sz w:val="22"/>
                <w:szCs w:val="22"/>
              </w:rPr>
              <w:t>a</w:t>
            </w:r>
          </w:p>
        </w:tc>
        <w:tc>
          <w:tcPr>
            <w:tcW w:w="1260" w:type="dxa"/>
            <w:tcBorders>
              <w:bottom w:val="single" w:sz="4" w:space="0" w:color="auto"/>
            </w:tcBorders>
          </w:tcPr>
          <w:p w14:paraId="0632B8D3" w14:textId="77777777" w:rsidR="00EF3FA4" w:rsidRPr="00966AC1" w:rsidRDefault="00EF3FA4" w:rsidP="00C26B90">
            <w:pPr>
              <w:jc w:val="center"/>
              <w:rPr>
                <w:sz w:val="22"/>
                <w:szCs w:val="22"/>
              </w:rPr>
            </w:pPr>
            <w:r w:rsidRPr="00966AC1">
              <w:rPr>
                <w:sz w:val="22"/>
                <w:szCs w:val="22"/>
              </w:rPr>
              <w:t>1</w:t>
            </w:r>
          </w:p>
        </w:tc>
        <w:tc>
          <w:tcPr>
            <w:tcW w:w="1260" w:type="dxa"/>
            <w:tcBorders>
              <w:bottom w:val="single" w:sz="4" w:space="0" w:color="auto"/>
            </w:tcBorders>
          </w:tcPr>
          <w:p w14:paraId="62E91A3E" w14:textId="77777777" w:rsidR="00EF3FA4" w:rsidRPr="00966AC1" w:rsidRDefault="00EF3FA4" w:rsidP="00C26B90">
            <w:pPr>
              <w:jc w:val="center"/>
              <w:rPr>
                <w:sz w:val="22"/>
                <w:szCs w:val="22"/>
              </w:rPr>
            </w:pPr>
            <w:r w:rsidRPr="00966AC1">
              <w:rPr>
                <w:sz w:val="22"/>
                <w:szCs w:val="22"/>
              </w:rPr>
              <w:t>2</w:t>
            </w:r>
          </w:p>
        </w:tc>
        <w:tc>
          <w:tcPr>
            <w:tcW w:w="1260" w:type="dxa"/>
            <w:tcBorders>
              <w:bottom w:val="single" w:sz="4" w:space="0" w:color="auto"/>
            </w:tcBorders>
          </w:tcPr>
          <w:p w14:paraId="23A0A114" w14:textId="77777777" w:rsidR="00EF3FA4" w:rsidRPr="00966AC1" w:rsidRDefault="00EF3FA4" w:rsidP="00C26B90">
            <w:pPr>
              <w:jc w:val="center"/>
              <w:rPr>
                <w:sz w:val="22"/>
                <w:szCs w:val="22"/>
              </w:rPr>
            </w:pPr>
            <w:r w:rsidRPr="00966AC1">
              <w:rPr>
                <w:sz w:val="22"/>
                <w:szCs w:val="22"/>
              </w:rPr>
              <w:t>3</w:t>
            </w:r>
          </w:p>
        </w:tc>
        <w:tc>
          <w:tcPr>
            <w:tcW w:w="1206" w:type="dxa"/>
            <w:tcBorders>
              <w:bottom w:val="single" w:sz="4" w:space="0" w:color="auto"/>
            </w:tcBorders>
          </w:tcPr>
          <w:p w14:paraId="64504CF6" w14:textId="77777777" w:rsidR="00EF3FA4" w:rsidRPr="00966AC1" w:rsidRDefault="00EF3FA4" w:rsidP="00C26B90">
            <w:pPr>
              <w:jc w:val="center"/>
              <w:rPr>
                <w:sz w:val="22"/>
                <w:szCs w:val="22"/>
              </w:rPr>
            </w:pPr>
            <w:r w:rsidRPr="00966AC1">
              <w:rPr>
                <w:sz w:val="22"/>
                <w:szCs w:val="22"/>
              </w:rPr>
              <w:t>4</w:t>
            </w:r>
          </w:p>
        </w:tc>
        <w:tc>
          <w:tcPr>
            <w:tcW w:w="1134" w:type="dxa"/>
            <w:tcBorders>
              <w:bottom w:val="single" w:sz="4" w:space="0" w:color="auto"/>
            </w:tcBorders>
          </w:tcPr>
          <w:p w14:paraId="77A56B41" w14:textId="77777777" w:rsidR="00EF3FA4" w:rsidRPr="00966AC1" w:rsidRDefault="00EF3FA4" w:rsidP="00C26B90">
            <w:pPr>
              <w:jc w:val="center"/>
              <w:rPr>
                <w:sz w:val="22"/>
                <w:szCs w:val="22"/>
              </w:rPr>
            </w:pPr>
            <w:r w:rsidRPr="00966AC1">
              <w:rPr>
                <w:sz w:val="22"/>
                <w:szCs w:val="22"/>
              </w:rPr>
              <w:t>5</w:t>
            </w:r>
          </w:p>
        </w:tc>
      </w:tr>
      <w:tr w:rsidR="00EF3FA4" w:rsidRPr="00966AC1" w14:paraId="0B36B605" w14:textId="77777777" w:rsidTr="00EF3FA4">
        <w:trPr>
          <w:trHeight w:val="388"/>
          <w:tblHeader/>
        </w:trPr>
        <w:tc>
          <w:tcPr>
            <w:tcW w:w="3060" w:type="dxa"/>
            <w:tcBorders>
              <w:top w:val="single" w:sz="4" w:space="0" w:color="auto"/>
              <w:left w:val="single" w:sz="4" w:space="0" w:color="auto"/>
              <w:bottom w:val="nil"/>
              <w:right w:val="single" w:sz="4" w:space="0" w:color="auto"/>
            </w:tcBorders>
          </w:tcPr>
          <w:p w14:paraId="38E6C977" w14:textId="77777777" w:rsidR="00EF3FA4" w:rsidRPr="00966AC1" w:rsidRDefault="00EF3FA4" w:rsidP="00C26B90">
            <w:pPr>
              <w:spacing w:before="120"/>
              <w:jc w:val="both"/>
              <w:rPr>
                <w:b/>
                <w:sz w:val="20"/>
                <w:szCs w:val="20"/>
              </w:rPr>
            </w:pPr>
            <w:r w:rsidRPr="00966AC1">
              <w:rPr>
                <w:b/>
                <w:sz w:val="20"/>
                <w:szCs w:val="20"/>
              </w:rPr>
              <w:t>Podnikatelské subjekty</w:t>
            </w:r>
          </w:p>
        </w:tc>
        <w:tc>
          <w:tcPr>
            <w:tcW w:w="1260" w:type="dxa"/>
            <w:tcBorders>
              <w:top w:val="single" w:sz="4" w:space="0" w:color="auto"/>
              <w:left w:val="single" w:sz="4" w:space="0" w:color="auto"/>
              <w:bottom w:val="nil"/>
              <w:right w:val="single" w:sz="4" w:space="0" w:color="auto"/>
            </w:tcBorders>
          </w:tcPr>
          <w:p w14:paraId="08CBB499" w14:textId="77777777" w:rsidR="00EF3FA4" w:rsidRPr="00966AC1" w:rsidRDefault="00EF3FA4" w:rsidP="00C26B90">
            <w:pPr>
              <w:spacing w:before="120"/>
              <w:jc w:val="right"/>
              <w:rPr>
                <w:b/>
                <w:bCs/>
                <w:sz w:val="20"/>
                <w:szCs w:val="20"/>
              </w:rPr>
            </w:pPr>
            <w:r w:rsidRPr="00966AC1">
              <w:rPr>
                <w:b/>
                <w:bCs/>
                <w:sz w:val="20"/>
                <w:szCs w:val="20"/>
              </w:rPr>
              <w:t>7 695 960</w:t>
            </w:r>
          </w:p>
        </w:tc>
        <w:tc>
          <w:tcPr>
            <w:tcW w:w="1260" w:type="dxa"/>
            <w:tcBorders>
              <w:top w:val="single" w:sz="4" w:space="0" w:color="auto"/>
              <w:left w:val="single" w:sz="4" w:space="0" w:color="auto"/>
              <w:bottom w:val="nil"/>
              <w:right w:val="single" w:sz="4" w:space="0" w:color="auto"/>
            </w:tcBorders>
          </w:tcPr>
          <w:p w14:paraId="09DC074F" w14:textId="77777777" w:rsidR="00EF3FA4" w:rsidRPr="00966AC1" w:rsidRDefault="00EF3FA4" w:rsidP="00C26B90">
            <w:pPr>
              <w:spacing w:before="120"/>
              <w:jc w:val="right"/>
              <w:rPr>
                <w:b/>
                <w:bCs/>
                <w:sz w:val="20"/>
                <w:szCs w:val="20"/>
              </w:rPr>
            </w:pPr>
            <w:r w:rsidRPr="00966AC1">
              <w:rPr>
                <w:b/>
                <w:bCs/>
                <w:sz w:val="20"/>
                <w:szCs w:val="20"/>
              </w:rPr>
              <w:t>5 285 354</w:t>
            </w:r>
          </w:p>
        </w:tc>
        <w:tc>
          <w:tcPr>
            <w:tcW w:w="1260" w:type="dxa"/>
            <w:tcBorders>
              <w:top w:val="single" w:sz="4" w:space="0" w:color="auto"/>
              <w:left w:val="single" w:sz="4" w:space="0" w:color="auto"/>
              <w:bottom w:val="nil"/>
              <w:right w:val="single" w:sz="4" w:space="0" w:color="auto"/>
            </w:tcBorders>
          </w:tcPr>
          <w:p w14:paraId="59111E3D" w14:textId="77777777" w:rsidR="00EF3FA4" w:rsidRPr="00966AC1" w:rsidRDefault="00EF3FA4" w:rsidP="00C26B90">
            <w:pPr>
              <w:spacing w:before="120"/>
              <w:jc w:val="right"/>
              <w:rPr>
                <w:b/>
                <w:bCs/>
                <w:sz w:val="20"/>
                <w:szCs w:val="20"/>
              </w:rPr>
            </w:pPr>
            <w:r w:rsidRPr="00966AC1">
              <w:rPr>
                <w:b/>
                <w:bCs/>
                <w:sz w:val="20"/>
                <w:szCs w:val="20"/>
              </w:rPr>
              <w:t>0</w:t>
            </w:r>
          </w:p>
        </w:tc>
        <w:tc>
          <w:tcPr>
            <w:tcW w:w="1206" w:type="dxa"/>
            <w:tcBorders>
              <w:top w:val="single" w:sz="4" w:space="0" w:color="auto"/>
              <w:left w:val="single" w:sz="4" w:space="0" w:color="auto"/>
              <w:bottom w:val="nil"/>
              <w:right w:val="single" w:sz="4" w:space="0" w:color="auto"/>
            </w:tcBorders>
          </w:tcPr>
          <w:p w14:paraId="00C20160" w14:textId="77777777" w:rsidR="00EF3FA4" w:rsidRPr="00966AC1" w:rsidRDefault="00EF3FA4" w:rsidP="00C26B90">
            <w:pPr>
              <w:spacing w:before="120"/>
              <w:jc w:val="right"/>
              <w:rPr>
                <w:b/>
                <w:bCs/>
                <w:sz w:val="20"/>
                <w:szCs w:val="20"/>
              </w:rPr>
            </w:pPr>
            <w:r w:rsidRPr="00966AC1">
              <w:rPr>
                <w:b/>
                <w:bCs/>
                <w:sz w:val="20"/>
                <w:szCs w:val="20"/>
              </w:rPr>
              <w:t>1 528</w:t>
            </w:r>
          </w:p>
        </w:tc>
        <w:tc>
          <w:tcPr>
            <w:tcW w:w="1134" w:type="dxa"/>
            <w:tcBorders>
              <w:top w:val="single" w:sz="4" w:space="0" w:color="auto"/>
              <w:left w:val="single" w:sz="4" w:space="0" w:color="auto"/>
              <w:bottom w:val="nil"/>
              <w:right w:val="single" w:sz="4" w:space="0" w:color="auto"/>
            </w:tcBorders>
          </w:tcPr>
          <w:p w14:paraId="2DBB72FA" w14:textId="77777777" w:rsidR="00EF3FA4" w:rsidRPr="00966AC1" w:rsidRDefault="00EF3FA4" w:rsidP="00C26B90">
            <w:pPr>
              <w:spacing w:before="120"/>
              <w:jc w:val="right"/>
              <w:rPr>
                <w:b/>
                <w:bCs/>
                <w:sz w:val="20"/>
                <w:szCs w:val="20"/>
              </w:rPr>
            </w:pPr>
            <w:r w:rsidRPr="00966AC1">
              <w:rPr>
                <w:b/>
                <w:bCs/>
                <w:sz w:val="20"/>
                <w:szCs w:val="20"/>
              </w:rPr>
              <w:t>1 145</w:t>
            </w:r>
          </w:p>
        </w:tc>
      </w:tr>
      <w:tr w:rsidR="00EF3FA4" w:rsidRPr="00966AC1" w14:paraId="3103262C" w14:textId="77777777" w:rsidTr="00EF3FA4">
        <w:trPr>
          <w:trHeight w:val="280"/>
          <w:tblHeader/>
        </w:trPr>
        <w:tc>
          <w:tcPr>
            <w:tcW w:w="3060" w:type="dxa"/>
            <w:tcBorders>
              <w:top w:val="nil"/>
              <w:bottom w:val="nil"/>
            </w:tcBorders>
          </w:tcPr>
          <w:p w14:paraId="4CF18A96" w14:textId="77777777" w:rsidR="00EF3FA4" w:rsidRPr="00966AC1" w:rsidRDefault="00EF3FA4" w:rsidP="00C26B90">
            <w:pPr>
              <w:jc w:val="both"/>
              <w:rPr>
                <w:sz w:val="20"/>
                <w:szCs w:val="20"/>
              </w:rPr>
            </w:pPr>
            <w:r w:rsidRPr="00966AC1">
              <w:rPr>
                <w:sz w:val="20"/>
                <w:szCs w:val="20"/>
              </w:rPr>
              <w:t>v tom:</w:t>
            </w:r>
          </w:p>
        </w:tc>
        <w:tc>
          <w:tcPr>
            <w:tcW w:w="1260" w:type="dxa"/>
            <w:tcBorders>
              <w:top w:val="nil"/>
              <w:bottom w:val="nil"/>
            </w:tcBorders>
          </w:tcPr>
          <w:p w14:paraId="695E777E" w14:textId="77777777" w:rsidR="00EF3FA4" w:rsidRPr="00966AC1" w:rsidRDefault="00EF3FA4" w:rsidP="00C26B90">
            <w:pPr>
              <w:jc w:val="right"/>
              <w:rPr>
                <w:b/>
                <w:bCs/>
                <w:sz w:val="20"/>
                <w:szCs w:val="20"/>
              </w:rPr>
            </w:pPr>
          </w:p>
        </w:tc>
        <w:tc>
          <w:tcPr>
            <w:tcW w:w="1260" w:type="dxa"/>
            <w:tcBorders>
              <w:top w:val="nil"/>
              <w:bottom w:val="nil"/>
            </w:tcBorders>
          </w:tcPr>
          <w:p w14:paraId="681AFA95" w14:textId="77777777" w:rsidR="00EF3FA4" w:rsidRPr="00966AC1" w:rsidRDefault="00EF3FA4" w:rsidP="00C26B90">
            <w:pPr>
              <w:jc w:val="right"/>
              <w:rPr>
                <w:b/>
                <w:bCs/>
                <w:sz w:val="20"/>
                <w:szCs w:val="20"/>
              </w:rPr>
            </w:pPr>
          </w:p>
        </w:tc>
        <w:tc>
          <w:tcPr>
            <w:tcW w:w="1260" w:type="dxa"/>
            <w:tcBorders>
              <w:top w:val="nil"/>
              <w:bottom w:val="nil"/>
            </w:tcBorders>
          </w:tcPr>
          <w:p w14:paraId="6E0C0FDA" w14:textId="77777777" w:rsidR="00EF3FA4" w:rsidRPr="00966AC1" w:rsidRDefault="00EF3FA4" w:rsidP="00C26B90">
            <w:pPr>
              <w:jc w:val="right"/>
              <w:rPr>
                <w:b/>
                <w:bCs/>
                <w:sz w:val="20"/>
                <w:szCs w:val="20"/>
              </w:rPr>
            </w:pPr>
          </w:p>
        </w:tc>
        <w:tc>
          <w:tcPr>
            <w:tcW w:w="1206" w:type="dxa"/>
            <w:tcBorders>
              <w:top w:val="nil"/>
              <w:bottom w:val="nil"/>
            </w:tcBorders>
          </w:tcPr>
          <w:p w14:paraId="5FC90359" w14:textId="77777777" w:rsidR="00EF3FA4" w:rsidRPr="00966AC1" w:rsidRDefault="00EF3FA4" w:rsidP="00C26B90">
            <w:pPr>
              <w:jc w:val="right"/>
              <w:rPr>
                <w:b/>
                <w:bCs/>
                <w:sz w:val="20"/>
                <w:szCs w:val="20"/>
              </w:rPr>
            </w:pPr>
          </w:p>
        </w:tc>
        <w:tc>
          <w:tcPr>
            <w:tcW w:w="1134" w:type="dxa"/>
            <w:tcBorders>
              <w:top w:val="nil"/>
              <w:bottom w:val="nil"/>
            </w:tcBorders>
          </w:tcPr>
          <w:p w14:paraId="3D924F90" w14:textId="77777777" w:rsidR="00EF3FA4" w:rsidRPr="00966AC1" w:rsidRDefault="00EF3FA4" w:rsidP="00C26B90">
            <w:pPr>
              <w:jc w:val="right"/>
              <w:rPr>
                <w:b/>
                <w:bCs/>
                <w:sz w:val="20"/>
                <w:szCs w:val="20"/>
              </w:rPr>
            </w:pPr>
          </w:p>
        </w:tc>
      </w:tr>
      <w:tr w:rsidR="00EF3FA4" w:rsidRPr="00966AC1" w14:paraId="515397A8" w14:textId="77777777" w:rsidTr="00EF3FA4">
        <w:trPr>
          <w:tblHeader/>
        </w:trPr>
        <w:tc>
          <w:tcPr>
            <w:tcW w:w="3060" w:type="dxa"/>
            <w:tcBorders>
              <w:top w:val="nil"/>
              <w:bottom w:val="nil"/>
            </w:tcBorders>
            <w:vAlign w:val="bottom"/>
          </w:tcPr>
          <w:p w14:paraId="60DC3E2C" w14:textId="77777777" w:rsidR="00EF3FA4" w:rsidRPr="00966AC1" w:rsidRDefault="00EF3FA4" w:rsidP="00C26B90">
            <w:pPr>
              <w:rPr>
                <w:sz w:val="20"/>
                <w:szCs w:val="20"/>
              </w:rPr>
            </w:pPr>
            <w:r w:rsidRPr="00966AC1">
              <w:rPr>
                <w:sz w:val="20"/>
                <w:szCs w:val="20"/>
              </w:rPr>
              <w:t>Železniční doprava</w:t>
            </w:r>
          </w:p>
        </w:tc>
        <w:tc>
          <w:tcPr>
            <w:tcW w:w="1260" w:type="dxa"/>
            <w:tcBorders>
              <w:top w:val="nil"/>
              <w:bottom w:val="nil"/>
            </w:tcBorders>
            <w:vAlign w:val="bottom"/>
          </w:tcPr>
          <w:p w14:paraId="7C4A162A" w14:textId="77777777" w:rsidR="00EF3FA4" w:rsidRPr="00966AC1" w:rsidRDefault="00EF3FA4" w:rsidP="00C26B90">
            <w:pPr>
              <w:snapToGrid w:val="0"/>
              <w:jc w:val="right"/>
              <w:rPr>
                <w:sz w:val="20"/>
                <w:szCs w:val="20"/>
                <w:lang w:eastAsia="ar-SA"/>
              </w:rPr>
            </w:pPr>
            <w:r w:rsidRPr="00966AC1">
              <w:rPr>
                <w:sz w:val="20"/>
                <w:szCs w:val="20"/>
                <w:lang w:eastAsia="ar-SA"/>
              </w:rPr>
              <w:t>220 185</w:t>
            </w:r>
          </w:p>
        </w:tc>
        <w:tc>
          <w:tcPr>
            <w:tcW w:w="1260" w:type="dxa"/>
            <w:tcBorders>
              <w:top w:val="nil"/>
              <w:bottom w:val="nil"/>
            </w:tcBorders>
            <w:vAlign w:val="bottom"/>
          </w:tcPr>
          <w:p w14:paraId="414156F3" w14:textId="77777777" w:rsidR="00EF3FA4" w:rsidRPr="00966AC1" w:rsidRDefault="00EF3FA4" w:rsidP="00C26B90">
            <w:pPr>
              <w:snapToGrid w:val="0"/>
              <w:jc w:val="right"/>
              <w:rPr>
                <w:sz w:val="20"/>
                <w:szCs w:val="20"/>
                <w:lang w:eastAsia="ar-SA"/>
              </w:rPr>
            </w:pPr>
            <w:r w:rsidRPr="00966AC1">
              <w:rPr>
                <w:sz w:val="20"/>
                <w:szCs w:val="20"/>
                <w:lang w:eastAsia="ar-SA"/>
              </w:rPr>
              <w:t>4 606 163</w:t>
            </w:r>
          </w:p>
        </w:tc>
        <w:tc>
          <w:tcPr>
            <w:tcW w:w="1260" w:type="dxa"/>
            <w:tcBorders>
              <w:top w:val="nil"/>
              <w:bottom w:val="nil"/>
            </w:tcBorders>
            <w:vAlign w:val="bottom"/>
          </w:tcPr>
          <w:p w14:paraId="02B16E57" w14:textId="77777777" w:rsidR="00EF3FA4" w:rsidRPr="00966AC1" w:rsidRDefault="00EF3FA4" w:rsidP="00C26B90">
            <w:pPr>
              <w:snapToGrid w:val="0"/>
              <w:jc w:val="right"/>
              <w:rPr>
                <w:sz w:val="20"/>
                <w:szCs w:val="20"/>
                <w:lang w:eastAsia="ar-SA"/>
              </w:rPr>
            </w:pPr>
            <w:r w:rsidRPr="00966AC1">
              <w:rPr>
                <w:sz w:val="20"/>
                <w:szCs w:val="20"/>
                <w:lang w:eastAsia="ar-SA"/>
              </w:rPr>
              <w:t>0</w:t>
            </w:r>
          </w:p>
        </w:tc>
        <w:tc>
          <w:tcPr>
            <w:tcW w:w="1206" w:type="dxa"/>
            <w:tcBorders>
              <w:top w:val="nil"/>
              <w:bottom w:val="nil"/>
            </w:tcBorders>
            <w:vAlign w:val="bottom"/>
          </w:tcPr>
          <w:p w14:paraId="6BE2ACB6" w14:textId="77777777" w:rsidR="00EF3FA4" w:rsidRPr="00966AC1" w:rsidRDefault="00EF3FA4" w:rsidP="00C26B90">
            <w:pPr>
              <w:snapToGrid w:val="0"/>
              <w:jc w:val="right"/>
              <w:rPr>
                <w:sz w:val="20"/>
                <w:szCs w:val="20"/>
                <w:lang w:eastAsia="ar-SA"/>
              </w:rPr>
            </w:pPr>
            <w:r w:rsidRPr="00966AC1">
              <w:rPr>
                <w:sz w:val="20"/>
                <w:szCs w:val="20"/>
                <w:lang w:eastAsia="ar-SA"/>
              </w:rPr>
              <w:t>0</w:t>
            </w:r>
          </w:p>
        </w:tc>
        <w:tc>
          <w:tcPr>
            <w:tcW w:w="1134" w:type="dxa"/>
            <w:tcBorders>
              <w:top w:val="nil"/>
              <w:bottom w:val="nil"/>
            </w:tcBorders>
            <w:vAlign w:val="bottom"/>
          </w:tcPr>
          <w:p w14:paraId="7208A94B" w14:textId="77777777" w:rsidR="00EF3FA4" w:rsidRPr="00966AC1" w:rsidRDefault="00EF3FA4" w:rsidP="00C26B90">
            <w:pPr>
              <w:snapToGrid w:val="0"/>
              <w:jc w:val="right"/>
              <w:rPr>
                <w:sz w:val="20"/>
                <w:szCs w:val="20"/>
                <w:lang w:eastAsia="ar-SA"/>
              </w:rPr>
            </w:pPr>
            <w:r w:rsidRPr="00966AC1">
              <w:rPr>
                <w:sz w:val="20"/>
                <w:szCs w:val="20"/>
                <w:lang w:eastAsia="ar-SA"/>
              </w:rPr>
              <w:t>0</w:t>
            </w:r>
          </w:p>
        </w:tc>
      </w:tr>
      <w:tr w:rsidR="00EF3FA4" w:rsidRPr="00966AC1" w14:paraId="3BB17938" w14:textId="77777777" w:rsidTr="00EF3FA4">
        <w:trPr>
          <w:tblHeader/>
        </w:trPr>
        <w:tc>
          <w:tcPr>
            <w:tcW w:w="3060" w:type="dxa"/>
            <w:tcBorders>
              <w:top w:val="nil"/>
              <w:bottom w:val="nil"/>
            </w:tcBorders>
            <w:vAlign w:val="bottom"/>
          </w:tcPr>
          <w:p w14:paraId="0EEDFA26" w14:textId="77777777" w:rsidR="00EF3FA4" w:rsidRPr="00966AC1" w:rsidRDefault="00EF3FA4" w:rsidP="00C26B90">
            <w:pPr>
              <w:rPr>
                <w:sz w:val="20"/>
                <w:szCs w:val="20"/>
              </w:rPr>
            </w:pPr>
            <w:r w:rsidRPr="00966AC1">
              <w:rPr>
                <w:sz w:val="20"/>
                <w:szCs w:val="20"/>
              </w:rPr>
              <w:t>Metro</w:t>
            </w:r>
          </w:p>
        </w:tc>
        <w:tc>
          <w:tcPr>
            <w:tcW w:w="1260" w:type="dxa"/>
            <w:tcBorders>
              <w:top w:val="nil"/>
              <w:bottom w:val="nil"/>
            </w:tcBorders>
            <w:vAlign w:val="bottom"/>
          </w:tcPr>
          <w:p w14:paraId="5AA24FC8" w14:textId="77777777" w:rsidR="00EF3FA4" w:rsidRPr="00966AC1" w:rsidRDefault="00EF3FA4" w:rsidP="00C26B90">
            <w:pPr>
              <w:snapToGrid w:val="0"/>
              <w:jc w:val="right"/>
              <w:rPr>
                <w:sz w:val="20"/>
                <w:szCs w:val="20"/>
                <w:lang w:eastAsia="ar-SA"/>
              </w:rPr>
            </w:pPr>
            <w:r w:rsidRPr="00966AC1">
              <w:rPr>
                <w:sz w:val="20"/>
                <w:szCs w:val="20"/>
                <w:lang w:eastAsia="ar-SA"/>
              </w:rPr>
              <w:t>7 448 898</w:t>
            </w:r>
          </w:p>
        </w:tc>
        <w:tc>
          <w:tcPr>
            <w:tcW w:w="1260" w:type="dxa"/>
            <w:tcBorders>
              <w:top w:val="nil"/>
              <w:bottom w:val="nil"/>
            </w:tcBorders>
            <w:vAlign w:val="bottom"/>
          </w:tcPr>
          <w:p w14:paraId="1FDB8C8A" w14:textId="77777777" w:rsidR="00EF3FA4" w:rsidRPr="00966AC1" w:rsidRDefault="00EF3FA4" w:rsidP="00C26B90">
            <w:pPr>
              <w:snapToGrid w:val="0"/>
              <w:jc w:val="right"/>
              <w:rPr>
                <w:sz w:val="20"/>
                <w:szCs w:val="20"/>
                <w:lang w:eastAsia="ar-SA"/>
              </w:rPr>
            </w:pPr>
            <w:r w:rsidRPr="00966AC1">
              <w:rPr>
                <w:sz w:val="20"/>
                <w:szCs w:val="20"/>
                <w:lang w:eastAsia="ar-SA"/>
              </w:rPr>
              <w:t>679 191</w:t>
            </w:r>
          </w:p>
        </w:tc>
        <w:tc>
          <w:tcPr>
            <w:tcW w:w="1260" w:type="dxa"/>
            <w:tcBorders>
              <w:top w:val="nil"/>
              <w:bottom w:val="nil"/>
            </w:tcBorders>
            <w:vAlign w:val="bottom"/>
          </w:tcPr>
          <w:p w14:paraId="44AB5EA7" w14:textId="77777777" w:rsidR="00EF3FA4" w:rsidRPr="00966AC1" w:rsidRDefault="00EF3FA4" w:rsidP="00C26B90">
            <w:pPr>
              <w:snapToGrid w:val="0"/>
              <w:jc w:val="right"/>
              <w:rPr>
                <w:sz w:val="20"/>
                <w:szCs w:val="20"/>
                <w:lang w:eastAsia="ar-SA"/>
              </w:rPr>
            </w:pPr>
            <w:r w:rsidRPr="00966AC1">
              <w:rPr>
                <w:sz w:val="20"/>
                <w:szCs w:val="20"/>
                <w:lang w:eastAsia="ar-SA"/>
              </w:rPr>
              <w:t>0</w:t>
            </w:r>
          </w:p>
        </w:tc>
        <w:tc>
          <w:tcPr>
            <w:tcW w:w="1206" w:type="dxa"/>
            <w:tcBorders>
              <w:top w:val="nil"/>
              <w:bottom w:val="nil"/>
            </w:tcBorders>
            <w:vAlign w:val="bottom"/>
          </w:tcPr>
          <w:p w14:paraId="7D5B024F" w14:textId="77777777" w:rsidR="00EF3FA4" w:rsidRPr="00966AC1" w:rsidRDefault="00EF3FA4" w:rsidP="00C26B90">
            <w:pPr>
              <w:snapToGrid w:val="0"/>
              <w:jc w:val="right"/>
              <w:rPr>
                <w:sz w:val="20"/>
                <w:szCs w:val="20"/>
                <w:lang w:eastAsia="ar-SA"/>
              </w:rPr>
            </w:pPr>
            <w:r w:rsidRPr="00966AC1">
              <w:rPr>
                <w:sz w:val="20"/>
                <w:szCs w:val="20"/>
                <w:lang w:eastAsia="ar-SA"/>
              </w:rPr>
              <w:t>0</w:t>
            </w:r>
          </w:p>
        </w:tc>
        <w:tc>
          <w:tcPr>
            <w:tcW w:w="1134" w:type="dxa"/>
            <w:tcBorders>
              <w:top w:val="nil"/>
              <w:bottom w:val="nil"/>
            </w:tcBorders>
            <w:vAlign w:val="bottom"/>
          </w:tcPr>
          <w:p w14:paraId="27748224" w14:textId="77777777" w:rsidR="00EF3FA4" w:rsidRPr="00966AC1" w:rsidRDefault="00EF3FA4" w:rsidP="00C26B90">
            <w:pPr>
              <w:snapToGrid w:val="0"/>
              <w:jc w:val="right"/>
              <w:rPr>
                <w:sz w:val="20"/>
                <w:szCs w:val="20"/>
                <w:lang w:eastAsia="ar-SA"/>
              </w:rPr>
            </w:pPr>
            <w:r w:rsidRPr="00966AC1">
              <w:rPr>
                <w:sz w:val="20"/>
                <w:szCs w:val="20"/>
                <w:lang w:eastAsia="ar-SA"/>
              </w:rPr>
              <w:t>0</w:t>
            </w:r>
          </w:p>
        </w:tc>
      </w:tr>
      <w:tr w:rsidR="00EF3FA4" w:rsidRPr="00966AC1" w14:paraId="48941131" w14:textId="77777777" w:rsidTr="00EF3FA4">
        <w:trPr>
          <w:tblHeader/>
        </w:trPr>
        <w:tc>
          <w:tcPr>
            <w:tcW w:w="3060" w:type="dxa"/>
            <w:tcBorders>
              <w:top w:val="nil"/>
              <w:left w:val="single" w:sz="4" w:space="0" w:color="auto"/>
              <w:bottom w:val="nil"/>
              <w:right w:val="single" w:sz="4" w:space="0" w:color="auto"/>
            </w:tcBorders>
            <w:vAlign w:val="bottom"/>
          </w:tcPr>
          <w:p w14:paraId="22842087" w14:textId="77777777" w:rsidR="00EF3FA4" w:rsidRPr="00966AC1" w:rsidRDefault="00EF3FA4" w:rsidP="00C26B90">
            <w:pPr>
              <w:rPr>
                <w:sz w:val="20"/>
                <w:szCs w:val="20"/>
              </w:rPr>
            </w:pPr>
            <w:r w:rsidRPr="00966AC1">
              <w:rPr>
                <w:sz w:val="20"/>
                <w:szCs w:val="20"/>
              </w:rPr>
              <w:t xml:space="preserve">Vodní doprava </w:t>
            </w:r>
          </w:p>
        </w:tc>
        <w:tc>
          <w:tcPr>
            <w:tcW w:w="1260" w:type="dxa"/>
            <w:tcBorders>
              <w:top w:val="nil"/>
              <w:left w:val="single" w:sz="4" w:space="0" w:color="auto"/>
              <w:bottom w:val="nil"/>
              <w:right w:val="single" w:sz="4" w:space="0" w:color="auto"/>
            </w:tcBorders>
            <w:vAlign w:val="bottom"/>
          </w:tcPr>
          <w:p w14:paraId="41E0A3F3" w14:textId="77777777" w:rsidR="00EF3FA4" w:rsidRPr="00966AC1" w:rsidRDefault="00EF3FA4" w:rsidP="00C26B90">
            <w:pPr>
              <w:snapToGrid w:val="0"/>
              <w:jc w:val="right"/>
              <w:rPr>
                <w:sz w:val="20"/>
                <w:szCs w:val="20"/>
                <w:lang w:eastAsia="ar-SA"/>
              </w:rPr>
            </w:pPr>
            <w:r w:rsidRPr="00966AC1">
              <w:rPr>
                <w:sz w:val="20"/>
                <w:szCs w:val="20"/>
                <w:lang w:eastAsia="ar-SA"/>
              </w:rPr>
              <w:t>26 877</w:t>
            </w:r>
          </w:p>
        </w:tc>
        <w:tc>
          <w:tcPr>
            <w:tcW w:w="1260" w:type="dxa"/>
            <w:tcBorders>
              <w:top w:val="nil"/>
              <w:left w:val="single" w:sz="4" w:space="0" w:color="auto"/>
              <w:bottom w:val="nil"/>
              <w:right w:val="single" w:sz="4" w:space="0" w:color="auto"/>
            </w:tcBorders>
            <w:vAlign w:val="bottom"/>
          </w:tcPr>
          <w:p w14:paraId="61FE7100" w14:textId="77777777" w:rsidR="00EF3FA4" w:rsidRPr="00966AC1" w:rsidRDefault="00EF3FA4" w:rsidP="00C26B90">
            <w:pPr>
              <w:snapToGrid w:val="0"/>
              <w:jc w:val="right"/>
              <w:rPr>
                <w:sz w:val="20"/>
                <w:szCs w:val="20"/>
                <w:lang w:eastAsia="ar-SA"/>
              </w:rPr>
            </w:pPr>
            <w:r w:rsidRPr="00966AC1">
              <w:rPr>
                <w:sz w:val="20"/>
                <w:szCs w:val="20"/>
                <w:lang w:eastAsia="ar-SA"/>
              </w:rPr>
              <w:t>0</w:t>
            </w:r>
          </w:p>
        </w:tc>
        <w:tc>
          <w:tcPr>
            <w:tcW w:w="1260" w:type="dxa"/>
            <w:tcBorders>
              <w:top w:val="nil"/>
              <w:left w:val="single" w:sz="4" w:space="0" w:color="auto"/>
              <w:bottom w:val="nil"/>
              <w:right w:val="single" w:sz="4" w:space="0" w:color="auto"/>
            </w:tcBorders>
            <w:vAlign w:val="bottom"/>
          </w:tcPr>
          <w:p w14:paraId="7941F107" w14:textId="77777777" w:rsidR="00EF3FA4" w:rsidRPr="00966AC1" w:rsidRDefault="00EF3FA4" w:rsidP="00C26B90">
            <w:pPr>
              <w:snapToGrid w:val="0"/>
              <w:jc w:val="right"/>
              <w:rPr>
                <w:sz w:val="20"/>
                <w:szCs w:val="20"/>
                <w:lang w:eastAsia="ar-SA"/>
              </w:rPr>
            </w:pPr>
            <w:r w:rsidRPr="00966AC1">
              <w:rPr>
                <w:sz w:val="20"/>
                <w:szCs w:val="20"/>
                <w:lang w:eastAsia="ar-SA"/>
              </w:rPr>
              <w:t>0</w:t>
            </w:r>
          </w:p>
        </w:tc>
        <w:tc>
          <w:tcPr>
            <w:tcW w:w="1206" w:type="dxa"/>
            <w:tcBorders>
              <w:top w:val="nil"/>
              <w:left w:val="single" w:sz="4" w:space="0" w:color="auto"/>
              <w:bottom w:val="nil"/>
              <w:right w:val="single" w:sz="4" w:space="0" w:color="auto"/>
            </w:tcBorders>
            <w:vAlign w:val="bottom"/>
          </w:tcPr>
          <w:p w14:paraId="71C88630" w14:textId="77777777" w:rsidR="00EF3FA4" w:rsidRPr="00966AC1" w:rsidRDefault="00EF3FA4" w:rsidP="00C26B90">
            <w:pPr>
              <w:snapToGrid w:val="0"/>
              <w:jc w:val="right"/>
              <w:rPr>
                <w:sz w:val="20"/>
                <w:szCs w:val="20"/>
                <w:lang w:eastAsia="ar-SA"/>
              </w:rPr>
            </w:pPr>
            <w:r w:rsidRPr="00966AC1">
              <w:rPr>
                <w:sz w:val="20"/>
                <w:szCs w:val="20"/>
                <w:lang w:eastAsia="ar-SA"/>
              </w:rPr>
              <w:t>0</w:t>
            </w:r>
          </w:p>
        </w:tc>
        <w:tc>
          <w:tcPr>
            <w:tcW w:w="1134" w:type="dxa"/>
            <w:tcBorders>
              <w:top w:val="nil"/>
              <w:left w:val="single" w:sz="4" w:space="0" w:color="auto"/>
              <w:bottom w:val="nil"/>
              <w:right w:val="single" w:sz="4" w:space="0" w:color="auto"/>
            </w:tcBorders>
            <w:vAlign w:val="bottom"/>
          </w:tcPr>
          <w:p w14:paraId="34D0C7F7" w14:textId="77777777" w:rsidR="00EF3FA4" w:rsidRPr="00966AC1" w:rsidRDefault="00EF3FA4" w:rsidP="00C26B90">
            <w:pPr>
              <w:snapToGrid w:val="0"/>
              <w:jc w:val="right"/>
              <w:rPr>
                <w:sz w:val="20"/>
                <w:szCs w:val="20"/>
                <w:lang w:eastAsia="ar-SA"/>
              </w:rPr>
            </w:pPr>
            <w:r w:rsidRPr="00966AC1">
              <w:rPr>
                <w:sz w:val="20"/>
                <w:szCs w:val="20"/>
                <w:lang w:eastAsia="ar-SA"/>
              </w:rPr>
              <w:t>0</w:t>
            </w:r>
          </w:p>
        </w:tc>
      </w:tr>
      <w:tr w:rsidR="00EF3FA4" w:rsidRPr="00966AC1" w14:paraId="406EF6F2" w14:textId="77777777" w:rsidTr="00EF3FA4">
        <w:trPr>
          <w:tblHeader/>
        </w:trPr>
        <w:tc>
          <w:tcPr>
            <w:tcW w:w="3060" w:type="dxa"/>
            <w:tcBorders>
              <w:top w:val="nil"/>
              <w:left w:val="single" w:sz="4" w:space="0" w:color="auto"/>
              <w:bottom w:val="single" w:sz="4" w:space="0" w:color="auto"/>
              <w:right w:val="single" w:sz="4" w:space="0" w:color="auto"/>
            </w:tcBorders>
            <w:vAlign w:val="bottom"/>
          </w:tcPr>
          <w:p w14:paraId="7364630F" w14:textId="743D950E" w:rsidR="00EF3FA4" w:rsidRPr="00966AC1" w:rsidRDefault="004728C1" w:rsidP="00C26B90">
            <w:pPr>
              <w:rPr>
                <w:sz w:val="20"/>
                <w:szCs w:val="20"/>
              </w:rPr>
            </w:pPr>
            <w:r>
              <w:rPr>
                <w:sz w:val="20"/>
                <w:szCs w:val="20"/>
                <w:lang w:eastAsia="ar-SA"/>
              </w:rPr>
              <w:t>Inteligentní dopravní systémy</w:t>
            </w:r>
          </w:p>
        </w:tc>
        <w:tc>
          <w:tcPr>
            <w:tcW w:w="1260" w:type="dxa"/>
            <w:tcBorders>
              <w:top w:val="nil"/>
              <w:left w:val="single" w:sz="4" w:space="0" w:color="auto"/>
              <w:bottom w:val="single" w:sz="4" w:space="0" w:color="auto"/>
              <w:right w:val="single" w:sz="4" w:space="0" w:color="auto"/>
            </w:tcBorders>
            <w:vAlign w:val="bottom"/>
          </w:tcPr>
          <w:p w14:paraId="6D39239E" w14:textId="77777777" w:rsidR="00EF3FA4" w:rsidRPr="00966AC1" w:rsidRDefault="00EF3FA4" w:rsidP="00C26B90">
            <w:pPr>
              <w:snapToGrid w:val="0"/>
              <w:jc w:val="right"/>
              <w:rPr>
                <w:sz w:val="20"/>
                <w:szCs w:val="20"/>
                <w:lang w:eastAsia="ar-SA"/>
              </w:rPr>
            </w:pPr>
            <w:r w:rsidRPr="00966AC1">
              <w:rPr>
                <w:sz w:val="20"/>
                <w:szCs w:val="20"/>
                <w:lang w:eastAsia="ar-SA"/>
              </w:rPr>
              <w:t>0</w:t>
            </w:r>
          </w:p>
        </w:tc>
        <w:tc>
          <w:tcPr>
            <w:tcW w:w="1260" w:type="dxa"/>
            <w:tcBorders>
              <w:top w:val="nil"/>
              <w:left w:val="single" w:sz="4" w:space="0" w:color="auto"/>
              <w:bottom w:val="single" w:sz="4" w:space="0" w:color="auto"/>
              <w:right w:val="single" w:sz="4" w:space="0" w:color="auto"/>
            </w:tcBorders>
            <w:vAlign w:val="bottom"/>
          </w:tcPr>
          <w:p w14:paraId="44185743" w14:textId="77777777" w:rsidR="00EF3FA4" w:rsidRPr="00966AC1" w:rsidRDefault="00EF3FA4" w:rsidP="00C26B90">
            <w:pPr>
              <w:snapToGrid w:val="0"/>
              <w:jc w:val="right"/>
              <w:rPr>
                <w:sz w:val="20"/>
                <w:szCs w:val="20"/>
                <w:lang w:eastAsia="ar-SA"/>
              </w:rPr>
            </w:pPr>
            <w:r w:rsidRPr="00966AC1">
              <w:rPr>
                <w:sz w:val="20"/>
                <w:szCs w:val="20"/>
                <w:lang w:eastAsia="ar-SA"/>
              </w:rPr>
              <w:t>0</w:t>
            </w:r>
          </w:p>
        </w:tc>
        <w:tc>
          <w:tcPr>
            <w:tcW w:w="1260" w:type="dxa"/>
            <w:tcBorders>
              <w:top w:val="nil"/>
              <w:left w:val="single" w:sz="4" w:space="0" w:color="auto"/>
              <w:bottom w:val="single" w:sz="4" w:space="0" w:color="auto"/>
              <w:right w:val="single" w:sz="4" w:space="0" w:color="auto"/>
            </w:tcBorders>
            <w:vAlign w:val="bottom"/>
          </w:tcPr>
          <w:p w14:paraId="74D890B6" w14:textId="77777777" w:rsidR="00EF3FA4" w:rsidRPr="00966AC1" w:rsidRDefault="00EF3FA4" w:rsidP="00C26B90">
            <w:pPr>
              <w:snapToGrid w:val="0"/>
              <w:jc w:val="right"/>
              <w:rPr>
                <w:sz w:val="20"/>
                <w:szCs w:val="20"/>
                <w:lang w:eastAsia="ar-SA"/>
              </w:rPr>
            </w:pPr>
            <w:r w:rsidRPr="00966AC1">
              <w:rPr>
                <w:sz w:val="20"/>
                <w:szCs w:val="20"/>
                <w:lang w:eastAsia="ar-SA"/>
              </w:rPr>
              <w:t>0</w:t>
            </w:r>
          </w:p>
        </w:tc>
        <w:tc>
          <w:tcPr>
            <w:tcW w:w="1206" w:type="dxa"/>
            <w:tcBorders>
              <w:top w:val="nil"/>
              <w:left w:val="single" w:sz="4" w:space="0" w:color="auto"/>
              <w:bottom w:val="single" w:sz="4" w:space="0" w:color="auto"/>
              <w:right w:val="single" w:sz="4" w:space="0" w:color="auto"/>
            </w:tcBorders>
            <w:vAlign w:val="bottom"/>
          </w:tcPr>
          <w:p w14:paraId="33347B1F" w14:textId="77777777" w:rsidR="00EF3FA4" w:rsidRPr="00966AC1" w:rsidRDefault="00EF3FA4" w:rsidP="00C26B90">
            <w:pPr>
              <w:snapToGrid w:val="0"/>
              <w:jc w:val="right"/>
              <w:rPr>
                <w:sz w:val="20"/>
                <w:szCs w:val="20"/>
                <w:lang w:eastAsia="ar-SA"/>
              </w:rPr>
            </w:pPr>
            <w:r w:rsidRPr="00966AC1">
              <w:rPr>
                <w:sz w:val="20"/>
                <w:szCs w:val="20"/>
                <w:lang w:eastAsia="ar-SA"/>
              </w:rPr>
              <w:t>1 528</w:t>
            </w:r>
          </w:p>
        </w:tc>
        <w:tc>
          <w:tcPr>
            <w:tcW w:w="1134" w:type="dxa"/>
            <w:tcBorders>
              <w:top w:val="nil"/>
              <w:left w:val="single" w:sz="4" w:space="0" w:color="auto"/>
              <w:bottom w:val="single" w:sz="4" w:space="0" w:color="auto"/>
              <w:right w:val="single" w:sz="4" w:space="0" w:color="auto"/>
            </w:tcBorders>
            <w:vAlign w:val="bottom"/>
          </w:tcPr>
          <w:p w14:paraId="7F642867" w14:textId="77777777" w:rsidR="00EF3FA4" w:rsidRPr="00966AC1" w:rsidRDefault="00EF3FA4" w:rsidP="00C26B90">
            <w:pPr>
              <w:snapToGrid w:val="0"/>
              <w:jc w:val="right"/>
              <w:rPr>
                <w:sz w:val="20"/>
                <w:szCs w:val="20"/>
                <w:lang w:eastAsia="ar-SA"/>
              </w:rPr>
            </w:pPr>
            <w:r w:rsidRPr="00966AC1">
              <w:rPr>
                <w:sz w:val="20"/>
                <w:szCs w:val="20"/>
                <w:lang w:eastAsia="ar-SA"/>
              </w:rPr>
              <w:t>1 145</w:t>
            </w:r>
          </w:p>
        </w:tc>
      </w:tr>
    </w:tbl>
    <w:p w14:paraId="7C0481BE" w14:textId="2AECBCFA" w:rsidR="007847DF" w:rsidRPr="00617A62" w:rsidRDefault="007847DF" w:rsidP="00A42AE8">
      <w:pPr>
        <w:pStyle w:val="KOMtext"/>
      </w:pPr>
      <w:r w:rsidRPr="00617A62">
        <w:lastRenderedPageBreak/>
        <w:t>Investiční transfery do konce roku 2016 byly navázány n</w:t>
      </w:r>
      <w:r w:rsidR="00A42AE8">
        <w:t xml:space="preserve">a programy, které byly součástí </w:t>
      </w:r>
      <w:r w:rsidRPr="00617A62">
        <w:t>Operačního programu Doprava 2007-2013 a končící plánovací období mělo přímý vliv na kolísající čerpání prostřed</w:t>
      </w:r>
      <w:r w:rsidR="001B76AC">
        <w:t>ků</w:t>
      </w:r>
      <w:r w:rsidRPr="00617A62">
        <w:t>.</w:t>
      </w:r>
    </w:p>
    <w:p w14:paraId="53F26270" w14:textId="519E1346" w:rsidR="007847DF" w:rsidRPr="001D294E" w:rsidRDefault="00A42AE8" w:rsidP="00A42AE8">
      <w:pPr>
        <w:pStyle w:val="KOMtext"/>
      </w:pPr>
      <w:r>
        <w:rPr>
          <w:color w:val="FF0000"/>
        </w:rPr>
        <w:t xml:space="preserve"> </w:t>
      </w:r>
      <w:r w:rsidR="007847DF" w:rsidRPr="00617A62">
        <w:t xml:space="preserve">V roce 2015 </w:t>
      </w:r>
      <w:r w:rsidR="007177BC">
        <w:t xml:space="preserve">došlo </w:t>
      </w:r>
      <w:r w:rsidR="007847DF" w:rsidRPr="00617A62">
        <w:t>ke skokovému zvýšení z důvodu čerpání poskytnutých dotací na výstavbu provozního úseku metra V.A Dejvice – Motol. Kontrolní a auditorské úkony před uvolněním prostředků byly ukončeny</w:t>
      </w:r>
      <w:r w:rsidR="007847DF" w:rsidRPr="001D294E">
        <w:t xml:space="preserve">. </w:t>
      </w:r>
    </w:p>
    <w:p w14:paraId="14B74BD1" w14:textId="77777777" w:rsidR="007847DF" w:rsidRPr="001D294E" w:rsidRDefault="007847DF" w:rsidP="00A42AE8">
      <w:pPr>
        <w:pStyle w:val="KOMtext"/>
      </w:pPr>
      <w:r w:rsidRPr="001D294E">
        <w:t>V roce 2016 došlo ke skokovému zvýšení čerpání v železniční dopravě v důsledku poskytnutí jednorázových dotací na obnovu vozového parku linky R 13 Brno-Břeclav-Olomouc a nákup nádražních budov a souvisejícího majetku.</w:t>
      </w:r>
    </w:p>
    <w:p w14:paraId="56E43E55" w14:textId="77777777" w:rsidR="007847DF" w:rsidRPr="001D294E" w:rsidRDefault="007847DF" w:rsidP="00251B76">
      <w:pPr>
        <w:pStyle w:val="KOMtext"/>
      </w:pPr>
      <w:r>
        <w:t xml:space="preserve">Čerpání v letech 2017 až 2019 je odrazem stavu realizace programů 127 65 „Pořízení </w:t>
      </w:r>
      <w:r w:rsidR="00DE2BBD">
        <w:br/>
      </w:r>
      <w:r>
        <w:t>a modernizace železničních kolejových vozidel“ a 127 77 “Podpora financování dopravy“ založených na Operačním programu Doprava 2014-2020.</w:t>
      </w:r>
    </w:p>
    <w:p w14:paraId="0D381F92" w14:textId="77777777" w:rsidR="00185BC4" w:rsidRPr="004B11AC" w:rsidRDefault="00185BC4" w:rsidP="00A42AE8">
      <w:pPr>
        <w:pStyle w:val="Nadpis3"/>
      </w:pPr>
      <w:bookmarkStart w:id="1004" w:name="_Toc34286479"/>
      <w:bookmarkEnd w:id="1002"/>
      <w:bookmarkEnd w:id="1003"/>
      <w:r w:rsidRPr="004B11AC">
        <w:t>Investiční transfery státním fondům</w:t>
      </w:r>
      <w:bookmarkEnd w:id="400"/>
      <w:bookmarkEnd w:id="965"/>
      <w:bookmarkEnd w:id="997"/>
      <w:bookmarkEnd w:id="998"/>
      <w:bookmarkEnd w:id="999"/>
      <w:bookmarkEnd w:id="1004"/>
      <w:r w:rsidRPr="004B11AC">
        <w:t xml:space="preserve"> </w:t>
      </w:r>
    </w:p>
    <w:p w14:paraId="3D1FCB9A" w14:textId="6A087BE9" w:rsidR="00556FCC" w:rsidRPr="00B83381" w:rsidRDefault="00556FCC" w:rsidP="00251B76">
      <w:pPr>
        <w:pStyle w:val="KOMtext"/>
      </w:pPr>
      <w:bookmarkStart w:id="1005" w:name="_Toc255297652"/>
      <w:bookmarkStart w:id="1006" w:name="_Toc413413669"/>
      <w:bookmarkStart w:id="1007" w:name="_Toc508879908"/>
      <w:bookmarkStart w:id="1008" w:name="_Toc508880184"/>
      <w:r w:rsidRPr="00B83381">
        <w:t xml:space="preserve">Schválený rozpočet ve výši </w:t>
      </w:r>
      <w:r w:rsidRPr="00CC3B6D">
        <w:t xml:space="preserve">48 689 </w:t>
      </w:r>
      <w:r w:rsidRPr="00B83381">
        <w:t>758 ti</w:t>
      </w:r>
      <w:r w:rsidR="004554E1">
        <w:t>s. Kč byl</w:t>
      </w:r>
      <w:r w:rsidR="00251B76">
        <w:t xml:space="preserve"> upraven </w:t>
      </w:r>
      <w:r w:rsidRPr="00B83381">
        <w:t xml:space="preserve">na 44 583 671 tis. Kč. </w:t>
      </w:r>
    </w:p>
    <w:p w14:paraId="07D2A931" w14:textId="3A87C411" w:rsidR="00556FCC" w:rsidRPr="001F75E5" w:rsidRDefault="004554E1" w:rsidP="00251B76">
      <w:pPr>
        <w:pStyle w:val="KOMtext"/>
      </w:pPr>
      <w:r>
        <w:t>V průběhu roku 2019</w:t>
      </w:r>
      <w:r w:rsidR="00556FCC" w:rsidRPr="00716781">
        <w:t xml:space="preserve"> byly SFDI poskytnuty investiční prostředky ve výši 44 742 923 tis. Kč, </w:t>
      </w:r>
      <w:r w:rsidR="00556FCC" w:rsidRPr="004B11AC">
        <w:rPr>
          <w:color w:val="FF0000"/>
        </w:rPr>
        <w:br/>
      </w:r>
      <w:r w:rsidR="00556FCC" w:rsidRPr="00716781">
        <w:t xml:space="preserve">tj. 100,36 % upraveného rozpočtu, </w:t>
      </w:r>
      <w:r w:rsidR="00556FCC" w:rsidRPr="001F75E5">
        <w:t>z toho nároky 10 954 623 tis. Kč. Prostředky EU byly čerpány ve výši 17 561 777</w:t>
      </w:r>
      <w:r w:rsidR="00556FCC">
        <w:t xml:space="preserve"> tis. Kč. </w:t>
      </w:r>
      <w:r w:rsidR="00556FCC" w:rsidRPr="001F75E5">
        <w:t>Rezervní fond byl čerpán ve výši 102 281 tis. Kč.</w:t>
      </w:r>
    </w:p>
    <w:p w14:paraId="37B172E6" w14:textId="77777777" w:rsidR="00556FCC" w:rsidRPr="001F75E5" w:rsidRDefault="00556FCC" w:rsidP="00DB2320">
      <w:pPr>
        <w:keepNext/>
        <w:ind w:left="357" w:right="1"/>
        <w:jc w:val="right"/>
        <w:rPr>
          <w:lang w:eastAsia="ar-SA"/>
        </w:rPr>
      </w:pPr>
      <w:r w:rsidRPr="001F75E5">
        <w:rPr>
          <w:lang w:eastAsia="ar-SA"/>
        </w:rPr>
        <w:t>v tis. Kč</w:t>
      </w:r>
    </w:p>
    <w:tbl>
      <w:tblPr>
        <w:tblW w:w="9139" w:type="dxa"/>
        <w:tblInd w:w="70" w:type="dxa"/>
        <w:tblLayout w:type="fixed"/>
        <w:tblCellMar>
          <w:left w:w="70" w:type="dxa"/>
          <w:right w:w="70" w:type="dxa"/>
        </w:tblCellMar>
        <w:tblLook w:val="0000" w:firstRow="0" w:lastRow="0" w:firstColumn="0" w:lastColumn="0" w:noHBand="0" w:noVBand="0"/>
      </w:tblPr>
      <w:tblGrid>
        <w:gridCol w:w="2760"/>
        <w:gridCol w:w="1418"/>
        <w:gridCol w:w="1276"/>
        <w:gridCol w:w="1134"/>
        <w:gridCol w:w="1417"/>
        <w:gridCol w:w="1134"/>
      </w:tblGrid>
      <w:tr w:rsidR="00556FCC" w:rsidRPr="001F75E5" w14:paraId="6E317DF4" w14:textId="77777777" w:rsidTr="00556FCC">
        <w:tc>
          <w:tcPr>
            <w:tcW w:w="2760" w:type="dxa"/>
            <w:tcBorders>
              <w:top w:val="single" w:sz="4" w:space="0" w:color="auto"/>
              <w:left w:val="single" w:sz="4" w:space="0" w:color="auto"/>
              <w:bottom w:val="single" w:sz="4" w:space="0" w:color="auto"/>
              <w:right w:val="single" w:sz="4" w:space="0" w:color="auto"/>
            </w:tcBorders>
          </w:tcPr>
          <w:p w14:paraId="2D91C0F1" w14:textId="77777777" w:rsidR="00556FCC" w:rsidRPr="001F75E5" w:rsidRDefault="00556FCC" w:rsidP="00556FCC">
            <w:pPr>
              <w:jc w:val="center"/>
              <w:rPr>
                <w:sz w:val="22"/>
              </w:rPr>
            </w:pPr>
          </w:p>
          <w:p w14:paraId="4BA399CB" w14:textId="77777777" w:rsidR="00556FCC" w:rsidRPr="001F75E5" w:rsidRDefault="00556FCC" w:rsidP="00556FCC">
            <w:pPr>
              <w:jc w:val="center"/>
              <w:rPr>
                <w:sz w:val="22"/>
              </w:rPr>
            </w:pPr>
            <w:r w:rsidRPr="001F75E5">
              <w:rPr>
                <w:sz w:val="22"/>
              </w:rPr>
              <w:t>Ukazatel</w:t>
            </w:r>
          </w:p>
        </w:tc>
        <w:tc>
          <w:tcPr>
            <w:tcW w:w="1418" w:type="dxa"/>
            <w:tcBorders>
              <w:top w:val="single" w:sz="4" w:space="0" w:color="auto"/>
              <w:left w:val="single" w:sz="4" w:space="0" w:color="auto"/>
              <w:bottom w:val="single" w:sz="4" w:space="0" w:color="auto"/>
              <w:right w:val="single" w:sz="4" w:space="0" w:color="auto"/>
            </w:tcBorders>
            <w:vAlign w:val="center"/>
          </w:tcPr>
          <w:p w14:paraId="5E4FDC15" w14:textId="77777777" w:rsidR="00556FCC" w:rsidRPr="001F75E5" w:rsidRDefault="00556FCC" w:rsidP="00556FCC">
            <w:pPr>
              <w:jc w:val="center"/>
              <w:rPr>
                <w:sz w:val="22"/>
              </w:rPr>
            </w:pPr>
            <w:r w:rsidRPr="001F75E5">
              <w:rPr>
                <w:sz w:val="22"/>
              </w:rPr>
              <w:t>Skutečnost</w:t>
            </w:r>
          </w:p>
          <w:p w14:paraId="38BAFB94" w14:textId="77777777" w:rsidR="00556FCC" w:rsidRPr="001F75E5" w:rsidRDefault="00556FCC" w:rsidP="00556FCC">
            <w:pPr>
              <w:jc w:val="center"/>
              <w:rPr>
                <w:sz w:val="22"/>
              </w:rPr>
            </w:pPr>
            <w:r w:rsidRPr="001F75E5">
              <w:rPr>
                <w:sz w:val="22"/>
              </w:rPr>
              <w:t>2018</w:t>
            </w:r>
          </w:p>
        </w:tc>
        <w:tc>
          <w:tcPr>
            <w:tcW w:w="1276" w:type="dxa"/>
            <w:tcBorders>
              <w:top w:val="single" w:sz="4" w:space="0" w:color="auto"/>
              <w:left w:val="single" w:sz="4" w:space="0" w:color="auto"/>
              <w:bottom w:val="single" w:sz="4" w:space="0" w:color="auto"/>
              <w:right w:val="single" w:sz="4" w:space="0" w:color="auto"/>
            </w:tcBorders>
            <w:vAlign w:val="center"/>
          </w:tcPr>
          <w:p w14:paraId="78523075" w14:textId="77777777" w:rsidR="00556FCC" w:rsidRPr="001F75E5" w:rsidRDefault="00556FCC" w:rsidP="00556FCC">
            <w:pPr>
              <w:jc w:val="center"/>
              <w:rPr>
                <w:sz w:val="22"/>
              </w:rPr>
            </w:pPr>
            <w:r w:rsidRPr="001F75E5">
              <w:rPr>
                <w:sz w:val="22"/>
              </w:rPr>
              <w:t>Schválený</w:t>
            </w:r>
          </w:p>
          <w:p w14:paraId="0419F497" w14:textId="77777777" w:rsidR="00556FCC" w:rsidRPr="001F75E5" w:rsidRDefault="00556FCC" w:rsidP="00556FCC">
            <w:pPr>
              <w:jc w:val="center"/>
              <w:rPr>
                <w:sz w:val="22"/>
              </w:rPr>
            </w:pPr>
            <w:r w:rsidRPr="001F75E5">
              <w:rPr>
                <w:sz w:val="22"/>
              </w:rPr>
              <w:t>rozpočet</w:t>
            </w:r>
          </w:p>
          <w:p w14:paraId="72C8F089" w14:textId="77777777" w:rsidR="00556FCC" w:rsidRPr="001F75E5" w:rsidRDefault="00556FCC" w:rsidP="00556FCC">
            <w:pPr>
              <w:jc w:val="center"/>
              <w:rPr>
                <w:sz w:val="22"/>
              </w:rPr>
            </w:pPr>
            <w:r w:rsidRPr="001F75E5">
              <w:rPr>
                <w:sz w:val="22"/>
              </w:rPr>
              <w:t>2019</w:t>
            </w:r>
          </w:p>
        </w:tc>
        <w:tc>
          <w:tcPr>
            <w:tcW w:w="1134" w:type="dxa"/>
            <w:tcBorders>
              <w:top w:val="single" w:sz="4" w:space="0" w:color="auto"/>
              <w:left w:val="single" w:sz="4" w:space="0" w:color="auto"/>
              <w:bottom w:val="single" w:sz="4" w:space="0" w:color="auto"/>
              <w:right w:val="single" w:sz="4" w:space="0" w:color="auto"/>
            </w:tcBorders>
            <w:vAlign w:val="center"/>
          </w:tcPr>
          <w:p w14:paraId="21C0B401" w14:textId="77777777" w:rsidR="00556FCC" w:rsidRPr="001F75E5" w:rsidRDefault="00556FCC" w:rsidP="00556FCC">
            <w:pPr>
              <w:jc w:val="center"/>
              <w:rPr>
                <w:sz w:val="22"/>
              </w:rPr>
            </w:pPr>
            <w:r w:rsidRPr="001F75E5">
              <w:rPr>
                <w:sz w:val="22"/>
              </w:rPr>
              <w:t>Upravený</w:t>
            </w:r>
          </w:p>
          <w:p w14:paraId="78C64421" w14:textId="77777777" w:rsidR="00556FCC" w:rsidRPr="001F75E5" w:rsidRDefault="00556FCC" w:rsidP="00556FCC">
            <w:pPr>
              <w:jc w:val="center"/>
              <w:rPr>
                <w:sz w:val="22"/>
              </w:rPr>
            </w:pPr>
            <w:r w:rsidRPr="001F75E5">
              <w:rPr>
                <w:sz w:val="22"/>
              </w:rPr>
              <w:t>rozpočet</w:t>
            </w:r>
          </w:p>
          <w:p w14:paraId="6930A7E9" w14:textId="77777777" w:rsidR="00556FCC" w:rsidRPr="001F75E5" w:rsidRDefault="00556FCC" w:rsidP="00556FCC">
            <w:pPr>
              <w:jc w:val="center"/>
              <w:rPr>
                <w:sz w:val="22"/>
              </w:rPr>
            </w:pPr>
            <w:r w:rsidRPr="001F75E5">
              <w:rPr>
                <w:sz w:val="22"/>
              </w:rPr>
              <w:t>2019</w:t>
            </w:r>
          </w:p>
        </w:tc>
        <w:tc>
          <w:tcPr>
            <w:tcW w:w="1417" w:type="dxa"/>
            <w:tcBorders>
              <w:top w:val="single" w:sz="4" w:space="0" w:color="auto"/>
              <w:left w:val="single" w:sz="4" w:space="0" w:color="auto"/>
              <w:bottom w:val="single" w:sz="4" w:space="0" w:color="auto"/>
              <w:right w:val="single" w:sz="4" w:space="0" w:color="auto"/>
            </w:tcBorders>
            <w:vAlign w:val="center"/>
          </w:tcPr>
          <w:p w14:paraId="0AA694A7" w14:textId="77777777" w:rsidR="00556FCC" w:rsidRPr="001F75E5" w:rsidRDefault="00556FCC" w:rsidP="00556FCC">
            <w:pPr>
              <w:jc w:val="center"/>
              <w:rPr>
                <w:sz w:val="22"/>
              </w:rPr>
            </w:pPr>
            <w:r w:rsidRPr="001F75E5">
              <w:rPr>
                <w:sz w:val="22"/>
              </w:rPr>
              <w:t>Skutečnost</w:t>
            </w:r>
          </w:p>
          <w:p w14:paraId="33A17993" w14:textId="77777777" w:rsidR="00556FCC" w:rsidRPr="001F75E5" w:rsidRDefault="00556FCC" w:rsidP="00556FCC">
            <w:pPr>
              <w:jc w:val="center"/>
              <w:rPr>
                <w:sz w:val="22"/>
              </w:rPr>
            </w:pPr>
            <w:r w:rsidRPr="001F75E5">
              <w:rPr>
                <w:sz w:val="22"/>
              </w:rPr>
              <w:t>2019</w:t>
            </w:r>
          </w:p>
        </w:tc>
        <w:tc>
          <w:tcPr>
            <w:tcW w:w="1134" w:type="dxa"/>
            <w:tcBorders>
              <w:top w:val="single" w:sz="4" w:space="0" w:color="auto"/>
              <w:left w:val="single" w:sz="4" w:space="0" w:color="auto"/>
              <w:bottom w:val="single" w:sz="4" w:space="0" w:color="auto"/>
              <w:right w:val="single" w:sz="4" w:space="0" w:color="auto"/>
            </w:tcBorders>
            <w:vAlign w:val="center"/>
          </w:tcPr>
          <w:p w14:paraId="54C1CB00" w14:textId="77777777" w:rsidR="00556FCC" w:rsidRPr="001F75E5" w:rsidRDefault="00556FCC" w:rsidP="00556FCC">
            <w:pPr>
              <w:jc w:val="center"/>
              <w:rPr>
                <w:sz w:val="22"/>
              </w:rPr>
            </w:pPr>
            <w:r w:rsidRPr="001F75E5">
              <w:rPr>
                <w:sz w:val="22"/>
              </w:rPr>
              <w:t>Index</w:t>
            </w:r>
          </w:p>
          <w:p w14:paraId="2995AD99" w14:textId="77777777" w:rsidR="00556FCC" w:rsidRPr="001F75E5" w:rsidRDefault="00556FCC" w:rsidP="00556FCC">
            <w:pPr>
              <w:jc w:val="center"/>
              <w:rPr>
                <w:sz w:val="22"/>
              </w:rPr>
            </w:pPr>
            <w:r w:rsidRPr="001F75E5">
              <w:rPr>
                <w:sz w:val="22"/>
              </w:rPr>
              <w:t>19/18         (v %)</w:t>
            </w:r>
          </w:p>
        </w:tc>
      </w:tr>
      <w:tr w:rsidR="00556FCC" w:rsidRPr="001F75E5" w14:paraId="6DC64ED1" w14:textId="77777777" w:rsidTr="00556FCC">
        <w:tc>
          <w:tcPr>
            <w:tcW w:w="2760" w:type="dxa"/>
            <w:tcBorders>
              <w:top w:val="single" w:sz="4" w:space="0" w:color="auto"/>
              <w:left w:val="single" w:sz="4" w:space="0" w:color="auto"/>
              <w:bottom w:val="single" w:sz="4" w:space="0" w:color="auto"/>
              <w:right w:val="single" w:sz="4" w:space="0" w:color="auto"/>
            </w:tcBorders>
          </w:tcPr>
          <w:p w14:paraId="7BB9DC65" w14:textId="77777777" w:rsidR="00556FCC" w:rsidRPr="001F75E5" w:rsidRDefault="00556FCC" w:rsidP="00556FCC">
            <w:pPr>
              <w:jc w:val="center"/>
              <w:rPr>
                <w:sz w:val="22"/>
              </w:rPr>
            </w:pPr>
            <w:r w:rsidRPr="001F75E5">
              <w:rPr>
                <w:sz w:val="22"/>
              </w:rPr>
              <w:t>a</w:t>
            </w:r>
          </w:p>
        </w:tc>
        <w:tc>
          <w:tcPr>
            <w:tcW w:w="1418" w:type="dxa"/>
            <w:tcBorders>
              <w:top w:val="single" w:sz="4" w:space="0" w:color="auto"/>
              <w:left w:val="single" w:sz="4" w:space="0" w:color="auto"/>
              <w:bottom w:val="single" w:sz="4" w:space="0" w:color="auto"/>
              <w:right w:val="single" w:sz="4" w:space="0" w:color="auto"/>
            </w:tcBorders>
          </w:tcPr>
          <w:p w14:paraId="2448F81E" w14:textId="77777777" w:rsidR="00556FCC" w:rsidRPr="001F75E5" w:rsidRDefault="00556FCC" w:rsidP="00556FCC">
            <w:pPr>
              <w:jc w:val="center"/>
              <w:rPr>
                <w:sz w:val="22"/>
              </w:rPr>
            </w:pPr>
            <w:r w:rsidRPr="001F75E5">
              <w:rPr>
                <w:sz w:val="22"/>
              </w:rPr>
              <w:t>1</w:t>
            </w:r>
          </w:p>
        </w:tc>
        <w:tc>
          <w:tcPr>
            <w:tcW w:w="1276" w:type="dxa"/>
            <w:tcBorders>
              <w:top w:val="single" w:sz="4" w:space="0" w:color="auto"/>
              <w:left w:val="single" w:sz="4" w:space="0" w:color="auto"/>
              <w:bottom w:val="single" w:sz="4" w:space="0" w:color="auto"/>
              <w:right w:val="single" w:sz="4" w:space="0" w:color="auto"/>
            </w:tcBorders>
          </w:tcPr>
          <w:p w14:paraId="1E636041" w14:textId="77777777" w:rsidR="00556FCC" w:rsidRPr="001F75E5" w:rsidRDefault="00556FCC" w:rsidP="00556FCC">
            <w:pPr>
              <w:jc w:val="center"/>
              <w:rPr>
                <w:sz w:val="22"/>
              </w:rPr>
            </w:pPr>
            <w:r w:rsidRPr="001F75E5">
              <w:rPr>
                <w:sz w:val="22"/>
              </w:rPr>
              <w:t>2</w:t>
            </w:r>
          </w:p>
        </w:tc>
        <w:tc>
          <w:tcPr>
            <w:tcW w:w="1134" w:type="dxa"/>
            <w:tcBorders>
              <w:top w:val="single" w:sz="4" w:space="0" w:color="auto"/>
              <w:left w:val="single" w:sz="4" w:space="0" w:color="auto"/>
              <w:bottom w:val="single" w:sz="4" w:space="0" w:color="auto"/>
              <w:right w:val="single" w:sz="4" w:space="0" w:color="auto"/>
            </w:tcBorders>
          </w:tcPr>
          <w:p w14:paraId="657070C8" w14:textId="77777777" w:rsidR="00556FCC" w:rsidRPr="001F75E5" w:rsidRDefault="00556FCC" w:rsidP="00556FCC">
            <w:pPr>
              <w:jc w:val="center"/>
              <w:rPr>
                <w:sz w:val="22"/>
              </w:rPr>
            </w:pPr>
            <w:r w:rsidRPr="001F75E5">
              <w:rPr>
                <w:sz w:val="22"/>
              </w:rPr>
              <w:t>3</w:t>
            </w:r>
          </w:p>
        </w:tc>
        <w:tc>
          <w:tcPr>
            <w:tcW w:w="1417" w:type="dxa"/>
            <w:tcBorders>
              <w:top w:val="single" w:sz="4" w:space="0" w:color="auto"/>
              <w:left w:val="single" w:sz="4" w:space="0" w:color="auto"/>
              <w:bottom w:val="single" w:sz="4" w:space="0" w:color="auto"/>
              <w:right w:val="single" w:sz="4" w:space="0" w:color="auto"/>
            </w:tcBorders>
          </w:tcPr>
          <w:p w14:paraId="25A39A53" w14:textId="77777777" w:rsidR="00556FCC" w:rsidRPr="001F75E5" w:rsidRDefault="00556FCC" w:rsidP="00556FCC">
            <w:pPr>
              <w:jc w:val="center"/>
              <w:rPr>
                <w:sz w:val="22"/>
              </w:rPr>
            </w:pPr>
            <w:r w:rsidRPr="001F75E5">
              <w:rPr>
                <w:sz w:val="22"/>
              </w:rPr>
              <w:t>4</w:t>
            </w:r>
          </w:p>
        </w:tc>
        <w:tc>
          <w:tcPr>
            <w:tcW w:w="1134" w:type="dxa"/>
            <w:tcBorders>
              <w:top w:val="single" w:sz="4" w:space="0" w:color="auto"/>
              <w:left w:val="single" w:sz="4" w:space="0" w:color="auto"/>
              <w:bottom w:val="single" w:sz="4" w:space="0" w:color="auto"/>
              <w:right w:val="single" w:sz="4" w:space="0" w:color="auto"/>
            </w:tcBorders>
          </w:tcPr>
          <w:p w14:paraId="10642AB0" w14:textId="77777777" w:rsidR="00556FCC" w:rsidRPr="001F75E5" w:rsidRDefault="00556FCC" w:rsidP="00556FCC">
            <w:pPr>
              <w:jc w:val="center"/>
              <w:rPr>
                <w:sz w:val="22"/>
              </w:rPr>
            </w:pPr>
            <w:r w:rsidRPr="001F75E5">
              <w:rPr>
                <w:sz w:val="22"/>
              </w:rPr>
              <w:t>5</w:t>
            </w:r>
          </w:p>
        </w:tc>
      </w:tr>
      <w:tr w:rsidR="00556FCC" w:rsidRPr="004B11AC" w14:paraId="24991AFD" w14:textId="77777777" w:rsidTr="00B00B78">
        <w:trPr>
          <w:trHeight w:val="388"/>
        </w:trPr>
        <w:tc>
          <w:tcPr>
            <w:tcW w:w="2760" w:type="dxa"/>
            <w:tcBorders>
              <w:left w:val="single" w:sz="4" w:space="0" w:color="000000"/>
            </w:tcBorders>
          </w:tcPr>
          <w:p w14:paraId="6BCAA08F" w14:textId="77777777" w:rsidR="00556FCC" w:rsidRPr="003C60D9" w:rsidRDefault="00556FCC" w:rsidP="00556FCC">
            <w:pPr>
              <w:pStyle w:val="Zkladntext"/>
              <w:snapToGrid w:val="0"/>
              <w:rPr>
                <w:b/>
                <w:bCs/>
                <w:sz w:val="20"/>
                <w:lang w:eastAsia="ar-SA"/>
              </w:rPr>
            </w:pPr>
            <w:r w:rsidRPr="003C60D9">
              <w:rPr>
                <w:b/>
                <w:bCs/>
                <w:sz w:val="20"/>
                <w:lang w:eastAsia="ar-SA"/>
              </w:rPr>
              <w:t xml:space="preserve">Investiční transfer SFDI </w:t>
            </w:r>
          </w:p>
          <w:p w14:paraId="577E78DF" w14:textId="77777777" w:rsidR="00556FCC" w:rsidRPr="003C60D9" w:rsidRDefault="00556FCC" w:rsidP="00556FCC">
            <w:pPr>
              <w:jc w:val="both"/>
              <w:rPr>
                <w:sz w:val="20"/>
                <w:lang w:eastAsia="ar-SA"/>
              </w:rPr>
            </w:pPr>
            <w:r w:rsidRPr="003C60D9">
              <w:rPr>
                <w:sz w:val="20"/>
                <w:lang w:eastAsia="ar-SA"/>
              </w:rPr>
              <w:t xml:space="preserve">v tom: </w:t>
            </w:r>
          </w:p>
        </w:tc>
        <w:tc>
          <w:tcPr>
            <w:tcW w:w="1418" w:type="dxa"/>
            <w:tcBorders>
              <w:left w:val="single" w:sz="4" w:space="0" w:color="000000"/>
            </w:tcBorders>
            <w:vAlign w:val="center"/>
          </w:tcPr>
          <w:p w14:paraId="29EFE4A5" w14:textId="77777777" w:rsidR="00556FCC" w:rsidRPr="000D77C8" w:rsidRDefault="00556FCC" w:rsidP="00556FCC">
            <w:pPr>
              <w:snapToGrid w:val="0"/>
              <w:jc w:val="right"/>
              <w:rPr>
                <w:b/>
                <w:bCs/>
                <w:color w:val="FF0000"/>
                <w:sz w:val="20"/>
                <w:lang w:eastAsia="ar-SA"/>
              </w:rPr>
            </w:pPr>
            <w:r w:rsidRPr="00175357">
              <w:rPr>
                <w:b/>
                <w:bCs/>
                <w:sz w:val="20"/>
                <w:lang w:eastAsia="ar-SA"/>
              </w:rPr>
              <w:t>32 269 684</w:t>
            </w:r>
          </w:p>
        </w:tc>
        <w:tc>
          <w:tcPr>
            <w:tcW w:w="1276" w:type="dxa"/>
            <w:tcBorders>
              <w:left w:val="single" w:sz="4" w:space="0" w:color="000000"/>
            </w:tcBorders>
            <w:vAlign w:val="center"/>
          </w:tcPr>
          <w:p w14:paraId="73235B6A" w14:textId="77777777" w:rsidR="00556FCC" w:rsidRPr="000D77C8" w:rsidRDefault="00556FCC" w:rsidP="00556FCC">
            <w:pPr>
              <w:snapToGrid w:val="0"/>
              <w:jc w:val="right"/>
              <w:rPr>
                <w:b/>
                <w:bCs/>
                <w:color w:val="FF0000"/>
                <w:sz w:val="20"/>
                <w:lang w:eastAsia="ar-SA"/>
              </w:rPr>
            </w:pPr>
            <w:r w:rsidRPr="002F46EC">
              <w:rPr>
                <w:b/>
                <w:bCs/>
                <w:sz w:val="20"/>
                <w:lang w:eastAsia="ar-SA"/>
              </w:rPr>
              <w:t>48 689 758</w:t>
            </w:r>
          </w:p>
        </w:tc>
        <w:tc>
          <w:tcPr>
            <w:tcW w:w="1134" w:type="dxa"/>
            <w:tcBorders>
              <w:left w:val="single" w:sz="4" w:space="0" w:color="000000"/>
            </w:tcBorders>
            <w:vAlign w:val="center"/>
          </w:tcPr>
          <w:p w14:paraId="2E76EAAB" w14:textId="77777777" w:rsidR="00556FCC" w:rsidRPr="000D77C8" w:rsidRDefault="00556FCC" w:rsidP="00556FCC">
            <w:pPr>
              <w:snapToGrid w:val="0"/>
              <w:jc w:val="right"/>
              <w:rPr>
                <w:b/>
                <w:bCs/>
                <w:color w:val="FF0000"/>
                <w:sz w:val="20"/>
                <w:lang w:eastAsia="ar-SA"/>
              </w:rPr>
            </w:pPr>
            <w:r w:rsidRPr="002F46EC">
              <w:rPr>
                <w:b/>
                <w:bCs/>
                <w:sz w:val="20"/>
                <w:lang w:eastAsia="ar-SA"/>
              </w:rPr>
              <w:t>44 583 671</w:t>
            </w:r>
          </w:p>
        </w:tc>
        <w:tc>
          <w:tcPr>
            <w:tcW w:w="1417" w:type="dxa"/>
            <w:tcBorders>
              <w:left w:val="single" w:sz="4" w:space="0" w:color="000000"/>
            </w:tcBorders>
            <w:vAlign w:val="center"/>
          </w:tcPr>
          <w:p w14:paraId="23157106" w14:textId="77777777" w:rsidR="00556FCC" w:rsidRPr="000D77C8" w:rsidRDefault="00556FCC" w:rsidP="00556FCC">
            <w:pPr>
              <w:snapToGrid w:val="0"/>
              <w:jc w:val="right"/>
              <w:rPr>
                <w:b/>
                <w:bCs/>
                <w:color w:val="FF0000"/>
                <w:sz w:val="20"/>
                <w:lang w:eastAsia="ar-SA"/>
              </w:rPr>
            </w:pPr>
            <w:r w:rsidRPr="002F46EC">
              <w:rPr>
                <w:b/>
                <w:bCs/>
                <w:sz w:val="20"/>
                <w:lang w:eastAsia="ar-SA"/>
              </w:rPr>
              <w:t>44 742 923</w:t>
            </w:r>
          </w:p>
        </w:tc>
        <w:tc>
          <w:tcPr>
            <w:tcW w:w="1134" w:type="dxa"/>
            <w:tcBorders>
              <w:left w:val="single" w:sz="4" w:space="0" w:color="000000"/>
              <w:right w:val="single" w:sz="4" w:space="0" w:color="000000"/>
            </w:tcBorders>
            <w:vAlign w:val="center"/>
          </w:tcPr>
          <w:p w14:paraId="089DB0ED" w14:textId="77777777" w:rsidR="00556FCC" w:rsidRPr="00D24FEA" w:rsidRDefault="00556FCC" w:rsidP="00556FCC">
            <w:pPr>
              <w:snapToGrid w:val="0"/>
              <w:jc w:val="right"/>
              <w:rPr>
                <w:b/>
                <w:bCs/>
                <w:sz w:val="20"/>
                <w:lang w:eastAsia="ar-SA"/>
              </w:rPr>
            </w:pPr>
            <w:r w:rsidRPr="00D24FEA">
              <w:rPr>
                <w:b/>
                <w:bCs/>
                <w:sz w:val="20"/>
                <w:lang w:eastAsia="ar-SA"/>
              </w:rPr>
              <w:t>138,65</w:t>
            </w:r>
          </w:p>
        </w:tc>
      </w:tr>
      <w:tr w:rsidR="00556FCC" w:rsidRPr="004B11AC" w14:paraId="2FED4E76" w14:textId="77777777" w:rsidTr="00B00B78">
        <w:tc>
          <w:tcPr>
            <w:tcW w:w="2760" w:type="dxa"/>
            <w:tcBorders>
              <w:left w:val="single" w:sz="4" w:space="0" w:color="000000"/>
              <w:bottom w:val="single" w:sz="4" w:space="0" w:color="000000"/>
            </w:tcBorders>
          </w:tcPr>
          <w:p w14:paraId="20AD19CE" w14:textId="77777777" w:rsidR="00556FCC" w:rsidRPr="004B11AC" w:rsidRDefault="00556FCC" w:rsidP="00556FCC">
            <w:pPr>
              <w:snapToGrid w:val="0"/>
              <w:jc w:val="both"/>
              <w:rPr>
                <w:i/>
                <w:color w:val="FF0000"/>
                <w:sz w:val="20"/>
                <w:lang w:eastAsia="ar-SA"/>
              </w:rPr>
            </w:pPr>
            <w:r w:rsidRPr="003C60D9">
              <w:rPr>
                <w:i/>
                <w:sz w:val="20"/>
                <w:lang w:eastAsia="ar-SA"/>
              </w:rPr>
              <w:t>programové financování</w:t>
            </w:r>
          </w:p>
        </w:tc>
        <w:tc>
          <w:tcPr>
            <w:tcW w:w="1418" w:type="dxa"/>
            <w:tcBorders>
              <w:left w:val="single" w:sz="4" w:space="0" w:color="000000"/>
              <w:bottom w:val="single" w:sz="4" w:space="0" w:color="000000"/>
            </w:tcBorders>
            <w:vAlign w:val="center"/>
          </w:tcPr>
          <w:p w14:paraId="2BC3A8A9" w14:textId="77777777" w:rsidR="00556FCC" w:rsidRPr="000D77C8" w:rsidRDefault="00556FCC" w:rsidP="00556FCC">
            <w:pPr>
              <w:snapToGrid w:val="0"/>
              <w:jc w:val="right"/>
              <w:rPr>
                <w:i/>
                <w:color w:val="FF0000"/>
                <w:sz w:val="20"/>
                <w:lang w:eastAsia="ar-SA"/>
              </w:rPr>
            </w:pPr>
            <w:r w:rsidRPr="00175357">
              <w:rPr>
                <w:i/>
                <w:sz w:val="20"/>
                <w:lang w:eastAsia="ar-SA"/>
              </w:rPr>
              <w:t>32 269 684</w:t>
            </w:r>
          </w:p>
        </w:tc>
        <w:tc>
          <w:tcPr>
            <w:tcW w:w="1276" w:type="dxa"/>
            <w:tcBorders>
              <w:left w:val="single" w:sz="4" w:space="0" w:color="000000"/>
              <w:bottom w:val="single" w:sz="4" w:space="0" w:color="000000"/>
            </w:tcBorders>
            <w:vAlign w:val="center"/>
          </w:tcPr>
          <w:p w14:paraId="0C2A3769" w14:textId="77777777" w:rsidR="00556FCC" w:rsidRPr="000D77C8" w:rsidRDefault="00556FCC" w:rsidP="00556FCC">
            <w:pPr>
              <w:snapToGrid w:val="0"/>
              <w:jc w:val="right"/>
              <w:rPr>
                <w:i/>
                <w:color w:val="FF0000"/>
                <w:sz w:val="20"/>
                <w:lang w:eastAsia="ar-SA"/>
              </w:rPr>
            </w:pPr>
            <w:r w:rsidRPr="002F46EC">
              <w:rPr>
                <w:i/>
                <w:sz w:val="20"/>
                <w:lang w:eastAsia="ar-SA"/>
              </w:rPr>
              <w:t>48 689 758</w:t>
            </w:r>
          </w:p>
        </w:tc>
        <w:tc>
          <w:tcPr>
            <w:tcW w:w="1134" w:type="dxa"/>
            <w:tcBorders>
              <w:left w:val="single" w:sz="4" w:space="0" w:color="000000"/>
              <w:bottom w:val="single" w:sz="4" w:space="0" w:color="000000"/>
            </w:tcBorders>
            <w:vAlign w:val="center"/>
          </w:tcPr>
          <w:p w14:paraId="4A9C6CB8" w14:textId="77777777" w:rsidR="00556FCC" w:rsidRPr="000D77C8" w:rsidRDefault="00556FCC" w:rsidP="00556FCC">
            <w:pPr>
              <w:snapToGrid w:val="0"/>
              <w:jc w:val="right"/>
              <w:rPr>
                <w:i/>
                <w:color w:val="FF0000"/>
                <w:sz w:val="20"/>
                <w:lang w:eastAsia="ar-SA"/>
              </w:rPr>
            </w:pPr>
            <w:r w:rsidRPr="002F46EC">
              <w:rPr>
                <w:i/>
                <w:sz w:val="20"/>
                <w:lang w:eastAsia="ar-SA"/>
              </w:rPr>
              <w:t>44 583 671</w:t>
            </w:r>
          </w:p>
        </w:tc>
        <w:tc>
          <w:tcPr>
            <w:tcW w:w="1417" w:type="dxa"/>
            <w:tcBorders>
              <w:left w:val="single" w:sz="4" w:space="0" w:color="000000"/>
              <w:bottom w:val="single" w:sz="4" w:space="0" w:color="000000"/>
            </w:tcBorders>
            <w:vAlign w:val="center"/>
          </w:tcPr>
          <w:p w14:paraId="6E03A3CF" w14:textId="77777777" w:rsidR="00556FCC" w:rsidRPr="000D77C8" w:rsidRDefault="00556FCC" w:rsidP="00556FCC">
            <w:pPr>
              <w:snapToGrid w:val="0"/>
              <w:jc w:val="right"/>
              <w:rPr>
                <w:i/>
                <w:color w:val="FF0000"/>
                <w:sz w:val="20"/>
                <w:lang w:eastAsia="ar-SA"/>
              </w:rPr>
            </w:pPr>
            <w:r w:rsidRPr="002F46EC">
              <w:rPr>
                <w:i/>
                <w:sz w:val="20"/>
                <w:lang w:eastAsia="ar-SA"/>
              </w:rPr>
              <w:t>44 724 923</w:t>
            </w:r>
          </w:p>
        </w:tc>
        <w:tc>
          <w:tcPr>
            <w:tcW w:w="1134" w:type="dxa"/>
            <w:tcBorders>
              <w:left w:val="single" w:sz="4" w:space="0" w:color="000000"/>
              <w:bottom w:val="single" w:sz="4" w:space="0" w:color="000000"/>
              <w:right w:val="single" w:sz="4" w:space="0" w:color="000000"/>
            </w:tcBorders>
            <w:vAlign w:val="center"/>
          </w:tcPr>
          <w:p w14:paraId="1CB03BA8" w14:textId="77777777" w:rsidR="00556FCC" w:rsidRPr="00D24FEA" w:rsidRDefault="00556FCC" w:rsidP="00556FCC">
            <w:pPr>
              <w:snapToGrid w:val="0"/>
              <w:jc w:val="right"/>
              <w:rPr>
                <w:i/>
                <w:sz w:val="20"/>
                <w:lang w:eastAsia="ar-SA"/>
              </w:rPr>
            </w:pPr>
            <w:r w:rsidRPr="00D24FEA">
              <w:rPr>
                <w:i/>
                <w:sz w:val="20"/>
                <w:lang w:eastAsia="ar-SA"/>
              </w:rPr>
              <w:t>138,65</w:t>
            </w:r>
          </w:p>
        </w:tc>
      </w:tr>
    </w:tbl>
    <w:p w14:paraId="1F900FF3" w14:textId="77777777" w:rsidR="008443D2" w:rsidRDefault="008443D2" w:rsidP="00EB4B32">
      <w:pPr>
        <w:keepNext/>
        <w:spacing w:before="240"/>
        <w:jc w:val="both"/>
        <w:rPr>
          <w:szCs w:val="20"/>
        </w:rPr>
      </w:pPr>
    </w:p>
    <w:p w14:paraId="67BE92C0" w14:textId="7264C96B" w:rsidR="00556FCC" w:rsidRPr="002F57E1" w:rsidRDefault="00556FCC" w:rsidP="00EB4B32">
      <w:pPr>
        <w:keepNext/>
        <w:spacing w:before="240"/>
        <w:jc w:val="both"/>
        <w:rPr>
          <w:szCs w:val="20"/>
        </w:rPr>
      </w:pPr>
      <w:r w:rsidRPr="002F57E1">
        <w:rPr>
          <w:szCs w:val="20"/>
        </w:rPr>
        <w:t>Prostředky byly poskytnuty na tyto oblasti:</w:t>
      </w:r>
    </w:p>
    <w:p w14:paraId="1510AE51" w14:textId="77777777" w:rsidR="00556FCC" w:rsidRPr="002F57E1" w:rsidRDefault="00556FCC" w:rsidP="00DB2320">
      <w:pPr>
        <w:keepNext/>
        <w:ind w:left="357" w:right="1"/>
        <w:jc w:val="right"/>
      </w:pPr>
      <w:r w:rsidRPr="002F57E1">
        <w:t>v </w:t>
      </w:r>
      <w:r w:rsidRPr="00DB2320">
        <w:rPr>
          <w:szCs w:val="20"/>
        </w:rPr>
        <w:t>tis</w:t>
      </w:r>
      <w:r w:rsidRPr="002F57E1">
        <w:t>. Kč</w:t>
      </w:r>
    </w:p>
    <w:tbl>
      <w:tblPr>
        <w:tblW w:w="489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1560"/>
        <w:gridCol w:w="1928"/>
      </w:tblGrid>
      <w:tr w:rsidR="00556FCC" w:rsidRPr="002F57E1" w14:paraId="43A3B279" w14:textId="77777777" w:rsidTr="00513541">
        <w:tc>
          <w:tcPr>
            <w:tcW w:w="3066" w:type="pct"/>
            <w:shd w:val="clear" w:color="auto" w:fill="auto"/>
          </w:tcPr>
          <w:p w14:paraId="3BFC0662" w14:textId="77777777" w:rsidR="00556FCC" w:rsidRPr="002F57E1" w:rsidRDefault="00556FCC" w:rsidP="004554E1">
            <w:pPr>
              <w:spacing w:before="120"/>
              <w:jc w:val="center"/>
              <w:rPr>
                <w:b/>
              </w:rPr>
            </w:pPr>
            <w:r w:rsidRPr="002F57E1">
              <w:rPr>
                <w:b/>
              </w:rPr>
              <w:t>Oblasti podpory</w:t>
            </w:r>
          </w:p>
        </w:tc>
        <w:tc>
          <w:tcPr>
            <w:tcW w:w="865" w:type="pct"/>
            <w:shd w:val="clear" w:color="auto" w:fill="auto"/>
          </w:tcPr>
          <w:p w14:paraId="4E8DB6D7" w14:textId="77777777" w:rsidR="00556FCC" w:rsidRPr="002F57E1" w:rsidRDefault="00556FCC" w:rsidP="00556FCC">
            <w:pPr>
              <w:jc w:val="center"/>
              <w:rPr>
                <w:b/>
              </w:rPr>
            </w:pPr>
            <w:r w:rsidRPr="002F57E1">
              <w:rPr>
                <w:b/>
              </w:rPr>
              <w:t>Finanční prostředky</w:t>
            </w:r>
          </w:p>
        </w:tc>
        <w:tc>
          <w:tcPr>
            <w:tcW w:w="1069" w:type="pct"/>
            <w:shd w:val="clear" w:color="auto" w:fill="auto"/>
          </w:tcPr>
          <w:p w14:paraId="2DAC3CC2" w14:textId="77777777" w:rsidR="00556FCC" w:rsidRPr="002F57E1" w:rsidRDefault="00556FCC" w:rsidP="00556FCC">
            <w:pPr>
              <w:jc w:val="center"/>
              <w:rPr>
                <w:b/>
              </w:rPr>
            </w:pPr>
            <w:r w:rsidRPr="002F57E1">
              <w:rPr>
                <w:b/>
              </w:rPr>
              <w:t>Z toho nároky/RF</w:t>
            </w:r>
          </w:p>
        </w:tc>
      </w:tr>
      <w:tr w:rsidR="00556FCC" w:rsidRPr="004B11AC" w14:paraId="7DC7A0EA" w14:textId="77777777" w:rsidTr="00513541">
        <w:tc>
          <w:tcPr>
            <w:tcW w:w="3066" w:type="pct"/>
            <w:shd w:val="clear" w:color="auto" w:fill="auto"/>
          </w:tcPr>
          <w:p w14:paraId="7A02972F" w14:textId="77777777" w:rsidR="00556FCC" w:rsidRPr="004B11AC" w:rsidRDefault="00556FCC" w:rsidP="00556FCC">
            <w:pPr>
              <w:jc w:val="both"/>
              <w:rPr>
                <w:color w:val="FF0000"/>
              </w:rPr>
            </w:pPr>
            <w:r w:rsidRPr="002250C5">
              <w:t>127D775000003 Krytí deficitu rozpočtu SFDI v roce 2019</w:t>
            </w:r>
          </w:p>
        </w:tc>
        <w:tc>
          <w:tcPr>
            <w:tcW w:w="865" w:type="pct"/>
            <w:shd w:val="clear" w:color="auto" w:fill="auto"/>
            <w:vAlign w:val="center"/>
          </w:tcPr>
          <w:p w14:paraId="506ECE00" w14:textId="77777777" w:rsidR="00556FCC" w:rsidRPr="004B11AC" w:rsidRDefault="00556FCC" w:rsidP="00556FCC">
            <w:pPr>
              <w:jc w:val="right"/>
              <w:rPr>
                <w:color w:val="FF0000"/>
              </w:rPr>
            </w:pPr>
            <w:r w:rsidRPr="002250C5">
              <w:t xml:space="preserve">26 980 000   </w:t>
            </w:r>
          </w:p>
        </w:tc>
        <w:tc>
          <w:tcPr>
            <w:tcW w:w="1069" w:type="pct"/>
            <w:shd w:val="clear" w:color="auto" w:fill="auto"/>
            <w:vAlign w:val="center"/>
          </w:tcPr>
          <w:p w14:paraId="45E1AD71" w14:textId="77777777" w:rsidR="00556FCC" w:rsidRPr="004B11AC" w:rsidRDefault="00556FCC" w:rsidP="00556FCC">
            <w:pPr>
              <w:jc w:val="right"/>
              <w:rPr>
                <w:color w:val="FF0000"/>
              </w:rPr>
            </w:pPr>
            <w:r w:rsidRPr="00D10341">
              <w:t>3 200 000/0</w:t>
            </w:r>
          </w:p>
        </w:tc>
      </w:tr>
      <w:tr w:rsidR="00556FCC" w:rsidRPr="004B11AC" w14:paraId="49108FCD" w14:textId="77777777" w:rsidTr="00513541">
        <w:tc>
          <w:tcPr>
            <w:tcW w:w="3066" w:type="pct"/>
            <w:shd w:val="clear" w:color="auto" w:fill="auto"/>
          </w:tcPr>
          <w:p w14:paraId="6E751B2E" w14:textId="77777777" w:rsidR="00556FCC" w:rsidRPr="004B11AC" w:rsidRDefault="00556FCC" w:rsidP="00556FCC">
            <w:pPr>
              <w:jc w:val="both"/>
              <w:rPr>
                <w:color w:val="FF0000"/>
              </w:rPr>
            </w:pPr>
            <w:r w:rsidRPr="002250C5">
              <w:t>127D775001002 SFDI_ Financování silnic II. a III. tříd ve vlastnictví krajů a komunikací plnících funkci nevybudovaného SOKP v roce 2019_účel 183980014</w:t>
            </w:r>
          </w:p>
        </w:tc>
        <w:tc>
          <w:tcPr>
            <w:tcW w:w="865" w:type="pct"/>
            <w:shd w:val="clear" w:color="auto" w:fill="auto"/>
            <w:vAlign w:val="center"/>
          </w:tcPr>
          <w:p w14:paraId="1DA09C63" w14:textId="77777777" w:rsidR="00556FCC" w:rsidRPr="004B11AC" w:rsidRDefault="00556FCC" w:rsidP="00556FCC">
            <w:pPr>
              <w:jc w:val="right"/>
              <w:rPr>
                <w:color w:val="FF0000"/>
              </w:rPr>
            </w:pPr>
            <w:r w:rsidRPr="002250C5">
              <w:t>30 435</w:t>
            </w:r>
          </w:p>
        </w:tc>
        <w:tc>
          <w:tcPr>
            <w:tcW w:w="1069" w:type="pct"/>
            <w:shd w:val="clear" w:color="auto" w:fill="auto"/>
            <w:vAlign w:val="center"/>
          </w:tcPr>
          <w:p w14:paraId="359C525D" w14:textId="77777777" w:rsidR="00556FCC" w:rsidRPr="004B11AC" w:rsidRDefault="00556FCC" w:rsidP="00556FCC">
            <w:pPr>
              <w:jc w:val="right"/>
              <w:rPr>
                <w:color w:val="FF0000"/>
              </w:rPr>
            </w:pPr>
            <w:r w:rsidRPr="002250C5">
              <w:t>30 435/0</w:t>
            </w:r>
          </w:p>
        </w:tc>
      </w:tr>
      <w:tr w:rsidR="00556FCC" w:rsidRPr="004B11AC" w14:paraId="64374C81" w14:textId="77777777" w:rsidTr="00513541">
        <w:tc>
          <w:tcPr>
            <w:tcW w:w="3066" w:type="pct"/>
            <w:shd w:val="clear" w:color="auto" w:fill="auto"/>
          </w:tcPr>
          <w:p w14:paraId="1B699965" w14:textId="77777777" w:rsidR="00556FCC" w:rsidRPr="002250C5" w:rsidRDefault="00556FCC" w:rsidP="00556FCC">
            <w:pPr>
              <w:jc w:val="both"/>
            </w:pPr>
            <w:r w:rsidRPr="002250C5">
              <w:t>127D775001003 SFDI_ Financování silnic II. a III. tříd ve vlastnictví krajů a komunikací plnících funkci nevybudovaného SOKP v roce 2019_účel 193980010</w:t>
            </w:r>
          </w:p>
        </w:tc>
        <w:tc>
          <w:tcPr>
            <w:tcW w:w="865" w:type="pct"/>
            <w:shd w:val="clear" w:color="auto" w:fill="auto"/>
            <w:vAlign w:val="center"/>
          </w:tcPr>
          <w:p w14:paraId="3D2E7D13" w14:textId="77777777" w:rsidR="00556FCC" w:rsidRPr="002250C5" w:rsidRDefault="00556FCC" w:rsidP="00556FCC">
            <w:pPr>
              <w:jc w:val="right"/>
            </w:pPr>
            <w:r w:rsidRPr="002250C5">
              <w:t>170 000</w:t>
            </w:r>
          </w:p>
        </w:tc>
        <w:tc>
          <w:tcPr>
            <w:tcW w:w="1069" w:type="pct"/>
            <w:shd w:val="clear" w:color="auto" w:fill="auto"/>
            <w:vAlign w:val="center"/>
          </w:tcPr>
          <w:p w14:paraId="3B812362" w14:textId="77777777" w:rsidR="00556FCC" w:rsidRPr="002250C5" w:rsidRDefault="00556FCC" w:rsidP="00556FCC">
            <w:pPr>
              <w:jc w:val="right"/>
            </w:pPr>
            <w:r>
              <w:t>0/0</w:t>
            </w:r>
          </w:p>
        </w:tc>
      </w:tr>
      <w:tr w:rsidR="00556FCC" w:rsidRPr="009003D9" w14:paraId="3624D470" w14:textId="77777777" w:rsidTr="00513541">
        <w:tc>
          <w:tcPr>
            <w:tcW w:w="3066" w:type="pct"/>
            <w:shd w:val="clear" w:color="auto" w:fill="auto"/>
          </w:tcPr>
          <w:p w14:paraId="387ECBE7" w14:textId="77777777" w:rsidR="00556FCC" w:rsidRPr="009003D9" w:rsidRDefault="00556FCC" w:rsidP="00556FCC">
            <w:pPr>
              <w:jc w:val="both"/>
            </w:pPr>
            <w:r w:rsidRPr="009003D9">
              <w:t>127D773000006 SFDI OPD 2014–2020 Národní podíly v roce 2019</w:t>
            </w:r>
          </w:p>
        </w:tc>
        <w:tc>
          <w:tcPr>
            <w:tcW w:w="865" w:type="pct"/>
            <w:shd w:val="clear" w:color="auto" w:fill="auto"/>
            <w:vAlign w:val="center"/>
          </w:tcPr>
          <w:p w14:paraId="73612AFE" w14:textId="77777777" w:rsidR="00556FCC" w:rsidRPr="009003D9" w:rsidRDefault="00556FCC" w:rsidP="00556FCC">
            <w:pPr>
              <w:jc w:val="right"/>
            </w:pPr>
            <w:r w:rsidRPr="009003D9">
              <w:t>711</w:t>
            </w:r>
          </w:p>
        </w:tc>
        <w:tc>
          <w:tcPr>
            <w:tcW w:w="1069" w:type="pct"/>
            <w:shd w:val="clear" w:color="auto" w:fill="auto"/>
            <w:vAlign w:val="center"/>
          </w:tcPr>
          <w:p w14:paraId="71BB3673" w14:textId="77777777" w:rsidR="00556FCC" w:rsidRPr="009003D9" w:rsidRDefault="00556FCC" w:rsidP="00556FCC">
            <w:pPr>
              <w:jc w:val="right"/>
            </w:pPr>
            <w:r w:rsidRPr="009003D9">
              <w:t>711/0</w:t>
            </w:r>
          </w:p>
        </w:tc>
      </w:tr>
      <w:tr w:rsidR="00556FCC" w:rsidRPr="004B11AC" w14:paraId="05CC5084" w14:textId="77777777" w:rsidTr="00513541">
        <w:tc>
          <w:tcPr>
            <w:tcW w:w="3066" w:type="pct"/>
            <w:shd w:val="clear" w:color="auto" w:fill="auto"/>
          </w:tcPr>
          <w:p w14:paraId="3DF68D80" w14:textId="77777777" w:rsidR="00556FCC" w:rsidRPr="009003D9" w:rsidRDefault="00556FCC" w:rsidP="00556FCC">
            <w:pPr>
              <w:jc w:val="both"/>
            </w:pPr>
            <w:r w:rsidRPr="009003D9">
              <w:t>127D773000005 SFDI OPD 2014-2020 v roce 2019</w:t>
            </w:r>
          </w:p>
        </w:tc>
        <w:tc>
          <w:tcPr>
            <w:tcW w:w="865" w:type="pct"/>
            <w:shd w:val="clear" w:color="auto" w:fill="auto"/>
            <w:vAlign w:val="center"/>
          </w:tcPr>
          <w:p w14:paraId="369F45E9" w14:textId="77777777" w:rsidR="00556FCC" w:rsidRPr="004B11AC" w:rsidRDefault="00556FCC" w:rsidP="00556FCC">
            <w:pPr>
              <w:jc w:val="right"/>
              <w:rPr>
                <w:color w:val="FF0000"/>
              </w:rPr>
            </w:pPr>
            <w:r w:rsidRPr="00B7778C">
              <w:t>14</w:t>
            </w:r>
            <w:r>
              <w:t> 431 537</w:t>
            </w:r>
            <w:r w:rsidRPr="00B7778C">
              <w:t xml:space="preserve">  </w:t>
            </w:r>
          </w:p>
        </w:tc>
        <w:tc>
          <w:tcPr>
            <w:tcW w:w="1069" w:type="pct"/>
            <w:shd w:val="clear" w:color="auto" w:fill="auto"/>
            <w:vAlign w:val="center"/>
          </w:tcPr>
          <w:p w14:paraId="1749D064" w14:textId="77777777" w:rsidR="00556FCC" w:rsidRPr="004B11AC" w:rsidRDefault="00556FCC" w:rsidP="00556FCC">
            <w:pPr>
              <w:jc w:val="right"/>
              <w:rPr>
                <w:color w:val="FF0000"/>
              </w:rPr>
            </w:pPr>
            <w:r w:rsidRPr="007C1504">
              <w:t>4 696 142/0</w:t>
            </w:r>
          </w:p>
        </w:tc>
      </w:tr>
      <w:tr w:rsidR="00556FCC" w:rsidRPr="004B11AC" w14:paraId="009BE32B" w14:textId="77777777" w:rsidTr="00513541">
        <w:tc>
          <w:tcPr>
            <w:tcW w:w="3066" w:type="pct"/>
            <w:shd w:val="clear" w:color="auto" w:fill="auto"/>
          </w:tcPr>
          <w:p w14:paraId="0A3996AC" w14:textId="77777777" w:rsidR="00556FCC" w:rsidRPr="004B11AC" w:rsidRDefault="00556FCC" w:rsidP="00556FCC">
            <w:pPr>
              <w:jc w:val="both"/>
              <w:rPr>
                <w:color w:val="FF0000"/>
              </w:rPr>
            </w:pPr>
            <w:r w:rsidRPr="009003D9">
              <w:t>127D069 SFDI TP OPD 2014 -2020</w:t>
            </w:r>
          </w:p>
        </w:tc>
        <w:tc>
          <w:tcPr>
            <w:tcW w:w="865" w:type="pct"/>
            <w:shd w:val="clear" w:color="auto" w:fill="auto"/>
            <w:vAlign w:val="center"/>
          </w:tcPr>
          <w:p w14:paraId="5E55F93B" w14:textId="77777777" w:rsidR="00556FCC" w:rsidRPr="004B11AC" w:rsidRDefault="00556FCC" w:rsidP="00556FCC">
            <w:pPr>
              <w:jc w:val="right"/>
              <w:rPr>
                <w:color w:val="FF0000"/>
              </w:rPr>
            </w:pPr>
            <w:r w:rsidRPr="00B7778C">
              <w:t>1 059</w:t>
            </w:r>
          </w:p>
        </w:tc>
        <w:tc>
          <w:tcPr>
            <w:tcW w:w="1069" w:type="pct"/>
            <w:shd w:val="clear" w:color="auto" w:fill="auto"/>
            <w:vAlign w:val="center"/>
          </w:tcPr>
          <w:p w14:paraId="234747D8" w14:textId="77777777" w:rsidR="00556FCC" w:rsidRPr="004B11AC" w:rsidRDefault="00556FCC" w:rsidP="00556FCC">
            <w:pPr>
              <w:jc w:val="right"/>
              <w:rPr>
                <w:color w:val="FF0000"/>
              </w:rPr>
            </w:pPr>
            <w:r w:rsidRPr="00B7778C">
              <w:t>434/0</w:t>
            </w:r>
          </w:p>
        </w:tc>
      </w:tr>
      <w:tr w:rsidR="00556FCC" w:rsidRPr="004B11AC" w14:paraId="44998DFB" w14:textId="77777777" w:rsidTr="00513541">
        <w:tc>
          <w:tcPr>
            <w:tcW w:w="3066" w:type="pct"/>
            <w:shd w:val="clear" w:color="auto" w:fill="auto"/>
          </w:tcPr>
          <w:p w14:paraId="776696D9" w14:textId="77777777" w:rsidR="00556FCC" w:rsidRPr="004B11AC" w:rsidRDefault="00556FCC" w:rsidP="00556FCC">
            <w:pPr>
              <w:jc w:val="both"/>
              <w:rPr>
                <w:color w:val="FF0000"/>
              </w:rPr>
            </w:pPr>
            <w:r w:rsidRPr="00233FEE">
              <w:lastRenderedPageBreak/>
              <w:t>127D774 Nástroj pro propojení Evropy 2014+ (dopravní stavby)</w:t>
            </w:r>
          </w:p>
        </w:tc>
        <w:tc>
          <w:tcPr>
            <w:tcW w:w="865" w:type="pct"/>
            <w:shd w:val="clear" w:color="auto" w:fill="auto"/>
            <w:vAlign w:val="center"/>
          </w:tcPr>
          <w:p w14:paraId="35B605CF" w14:textId="77777777" w:rsidR="00556FCC" w:rsidRPr="004B11AC" w:rsidRDefault="00556FCC" w:rsidP="00556FCC">
            <w:pPr>
              <w:jc w:val="right"/>
              <w:rPr>
                <w:color w:val="FF0000"/>
              </w:rPr>
            </w:pPr>
            <w:r w:rsidRPr="007C1504">
              <w:t>3 115 011</w:t>
            </w:r>
          </w:p>
        </w:tc>
        <w:tc>
          <w:tcPr>
            <w:tcW w:w="1069" w:type="pct"/>
            <w:shd w:val="clear" w:color="auto" w:fill="auto"/>
            <w:vAlign w:val="center"/>
          </w:tcPr>
          <w:p w14:paraId="2309A8B3" w14:textId="77777777" w:rsidR="00556FCC" w:rsidRPr="004B11AC" w:rsidRDefault="00556FCC" w:rsidP="00513541">
            <w:pPr>
              <w:jc w:val="right"/>
              <w:rPr>
                <w:color w:val="FF0000"/>
              </w:rPr>
            </w:pPr>
            <w:r w:rsidRPr="007C1504">
              <w:t>3 019 959/95 052</w:t>
            </w:r>
          </w:p>
        </w:tc>
      </w:tr>
      <w:tr w:rsidR="00556FCC" w:rsidRPr="004B11AC" w14:paraId="6441A96E" w14:textId="77777777" w:rsidTr="00513541">
        <w:tc>
          <w:tcPr>
            <w:tcW w:w="3066" w:type="pct"/>
            <w:shd w:val="clear" w:color="auto" w:fill="auto"/>
          </w:tcPr>
          <w:p w14:paraId="51E89D71" w14:textId="77777777" w:rsidR="00556FCC" w:rsidRPr="004B11AC" w:rsidRDefault="00556FCC" w:rsidP="00556FCC">
            <w:pPr>
              <w:jc w:val="both"/>
              <w:rPr>
                <w:color w:val="FF0000"/>
              </w:rPr>
            </w:pPr>
            <w:r w:rsidRPr="00233FEE">
              <w:t>127D774 Nástroj pro propojení Evropy 2014+ (RIS COMEX)</w:t>
            </w:r>
          </w:p>
        </w:tc>
        <w:tc>
          <w:tcPr>
            <w:tcW w:w="865" w:type="pct"/>
            <w:shd w:val="clear" w:color="auto" w:fill="auto"/>
            <w:vAlign w:val="center"/>
          </w:tcPr>
          <w:p w14:paraId="63ECC7EC" w14:textId="77777777" w:rsidR="00556FCC" w:rsidRPr="004B11AC" w:rsidRDefault="00556FCC" w:rsidP="00556FCC">
            <w:pPr>
              <w:jc w:val="right"/>
              <w:rPr>
                <w:color w:val="FF0000"/>
              </w:rPr>
            </w:pPr>
            <w:r>
              <w:t>14 170</w:t>
            </w:r>
          </w:p>
        </w:tc>
        <w:tc>
          <w:tcPr>
            <w:tcW w:w="1069" w:type="pct"/>
            <w:shd w:val="clear" w:color="auto" w:fill="auto"/>
            <w:vAlign w:val="center"/>
          </w:tcPr>
          <w:p w14:paraId="0DBE9AB4" w14:textId="37C71082" w:rsidR="00556FCC" w:rsidRPr="004B11AC" w:rsidRDefault="00556FCC" w:rsidP="00556FCC">
            <w:pPr>
              <w:jc w:val="right"/>
              <w:rPr>
                <w:color w:val="FF0000"/>
              </w:rPr>
            </w:pPr>
            <w:r>
              <w:t>6 942/7</w:t>
            </w:r>
            <w:r w:rsidR="00CA105A">
              <w:t xml:space="preserve"> </w:t>
            </w:r>
            <w:r>
              <w:t>228</w:t>
            </w:r>
          </w:p>
        </w:tc>
      </w:tr>
    </w:tbl>
    <w:p w14:paraId="460DCA16" w14:textId="7A1B6DEB" w:rsidR="00556FCC" w:rsidRDefault="00556FCC" w:rsidP="003F5268">
      <w:pPr>
        <w:spacing w:before="360"/>
        <w:jc w:val="both"/>
        <w:rPr>
          <w:szCs w:val="20"/>
        </w:rPr>
      </w:pPr>
      <w:r w:rsidRPr="00233FEE">
        <w:rPr>
          <w:szCs w:val="20"/>
          <w:u w:val="single"/>
        </w:rPr>
        <w:t>V následující tabulce je provedeno srovnání investi</w:t>
      </w:r>
      <w:r w:rsidR="00251B76">
        <w:rPr>
          <w:szCs w:val="20"/>
          <w:u w:val="single"/>
        </w:rPr>
        <w:t>čního transferu státním fondům</w:t>
      </w:r>
      <w:r w:rsidRPr="00233FEE">
        <w:rPr>
          <w:szCs w:val="20"/>
          <w:u w:val="single"/>
        </w:rPr>
        <w:t xml:space="preserve"> ve vývojové řadě 2015 – 2019</w:t>
      </w:r>
      <w:r w:rsidRPr="00233FEE">
        <w:rPr>
          <w:szCs w:val="20"/>
        </w:rPr>
        <w:t>:</w:t>
      </w:r>
    </w:p>
    <w:p w14:paraId="1A0E81C4" w14:textId="77777777" w:rsidR="00556FCC" w:rsidRPr="00233FEE" w:rsidRDefault="00556FCC" w:rsidP="00DB2320">
      <w:pPr>
        <w:keepNext/>
        <w:ind w:left="357" w:right="1"/>
        <w:jc w:val="right"/>
      </w:pPr>
      <w:r w:rsidRPr="00233FEE">
        <w:t>v tis. Kč</w:t>
      </w:r>
    </w:p>
    <w:tbl>
      <w:tblPr>
        <w:tblW w:w="9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81"/>
        <w:gridCol w:w="1191"/>
        <w:gridCol w:w="1191"/>
        <w:gridCol w:w="1191"/>
        <w:gridCol w:w="1191"/>
        <w:gridCol w:w="1191"/>
      </w:tblGrid>
      <w:tr w:rsidR="00556FCC" w:rsidRPr="004B11AC" w14:paraId="1BCD7DFD" w14:textId="77777777" w:rsidTr="00556FCC">
        <w:trPr>
          <w:jc w:val="center"/>
        </w:trPr>
        <w:tc>
          <w:tcPr>
            <w:tcW w:w="3381" w:type="dxa"/>
          </w:tcPr>
          <w:p w14:paraId="3994F287" w14:textId="77777777" w:rsidR="00556FCC" w:rsidRPr="00233FEE" w:rsidRDefault="00556FCC" w:rsidP="00556FCC">
            <w:pPr>
              <w:jc w:val="center"/>
              <w:rPr>
                <w:sz w:val="22"/>
                <w:szCs w:val="22"/>
              </w:rPr>
            </w:pPr>
          </w:p>
          <w:p w14:paraId="2228F2F8" w14:textId="77777777" w:rsidR="00556FCC" w:rsidRPr="00233FEE" w:rsidRDefault="00556FCC" w:rsidP="00556FCC">
            <w:pPr>
              <w:jc w:val="center"/>
              <w:rPr>
                <w:sz w:val="22"/>
                <w:szCs w:val="22"/>
              </w:rPr>
            </w:pPr>
            <w:r w:rsidRPr="00233FEE">
              <w:rPr>
                <w:sz w:val="22"/>
                <w:szCs w:val="22"/>
              </w:rPr>
              <w:t>Ukazatel</w:t>
            </w:r>
          </w:p>
        </w:tc>
        <w:tc>
          <w:tcPr>
            <w:tcW w:w="1191" w:type="dxa"/>
            <w:vAlign w:val="center"/>
          </w:tcPr>
          <w:p w14:paraId="17FDEA57" w14:textId="77777777" w:rsidR="00556FCC" w:rsidRPr="00233FEE" w:rsidRDefault="00556FCC" w:rsidP="00556FCC">
            <w:pPr>
              <w:jc w:val="center"/>
              <w:rPr>
                <w:sz w:val="22"/>
                <w:szCs w:val="22"/>
              </w:rPr>
            </w:pPr>
            <w:r w:rsidRPr="00233FEE">
              <w:rPr>
                <w:sz w:val="22"/>
                <w:szCs w:val="22"/>
              </w:rPr>
              <w:t>Skutečnost</w:t>
            </w:r>
          </w:p>
          <w:p w14:paraId="0313C1B5" w14:textId="77777777" w:rsidR="00556FCC" w:rsidRPr="00233FEE" w:rsidRDefault="00556FCC" w:rsidP="00556FCC">
            <w:pPr>
              <w:jc w:val="center"/>
              <w:rPr>
                <w:sz w:val="22"/>
                <w:szCs w:val="22"/>
              </w:rPr>
            </w:pPr>
            <w:r w:rsidRPr="00233FEE">
              <w:rPr>
                <w:sz w:val="22"/>
                <w:szCs w:val="22"/>
              </w:rPr>
              <w:t>2015</w:t>
            </w:r>
          </w:p>
        </w:tc>
        <w:tc>
          <w:tcPr>
            <w:tcW w:w="1191" w:type="dxa"/>
            <w:vAlign w:val="center"/>
          </w:tcPr>
          <w:p w14:paraId="27FAF5C7" w14:textId="77777777" w:rsidR="00556FCC" w:rsidRPr="00233FEE" w:rsidRDefault="00556FCC" w:rsidP="00556FCC">
            <w:pPr>
              <w:jc w:val="center"/>
              <w:rPr>
                <w:sz w:val="22"/>
                <w:szCs w:val="22"/>
              </w:rPr>
            </w:pPr>
            <w:r w:rsidRPr="00233FEE">
              <w:rPr>
                <w:sz w:val="22"/>
                <w:szCs w:val="22"/>
              </w:rPr>
              <w:t>Skutečnost</w:t>
            </w:r>
          </w:p>
          <w:p w14:paraId="61B38F89" w14:textId="77777777" w:rsidR="00556FCC" w:rsidRPr="00233FEE" w:rsidRDefault="00556FCC" w:rsidP="00556FCC">
            <w:pPr>
              <w:jc w:val="center"/>
              <w:rPr>
                <w:sz w:val="22"/>
                <w:szCs w:val="22"/>
              </w:rPr>
            </w:pPr>
            <w:r w:rsidRPr="00233FEE">
              <w:rPr>
                <w:sz w:val="22"/>
                <w:szCs w:val="22"/>
              </w:rPr>
              <w:t>2016</w:t>
            </w:r>
          </w:p>
        </w:tc>
        <w:tc>
          <w:tcPr>
            <w:tcW w:w="1191" w:type="dxa"/>
            <w:vAlign w:val="center"/>
          </w:tcPr>
          <w:p w14:paraId="40966D1C" w14:textId="77777777" w:rsidR="00556FCC" w:rsidRPr="00233FEE" w:rsidRDefault="00556FCC" w:rsidP="00556FCC">
            <w:pPr>
              <w:jc w:val="center"/>
              <w:rPr>
                <w:sz w:val="22"/>
                <w:szCs w:val="22"/>
              </w:rPr>
            </w:pPr>
            <w:r w:rsidRPr="00233FEE">
              <w:rPr>
                <w:sz w:val="22"/>
                <w:szCs w:val="22"/>
              </w:rPr>
              <w:t>Skutečnost</w:t>
            </w:r>
          </w:p>
          <w:p w14:paraId="65E4AC0D" w14:textId="77777777" w:rsidR="00556FCC" w:rsidRPr="00233FEE" w:rsidRDefault="00556FCC" w:rsidP="00556FCC">
            <w:pPr>
              <w:jc w:val="center"/>
              <w:rPr>
                <w:sz w:val="22"/>
                <w:szCs w:val="22"/>
              </w:rPr>
            </w:pPr>
            <w:r w:rsidRPr="00233FEE">
              <w:rPr>
                <w:sz w:val="22"/>
                <w:szCs w:val="22"/>
              </w:rPr>
              <w:t>2017</w:t>
            </w:r>
          </w:p>
        </w:tc>
        <w:tc>
          <w:tcPr>
            <w:tcW w:w="1191" w:type="dxa"/>
            <w:vAlign w:val="center"/>
          </w:tcPr>
          <w:p w14:paraId="10A9699C" w14:textId="77777777" w:rsidR="00556FCC" w:rsidRPr="00233FEE" w:rsidRDefault="00556FCC" w:rsidP="00556FCC">
            <w:pPr>
              <w:jc w:val="center"/>
              <w:rPr>
                <w:sz w:val="22"/>
                <w:szCs w:val="22"/>
              </w:rPr>
            </w:pPr>
            <w:r w:rsidRPr="00233FEE">
              <w:rPr>
                <w:sz w:val="22"/>
                <w:szCs w:val="22"/>
              </w:rPr>
              <w:t>Skutečnost</w:t>
            </w:r>
          </w:p>
          <w:p w14:paraId="4E4534F3" w14:textId="77777777" w:rsidR="00556FCC" w:rsidRPr="00233FEE" w:rsidRDefault="00556FCC" w:rsidP="00556FCC">
            <w:pPr>
              <w:jc w:val="center"/>
              <w:rPr>
                <w:sz w:val="22"/>
                <w:szCs w:val="22"/>
              </w:rPr>
            </w:pPr>
            <w:r w:rsidRPr="00233FEE">
              <w:rPr>
                <w:sz w:val="22"/>
                <w:szCs w:val="22"/>
              </w:rPr>
              <w:t>2018</w:t>
            </w:r>
          </w:p>
        </w:tc>
        <w:tc>
          <w:tcPr>
            <w:tcW w:w="1191" w:type="dxa"/>
            <w:vAlign w:val="center"/>
          </w:tcPr>
          <w:p w14:paraId="500D3FB8" w14:textId="77777777" w:rsidR="00556FCC" w:rsidRPr="00233FEE" w:rsidRDefault="00556FCC" w:rsidP="00556FCC">
            <w:pPr>
              <w:jc w:val="center"/>
              <w:rPr>
                <w:sz w:val="22"/>
                <w:szCs w:val="22"/>
              </w:rPr>
            </w:pPr>
            <w:r w:rsidRPr="00233FEE">
              <w:rPr>
                <w:sz w:val="22"/>
                <w:szCs w:val="22"/>
              </w:rPr>
              <w:t>Skutečnost</w:t>
            </w:r>
          </w:p>
          <w:p w14:paraId="27524FD6" w14:textId="77777777" w:rsidR="00556FCC" w:rsidRPr="00233FEE" w:rsidRDefault="00556FCC" w:rsidP="00556FCC">
            <w:pPr>
              <w:jc w:val="center"/>
              <w:rPr>
                <w:sz w:val="22"/>
                <w:szCs w:val="22"/>
              </w:rPr>
            </w:pPr>
            <w:r w:rsidRPr="00233FEE">
              <w:rPr>
                <w:sz w:val="22"/>
                <w:szCs w:val="22"/>
              </w:rPr>
              <w:t>2019</w:t>
            </w:r>
          </w:p>
        </w:tc>
      </w:tr>
      <w:tr w:rsidR="00556FCC" w:rsidRPr="004B11AC" w14:paraId="319B5514" w14:textId="77777777" w:rsidTr="00556FCC">
        <w:trPr>
          <w:jc w:val="center"/>
        </w:trPr>
        <w:tc>
          <w:tcPr>
            <w:tcW w:w="3381" w:type="dxa"/>
            <w:tcBorders>
              <w:bottom w:val="single" w:sz="4" w:space="0" w:color="auto"/>
            </w:tcBorders>
          </w:tcPr>
          <w:p w14:paraId="3567240F" w14:textId="77777777" w:rsidR="00556FCC" w:rsidRPr="00233FEE" w:rsidRDefault="00556FCC" w:rsidP="00556FCC">
            <w:pPr>
              <w:jc w:val="center"/>
              <w:rPr>
                <w:sz w:val="22"/>
                <w:szCs w:val="22"/>
              </w:rPr>
            </w:pPr>
            <w:r w:rsidRPr="00233FEE">
              <w:rPr>
                <w:sz w:val="22"/>
                <w:szCs w:val="22"/>
              </w:rPr>
              <w:t>a</w:t>
            </w:r>
          </w:p>
        </w:tc>
        <w:tc>
          <w:tcPr>
            <w:tcW w:w="1191" w:type="dxa"/>
            <w:tcBorders>
              <w:bottom w:val="single" w:sz="4" w:space="0" w:color="auto"/>
            </w:tcBorders>
          </w:tcPr>
          <w:p w14:paraId="50DF226C" w14:textId="77777777" w:rsidR="00556FCC" w:rsidRPr="00233FEE" w:rsidRDefault="00556FCC" w:rsidP="00556FCC">
            <w:pPr>
              <w:jc w:val="center"/>
              <w:rPr>
                <w:sz w:val="22"/>
                <w:szCs w:val="22"/>
              </w:rPr>
            </w:pPr>
            <w:r w:rsidRPr="00233FEE">
              <w:rPr>
                <w:sz w:val="22"/>
                <w:szCs w:val="22"/>
              </w:rPr>
              <w:t>1</w:t>
            </w:r>
          </w:p>
        </w:tc>
        <w:tc>
          <w:tcPr>
            <w:tcW w:w="1191" w:type="dxa"/>
            <w:tcBorders>
              <w:bottom w:val="single" w:sz="4" w:space="0" w:color="auto"/>
            </w:tcBorders>
          </w:tcPr>
          <w:p w14:paraId="1B38744F" w14:textId="77777777" w:rsidR="00556FCC" w:rsidRPr="00233FEE" w:rsidRDefault="00556FCC" w:rsidP="00556FCC">
            <w:pPr>
              <w:jc w:val="center"/>
              <w:rPr>
                <w:sz w:val="22"/>
                <w:szCs w:val="22"/>
              </w:rPr>
            </w:pPr>
            <w:r w:rsidRPr="00233FEE">
              <w:rPr>
                <w:sz w:val="22"/>
                <w:szCs w:val="22"/>
              </w:rPr>
              <w:t>2</w:t>
            </w:r>
          </w:p>
        </w:tc>
        <w:tc>
          <w:tcPr>
            <w:tcW w:w="1191" w:type="dxa"/>
            <w:tcBorders>
              <w:bottom w:val="single" w:sz="4" w:space="0" w:color="auto"/>
            </w:tcBorders>
          </w:tcPr>
          <w:p w14:paraId="5FD2C3D4" w14:textId="77777777" w:rsidR="00556FCC" w:rsidRPr="00233FEE" w:rsidRDefault="00556FCC" w:rsidP="00556FCC">
            <w:pPr>
              <w:jc w:val="center"/>
              <w:rPr>
                <w:sz w:val="22"/>
                <w:szCs w:val="22"/>
              </w:rPr>
            </w:pPr>
            <w:r w:rsidRPr="00233FEE">
              <w:rPr>
                <w:sz w:val="22"/>
                <w:szCs w:val="22"/>
              </w:rPr>
              <w:t>3</w:t>
            </w:r>
          </w:p>
        </w:tc>
        <w:tc>
          <w:tcPr>
            <w:tcW w:w="1191" w:type="dxa"/>
            <w:tcBorders>
              <w:bottom w:val="single" w:sz="4" w:space="0" w:color="auto"/>
            </w:tcBorders>
          </w:tcPr>
          <w:p w14:paraId="33AF80A5" w14:textId="77777777" w:rsidR="00556FCC" w:rsidRPr="00233FEE" w:rsidRDefault="00556FCC" w:rsidP="00556FCC">
            <w:pPr>
              <w:jc w:val="center"/>
              <w:rPr>
                <w:sz w:val="22"/>
                <w:szCs w:val="22"/>
              </w:rPr>
            </w:pPr>
            <w:r w:rsidRPr="00233FEE">
              <w:rPr>
                <w:sz w:val="22"/>
                <w:szCs w:val="22"/>
              </w:rPr>
              <w:t>4</w:t>
            </w:r>
          </w:p>
        </w:tc>
        <w:tc>
          <w:tcPr>
            <w:tcW w:w="1191" w:type="dxa"/>
            <w:tcBorders>
              <w:bottom w:val="single" w:sz="4" w:space="0" w:color="auto"/>
            </w:tcBorders>
          </w:tcPr>
          <w:p w14:paraId="6EE7119B" w14:textId="77777777" w:rsidR="00556FCC" w:rsidRPr="00233FEE" w:rsidRDefault="00556FCC" w:rsidP="00556FCC">
            <w:pPr>
              <w:jc w:val="center"/>
              <w:rPr>
                <w:sz w:val="22"/>
                <w:szCs w:val="22"/>
              </w:rPr>
            </w:pPr>
            <w:r w:rsidRPr="00233FEE">
              <w:rPr>
                <w:sz w:val="22"/>
                <w:szCs w:val="22"/>
              </w:rPr>
              <w:t>5</w:t>
            </w:r>
          </w:p>
        </w:tc>
      </w:tr>
      <w:tr w:rsidR="00556FCC" w:rsidRPr="004B11AC" w14:paraId="0211A0B2" w14:textId="77777777" w:rsidTr="00556FCC">
        <w:trPr>
          <w:trHeight w:val="825"/>
          <w:jc w:val="center"/>
        </w:trPr>
        <w:tc>
          <w:tcPr>
            <w:tcW w:w="3381" w:type="dxa"/>
            <w:tcBorders>
              <w:bottom w:val="nil"/>
            </w:tcBorders>
            <w:vAlign w:val="center"/>
          </w:tcPr>
          <w:p w14:paraId="2F1BBE27" w14:textId="77777777" w:rsidR="00556FCC" w:rsidRPr="00233FEE" w:rsidRDefault="00556FCC" w:rsidP="00556FCC">
            <w:pPr>
              <w:rPr>
                <w:b/>
              </w:rPr>
            </w:pPr>
            <w:r w:rsidRPr="00233FEE">
              <w:rPr>
                <w:b/>
              </w:rPr>
              <w:t>Státní fond dopravní infrastruktury</w:t>
            </w:r>
          </w:p>
          <w:p w14:paraId="565AA87F" w14:textId="77777777" w:rsidR="00556FCC" w:rsidRPr="00233FEE" w:rsidRDefault="00556FCC" w:rsidP="00556FCC">
            <w:pPr>
              <w:jc w:val="both"/>
              <w:rPr>
                <w:sz w:val="20"/>
                <w:szCs w:val="20"/>
              </w:rPr>
            </w:pPr>
            <w:r w:rsidRPr="00233FEE">
              <w:rPr>
                <w:sz w:val="20"/>
                <w:szCs w:val="20"/>
              </w:rPr>
              <w:t>v tom:</w:t>
            </w:r>
          </w:p>
        </w:tc>
        <w:tc>
          <w:tcPr>
            <w:tcW w:w="1191" w:type="dxa"/>
            <w:tcBorders>
              <w:bottom w:val="nil"/>
            </w:tcBorders>
            <w:vAlign w:val="center"/>
          </w:tcPr>
          <w:p w14:paraId="6EFEF12B" w14:textId="77777777" w:rsidR="00556FCC" w:rsidRPr="00233FEE" w:rsidRDefault="00556FCC" w:rsidP="00556FCC">
            <w:pPr>
              <w:jc w:val="right"/>
              <w:rPr>
                <w:b/>
                <w:bCs/>
                <w:sz w:val="20"/>
                <w:szCs w:val="20"/>
              </w:rPr>
            </w:pPr>
            <w:r w:rsidRPr="00233FEE">
              <w:rPr>
                <w:b/>
                <w:bCs/>
                <w:sz w:val="20"/>
                <w:szCs w:val="20"/>
                <w:lang w:eastAsia="ar-SA"/>
              </w:rPr>
              <w:t>37 752 112</w:t>
            </w:r>
          </w:p>
        </w:tc>
        <w:tc>
          <w:tcPr>
            <w:tcW w:w="1191" w:type="dxa"/>
            <w:tcBorders>
              <w:bottom w:val="nil"/>
            </w:tcBorders>
            <w:vAlign w:val="center"/>
          </w:tcPr>
          <w:p w14:paraId="4576E114" w14:textId="77777777" w:rsidR="00556FCC" w:rsidRPr="00233FEE" w:rsidRDefault="00556FCC" w:rsidP="00556FCC">
            <w:pPr>
              <w:jc w:val="right"/>
              <w:rPr>
                <w:b/>
                <w:bCs/>
                <w:sz w:val="20"/>
                <w:szCs w:val="20"/>
              </w:rPr>
            </w:pPr>
            <w:r w:rsidRPr="00233FEE">
              <w:rPr>
                <w:b/>
                <w:bCs/>
                <w:sz w:val="20"/>
                <w:szCs w:val="20"/>
                <w:lang w:eastAsia="ar-SA"/>
              </w:rPr>
              <w:t>27 331 960</w:t>
            </w:r>
          </w:p>
        </w:tc>
        <w:tc>
          <w:tcPr>
            <w:tcW w:w="1191" w:type="dxa"/>
            <w:tcBorders>
              <w:bottom w:val="nil"/>
            </w:tcBorders>
            <w:vAlign w:val="center"/>
          </w:tcPr>
          <w:p w14:paraId="7CA589D0" w14:textId="77777777" w:rsidR="00556FCC" w:rsidRPr="00233FEE" w:rsidRDefault="00556FCC" w:rsidP="00556FCC">
            <w:pPr>
              <w:jc w:val="right"/>
              <w:rPr>
                <w:b/>
                <w:bCs/>
                <w:sz w:val="20"/>
                <w:szCs w:val="20"/>
              </w:rPr>
            </w:pPr>
            <w:r w:rsidRPr="00233FEE">
              <w:rPr>
                <w:b/>
                <w:bCs/>
                <w:sz w:val="20"/>
                <w:szCs w:val="20"/>
                <w:lang w:eastAsia="ar-SA"/>
              </w:rPr>
              <w:t>31 652 642</w:t>
            </w:r>
          </w:p>
        </w:tc>
        <w:tc>
          <w:tcPr>
            <w:tcW w:w="1191" w:type="dxa"/>
            <w:tcBorders>
              <w:bottom w:val="nil"/>
            </w:tcBorders>
            <w:vAlign w:val="center"/>
          </w:tcPr>
          <w:p w14:paraId="75A4F0B0" w14:textId="77777777" w:rsidR="00556FCC" w:rsidRPr="00233FEE" w:rsidRDefault="00556FCC" w:rsidP="00556FCC">
            <w:pPr>
              <w:jc w:val="right"/>
              <w:rPr>
                <w:b/>
                <w:bCs/>
                <w:sz w:val="20"/>
                <w:szCs w:val="20"/>
              </w:rPr>
            </w:pPr>
            <w:r w:rsidRPr="00233FEE">
              <w:rPr>
                <w:b/>
                <w:bCs/>
                <w:sz w:val="20"/>
                <w:szCs w:val="20"/>
                <w:lang w:eastAsia="ar-SA"/>
              </w:rPr>
              <w:t>32 269 684</w:t>
            </w:r>
          </w:p>
        </w:tc>
        <w:tc>
          <w:tcPr>
            <w:tcW w:w="1191" w:type="dxa"/>
            <w:tcBorders>
              <w:bottom w:val="nil"/>
            </w:tcBorders>
            <w:vAlign w:val="center"/>
          </w:tcPr>
          <w:p w14:paraId="53B28127" w14:textId="77777777" w:rsidR="00556FCC" w:rsidRPr="004B11AC" w:rsidRDefault="00556FCC" w:rsidP="00556FCC">
            <w:pPr>
              <w:jc w:val="right"/>
              <w:rPr>
                <w:b/>
                <w:bCs/>
                <w:color w:val="FF0000"/>
                <w:sz w:val="20"/>
                <w:szCs w:val="20"/>
              </w:rPr>
            </w:pPr>
            <w:r w:rsidRPr="00233FEE">
              <w:rPr>
                <w:b/>
                <w:bCs/>
                <w:sz w:val="20"/>
                <w:szCs w:val="20"/>
                <w:lang w:eastAsia="ar-SA"/>
              </w:rPr>
              <w:t>44 742 923</w:t>
            </w:r>
          </w:p>
        </w:tc>
      </w:tr>
      <w:tr w:rsidR="00556FCC" w:rsidRPr="004B11AC" w14:paraId="2B0D49B3" w14:textId="77777777" w:rsidTr="0084515C">
        <w:trPr>
          <w:trHeight w:val="791"/>
          <w:jc w:val="center"/>
        </w:trPr>
        <w:tc>
          <w:tcPr>
            <w:tcW w:w="3381" w:type="dxa"/>
            <w:tcBorders>
              <w:top w:val="nil"/>
              <w:left w:val="single" w:sz="4" w:space="0" w:color="auto"/>
              <w:bottom w:val="nil"/>
              <w:right w:val="single" w:sz="4" w:space="0" w:color="auto"/>
            </w:tcBorders>
            <w:vAlign w:val="center"/>
          </w:tcPr>
          <w:p w14:paraId="794E72E0" w14:textId="77777777" w:rsidR="00556FCC" w:rsidRPr="00233FEE" w:rsidRDefault="00556FCC" w:rsidP="00556FCC">
            <w:pPr>
              <w:rPr>
                <w:b/>
                <w:i/>
                <w:sz w:val="20"/>
                <w:szCs w:val="20"/>
              </w:rPr>
            </w:pPr>
            <w:r w:rsidRPr="00233FEE">
              <w:rPr>
                <w:b/>
                <w:i/>
                <w:sz w:val="20"/>
                <w:szCs w:val="20"/>
              </w:rPr>
              <w:t xml:space="preserve">Vyrovnání deficitu příjmů a výdajů rozpočtu SFDI </w:t>
            </w:r>
          </w:p>
          <w:p w14:paraId="5199EDA4" w14:textId="77777777" w:rsidR="00556FCC" w:rsidRPr="00233FEE" w:rsidRDefault="00556FCC" w:rsidP="00556FCC">
            <w:pPr>
              <w:rPr>
                <w:sz w:val="20"/>
                <w:szCs w:val="20"/>
              </w:rPr>
            </w:pPr>
            <w:r w:rsidRPr="00233FEE">
              <w:rPr>
                <w:sz w:val="20"/>
                <w:szCs w:val="20"/>
              </w:rPr>
              <w:t>v tom program 127 77</w:t>
            </w:r>
          </w:p>
        </w:tc>
        <w:tc>
          <w:tcPr>
            <w:tcW w:w="1191" w:type="dxa"/>
            <w:tcBorders>
              <w:top w:val="nil"/>
              <w:left w:val="single" w:sz="4" w:space="0" w:color="auto"/>
              <w:bottom w:val="nil"/>
              <w:right w:val="single" w:sz="4" w:space="0" w:color="auto"/>
            </w:tcBorders>
            <w:vAlign w:val="center"/>
          </w:tcPr>
          <w:p w14:paraId="193E9D7F" w14:textId="77777777" w:rsidR="00556FCC" w:rsidRPr="00233FEE" w:rsidRDefault="00556FCC" w:rsidP="00556FCC">
            <w:pPr>
              <w:jc w:val="right"/>
              <w:rPr>
                <w:b/>
                <w:bCs/>
                <w:i/>
                <w:sz w:val="20"/>
                <w:szCs w:val="20"/>
              </w:rPr>
            </w:pPr>
            <w:r w:rsidRPr="00233FEE">
              <w:rPr>
                <w:b/>
                <w:bCs/>
                <w:i/>
                <w:sz w:val="20"/>
                <w:szCs w:val="20"/>
              </w:rPr>
              <w:t>4 100 000</w:t>
            </w:r>
          </w:p>
          <w:p w14:paraId="122CE0B7" w14:textId="77777777" w:rsidR="00556FCC" w:rsidRPr="00233FEE" w:rsidRDefault="00556FCC" w:rsidP="00556FCC">
            <w:pPr>
              <w:jc w:val="right"/>
              <w:rPr>
                <w:bCs/>
                <w:sz w:val="20"/>
                <w:szCs w:val="20"/>
              </w:rPr>
            </w:pPr>
          </w:p>
          <w:p w14:paraId="5EB57C35" w14:textId="77777777" w:rsidR="00556FCC" w:rsidRPr="00233FEE" w:rsidRDefault="00556FCC" w:rsidP="00556FCC">
            <w:pPr>
              <w:jc w:val="right"/>
              <w:rPr>
                <w:bCs/>
                <w:sz w:val="20"/>
                <w:szCs w:val="20"/>
              </w:rPr>
            </w:pPr>
            <w:r w:rsidRPr="00233FEE">
              <w:rPr>
                <w:bCs/>
                <w:sz w:val="20"/>
                <w:szCs w:val="20"/>
              </w:rPr>
              <w:t>0</w:t>
            </w:r>
          </w:p>
        </w:tc>
        <w:tc>
          <w:tcPr>
            <w:tcW w:w="1191" w:type="dxa"/>
            <w:tcBorders>
              <w:top w:val="nil"/>
              <w:left w:val="single" w:sz="4" w:space="0" w:color="auto"/>
              <w:bottom w:val="nil"/>
              <w:right w:val="single" w:sz="4" w:space="0" w:color="auto"/>
            </w:tcBorders>
            <w:vAlign w:val="center"/>
          </w:tcPr>
          <w:p w14:paraId="736AF224" w14:textId="77777777" w:rsidR="00556FCC" w:rsidRPr="00233FEE" w:rsidRDefault="00556FCC" w:rsidP="00556FCC">
            <w:pPr>
              <w:jc w:val="right"/>
              <w:rPr>
                <w:b/>
                <w:bCs/>
                <w:i/>
                <w:sz w:val="20"/>
                <w:szCs w:val="20"/>
              </w:rPr>
            </w:pPr>
            <w:r w:rsidRPr="00233FEE">
              <w:rPr>
                <w:b/>
                <w:bCs/>
                <w:i/>
                <w:sz w:val="20"/>
                <w:szCs w:val="20"/>
              </w:rPr>
              <w:t>11 800 000</w:t>
            </w:r>
          </w:p>
          <w:p w14:paraId="68D836B4" w14:textId="77777777" w:rsidR="00556FCC" w:rsidRPr="00233FEE" w:rsidRDefault="00556FCC" w:rsidP="00556FCC">
            <w:pPr>
              <w:jc w:val="right"/>
              <w:rPr>
                <w:bCs/>
                <w:sz w:val="20"/>
                <w:szCs w:val="20"/>
              </w:rPr>
            </w:pPr>
          </w:p>
          <w:p w14:paraId="49B77952" w14:textId="77777777" w:rsidR="00556FCC" w:rsidRPr="00233FEE" w:rsidRDefault="00556FCC" w:rsidP="00556FCC">
            <w:pPr>
              <w:jc w:val="right"/>
              <w:rPr>
                <w:bCs/>
                <w:sz w:val="20"/>
                <w:szCs w:val="20"/>
              </w:rPr>
            </w:pPr>
            <w:r w:rsidRPr="00233FEE">
              <w:rPr>
                <w:bCs/>
                <w:sz w:val="20"/>
                <w:szCs w:val="20"/>
              </w:rPr>
              <w:t>0</w:t>
            </w:r>
          </w:p>
        </w:tc>
        <w:tc>
          <w:tcPr>
            <w:tcW w:w="1191" w:type="dxa"/>
            <w:tcBorders>
              <w:top w:val="nil"/>
              <w:left w:val="single" w:sz="4" w:space="0" w:color="auto"/>
              <w:bottom w:val="nil"/>
              <w:right w:val="single" w:sz="4" w:space="0" w:color="auto"/>
            </w:tcBorders>
            <w:vAlign w:val="center"/>
          </w:tcPr>
          <w:p w14:paraId="1EB62824" w14:textId="77777777" w:rsidR="00556FCC" w:rsidRPr="00233FEE" w:rsidRDefault="00556FCC" w:rsidP="00556FCC">
            <w:pPr>
              <w:rPr>
                <w:b/>
                <w:bCs/>
                <w:i/>
                <w:sz w:val="20"/>
                <w:szCs w:val="20"/>
              </w:rPr>
            </w:pPr>
            <w:r w:rsidRPr="00233FEE">
              <w:rPr>
                <w:bCs/>
                <w:sz w:val="20"/>
                <w:szCs w:val="20"/>
              </w:rPr>
              <w:t xml:space="preserve">  </w:t>
            </w:r>
            <w:r w:rsidRPr="00233FEE">
              <w:rPr>
                <w:b/>
                <w:bCs/>
                <w:i/>
                <w:sz w:val="20"/>
                <w:szCs w:val="20"/>
              </w:rPr>
              <w:t>14 000 000</w:t>
            </w:r>
          </w:p>
          <w:p w14:paraId="4D2EAF64" w14:textId="77777777" w:rsidR="00556FCC" w:rsidRPr="00233FEE" w:rsidRDefault="00556FCC" w:rsidP="00556FCC">
            <w:pPr>
              <w:rPr>
                <w:bCs/>
                <w:sz w:val="20"/>
                <w:szCs w:val="20"/>
              </w:rPr>
            </w:pPr>
          </w:p>
          <w:p w14:paraId="130B5FA8" w14:textId="77777777" w:rsidR="00556FCC" w:rsidRPr="00233FEE" w:rsidRDefault="00556FCC" w:rsidP="00556FCC">
            <w:pPr>
              <w:rPr>
                <w:bCs/>
                <w:sz w:val="20"/>
                <w:szCs w:val="20"/>
              </w:rPr>
            </w:pPr>
            <w:r w:rsidRPr="00233FEE">
              <w:rPr>
                <w:bCs/>
                <w:sz w:val="20"/>
                <w:szCs w:val="20"/>
              </w:rPr>
              <w:t xml:space="preserve">  14 000 000</w:t>
            </w:r>
          </w:p>
        </w:tc>
        <w:tc>
          <w:tcPr>
            <w:tcW w:w="1191" w:type="dxa"/>
            <w:tcBorders>
              <w:top w:val="nil"/>
              <w:left w:val="single" w:sz="4" w:space="0" w:color="auto"/>
              <w:bottom w:val="nil"/>
              <w:right w:val="single" w:sz="4" w:space="0" w:color="auto"/>
            </w:tcBorders>
            <w:vAlign w:val="center"/>
          </w:tcPr>
          <w:p w14:paraId="366158B8" w14:textId="77777777" w:rsidR="00556FCC" w:rsidRPr="00233FEE" w:rsidRDefault="00556FCC" w:rsidP="00556FCC">
            <w:pPr>
              <w:rPr>
                <w:b/>
                <w:bCs/>
                <w:i/>
                <w:sz w:val="20"/>
                <w:szCs w:val="20"/>
              </w:rPr>
            </w:pPr>
            <w:r w:rsidRPr="00233FEE">
              <w:rPr>
                <w:bCs/>
                <w:sz w:val="20"/>
                <w:szCs w:val="20"/>
              </w:rPr>
              <w:t xml:space="preserve">  </w:t>
            </w:r>
            <w:r w:rsidRPr="00233FEE">
              <w:rPr>
                <w:b/>
                <w:bCs/>
                <w:i/>
                <w:sz w:val="20"/>
                <w:szCs w:val="20"/>
              </w:rPr>
              <w:t>17 232 556</w:t>
            </w:r>
          </w:p>
          <w:p w14:paraId="4F955685" w14:textId="77777777" w:rsidR="00556FCC" w:rsidRPr="00233FEE" w:rsidRDefault="00556FCC" w:rsidP="00556FCC">
            <w:pPr>
              <w:rPr>
                <w:bCs/>
                <w:sz w:val="20"/>
                <w:szCs w:val="20"/>
              </w:rPr>
            </w:pPr>
          </w:p>
          <w:p w14:paraId="2F2517B1" w14:textId="77777777" w:rsidR="00556FCC" w:rsidRPr="00233FEE" w:rsidRDefault="00556FCC" w:rsidP="00556FCC">
            <w:pPr>
              <w:rPr>
                <w:bCs/>
                <w:sz w:val="20"/>
                <w:szCs w:val="20"/>
              </w:rPr>
            </w:pPr>
            <w:r w:rsidRPr="00233FEE">
              <w:rPr>
                <w:bCs/>
                <w:sz w:val="20"/>
                <w:szCs w:val="20"/>
              </w:rPr>
              <w:t xml:space="preserve">  17 232 556</w:t>
            </w:r>
          </w:p>
        </w:tc>
        <w:tc>
          <w:tcPr>
            <w:tcW w:w="1191" w:type="dxa"/>
            <w:tcBorders>
              <w:top w:val="nil"/>
              <w:left w:val="single" w:sz="4" w:space="0" w:color="auto"/>
              <w:bottom w:val="nil"/>
              <w:right w:val="single" w:sz="4" w:space="0" w:color="auto"/>
            </w:tcBorders>
            <w:vAlign w:val="center"/>
          </w:tcPr>
          <w:p w14:paraId="3D0A9FF1" w14:textId="77777777" w:rsidR="00556FCC" w:rsidRPr="004B11AC" w:rsidRDefault="00556FCC" w:rsidP="00556FCC">
            <w:pPr>
              <w:rPr>
                <w:b/>
                <w:bCs/>
                <w:i/>
                <w:color w:val="FF0000"/>
                <w:sz w:val="20"/>
                <w:szCs w:val="20"/>
              </w:rPr>
            </w:pPr>
            <w:r w:rsidRPr="004B11AC">
              <w:rPr>
                <w:bCs/>
                <w:color w:val="FF0000"/>
                <w:sz w:val="20"/>
                <w:szCs w:val="20"/>
              </w:rPr>
              <w:t xml:space="preserve">  </w:t>
            </w:r>
            <w:r w:rsidRPr="00233FEE">
              <w:rPr>
                <w:b/>
                <w:bCs/>
                <w:i/>
                <w:sz w:val="20"/>
                <w:szCs w:val="20"/>
              </w:rPr>
              <w:t>26 980 000</w:t>
            </w:r>
          </w:p>
          <w:p w14:paraId="5BA6B4B2" w14:textId="77777777" w:rsidR="00556FCC" w:rsidRPr="004B11AC" w:rsidRDefault="00556FCC" w:rsidP="00556FCC">
            <w:pPr>
              <w:rPr>
                <w:bCs/>
                <w:color w:val="FF0000"/>
                <w:sz w:val="20"/>
                <w:szCs w:val="20"/>
              </w:rPr>
            </w:pPr>
          </w:p>
          <w:p w14:paraId="256EE9D5" w14:textId="77777777" w:rsidR="00556FCC" w:rsidRPr="004B11AC" w:rsidRDefault="00556FCC" w:rsidP="00556FCC">
            <w:pPr>
              <w:rPr>
                <w:bCs/>
                <w:color w:val="FF0000"/>
                <w:sz w:val="20"/>
                <w:szCs w:val="20"/>
              </w:rPr>
            </w:pPr>
            <w:r w:rsidRPr="00233FEE">
              <w:rPr>
                <w:bCs/>
                <w:sz w:val="20"/>
                <w:szCs w:val="20"/>
              </w:rPr>
              <w:t xml:space="preserve">  26 980 000</w:t>
            </w:r>
          </w:p>
        </w:tc>
      </w:tr>
      <w:tr w:rsidR="00556FCC" w:rsidRPr="00233FEE" w14:paraId="4855EC20" w14:textId="77777777" w:rsidTr="00556FCC">
        <w:trPr>
          <w:jc w:val="center"/>
        </w:trPr>
        <w:tc>
          <w:tcPr>
            <w:tcW w:w="3381" w:type="dxa"/>
            <w:tcBorders>
              <w:top w:val="nil"/>
              <w:left w:val="single" w:sz="4" w:space="0" w:color="auto"/>
              <w:bottom w:val="nil"/>
              <w:right w:val="single" w:sz="4" w:space="0" w:color="auto"/>
            </w:tcBorders>
            <w:vAlign w:val="center"/>
          </w:tcPr>
          <w:p w14:paraId="37D13025" w14:textId="77777777" w:rsidR="00556FCC" w:rsidRPr="00233FEE" w:rsidRDefault="00556FCC" w:rsidP="00556FCC">
            <w:pPr>
              <w:rPr>
                <w:sz w:val="20"/>
                <w:szCs w:val="20"/>
              </w:rPr>
            </w:pPr>
          </w:p>
          <w:p w14:paraId="6F30C64B" w14:textId="77777777" w:rsidR="00556FCC" w:rsidRPr="00233FEE" w:rsidRDefault="00556FCC" w:rsidP="00556FCC">
            <w:pPr>
              <w:rPr>
                <w:b/>
                <w:i/>
                <w:sz w:val="20"/>
                <w:szCs w:val="20"/>
              </w:rPr>
            </w:pPr>
            <w:r w:rsidRPr="00233FEE">
              <w:rPr>
                <w:b/>
                <w:i/>
                <w:sz w:val="20"/>
                <w:szCs w:val="20"/>
              </w:rPr>
              <w:t>Operační program Doprava 2007 – 2013</w:t>
            </w:r>
          </w:p>
        </w:tc>
        <w:tc>
          <w:tcPr>
            <w:tcW w:w="1191" w:type="dxa"/>
            <w:tcBorders>
              <w:top w:val="nil"/>
              <w:left w:val="single" w:sz="4" w:space="0" w:color="auto"/>
              <w:bottom w:val="nil"/>
              <w:right w:val="single" w:sz="4" w:space="0" w:color="auto"/>
            </w:tcBorders>
            <w:vAlign w:val="center"/>
          </w:tcPr>
          <w:p w14:paraId="3D3416B2" w14:textId="77777777" w:rsidR="00556FCC" w:rsidRPr="00233FEE" w:rsidRDefault="00556FCC" w:rsidP="00556FCC">
            <w:pPr>
              <w:jc w:val="right"/>
              <w:rPr>
                <w:b/>
                <w:bCs/>
                <w:i/>
                <w:sz w:val="20"/>
                <w:szCs w:val="20"/>
              </w:rPr>
            </w:pPr>
            <w:r w:rsidRPr="00233FEE">
              <w:rPr>
                <w:b/>
                <w:bCs/>
                <w:i/>
                <w:sz w:val="20"/>
                <w:szCs w:val="20"/>
              </w:rPr>
              <w:t>32 241 213</w:t>
            </w:r>
          </w:p>
        </w:tc>
        <w:tc>
          <w:tcPr>
            <w:tcW w:w="1191" w:type="dxa"/>
            <w:tcBorders>
              <w:top w:val="nil"/>
              <w:left w:val="single" w:sz="4" w:space="0" w:color="auto"/>
              <w:bottom w:val="nil"/>
              <w:right w:val="single" w:sz="4" w:space="0" w:color="auto"/>
            </w:tcBorders>
            <w:vAlign w:val="center"/>
          </w:tcPr>
          <w:p w14:paraId="1257706D" w14:textId="77777777" w:rsidR="00556FCC" w:rsidRPr="00233FEE" w:rsidRDefault="00556FCC" w:rsidP="00556FCC">
            <w:pPr>
              <w:jc w:val="right"/>
              <w:rPr>
                <w:b/>
                <w:bCs/>
                <w:i/>
                <w:sz w:val="20"/>
                <w:szCs w:val="20"/>
              </w:rPr>
            </w:pPr>
            <w:r w:rsidRPr="00233FEE">
              <w:rPr>
                <w:b/>
                <w:bCs/>
                <w:i/>
                <w:sz w:val="20"/>
                <w:szCs w:val="20"/>
              </w:rPr>
              <w:t>376 520</w:t>
            </w:r>
          </w:p>
        </w:tc>
        <w:tc>
          <w:tcPr>
            <w:tcW w:w="1191" w:type="dxa"/>
            <w:tcBorders>
              <w:top w:val="nil"/>
              <w:left w:val="single" w:sz="4" w:space="0" w:color="auto"/>
              <w:bottom w:val="nil"/>
              <w:right w:val="single" w:sz="4" w:space="0" w:color="auto"/>
            </w:tcBorders>
            <w:vAlign w:val="center"/>
          </w:tcPr>
          <w:p w14:paraId="3F80BD32" w14:textId="77777777" w:rsidR="00556FCC" w:rsidRPr="00233FEE" w:rsidRDefault="00556FCC" w:rsidP="00556FCC">
            <w:pPr>
              <w:jc w:val="right"/>
              <w:rPr>
                <w:b/>
                <w:bCs/>
                <w:i/>
                <w:sz w:val="20"/>
                <w:szCs w:val="20"/>
              </w:rPr>
            </w:pPr>
            <w:r w:rsidRPr="00233FEE">
              <w:rPr>
                <w:b/>
                <w:bCs/>
                <w:i/>
                <w:sz w:val="20"/>
                <w:szCs w:val="20"/>
              </w:rPr>
              <w:t>0</w:t>
            </w:r>
          </w:p>
        </w:tc>
        <w:tc>
          <w:tcPr>
            <w:tcW w:w="1191" w:type="dxa"/>
            <w:tcBorders>
              <w:top w:val="nil"/>
              <w:left w:val="single" w:sz="4" w:space="0" w:color="auto"/>
              <w:bottom w:val="nil"/>
              <w:right w:val="single" w:sz="4" w:space="0" w:color="auto"/>
            </w:tcBorders>
            <w:vAlign w:val="center"/>
          </w:tcPr>
          <w:p w14:paraId="48E6F876" w14:textId="77777777" w:rsidR="00556FCC" w:rsidRPr="00233FEE" w:rsidRDefault="00556FCC" w:rsidP="00556FCC">
            <w:pPr>
              <w:jc w:val="right"/>
              <w:rPr>
                <w:b/>
                <w:bCs/>
                <w:i/>
                <w:sz w:val="20"/>
                <w:szCs w:val="20"/>
              </w:rPr>
            </w:pPr>
            <w:r w:rsidRPr="00233FEE">
              <w:rPr>
                <w:b/>
                <w:bCs/>
                <w:i/>
                <w:sz w:val="20"/>
                <w:szCs w:val="20"/>
              </w:rPr>
              <w:t>0</w:t>
            </w:r>
          </w:p>
        </w:tc>
        <w:tc>
          <w:tcPr>
            <w:tcW w:w="1191" w:type="dxa"/>
            <w:tcBorders>
              <w:top w:val="nil"/>
              <w:left w:val="single" w:sz="4" w:space="0" w:color="auto"/>
              <w:bottom w:val="nil"/>
              <w:right w:val="single" w:sz="4" w:space="0" w:color="auto"/>
            </w:tcBorders>
            <w:vAlign w:val="center"/>
          </w:tcPr>
          <w:p w14:paraId="5FD6A3C7" w14:textId="77777777" w:rsidR="00556FCC" w:rsidRPr="00233FEE" w:rsidRDefault="00556FCC" w:rsidP="00556FCC">
            <w:pPr>
              <w:jc w:val="right"/>
              <w:rPr>
                <w:b/>
                <w:bCs/>
                <w:i/>
                <w:sz w:val="20"/>
                <w:szCs w:val="20"/>
              </w:rPr>
            </w:pPr>
            <w:r w:rsidRPr="00233FEE">
              <w:rPr>
                <w:b/>
                <w:bCs/>
                <w:i/>
                <w:sz w:val="20"/>
                <w:szCs w:val="20"/>
              </w:rPr>
              <w:t>0</w:t>
            </w:r>
          </w:p>
        </w:tc>
      </w:tr>
      <w:tr w:rsidR="00556FCC" w:rsidRPr="00233FEE" w14:paraId="7C721BB5" w14:textId="77777777" w:rsidTr="00556FCC">
        <w:trPr>
          <w:trHeight w:val="364"/>
          <w:jc w:val="center"/>
        </w:trPr>
        <w:tc>
          <w:tcPr>
            <w:tcW w:w="3381" w:type="dxa"/>
            <w:tcBorders>
              <w:top w:val="nil"/>
              <w:left w:val="single" w:sz="4" w:space="0" w:color="auto"/>
              <w:bottom w:val="nil"/>
              <w:right w:val="single" w:sz="4" w:space="0" w:color="auto"/>
            </w:tcBorders>
            <w:vAlign w:val="center"/>
          </w:tcPr>
          <w:p w14:paraId="23505182" w14:textId="77777777" w:rsidR="00556FCC" w:rsidRPr="00233FEE" w:rsidRDefault="00556FCC" w:rsidP="00556FCC">
            <w:pPr>
              <w:rPr>
                <w:sz w:val="20"/>
                <w:szCs w:val="20"/>
              </w:rPr>
            </w:pPr>
            <w:r w:rsidRPr="00233FEE">
              <w:rPr>
                <w:i/>
                <w:sz w:val="20"/>
                <w:szCs w:val="20"/>
              </w:rPr>
              <w:t>z toho:  program 127 01</w:t>
            </w:r>
          </w:p>
        </w:tc>
        <w:tc>
          <w:tcPr>
            <w:tcW w:w="1191" w:type="dxa"/>
            <w:tcBorders>
              <w:top w:val="nil"/>
              <w:left w:val="single" w:sz="4" w:space="0" w:color="auto"/>
              <w:bottom w:val="nil"/>
              <w:right w:val="single" w:sz="4" w:space="0" w:color="auto"/>
            </w:tcBorders>
            <w:vAlign w:val="center"/>
          </w:tcPr>
          <w:p w14:paraId="5B539F73" w14:textId="77777777" w:rsidR="00556FCC" w:rsidRPr="00233FEE" w:rsidRDefault="00556FCC" w:rsidP="00556FCC">
            <w:pPr>
              <w:jc w:val="right"/>
              <w:rPr>
                <w:bCs/>
                <w:i/>
                <w:sz w:val="20"/>
                <w:szCs w:val="20"/>
              </w:rPr>
            </w:pPr>
            <w:r w:rsidRPr="00233FEE">
              <w:rPr>
                <w:bCs/>
                <w:i/>
                <w:sz w:val="20"/>
                <w:szCs w:val="20"/>
              </w:rPr>
              <w:t>336</w:t>
            </w:r>
          </w:p>
        </w:tc>
        <w:tc>
          <w:tcPr>
            <w:tcW w:w="1191" w:type="dxa"/>
            <w:tcBorders>
              <w:top w:val="nil"/>
              <w:left w:val="single" w:sz="4" w:space="0" w:color="auto"/>
              <w:bottom w:val="nil"/>
              <w:right w:val="single" w:sz="4" w:space="0" w:color="auto"/>
            </w:tcBorders>
            <w:vAlign w:val="center"/>
          </w:tcPr>
          <w:p w14:paraId="3218D399" w14:textId="77777777" w:rsidR="00556FCC" w:rsidRPr="00233FEE" w:rsidRDefault="00556FCC" w:rsidP="00556FCC">
            <w:pPr>
              <w:jc w:val="right"/>
              <w:rPr>
                <w:bCs/>
                <w:i/>
                <w:sz w:val="20"/>
                <w:szCs w:val="20"/>
              </w:rPr>
            </w:pPr>
            <w:r w:rsidRPr="00233FEE">
              <w:rPr>
                <w:bCs/>
                <w:i/>
                <w:sz w:val="20"/>
                <w:szCs w:val="20"/>
              </w:rPr>
              <w:t>3 520</w:t>
            </w:r>
          </w:p>
        </w:tc>
        <w:tc>
          <w:tcPr>
            <w:tcW w:w="1191" w:type="dxa"/>
            <w:tcBorders>
              <w:top w:val="nil"/>
              <w:left w:val="single" w:sz="4" w:space="0" w:color="auto"/>
              <w:bottom w:val="nil"/>
              <w:right w:val="single" w:sz="4" w:space="0" w:color="auto"/>
            </w:tcBorders>
            <w:vAlign w:val="center"/>
          </w:tcPr>
          <w:p w14:paraId="7D7A5FBB" w14:textId="77777777" w:rsidR="00556FCC" w:rsidRPr="00233FEE" w:rsidRDefault="00556FCC" w:rsidP="00556FCC">
            <w:pPr>
              <w:jc w:val="right"/>
              <w:rPr>
                <w:bCs/>
                <w:i/>
                <w:sz w:val="20"/>
                <w:szCs w:val="20"/>
              </w:rPr>
            </w:pPr>
            <w:r w:rsidRPr="00233FEE">
              <w:rPr>
                <w:bCs/>
                <w:i/>
                <w:sz w:val="20"/>
                <w:szCs w:val="20"/>
              </w:rPr>
              <w:t>0</w:t>
            </w:r>
          </w:p>
        </w:tc>
        <w:tc>
          <w:tcPr>
            <w:tcW w:w="1191" w:type="dxa"/>
            <w:tcBorders>
              <w:top w:val="nil"/>
              <w:left w:val="single" w:sz="4" w:space="0" w:color="auto"/>
              <w:bottom w:val="nil"/>
              <w:right w:val="single" w:sz="4" w:space="0" w:color="auto"/>
            </w:tcBorders>
            <w:vAlign w:val="center"/>
          </w:tcPr>
          <w:p w14:paraId="5AB79041" w14:textId="77777777" w:rsidR="00556FCC" w:rsidRPr="00233FEE" w:rsidRDefault="00556FCC" w:rsidP="00556FCC">
            <w:pPr>
              <w:jc w:val="right"/>
              <w:rPr>
                <w:bCs/>
                <w:i/>
                <w:sz w:val="20"/>
                <w:szCs w:val="20"/>
              </w:rPr>
            </w:pPr>
            <w:r w:rsidRPr="00233FEE">
              <w:rPr>
                <w:bCs/>
                <w:i/>
                <w:sz w:val="20"/>
                <w:szCs w:val="20"/>
              </w:rPr>
              <w:t>0</w:t>
            </w:r>
          </w:p>
        </w:tc>
        <w:tc>
          <w:tcPr>
            <w:tcW w:w="1191" w:type="dxa"/>
            <w:tcBorders>
              <w:top w:val="nil"/>
              <w:left w:val="single" w:sz="4" w:space="0" w:color="auto"/>
              <w:bottom w:val="nil"/>
              <w:right w:val="single" w:sz="4" w:space="0" w:color="auto"/>
            </w:tcBorders>
            <w:vAlign w:val="center"/>
          </w:tcPr>
          <w:p w14:paraId="4F25E940" w14:textId="77777777" w:rsidR="00556FCC" w:rsidRPr="00233FEE" w:rsidRDefault="00556FCC" w:rsidP="00556FCC">
            <w:pPr>
              <w:jc w:val="right"/>
              <w:rPr>
                <w:bCs/>
                <w:i/>
                <w:sz w:val="20"/>
                <w:szCs w:val="20"/>
              </w:rPr>
            </w:pPr>
            <w:r w:rsidRPr="00233FEE">
              <w:rPr>
                <w:bCs/>
                <w:i/>
                <w:sz w:val="20"/>
                <w:szCs w:val="20"/>
              </w:rPr>
              <w:t>0</w:t>
            </w:r>
          </w:p>
        </w:tc>
      </w:tr>
      <w:tr w:rsidR="00556FCC" w:rsidRPr="004B11AC" w14:paraId="1BE36763" w14:textId="77777777" w:rsidTr="00556FCC">
        <w:trPr>
          <w:jc w:val="center"/>
        </w:trPr>
        <w:tc>
          <w:tcPr>
            <w:tcW w:w="3381" w:type="dxa"/>
            <w:tcBorders>
              <w:top w:val="nil"/>
              <w:left w:val="single" w:sz="4" w:space="0" w:color="auto"/>
              <w:bottom w:val="nil"/>
              <w:right w:val="single" w:sz="4" w:space="0" w:color="auto"/>
            </w:tcBorders>
            <w:vAlign w:val="center"/>
          </w:tcPr>
          <w:p w14:paraId="409DD854" w14:textId="77777777" w:rsidR="00556FCC" w:rsidRPr="00233FEE" w:rsidRDefault="00556FCC" w:rsidP="00556FCC">
            <w:pPr>
              <w:spacing w:before="120"/>
              <w:rPr>
                <w:b/>
                <w:i/>
                <w:sz w:val="20"/>
                <w:szCs w:val="20"/>
              </w:rPr>
            </w:pPr>
            <w:r w:rsidRPr="00233FEE">
              <w:rPr>
                <w:b/>
                <w:i/>
                <w:sz w:val="20"/>
                <w:szCs w:val="20"/>
              </w:rPr>
              <w:t xml:space="preserve">Komunitární programy EU  </w:t>
            </w:r>
          </w:p>
          <w:p w14:paraId="0280E5D0" w14:textId="77777777" w:rsidR="00556FCC" w:rsidRPr="00233FEE" w:rsidRDefault="00556FCC" w:rsidP="00556FCC">
            <w:pPr>
              <w:spacing w:before="120"/>
              <w:rPr>
                <w:sz w:val="20"/>
                <w:szCs w:val="20"/>
              </w:rPr>
            </w:pPr>
            <w:r w:rsidRPr="00233FEE">
              <w:rPr>
                <w:sz w:val="20"/>
                <w:szCs w:val="20"/>
              </w:rPr>
              <w:t>v tom program 127 77</w:t>
            </w:r>
          </w:p>
        </w:tc>
        <w:tc>
          <w:tcPr>
            <w:tcW w:w="1191" w:type="dxa"/>
            <w:tcBorders>
              <w:top w:val="nil"/>
              <w:left w:val="single" w:sz="4" w:space="0" w:color="auto"/>
              <w:bottom w:val="nil"/>
              <w:right w:val="single" w:sz="4" w:space="0" w:color="auto"/>
            </w:tcBorders>
            <w:vAlign w:val="center"/>
          </w:tcPr>
          <w:p w14:paraId="25FD0121" w14:textId="77777777" w:rsidR="00556FCC" w:rsidRPr="00233FEE" w:rsidRDefault="00556FCC" w:rsidP="00556FCC">
            <w:pPr>
              <w:spacing w:before="120"/>
              <w:jc w:val="right"/>
              <w:rPr>
                <w:b/>
                <w:bCs/>
                <w:i/>
                <w:sz w:val="20"/>
                <w:szCs w:val="20"/>
              </w:rPr>
            </w:pPr>
            <w:r w:rsidRPr="00233FEE">
              <w:rPr>
                <w:b/>
                <w:bCs/>
                <w:i/>
                <w:sz w:val="20"/>
                <w:szCs w:val="20"/>
              </w:rPr>
              <w:t>323</w:t>
            </w:r>
          </w:p>
          <w:p w14:paraId="76211B0A" w14:textId="77777777" w:rsidR="00556FCC" w:rsidRPr="00233FEE" w:rsidRDefault="00556FCC" w:rsidP="00556FCC">
            <w:pPr>
              <w:spacing w:before="120"/>
              <w:jc w:val="right"/>
              <w:rPr>
                <w:bCs/>
                <w:sz w:val="20"/>
                <w:szCs w:val="20"/>
              </w:rPr>
            </w:pPr>
            <w:r w:rsidRPr="00233FEE">
              <w:rPr>
                <w:bCs/>
                <w:sz w:val="20"/>
                <w:szCs w:val="20"/>
              </w:rPr>
              <w:t>0</w:t>
            </w:r>
          </w:p>
        </w:tc>
        <w:tc>
          <w:tcPr>
            <w:tcW w:w="1191" w:type="dxa"/>
            <w:tcBorders>
              <w:top w:val="nil"/>
              <w:left w:val="single" w:sz="4" w:space="0" w:color="auto"/>
              <w:bottom w:val="nil"/>
              <w:right w:val="single" w:sz="4" w:space="0" w:color="auto"/>
            </w:tcBorders>
            <w:vAlign w:val="center"/>
          </w:tcPr>
          <w:p w14:paraId="6F174D7C" w14:textId="77777777" w:rsidR="00556FCC" w:rsidRPr="00233FEE" w:rsidRDefault="00556FCC" w:rsidP="00556FCC">
            <w:pPr>
              <w:spacing w:before="120"/>
              <w:jc w:val="right"/>
              <w:rPr>
                <w:b/>
                <w:bCs/>
                <w:i/>
                <w:sz w:val="20"/>
                <w:szCs w:val="20"/>
              </w:rPr>
            </w:pPr>
            <w:r w:rsidRPr="00233FEE">
              <w:rPr>
                <w:b/>
                <w:bCs/>
                <w:i/>
                <w:sz w:val="20"/>
                <w:szCs w:val="20"/>
              </w:rPr>
              <w:t>106 420</w:t>
            </w:r>
          </w:p>
          <w:p w14:paraId="6C047BD1" w14:textId="77777777" w:rsidR="00556FCC" w:rsidRPr="00233FEE" w:rsidRDefault="00556FCC" w:rsidP="00556FCC">
            <w:pPr>
              <w:spacing w:before="120"/>
              <w:jc w:val="right"/>
              <w:rPr>
                <w:bCs/>
                <w:sz w:val="20"/>
                <w:szCs w:val="20"/>
              </w:rPr>
            </w:pPr>
            <w:r w:rsidRPr="00233FEE">
              <w:rPr>
                <w:bCs/>
                <w:sz w:val="20"/>
                <w:szCs w:val="20"/>
              </w:rPr>
              <w:t>0</w:t>
            </w:r>
          </w:p>
        </w:tc>
        <w:tc>
          <w:tcPr>
            <w:tcW w:w="1191" w:type="dxa"/>
            <w:tcBorders>
              <w:top w:val="nil"/>
              <w:left w:val="single" w:sz="4" w:space="0" w:color="auto"/>
              <w:bottom w:val="nil"/>
              <w:right w:val="single" w:sz="4" w:space="0" w:color="auto"/>
            </w:tcBorders>
            <w:vAlign w:val="center"/>
          </w:tcPr>
          <w:p w14:paraId="030EDED1" w14:textId="77777777" w:rsidR="00556FCC" w:rsidRPr="00233FEE" w:rsidRDefault="00556FCC" w:rsidP="00556FCC">
            <w:pPr>
              <w:spacing w:before="120"/>
              <w:jc w:val="right"/>
              <w:rPr>
                <w:b/>
                <w:bCs/>
                <w:i/>
                <w:sz w:val="20"/>
                <w:szCs w:val="20"/>
              </w:rPr>
            </w:pPr>
            <w:r w:rsidRPr="00233FEE">
              <w:rPr>
                <w:b/>
                <w:bCs/>
                <w:i/>
                <w:sz w:val="20"/>
                <w:szCs w:val="20"/>
              </w:rPr>
              <w:t>1 084 965</w:t>
            </w:r>
          </w:p>
          <w:p w14:paraId="6C869BF7" w14:textId="77777777" w:rsidR="00556FCC" w:rsidRPr="00233FEE" w:rsidRDefault="00556FCC" w:rsidP="00556FCC">
            <w:pPr>
              <w:spacing w:before="120"/>
              <w:jc w:val="right"/>
              <w:rPr>
                <w:bCs/>
                <w:sz w:val="20"/>
                <w:szCs w:val="20"/>
              </w:rPr>
            </w:pPr>
            <w:r w:rsidRPr="00233FEE">
              <w:rPr>
                <w:bCs/>
                <w:sz w:val="20"/>
                <w:szCs w:val="20"/>
              </w:rPr>
              <w:t>1 084 965</w:t>
            </w:r>
          </w:p>
        </w:tc>
        <w:tc>
          <w:tcPr>
            <w:tcW w:w="1191" w:type="dxa"/>
            <w:tcBorders>
              <w:top w:val="nil"/>
              <w:left w:val="single" w:sz="4" w:space="0" w:color="auto"/>
              <w:bottom w:val="nil"/>
              <w:right w:val="single" w:sz="4" w:space="0" w:color="auto"/>
            </w:tcBorders>
            <w:vAlign w:val="center"/>
          </w:tcPr>
          <w:p w14:paraId="031A3ABD" w14:textId="77777777" w:rsidR="00556FCC" w:rsidRPr="00233FEE" w:rsidRDefault="00556FCC" w:rsidP="00556FCC">
            <w:pPr>
              <w:spacing w:before="120"/>
              <w:jc w:val="right"/>
              <w:rPr>
                <w:b/>
                <w:bCs/>
                <w:i/>
                <w:sz w:val="20"/>
                <w:szCs w:val="20"/>
              </w:rPr>
            </w:pPr>
            <w:r w:rsidRPr="00233FEE">
              <w:rPr>
                <w:b/>
                <w:bCs/>
                <w:i/>
                <w:sz w:val="20"/>
                <w:szCs w:val="20"/>
              </w:rPr>
              <w:t>2 597 887</w:t>
            </w:r>
          </w:p>
          <w:p w14:paraId="204C0D59" w14:textId="77777777" w:rsidR="00556FCC" w:rsidRPr="00233FEE" w:rsidRDefault="00556FCC" w:rsidP="00556FCC">
            <w:pPr>
              <w:spacing w:before="120"/>
              <w:jc w:val="right"/>
              <w:rPr>
                <w:bCs/>
                <w:sz w:val="20"/>
                <w:szCs w:val="20"/>
              </w:rPr>
            </w:pPr>
            <w:r w:rsidRPr="00233FEE">
              <w:rPr>
                <w:bCs/>
                <w:sz w:val="20"/>
                <w:szCs w:val="20"/>
              </w:rPr>
              <w:t>2 597 887</w:t>
            </w:r>
          </w:p>
        </w:tc>
        <w:tc>
          <w:tcPr>
            <w:tcW w:w="1191" w:type="dxa"/>
            <w:tcBorders>
              <w:top w:val="nil"/>
              <w:left w:val="single" w:sz="4" w:space="0" w:color="auto"/>
              <w:bottom w:val="nil"/>
              <w:right w:val="single" w:sz="4" w:space="0" w:color="auto"/>
            </w:tcBorders>
            <w:vAlign w:val="center"/>
          </w:tcPr>
          <w:p w14:paraId="20A8DB04" w14:textId="77777777" w:rsidR="00556FCC" w:rsidRPr="007C29D9" w:rsidRDefault="00556FCC" w:rsidP="00556FCC">
            <w:pPr>
              <w:spacing w:before="120"/>
              <w:jc w:val="right"/>
              <w:rPr>
                <w:b/>
                <w:bCs/>
                <w:i/>
                <w:sz w:val="20"/>
                <w:szCs w:val="20"/>
              </w:rPr>
            </w:pPr>
            <w:r w:rsidRPr="007C29D9">
              <w:rPr>
                <w:b/>
                <w:bCs/>
                <w:i/>
                <w:sz w:val="20"/>
                <w:szCs w:val="20"/>
              </w:rPr>
              <w:t>3 </w:t>
            </w:r>
            <w:r>
              <w:rPr>
                <w:b/>
                <w:bCs/>
                <w:i/>
                <w:sz w:val="20"/>
                <w:szCs w:val="20"/>
              </w:rPr>
              <w:t>129</w:t>
            </w:r>
            <w:r w:rsidRPr="007C29D9">
              <w:rPr>
                <w:b/>
                <w:bCs/>
                <w:i/>
                <w:sz w:val="20"/>
                <w:szCs w:val="20"/>
              </w:rPr>
              <w:t xml:space="preserve"> </w:t>
            </w:r>
            <w:r>
              <w:rPr>
                <w:b/>
                <w:bCs/>
                <w:i/>
                <w:sz w:val="20"/>
                <w:szCs w:val="20"/>
              </w:rPr>
              <w:t>181</w:t>
            </w:r>
          </w:p>
          <w:p w14:paraId="08E6DE1B" w14:textId="77777777" w:rsidR="00556FCC" w:rsidRPr="004B11AC" w:rsidRDefault="00556FCC" w:rsidP="00556FCC">
            <w:pPr>
              <w:spacing w:before="120"/>
              <w:jc w:val="right"/>
              <w:rPr>
                <w:bCs/>
                <w:color w:val="FF0000"/>
                <w:sz w:val="20"/>
                <w:szCs w:val="20"/>
              </w:rPr>
            </w:pPr>
            <w:r w:rsidRPr="007C29D9">
              <w:rPr>
                <w:bCs/>
                <w:sz w:val="20"/>
                <w:szCs w:val="20"/>
              </w:rPr>
              <w:t>3 </w:t>
            </w:r>
            <w:r>
              <w:rPr>
                <w:bCs/>
                <w:sz w:val="20"/>
                <w:szCs w:val="20"/>
              </w:rPr>
              <w:t>129</w:t>
            </w:r>
            <w:r w:rsidRPr="007C29D9">
              <w:rPr>
                <w:bCs/>
                <w:sz w:val="20"/>
                <w:szCs w:val="20"/>
              </w:rPr>
              <w:t xml:space="preserve"> </w:t>
            </w:r>
            <w:r>
              <w:rPr>
                <w:bCs/>
                <w:sz w:val="20"/>
                <w:szCs w:val="20"/>
              </w:rPr>
              <w:t>181</w:t>
            </w:r>
          </w:p>
        </w:tc>
      </w:tr>
      <w:tr w:rsidR="00556FCC" w:rsidRPr="004B11AC" w14:paraId="4F32A66D" w14:textId="77777777" w:rsidTr="00556FCC">
        <w:trPr>
          <w:jc w:val="center"/>
        </w:trPr>
        <w:tc>
          <w:tcPr>
            <w:tcW w:w="3381" w:type="dxa"/>
            <w:tcBorders>
              <w:top w:val="nil"/>
              <w:left w:val="single" w:sz="4" w:space="0" w:color="auto"/>
              <w:bottom w:val="nil"/>
              <w:right w:val="single" w:sz="4" w:space="0" w:color="auto"/>
            </w:tcBorders>
            <w:vAlign w:val="center"/>
          </w:tcPr>
          <w:p w14:paraId="7E01EF91" w14:textId="77777777" w:rsidR="00556FCC" w:rsidRPr="00233FEE" w:rsidRDefault="00556FCC" w:rsidP="00556FCC">
            <w:pPr>
              <w:rPr>
                <w:b/>
                <w:i/>
                <w:sz w:val="20"/>
                <w:szCs w:val="20"/>
              </w:rPr>
            </w:pPr>
          </w:p>
          <w:p w14:paraId="2B508D21" w14:textId="77777777" w:rsidR="00556FCC" w:rsidRPr="00233FEE" w:rsidRDefault="00556FCC" w:rsidP="00556FCC">
            <w:pPr>
              <w:rPr>
                <w:b/>
                <w:i/>
                <w:sz w:val="20"/>
                <w:szCs w:val="20"/>
              </w:rPr>
            </w:pPr>
            <w:r w:rsidRPr="00233FEE">
              <w:rPr>
                <w:b/>
                <w:i/>
                <w:sz w:val="20"/>
                <w:szCs w:val="20"/>
              </w:rPr>
              <w:t>Úvěrové prostředky EIB</w:t>
            </w:r>
          </w:p>
        </w:tc>
        <w:tc>
          <w:tcPr>
            <w:tcW w:w="1191" w:type="dxa"/>
            <w:tcBorders>
              <w:top w:val="nil"/>
              <w:left w:val="single" w:sz="4" w:space="0" w:color="auto"/>
              <w:bottom w:val="nil"/>
              <w:right w:val="single" w:sz="4" w:space="0" w:color="auto"/>
            </w:tcBorders>
            <w:vAlign w:val="center"/>
          </w:tcPr>
          <w:p w14:paraId="4C4303C7" w14:textId="77777777" w:rsidR="00556FCC" w:rsidRPr="00233FEE" w:rsidRDefault="00556FCC" w:rsidP="00556FCC">
            <w:pPr>
              <w:jc w:val="right"/>
              <w:rPr>
                <w:b/>
                <w:bCs/>
                <w:i/>
                <w:sz w:val="20"/>
                <w:szCs w:val="20"/>
              </w:rPr>
            </w:pPr>
          </w:p>
          <w:p w14:paraId="41F4CC80" w14:textId="77777777" w:rsidR="00556FCC" w:rsidRPr="00233FEE" w:rsidRDefault="00556FCC" w:rsidP="00556FCC">
            <w:pPr>
              <w:jc w:val="right"/>
              <w:rPr>
                <w:b/>
                <w:bCs/>
                <w:i/>
                <w:sz w:val="20"/>
                <w:szCs w:val="20"/>
              </w:rPr>
            </w:pPr>
            <w:r w:rsidRPr="00233FEE">
              <w:rPr>
                <w:b/>
                <w:bCs/>
                <w:i/>
                <w:sz w:val="20"/>
                <w:szCs w:val="20"/>
              </w:rPr>
              <w:t>0</w:t>
            </w:r>
          </w:p>
        </w:tc>
        <w:tc>
          <w:tcPr>
            <w:tcW w:w="1191" w:type="dxa"/>
            <w:tcBorders>
              <w:top w:val="nil"/>
              <w:left w:val="single" w:sz="4" w:space="0" w:color="auto"/>
              <w:bottom w:val="nil"/>
              <w:right w:val="single" w:sz="4" w:space="0" w:color="auto"/>
            </w:tcBorders>
            <w:vAlign w:val="center"/>
          </w:tcPr>
          <w:p w14:paraId="675610DB" w14:textId="77777777" w:rsidR="00556FCC" w:rsidRPr="00233FEE" w:rsidRDefault="00556FCC" w:rsidP="00556FCC">
            <w:pPr>
              <w:jc w:val="right"/>
              <w:rPr>
                <w:b/>
                <w:bCs/>
                <w:i/>
                <w:sz w:val="20"/>
                <w:szCs w:val="20"/>
              </w:rPr>
            </w:pPr>
          </w:p>
          <w:p w14:paraId="6BD190E6" w14:textId="77777777" w:rsidR="00556FCC" w:rsidRPr="00233FEE" w:rsidRDefault="00556FCC" w:rsidP="00556FCC">
            <w:pPr>
              <w:jc w:val="right"/>
              <w:rPr>
                <w:b/>
                <w:bCs/>
                <w:i/>
                <w:sz w:val="20"/>
                <w:szCs w:val="20"/>
              </w:rPr>
            </w:pPr>
            <w:r w:rsidRPr="00233FEE">
              <w:rPr>
                <w:b/>
                <w:bCs/>
                <w:i/>
                <w:sz w:val="20"/>
                <w:szCs w:val="20"/>
              </w:rPr>
              <w:t>0</w:t>
            </w:r>
          </w:p>
        </w:tc>
        <w:tc>
          <w:tcPr>
            <w:tcW w:w="1191" w:type="dxa"/>
            <w:tcBorders>
              <w:top w:val="nil"/>
              <w:left w:val="single" w:sz="4" w:space="0" w:color="auto"/>
              <w:bottom w:val="nil"/>
              <w:right w:val="single" w:sz="4" w:space="0" w:color="auto"/>
            </w:tcBorders>
            <w:vAlign w:val="center"/>
          </w:tcPr>
          <w:p w14:paraId="61B0C49C" w14:textId="77777777" w:rsidR="00556FCC" w:rsidRPr="00233FEE" w:rsidRDefault="00556FCC" w:rsidP="00556FCC">
            <w:pPr>
              <w:jc w:val="right"/>
              <w:rPr>
                <w:b/>
                <w:bCs/>
                <w:i/>
                <w:sz w:val="20"/>
                <w:szCs w:val="20"/>
              </w:rPr>
            </w:pPr>
          </w:p>
          <w:p w14:paraId="557374A7" w14:textId="77777777" w:rsidR="00556FCC" w:rsidRPr="00233FEE" w:rsidRDefault="00556FCC" w:rsidP="00556FCC">
            <w:pPr>
              <w:jc w:val="right"/>
              <w:rPr>
                <w:b/>
                <w:bCs/>
                <w:i/>
                <w:sz w:val="20"/>
                <w:szCs w:val="20"/>
              </w:rPr>
            </w:pPr>
            <w:r w:rsidRPr="00233FEE">
              <w:rPr>
                <w:b/>
                <w:bCs/>
                <w:i/>
                <w:sz w:val="20"/>
                <w:szCs w:val="20"/>
              </w:rPr>
              <w:t>0</w:t>
            </w:r>
          </w:p>
        </w:tc>
        <w:tc>
          <w:tcPr>
            <w:tcW w:w="1191" w:type="dxa"/>
            <w:tcBorders>
              <w:top w:val="nil"/>
              <w:left w:val="single" w:sz="4" w:space="0" w:color="auto"/>
              <w:bottom w:val="nil"/>
              <w:right w:val="single" w:sz="4" w:space="0" w:color="auto"/>
            </w:tcBorders>
            <w:vAlign w:val="center"/>
          </w:tcPr>
          <w:p w14:paraId="494F1EA8" w14:textId="77777777" w:rsidR="00556FCC" w:rsidRPr="00233FEE" w:rsidRDefault="00556FCC" w:rsidP="00556FCC">
            <w:pPr>
              <w:jc w:val="right"/>
              <w:rPr>
                <w:b/>
                <w:bCs/>
                <w:i/>
                <w:sz w:val="20"/>
                <w:szCs w:val="20"/>
              </w:rPr>
            </w:pPr>
          </w:p>
          <w:p w14:paraId="7B57F3C3" w14:textId="77777777" w:rsidR="00556FCC" w:rsidRPr="00233FEE" w:rsidRDefault="00556FCC" w:rsidP="00556FCC">
            <w:pPr>
              <w:jc w:val="right"/>
              <w:rPr>
                <w:b/>
                <w:bCs/>
                <w:i/>
                <w:sz w:val="20"/>
                <w:szCs w:val="20"/>
              </w:rPr>
            </w:pPr>
            <w:r w:rsidRPr="00233FEE">
              <w:rPr>
                <w:b/>
                <w:bCs/>
                <w:i/>
                <w:sz w:val="20"/>
                <w:szCs w:val="20"/>
              </w:rPr>
              <w:t>0</w:t>
            </w:r>
          </w:p>
        </w:tc>
        <w:tc>
          <w:tcPr>
            <w:tcW w:w="1191" w:type="dxa"/>
            <w:tcBorders>
              <w:top w:val="nil"/>
              <w:left w:val="single" w:sz="4" w:space="0" w:color="auto"/>
              <w:bottom w:val="nil"/>
              <w:right w:val="single" w:sz="4" w:space="0" w:color="auto"/>
            </w:tcBorders>
            <w:vAlign w:val="center"/>
          </w:tcPr>
          <w:p w14:paraId="782F6CC8" w14:textId="77777777" w:rsidR="00556FCC" w:rsidRPr="004B11AC" w:rsidRDefault="00556FCC" w:rsidP="00556FCC">
            <w:pPr>
              <w:jc w:val="right"/>
              <w:rPr>
                <w:b/>
                <w:bCs/>
                <w:i/>
                <w:color w:val="FF0000"/>
                <w:sz w:val="20"/>
                <w:szCs w:val="20"/>
              </w:rPr>
            </w:pPr>
          </w:p>
          <w:p w14:paraId="4E6D390E" w14:textId="77777777" w:rsidR="00556FCC" w:rsidRPr="004B11AC" w:rsidRDefault="00556FCC" w:rsidP="00556FCC">
            <w:pPr>
              <w:jc w:val="right"/>
              <w:rPr>
                <w:b/>
                <w:bCs/>
                <w:i/>
                <w:color w:val="FF0000"/>
                <w:sz w:val="20"/>
                <w:szCs w:val="20"/>
              </w:rPr>
            </w:pPr>
            <w:r w:rsidRPr="007C29D9">
              <w:rPr>
                <w:b/>
                <w:bCs/>
                <w:i/>
                <w:sz w:val="20"/>
                <w:szCs w:val="20"/>
              </w:rPr>
              <w:t>0</w:t>
            </w:r>
          </w:p>
        </w:tc>
      </w:tr>
      <w:tr w:rsidR="00556FCC" w:rsidRPr="004B11AC" w14:paraId="53A4EC93" w14:textId="77777777" w:rsidTr="00556FCC">
        <w:trPr>
          <w:trHeight w:val="953"/>
          <w:jc w:val="center"/>
        </w:trPr>
        <w:tc>
          <w:tcPr>
            <w:tcW w:w="3381" w:type="dxa"/>
            <w:tcBorders>
              <w:top w:val="nil"/>
              <w:left w:val="single" w:sz="4" w:space="0" w:color="auto"/>
              <w:bottom w:val="nil"/>
              <w:right w:val="single" w:sz="4" w:space="0" w:color="auto"/>
            </w:tcBorders>
            <w:vAlign w:val="center"/>
          </w:tcPr>
          <w:p w14:paraId="6527835B" w14:textId="77777777" w:rsidR="00556FCC" w:rsidRPr="00233FEE" w:rsidRDefault="00556FCC" w:rsidP="00556FCC">
            <w:pPr>
              <w:rPr>
                <w:i/>
                <w:sz w:val="20"/>
                <w:szCs w:val="20"/>
              </w:rPr>
            </w:pPr>
          </w:p>
          <w:p w14:paraId="37E71925" w14:textId="77777777" w:rsidR="00556FCC" w:rsidRPr="00233FEE" w:rsidRDefault="00556FCC" w:rsidP="00556FCC">
            <w:pPr>
              <w:rPr>
                <w:b/>
                <w:i/>
                <w:sz w:val="20"/>
                <w:szCs w:val="20"/>
              </w:rPr>
            </w:pPr>
            <w:r w:rsidRPr="00233FEE">
              <w:rPr>
                <w:b/>
                <w:i/>
                <w:sz w:val="20"/>
                <w:szCs w:val="20"/>
              </w:rPr>
              <w:t xml:space="preserve">Operační program Doprava 2014+ </w:t>
            </w:r>
          </w:p>
          <w:p w14:paraId="37BC672D" w14:textId="77777777" w:rsidR="00556FCC" w:rsidRPr="00233FEE" w:rsidRDefault="00556FCC" w:rsidP="00556FCC">
            <w:pPr>
              <w:rPr>
                <w:sz w:val="20"/>
                <w:szCs w:val="20"/>
              </w:rPr>
            </w:pPr>
            <w:r w:rsidRPr="00233FEE">
              <w:rPr>
                <w:sz w:val="20"/>
                <w:szCs w:val="20"/>
              </w:rPr>
              <w:t>v tom:</w:t>
            </w:r>
          </w:p>
          <w:p w14:paraId="51CEEECE" w14:textId="77777777" w:rsidR="00556FCC" w:rsidRPr="00233FEE" w:rsidRDefault="00556FCC" w:rsidP="00275CE2">
            <w:pPr>
              <w:numPr>
                <w:ilvl w:val="0"/>
                <w:numId w:val="47"/>
              </w:numPr>
              <w:ind w:left="721" w:hanging="301"/>
              <w:rPr>
                <w:sz w:val="20"/>
                <w:szCs w:val="20"/>
              </w:rPr>
            </w:pPr>
            <w:r w:rsidRPr="00233FEE">
              <w:rPr>
                <w:sz w:val="20"/>
                <w:szCs w:val="20"/>
              </w:rPr>
              <w:t>program 127 77</w:t>
            </w:r>
          </w:p>
        </w:tc>
        <w:tc>
          <w:tcPr>
            <w:tcW w:w="1191" w:type="dxa"/>
            <w:tcBorders>
              <w:top w:val="nil"/>
              <w:left w:val="single" w:sz="4" w:space="0" w:color="auto"/>
              <w:bottom w:val="nil"/>
              <w:right w:val="single" w:sz="4" w:space="0" w:color="auto"/>
            </w:tcBorders>
            <w:vAlign w:val="center"/>
          </w:tcPr>
          <w:p w14:paraId="0AAC3D4A" w14:textId="77777777" w:rsidR="00556FCC" w:rsidRPr="00233FEE" w:rsidRDefault="00556FCC" w:rsidP="00556FCC">
            <w:pPr>
              <w:jc w:val="right"/>
              <w:rPr>
                <w:b/>
                <w:bCs/>
                <w:i/>
                <w:sz w:val="20"/>
                <w:szCs w:val="20"/>
              </w:rPr>
            </w:pPr>
          </w:p>
          <w:p w14:paraId="0CB7FB4E" w14:textId="77777777" w:rsidR="00556FCC" w:rsidRPr="00233FEE" w:rsidRDefault="00556FCC" w:rsidP="00556FCC">
            <w:pPr>
              <w:jc w:val="right"/>
              <w:rPr>
                <w:b/>
                <w:bCs/>
                <w:i/>
                <w:sz w:val="20"/>
                <w:szCs w:val="20"/>
              </w:rPr>
            </w:pPr>
            <w:r w:rsidRPr="00233FEE">
              <w:rPr>
                <w:b/>
                <w:bCs/>
                <w:i/>
                <w:sz w:val="20"/>
                <w:szCs w:val="20"/>
              </w:rPr>
              <w:t>0</w:t>
            </w:r>
          </w:p>
          <w:p w14:paraId="09309464" w14:textId="77777777" w:rsidR="00556FCC" w:rsidRPr="00233FEE" w:rsidRDefault="00556FCC" w:rsidP="00556FCC">
            <w:pPr>
              <w:jc w:val="right"/>
              <w:rPr>
                <w:bCs/>
                <w:i/>
                <w:sz w:val="20"/>
                <w:szCs w:val="20"/>
              </w:rPr>
            </w:pPr>
          </w:p>
          <w:p w14:paraId="27B96485" w14:textId="77777777" w:rsidR="00556FCC" w:rsidRPr="00233FEE" w:rsidRDefault="00556FCC" w:rsidP="00556FCC">
            <w:pPr>
              <w:jc w:val="right"/>
              <w:rPr>
                <w:bCs/>
                <w:sz w:val="20"/>
                <w:szCs w:val="20"/>
              </w:rPr>
            </w:pPr>
            <w:r w:rsidRPr="00233FEE">
              <w:rPr>
                <w:bCs/>
                <w:sz w:val="20"/>
                <w:szCs w:val="20"/>
              </w:rPr>
              <w:t>0</w:t>
            </w:r>
          </w:p>
        </w:tc>
        <w:tc>
          <w:tcPr>
            <w:tcW w:w="1191" w:type="dxa"/>
            <w:tcBorders>
              <w:top w:val="nil"/>
              <w:left w:val="single" w:sz="4" w:space="0" w:color="auto"/>
              <w:bottom w:val="nil"/>
              <w:right w:val="single" w:sz="4" w:space="0" w:color="auto"/>
            </w:tcBorders>
            <w:vAlign w:val="center"/>
          </w:tcPr>
          <w:p w14:paraId="0E5211E5" w14:textId="77777777" w:rsidR="00556FCC" w:rsidRPr="00233FEE" w:rsidRDefault="00556FCC" w:rsidP="00556FCC">
            <w:pPr>
              <w:jc w:val="right"/>
              <w:rPr>
                <w:b/>
                <w:bCs/>
                <w:i/>
                <w:sz w:val="20"/>
                <w:szCs w:val="20"/>
              </w:rPr>
            </w:pPr>
          </w:p>
          <w:p w14:paraId="7D852DEB" w14:textId="77777777" w:rsidR="00556FCC" w:rsidRPr="00233FEE" w:rsidRDefault="00556FCC" w:rsidP="00556FCC">
            <w:pPr>
              <w:jc w:val="right"/>
              <w:rPr>
                <w:b/>
                <w:bCs/>
                <w:i/>
                <w:sz w:val="20"/>
                <w:szCs w:val="20"/>
              </w:rPr>
            </w:pPr>
            <w:r w:rsidRPr="00233FEE">
              <w:rPr>
                <w:b/>
                <w:bCs/>
                <w:i/>
                <w:sz w:val="20"/>
                <w:szCs w:val="20"/>
              </w:rPr>
              <w:t>14 077 548</w:t>
            </w:r>
          </w:p>
          <w:p w14:paraId="793F8542" w14:textId="77777777" w:rsidR="00556FCC" w:rsidRPr="00233FEE" w:rsidRDefault="00556FCC" w:rsidP="00556FCC">
            <w:pPr>
              <w:jc w:val="right"/>
              <w:rPr>
                <w:bCs/>
                <w:i/>
                <w:sz w:val="20"/>
                <w:szCs w:val="20"/>
              </w:rPr>
            </w:pPr>
          </w:p>
          <w:p w14:paraId="14E81C9B" w14:textId="77777777" w:rsidR="00556FCC" w:rsidRPr="00233FEE" w:rsidRDefault="00556FCC" w:rsidP="00556FCC">
            <w:pPr>
              <w:jc w:val="right"/>
              <w:rPr>
                <w:bCs/>
                <w:sz w:val="20"/>
                <w:szCs w:val="20"/>
              </w:rPr>
            </w:pPr>
            <w:r w:rsidRPr="00233FEE">
              <w:rPr>
                <w:bCs/>
                <w:sz w:val="20"/>
                <w:szCs w:val="20"/>
              </w:rPr>
              <w:t>0</w:t>
            </w:r>
          </w:p>
        </w:tc>
        <w:tc>
          <w:tcPr>
            <w:tcW w:w="1191" w:type="dxa"/>
            <w:tcBorders>
              <w:top w:val="nil"/>
              <w:left w:val="single" w:sz="4" w:space="0" w:color="auto"/>
              <w:bottom w:val="nil"/>
              <w:right w:val="single" w:sz="4" w:space="0" w:color="auto"/>
            </w:tcBorders>
            <w:vAlign w:val="center"/>
          </w:tcPr>
          <w:p w14:paraId="279E21E1" w14:textId="77777777" w:rsidR="00556FCC" w:rsidRPr="00233FEE" w:rsidRDefault="00556FCC" w:rsidP="00556FCC">
            <w:pPr>
              <w:jc w:val="right"/>
              <w:rPr>
                <w:b/>
                <w:bCs/>
                <w:i/>
                <w:sz w:val="20"/>
                <w:szCs w:val="20"/>
              </w:rPr>
            </w:pPr>
          </w:p>
          <w:p w14:paraId="788677B9" w14:textId="77777777" w:rsidR="00556FCC" w:rsidRPr="00233FEE" w:rsidRDefault="00556FCC" w:rsidP="00556FCC">
            <w:pPr>
              <w:jc w:val="right"/>
              <w:rPr>
                <w:b/>
                <w:bCs/>
                <w:i/>
                <w:sz w:val="20"/>
                <w:szCs w:val="20"/>
              </w:rPr>
            </w:pPr>
            <w:r w:rsidRPr="00233FEE">
              <w:rPr>
                <w:b/>
                <w:bCs/>
                <w:i/>
                <w:sz w:val="20"/>
                <w:szCs w:val="20"/>
              </w:rPr>
              <w:t>15 743 042</w:t>
            </w:r>
          </w:p>
          <w:p w14:paraId="59ABDCE1" w14:textId="77777777" w:rsidR="00556FCC" w:rsidRPr="00233FEE" w:rsidRDefault="00556FCC" w:rsidP="00556FCC">
            <w:pPr>
              <w:jc w:val="right"/>
              <w:rPr>
                <w:bCs/>
                <w:i/>
                <w:sz w:val="20"/>
                <w:szCs w:val="20"/>
              </w:rPr>
            </w:pPr>
          </w:p>
          <w:p w14:paraId="31459A80" w14:textId="77777777" w:rsidR="00556FCC" w:rsidRPr="00233FEE" w:rsidRDefault="00556FCC" w:rsidP="00556FCC">
            <w:pPr>
              <w:jc w:val="right"/>
              <w:rPr>
                <w:bCs/>
                <w:sz w:val="20"/>
                <w:szCs w:val="20"/>
              </w:rPr>
            </w:pPr>
            <w:r w:rsidRPr="00233FEE">
              <w:rPr>
                <w:bCs/>
                <w:sz w:val="20"/>
                <w:szCs w:val="20"/>
              </w:rPr>
              <w:t>15 742 555</w:t>
            </w:r>
          </w:p>
        </w:tc>
        <w:tc>
          <w:tcPr>
            <w:tcW w:w="1191" w:type="dxa"/>
            <w:tcBorders>
              <w:top w:val="nil"/>
              <w:left w:val="single" w:sz="4" w:space="0" w:color="auto"/>
              <w:bottom w:val="nil"/>
              <w:right w:val="single" w:sz="4" w:space="0" w:color="auto"/>
            </w:tcBorders>
            <w:vAlign w:val="center"/>
          </w:tcPr>
          <w:p w14:paraId="5644F684" w14:textId="77777777" w:rsidR="00556FCC" w:rsidRPr="00233FEE" w:rsidRDefault="00556FCC" w:rsidP="00556FCC">
            <w:pPr>
              <w:jc w:val="right"/>
              <w:rPr>
                <w:b/>
                <w:bCs/>
                <w:i/>
                <w:sz w:val="20"/>
                <w:szCs w:val="20"/>
              </w:rPr>
            </w:pPr>
          </w:p>
          <w:p w14:paraId="2EB213E0" w14:textId="77777777" w:rsidR="00556FCC" w:rsidRPr="00233FEE" w:rsidRDefault="00556FCC" w:rsidP="00556FCC">
            <w:pPr>
              <w:jc w:val="right"/>
              <w:rPr>
                <w:b/>
                <w:bCs/>
                <w:i/>
                <w:sz w:val="20"/>
                <w:szCs w:val="20"/>
              </w:rPr>
            </w:pPr>
            <w:r w:rsidRPr="00233FEE">
              <w:rPr>
                <w:b/>
                <w:bCs/>
                <w:i/>
                <w:sz w:val="20"/>
                <w:szCs w:val="20"/>
              </w:rPr>
              <w:t>11 467 044</w:t>
            </w:r>
          </w:p>
          <w:p w14:paraId="00B13DC3" w14:textId="77777777" w:rsidR="00556FCC" w:rsidRPr="00233FEE" w:rsidRDefault="00556FCC" w:rsidP="00556FCC">
            <w:pPr>
              <w:jc w:val="right"/>
              <w:rPr>
                <w:bCs/>
                <w:i/>
                <w:sz w:val="20"/>
                <w:szCs w:val="20"/>
              </w:rPr>
            </w:pPr>
          </w:p>
          <w:p w14:paraId="2A9B1CF6" w14:textId="77777777" w:rsidR="00556FCC" w:rsidRPr="00233FEE" w:rsidRDefault="00556FCC" w:rsidP="00556FCC">
            <w:pPr>
              <w:jc w:val="right"/>
              <w:rPr>
                <w:bCs/>
                <w:sz w:val="20"/>
                <w:szCs w:val="20"/>
              </w:rPr>
            </w:pPr>
            <w:r w:rsidRPr="00233FEE">
              <w:rPr>
                <w:bCs/>
                <w:sz w:val="20"/>
                <w:szCs w:val="20"/>
              </w:rPr>
              <w:t>11 463 679</w:t>
            </w:r>
          </w:p>
        </w:tc>
        <w:tc>
          <w:tcPr>
            <w:tcW w:w="1191" w:type="dxa"/>
            <w:tcBorders>
              <w:top w:val="nil"/>
              <w:left w:val="single" w:sz="4" w:space="0" w:color="auto"/>
              <w:bottom w:val="nil"/>
              <w:right w:val="single" w:sz="4" w:space="0" w:color="auto"/>
            </w:tcBorders>
            <w:vAlign w:val="center"/>
          </w:tcPr>
          <w:p w14:paraId="1BB2C8E9" w14:textId="77777777" w:rsidR="00556FCC" w:rsidRPr="004B11AC" w:rsidRDefault="00556FCC" w:rsidP="00556FCC">
            <w:pPr>
              <w:jc w:val="right"/>
              <w:rPr>
                <w:b/>
                <w:bCs/>
                <w:i/>
                <w:color w:val="FF0000"/>
                <w:sz w:val="20"/>
                <w:szCs w:val="20"/>
              </w:rPr>
            </w:pPr>
          </w:p>
          <w:p w14:paraId="34D252D2" w14:textId="77777777" w:rsidR="00556FCC" w:rsidRPr="007C29D9" w:rsidRDefault="00556FCC" w:rsidP="00556FCC">
            <w:pPr>
              <w:jc w:val="right"/>
              <w:rPr>
                <w:b/>
                <w:bCs/>
                <w:i/>
                <w:sz w:val="20"/>
                <w:szCs w:val="20"/>
              </w:rPr>
            </w:pPr>
            <w:r w:rsidRPr="007C29D9">
              <w:rPr>
                <w:b/>
                <w:bCs/>
                <w:i/>
                <w:sz w:val="20"/>
                <w:szCs w:val="20"/>
              </w:rPr>
              <w:t>14 43</w:t>
            </w:r>
            <w:r>
              <w:rPr>
                <w:b/>
                <w:bCs/>
                <w:i/>
                <w:sz w:val="20"/>
                <w:szCs w:val="20"/>
              </w:rPr>
              <w:t>2</w:t>
            </w:r>
            <w:r w:rsidRPr="007C29D9">
              <w:rPr>
                <w:b/>
                <w:bCs/>
                <w:i/>
                <w:sz w:val="20"/>
                <w:szCs w:val="20"/>
              </w:rPr>
              <w:t xml:space="preserve"> </w:t>
            </w:r>
            <w:r>
              <w:rPr>
                <w:b/>
                <w:bCs/>
                <w:i/>
                <w:sz w:val="20"/>
                <w:szCs w:val="20"/>
              </w:rPr>
              <w:t>596</w:t>
            </w:r>
          </w:p>
          <w:p w14:paraId="03C01F04" w14:textId="77777777" w:rsidR="00556FCC" w:rsidRPr="004B11AC" w:rsidRDefault="00556FCC" w:rsidP="00556FCC">
            <w:pPr>
              <w:jc w:val="right"/>
              <w:rPr>
                <w:bCs/>
                <w:i/>
                <w:color w:val="FF0000"/>
                <w:sz w:val="20"/>
                <w:szCs w:val="20"/>
              </w:rPr>
            </w:pPr>
          </w:p>
          <w:p w14:paraId="7C729AAD" w14:textId="77777777" w:rsidR="00556FCC" w:rsidRPr="004B11AC" w:rsidRDefault="00556FCC" w:rsidP="00556FCC">
            <w:pPr>
              <w:jc w:val="right"/>
              <w:rPr>
                <w:bCs/>
                <w:color w:val="FF0000"/>
                <w:sz w:val="20"/>
                <w:szCs w:val="20"/>
              </w:rPr>
            </w:pPr>
            <w:r w:rsidRPr="007C29D9">
              <w:rPr>
                <w:bCs/>
                <w:sz w:val="20"/>
                <w:szCs w:val="20"/>
              </w:rPr>
              <w:t>14 431 537</w:t>
            </w:r>
          </w:p>
        </w:tc>
      </w:tr>
      <w:tr w:rsidR="00556FCC" w:rsidRPr="004B11AC" w14:paraId="1CE3492C" w14:textId="77777777" w:rsidTr="0084515C">
        <w:trPr>
          <w:trHeight w:val="352"/>
          <w:jc w:val="center"/>
        </w:trPr>
        <w:tc>
          <w:tcPr>
            <w:tcW w:w="3381" w:type="dxa"/>
            <w:tcBorders>
              <w:top w:val="nil"/>
              <w:left w:val="single" w:sz="4" w:space="0" w:color="auto"/>
              <w:bottom w:val="single" w:sz="4" w:space="0" w:color="auto"/>
              <w:right w:val="single" w:sz="4" w:space="0" w:color="auto"/>
            </w:tcBorders>
            <w:vAlign w:val="center"/>
          </w:tcPr>
          <w:p w14:paraId="7914A016" w14:textId="77777777" w:rsidR="00556FCC" w:rsidRPr="00233FEE" w:rsidRDefault="00556FCC" w:rsidP="00275CE2">
            <w:pPr>
              <w:numPr>
                <w:ilvl w:val="0"/>
                <w:numId w:val="47"/>
              </w:numPr>
              <w:ind w:left="721" w:hanging="301"/>
              <w:rPr>
                <w:sz w:val="20"/>
                <w:szCs w:val="20"/>
              </w:rPr>
            </w:pPr>
            <w:r w:rsidRPr="00233FEE">
              <w:rPr>
                <w:sz w:val="20"/>
                <w:szCs w:val="20"/>
              </w:rPr>
              <w:t>TP OPD program 127 06</w:t>
            </w:r>
          </w:p>
        </w:tc>
        <w:tc>
          <w:tcPr>
            <w:tcW w:w="1191" w:type="dxa"/>
            <w:tcBorders>
              <w:top w:val="nil"/>
              <w:left w:val="single" w:sz="4" w:space="0" w:color="auto"/>
              <w:bottom w:val="single" w:sz="4" w:space="0" w:color="auto"/>
              <w:right w:val="single" w:sz="4" w:space="0" w:color="auto"/>
            </w:tcBorders>
            <w:vAlign w:val="center"/>
          </w:tcPr>
          <w:p w14:paraId="274E6048" w14:textId="77777777" w:rsidR="00556FCC" w:rsidRPr="00233FEE" w:rsidRDefault="00556FCC" w:rsidP="00556FCC">
            <w:pPr>
              <w:jc w:val="right"/>
              <w:rPr>
                <w:bCs/>
                <w:sz w:val="20"/>
                <w:szCs w:val="20"/>
              </w:rPr>
            </w:pPr>
            <w:r w:rsidRPr="00233FEE">
              <w:rPr>
                <w:bCs/>
                <w:sz w:val="20"/>
                <w:szCs w:val="20"/>
              </w:rPr>
              <w:t>0</w:t>
            </w:r>
          </w:p>
        </w:tc>
        <w:tc>
          <w:tcPr>
            <w:tcW w:w="1191" w:type="dxa"/>
            <w:tcBorders>
              <w:top w:val="nil"/>
              <w:left w:val="single" w:sz="4" w:space="0" w:color="auto"/>
              <w:bottom w:val="single" w:sz="4" w:space="0" w:color="auto"/>
              <w:right w:val="single" w:sz="4" w:space="0" w:color="auto"/>
            </w:tcBorders>
            <w:vAlign w:val="center"/>
          </w:tcPr>
          <w:p w14:paraId="04D08067" w14:textId="77777777" w:rsidR="00556FCC" w:rsidRPr="00233FEE" w:rsidRDefault="00556FCC" w:rsidP="00556FCC">
            <w:pPr>
              <w:jc w:val="right"/>
              <w:rPr>
                <w:bCs/>
                <w:sz w:val="20"/>
                <w:szCs w:val="20"/>
              </w:rPr>
            </w:pPr>
            <w:r w:rsidRPr="00233FEE">
              <w:rPr>
                <w:bCs/>
                <w:sz w:val="20"/>
                <w:szCs w:val="20"/>
              </w:rPr>
              <w:t>0</w:t>
            </w:r>
          </w:p>
        </w:tc>
        <w:tc>
          <w:tcPr>
            <w:tcW w:w="1191" w:type="dxa"/>
            <w:tcBorders>
              <w:top w:val="nil"/>
              <w:left w:val="single" w:sz="4" w:space="0" w:color="auto"/>
              <w:bottom w:val="single" w:sz="4" w:space="0" w:color="auto"/>
              <w:right w:val="single" w:sz="4" w:space="0" w:color="auto"/>
            </w:tcBorders>
            <w:vAlign w:val="center"/>
          </w:tcPr>
          <w:p w14:paraId="4DDAA584" w14:textId="77777777" w:rsidR="00556FCC" w:rsidRPr="00233FEE" w:rsidRDefault="00556FCC" w:rsidP="00556FCC">
            <w:pPr>
              <w:jc w:val="right"/>
              <w:rPr>
                <w:bCs/>
                <w:sz w:val="20"/>
                <w:szCs w:val="20"/>
              </w:rPr>
            </w:pPr>
            <w:r w:rsidRPr="00233FEE">
              <w:rPr>
                <w:bCs/>
                <w:sz w:val="20"/>
                <w:szCs w:val="20"/>
              </w:rPr>
              <w:t>487</w:t>
            </w:r>
          </w:p>
        </w:tc>
        <w:tc>
          <w:tcPr>
            <w:tcW w:w="1191" w:type="dxa"/>
            <w:tcBorders>
              <w:top w:val="nil"/>
              <w:left w:val="single" w:sz="4" w:space="0" w:color="auto"/>
              <w:bottom w:val="single" w:sz="4" w:space="0" w:color="auto"/>
              <w:right w:val="single" w:sz="4" w:space="0" w:color="auto"/>
            </w:tcBorders>
            <w:vAlign w:val="center"/>
          </w:tcPr>
          <w:p w14:paraId="580C9856" w14:textId="77777777" w:rsidR="00556FCC" w:rsidRPr="00233FEE" w:rsidRDefault="00556FCC" w:rsidP="00556FCC">
            <w:pPr>
              <w:jc w:val="right"/>
              <w:rPr>
                <w:bCs/>
                <w:sz w:val="20"/>
                <w:szCs w:val="20"/>
              </w:rPr>
            </w:pPr>
            <w:r w:rsidRPr="00233FEE">
              <w:rPr>
                <w:bCs/>
                <w:sz w:val="20"/>
                <w:szCs w:val="20"/>
              </w:rPr>
              <w:t>3 365</w:t>
            </w:r>
          </w:p>
        </w:tc>
        <w:tc>
          <w:tcPr>
            <w:tcW w:w="1191" w:type="dxa"/>
            <w:tcBorders>
              <w:top w:val="nil"/>
              <w:left w:val="single" w:sz="4" w:space="0" w:color="auto"/>
              <w:bottom w:val="single" w:sz="4" w:space="0" w:color="auto"/>
              <w:right w:val="single" w:sz="4" w:space="0" w:color="auto"/>
            </w:tcBorders>
            <w:vAlign w:val="center"/>
          </w:tcPr>
          <w:p w14:paraId="763CFDD8" w14:textId="77777777" w:rsidR="00556FCC" w:rsidRPr="004B11AC" w:rsidRDefault="00556FCC" w:rsidP="00556FCC">
            <w:pPr>
              <w:jc w:val="right"/>
              <w:rPr>
                <w:bCs/>
                <w:color w:val="FF0000"/>
                <w:sz w:val="20"/>
                <w:szCs w:val="20"/>
              </w:rPr>
            </w:pPr>
            <w:r w:rsidRPr="007C29D9">
              <w:rPr>
                <w:bCs/>
                <w:sz w:val="20"/>
                <w:szCs w:val="20"/>
              </w:rPr>
              <w:t>1 059</w:t>
            </w:r>
          </w:p>
        </w:tc>
      </w:tr>
      <w:tr w:rsidR="00556FCC" w:rsidRPr="004B11AC" w14:paraId="16016522" w14:textId="77777777" w:rsidTr="0084515C">
        <w:trPr>
          <w:trHeight w:val="332"/>
          <w:jc w:val="center"/>
        </w:trPr>
        <w:tc>
          <w:tcPr>
            <w:tcW w:w="3381" w:type="dxa"/>
            <w:tcBorders>
              <w:top w:val="single" w:sz="4" w:space="0" w:color="auto"/>
              <w:left w:val="single" w:sz="4" w:space="0" w:color="auto"/>
              <w:bottom w:val="nil"/>
              <w:right w:val="single" w:sz="4" w:space="0" w:color="auto"/>
            </w:tcBorders>
            <w:vAlign w:val="center"/>
          </w:tcPr>
          <w:p w14:paraId="567AE0A5" w14:textId="77777777" w:rsidR="00556FCC" w:rsidRPr="00233FEE" w:rsidRDefault="00556FCC" w:rsidP="00556FCC">
            <w:pPr>
              <w:spacing w:before="120"/>
              <w:rPr>
                <w:b/>
                <w:i/>
                <w:sz w:val="20"/>
                <w:szCs w:val="20"/>
              </w:rPr>
            </w:pPr>
            <w:r w:rsidRPr="00233FEE">
              <w:rPr>
                <w:b/>
                <w:i/>
                <w:sz w:val="20"/>
                <w:szCs w:val="20"/>
              </w:rPr>
              <w:t>Dotace ze SR na financ. národních podílů u projektů OPD 2007 - 2013</w:t>
            </w:r>
          </w:p>
        </w:tc>
        <w:tc>
          <w:tcPr>
            <w:tcW w:w="1191" w:type="dxa"/>
            <w:tcBorders>
              <w:top w:val="single" w:sz="4" w:space="0" w:color="auto"/>
              <w:left w:val="single" w:sz="4" w:space="0" w:color="auto"/>
              <w:bottom w:val="nil"/>
              <w:right w:val="single" w:sz="4" w:space="0" w:color="auto"/>
            </w:tcBorders>
            <w:vAlign w:val="center"/>
          </w:tcPr>
          <w:p w14:paraId="4308F49B" w14:textId="77777777" w:rsidR="00556FCC" w:rsidRPr="00233FEE" w:rsidRDefault="00556FCC" w:rsidP="00556FCC">
            <w:pPr>
              <w:spacing w:before="120"/>
              <w:jc w:val="right"/>
              <w:rPr>
                <w:b/>
                <w:bCs/>
                <w:i/>
                <w:sz w:val="20"/>
                <w:szCs w:val="20"/>
              </w:rPr>
            </w:pPr>
            <w:r w:rsidRPr="00233FEE">
              <w:rPr>
                <w:b/>
                <w:bCs/>
                <w:i/>
                <w:sz w:val="20"/>
                <w:szCs w:val="20"/>
              </w:rPr>
              <w:t>1 255 608</w:t>
            </w:r>
          </w:p>
        </w:tc>
        <w:tc>
          <w:tcPr>
            <w:tcW w:w="1191" w:type="dxa"/>
            <w:tcBorders>
              <w:top w:val="single" w:sz="4" w:space="0" w:color="auto"/>
              <w:left w:val="single" w:sz="4" w:space="0" w:color="auto"/>
              <w:bottom w:val="nil"/>
              <w:right w:val="single" w:sz="4" w:space="0" w:color="auto"/>
            </w:tcBorders>
            <w:vAlign w:val="center"/>
          </w:tcPr>
          <w:p w14:paraId="499CAFE8" w14:textId="77777777" w:rsidR="00556FCC" w:rsidRPr="00233FEE" w:rsidRDefault="00556FCC" w:rsidP="00556FCC">
            <w:pPr>
              <w:spacing w:before="120"/>
              <w:jc w:val="right"/>
              <w:rPr>
                <w:b/>
                <w:bCs/>
                <w:i/>
                <w:sz w:val="20"/>
                <w:szCs w:val="20"/>
              </w:rPr>
            </w:pPr>
            <w:r w:rsidRPr="00233FEE">
              <w:rPr>
                <w:b/>
                <w:bCs/>
                <w:i/>
                <w:sz w:val="20"/>
                <w:szCs w:val="20"/>
              </w:rPr>
              <w:t>120 755</w:t>
            </w:r>
          </w:p>
        </w:tc>
        <w:tc>
          <w:tcPr>
            <w:tcW w:w="1191" w:type="dxa"/>
            <w:tcBorders>
              <w:top w:val="single" w:sz="4" w:space="0" w:color="auto"/>
              <w:left w:val="single" w:sz="4" w:space="0" w:color="auto"/>
              <w:bottom w:val="nil"/>
              <w:right w:val="single" w:sz="4" w:space="0" w:color="auto"/>
            </w:tcBorders>
            <w:vAlign w:val="center"/>
          </w:tcPr>
          <w:p w14:paraId="1B1529B4" w14:textId="77777777" w:rsidR="00556FCC" w:rsidRPr="00233FEE" w:rsidRDefault="00556FCC" w:rsidP="00556FCC">
            <w:pPr>
              <w:spacing w:before="120"/>
              <w:jc w:val="right"/>
              <w:rPr>
                <w:b/>
                <w:bCs/>
                <w:i/>
                <w:sz w:val="20"/>
                <w:szCs w:val="20"/>
              </w:rPr>
            </w:pPr>
            <w:r w:rsidRPr="00233FEE">
              <w:rPr>
                <w:b/>
                <w:bCs/>
                <w:i/>
                <w:sz w:val="20"/>
                <w:szCs w:val="20"/>
              </w:rPr>
              <w:t>0</w:t>
            </w:r>
          </w:p>
        </w:tc>
        <w:tc>
          <w:tcPr>
            <w:tcW w:w="1191" w:type="dxa"/>
            <w:tcBorders>
              <w:top w:val="single" w:sz="4" w:space="0" w:color="auto"/>
              <w:left w:val="single" w:sz="4" w:space="0" w:color="auto"/>
              <w:bottom w:val="nil"/>
              <w:right w:val="single" w:sz="4" w:space="0" w:color="auto"/>
            </w:tcBorders>
            <w:vAlign w:val="center"/>
          </w:tcPr>
          <w:p w14:paraId="15EDB0BD" w14:textId="77777777" w:rsidR="00556FCC" w:rsidRPr="00233FEE" w:rsidRDefault="00556FCC" w:rsidP="00556FCC">
            <w:pPr>
              <w:spacing w:before="120"/>
              <w:jc w:val="right"/>
              <w:rPr>
                <w:b/>
                <w:bCs/>
                <w:i/>
                <w:sz w:val="20"/>
                <w:szCs w:val="20"/>
              </w:rPr>
            </w:pPr>
            <w:r w:rsidRPr="00233FEE">
              <w:rPr>
                <w:b/>
                <w:bCs/>
                <w:i/>
                <w:sz w:val="20"/>
                <w:szCs w:val="20"/>
              </w:rPr>
              <w:t>0</w:t>
            </w:r>
          </w:p>
        </w:tc>
        <w:tc>
          <w:tcPr>
            <w:tcW w:w="1191" w:type="dxa"/>
            <w:tcBorders>
              <w:top w:val="single" w:sz="4" w:space="0" w:color="auto"/>
              <w:left w:val="single" w:sz="4" w:space="0" w:color="auto"/>
              <w:bottom w:val="nil"/>
              <w:right w:val="single" w:sz="4" w:space="0" w:color="auto"/>
            </w:tcBorders>
            <w:vAlign w:val="center"/>
          </w:tcPr>
          <w:p w14:paraId="5AA20E09" w14:textId="77777777" w:rsidR="00556FCC" w:rsidRPr="004B11AC" w:rsidRDefault="00556FCC" w:rsidP="00556FCC">
            <w:pPr>
              <w:spacing w:before="120"/>
              <w:jc w:val="right"/>
              <w:rPr>
                <w:b/>
                <w:bCs/>
                <w:i/>
                <w:color w:val="FF0000"/>
                <w:sz w:val="20"/>
                <w:szCs w:val="20"/>
              </w:rPr>
            </w:pPr>
            <w:r w:rsidRPr="007C29D9">
              <w:rPr>
                <w:b/>
                <w:bCs/>
                <w:i/>
                <w:sz w:val="20"/>
                <w:szCs w:val="20"/>
              </w:rPr>
              <w:t>0</w:t>
            </w:r>
          </w:p>
        </w:tc>
      </w:tr>
      <w:tr w:rsidR="00556FCC" w:rsidRPr="004B11AC" w14:paraId="1E32F307" w14:textId="77777777" w:rsidTr="001E7411">
        <w:trPr>
          <w:trHeight w:val="1344"/>
          <w:jc w:val="center"/>
        </w:trPr>
        <w:tc>
          <w:tcPr>
            <w:tcW w:w="3381" w:type="dxa"/>
            <w:tcBorders>
              <w:top w:val="nil"/>
              <w:left w:val="single" w:sz="4" w:space="0" w:color="auto"/>
              <w:bottom w:val="nil"/>
              <w:right w:val="single" w:sz="4" w:space="0" w:color="auto"/>
            </w:tcBorders>
            <w:vAlign w:val="center"/>
          </w:tcPr>
          <w:p w14:paraId="4E91987A" w14:textId="77777777" w:rsidR="00556FCC" w:rsidRPr="001E7411" w:rsidRDefault="00556FCC" w:rsidP="0084515C">
            <w:pPr>
              <w:rPr>
                <w:b/>
                <w:i/>
                <w:sz w:val="20"/>
                <w:szCs w:val="20"/>
              </w:rPr>
            </w:pPr>
            <w:r w:rsidRPr="001E7411">
              <w:rPr>
                <w:b/>
                <w:i/>
                <w:sz w:val="20"/>
                <w:szCs w:val="20"/>
              </w:rPr>
              <w:t xml:space="preserve">Dotace ze SR na financ. národních podílů u projektů OPD 2014+ </w:t>
            </w:r>
          </w:p>
          <w:p w14:paraId="28E2B4FC" w14:textId="74CE8E92" w:rsidR="00556FCC" w:rsidRPr="00233FEE" w:rsidRDefault="00556FCC" w:rsidP="001E7411">
            <w:pPr>
              <w:spacing w:before="120"/>
              <w:rPr>
                <w:b/>
                <w:i/>
                <w:sz w:val="20"/>
                <w:szCs w:val="20"/>
              </w:rPr>
            </w:pPr>
            <w:r w:rsidRPr="00233FEE">
              <w:rPr>
                <w:sz w:val="20"/>
                <w:szCs w:val="20"/>
              </w:rPr>
              <w:t>v tom program 127 77</w:t>
            </w:r>
          </w:p>
        </w:tc>
        <w:tc>
          <w:tcPr>
            <w:tcW w:w="1191" w:type="dxa"/>
            <w:tcBorders>
              <w:top w:val="nil"/>
              <w:left w:val="single" w:sz="4" w:space="0" w:color="auto"/>
              <w:bottom w:val="nil"/>
              <w:right w:val="single" w:sz="4" w:space="0" w:color="auto"/>
            </w:tcBorders>
            <w:vAlign w:val="center"/>
          </w:tcPr>
          <w:p w14:paraId="1C45E690" w14:textId="77777777" w:rsidR="00556FCC" w:rsidRPr="00233FEE" w:rsidRDefault="00556FCC" w:rsidP="00556FCC">
            <w:pPr>
              <w:jc w:val="right"/>
              <w:rPr>
                <w:b/>
                <w:bCs/>
                <w:i/>
                <w:sz w:val="20"/>
                <w:szCs w:val="20"/>
              </w:rPr>
            </w:pPr>
            <w:r w:rsidRPr="00233FEE">
              <w:rPr>
                <w:b/>
                <w:bCs/>
                <w:i/>
                <w:sz w:val="20"/>
                <w:szCs w:val="20"/>
              </w:rPr>
              <w:t>0</w:t>
            </w:r>
          </w:p>
          <w:p w14:paraId="40AAF2F0" w14:textId="77777777" w:rsidR="00556FCC" w:rsidRPr="00233FEE" w:rsidRDefault="00556FCC" w:rsidP="00556FCC">
            <w:pPr>
              <w:jc w:val="right"/>
              <w:rPr>
                <w:bCs/>
                <w:sz w:val="20"/>
                <w:szCs w:val="20"/>
              </w:rPr>
            </w:pPr>
          </w:p>
          <w:p w14:paraId="7936A5BE" w14:textId="77777777" w:rsidR="00556FCC" w:rsidRPr="00233FEE" w:rsidRDefault="00556FCC" w:rsidP="00556FCC">
            <w:pPr>
              <w:jc w:val="right"/>
              <w:rPr>
                <w:bCs/>
                <w:sz w:val="20"/>
                <w:szCs w:val="20"/>
              </w:rPr>
            </w:pPr>
            <w:r w:rsidRPr="00233FEE">
              <w:rPr>
                <w:bCs/>
                <w:sz w:val="20"/>
                <w:szCs w:val="20"/>
              </w:rPr>
              <w:t>0</w:t>
            </w:r>
          </w:p>
        </w:tc>
        <w:tc>
          <w:tcPr>
            <w:tcW w:w="1191" w:type="dxa"/>
            <w:tcBorders>
              <w:top w:val="nil"/>
              <w:left w:val="single" w:sz="4" w:space="0" w:color="auto"/>
              <w:bottom w:val="nil"/>
              <w:right w:val="single" w:sz="4" w:space="0" w:color="auto"/>
            </w:tcBorders>
            <w:vAlign w:val="center"/>
          </w:tcPr>
          <w:p w14:paraId="408171F2" w14:textId="77777777" w:rsidR="00556FCC" w:rsidRPr="00233FEE" w:rsidRDefault="00556FCC" w:rsidP="00556FCC">
            <w:pPr>
              <w:jc w:val="right"/>
              <w:rPr>
                <w:b/>
                <w:bCs/>
                <w:i/>
                <w:sz w:val="20"/>
                <w:szCs w:val="20"/>
              </w:rPr>
            </w:pPr>
            <w:r w:rsidRPr="00233FEE">
              <w:rPr>
                <w:b/>
                <w:bCs/>
                <w:i/>
                <w:sz w:val="20"/>
                <w:szCs w:val="20"/>
              </w:rPr>
              <w:t>783 420</w:t>
            </w:r>
          </w:p>
          <w:p w14:paraId="40FD1792" w14:textId="77777777" w:rsidR="00556FCC" w:rsidRPr="00233FEE" w:rsidRDefault="00556FCC" w:rsidP="00556FCC">
            <w:pPr>
              <w:rPr>
                <w:bCs/>
                <w:sz w:val="20"/>
                <w:szCs w:val="20"/>
              </w:rPr>
            </w:pPr>
          </w:p>
          <w:p w14:paraId="487E20E4" w14:textId="77777777" w:rsidR="00556FCC" w:rsidRPr="00233FEE" w:rsidRDefault="00556FCC" w:rsidP="00556FCC">
            <w:pPr>
              <w:jc w:val="right"/>
              <w:rPr>
                <w:bCs/>
                <w:sz w:val="20"/>
                <w:szCs w:val="20"/>
              </w:rPr>
            </w:pPr>
            <w:r w:rsidRPr="00233FEE">
              <w:rPr>
                <w:bCs/>
                <w:sz w:val="20"/>
                <w:szCs w:val="20"/>
              </w:rPr>
              <w:t>0</w:t>
            </w:r>
          </w:p>
        </w:tc>
        <w:tc>
          <w:tcPr>
            <w:tcW w:w="1191" w:type="dxa"/>
            <w:tcBorders>
              <w:top w:val="nil"/>
              <w:left w:val="single" w:sz="4" w:space="0" w:color="auto"/>
              <w:bottom w:val="nil"/>
              <w:right w:val="single" w:sz="4" w:space="0" w:color="auto"/>
            </w:tcBorders>
            <w:vAlign w:val="center"/>
          </w:tcPr>
          <w:p w14:paraId="29C0B767" w14:textId="77777777" w:rsidR="00556FCC" w:rsidRPr="00233FEE" w:rsidRDefault="00556FCC" w:rsidP="00556FCC">
            <w:pPr>
              <w:jc w:val="right"/>
              <w:rPr>
                <w:b/>
                <w:bCs/>
                <w:i/>
                <w:sz w:val="20"/>
                <w:szCs w:val="20"/>
              </w:rPr>
            </w:pPr>
            <w:r w:rsidRPr="00233FEE">
              <w:rPr>
                <w:b/>
                <w:bCs/>
                <w:i/>
                <w:sz w:val="20"/>
                <w:szCs w:val="20"/>
              </w:rPr>
              <w:t>814 288</w:t>
            </w:r>
          </w:p>
          <w:p w14:paraId="6148A576" w14:textId="77777777" w:rsidR="00556FCC" w:rsidRPr="00233FEE" w:rsidRDefault="00556FCC" w:rsidP="00556FCC">
            <w:pPr>
              <w:jc w:val="right"/>
              <w:rPr>
                <w:bCs/>
                <w:sz w:val="20"/>
                <w:szCs w:val="20"/>
              </w:rPr>
            </w:pPr>
          </w:p>
          <w:p w14:paraId="3B007ECD" w14:textId="77777777" w:rsidR="00556FCC" w:rsidRPr="00233FEE" w:rsidRDefault="00556FCC" w:rsidP="00556FCC">
            <w:pPr>
              <w:jc w:val="right"/>
              <w:rPr>
                <w:bCs/>
                <w:sz w:val="20"/>
                <w:szCs w:val="20"/>
              </w:rPr>
            </w:pPr>
            <w:r w:rsidRPr="00233FEE">
              <w:rPr>
                <w:bCs/>
                <w:sz w:val="20"/>
                <w:szCs w:val="20"/>
              </w:rPr>
              <w:t>814 288</w:t>
            </w:r>
          </w:p>
        </w:tc>
        <w:tc>
          <w:tcPr>
            <w:tcW w:w="1191" w:type="dxa"/>
            <w:tcBorders>
              <w:top w:val="nil"/>
              <w:left w:val="single" w:sz="4" w:space="0" w:color="auto"/>
              <w:bottom w:val="nil"/>
              <w:right w:val="single" w:sz="4" w:space="0" w:color="auto"/>
            </w:tcBorders>
            <w:vAlign w:val="center"/>
          </w:tcPr>
          <w:p w14:paraId="1D0D5DA2" w14:textId="77777777" w:rsidR="00556FCC" w:rsidRPr="00233FEE" w:rsidRDefault="00556FCC" w:rsidP="00556FCC">
            <w:pPr>
              <w:jc w:val="right"/>
              <w:rPr>
                <w:b/>
                <w:bCs/>
                <w:i/>
                <w:sz w:val="20"/>
                <w:szCs w:val="20"/>
              </w:rPr>
            </w:pPr>
            <w:r w:rsidRPr="00233FEE">
              <w:rPr>
                <w:b/>
                <w:bCs/>
                <w:i/>
                <w:sz w:val="20"/>
                <w:szCs w:val="20"/>
              </w:rPr>
              <w:t>2 632</w:t>
            </w:r>
          </w:p>
          <w:p w14:paraId="24CDDD8E" w14:textId="77777777" w:rsidR="00556FCC" w:rsidRPr="00233FEE" w:rsidRDefault="00556FCC" w:rsidP="00556FCC">
            <w:pPr>
              <w:jc w:val="right"/>
              <w:rPr>
                <w:bCs/>
                <w:sz w:val="20"/>
                <w:szCs w:val="20"/>
              </w:rPr>
            </w:pPr>
          </w:p>
          <w:p w14:paraId="08B951ED" w14:textId="77777777" w:rsidR="00556FCC" w:rsidRPr="00233FEE" w:rsidRDefault="00556FCC" w:rsidP="00556FCC">
            <w:pPr>
              <w:jc w:val="right"/>
              <w:rPr>
                <w:bCs/>
                <w:sz w:val="20"/>
                <w:szCs w:val="20"/>
              </w:rPr>
            </w:pPr>
            <w:r w:rsidRPr="00233FEE">
              <w:rPr>
                <w:bCs/>
                <w:sz w:val="20"/>
                <w:szCs w:val="20"/>
              </w:rPr>
              <w:t>2 632</w:t>
            </w:r>
          </w:p>
        </w:tc>
        <w:tc>
          <w:tcPr>
            <w:tcW w:w="1191" w:type="dxa"/>
            <w:tcBorders>
              <w:top w:val="nil"/>
              <w:left w:val="single" w:sz="4" w:space="0" w:color="auto"/>
              <w:bottom w:val="nil"/>
              <w:right w:val="single" w:sz="4" w:space="0" w:color="auto"/>
            </w:tcBorders>
            <w:vAlign w:val="center"/>
          </w:tcPr>
          <w:p w14:paraId="4888B38F" w14:textId="77777777" w:rsidR="00556FCC" w:rsidRPr="007C29D9" w:rsidRDefault="00556FCC" w:rsidP="00556FCC">
            <w:pPr>
              <w:jc w:val="right"/>
              <w:rPr>
                <w:b/>
                <w:bCs/>
                <w:i/>
                <w:sz w:val="20"/>
                <w:szCs w:val="20"/>
              </w:rPr>
            </w:pPr>
            <w:r w:rsidRPr="007C29D9">
              <w:rPr>
                <w:b/>
                <w:bCs/>
                <w:i/>
                <w:sz w:val="20"/>
                <w:szCs w:val="20"/>
              </w:rPr>
              <w:t>711</w:t>
            </w:r>
          </w:p>
          <w:p w14:paraId="3F5D5336" w14:textId="77777777" w:rsidR="00556FCC" w:rsidRPr="007C29D9" w:rsidRDefault="00556FCC" w:rsidP="00556FCC">
            <w:pPr>
              <w:jc w:val="right"/>
              <w:rPr>
                <w:bCs/>
                <w:sz w:val="20"/>
                <w:szCs w:val="20"/>
              </w:rPr>
            </w:pPr>
          </w:p>
          <w:p w14:paraId="7A4E056C" w14:textId="77777777" w:rsidR="00556FCC" w:rsidRPr="004B11AC" w:rsidRDefault="00556FCC" w:rsidP="00556FCC">
            <w:pPr>
              <w:jc w:val="right"/>
              <w:rPr>
                <w:bCs/>
                <w:color w:val="FF0000"/>
                <w:sz w:val="20"/>
                <w:szCs w:val="20"/>
              </w:rPr>
            </w:pPr>
            <w:r w:rsidRPr="007C29D9">
              <w:rPr>
                <w:bCs/>
                <w:sz w:val="20"/>
                <w:szCs w:val="20"/>
              </w:rPr>
              <w:t>711</w:t>
            </w:r>
          </w:p>
        </w:tc>
      </w:tr>
      <w:tr w:rsidR="00556FCC" w:rsidRPr="004B11AC" w14:paraId="10BE4718" w14:textId="77777777" w:rsidTr="00556FCC">
        <w:trPr>
          <w:trHeight w:val="569"/>
          <w:jc w:val="center"/>
        </w:trPr>
        <w:tc>
          <w:tcPr>
            <w:tcW w:w="3381" w:type="dxa"/>
            <w:tcBorders>
              <w:top w:val="nil"/>
              <w:left w:val="single" w:sz="4" w:space="0" w:color="auto"/>
              <w:bottom w:val="nil"/>
              <w:right w:val="single" w:sz="4" w:space="0" w:color="auto"/>
            </w:tcBorders>
            <w:vAlign w:val="center"/>
          </w:tcPr>
          <w:p w14:paraId="23A21183" w14:textId="77777777" w:rsidR="00556FCC" w:rsidRPr="00233FEE" w:rsidRDefault="00556FCC" w:rsidP="00556FCC">
            <w:pPr>
              <w:rPr>
                <w:b/>
                <w:i/>
                <w:sz w:val="20"/>
                <w:szCs w:val="20"/>
              </w:rPr>
            </w:pPr>
            <w:r w:rsidRPr="00233FEE">
              <w:rPr>
                <w:b/>
                <w:i/>
                <w:sz w:val="20"/>
                <w:szCs w:val="20"/>
              </w:rPr>
              <w:t xml:space="preserve">Údržba dálniční a silniční dopravní infrastruktury ve vlastnictví státu a </w:t>
            </w:r>
          </w:p>
          <w:p w14:paraId="1B868A63" w14:textId="77777777" w:rsidR="00556FCC" w:rsidRPr="00233FEE" w:rsidRDefault="00556FCC" w:rsidP="00556FCC">
            <w:pPr>
              <w:rPr>
                <w:sz w:val="20"/>
                <w:szCs w:val="20"/>
              </w:rPr>
            </w:pPr>
            <w:r w:rsidRPr="00233FEE">
              <w:rPr>
                <w:b/>
                <w:i/>
                <w:sz w:val="20"/>
                <w:szCs w:val="20"/>
              </w:rPr>
              <w:t>povodně v červnu 2013</w:t>
            </w:r>
          </w:p>
        </w:tc>
        <w:tc>
          <w:tcPr>
            <w:tcW w:w="1191" w:type="dxa"/>
            <w:tcBorders>
              <w:top w:val="nil"/>
              <w:left w:val="single" w:sz="4" w:space="0" w:color="auto"/>
              <w:bottom w:val="nil"/>
              <w:right w:val="single" w:sz="4" w:space="0" w:color="auto"/>
            </w:tcBorders>
            <w:vAlign w:val="center"/>
          </w:tcPr>
          <w:p w14:paraId="1377A97F" w14:textId="77777777" w:rsidR="00556FCC" w:rsidRPr="00233FEE" w:rsidRDefault="00556FCC" w:rsidP="00556FCC">
            <w:pPr>
              <w:spacing w:before="120"/>
              <w:jc w:val="right"/>
              <w:rPr>
                <w:b/>
                <w:bCs/>
                <w:i/>
                <w:sz w:val="20"/>
                <w:szCs w:val="20"/>
              </w:rPr>
            </w:pPr>
            <w:r w:rsidRPr="00233FEE">
              <w:rPr>
                <w:b/>
                <w:bCs/>
                <w:i/>
                <w:sz w:val="20"/>
                <w:szCs w:val="20"/>
              </w:rPr>
              <w:t>154 968</w:t>
            </w:r>
          </w:p>
        </w:tc>
        <w:tc>
          <w:tcPr>
            <w:tcW w:w="1191" w:type="dxa"/>
            <w:tcBorders>
              <w:top w:val="nil"/>
              <w:left w:val="single" w:sz="4" w:space="0" w:color="auto"/>
              <w:bottom w:val="nil"/>
              <w:right w:val="single" w:sz="4" w:space="0" w:color="auto"/>
            </w:tcBorders>
            <w:vAlign w:val="center"/>
          </w:tcPr>
          <w:p w14:paraId="70AE2315" w14:textId="77777777" w:rsidR="00556FCC" w:rsidRPr="00233FEE" w:rsidRDefault="00556FCC" w:rsidP="00556FCC">
            <w:pPr>
              <w:spacing w:before="120"/>
              <w:jc w:val="right"/>
              <w:rPr>
                <w:b/>
                <w:bCs/>
                <w:i/>
                <w:sz w:val="20"/>
                <w:szCs w:val="20"/>
              </w:rPr>
            </w:pPr>
            <w:r w:rsidRPr="00233FEE">
              <w:rPr>
                <w:b/>
                <w:bCs/>
                <w:i/>
                <w:sz w:val="20"/>
                <w:szCs w:val="20"/>
              </w:rPr>
              <w:t>67 297</w:t>
            </w:r>
          </w:p>
        </w:tc>
        <w:tc>
          <w:tcPr>
            <w:tcW w:w="1191" w:type="dxa"/>
            <w:tcBorders>
              <w:top w:val="nil"/>
              <w:left w:val="single" w:sz="4" w:space="0" w:color="auto"/>
              <w:bottom w:val="nil"/>
              <w:right w:val="single" w:sz="4" w:space="0" w:color="auto"/>
            </w:tcBorders>
            <w:vAlign w:val="center"/>
          </w:tcPr>
          <w:p w14:paraId="6384D470" w14:textId="77777777" w:rsidR="00556FCC" w:rsidRPr="00233FEE" w:rsidRDefault="00556FCC" w:rsidP="00556FCC">
            <w:pPr>
              <w:spacing w:before="120"/>
              <w:jc w:val="right"/>
              <w:rPr>
                <w:b/>
                <w:bCs/>
                <w:i/>
                <w:sz w:val="20"/>
                <w:szCs w:val="20"/>
              </w:rPr>
            </w:pPr>
            <w:r w:rsidRPr="00233FEE">
              <w:rPr>
                <w:b/>
                <w:bCs/>
                <w:i/>
                <w:sz w:val="20"/>
                <w:szCs w:val="20"/>
              </w:rPr>
              <w:t>10 347</w:t>
            </w:r>
          </w:p>
        </w:tc>
        <w:tc>
          <w:tcPr>
            <w:tcW w:w="1191" w:type="dxa"/>
            <w:tcBorders>
              <w:top w:val="nil"/>
              <w:left w:val="single" w:sz="4" w:space="0" w:color="auto"/>
              <w:bottom w:val="nil"/>
              <w:right w:val="single" w:sz="4" w:space="0" w:color="auto"/>
            </w:tcBorders>
            <w:vAlign w:val="center"/>
          </w:tcPr>
          <w:p w14:paraId="79D6B79B" w14:textId="77777777" w:rsidR="00556FCC" w:rsidRPr="00233FEE" w:rsidRDefault="00556FCC" w:rsidP="00556FCC">
            <w:pPr>
              <w:spacing w:before="120"/>
              <w:jc w:val="right"/>
              <w:rPr>
                <w:b/>
                <w:bCs/>
                <w:i/>
                <w:sz w:val="20"/>
                <w:szCs w:val="20"/>
              </w:rPr>
            </w:pPr>
            <w:r w:rsidRPr="00233FEE">
              <w:rPr>
                <w:b/>
                <w:bCs/>
                <w:i/>
                <w:sz w:val="20"/>
                <w:szCs w:val="20"/>
              </w:rPr>
              <w:t>0</w:t>
            </w:r>
          </w:p>
        </w:tc>
        <w:tc>
          <w:tcPr>
            <w:tcW w:w="1191" w:type="dxa"/>
            <w:tcBorders>
              <w:top w:val="nil"/>
              <w:left w:val="single" w:sz="4" w:space="0" w:color="auto"/>
              <w:bottom w:val="nil"/>
              <w:right w:val="single" w:sz="4" w:space="0" w:color="auto"/>
            </w:tcBorders>
            <w:vAlign w:val="center"/>
          </w:tcPr>
          <w:p w14:paraId="3D4EBD3B" w14:textId="77777777" w:rsidR="00556FCC" w:rsidRPr="00233FEE" w:rsidRDefault="00556FCC" w:rsidP="00556FCC">
            <w:pPr>
              <w:spacing w:before="120"/>
              <w:jc w:val="right"/>
              <w:rPr>
                <w:b/>
                <w:bCs/>
                <w:i/>
                <w:sz w:val="20"/>
                <w:szCs w:val="20"/>
              </w:rPr>
            </w:pPr>
            <w:r w:rsidRPr="00233FEE">
              <w:rPr>
                <w:b/>
                <w:bCs/>
                <w:i/>
                <w:sz w:val="20"/>
                <w:szCs w:val="20"/>
              </w:rPr>
              <w:t>0</w:t>
            </w:r>
          </w:p>
        </w:tc>
      </w:tr>
      <w:tr w:rsidR="00556FCC" w:rsidRPr="004B11AC" w14:paraId="36D91A9D" w14:textId="77777777" w:rsidTr="00CA105A">
        <w:trPr>
          <w:jc w:val="center"/>
        </w:trPr>
        <w:tc>
          <w:tcPr>
            <w:tcW w:w="3381" w:type="dxa"/>
            <w:tcBorders>
              <w:top w:val="nil"/>
              <w:left w:val="single" w:sz="4" w:space="0" w:color="auto"/>
              <w:bottom w:val="nil"/>
              <w:right w:val="single" w:sz="4" w:space="0" w:color="auto"/>
            </w:tcBorders>
            <w:vAlign w:val="center"/>
          </w:tcPr>
          <w:p w14:paraId="6063E87B" w14:textId="43C4F2A3" w:rsidR="00556FCC" w:rsidRPr="00233FEE" w:rsidRDefault="00556FCC" w:rsidP="00CA105A">
            <w:pPr>
              <w:spacing w:before="120"/>
              <w:rPr>
                <w:b/>
                <w:i/>
                <w:sz w:val="20"/>
                <w:szCs w:val="20"/>
              </w:rPr>
            </w:pPr>
            <w:r w:rsidRPr="00233FEE">
              <w:rPr>
                <w:b/>
                <w:i/>
                <w:sz w:val="20"/>
                <w:szCs w:val="20"/>
              </w:rPr>
              <w:t xml:space="preserve">Financování silnic II. a III. tříd ve vlastnictví krajů a komunikací plnících funkci nevybudovaného SOKP  </w:t>
            </w:r>
          </w:p>
        </w:tc>
        <w:tc>
          <w:tcPr>
            <w:tcW w:w="1191" w:type="dxa"/>
            <w:tcBorders>
              <w:top w:val="nil"/>
              <w:left w:val="single" w:sz="4" w:space="0" w:color="auto"/>
              <w:bottom w:val="nil"/>
              <w:right w:val="single" w:sz="4" w:space="0" w:color="auto"/>
            </w:tcBorders>
            <w:vAlign w:val="center"/>
          </w:tcPr>
          <w:p w14:paraId="73DA9936" w14:textId="77777777" w:rsidR="00556FCC" w:rsidRPr="00233FEE" w:rsidRDefault="00556FCC" w:rsidP="00556FCC">
            <w:pPr>
              <w:spacing w:before="120"/>
              <w:jc w:val="right"/>
              <w:rPr>
                <w:b/>
                <w:bCs/>
                <w:i/>
                <w:sz w:val="20"/>
                <w:szCs w:val="20"/>
              </w:rPr>
            </w:pPr>
            <w:r w:rsidRPr="00233FEE">
              <w:rPr>
                <w:b/>
                <w:bCs/>
                <w:i/>
                <w:sz w:val="20"/>
                <w:szCs w:val="20"/>
              </w:rPr>
              <w:t>0</w:t>
            </w:r>
          </w:p>
        </w:tc>
        <w:tc>
          <w:tcPr>
            <w:tcW w:w="1191" w:type="dxa"/>
            <w:tcBorders>
              <w:top w:val="nil"/>
              <w:left w:val="single" w:sz="4" w:space="0" w:color="auto"/>
              <w:bottom w:val="nil"/>
              <w:right w:val="single" w:sz="4" w:space="0" w:color="auto"/>
            </w:tcBorders>
            <w:vAlign w:val="center"/>
          </w:tcPr>
          <w:p w14:paraId="2434A75A" w14:textId="77777777" w:rsidR="00556FCC" w:rsidRPr="00233FEE" w:rsidRDefault="00556FCC" w:rsidP="00556FCC">
            <w:pPr>
              <w:spacing w:before="120"/>
              <w:jc w:val="right"/>
              <w:rPr>
                <w:b/>
                <w:bCs/>
                <w:i/>
                <w:sz w:val="20"/>
                <w:szCs w:val="20"/>
              </w:rPr>
            </w:pPr>
            <w:r w:rsidRPr="00233FEE">
              <w:rPr>
                <w:b/>
                <w:bCs/>
                <w:i/>
                <w:sz w:val="20"/>
                <w:szCs w:val="20"/>
              </w:rPr>
              <w:t>0</w:t>
            </w:r>
          </w:p>
        </w:tc>
        <w:tc>
          <w:tcPr>
            <w:tcW w:w="1191" w:type="dxa"/>
            <w:tcBorders>
              <w:top w:val="nil"/>
              <w:left w:val="single" w:sz="4" w:space="0" w:color="auto"/>
              <w:bottom w:val="nil"/>
              <w:right w:val="single" w:sz="4" w:space="0" w:color="auto"/>
            </w:tcBorders>
            <w:vAlign w:val="center"/>
          </w:tcPr>
          <w:p w14:paraId="1304EF8E" w14:textId="77777777" w:rsidR="00556FCC" w:rsidRPr="00233FEE" w:rsidRDefault="00556FCC" w:rsidP="00556FCC">
            <w:pPr>
              <w:spacing w:before="120"/>
              <w:jc w:val="right"/>
              <w:rPr>
                <w:b/>
                <w:bCs/>
                <w:i/>
                <w:sz w:val="20"/>
                <w:szCs w:val="20"/>
              </w:rPr>
            </w:pPr>
            <w:r w:rsidRPr="00233FEE">
              <w:rPr>
                <w:b/>
                <w:bCs/>
                <w:i/>
                <w:sz w:val="20"/>
                <w:szCs w:val="20"/>
              </w:rPr>
              <w:t>0</w:t>
            </w:r>
          </w:p>
        </w:tc>
        <w:tc>
          <w:tcPr>
            <w:tcW w:w="1191" w:type="dxa"/>
            <w:tcBorders>
              <w:top w:val="nil"/>
              <w:left w:val="single" w:sz="4" w:space="0" w:color="auto"/>
              <w:bottom w:val="nil"/>
              <w:right w:val="single" w:sz="4" w:space="0" w:color="auto"/>
            </w:tcBorders>
            <w:vAlign w:val="center"/>
          </w:tcPr>
          <w:p w14:paraId="3F66D57B" w14:textId="77777777" w:rsidR="00556FCC" w:rsidRPr="00233FEE" w:rsidRDefault="00556FCC" w:rsidP="00556FCC">
            <w:pPr>
              <w:spacing w:before="120"/>
              <w:jc w:val="right"/>
              <w:rPr>
                <w:b/>
                <w:bCs/>
                <w:i/>
                <w:sz w:val="20"/>
                <w:szCs w:val="20"/>
              </w:rPr>
            </w:pPr>
            <w:r w:rsidRPr="00233FEE">
              <w:rPr>
                <w:b/>
                <w:bCs/>
                <w:i/>
                <w:sz w:val="20"/>
                <w:szCs w:val="20"/>
              </w:rPr>
              <w:t>969 565</w:t>
            </w:r>
          </w:p>
        </w:tc>
        <w:tc>
          <w:tcPr>
            <w:tcW w:w="1191" w:type="dxa"/>
            <w:tcBorders>
              <w:top w:val="nil"/>
              <w:left w:val="single" w:sz="4" w:space="0" w:color="auto"/>
              <w:bottom w:val="nil"/>
              <w:right w:val="single" w:sz="4" w:space="0" w:color="auto"/>
            </w:tcBorders>
            <w:vAlign w:val="center"/>
          </w:tcPr>
          <w:p w14:paraId="6718A0AE" w14:textId="12E304B7" w:rsidR="00556FCC" w:rsidRPr="00233FEE" w:rsidRDefault="00CA105A" w:rsidP="00556FCC">
            <w:pPr>
              <w:spacing w:before="120"/>
              <w:jc w:val="right"/>
              <w:rPr>
                <w:b/>
                <w:bCs/>
                <w:i/>
                <w:sz w:val="20"/>
                <w:szCs w:val="20"/>
              </w:rPr>
            </w:pPr>
            <w:r>
              <w:rPr>
                <w:b/>
                <w:bCs/>
                <w:i/>
                <w:sz w:val="20"/>
                <w:szCs w:val="20"/>
              </w:rPr>
              <w:t>20</w:t>
            </w:r>
            <w:r w:rsidR="00556FCC" w:rsidRPr="00233FEE">
              <w:rPr>
                <w:b/>
                <w:bCs/>
                <w:i/>
                <w:sz w:val="20"/>
                <w:szCs w:val="20"/>
              </w:rPr>
              <w:t>0 435</w:t>
            </w:r>
          </w:p>
        </w:tc>
      </w:tr>
      <w:tr w:rsidR="00556FCC" w:rsidRPr="001E7411" w14:paraId="025A858F" w14:textId="77777777" w:rsidTr="00CA105A">
        <w:trPr>
          <w:jc w:val="center"/>
        </w:trPr>
        <w:tc>
          <w:tcPr>
            <w:tcW w:w="3381" w:type="dxa"/>
            <w:tcBorders>
              <w:top w:val="nil"/>
              <w:left w:val="single" w:sz="4" w:space="0" w:color="auto"/>
              <w:bottom w:val="single" w:sz="4" w:space="0" w:color="auto"/>
              <w:right w:val="single" w:sz="4" w:space="0" w:color="auto"/>
            </w:tcBorders>
            <w:vAlign w:val="center"/>
          </w:tcPr>
          <w:p w14:paraId="41DEC5FD" w14:textId="77777777" w:rsidR="00556FCC" w:rsidRPr="00233FEE" w:rsidRDefault="00556FCC" w:rsidP="00556FCC">
            <w:pPr>
              <w:spacing w:before="120"/>
              <w:rPr>
                <w:sz w:val="20"/>
                <w:szCs w:val="20"/>
              </w:rPr>
            </w:pPr>
            <w:r>
              <w:rPr>
                <w:sz w:val="20"/>
                <w:szCs w:val="20"/>
              </w:rPr>
              <w:t>v</w:t>
            </w:r>
            <w:r w:rsidRPr="00233FEE">
              <w:rPr>
                <w:sz w:val="20"/>
                <w:szCs w:val="20"/>
              </w:rPr>
              <w:t xml:space="preserve"> tom program 127 77</w:t>
            </w:r>
          </w:p>
        </w:tc>
        <w:tc>
          <w:tcPr>
            <w:tcW w:w="1191" w:type="dxa"/>
            <w:tcBorders>
              <w:top w:val="nil"/>
              <w:left w:val="single" w:sz="4" w:space="0" w:color="auto"/>
              <w:bottom w:val="single" w:sz="4" w:space="0" w:color="auto"/>
              <w:right w:val="single" w:sz="4" w:space="0" w:color="auto"/>
            </w:tcBorders>
            <w:vAlign w:val="center"/>
          </w:tcPr>
          <w:p w14:paraId="1A5E434B" w14:textId="77777777" w:rsidR="00556FCC" w:rsidRPr="001E7411" w:rsidRDefault="00556FCC" w:rsidP="00556FCC">
            <w:pPr>
              <w:spacing w:before="120"/>
              <w:jc w:val="right"/>
              <w:rPr>
                <w:bCs/>
                <w:sz w:val="20"/>
                <w:szCs w:val="20"/>
              </w:rPr>
            </w:pPr>
            <w:r w:rsidRPr="001E7411">
              <w:rPr>
                <w:bCs/>
                <w:sz w:val="20"/>
                <w:szCs w:val="20"/>
              </w:rPr>
              <w:t>0</w:t>
            </w:r>
          </w:p>
        </w:tc>
        <w:tc>
          <w:tcPr>
            <w:tcW w:w="1191" w:type="dxa"/>
            <w:tcBorders>
              <w:top w:val="nil"/>
              <w:left w:val="single" w:sz="4" w:space="0" w:color="auto"/>
              <w:bottom w:val="single" w:sz="4" w:space="0" w:color="auto"/>
              <w:right w:val="single" w:sz="4" w:space="0" w:color="auto"/>
            </w:tcBorders>
            <w:vAlign w:val="center"/>
          </w:tcPr>
          <w:p w14:paraId="2D48598E" w14:textId="77777777" w:rsidR="00556FCC" w:rsidRPr="001E7411" w:rsidRDefault="00556FCC" w:rsidP="00556FCC">
            <w:pPr>
              <w:spacing w:before="120"/>
              <w:jc w:val="right"/>
              <w:rPr>
                <w:bCs/>
                <w:sz w:val="20"/>
                <w:szCs w:val="20"/>
              </w:rPr>
            </w:pPr>
            <w:r w:rsidRPr="001E7411">
              <w:rPr>
                <w:bCs/>
                <w:sz w:val="20"/>
                <w:szCs w:val="20"/>
              </w:rPr>
              <w:t>0</w:t>
            </w:r>
          </w:p>
        </w:tc>
        <w:tc>
          <w:tcPr>
            <w:tcW w:w="1191" w:type="dxa"/>
            <w:tcBorders>
              <w:top w:val="nil"/>
              <w:left w:val="single" w:sz="4" w:space="0" w:color="auto"/>
              <w:bottom w:val="single" w:sz="4" w:space="0" w:color="auto"/>
              <w:right w:val="single" w:sz="4" w:space="0" w:color="auto"/>
            </w:tcBorders>
            <w:vAlign w:val="center"/>
          </w:tcPr>
          <w:p w14:paraId="4BA07719" w14:textId="77777777" w:rsidR="00556FCC" w:rsidRPr="001E7411" w:rsidRDefault="00556FCC" w:rsidP="00556FCC">
            <w:pPr>
              <w:spacing w:before="120"/>
              <w:jc w:val="right"/>
              <w:rPr>
                <w:bCs/>
                <w:sz w:val="20"/>
                <w:szCs w:val="20"/>
              </w:rPr>
            </w:pPr>
            <w:r w:rsidRPr="001E7411">
              <w:rPr>
                <w:bCs/>
                <w:sz w:val="20"/>
                <w:szCs w:val="20"/>
              </w:rPr>
              <w:t>0</w:t>
            </w:r>
          </w:p>
        </w:tc>
        <w:tc>
          <w:tcPr>
            <w:tcW w:w="1191" w:type="dxa"/>
            <w:tcBorders>
              <w:top w:val="nil"/>
              <w:left w:val="single" w:sz="4" w:space="0" w:color="auto"/>
              <w:bottom w:val="single" w:sz="4" w:space="0" w:color="auto"/>
              <w:right w:val="single" w:sz="4" w:space="0" w:color="auto"/>
            </w:tcBorders>
            <w:vAlign w:val="center"/>
          </w:tcPr>
          <w:p w14:paraId="6605E41B" w14:textId="77777777" w:rsidR="00556FCC" w:rsidRPr="001E7411" w:rsidRDefault="00556FCC" w:rsidP="00556FCC">
            <w:pPr>
              <w:spacing w:before="120"/>
              <w:jc w:val="right"/>
              <w:rPr>
                <w:bCs/>
                <w:sz w:val="20"/>
                <w:szCs w:val="20"/>
              </w:rPr>
            </w:pPr>
            <w:r w:rsidRPr="001E7411">
              <w:rPr>
                <w:bCs/>
                <w:sz w:val="20"/>
                <w:szCs w:val="20"/>
              </w:rPr>
              <w:t>969 565</w:t>
            </w:r>
          </w:p>
        </w:tc>
        <w:tc>
          <w:tcPr>
            <w:tcW w:w="1191" w:type="dxa"/>
            <w:tcBorders>
              <w:top w:val="nil"/>
              <w:left w:val="single" w:sz="4" w:space="0" w:color="auto"/>
              <w:bottom w:val="single" w:sz="4" w:space="0" w:color="auto"/>
              <w:right w:val="single" w:sz="4" w:space="0" w:color="auto"/>
            </w:tcBorders>
            <w:vAlign w:val="center"/>
          </w:tcPr>
          <w:p w14:paraId="0B0CBA7A" w14:textId="3391C7CD" w:rsidR="00556FCC" w:rsidRPr="001E7411" w:rsidRDefault="00CA105A" w:rsidP="00556FCC">
            <w:pPr>
              <w:spacing w:before="120"/>
              <w:jc w:val="right"/>
              <w:rPr>
                <w:bCs/>
                <w:sz w:val="20"/>
                <w:szCs w:val="20"/>
              </w:rPr>
            </w:pPr>
            <w:r>
              <w:rPr>
                <w:bCs/>
                <w:sz w:val="20"/>
                <w:szCs w:val="20"/>
              </w:rPr>
              <w:t>20</w:t>
            </w:r>
            <w:r w:rsidR="00556FCC" w:rsidRPr="001E7411">
              <w:rPr>
                <w:bCs/>
                <w:sz w:val="20"/>
                <w:szCs w:val="20"/>
              </w:rPr>
              <w:t>0 435</w:t>
            </w:r>
          </w:p>
        </w:tc>
      </w:tr>
    </w:tbl>
    <w:p w14:paraId="79EAFBCF" w14:textId="13A914A8" w:rsidR="00556FCC" w:rsidRPr="0053189F" w:rsidRDefault="00556FCC" w:rsidP="00556FCC">
      <w:pPr>
        <w:pStyle w:val="KOMtext"/>
      </w:pPr>
      <w:r w:rsidRPr="00DE254E">
        <w:lastRenderedPageBreak/>
        <w:t xml:space="preserve">Vyšší nárůst čerpání investičního transferu SFDI v roce 2015 byl způsoben přidělením </w:t>
      </w:r>
      <w:r w:rsidR="00A06E49">
        <w:br/>
      </w:r>
      <w:r w:rsidRPr="00DE254E">
        <w:t>a čerpáním prostředků určených na financování programů a projektů realizovaných z Operačního programu Doprava</w:t>
      </w:r>
      <w:r w:rsidR="005E4525">
        <w:t xml:space="preserve"> (2007-2013)</w:t>
      </w:r>
      <w:r w:rsidRPr="00DE254E">
        <w:t xml:space="preserve">, které bylo nutno dočerpat. </w:t>
      </w:r>
      <w:r w:rsidRPr="0053189F">
        <w:t>Čerpání v roce 2016 se snížilo z důvodu nižšího čerpání v počátku nového období O</w:t>
      </w:r>
      <w:r w:rsidR="005E4525">
        <w:t>perační program Doprava</w:t>
      </w:r>
      <w:r w:rsidRPr="0053189F">
        <w:t xml:space="preserve"> 2014</w:t>
      </w:r>
      <w:r w:rsidR="005E4525">
        <w:t>-</w:t>
      </w:r>
      <w:r w:rsidRPr="0053189F">
        <w:t xml:space="preserve">2020. </w:t>
      </w:r>
      <w:r w:rsidR="005E4525">
        <w:br/>
      </w:r>
      <w:r w:rsidRPr="0053189F">
        <w:t>Od roku 2017 se pozvolna navyšuje čerpání z důvodu potřeb finančních prostředků na Operační program Doprava 2014 - 2020 a Komunitární program Nástroj pro propojení Evr</w:t>
      </w:r>
      <w:r>
        <w:t>opy 2014+. V roce 2019 čerpání dále navyšují požadavky na Krytí deficitu rozpočtu SFDI.</w:t>
      </w:r>
    </w:p>
    <w:p w14:paraId="46CB37B3" w14:textId="77777777" w:rsidR="00556FCC" w:rsidRPr="004733AE" w:rsidRDefault="00556FCC" w:rsidP="00556FCC">
      <w:pPr>
        <w:pStyle w:val="KOMtext"/>
      </w:pPr>
      <w:r w:rsidRPr="004733AE">
        <w:t>Účelovost vynaložených finančních prostředků pro Státní fond dopravní infrastruktury byla splněna.</w:t>
      </w:r>
    </w:p>
    <w:p w14:paraId="7D249F79" w14:textId="77777777" w:rsidR="00874D54" w:rsidRPr="004B11AC" w:rsidRDefault="0022197E" w:rsidP="00A42AE8">
      <w:pPr>
        <w:pStyle w:val="Nadpis3"/>
        <w:rPr>
          <w:color w:val="FF0000"/>
        </w:rPr>
      </w:pPr>
      <w:bookmarkStart w:id="1009" w:name="_Toc1376851"/>
      <w:bookmarkStart w:id="1010" w:name="_Toc34286480"/>
      <w:r w:rsidRPr="00EE17E4">
        <w:t>P</w:t>
      </w:r>
      <w:bookmarkStart w:id="1011" w:name="_Toc255297653"/>
      <w:bookmarkStart w:id="1012" w:name="_Toc413413670"/>
      <w:bookmarkEnd w:id="1005"/>
      <w:bookmarkEnd w:id="1006"/>
      <w:bookmarkEnd w:id="1007"/>
      <w:bookmarkEnd w:id="1008"/>
      <w:r w:rsidR="00874D54" w:rsidRPr="00EE17E4">
        <w:t>řehled programů zařazených v informačním systému financování programů reprodukce majetku (EDS/SMVS) – s účastí státního rozpočtu</w:t>
      </w:r>
      <w:bookmarkEnd w:id="1009"/>
      <w:bookmarkEnd w:id="1010"/>
    </w:p>
    <w:p w14:paraId="0106CFCF" w14:textId="77777777" w:rsidR="00EE17E4" w:rsidRPr="005367E5" w:rsidRDefault="00EE17E4" w:rsidP="00556FCC">
      <w:pPr>
        <w:pStyle w:val="Nadpis6"/>
      </w:pPr>
      <w:r w:rsidRPr="005367E5">
        <w:t>127 01 Rozvoj a obnova materiálně technické základny (MTZ) systému řízení MD–OSS</w:t>
      </w:r>
    </w:p>
    <w:p w14:paraId="7D5EEC92" w14:textId="77777777" w:rsidR="00EE17E4" w:rsidRPr="005367E5" w:rsidRDefault="00EE17E4" w:rsidP="00A42AE8">
      <w:pPr>
        <w:pStyle w:val="KOMtext"/>
      </w:pPr>
      <w:r w:rsidRPr="005367E5">
        <w:t xml:space="preserve">Cílem tohoto programu je zabezpečení obnovy dlouhodobého majetku Ministerstva dopravy, organizací systému řízení rezortu dopravy a Státního fondu dopravní infrastruktury. </w:t>
      </w:r>
    </w:p>
    <w:p w14:paraId="3DA69BF8" w14:textId="77777777" w:rsidR="00EE17E4" w:rsidRPr="005367E5" w:rsidRDefault="00EE17E4" w:rsidP="00A42AE8">
      <w:pPr>
        <w:pStyle w:val="KOMtext"/>
      </w:pPr>
      <w:r w:rsidRPr="005367E5">
        <w:t>Jedná se především o stavební práce, pořízení a obnovu informačních technologií, výpočetní techniky, dopravních prostředků, rozmnožovacích a kopírovacích strojů, přístroj</w:t>
      </w:r>
      <w:r w:rsidR="00A42AE8">
        <w:t xml:space="preserve">ů </w:t>
      </w:r>
      <w:r w:rsidRPr="005367E5">
        <w:t>a měřících zařízení organizačních složek státu: ústřední orgán MD, Drážní úřad, Úřad pro civilní letectví, Státní plavební správa, Ředitelství vodních cest ČR, Drážní inspekce, Ústav pro odborné zjišťování příčin leteckých nehod a dále pro Státní fond dopravní infrastruktury.</w:t>
      </w:r>
    </w:p>
    <w:p w14:paraId="3BBA52EF" w14:textId="77777777" w:rsidR="00EE17E4" w:rsidRPr="005367E5" w:rsidRDefault="00EE17E4" w:rsidP="00A42AE8">
      <w:pPr>
        <w:pStyle w:val="KOMtext"/>
      </w:pPr>
      <w:r w:rsidRPr="005367E5">
        <w:t xml:space="preserve">Kancelářskou techniku, specifické stroje a zařízení nutné k zabezpečení jednotlivých činností rezortu Ministerstva dopravy je nezbytné obnovovat tak, aby se předcházelo jejich morálnímu zastarávání a následné četné poruchovosti. </w:t>
      </w:r>
    </w:p>
    <w:p w14:paraId="760C6C7E" w14:textId="77777777" w:rsidR="00EE17E4" w:rsidRPr="005367E5" w:rsidRDefault="00EE17E4" w:rsidP="00A42AE8">
      <w:pPr>
        <w:pStyle w:val="KOMtext"/>
      </w:pPr>
      <w:r w:rsidRPr="005367E5">
        <w:t xml:space="preserve">U stavebních akcí jde z hlediska věcného především o rekonstrukce, technické zhodnocení budov a zabezpečení objektů. </w:t>
      </w:r>
    </w:p>
    <w:p w14:paraId="55AB1D86" w14:textId="77777777" w:rsidR="00EE17E4" w:rsidRPr="005367E5" w:rsidRDefault="00EE17E4" w:rsidP="00A42AE8">
      <w:pPr>
        <w:pStyle w:val="KOMtext"/>
      </w:pPr>
      <w:r w:rsidRPr="005367E5">
        <w:t xml:space="preserve">Program byl zahájen v roce </w:t>
      </w:r>
      <w:smartTag w:uri="urn:schemas-microsoft-com:office:smarttags" w:element="metricconverter">
        <w:smartTagPr>
          <w:attr w:name="ProductID" w:val="2007 a"/>
        </w:smartTagPr>
        <w:r w:rsidRPr="005367E5">
          <w:t>2007 a</w:t>
        </w:r>
      </w:smartTag>
      <w:r w:rsidRPr="005367E5">
        <w:t xml:space="preserve"> </w:t>
      </w:r>
      <w:r>
        <w:t>jeho ukončení proběhlo k 31. 12.</w:t>
      </w:r>
      <w:r w:rsidRPr="005367E5">
        <w:t xml:space="preserve"> 2019. V</w:t>
      </w:r>
      <w:r>
        <w:t> roce 2019 proběhlo pouze d</w:t>
      </w:r>
      <w:r w:rsidRPr="005367E5">
        <w:t>ofinancování víceletých akcí v subtit</w:t>
      </w:r>
      <w:r w:rsidR="00A42AE8">
        <w:t xml:space="preserve">ulu 127V0110 „Pořízení, obnova </w:t>
      </w:r>
      <w:r w:rsidRPr="005367E5">
        <w:t>a provozování ICT systému řízení MD-OSS“.</w:t>
      </w:r>
    </w:p>
    <w:p w14:paraId="20989258" w14:textId="77777777" w:rsidR="00EE17E4" w:rsidRPr="005367E5" w:rsidRDefault="00EE17E4" w:rsidP="00A42AE8">
      <w:pPr>
        <w:pStyle w:val="KOMtext"/>
      </w:pPr>
      <w:r w:rsidRPr="005367E5">
        <w:t>Dokumentace programu byla schválen</w:t>
      </w:r>
      <w:r w:rsidR="00A42AE8">
        <w:t xml:space="preserve">a dopisem Ministerstva financí </w:t>
      </w:r>
      <w:r w:rsidRPr="005367E5">
        <w:t>č.j. 19/73 584/2007–193 ze dne 8.10.2007. Poslední aktualizace dokumentace programu byla schválena dopisem Ministerstvem financí č. j. MF-31131/2018/1903-3 z 8.1.2019.</w:t>
      </w:r>
    </w:p>
    <w:p w14:paraId="18330CB1" w14:textId="77777777" w:rsidR="00EE17E4" w:rsidRDefault="00EE17E4" w:rsidP="00A42AE8">
      <w:pPr>
        <w:pStyle w:val="KOMtext"/>
      </w:pPr>
      <w:r w:rsidRPr="005367E5">
        <w:t>Program je rozdělen na 9 subtitulů, z toho proběhlo v roce 201</w:t>
      </w:r>
      <w:r>
        <w:t>9</w:t>
      </w:r>
      <w:r w:rsidRPr="005367E5">
        <w:t xml:space="preserve"> čerpání pouze u subtitulu 127V0110:</w:t>
      </w:r>
    </w:p>
    <w:p w14:paraId="797AAA27" w14:textId="77777777" w:rsidR="00EE17E4" w:rsidRPr="005367E5" w:rsidRDefault="00EE17E4" w:rsidP="00275CE2">
      <w:pPr>
        <w:keepNext/>
        <w:numPr>
          <w:ilvl w:val="0"/>
          <w:numId w:val="13"/>
        </w:numPr>
        <w:tabs>
          <w:tab w:val="clear" w:pos="1069"/>
        </w:tabs>
        <w:suppressAutoHyphens/>
        <w:spacing w:before="240" w:after="120"/>
        <w:ind w:left="709" w:hanging="425"/>
        <w:jc w:val="both"/>
      </w:pPr>
      <w:r w:rsidRPr="005367E5">
        <w:rPr>
          <w:i/>
        </w:rPr>
        <w:t>127V0110 „Pořízení, obnova a provozování ICT systému řízení MD-OSS“</w:t>
      </w:r>
      <w:r w:rsidRPr="005367E5">
        <w:t xml:space="preserve"> </w:t>
      </w:r>
    </w:p>
    <w:p w14:paraId="71DEA1C9" w14:textId="109775C5" w:rsidR="00EE17E4" w:rsidRPr="005367E5" w:rsidRDefault="00EE17E4" w:rsidP="00A42AE8">
      <w:pPr>
        <w:pStyle w:val="KOMtext"/>
        <w:rPr>
          <w:i/>
        </w:rPr>
      </w:pPr>
      <w:r w:rsidRPr="005367E5">
        <w:t xml:space="preserve">V rámci tohoto subtitulu byly použity prostředky nároky z nespotřebovaných výdajů minulých let ve výši ve </w:t>
      </w:r>
      <w:r w:rsidRPr="005367E5">
        <w:rPr>
          <w:b/>
        </w:rPr>
        <w:t>3 76</w:t>
      </w:r>
      <w:r>
        <w:rPr>
          <w:b/>
        </w:rPr>
        <w:t>2</w:t>
      </w:r>
      <w:r w:rsidRPr="005367E5">
        <w:rPr>
          <w:b/>
          <w:i/>
        </w:rPr>
        <w:t xml:space="preserve"> tis. Kč </w:t>
      </w:r>
      <w:r w:rsidRPr="005367E5">
        <w:rPr>
          <w:i/>
        </w:rPr>
        <w:t>(investice 2 45</w:t>
      </w:r>
      <w:r>
        <w:rPr>
          <w:i/>
        </w:rPr>
        <w:t>2</w:t>
      </w:r>
      <w:r w:rsidRPr="005367E5">
        <w:rPr>
          <w:i/>
        </w:rPr>
        <w:t xml:space="preserve"> tis. Kč, neinvestice 1 310 tis. Kč)</w:t>
      </w:r>
      <w:r w:rsidR="009D5491">
        <w:rPr>
          <w:i/>
        </w:rPr>
        <w:t>.</w:t>
      </w:r>
    </w:p>
    <w:p w14:paraId="04F19389" w14:textId="1C8C7DB5" w:rsidR="00EE17E4" w:rsidRPr="005367E5" w:rsidRDefault="00EE17E4" w:rsidP="00A42AE8">
      <w:pPr>
        <w:pStyle w:val="KOMtext"/>
      </w:pPr>
      <w:r w:rsidRPr="005367E5">
        <w:t>Prostředky v rámci tohoto subtitulu</w:t>
      </w:r>
      <w:r w:rsidR="008B4F09">
        <w:t xml:space="preserve"> čerpal </w:t>
      </w:r>
      <w:r w:rsidRPr="005367E5">
        <w:rPr>
          <w:b/>
        </w:rPr>
        <w:t>Ústřední orgán MD</w:t>
      </w:r>
      <w:r w:rsidRPr="005367E5">
        <w:t xml:space="preserve"> </w:t>
      </w:r>
      <w:r w:rsidR="008B4F09">
        <w:t>v </w:t>
      </w:r>
      <w:r w:rsidRPr="005367E5">
        <w:t>rámci</w:t>
      </w:r>
      <w:r w:rsidR="008B4F09">
        <w:t xml:space="preserve"> těchto</w:t>
      </w:r>
      <w:r w:rsidRPr="005367E5">
        <w:t xml:space="preserve"> akcí:</w:t>
      </w:r>
    </w:p>
    <w:p w14:paraId="42B59775" w14:textId="77777777" w:rsidR="00EE17E4" w:rsidRPr="005367E5" w:rsidRDefault="00EE17E4" w:rsidP="005E4525">
      <w:pPr>
        <w:numPr>
          <w:ilvl w:val="0"/>
          <w:numId w:val="39"/>
        </w:numPr>
        <w:tabs>
          <w:tab w:val="clear" w:pos="794"/>
        </w:tabs>
        <w:suppressAutoHyphens/>
        <w:spacing w:after="120"/>
        <w:ind w:left="567" w:hanging="283"/>
        <w:jc w:val="both"/>
      </w:pPr>
      <w:r w:rsidRPr="005367E5">
        <w:t>Zajištění správy, provozu a rozvoje CIS STK 2015+“ (</w:t>
      </w:r>
      <w:r w:rsidRPr="005367E5">
        <w:rPr>
          <w:i/>
        </w:rPr>
        <w:t xml:space="preserve">investice </w:t>
      </w:r>
      <w:r w:rsidRPr="005367E5">
        <w:rPr>
          <w:bCs/>
          <w:szCs w:val="20"/>
        </w:rPr>
        <w:t>1 850 t</w:t>
      </w:r>
      <w:r w:rsidRPr="005367E5">
        <w:t>is. Kč</w:t>
      </w:r>
      <w:r w:rsidR="00251B76">
        <w:rPr>
          <w:i/>
        </w:rPr>
        <w:t xml:space="preserve">,    </w:t>
      </w:r>
      <w:r w:rsidRPr="005367E5">
        <w:rPr>
          <w:i/>
        </w:rPr>
        <w:t xml:space="preserve">neinvestice </w:t>
      </w:r>
      <w:r w:rsidRPr="005367E5">
        <w:rPr>
          <w:szCs w:val="20"/>
        </w:rPr>
        <w:t xml:space="preserve">240 </w:t>
      </w:r>
      <w:r w:rsidRPr="005367E5">
        <w:rPr>
          <w:i/>
        </w:rPr>
        <w:t xml:space="preserve"> </w:t>
      </w:r>
      <w:r w:rsidRPr="005367E5">
        <w:t>tis. Kč</w:t>
      </w:r>
      <w:r w:rsidRPr="005367E5">
        <w:rPr>
          <w:i/>
        </w:rPr>
        <w:t>)</w:t>
      </w:r>
    </w:p>
    <w:p w14:paraId="4B802F2E" w14:textId="77777777" w:rsidR="00EE17E4" w:rsidRPr="005367E5" w:rsidRDefault="00EE17E4" w:rsidP="005E4525">
      <w:pPr>
        <w:numPr>
          <w:ilvl w:val="0"/>
          <w:numId w:val="39"/>
        </w:numPr>
        <w:tabs>
          <w:tab w:val="clear" w:pos="794"/>
        </w:tabs>
        <w:suppressAutoHyphens/>
        <w:spacing w:after="120"/>
        <w:ind w:left="567" w:hanging="283"/>
        <w:jc w:val="both"/>
        <w:rPr>
          <w:i/>
        </w:rPr>
      </w:pPr>
      <w:r w:rsidRPr="005367E5">
        <w:lastRenderedPageBreak/>
        <w:t>Zajištění provozu, podpory a ro</w:t>
      </w:r>
      <w:r w:rsidR="00DE7CB1">
        <w:t xml:space="preserve">zvoje ekonomického systému IFS </w:t>
      </w:r>
      <w:r w:rsidRPr="005367E5">
        <w:rPr>
          <w:i/>
        </w:rPr>
        <w:t xml:space="preserve">(neinvestice </w:t>
      </w:r>
      <w:r w:rsidR="00DE7CB1">
        <w:rPr>
          <w:i/>
        </w:rPr>
        <w:br/>
      </w:r>
      <w:r w:rsidRPr="005367E5">
        <w:rPr>
          <w:szCs w:val="20"/>
        </w:rPr>
        <w:t xml:space="preserve">121 </w:t>
      </w:r>
      <w:r w:rsidRPr="005367E5">
        <w:t>tis. Kč</w:t>
      </w:r>
      <w:r w:rsidRPr="005367E5">
        <w:rPr>
          <w:i/>
        </w:rPr>
        <w:t>)</w:t>
      </w:r>
    </w:p>
    <w:p w14:paraId="0F9EE316" w14:textId="77777777" w:rsidR="00EE17E4" w:rsidRDefault="00EE17E4" w:rsidP="00B92CF3">
      <w:pPr>
        <w:numPr>
          <w:ilvl w:val="0"/>
          <w:numId w:val="39"/>
        </w:numPr>
        <w:tabs>
          <w:tab w:val="clear" w:pos="794"/>
          <w:tab w:val="left" w:pos="360"/>
          <w:tab w:val="num" w:pos="567"/>
        </w:tabs>
        <w:suppressAutoHyphens/>
        <w:spacing w:after="120"/>
        <w:ind w:left="709" w:hanging="425"/>
        <w:jc w:val="both"/>
        <w:rPr>
          <w:i/>
        </w:rPr>
      </w:pPr>
      <w:r w:rsidRPr="005367E5">
        <w:t>Dodávka a zajištění provozu, rozvoje a integrace Rejstříku podnikatelů v silniční dopravě (</w:t>
      </w:r>
      <w:r w:rsidRPr="005367E5">
        <w:rPr>
          <w:i/>
        </w:rPr>
        <w:t>investice 60</w:t>
      </w:r>
      <w:r>
        <w:rPr>
          <w:i/>
        </w:rPr>
        <w:t>2</w:t>
      </w:r>
      <w:r w:rsidRPr="005367E5">
        <w:rPr>
          <w:i/>
        </w:rPr>
        <w:t xml:space="preserve"> tis. Kč, neinvestice </w:t>
      </w:r>
      <w:r w:rsidRPr="005367E5">
        <w:rPr>
          <w:szCs w:val="20"/>
        </w:rPr>
        <w:t xml:space="preserve">908 </w:t>
      </w:r>
      <w:r w:rsidRPr="005367E5">
        <w:rPr>
          <w:i/>
        </w:rPr>
        <w:t>tis. Kč)</w:t>
      </w:r>
    </w:p>
    <w:p w14:paraId="5D7A81A1" w14:textId="77777777" w:rsidR="00EE17E4" w:rsidRPr="005367E5" w:rsidRDefault="00EE17E4" w:rsidP="00275CE2">
      <w:pPr>
        <w:numPr>
          <w:ilvl w:val="0"/>
          <w:numId w:val="39"/>
        </w:numPr>
        <w:tabs>
          <w:tab w:val="clear" w:pos="794"/>
          <w:tab w:val="left" w:pos="360"/>
          <w:tab w:val="num" w:pos="567"/>
        </w:tabs>
        <w:suppressAutoHyphens/>
        <w:ind w:left="709" w:hanging="425"/>
        <w:jc w:val="both"/>
      </w:pPr>
      <w:r w:rsidRPr="005367E5">
        <w:t xml:space="preserve">IPS – Ochrana před škodlivým kódem </w:t>
      </w:r>
      <w:r>
        <w:t>(</w:t>
      </w:r>
      <w:r>
        <w:rPr>
          <w:i/>
        </w:rPr>
        <w:t>neinvestice 41 tis. Kč)</w:t>
      </w:r>
    </w:p>
    <w:p w14:paraId="3FCBF7FF" w14:textId="77777777" w:rsidR="00EE17E4" w:rsidRPr="008A0818" w:rsidRDefault="00EE17E4" w:rsidP="00EE17E4">
      <w:pPr>
        <w:pStyle w:val="KOMtext"/>
        <w:rPr>
          <w:b/>
          <w:bCs/>
          <w:i/>
        </w:rPr>
      </w:pPr>
      <w:r w:rsidRPr="008A0818">
        <w:rPr>
          <w:b/>
          <w:bCs/>
          <w:i/>
        </w:rPr>
        <w:t>Skutečné čerpání za rok 201</w:t>
      </w:r>
      <w:r>
        <w:rPr>
          <w:b/>
          <w:bCs/>
          <w:i/>
        </w:rPr>
        <w:t>9</w:t>
      </w:r>
      <w:r w:rsidRPr="008A0818">
        <w:rPr>
          <w:b/>
          <w:bCs/>
          <w:i/>
        </w:rPr>
        <w:t xml:space="preserve">: </w:t>
      </w:r>
    </w:p>
    <w:tbl>
      <w:tblPr>
        <w:tblW w:w="9361" w:type="dxa"/>
        <w:tblLayout w:type="fixed"/>
        <w:tblCellMar>
          <w:left w:w="70" w:type="dxa"/>
          <w:right w:w="70" w:type="dxa"/>
        </w:tblCellMar>
        <w:tblLook w:val="0000" w:firstRow="0" w:lastRow="0" w:firstColumn="0" w:lastColumn="0" w:noHBand="0" w:noVBand="0"/>
      </w:tblPr>
      <w:tblGrid>
        <w:gridCol w:w="7450"/>
        <w:gridCol w:w="1911"/>
      </w:tblGrid>
      <w:tr w:rsidR="00EE17E4" w:rsidRPr="004B11AC" w14:paraId="1C75F0FB" w14:textId="77777777" w:rsidTr="00EE17E4">
        <w:tc>
          <w:tcPr>
            <w:tcW w:w="7450" w:type="dxa"/>
          </w:tcPr>
          <w:p w14:paraId="0EF5CACE" w14:textId="77777777" w:rsidR="00EE17E4" w:rsidRPr="008A0818" w:rsidRDefault="00EE17E4" w:rsidP="00275CE2">
            <w:pPr>
              <w:numPr>
                <w:ilvl w:val="0"/>
                <w:numId w:val="14"/>
              </w:numPr>
              <w:tabs>
                <w:tab w:val="clear" w:pos="567"/>
              </w:tabs>
              <w:suppressAutoHyphens/>
              <w:snapToGrid w:val="0"/>
              <w:ind w:left="634" w:hanging="425"/>
              <w:rPr>
                <w:b/>
                <w:i/>
              </w:rPr>
            </w:pPr>
            <w:r w:rsidRPr="008A0818">
              <w:rPr>
                <w:b/>
                <w:i/>
              </w:rPr>
              <w:t>ze státního rozpočtu (systémově určené výdaje investiční) *)</w:t>
            </w:r>
            <w:r w:rsidRPr="008A0818">
              <w:rPr>
                <w:b/>
                <w:i/>
                <w:sz w:val="18"/>
                <w:vertAlign w:val="superscript"/>
              </w:rPr>
              <w:t>x</w:t>
            </w:r>
            <w:r w:rsidRPr="008A0818">
              <w:rPr>
                <w:b/>
                <w:i/>
                <w:sz w:val="18"/>
              </w:rPr>
              <w:t>)</w:t>
            </w:r>
          </w:p>
          <w:p w14:paraId="0671FA29" w14:textId="77777777" w:rsidR="00EE17E4" w:rsidRPr="008A0818" w:rsidRDefault="00EE17E4" w:rsidP="00275CE2">
            <w:pPr>
              <w:numPr>
                <w:ilvl w:val="0"/>
                <w:numId w:val="14"/>
              </w:numPr>
              <w:tabs>
                <w:tab w:val="clear" w:pos="567"/>
              </w:tabs>
              <w:suppressAutoHyphens/>
              <w:ind w:left="634" w:hanging="425"/>
              <w:rPr>
                <w:b/>
                <w:i/>
              </w:rPr>
            </w:pPr>
            <w:r w:rsidRPr="008A0818">
              <w:rPr>
                <w:b/>
                <w:i/>
              </w:rPr>
              <w:t>ze státního rozpočtu (investiční dotace z fondů EU)</w:t>
            </w:r>
          </w:p>
        </w:tc>
        <w:tc>
          <w:tcPr>
            <w:tcW w:w="1911" w:type="dxa"/>
          </w:tcPr>
          <w:p w14:paraId="5D96A8A5" w14:textId="77777777" w:rsidR="00EE17E4" w:rsidRPr="008A0818" w:rsidRDefault="00EE17E4" w:rsidP="00A42AE8">
            <w:pPr>
              <w:snapToGrid w:val="0"/>
              <w:ind w:left="634" w:hanging="425"/>
              <w:jc w:val="right"/>
              <w:rPr>
                <w:b/>
                <w:bCs/>
                <w:i/>
              </w:rPr>
            </w:pPr>
            <w:r w:rsidRPr="008A0818">
              <w:rPr>
                <w:b/>
                <w:bCs/>
                <w:i/>
              </w:rPr>
              <w:t>2 45</w:t>
            </w:r>
            <w:r>
              <w:rPr>
                <w:b/>
                <w:bCs/>
                <w:i/>
              </w:rPr>
              <w:t>2</w:t>
            </w:r>
            <w:r w:rsidRPr="008A0818">
              <w:rPr>
                <w:b/>
                <w:bCs/>
                <w:i/>
              </w:rPr>
              <w:t xml:space="preserve"> tis. Kč</w:t>
            </w:r>
          </w:p>
          <w:p w14:paraId="77D0B328" w14:textId="77777777" w:rsidR="00EE17E4" w:rsidRPr="008A0818" w:rsidRDefault="00EE17E4" w:rsidP="00A42AE8">
            <w:pPr>
              <w:ind w:left="634" w:hanging="425"/>
              <w:jc w:val="right"/>
              <w:rPr>
                <w:b/>
                <w:bCs/>
                <w:i/>
              </w:rPr>
            </w:pPr>
            <w:r w:rsidRPr="008A0818">
              <w:rPr>
                <w:b/>
                <w:bCs/>
                <w:i/>
              </w:rPr>
              <w:t>0 tis. Kč</w:t>
            </w:r>
          </w:p>
        </w:tc>
      </w:tr>
      <w:tr w:rsidR="00EE17E4" w:rsidRPr="004B11AC" w14:paraId="17C8516F" w14:textId="77777777" w:rsidTr="00EE17E4">
        <w:trPr>
          <w:trHeight w:val="746"/>
        </w:trPr>
        <w:tc>
          <w:tcPr>
            <w:tcW w:w="7450" w:type="dxa"/>
          </w:tcPr>
          <w:p w14:paraId="73AA92F0" w14:textId="77777777" w:rsidR="00EE17E4" w:rsidRPr="008A0818" w:rsidRDefault="00EE17E4" w:rsidP="00275CE2">
            <w:pPr>
              <w:numPr>
                <w:ilvl w:val="0"/>
                <w:numId w:val="22"/>
              </w:numPr>
              <w:tabs>
                <w:tab w:val="clear" w:pos="720"/>
              </w:tabs>
              <w:suppressAutoHyphens/>
              <w:ind w:left="634" w:hanging="425"/>
              <w:rPr>
                <w:i/>
              </w:rPr>
            </w:pPr>
            <w:r w:rsidRPr="008A0818">
              <w:rPr>
                <w:b/>
                <w:i/>
              </w:rPr>
              <w:t>ze státního rozpočtu (systémově určené výdaje neinvestiční) *)</w:t>
            </w:r>
            <w:r w:rsidRPr="008A0818">
              <w:rPr>
                <w:b/>
                <w:i/>
                <w:sz w:val="18"/>
                <w:vertAlign w:val="superscript"/>
              </w:rPr>
              <w:t xml:space="preserve"> x</w:t>
            </w:r>
            <w:r w:rsidRPr="008A0818">
              <w:rPr>
                <w:b/>
                <w:i/>
                <w:sz w:val="18"/>
              </w:rPr>
              <w:t>)</w:t>
            </w:r>
          </w:p>
          <w:p w14:paraId="71D40582" w14:textId="77777777" w:rsidR="00EE17E4" w:rsidRPr="008A0818" w:rsidRDefault="00EE17E4" w:rsidP="00275CE2">
            <w:pPr>
              <w:numPr>
                <w:ilvl w:val="0"/>
                <w:numId w:val="22"/>
              </w:numPr>
              <w:suppressAutoHyphens/>
              <w:ind w:left="634" w:hanging="425"/>
              <w:rPr>
                <w:i/>
              </w:rPr>
            </w:pPr>
            <w:r w:rsidRPr="008A0818">
              <w:rPr>
                <w:b/>
                <w:i/>
              </w:rPr>
              <w:t>ze státního rozpočtu (neinvestiční dotace z fondů EU)</w:t>
            </w:r>
          </w:p>
        </w:tc>
        <w:tc>
          <w:tcPr>
            <w:tcW w:w="1911" w:type="dxa"/>
          </w:tcPr>
          <w:p w14:paraId="6DE44409" w14:textId="77777777" w:rsidR="00EE17E4" w:rsidRPr="008A0818" w:rsidRDefault="00EE17E4" w:rsidP="00A42AE8">
            <w:pPr>
              <w:ind w:left="634" w:hanging="425"/>
              <w:jc w:val="right"/>
              <w:rPr>
                <w:b/>
                <w:bCs/>
                <w:i/>
              </w:rPr>
            </w:pPr>
            <w:r w:rsidRPr="008A0818">
              <w:rPr>
                <w:b/>
                <w:bCs/>
                <w:i/>
              </w:rPr>
              <w:t>1 310 tis. Kč</w:t>
            </w:r>
          </w:p>
          <w:p w14:paraId="6912F831" w14:textId="77777777" w:rsidR="00EE17E4" w:rsidRPr="008A0818" w:rsidRDefault="00EE17E4" w:rsidP="00A42AE8">
            <w:pPr>
              <w:ind w:left="634" w:hanging="425"/>
              <w:jc w:val="right"/>
              <w:rPr>
                <w:bCs/>
                <w:i/>
              </w:rPr>
            </w:pPr>
            <w:r w:rsidRPr="008A0818">
              <w:rPr>
                <w:b/>
                <w:bCs/>
                <w:i/>
              </w:rPr>
              <w:t>0 tis. Kč</w:t>
            </w:r>
          </w:p>
        </w:tc>
      </w:tr>
    </w:tbl>
    <w:p w14:paraId="7AE8DCCC" w14:textId="77777777" w:rsidR="00EE17E4" w:rsidRPr="008A0818" w:rsidRDefault="00EE17E4" w:rsidP="00A42AE8">
      <w:pPr>
        <w:spacing w:before="80"/>
        <w:jc w:val="both"/>
        <w:rPr>
          <w:sz w:val="22"/>
          <w:szCs w:val="22"/>
        </w:rPr>
      </w:pPr>
      <w:r w:rsidRPr="008A0818">
        <w:rPr>
          <w:sz w:val="22"/>
          <w:szCs w:val="22"/>
        </w:rPr>
        <w:t xml:space="preserve">*) z toho: prostředky na financování informačních a komunikačních technologií (ICT) </w:t>
      </w:r>
    </w:p>
    <w:p w14:paraId="526B7745" w14:textId="77777777" w:rsidR="00EE17E4" w:rsidRPr="00A42AE8" w:rsidRDefault="00EE17E4" w:rsidP="005E4525">
      <w:pPr>
        <w:pStyle w:val="Odstavecseseznamem"/>
        <w:numPr>
          <w:ilvl w:val="0"/>
          <w:numId w:val="35"/>
        </w:numPr>
        <w:spacing w:before="80"/>
        <w:ind w:left="709" w:hanging="425"/>
        <w:jc w:val="both"/>
        <w:rPr>
          <w:sz w:val="22"/>
          <w:szCs w:val="22"/>
        </w:rPr>
      </w:pPr>
      <w:r w:rsidRPr="00A42AE8">
        <w:rPr>
          <w:sz w:val="22"/>
          <w:szCs w:val="22"/>
        </w:rPr>
        <w:t>kapitálové výdaje 2 452</w:t>
      </w:r>
      <w:r w:rsidRPr="00A42AE8">
        <w:rPr>
          <w:b/>
        </w:rPr>
        <w:t xml:space="preserve"> </w:t>
      </w:r>
      <w:r w:rsidRPr="00A42AE8">
        <w:rPr>
          <w:sz w:val="22"/>
          <w:szCs w:val="22"/>
        </w:rPr>
        <w:t xml:space="preserve">tis. Kč, z toho nároky 2 452 tis. Kč </w:t>
      </w:r>
    </w:p>
    <w:p w14:paraId="7FCB60F6" w14:textId="77777777" w:rsidR="00EE17E4" w:rsidRPr="00A42AE8" w:rsidRDefault="00EE17E4" w:rsidP="00275CE2">
      <w:pPr>
        <w:pStyle w:val="Odstavecseseznamem"/>
        <w:numPr>
          <w:ilvl w:val="0"/>
          <w:numId w:val="35"/>
        </w:numPr>
        <w:spacing w:before="80"/>
        <w:ind w:left="709" w:hanging="425"/>
        <w:jc w:val="both"/>
        <w:rPr>
          <w:color w:val="FF0000"/>
          <w:sz w:val="22"/>
          <w:szCs w:val="22"/>
        </w:rPr>
      </w:pPr>
      <w:r w:rsidRPr="00A42AE8">
        <w:rPr>
          <w:sz w:val="22"/>
          <w:szCs w:val="22"/>
        </w:rPr>
        <w:t xml:space="preserve">běžné výdaje 1 310 tis. Kč, z toho nároky 1310 tis. Kč </w:t>
      </w:r>
    </w:p>
    <w:p w14:paraId="3853C7D6" w14:textId="3352ABC0" w:rsidR="00EE17E4" w:rsidRPr="008A0818" w:rsidRDefault="00EE17E4" w:rsidP="00A42AE8">
      <w:pPr>
        <w:spacing w:before="120"/>
        <w:jc w:val="both"/>
        <w:rPr>
          <w:sz w:val="22"/>
          <w:szCs w:val="22"/>
        </w:rPr>
      </w:pPr>
      <w:r w:rsidRPr="008A0818">
        <w:rPr>
          <w:i/>
          <w:sz w:val="22"/>
          <w:szCs w:val="22"/>
          <w:vertAlign w:val="superscript"/>
        </w:rPr>
        <w:t>x</w:t>
      </w:r>
      <w:r w:rsidRPr="008A0818">
        <w:rPr>
          <w:i/>
          <w:sz w:val="22"/>
          <w:szCs w:val="22"/>
        </w:rPr>
        <w:t>)</w:t>
      </w:r>
      <w:r w:rsidRPr="008A0818">
        <w:rPr>
          <w:sz w:val="22"/>
          <w:szCs w:val="22"/>
        </w:rPr>
        <w:t xml:space="preserve"> z toho: nároky za celý program 3 76</w:t>
      </w:r>
      <w:r>
        <w:rPr>
          <w:sz w:val="22"/>
          <w:szCs w:val="22"/>
        </w:rPr>
        <w:t>2</w:t>
      </w:r>
      <w:r w:rsidRPr="008A0818">
        <w:rPr>
          <w:sz w:val="22"/>
          <w:szCs w:val="22"/>
        </w:rPr>
        <w:t xml:space="preserve"> tis. Kč (rozdělení na investiční a neinvestiční nároky je uvedeno viz výše *)</w:t>
      </w:r>
    </w:p>
    <w:p w14:paraId="012629FF" w14:textId="77777777" w:rsidR="00EE17E4" w:rsidRPr="008A0818" w:rsidRDefault="00EE17E4" w:rsidP="00A42AE8">
      <w:pPr>
        <w:pStyle w:val="Nadpis6"/>
        <w:rPr>
          <w:szCs w:val="20"/>
        </w:rPr>
      </w:pPr>
      <w:bookmarkStart w:id="1013" w:name="_Toc255297654"/>
      <w:bookmarkStart w:id="1014" w:name="_Toc413413671"/>
      <w:bookmarkEnd w:id="1011"/>
      <w:bookmarkEnd w:id="1012"/>
      <w:r w:rsidRPr="008A0818">
        <w:t>127 03 Rozvoj a obnova materiálně technické základny (MTZ) systému řízení MD–OSS</w:t>
      </w:r>
      <w:r w:rsidRPr="008A0818">
        <w:rPr>
          <w:szCs w:val="20"/>
        </w:rPr>
        <w:t xml:space="preserve"> </w:t>
      </w:r>
    </w:p>
    <w:p w14:paraId="3025D987" w14:textId="77777777" w:rsidR="00EE17E4" w:rsidRPr="008A0818" w:rsidRDefault="00EE17E4" w:rsidP="00A42AE8">
      <w:pPr>
        <w:pStyle w:val="KOMtext"/>
      </w:pPr>
      <w:r w:rsidRPr="008A0818">
        <w:t xml:space="preserve">Cílem tohoto programu je zabezpečení obnovy dlouhodobého majetku Ministerstva dopravy </w:t>
      </w:r>
      <w:r w:rsidR="00A42AE8">
        <w:br/>
      </w:r>
      <w:r w:rsidRPr="008A0818">
        <w:t xml:space="preserve">a organizací systému řízení rezortu dopravy a svým zaměřením navazuje na program 127 01, který se postupně utlumuje. </w:t>
      </w:r>
    </w:p>
    <w:p w14:paraId="3716EB3C" w14:textId="77777777" w:rsidR="00EE17E4" w:rsidRPr="008A0818" w:rsidRDefault="00EE17E4" w:rsidP="00A42AE8">
      <w:pPr>
        <w:pStyle w:val="KOMtext"/>
      </w:pPr>
      <w:r w:rsidRPr="008A0818">
        <w:t xml:space="preserve">Jedná se stejně jako u programu 127 01 především o </w:t>
      </w:r>
      <w:r w:rsidR="00A42AE8">
        <w:t xml:space="preserve">investiční prostředky na obnovu </w:t>
      </w:r>
      <w:r w:rsidRPr="008A0818">
        <w:t>informačních technologií, výpočetní techniky, obnovu vozových parků, pořízení strojů, přístrojů či měřících zařízení, rozmnožovacích a kopírovacích strojů, a také o neinvestiční prostředky určené na provozování ICT organizačních složek státu: ústřední orgán MD, Drážní úřad, Úřad pro civilní letectví, Státní plavební správa, Ředitelství vodních cest ČR, Drážní inspekce, Ústav pro odborné zjišťování příčin leteckých nehod.</w:t>
      </w:r>
    </w:p>
    <w:p w14:paraId="054B1DF3" w14:textId="77777777" w:rsidR="00EE17E4" w:rsidRPr="008A0818" w:rsidRDefault="00EE17E4" w:rsidP="00556FCC">
      <w:pPr>
        <w:pStyle w:val="KOMtext"/>
      </w:pPr>
      <w:r w:rsidRPr="008A0818">
        <w:t xml:space="preserve">Kancelářskou techniku, specifické stroje a zařízení nutné k zabezpečení jednotlivých činností rezortu Ministerstva </w:t>
      </w:r>
      <w:r w:rsidRPr="00556FCC">
        <w:t>dopravy</w:t>
      </w:r>
      <w:r w:rsidRPr="008A0818">
        <w:t xml:space="preserve"> je nezbytné obnovovat tak, aby se předcházelo jejich morálnímu zastarávání a následné četné poruchovosti. U stavebních akcí jde z hlediska věcného především o rekonstrukce, technické zhodnocení budov a zabezpečení objektů. </w:t>
      </w:r>
    </w:p>
    <w:p w14:paraId="2DC8B777" w14:textId="77777777" w:rsidR="00EE17E4" w:rsidRPr="008A0818" w:rsidRDefault="00EE17E4" w:rsidP="00A42AE8">
      <w:pPr>
        <w:pStyle w:val="KOMtext"/>
      </w:pPr>
      <w:r w:rsidRPr="008A0818">
        <w:t>Program byl zahájen v roce 2016 a ukončení se</w:t>
      </w:r>
      <w:r>
        <w:t xml:space="preserve"> předpokládá do konce roku 2025 (subtitul ICT 127V0310 „Pořizování, obnova a provozování ICT systému řízení MD-OSS“) a do konce roku 2022 (subtituly rozvoje a obnovy MTZ MD - 127V0320 a OSS – 127V0330, 127V0340, 127V0350, 127V0360, 127V0370 a 127V0380).</w:t>
      </w:r>
    </w:p>
    <w:p w14:paraId="08330EF3" w14:textId="77777777" w:rsidR="00EE17E4" w:rsidRPr="008A0818" w:rsidRDefault="00EE17E4" w:rsidP="00A42AE8">
      <w:pPr>
        <w:pStyle w:val="KOMtext"/>
      </w:pPr>
      <w:r w:rsidRPr="008A0818">
        <w:t xml:space="preserve">Dokumentace programu byla schválena </w:t>
      </w:r>
      <w:r w:rsidR="00A42AE8">
        <w:t xml:space="preserve">dopisem Ministerstva financí </w:t>
      </w:r>
      <w:r w:rsidRPr="008A0818">
        <w:t xml:space="preserve">dopisem </w:t>
      </w:r>
      <w:r w:rsidR="00C25D56">
        <w:br/>
      </w:r>
      <w:r w:rsidRPr="008A0818">
        <w:t xml:space="preserve">č. j. MF-58492/2015/1903-3 ze dne 6.1.2016. Poslední aktualizace dokumentace programu byla schválena Ministerstvem financí dopisem č. j. MF-15123/2018/1903-3 z 6.6.2018. </w:t>
      </w:r>
    </w:p>
    <w:p w14:paraId="29D13507" w14:textId="77777777" w:rsidR="00EE17E4" w:rsidRPr="008A0818" w:rsidRDefault="00EE17E4" w:rsidP="00EB4B32">
      <w:pPr>
        <w:pStyle w:val="KOMtext"/>
        <w:keepNext/>
      </w:pPr>
      <w:r w:rsidRPr="008A0818">
        <w:lastRenderedPageBreak/>
        <w:t>Program je rozdělen na 8 subtitulů:</w:t>
      </w:r>
    </w:p>
    <w:p w14:paraId="59EC2296" w14:textId="77777777" w:rsidR="00EE17E4" w:rsidRPr="00E45919" w:rsidRDefault="00EE17E4" w:rsidP="00275CE2">
      <w:pPr>
        <w:keepNext/>
        <w:numPr>
          <w:ilvl w:val="0"/>
          <w:numId w:val="13"/>
        </w:numPr>
        <w:tabs>
          <w:tab w:val="clear" w:pos="1069"/>
        </w:tabs>
        <w:suppressAutoHyphens/>
        <w:spacing w:before="240" w:after="120"/>
        <w:ind w:left="709" w:hanging="425"/>
        <w:jc w:val="both"/>
      </w:pPr>
      <w:r w:rsidRPr="00E45919">
        <w:rPr>
          <w:i/>
        </w:rPr>
        <w:t>127V0310 „Pořizování, obnova a provozování ICT systému řízení MD-OSS“</w:t>
      </w:r>
      <w:r w:rsidRPr="00E45919">
        <w:t xml:space="preserve"> </w:t>
      </w:r>
    </w:p>
    <w:p w14:paraId="52F7B48D" w14:textId="77777777" w:rsidR="00EE17E4" w:rsidRPr="00E45919" w:rsidRDefault="00EE17E4" w:rsidP="00A42AE8">
      <w:pPr>
        <w:pStyle w:val="KOMtext"/>
      </w:pPr>
      <w:r w:rsidRPr="00E45919">
        <w:t>V rámci tohoto subtitulu byly použity prostř</w:t>
      </w:r>
      <w:r w:rsidR="00A42AE8">
        <w:t>edky státního rozpočtu ve výši</w:t>
      </w:r>
      <w:r w:rsidRPr="00E45919">
        <w:t xml:space="preserve"> </w:t>
      </w:r>
      <w:r w:rsidRPr="00E45919">
        <w:rPr>
          <w:b/>
          <w:iCs/>
        </w:rPr>
        <w:t>100 96</w:t>
      </w:r>
      <w:r>
        <w:rPr>
          <w:b/>
          <w:iCs/>
        </w:rPr>
        <w:t>3</w:t>
      </w:r>
      <w:r w:rsidRPr="00E45919">
        <w:rPr>
          <w:b/>
          <w:iCs/>
        </w:rPr>
        <w:t xml:space="preserve"> </w:t>
      </w:r>
      <w:r w:rsidRPr="00E45919">
        <w:rPr>
          <w:b/>
        </w:rPr>
        <w:t>tis. Kč</w:t>
      </w:r>
      <w:r w:rsidRPr="00E45919">
        <w:t xml:space="preserve"> (</w:t>
      </w:r>
      <w:r w:rsidRPr="00E45919">
        <w:rPr>
          <w:i/>
        </w:rPr>
        <w:t>investice 32 476 tis. Kč, neinvestice 68 48</w:t>
      </w:r>
      <w:r>
        <w:rPr>
          <w:i/>
        </w:rPr>
        <w:t>7</w:t>
      </w:r>
      <w:r w:rsidRPr="00E45919">
        <w:rPr>
          <w:i/>
        </w:rPr>
        <w:t xml:space="preserve"> tis. Kč),</w:t>
      </w:r>
      <w:r w:rsidRPr="00E45919">
        <w:t xml:space="preserve"> z toho náro</w:t>
      </w:r>
      <w:r w:rsidR="00A42AE8">
        <w:t>ky</w:t>
      </w:r>
      <w:r w:rsidRPr="00E45919">
        <w:t xml:space="preserve"> 26</w:t>
      </w:r>
      <w:r>
        <w:t> </w:t>
      </w:r>
      <w:r w:rsidRPr="00E45919">
        <w:t>833</w:t>
      </w:r>
      <w:r>
        <w:t xml:space="preserve"> </w:t>
      </w:r>
      <w:r w:rsidRPr="00E45919">
        <w:t>tis. Kč (</w:t>
      </w:r>
      <w:r w:rsidRPr="0040030F">
        <w:rPr>
          <w:i/>
        </w:rPr>
        <w:t>investice</w:t>
      </w:r>
      <w:r w:rsidRPr="00E45919">
        <w:t xml:space="preserve"> </w:t>
      </w:r>
      <w:r w:rsidR="00DE2BBD">
        <w:br/>
      </w:r>
      <w:r w:rsidRPr="00E45919">
        <w:t>13 454 tis. Kč</w:t>
      </w:r>
      <w:r>
        <w:t xml:space="preserve"> – z toho EU 70 tis Kč</w:t>
      </w:r>
      <w:r w:rsidRPr="00E45919">
        <w:t xml:space="preserve">, </w:t>
      </w:r>
      <w:r w:rsidRPr="0040030F">
        <w:rPr>
          <w:i/>
        </w:rPr>
        <w:t>neinvestice</w:t>
      </w:r>
      <w:r w:rsidRPr="00E45919">
        <w:t xml:space="preserve"> 13 379</w:t>
      </w:r>
      <w:r>
        <w:t xml:space="preserve"> tis. Kč – z toho EU 8 tis. Kč)</w:t>
      </w:r>
    </w:p>
    <w:p w14:paraId="03D659D2" w14:textId="77777777" w:rsidR="00EE17E4" w:rsidRPr="003369A2" w:rsidRDefault="00EE17E4" w:rsidP="00A42AE8">
      <w:pPr>
        <w:pStyle w:val="KOMtext"/>
      </w:pPr>
      <w:r w:rsidRPr="003369A2">
        <w:rPr>
          <w:b/>
        </w:rPr>
        <w:t xml:space="preserve">Ústřední orgán MD </w:t>
      </w:r>
      <w:r w:rsidRPr="003369A2">
        <w:t xml:space="preserve">čerpal prostředky ve výši </w:t>
      </w:r>
      <w:r>
        <w:rPr>
          <w:b/>
        </w:rPr>
        <w:t>91 478</w:t>
      </w:r>
      <w:r w:rsidRPr="003369A2">
        <w:rPr>
          <w:b/>
        </w:rPr>
        <w:t xml:space="preserve"> tis. Kč</w:t>
      </w:r>
      <w:r w:rsidRPr="003369A2">
        <w:t xml:space="preserve"> (</w:t>
      </w:r>
      <w:r w:rsidRPr="003369A2">
        <w:rPr>
          <w:i/>
        </w:rPr>
        <w:t>investice 22</w:t>
      </w:r>
      <w:r>
        <w:rPr>
          <w:i/>
        </w:rPr>
        <w:t xml:space="preserve"> 991 tis. Kč, neinvestice 68 487</w:t>
      </w:r>
      <w:r w:rsidRPr="003369A2">
        <w:rPr>
          <w:i/>
        </w:rPr>
        <w:t xml:space="preserve"> tis. Kč)</w:t>
      </w:r>
      <w:r w:rsidRPr="003369A2">
        <w:t>, z toho nároky 23 632 tis. Kč (</w:t>
      </w:r>
      <w:r w:rsidRPr="003369A2">
        <w:rPr>
          <w:i/>
        </w:rPr>
        <w:t xml:space="preserve">investice 10 253 tis. Kč, neinvestice </w:t>
      </w:r>
      <w:r w:rsidR="00A42AE8">
        <w:rPr>
          <w:i/>
        </w:rPr>
        <w:br/>
      </w:r>
      <w:r w:rsidRPr="003369A2">
        <w:rPr>
          <w:i/>
        </w:rPr>
        <w:t>13 379 tis. Kč</w:t>
      </w:r>
      <w:r w:rsidRPr="003369A2">
        <w:t xml:space="preserve">), a to především v rámci akcí: </w:t>
      </w:r>
    </w:p>
    <w:p w14:paraId="51408389" w14:textId="77777777" w:rsidR="00EE17E4" w:rsidRPr="001B26A3" w:rsidRDefault="00EE17E4" w:rsidP="00275CE2">
      <w:pPr>
        <w:numPr>
          <w:ilvl w:val="0"/>
          <w:numId w:val="38"/>
        </w:numPr>
        <w:tabs>
          <w:tab w:val="clear" w:pos="794"/>
        </w:tabs>
        <w:suppressAutoHyphens/>
        <w:spacing w:after="120"/>
        <w:ind w:left="709" w:hanging="425"/>
        <w:jc w:val="both"/>
      </w:pPr>
      <w:r w:rsidRPr="001B26A3">
        <w:t>Zajištění provozu a rozvoje Registru silničních vozidel (</w:t>
      </w:r>
      <w:r w:rsidRPr="001B26A3">
        <w:rPr>
          <w:i/>
        </w:rPr>
        <w:t xml:space="preserve">investice </w:t>
      </w:r>
      <w:r w:rsidRPr="001B26A3">
        <w:t>3 105 tis. Kč</w:t>
      </w:r>
      <w:r w:rsidRPr="001B26A3">
        <w:rPr>
          <w:i/>
        </w:rPr>
        <w:t xml:space="preserve">, neinvestice </w:t>
      </w:r>
      <w:r w:rsidRPr="001B26A3">
        <w:t>16 771 tis. Kč)</w:t>
      </w:r>
    </w:p>
    <w:p w14:paraId="33030C17" w14:textId="77777777" w:rsidR="00EE17E4" w:rsidRPr="001B26A3" w:rsidRDefault="00EE17E4" w:rsidP="00275CE2">
      <w:pPr>
        <w:numPr>
          <w:ilvl w:val="0"/>
          <w:numId w:val="38"/>
        </w:numPr>
        <w:tabs>
          <w:tab w:val="clear" w:pos="794"/>
        </w:tabs>
        <w:suppressAutoHyphens/>
        <w:spacing w:after="120"/>
        <w:ind w:left="709" w:hanging="425"/>
        <w:jc w:val="both"/>
      </w:pPr>
      <w:r w:rsidRPr="001B26A3">
        <w:t xml:space="preserve">Zajištění provozu a rozvoje Informačního systému technických prohlídek </w:t>
      </w:r>
      <w:r>
        <w:t xml:space="preserve">                                         </w:t>
      </w:r>
      <w:r w:rsidRPr="001B26A3">
        <w:t>(</w:t>
      </w:r>
      <w:r w:rsidRPr="001B26A3">
        <w:rPr>
          <w:i/>
        </w:rPr>
        <w:t xml:space="preserve">investice </w:t>
      </w:r>
      <w:r w:rsidRPr="001B26A3">
        <w:t xml:space="preserve">5 983 tis. Kč, </w:t>
      </w:r>
      <w:r w:rsidRPr="001B26A3">
        <w:rPr>
          <w:i/>
        </w:rPr>
        <w:t xml:space="preserve">neinvestice </w:t>
      </w:r>
      <w:r w:rsidRPr="001B26A3">
        <w:t>12 263 tis. Kč)</w:t>
      </w:r>
    </w:p>
    <w:p w14:paraId="16F3A8B9" w14:textId="77777777" w:rsidR="00EE17E4" w:rsidRPr="00224471" w:rsidRDefault="00EE17E4" w:rsidP="00275CE2">
      <w:pPr>
        <w:numPr>
          <w:ilvl w:val="0"/>
          <w:numId w:val="38"/>
        </w:numPr>
        <w:tabs>
          <w:tab w:val="clear" w:pos="794"/>
        </w:tabs>
        <w:suppressAutoHyphens/>
        <w:spacing w:after="120"/>
        <w:ind w:left="709" w:hanging="425"/>
        <w:jc w:val="both"/>
      </w:pPr>
      <w:r w:rsidRPr="00224471">
        <w:t>Výroba a personalizace karet Digitálního tachografu České republiky                            (</w:t>
      </w:r>
      <w:r w:rsidRPr="00224471">
        <w:rPr>
          <w:i/>
        </w:rPr>
        <w:t xml:space="preserve">investice </w:t>
      </w:r>
      <w:r w:rsidRPr="00224471">
        <w:t xml:space="preserve">3 572 tis. Kč, </w:t>
      </w:r>
      <w:r w:rsidRPr="00224471">
        <w:rPr>
          <w:i/>
        </w:rPr>
        <w:t xml:space="preserve">neinvestice </w:t>
      </w:r>
      <w:r w:rsidRPr="00224471">
        <w:t>27 171 tis. Kč)</w:t>
      </w:r>
    </w:p>
    <w:p w14:paraId="1C9C76EF" w14:textId="77777777" w:rsidR="00EE17E4" w:rsidRPr="001B26A3" w:rsidRDefault="00EE17E4" w:rsidP="00275CE2">
      <w:pPr>
        <w:numPr>
          <w:ilvl w:val="0"/>
          <w:numId w:val="38"/>
        </w:numPr>
        <w:tabs>
          <w:tab w:val="clear" w:pos="794"/>
        </w:tabs>
        <w:suppressAutoHyphens/>
        <w:spacing w:after="120"/>
        <w:ind w:left="709" w:hanging="425"/>
        <w:jc w:val="both"/>
        <w:rPr>
          <w:i/>
        </w:rPr>
      </w:pPr>
      <w:r w:rsidRPr="001B26A3">
        <w:t xml:space="preserve">Pořízení aplikace foto a poskytování služby zajištění pořízení digitalizované fotografie </w:t>
      </w:r>
      <w:r w:rsidR="00DE2BBD">
        <w:br/>
      </w:r>
      <w:r w:rsidRPr="001B26A3">
        <w:t>a digitalizovaného podpisu na pracovištích ORP (</w:t>
      </w:r>
      <w:r w:rsidRPr="001B26A3">
        <w:rPr>
          <w:i/>
        </w:rPr>
        <w:t xml:space="preserve">neinvestice </w:t>
      </w:r>
      <w:r w:rsidRPr="001B26A3">
        <w:t>4 256 tis. Kč</w:t>
      </w:r>
      <w:r w:rsidRPr="001B26A3">
        <w:rPr>
          <w:i/>
        </w:rPr>
        <w:t>)</w:t>
      </w:r>
    </w:p>
    <w:p w14:paraId="398B6B5E" w14:textId="77777777" w:rsidR="00EE17E4" w:rsidRPr="00224471" w:rsidRDefault="00EE17E4" w:rsidP="00275CE2">
      <w:pPr>
        <w:numPr>
          <w:ilvl w:val="0"/>
          <w:numId w:val="38"/>
        </w:numPr>
        <w:tabs>
          <w:tab w:val="clear" w:pos="794"/>
        </w:tabs>
        <w:suppressAutoHyphens/>
        <w:spacing w:after="120"/>
        <w:ind w:left="709" w:hanging="425"/>
        <w:jc w:val="both"/>
        <w:rPr>
          <w:i/>
        </w:rPr>
      </w:pPr>
      <w:r w:rsidRPr="00224471">
        <w:t>Rozšíření počítačové sítě v budově Ministerstva dopravy (</w:t>
      </w:r>
      <w:r w:rsidRPr="00224471">
        <w:rPr>
          <w:i/>
        </w:rPr>
        <w:t xml:space="preserve">investice </w:t>
      </w:r>
      <w:r w:rsidRPr="00224471">
        <w:t>2 308 tis. Kč)</w:t>
      </w:r>
    </w:p>
    <w:p w14:paraId="34A2C5FF" w14:textId="02656A49" w:rsidR="00EE17E4" w:rsidRPr="00224471" w:rsidRDefault="00EE17E4" w:rsidP="00275CE2">
      <w:pPr>
        <w:numPr>
          <w:ilvl w:val="0"/>
          <w:numId w:val="38"/>
        </w:numPr>
        <w:tabs>
          <w:tab w:val="clear" w:pos="794"/>
        </w:tabs>
        <w:suppressAutoHyphens/>
        <w:spacing w:after="120"/>
        <w:ind w:left="709" w:hanging="425"/>
        <w:jc w:val="both"/>
        <w:rPr>
          <w:i/>
        </w:rPr>
      </w:pPr>
      <w:r w:rsidRPr="00224471">
        <w:t xml:space="preserve">Podpora a upgrade </w:t>
      </w:r>
      <w:r w:rsidR="00727A0A">
        <w:t>IS</w:t>
      </w:r>
      <w:r w:rsidRPr="00224471">
        <w:t xml:space="preserve"> ADR  (</w:t>
      </w:r>
      <w:r w:rsidRPr="00224471">
        <w:rPr>
          <w:i/>
        </w:rPr>
        <w:t xml:space="preserve">investice </w:t>
      </w:r>
      <w:r w:rsidRPr="00224471">
        <w:t>947</w:t>
      </w:r>
      <w:r w:rsidR="00727A0A">
        <w:t xml:space="preserve"> tis Kč</w:t>
      </w:r>
      <w:r w:rsidRPr="00224471">
        <w:t xml:space="preserve">, </w:t>
      </w:r>
      <w:r w:rsidRPr="00224471">
        <w:rPr>
          <w:i/>
        </w:rPr>
        <w:t xml:space="preserve">neinvestice </w:t>
      </w:r>
      <w:r w:rsidRPr="00224471">
        <w:t>218 tis. Kč)</w:t>
      </w:r>
    </w:p>
    <w:p w14:paraId="6392A119" w14:textId="77777777" w:rsidR="00EE17E4" w:rsidRPr="00C16AF5" w:rsidRDefault="00EE17E4" w:rsidP="00275CE2">
      <w:pPr>
        <w:numPr>
          <w:ilvl w:val="0"/>
          <w:numId w:val="38"/>
        </w:numPr>
        <w:tabs>
          <w:tab w:val="clear" w:pos="794"/>
        </w:tabs>
        <w:suppressAutoHyphens/>
        <w:spacing w:after="240"/>
        <w:ind w:left="709" w:hanging="425"/>
        <w:jc w:val="both"/>
      </w:pPr>
      <w:r w:rsidRPr="00224471">
        <w:t>Národní kontaktní místo - rozšíření manažerského modulu (</w:t>
      </w:r>
      <w:r w:rsidRPr="00224471">
        <w:rPr>
          <w:i/>
        </w:rPr>
        <w:t xml:space="preserve">investice </w:t>
      </w:r>
      <w:r w:rsidRPr="00224471">
        <w:t>1 420 tis. Kč)</w:t>
      </w:r>
      <w:r w:rsidRPr="00224471">
        <w:rPr>
          <w:i/>
        </w:rPr>
        <w:t xml:space="preserve"> </w:t>
      </w:r>
    </w:p>
    <w:p w14:paraId="0B3B37A4" w14:textId="77777777" w:rsidR="00EE17E4" w:rsidRDefault="00EE17E4" w:rsidP="00275CE2">
      <w:pPr>
        <w:numPr>
          <w:ilvl w:val="0"/>
          <w:numId w:val="38"/>
        </w:numPr>
        <w:tabs>
          <w:tab w:val="clear" w:pos="794"/>
        </w:tabs>
        <w:suppressAutoHyphens/>
        <w:spacing w:after="240"/>
        <w:ind w:left="709" w:hanging="425"/>
        <w:jc w:val="both"/>
      </w:pPr>
      <w:r>
        <w:t>Zajištění služeb provozu, podpory a rozvoje ekonomického systému IFS9 2019-2020 (</w:t>
      </w:r>
      <w:r>
        <w:rPr>
          <w:i/>
        </w:rPr>
        <w:t xml:space="preserve">neinvestice </w:t>
      </w:r>
      <w:r>
        <w:t>3 449 tis. Kč)</w:t>
      </w:r>
    </w:p>
    <w:p w14:paraId="79D25635" w14:textId="77777777" w:rsidR="00EE17E4" w:rsidRPr="00224471" w:rsidRDefault="00EE17E4" w:rsidP="00275CE2">
      <w:pPr>
        <w:numPr>
          <w:ilvl w:val="0"/>
          <w:numId w:val="38"/>
        </w:numPr>
        <w:tabs>
          <w:tab w:val="clear" w:pos="794"/>
        </w:tabs>
        <w:suppressAutoHyphens/>
        <w:spacing w:after="240"/>
        <w:ind w:left="709" w:hanging="425"/>
        <w:jc w:val="both"/>
      </w:pPr>
      <w:r>
        <w:t>Zajištění správy, provozu a rozvoje Spisové služby ACTA 2018+ (</w:t>
      </w:r>
      <w:r>
        <w:rPr>
          <w:i/>
        </w:rPr>
        <w:t xml:space="preserve">investice </w:t>
      </w:r>
      <w:r>
        <w:t>552 tis. Kč</w:t>
      </w:r>
      <w:r>
        <w:rPr>
          <w:i/>
        </w:rPr>
        <w:t xml:space="preserve">, neinvestice </w:t>
      </w:r>
      <w:r>
        <w:t>806 tis. Kč)</w:t>
      </w:r>
    </w:p>
    <w:p w14:paraId="154221F9" w14:textId="77777777" w:rsidR="00EE17E4" w:rsidRPr="00224471" w:rsidRDefault="00EE17E4" w:rsidP="00275CE2">
      <w:pPr>
        <w:numPr>
          <w:ilvl w:val="0"/>
          <w:numId w:val="38"/>
        </w:numPr>
        <w:tabs>
          <w:tab w:val="clear" w:pos="794"/>
        </w:tabs>
        <w:suppressAutoHyphens/>
        <w:spacing w:after="240"/>
        <w:ind w:left="709" w:hanging="425"/>
        <w:jc w:val="both"/>
      </w:pPr>
      <w:r>
        <w:t>IS CRŘ – Poskytování informací prostřednictvím Portálu občana pro fyzické osoby (</w:t>
      </w:r>
      <w:r>
        <w:rPr>
          <w:i/>
        </w:rPr>
        <w:t xml:space="preserve">investice </w:t>
      </w:r>
      <w:r>
        <w:t>865 tis. Kč)</w:t>
      </w:r>
    </w:p>
    <w:p w14:paraId="251E0488" w14:textId="77777777" w:rsidR="00EE17E4" w:rsidRPr="00224471" w:rsidRDefault="00EE17E4" w:rsidP="00275CE2">
      <w:pPr>
        <w:numPr>
          <w:ilvl w:val="0"/>
          <w:numId w:val="38"/>
        </w:numPr>
        <w:tabs>
          <w:tab w:val="clear" w:pos="794"/>
        </w:tabs>
        <w:suppressAutoHyphens/>
        <w:spacing w:after="240"/>
        <w:ind w:left="709" w:hanging="425"/>
        <w:jc w:val="both"/>
      </w:pPr>
      <w:r>
        <w:t>IS CRŘ – Rozvoj aplikace dle zákona č. 412/2005 Sb., o ochraně utajovaných informací a bezpečnostní způsobilosti (</w:t>
      </w:r>
      <w:r>
        <w:rPr>
          <w:i/>
        </w:rPr>
        <w:t xml:space="preserve">investice </w:t>
      </w:r>
      <w:r>
        <w:t>535 tis. Kč)</w:t>
      </w:r>
    </w:p>
    <w:p w14:paraId="0BA09C4B" w14:textId="2AC257DE" w:rsidR="00EE17E4" w:rsidRDefault="005E4525" w:rsidP="00EE17E4">
      <w:pPr>
        <w:pStyle w:val="KOMtext"/>
      </w:pPr>
      <w:r>
        <w:rPr>
          <w:bCs/>
        </w:rPr>
        <w:t>Ostatní o</w:t>
      </w:r>
      <w:r w:rsidR="00EE17E4" w:rsidRPr="004F2B3E">
        <w:rPr>
          <w:bCs/>
        </w:rPr>
        <w:t>rganizační složky státu</w:t>
      </w:r>
      <w:r w:rsidR="00EE17E4" w:rsidRPr="004F2B3E">
        <w:rPr>
          <w:b/>
          <w:bCs/>
        </w:rPr>
        <w:t xml:space="preserve"> </w:t>
      </w:r>
      <w:r w:rsidR="00EE17E4" w:rsidRPr="004F2B3E">
        <w:rPr>
          <w:bCs/>
        </w:rPr>
        <w:t xml:space="preserve">v rámci subtitulu 127V0310 </w:t>
      </w:r>
      <w:r w:rsidR="00771FD5">
        <w:rPr>
          <w:bCs/>
        </w:rPr>
        <w:t>čerpaly investiční prostředky</w:t>
      </w:r>
      <w:r w:rsidR="00EE17E4" w:rsidRPr="004F2B3E">
        <w:rPr>
          <w:bCs/>
        </w:rPr>
        <w:t xml:space="preserve"> ve výši </w:t>
      </w:r>
      <w:r w:rsidR="00EE17E4" w:rsidRPr="004F2B3E">
        <w:rPr>
          <w:b/>
        </w:rPr>
        <w:t>9 485 tis. Kč</w:t>
      </w:r>
      <w:r w:rsidR="00EE17E4">
        <w:t xml:space="preserve"> (z toho nároky 3 201 tis. Kč).</w:t>
      </w:r>
      <w:r w:rsidR="00EE17E4" w:rsidRPr="003369A2">
        <w:t xml:space="preserve"> </w:t>
      </w:r>
      <w:r w:rsidR="00EE17E4" w:rsidRPr="004F2B3E">
        <w:rPr>
          <w:b/>
        </w:rPr>
        <w:t>Státní plavební správa</w:t>
      </w:r>
      <w:r w:rsidR="00EE17E4" w:rsidRPr="003369A2">
        <w:t xml:space="preserve"> čerpala investice </w:t>
      </w:r>
      <w:r w:rsidR="00EE17E4">
        <w:t xml:space="preserve">ve výši </w:t>
      </w:r>
      <w:r w:rsidR="00EE17E4">
        <w:rPr>
          <w:b/>
        </w:rPr>
        <w:t xml:space="preserve">6 587 tis. Kč </w:t>
      </w:r>
      <w:r w:rsidR="00EE17E4">
        <w:t>(z toho nároky 2 501 tis. Kč)</w:t>
      </w:r>
      <w:r w:rsidR="00EE17E4">
        <w:rPr>
          <w:b/>
        </w:rPr>
        <w:t xml:space="preserve"> </w:t>
      </w:r>
      <w:r w:rsidR="00EE17E4" w:rsidRPr="003369A2">
        <w:t>na obnovu výpočetní techniky (1 454 tis. Kč), na rozvoj říčního informačního systému (1 154 tis. Kč), na pořízení interaktivních úředních desek (1 016 tis. Kč), na rozšíření programo</w:t>
      </w:r>
      <w:r w:rsidR="00EE17E4">
        <w:t xml:space="preserve">vého vybavení </w:t>
      </w:r>
      <w:r w:rsidR="00EE17E4" w:rsidRPr="003369A2">
        <w:t xml:space="preserve">(2 287 tis. Kč), upgrade geografického informačního systému (676 tis. Kč). </w:t>
      </w:r>
      <w:r w:rsidR="00EE17E4" w:rsidRPr="004F2B3E">
        <w:rPr>
          <w:b/>
        </w:rPr>
        <w:t>Ředitelství vodních cest</w:t>
      </w:r>
      <w:r w:rsidR="00EE17E4" w:rsidRPr="003369A2">
        <w:t xml:space="preserve"> využilo investiční prostředky</w:t>
      </w:r>
      <w:r w:rsidR="00EE17E4">
        <w:t xml:space="preserve"> ve výši </w:t>
      </w:r>
      <w:r w:rsidR="00EE17E4">
        <w:rPr>
          <w:b/>
        </w:rPr>
        <w:t>580 tis. Kč</w:t>
      </w:r>
      <w:r w:rsidR="00EE17E4" w:rsidRPr="003369A2">
        <w:t xml:space="preserve"> </w:t>
      </w:r>
      <w:r w:rsidR="00EE17E4">
        <w:t xml:space="preserve">(z toho nároky 580 tis. Kč) </w:t>
      </w:r>
      <w:r w:rsidR="00EE17E4" w:rsidRPr="003369A2">
        <w:t xml:space="preserve">na pořízení SQL (146 tis. Kč) a obnovu výpočetní techniky (434 tis. Kč). </w:t>
      </w:r>
      <w:r w:rsidR="00EE17E4" w:rsidRPr="004F2B3E">
        <w:rPr>
          <w:b/>
        </w:rPr>
        <w:t>Úřad pro civilní letectví</w:t>
      </w:r>
      <w:r w:rsidR="00EE17E4" w:rsidRPr="003369A2">
        <w:t xml:space="preserve"> investoval </w:t>
      </w:r>
      <w:r w:rsidR="00EE17E4">
        <w:t xml:space="preserve">prostředky ve výši </w:t>
      </w:r>
      <w:r w:rsidR="00EE17E4">
        <w:rPr>
          <w:b/>
        </w:rPr>
        <w:t xml:space="preserve">2 198 tis. Kč </w:t>
      </w:r>
      <w:r w:rsidR="00EE17E4">
        <w:t xml:space="preserve">na obnovu výpočetní techniky prostředky. </w:t>
      </w:r>
      <w:r w:rsidR="00EE17E4" w:rsidRPr="004F2B3E">
        <w:rPr>
          <w:b/>
        </w:rPr>
        <w:t xml:space="preserve">Ústav pro odborné zjišťování </w:t>
      </w:r>
      <w:r w:rsidR="00EE17E4">
        <w:rPr>
          <w:b/>
        </w:rPr>
        <w:t xml:space="preserve">příčin </w:t>
      </w:r>
      <w:r w:rsidR="00EE17E4" w:rsidRPr="004F2B3E">
        <w:rPr>
          <w:b/>
        </w:rPr>
        <w:t>leteckých nehod</w:t>
      </w:r>
      <w:r w:rsidR="00EE17E4" w:rsidRPr="003369A2">
        <w:t xml:space="preserve"> čerpal prostředky ve výši </w:t>
      </w:r>
      <w:r w:rsidR="00EE17E4" w:rsidRPr="006D6615">
        <w:rPr>
          <w:b/>
        </w:rPr>
        <w:t>120 tis. Kč</w:t>
      </w:r>
      <w:r w:rsidR="00EE17E4">
        <w:rPr>
          <w:b/>
        </w:rPr>
        <w:t xml:space="preserve"> </w:t>
      </w:r>
      <w:r w:rsidR="00EE17E4">
        <w:t>(z toho nároky 120 tis. Kč)</w:t>
      </w:r>
      <w:r w:rsidR="00EE17E4" w:rsidRPr="003369A2">
        <w:t xml:space="preserve"> na upgrade programového vybavení. </w:t>
      </w:r>
    </w:p>
    <w:p w14:paraId="2B989648" w14:textId="77777777" w:rsidR="00EE17E4" w:rsidRPr="00F23FE1" w:rsidRDefault="00EE17E4" w:rsidP="00275CE2">
      <w:pPr>
        <w:keepNext/>
        <w:numPr>
          <w:ilvl w:val="0"/>
          <w:numId w:val="13"/>
        </w:numPr>
        <w:tabs>
          <w:tab w:val="clear" w:pos="1069"/>
        </w:tabs>
        <w:suppressAutoHyphens/>
        <w:spacing w:before="240" w:after="120"/>
        <w:ind w:left="709" w:hanging="425"/>
        <w:jc w:val="both"/>
      </w:pPr>
      <w:r w:rsidRPr="00771FD5">
        <w:rPr>
          <w:i/>
        </w:rPr>
        <w:lastRenderedPageBreak/>
        <w:t>127V0320 „Rozvoj a obnova MTZ Ministerstva dopravy“</w:t>
      </w:r>
    </w:p>
    <w:p w14:paraId="17CA0201" w14:textId="77777777" w:rsidR="00EE17E4" w:rsidRDefault="00EE17E4" w:rsidP="00A42AE8">
      <w:pPr>
        <w:pStyle w:val="KOMtext"/>
      </w:pPr>
      <w:r w:rsidRPr="00F23FE1">
        <w:t xml:space="preserve">V rámci tohoto subtitulu byly použity prostředky státního rozpočtu ve výši </w:t>
      </w:r>
      <w:r w:rsidRPr="00741F3D">
        <w:rPr>
          <w:b/>
          <w:iCs/>
        </w:rPr>
        <w:t>4 524 </w:t>
      </w:r>
      <w:r w:rsidRPr="00741F3D">
        <w:rPr>
          <w:b/>
        </w:rPr>
        <w:t xml:space="preserve">tis. Kč </w:t>
      </w:r>
      <w:r w:rsidRPr="00F23FE1">
        <w:rPr>
          <w:i/>
        </w:rPr>
        <w:t>(investice 3 306 tis. Kč, neinvestice 1 218 tis. Kč)</w:t>
      </w:r>
      <w:r>
        <w:t>, z toho nároky 4 191</w:t>
      </w:r>
      <w:r w:rsidRPr="00F23FE1">
        <w:t xml:space="preserve"> tis. Kč</w:t>
      </w:r>
      <w:r>
        <w:t xml:space="preserve"> a</w:t>
      </w:r>
      <w:r w:rsidRPr="00F23FE1">
        <w:t xml:space="preserve"> rezervní fond </w:t>
      </w:r>
      <w:r w:rsidRPr="00F23FE1">
        <w:br/>
        <w:t>333</w:t>
      </w:r>
      <w:r>
        <w:t xml:space="preserve"> tis. Kč v rámci akcí:</w:t>
      </w:r>
    </w:p>
    <w:p w14:paraId="3BBB9C88" w14:textId="77777777" w:rsidR="00EE17E4" w:rsidRPr="009D7992" w:rsidRDefault="00EE17E4" w:rsidP="00275CE2">
      <w:pPr>
        <w:pStyle w:val="Odstavecseseznamem"/>
        <w:numPr>
          <w:ilvl w:val="0"/>
          <w:numId w:val="47"/>
        </w:numPr>
        <w:tabs>
          <w:tab w:val="left" w:pos="360"/>
        </w:tabs>
        <w:suppressAutoHyphens/>
        <w:spacing w:after="120"/>
        <w:ind w:left="794" w:hanging="227"/>
        <w:contextualSpacing w:val="0"/>
        <w:jc w:val="both"/>
      </w:pPr>
      <w:r w:rsidRPr="009D7992">
        <w:t>Bezpečnostní stanoviště a detektor kovu pro kontrolu zavazadel, zásilek a osob                     (</w:t>
      </w:r>
      <w:r w:rsidRPr="009D7992">
        <w:rPr>
          <w:i/>
        </w:rPr>
        <w:t xml:space="preserve">investice </w:t>
      </w:r>
      <w:r w:rsidRPr="009D7992">
        <w:t>1 58</w:t>
      </w:r>
      <w:r>
        <w:t>2</w:t>
      </w:r>
      <w:r w:rsidRPr="009D7992">
        <w:t xml:space="preserve"> tis. Kč)</w:t>
      </w:r>
    </w:p>
    <w:p w14:paraId="2770E1C7" w14:textId="77777777" w:rsidR="00EE17E4" w:rsidRPr="009D7992" w:rsidRDefault="00EE17E4" w:rsidP="00275CE2">
      <w:pPr>
        <w:pStyle w:val="Odstavecseseznamem"/>
        <w:numPr>
          <w:ilvl w:val="0"/>
          <w:numId w:val="47"/>
        </w:numPr>
        <w:tabs>
          <w:tab w:val="left" w:pos="360"/>
        </w:tabs>
        <w:suppressAutoHyphens/>
        <w:spacing w:after="120"/>
        <w:ind w:left="794" w:hanging="227"/>
        <w:contextualSpacing w:val="0"/>
        <w:jc w:val="both"/>
      </w:pPr>
      <w:r w:rsidRPr="009D7992">
        <w:t>Kampaň BESIP „Limit“ (</w:t>
      </w:r>
      <w:r w:rsidRPr="009D7992">
        <w:rPr>
          <w:i/>
        </w:rPr>
        <w:t xml:space="preserve">investice </w:t>
      </w:r>
      <w:r w:rsidRPr="009D7992">
        <w:t xml:space="preserve">363 tis. Kč, </w:t>
      </w:r>
      <w:r w:rsidRPr="009D7992">
        <w:rPr>
          <w:i/>
        </w:rPr>
        <w:t xml:space="preserve">neinvestice </w:t>
      </w:r>
      <w:r w:rsidRPr="009D7992">
        <w:t>946 tis. Kč)</w:t>
      </w:r>
    </w:p>
    <w:p w14:paraId="30925700" w14:textId="77777777" w:rsidR="00EE17E4" w:rsidRPr="001B26A3" w:rsidRDefault="00EE17E4" w:rsidP="00275CE2">
      <w:pPr>
        <w:pStyle w:val="Odstavecseseznamem"/>
        <w:numPr>
          <w:ilvl w:val="0"/>
          <w:numId w:val="47"/>
        </w:numPr>
        <w:tabs>
          <w:tab w:val="left" w:pos="360"/>
        </w:tabs>
        <w:suppressAutoHyphens/>
        <w:spacing w:after="240"/>
        <w:ind w:left="794" w:hanging="227"/>
        <w:jc w:val="both"/>
      </w:pPr>
      <w:r w:rsidRPr="001B26A3">
        <w:t>Výroba preventivních audiovizuálních a rozhlasových spotů s tematikou bezpečnosti silničního provozu (</w:t>
      </w:r>
      <w:r w:rsidRPr="001B26A3">
        <w:rPr>
          <w:i/>
        </w:rPr>
        <w:t>investice</w:t>
      </w:r>
      <w:r w:rsidRPr="001B26A3">
        <w:t xml:space="preserve"> 1 361 tis. Kč</w:t>
      </w:r>
      <w:r w:rsidRPr="001B26A3">
        <w:rPr>
          <w:i/>
        </w:rPr>
        <w:t xml:space="preserve">, neinvestice </w:t>
      </w:r>
      <w:r w:rsidRPr="001B26A3">
        <w:t>272 tis. Kč)</w:t>
      </w:r>
    </w:p>
    <w:p w14:paraId="79206E51" w14:textId="77777777" w:rsidR="00EE17E4" w:rsidRPr="00F23FE1" w:rsidRDefault="00EE17E4" w:rsidP="00275CE2">
      <w:pPr>
        <w:keepNext/>
        <w:numPr>
          <w:ilvl w:val="0"/>
          <w:numId w:val="13"/>
        </w:numPr>
        <w:tabs>
          <w:tab w:val="clear" w:pos="1069"/>
        </w:tabs>
        <w:suppressAutoHyphens/>
        <w:spacing w:before="240" w:after="120"/>
        <w:ind w:left="709" w:hanging="425"/>
        <w:jc w:val="both"/>
      </w:pPr>
      <w:r w:rsidRPr="00F23FE1">
        <w:rPr>
          <w:i/>
        </w:rPr>
        <w:t>127V0330 „Rozvoj a obnova MTZ Drážního úřadu“</w:t>
      </w:r>
      <w:r w:rsidRPr="00F23FE1">
        <w:t xml:space="preserve"> </w:t>
      </w:r>
    </w:p>
    <w:p w14:paraId="6C351907" w14:textId="77777777" w:rsidR="00EE17E4" w:rsidRPr="004B11AC" w:rsidRDefault="00EE17E4" w:rsidP="00A42AE8">
      <w:pPr>
        <w:pStyle w:val="KOMtext"/>
        <w:rPr>
          <w:color w:val="FF0000"/>
        </w:rPr>
      </w:pPr>
      <w:r w:rsidRPr="00F23FE1">
        <w:t>V rámci tohoto subtitulu byly použity investiční prostře</w:t>
      </w:r>
      <w:r w:rsidR="00A42AE8">
        <w:t xml:space="preserve">dky státního rozpočtu ve výši </w:t>
      </w:r>
      <w:r w:rsidRPr="00F23FE1">
        <w:rPr>
          <w:b/>
          <w:i/>
        </w:rPr>
        <w:t>95 tis.</w:t>
      </w:r>
      <w:r w:rsidRPr="00F23FE1">
        <w:rPr>
          <w:b/>
        </w:rPr>
        <w:t xml:space="preserve"> Kč</w:t>
      </w:r>
      <w:r w:rsidRPr="00F23FE1">
        <w:t xml:space="preserve"> </w:t>
      </w:r>
      <w:r w:rsidRPr="00832B9F">
        <w:t>na</w:t>
      </w:r>
      <w:r w:rsidRPr="00832B9F">
        <w:rPr>
          <w:i/>
        </w:rPr>
        <w:t xml:space="preserve"> </w:t>
      </w:r>
      <w:r w:rsidRPr="00832B9F">
        <w:t>pořízení multifunkčního kopírovacího stroje.</w:t>
      </w:r>
    </w:p>
    <w:p w14:paraId="4C0E0845" w14:textId="77777777" w:rsidR="00EE17E4" w:rsidRPr="00F23FE1" w:rsidRDefault="00EE17E4" w:rsidP="00275CE2">
      <w:pPr>
        <w:keepNext/>
        <w:numPr>
          <w:ilvl w:val="0"/>
          <w:numId w:val="13"/>
        </w:numPr>
        <w:tabs>
          <w:tab w:val="clear" w:pos="1069"/>
        </w:tabs>
        <w:suppressAutoHyphens/>
        <w:spacing w:before="240" w:after="120"/>
        <w:ind w:left="709" w:hanging="425"/>
        <w:jc w:val="both"/>
      </w:pPr>
      <w:r w:rsidRPr="00F23FE1">
        <w:rPr>
          <w:i/>
        </w:rPr>
        <w:t xml:space="preserve">127V0340 „Rozvoj a obnova MTZ Úřadu pro civilní letectví“ </w:t>
      </w:r>
    </w:p>
    <w:p w14:paraId="51601A1B" w14:textId="77777777" w:rsidR="00EE17E4" w:rsidRDefault="00EE17E4" w:rsidP="00A42AE8">
      <w:pPr>
        <w:pStyle w:val="KOMtext"/>
      </w:pPr>
      <w:r w:rsidRPr="00F23FE1">
        <w:t>V rámci tohoto subtitulu byly použity investiční prostř</w:t>
      </w:r>
      <w:r w:rsidR="00A42AE8">
        <w:t>edky státního rozpočtu ve výši</w:t>
      </w:r>
      <w:r w:rsidRPr="00F23FE1">
        <w:t xml:space="preserve"> </w:t>
      </w:r>
      <w:r w:rsidR="00A06E49">
        <w:br/>
      </w:r>
      <w:r>
        <w:rPr>
          <w:b/>
          <w:i/>
        </w:rPr>
        <w:t>1 431</w:t>
      </w:r>
      <w:r w:rsidRPr="00F23FE1">
        <w:rPr>
          <w:i/>
        </w:rPr>
        <w:t xml:space="preserve"> </w:t>
      </w:r>
      <w:r w:rsidRPr="00F23FE1">
        <w:rPr>
          <w:b/>
          <w:i/>
        </w:rPr>
        <w:t>tis.</w:t>
      </w:r>
      <w:r w:rsidRPr="00F23FE1">
        <w:rPr>
          <w:b/>
        </w:rPr>
        <w:t xml:space="preserve"> Kč</w:t>
      </w:r>
      <w:r>
        <w:t xml:space="preserve"> (</w:t>
      </w:r>
      <w:r w:rsidRPr="00F23FE1">
        <w:t>z toho nároky 513 tis. Kč</w:t>
      </w:r>
      <w:r>
        <w:t>) na pořízení a</w:t>
      </w:r>
      <w:r w:rsidR="00A42AE8">
        <w:t xml:space="preserve">utomatického hasicího systému </w:t>
      </w:r>
      <w:r w:rsidR="00A06E49">
        <w:br/>
      </w:r>
      <w:r>
        <w:t>(513 tis. Kč), na obnovu vozového parku (487 tis. Kč) a na pořízení multifunkčních kopírovacích strojů (431 tis. Kč).</w:t>
      </w:r>
    </w:p>
    <w:p w14:paraId="6ED64BE2" w14:textId="77777777" w:rsidR="00EE17E4" w:rsidRPr="00F23FE1" w:rsidRDefault="00EE17E4" w:rsidP="00275CE2">
      <w:pPr>
        <w:keepNext/>
        <w:numPr>
          <w:ilvl w:val="0"/>
          <w:numId w:val="13"/>
        </w:numPr>
        <w:tabs>
          <w:tab w:val="clear" w:pos="1069"/>
        </w:tabs>
        <w:suppressAutoHyphens/>
        <w:spacing w:before="240" w:after="120"/>
        <w:ind w:left="709" w:hanging="425"/>
        <w:jc w:val="both"/>
      </w:pPr>
      <w:r w:rsidRPr="00F23FE1">
        <w:rPr>
          <w:i/>
        </w:rPr>
        <w:t xml:space="preserve">127V0350 „Rozvoj a obnova MTZ Státní plavební správy“ </w:t>
      </w:r>
    </w:p>
    <w:p w14:paraId="2E2A0148" w14:textId="77777777" w:rsidR="00EE17E4" w:rsidRPr="004B11AC" w:rsidRDefault="00EE17E4" w:rsidP="00A42AE8">
      <w:pPr>
        <w:pStyle w:val="KOMtext"/>
        <w:rPr>
          <w:i/>
          <w:color w:val="FF0000"/>
        </w:rPr>
      </w:pPr>
      <w:r w:rsidRPr="00F23FE1">
        <w:t>V rámci tohoto subtitulu byly použity investiční prostředky státního rozpočtu ve</w:t>
      </w:r>
      <w:r w:rsidR="00A42AE8">
        <w:t xml:space="preserve"> výši                    </w:t>
      </w:r>
      <w:r w:rsidRPr="00F23FE1">
        <w:rPr>
          <w:b/>
          <w:i/>
        </w:rPr>
        <w:t>659 tis. Kč</w:t>
      </w:r>
      <w:r>
        <w:t xml:space="preserve"> (</w:t>
      </w:r>
      <w:r w:rsidRPr="00F23FE1">
        <w:t>z toho nároky 474 tis. Kč</w:t>
      </w:r>
      <w:r>
        <w:t>)</w:t>
      </w:r>
      <w:r w:rsidRPr="00F23FE1">
        <w:t xml:space="preserve">, </w:t>
      </w:r>
      <w:r>
        <w:t xml:space="preserve">na modernizaci služebního plavidla (229 tis. Kč), rekonstrukci kancelářských prostor pražské pobočky organizace (245 tis. Kč), pořízení multifunkčních kopírovacích strojů (185 tis. Kč) </w:t>
      </w:r>
    </w:p>
    <w:p w14:paraId="1C7FFB74" w14:textId="77777777" w:rsidR="00EE17E4" w:rsidRPr="00F23FE1" w:rsidRDefault="00EE17E4" w:rsidP="00275CE2">
      <w:pPr>
        <w:keepNext/>
        <w:numPr>
          <w:ilvl w:val="0"/>
          <w:numId w:val="13"/>
        </w:numPr>
        <w:tabs>
          <w:tab w:val="clear" w:pos="1069"/>
        </w:tabs>
        <w:suppressAutoHyphens/>
        <w:spacing w:before="240" w:after="120"/>
        <w:ind w:left="709" w:hanging="425"/>
        <w:jc w:val="both"/>
      </w:pPr>
      <w:r w:rsidRPr="00F23FE1">
        <w:rPr>
          <w:i/>
        </w:rPr>
        <w:t xml:space="preserve">127V0370 „Rozvoj a obnova MTZ Drážní inspekce“ </w:t>
      </w:r>
    </w:p>
    <w:p w14:paraId="74DE51E0" w14:textId="77777777" w:rsidR="00EE17E4" w:rsidRPr="004B11AC" w:rsidRDefault="00EE17E4" w:rsidP="00A42AE8">
      <w:pPr>
        <w:pStyle w:val="KOMtext"/>
        <w:rPr>
          <w:i/>
          <w:color w:val="FF0000"/>
        </w:rPr>
      </w:pPr>
      <w:r w:rsidRPr="00F23FE1">
        <w:t xml:space="preserve">V rámci tohoto subtitulu byly použity investiční prostředky státního rozpočtu ve výši                           </w:t>
      </w:r>
      <w:r w:rsidRPr="00F23FE1">
        <w:rPr>
          <w:b/>
          <w:i/>
        </w:rPr>
        <w:t>1 935 tis. Kč</w:t>
      </w:r>
      <w:r>
        <w:rPr>
          <w:color w:val="FF0000"/>
        </w:rPr>
        <w:t xml:space="preserve"> </w:t>
      </w:r>
      <w:r>
        <w:t>(z toho nároky 1 935 tis. Kč)</w:t>
      </w:r>
      <w:r w:rsidRPr="004B11AC">
        <w:rPr>
          <w:color w:val="FF0000"/>
        </w:rPr>
        <w:t xml:space="preserve"> </w:t>
      </w:r>
      <w:r w:rsidRPr="007924C1">
        <w:t>na obnovu vozového parku organizace.</w:t>
      </w:r>
    </w:p>
    <w:p w14:paraId="0FF7FC2F" w14:textId="77777777" w:rsidR="00EE17E4" w:rsidRPr="00CA5320" w:rsidRDefault="00EE17E4" w:rsidP="00275CE2">
      <w:pPr>
        <w:keepNext/>
        <w:numPr>
          <w:ilvl w:val="0"/>
          <w:numId w:val="13"/>
        </w:numPr>
        <w:tabs>
          <w:tab w:val="clear" w:pos="1069"/>
        </w:tabs>
        <w:suppressAutoHyphens/>
        <w:spacing w:before="240" w:after="120"/>
        <w:ind w:left="709" w:hanging="425"/>
        <w:jc w:val="both"/>
      </w:pPr>
      <w:r w:rsidRPr="00CA5320">
        <w:rPr>
          <w:i/>
        </w:rPr>
        <w:t>127V0380 „Rozvoj a obnova MTZ Ústavu pro odborné zjišťování příčin leteckých nehod“</w:t>
      </w:r>
    </w:p>
    <w:p w14:paraId="379249A7" w14:textId="77777777" w:rsidR="00EE17E4" w:rsidRPr="004B11AC" w:rsidRDefault="00EE17E4" w:rsidP="00A42AE8">
      <w:pPr>
        <w:pStyle w:val="KOMtext"/>
        <w:rPr>
          <w:i/>
          <w:color w:val="FF0000"/>
        </w:rPr>
      </w:pPr>
      <w:r w:rsidRPr="00CA5320">
        <w:t xml:space="preserve">V rámci tohoto subtitulu byly použity investiční prostředky státního rozpočtu ve výši                          </w:t>
      </w:r>
      <w:r w:rsidRPr="00CA5320">
        <w:rPr>
          <w:b/>
          <w:i/>
        </w:rPr>
        <w:t>286 tis. Kč</w:t>
      </w:r>
      <w:r>
        <w:rPr>
          <w:i/>
        </w:rPr>
        <w:t xml:space="preserve"> </w:t>
      </w:r>
      <w:r w:rsidRPr="00CA5320">
        <w:t>(z toho nároky 286 tis. Kč</w:t>
      </w:r>
      <w:r w:rsidRPr="001C5569">
        <w:t>),</w:t>
      </w:r>
      <w:r w:rsidRPr="001C5569">
        <w:rPr>
          <w:i/>
        </w:rPr>
        <w:t xml:space="preserve"> </w:t>
      </w:r>
      <w:r w:rsidRPr="001C5569">
        <w:t xml:space="preserve">na pořízení přístrojů a zařízení pro potřeby analýzy </w:t>
      </w:r>
      <w:r w:rsidR="00A42AE8">
        <w:br/>
      </w:r>
      <w:r w:rsidRPr="001C5569">
        <w:t>a zjišťování stavu poškozených částí letadel.</w:t>
      </w:r>
    </w:p>
    <w:p w14:paraId="02205673" w14:textId="77777777" w:rsidR="00EE17E4" w:rsidRDefault="00EE17E4" w:rsidP="00A42AE8">
      <w:pPr>
        <w:pStyle w:val="KOMtext"/>
      </w:pPr>
      <w:r w:rsidRPr="00F23FE1">
        <w:t xml:space="preserve">V rámci subtitulu </w:t>
      </w:r>
      <w:r w:rsidRPr="00F23FE1">
        <w:rPr>
          <w:i/>
        </w:rPr>
        <w:t xml:space="preserve">127V0360 „Rozvoj a obnova MTZ Ředitelství vodních cest“ </w:t>
      </w:r>
      <w:r w:rsidRPr="00F23FE1">
        <w:t>nebyly prostředky v roce 201</w:t>
      </w:r>
      <w:r>
        <w:t>9</w:t>
      </w:r>
      <w:r w:rsidRPr="00F23FE1">
        <w:t xml:space="preserve"> čerpány.</w:t>
      </w:r>
    </w:p>
    <w:p w14:paraId="2DA137E5" w14:textId="77777777" w:rsidR="00EE17E4" w:rsidRPr="0040030F" w:rsidRDefault="00EE17E4" w:rsidP="00EE17E4">
      <w:pPr>
        <w:tabs>
          <w:tab w:val="left" w:pos="360"/>
        </w:tabs>
        <w:suppressAutoHyphens/>
        <w:spacing w:before="240" w:after="120"/>
        <w:jc w:val="both"/>
        <w:rPr>
          <w:b/>
          <w:bCs/>
          <w:i/>
        </w:rPr>
      </w:pPr>
      <w:r w:rsidRPr="0040030F">
        <w:rPr>
          <w:b/>
          <w:bCs/>
          <w:i/>
        </w:rPr>
        <w:t xml:space="preserve">Skutečné čerpání za rok 2019: </w:t>
      </w:r>
    </w:p>
    <w:tbl>
      <w:tblPr>
        <w:tblW w:w="9285" w:type="dxa"/>
        <w:tblLayout w:type="fixed"/>
        <w:tblCellMar>
          <w:left w:w="70" w:type="dxa"/>
          <w:right w:w="70" w:type="dxa"/>
        </w:tblCellMar>
        <w:tblLook w:val="0000" w:firstRow="0" w:lastRow="0" w:firstColumn="0" w:lastColumn="0" w:noHBand="0" w:noVBand="0"/>
      </w:tblPr>
      <w:tblGrid>
        <w:gridCol w:w="7390"/>
        <w:gridCol w:w="1895"/>
      </w:tblGrid>
      <w:tr w:rsidR="00EE17E4" w:rsidRPr="0040030F" w14:paraId="5939E125" w14:textId="77777777" w:rsidTr="00EE17E4">
        <w:trPr>
          <w:trHeight w:val="438"/>
        </w:trPr>
        <w:tc>
          <w:tcPr>
            <w:tcW w:w="7390" w:type="dxa"/>
          </w:tcPr>
          <w:p w14:paraId="1CEA15ED" w14:textId="77777777" w:rsidR="00EE17E4" w:rsidRPr="0040030F" w:rsidRDefault="00EE17E4" w:rsidP="00275CE2">
            <w:pPr>
              <w:numPr>
                <w:ilvl w:val="0"/>
                <w:numId w:val="14"/>
              </w:numPr>
              <w:tabs>
                <w:tab w:val="clear" w:pos="567"/>
              </w:tabs>
              <w:suppressAutoHyphens/>
              <w:snapToGrid w:val="0"/>
              <w:ind w:left="492" w:hanging="425"/>
              <w:rPr>
                <w:b/>
                <w:i/>
              </w:rPr>
            </w:pPr>
            <w:r w:rsidRPr="0040030F">
              <w:rPr>
                <w:b/>
                <w:i/>
              </w:rPr>
              <w:t>ze státního rozpočtu (systémově určené výdaje investiční) *)</w:t>
            </w:r>
            <w:r w:rsidRPr="0040030F">
              <w:rPr>
                <w:b/>
                <w:i/>
                <w:sz w:val="18"/>
                <w:vertAlign w:val="superscript"/>
              </w:rPr>
              <w:t>x</w:t>
            </w:r>
            <w:r w:rsidRPr="0040030F">
              <w:rPr>
                <w:b/>
                <w:i/>
                <w:sz w:val="18"/>
              </w:rPr>
              <w:t>)</w:t>
            </w:r>
          </w:p>
          <w:p w14:paraId="5B57E563" w14:textId="77777777" w:rsidR="00EE17E4" w:rsidRPr="0040030F" w:rsidRDefault="00EE17E4" w:rsidP="00275CE2">
            <w:pPr>
              <w:numPr>
                <w:ilvl w:val="0"/>
                <w:numId w:val="14"/>
              </w:numPr>
              <w:tabs>
                <w:tab w:val="clear" w:pos="567"/>
              </w:tabs>
              <w:suppressAutoHyphens/>
              <w:ind w:left="492" w:hanging="425"/>
              <w:rPr>
                <w:b/>
                <w:i/>
              </w:rPr>
            </w:pPr>
            <w:r w:rsidRPr="0040030F">
              <w:rPr>
                <w:b/>
                <w:i/>
              </w:rPr>
              <w:t xml:space="preserve">ze státního rozpočtu (investiční dotace z fondů EU) </w:t>
            </w:r>
          </w:p>
        </w:tc>
        <w:tc>
          <w:tcPr>
            <w:tcW w:w="1895" w:type="dxa"/>
          </w:tcPr>
          <w:p w14:paraId="5607DAF5" w14:textId="77777777" w:rsidR="00EE17E4" w:rsidRPr="0040030F" w:rsidRDefault="00EE17E4" w:rsidP="00A42AE8">
            <w:pPr>
              <w:snapToGrid w:val="0"/>
              <w:ind w:left="492" w:hanging="425"/>
              <w:jc w:val="right"/>
              <w:rPr>
                <w:b/>
                <w:bCs/>
                <w:i/>
              </w:rPr>
            </w:pPr>
            <w:r w:rsidRPr="0040030F">
              <w:rPr>
                <w:b/>
                <w:bCs/>
                <w:i/>
              </w:rPr>
              <w:t>40 118 tis. Kč</w:t>
            </w:r>
          </w:p>
          <w:p w14:paraId="0667DA99" w14:textId="77777777" w:rsidR="00EE17E4" w:rsidRPr="0040030F" w:rsidRDefault="00EE17E4" w:rsidP="00A42AE8">
            <w:pPr>
              <w:ind w:left="492" w:hanging="425"/>
              <w:jc w:val="right"/>
              <w:rPr>
                <w:b/>
                <w:bCs/>
                <w:i/>
              </w:rPr>
            </w:pPr>
            <w:r w:rsidRPr="0040030F">
              <w:rPr>
                <w:b/>
                <w:bCs/>
                <w:i/>
              </w:rPr>
              <w:t>70 tis. Kč</w:t>
            </w:r>
          </w:p>
        </w:tc>
      </w:tr>
      <w:tr w:rsidR="00EE17E4" w:rsidRPr="0040030F" w14:paraId="5BFCF1E6" w14:textId="77777777" w:rsidTr="00EB4B32">
        <w:trPr>
          <w:trHeight w:val="20"/>
        </w:trPr>
        <w:tc>
          <w:tcPr>
            <w:tcW w:w="7390" w:type="dxa"/>
          </w:tcPr>
          <w:p w14:paraId="1C7F1FCF" w14:textId="77777777" w:rsidR="00EE17E4" w:rsidRPr="0040030F" w:rsidRDefault="00EE17E4" w:rsidP="00275CE2">
            <w:pPr>
              <w:numPr>
                <w:ilvl w:val="0"/>
                <w:numId w:val="22"/>
              </w:numPr>
              <w:suppressAutoHyphens/>
              <w:ind w:left="492" w:hanging="425"/>
              <w:rPr>
                <w:i/>
              </w:rPr>
            </w:pPr>
            <w:r w:rsidRPr="0040030F">
              <w:rPr>
                <w:b/>
                <w:i/>
              </w:rPr>
              <w:t>ze státního rozpočtu (systémově určené výdaje neinvestiční) *)</w:t>
            </w:r>
            <w:r w:rsidRPr="0040030F">
              <w:rPr>
                <w:b/>
                <w:i/>
                <w:sz w:val="18"/>
                <w:vertAlign w:val="superscript"/>
              </w:rPr>
              <w:t xml:space="preserve"> x</w:t>
            </w:r>
            <w:r w:rsidRPr="0040030F">
              <w:rPr>
                <w:b/>
                <w:i/>
                <w:sz w:val="18"/>
              </w:rPr>
              <w:t>)</w:t>
            </w:r>
          </w:p>
          <w:p w14:paraId="53F41A18" w14:textId="77777777" w:rsidR="00EE17E4" w:rsidRPr="0040030F" w:rsidRDefault="00EE17E4" w:rsidP="00275CE2">
            <w:pPr>
              <w:numPr>
                <w:ilvl w:val="0"/>
                <w:numId w:val="22"/>
              </w:numPr>
              <w:suppressAutoHyphens/>
              <w:ind w:left="492" w:hanging="425"/>
              <w:rPr>
                <w:i/>
              </w:rPr>
            </w:pPr>
            <w:r w:rsidRPr="0040030F">
              <w:rPr>
                <w:b/>
                <w:i/>
              </w:rPr>
              <w:t xml:space="preserve">ze státního rozpočtu (neinvestiční dotace z fondů EU) </w:t>
            </w:r>
          </w:p>
        </w:tc>
        <w:tc>
          <w:tcPr>
            <w:tcW w:w="1895" w:type="dxa"/>
          </w:tcPr>
          <w:p w14:paraId="5699F903" w14:textId="77777777" w:rsidR="00EE17E4" w:rsidRPr="0040030F" w:rsidRDefault="00EE17E4" w:rsidP="00A42AE8">
            <w:pPr>
              <w:ind w:left="492" w:hanging="425"/>
              <w:jc w:val="right"/>
              <w:rPr>
                <w:b/>
                <w:bCs/>
                <w:i/>
              </w:rPr>
            </w:pPr>
            <w:r>
              <w:rPr>
                <w:b/>
                <w:bCs/>
                <w:i/>
              </w:rPr>
              <w:t>69 697</w:t>
            </w:r>
            <w:r w:rsidRPr="0040030F">
              <w:rPr>
                <w:b/>
                <w:bCs/>
                <w:i/>
              </w:rPr>
              <w:t xml:space="preserve"> tis. Kč</w:t>
            </w:r>
          </w:p>
          <w:p w14:paraId="6BF2D050" w14:textId="77777777" w:rsidR="00EE17E4" w:rsidRDefault="00EE17E4" w:rsidP="00A42AE8">
            <w:pPr>
              <w:ind w:left="492" w:hanging="425"/>
              <w:jc w:val="right"/>
              <w:rPr>
                <w:b/>
                <w:bCs/>
                <w:i/>
              </w:rPr>
            </w:pPr>
            <w:r w:rsidRPr="0040030F">
              <w:rPr>
                <w:b/>
                <w:bCs/>
                <w:i/>
              </w:rPr>
              <w:t>8 tis. Kč</w:t>
            </w:r>
          </w:p>
          <w:p w14:paraId="5D2E804D" w14:textId="77777777" w:rsidR="00EE17E4" w:rsidRPr="0040030F" w:rsidRDefault="00EE17E4" w:rsidP="00A42AE8">
            <w:pPr>
              <w:ind w:left="492" w:hanging="425"/>
              <w:rPr>
                <w:bCs/>
                <w:i/>
              </w:rPr>
            </w:pPr>
          </w:p>
        </w:tc>
      </w:tr>
    </w:tbl>
    <w:p w14:paraId="11D8DBED" w14:textId="77777777" w:rsidR="00EE17E4" w:rsidRPr="005E4525" w:rsidRDefault="00EE17E4" w:rsidP="00D3113A">
      <w:pPr>
        <w:spacing w:before="80"/>
        <w:jc w:val="both"/>
        <w:rPr>
          <w:sz w:val="22"/>
          <w:szCs w:val="22"/>
        </w:rPr>
      </w:pPr>
      <w:r w:rsidRPr="0040030F">
        <w:rPr>
          <w:sz w:val="22"/>
          <w:szCs w:val="22"/>
        </w:rPr>
        <w:lastRenderedPageBreak/>
        <w:t xml:space="preserve">*) z toho: </w:t>
      </w:r>
      <w:r w:rsidRPr="005E4525">
        <w:rPr>
          <w:sz w:val="22"/>
          <w:szCs w:val="22"/>
        </w:rPr>
        <w:t xml:space="preserve">prostředky na financování informačních a komunikačních technologií (ICT) </w:t>
      </w:r>
    </w:p>
    <w:p w14:paraId="4779BEA2" w14:textId="77777777" w:rsidR="00EE17E4" w:rsidRPr="005E4525" w:rsidRDefault="00EE17E4" w:rsidP="00D3113A">
      <w:pPr>
        <w:pStyle w:val="KOMtext"/>
        <w:numPr>
          <w:ilvl w:val="0"/>
          <w:numId w:val="72"/>
        </w:numPr>
        <w:spacing w:before="80" w:after="0" w:line="240" w:lineRule="auto"/>
        <w:ind w:left="709" w:hanging="425"/>
        <w:rPr>
          <w:sz w:val="22"/>
          <w:szCs w:val="22"/>
        </w:rPr>
      </w:pPr>
      <w:r w:rsidRPr="005E4525">
        <w:rPr>
          <w:sz w:val="22"/>
          <w:szCs w:val="22"/>
        </w:rPr>
        <w:t>kapitálové výdaje 32 476 tis. Kč, z toho nároky 13 454 tis. Kč (z toho EU 70 tis. Kč)</w:t>
      </w:r>
    </w:p>
    <w:p w14:paraId="249314C9" w14:textId="77777777" w:rsidR="00EE17E4" w:rsidRPr="005E4525" w:rsidRDefault="00EE17E4" w:rsidP="00D3113A">
      <w:pPr>
        <w:pStyle w:val="KOMtext"/>
        <w:numPr>
          <w:ilvl w:val="0"/>
          <w:numId w:val="72"/>
        </w:numPr>
        <w:spacing w:before="80" w:after="0" w:line="240" w:lineRule="auto"/>
        <w:ind w:left="709" w:hanging="425"/>
        <w:rPr>
          <w:sz w:val="22"/>
          <w:szCs w:val="22"/>
        </w:rPr>
      </w:pPr>
      <w:r w:rsidRPr="005E4525">
        <w:rPr>
          <w:sz w:val="22"/>
          <w:szCs w:val="22"/>
        </w:rPr>
        <w:t>běžné výdaje 68 487 tis. Kč, z toho nároky 13 379 tis. Kč (z toho EU 8 tis. Kč)</w:t>
      </w:r>
    </w:p>
    <w:p w14:paraId="399124E2" w14:textId="77777777" w:rsidR="00EE17E4" w:rsidRPr="005E4525" w:rsidRDefault="00EE17E4" w:rsidP="00D3113A">
      <w:pPr>
        <w:pStyle w:val="KOMtext"/>
        <w:spacing w:before="80" w:after="0" w:line="240" w:lineRule="auto"/>
        <w:rPr>
          <w:sz w:val="22"/>
          <w:szCs w:val="22"/>
        </w:rPr>
      </w:pPr>
      <w:r w:rsidRPr="005E4525">
        <w:rPr>
          <w:i/>
          <w:sz w:val="22"/>
          <w:szCs w:val="22"/>
          <w:vertAlign w:val="superscript"/>
        </w:rPr>
        <w:t>x</w:t>
      </w:r>
      <w:r w:rsidRPr="005E4525">
        <w:rPr>
          <w:i/>
          <w:sz w:val="22"/>
          <w:szCs w:val="22"/>
        </w:rPr>
        <w:t>)</w:t>
      </w:r>
      <w:r w:rsidR="00A42AE8" w:rsidRPr="005E4525">
        <w:rPr>
          <w:sz w:val="22"/>
          <w:szCs w:val="22"/>
        </w:rPr>
        <w:t xml:space="preserve"> z toho: </w:t>
      </w:r>
      <w:r w:rsidRPr="005E4525">
        <w:rPr>
          <w:sz w:val="22"/>
          <w:szCs w:val="22"/>
        </w:rPr>
        <w:t xml:space="preserve">nároky ve výši 19 620 tis. Kč (investiční prostředky SR) </w:t>
      </w:r>
    </w:p>
    <w:p w14:paraId="1040BEFB" w14:textId="77777777" w:rsidR="00EE17E4" w:rsidRPr="005E4525" w:rsidRDefault="00A42AE8" w:rsidP="00D3113A">
      <w:pPr>
        <w:pStyle w:val="KOMtext"/>
        <w:spacing w:before="80" w:after="0" w:line="240" w:lineRule="auto"/>
        <w:rPr>
          <w:sz w:val="22"/>
          <w:szCs w:val="22"/>
        </w:rPr>
      </w:pPr>
      <w:r w:rsidRPr="005E4525">
        <w:rPr>
          <w:sz w:val="22"/>
          <w:szCs w:val="22"/>
        </w:rPr>
        <w:tab/>
        <w:t xml:space="preserve">  </w:t>
      </w:r>
      <w:r w:rsidR="00EE17E4" w:rsidRPr="005E4525">
        <w:rPr>
          <w:sz w:val="22"/>
          <w:szCs w:val="22"/>
        </w:rPr>
        <w:t>nároky ve výši 14 535 tis. Kč (neinvestiční prostředky SR)</w:t>
      </w:r>
    </w:p>
    <w:p w14:paraId="1EEB6499" w14:textId="77777777" w:rsidR="00EE17E4" w:rsidRPr="005E4525" w:rsidRDefault="00A42AE8" w:rsidP="00D3113A">
      <w:pPr>
        <w:pStyle w:val="KOMtext"/>
        <w:spacing w:before="80" w:after="0" w:line="240" w:lineRule="auto"/>
        <w:ind w:left="851" w:hanging="1702"/>
        <w:rPr>
          <w:sz w:val="22"/>
          <w:szCs w:val="22"/>
        </w:rPr>
      </w:pPr>
      <w:r w:rsidRPr="005E4525">
        <w:rPr>
          <w:sz w:val="22"/>
          <w:szCs w:val="22"/>
        </w:rPr>
        <w:tab/>
      </w:r>
      <w:r w:rsidR="00EE17E4" w:rsidRPr="005E4525">
        <w:rPr>
          <w:sz w:val="22"/>
          <w:szCs w:val="22"/>
        </w:rPr>
        <w:t>mimorozpočtový zdroj (rezervní fond) ve výši 333 tis. Kč (investice SR 278 tis. Kč, neinvestice SR 55 tis. Kč)</w:t>
      </w:r>
    </w:p>
    <w:p w14:paraId="477F0B03" w14:textId="77777777" w:rsidR="00DC0C9F" w:rsidRPr="00D97398" w:rsidRDefault="00DC0C9F" w:rsidP="00BB64C4">
      <w:pPr>
        <w:pStyle w:val="Nadpis6"/>
        <w:rPr>
          <w:lang w:eastAsia="ar-SA"/>
        </w:rPr>
      </w:pPr>
      <w:bookmarkStart w:id="1015" w:name="_Toc508879909"/>
      <w:bookmarkStart w:id="1016" w:name="_Toc508880185"/>
      <w:r w:rsidRPr="00D97398">
        <w:rPr>
          <w:lang w:eastAsia="ar-SA"/>
        </w:rPr>
        <w:t>127 06 Rozvoj a obnova materiálně-technické základny (MTZ) systému řízení MD – PO, SFDI</w:t>
      </w:r>
    </w:p>
    <w:p w14:paraId="6FD64C3A" w14:textId="77777777" w:rsidR="00DC0C9F" w:rsidRPr="00D97398" w:rsidRDefault="00DC0C9F" w:rsidP="00BB64C4">
      <w:pPr>
        <w:pStyle w:val="KOMtext"/>
        <w:rPr>
          <w:lang w:eastAsia="ar-SA"/>
        </w:rPr>
      </w:pPr>
      <w:r w:rsidRPr="00D97398">
        <w:rPr>
          <w:lang w:eastAsia="ar-SA"/>
        </w:rPr>
        <w:t xml:space="preserve">Cílem tohoto programu je zabezpečení rozvoje a obnovy dlouhodobého majetku státních příspěvkových organizací Ministerstva dopravy (Ředitelství silnic a dálnic ČR, Centrum služeb pro silniční dopravu) a Státního fondu dopravní infrastruktury.  </w:t>
      </w:r>
    </w:p>
    <w:p w14:paraId="0B373A9E" w14:textId="77777777" w:rsidR="00DC0C9F" w:rsidRPr="00D97398" w:rsidRDefault="00DC0C9F" w:rsidP="00BB64C4">
      <w:pPr>
        <w:pStyle w:val="KOMtext"/>
        <w:rPr>
          <w:lang w:eastAsia="ar-SA"/>
        </w:rPr>
      </w:pPr>
      <w:r w:rsidRPr="00D97398">
        <w:rPr>
          <w:lang w:eastAsia="ar-SA"/>
        </w:rPr>
        <w:t>Jedná se především o pořízení a obnovu ICT a rekonstrukci objektů u Státního fondu dopravní infrastruktury a pořízení a obnovu dopra</w:t>
      </w:r>
      <w:r w:rsidR="00BB64C4">
        <w:rPr>
          <w:lang w:eastAsia="ar-SA"/>
        </w:rPr>
        <w:t xml:space="preserve">vních prostředků a mechanizace </w:t>
      </w:r>
      <w:r w:rsidRPr="00D97398">
        <w:rPr>
          <w:lang w:eastAsia="ar-SA"/>
        </w:rPr>
        <w:t>u příspěvkových organizací.</w:t>
      </w:r>
    </w:p>
    <w:p w14:paraId="60D08874" w14:textId="77777777" w:rsidR="00DC0C9F" w:rsidRPr="00D97398" w:rsidRDefault="00DC0C9F" w:rsidP="00BB64C4">
      <w:pPr>
        <w:pStyle w:val="KOMtext"/>
        <w:rPr>
          <w:lang w:eastAsia="ar-SA"/>
        </w:rPr>
      </w:pPr>
      <w:r w:rsidRPr="00D97398">
        <w:rPr>
          <w:lang w:eastAsia="ar-SA"/>
        </w:rPr>
        <w:t>Program byl zahájen v roce 2016 a ukončení se předpokládá do 31.12.202</w:t>
      </w:r>
      <w:r>
        <w:rPr>
          <w:lang w:eastAsia="ar-SA"/>
        </w:rPr>
        <w:t>2</w:t>
      </w:r>
      <w:r w:rsidRPr="00D97398">
        <w:rPr>
          <w:lang w:eastAsia="ar-SA"/>
        </w:rPr>
        <w:t>.</w:t>
      </w:r>
    </w:p>
    <w:p w14:paraId="3B0FA7CD" w14:textId="77777777" w:rsidR="00DC0C9F" w:rsidRPr="00A458BA" w:rsidRDefault="00DC0C9F" w:rsidP="00BB64C4">
      <w:pPr>
        <w:pStyle w:val="KOMtext"/>
        <w:rPr>
          <w:lang w:eastAsia="ar-SA"/>
        </w:rPr>
      </w:pPr>
      <w:r w:rsidRPr="0037626F">
        <w:rPr>
          <w:lang w:eastAsia="ar-SA"/>
        </w:rPr>
        <w:t xml:space="preserve">Dokumentace programu byla schválena dopisem Ministerstva </w:t>
      </w:r>
      <w:r w:rsidR="00EB4B32">
        <w:rPr>
          <w:lang w:eastAsia="ar-SA"/>
        </w:rPr>
        <w:t xml:space="preserve">financí </w:t>
      </w:r>
      <w:r w:rsidR="00EB4B32">
        <w:rPr>
          <w:lang w:eastAsia="ar-SA"/>
        </w:rPr>
        <w:br/>
      </w:r>
      <w:r w:rsidRPr="0037626F">
        <w:rPr>
          <w:lang w:eastAsia="ar-SA"/>
        </w:rPr>
        <w:t>č.j. MF-58372/2015/1903-3 ze dne 31.12.2015,</w:t>
      </w:r>
      <w:r w:rsidRPr="004B11AC">
        <w:rPr>
          <w:color w:val="FF0000"/>
          <w:lang w:eastAsia="ar-SA"/>
        </w:rPr>
        <w:t xml:space="preserve"> </w:t>
      </w:r>
      <w:r w:rsidRPr="00A458BA">
        <w:rPr>
          <w:lang w:eastAsia="ar-SA"/>
        </w:rPr>
        <w:t>poslední aktualizace dokumentace programu byla schválena dopisem Ministerstva financí č.j. MF-31183/2019/1903-3 ze dne 2.12.2019.</w:t>
      </w:r>
    </w:p>
    <w:p w14:paraId="62A53F42" w14:textId="77777777" w:rsidR="00DC0C9F" w:rsidRPr="00A458BA" w:rsidRDefault="00DC0C9F" w:rsidP="00BB64C4">
      <w:pPr>
        <w:pStyle w:val="KOMtext"/>
        <w:rPr>
          <w:lang w:eastAsia="ar-SA"/>
        </w:rPr>
      </w:pPr>
      <w:r w:rsidRPr="00A458BA">
        <w:rPr>
          <w:lang w:eastAsia="ar-SA"/>
        </w:rPr>
        <w:t>Program je rozdělen na 3 subtituly:</w:t>
      </w:r>
    </w:p>
    <w:p w14:paraId="7878B45E" w14:textId="77777777" w:rsidR="00DC0C9F" w:rsidRPr="00A458BA" w:rsidRDefault="00DC0C9F" w:rsidP="00275CE2">
      <w:pPr>
        <w:numPr>
          <w:ilvl w:val="0"/>
          <w:numId w:val="26"/>
        </w:numPr>
        <w:suppressAutoHyphens/>
        <w:spacing w:before="240" w:after="120"/>
        <w:ind w:left="709" w:hanging="425"/>
        <w:jc w:val="both"/>
        <w:rPr>
          <w:szCs w:val="20"/>
          <w:lang w:eastAsia="ar-SA"/>
        </w:rPr>
      </w:pPr>
      <w:r w:rsidRPr="00A458BA">
        <w:rPr>
          <w:i/>
        </w:rPr>
        <w:t>127V0630 „Rozvoj a obnova MTZ Centra služeb pro silniční dopravu“</w:t>
      </w:r>
      <w:r w:rsidRPr="00A458BA">
        <w:rPr>
          <w:i/>
        </w:rPr>
        <w:tab/>
        <w:t xml:space="preserve">      </w:t>
      </w:r>
    </w:p>
    <w:p w14:paraId="49AC81D8" w14:textId="77777777" w:rsidR="00DC0C9F" w:rsidRPr="00A458BA" w:rsidRDefault="00DC0C9F" w:rsidP="00275CE2">
      <w:pPr>
        <w:numPr>
          <w:ilvl w:val="0"/>
          <w:numId w:val="13"/>
        </w:numPr>
        <w:suppressAutoHyphens/>
        <w:spacing w:after="120"/>
        <w:ind w:left="709" w:hanging="425"/>
        <w:jc w:val="both"/>
      </w:pPr>
      <w:r w:rsidRPr="00A458BA">
        <w:rPr>
          <w:i/>
        </w:rPr>
        <w:t>127V0640 „Rozvoj a obnova MTZ Ředitelství silnic a dálnic ČR“</w:t>
      </w:r>
      <w:r w:rsidRPr="00A458BA">
        <w:t xml:space="preserve"> </w:t>
      </w:r>
    </w:p>
    <w:p w14:paraId="79FE1382" w14:textId="77777777" w:rsidR="00DC0C9F" w:rsidRPr="004B11AC" w:rsidRDefault="00DC0C9F" w:rsidP="00BB64C4">
      <w:pPr>
        <w:pStyle w:val="KOMtext"/>
        <w:rPr>
          <w:color w:val="FF0000"/>
        </w:rPr>
      </w:pPr>
      <w:r w:rsidRPr="00A458BA">
        <w:t xml:space="preserve">V rámci těchto subtitulů nebyly v roce 2019 čerpány žádné prostředky. </w:t>
      </w:r>
    </w:p>
    <w:p w14:paraId="233F4C7A" w14:textId="77777777" w:rsidR="00DC0C9F" w:rsidRPr="00556FCC" w:rsidRDefault="00DC0C9F" w:rsidP="00275CE2">
      <w:pPr>
        <w:numPr>
          <w:ilvl w:val="0"/>
          <w:numId w:val="13"/>
        </w:numPr>
        <w:suppressAutoHyphens/>
        <w:spacing w:before="240" w:after="120"/>
        <w:ind w:left="709" w:hanging="425"/>
        <w:jc w:val="both"/>
      </w:pPr>
      <w:r w:rsidRPr="00556FCC">
        <w:rPr>
          <w:i/>
        </w:rPr>
        <w:t xml:space="preserve">127D0690 „Rozvoj a obnova MTZ SFDI“ </w:t>
      </w:r>
    </w:p>
    <w:p w14:paraId="4E65ADAD" w14:textId="77777777" w:rsidR="003963EF" w:rsidRDefault="00556FCC" w:rsidP="00556FCC">
      <w:pPr>
        <w:pStyle w:val="KOMtext"/>
      </w:pPr>
      <w:r w:rsidRPr="00735FEE">
        <w:t xml:space="preserve">V rámci subtitulu byly použity finanční prostředky státního rozpočtu ve výši </w:t>
      </w:r>
      <w:r w:rsidRPr="00735FEE">
        <w:rPr>
          <w:b/>
          <w:i/>
        </w:rPr>
        <w:t>2 660</w:t>
      </w:r>
      <w:r w:rsidRPr="00735FEE">
        <w:rPr>
          <w:i/>
        </w:rPr>
        <w:t xml:space="preserve"> </w:t>
      </w:r>
      <w:r w:rsidRPr="00735FEE">
        <w:rPr>
          <w:b/>
          <w:i/>
        </w:rPr>
        <w:t>tis.</w:t>
      </w:r>
      <w:r w:rsidRPr="00735FEE">
        <w:rPr>
          <w:b/>
        </w:rPr>
        <w:t xml:space="preserve"> </w:t>
      </w:r>
      <w:r w:rsidRPr="00735FEE">
        <w:rPr>
          <w:b/>
          <w:i/>
        </w:rPr>
        <w:t xml:space="preserve">Kč </w:t>
      </w:r>
      <w:r w:rsidRPr="00735FEE">
        <w:t xml:space="preserve">(podíl EU) na dopravní prostředky, na </w:t>
      </w:r>
      <w:r w:rsidR="003963EF">
        <w:t xml:space="preserve">rozšíření a technickou podporu </w:t>
      </w:r>
      <w:r>
        <w:t xml:space="preserve">SW </w:t>
      </w:r>
      <w:r w:rsidRPr="00735FEE">
        <w:t xml:space="preserve">Evidence a na výpočetní techniku včetně podpory.   </w:t>
      </w:r>
    </w:p>
    <w:p w14:paraId="2DC49905" w14:textId="77777777" w:rsidR="00DC0C9F" w:rsidRPr="004B11AC" w:rsidRDefault="003963EF" w:rsidP="00556FCC">
      <w:pPr>
        <w:pStyle w:val="KOMtext"/>
        <w:rPr>
          <w:b/>
          <w:bCs/>
          <w:i/>
          <w:color w:val="FF0000"/>
          <w:lang w:eastAsia="ar-SA"/>
        </w:rPr>
      </w:pPr>
      <w:r w:rsidRPr="00D97398">
        <w:rPr>
          <w:b/>
          <w:bCs/>
          <w:i/>
          <w:lang w:eastAsia="ar-SA"/>
        </w:rPr>
        <w:t>Skutečné čerpání za rok 2019:</w:t>
      </w:r>
      <w:r w:rsidR="00DC0C9F" w:rsidRPr="004B11AC">
        <w:rPr>
          <w:b/>
          <w:bCs/>
          <w:i/>
          <w:color w:val="FF0000"/>
          <w:lang w:eastAsia="ar-SA"/>
        </w:rPr>
        <w:tab/>
      </w:r>
    </w:p>
    <w:tbl>
      <w:tblPr>
        <w:tblW w:w="0" w:type="auto"/>
        <w:tblLayout w:type="fixed"/>
        <w:tblCellMar>
          <w:left w:w="70" w:type="dxa"/>
          <w:right w:w="70" w:type="dxa"/>
        </w:tblCellMar>
        <w:tblLook w:val="0000" w:firstRow="0" w:lastRow="0" w:firstColumn="0" w:lastColumn="0" w:noHBand="0" w:noVBand="0"/>
      </w:tblPr>
      <w:tblGrid>
        <w:gridCol w:w="7270"/>
        <w:gridCol w:w="1911"/>
      </w:tblGrid>
      <w:tr w:rsidR="00DC0C9F" w:rsidRPr="00A458BA" w14:paraId="37E578B0" w14:textId="77777777" w:rsidTr="00F915F4">
        <w:trPr>
          <w:trHeight w:val="626"/>
        </w:trPr>
        <w:tc>
          <w:tcPr>
            <w:tcW w:w="7270" w:type="dxa"/>
          </w:tcPr>
          <w:p w14:paraId="6A2F201E" w14:textId="77777777" w:rsidR="00DC0C9F" w:rsidRPr="00A458BA" w:rsidRDefault="00DC0C9F" w:rsidP="00275CE2">
            <w:pPr>
              <w:numPr>
                <w:ilvl w:val="0"/>
                <w:numId w:val="44"/>
              </w:numPr>
              <w:tabs>
                <w:tab w:val="left" w:pos="283"/>
              </w:tabs>
              <w:suppressAutoHyphens/>
              <w:snapToGrid w:val="0"/>
              <w:ind w:left="283"/>
              <w:rPr>
                <w:b/>
                <w:i/>
                <w:lang w:eastAsia="ar-SA"/>
              </w:rPr>
            </w:pPr>
            <w:r w:rsidRPr="00A458BA">
              <w:rPr>
                <w:b/>
                <w:i/>
                <w:lang w:eastAsia="ar-SA"/>
              </w:rPr>
              <w:t>ze státního rozpočtu (investiční dotace z fondů EU)</w:t>
            </w:r>
            <w:r w:rsidRPr="00A458BA">
              <w:rPr>
                <w:b/>
                <w:i/>
                <w:vertAlign w:val="superscript"/>
                <w:lang w:eastAsia="ar-SA"/>
              </w:rPr>
              <w:t xml:space="preserve"> x</w:t>
            </w:r>
            <w:r w:rsidRPr="00A458BA">
              <w:rPr>
                <w:b/>
                <w:i/>
                <w:lang w:eastAsia="ar-SA"/>
              </w:rPr>
              <w:t>)</w:t>
            </w:r>
          </w:p>
          <w:p w14:paraId="2CF00DCB" w14:textId="77777777" w:rsidR="00DC0C9F" w:rsidRPr="00A458BA" w:rsidRDefault="00DC0C9F" w:rsidP="00275CE2">
            <w:pPr>
              <w:numPr>
                <w:ilvl w:val="0"/>
                <w:numId w:val="44"/>
              </w:numPr>
              <w:tabs>
                <w:tab w:val="left" w:pos="283"/>
              </w:tabs>
              <w:suppressAutoHyphens/>
              <w:snapToGrid w:val="0"/>
              <w:ind w:left="283"/>
              <w:rPr>
                <w:i/>
                <w:lang w:eastAsia="ar-SA"/>
              </w:rPr>
            </w:pPr>
            <w:r w:rsidRPr="00A458BA">
              <w:rPr>
                <w:b/>
                <w:i/>
                <w:lang w:eastAsia="ar-SA"/>
              </w:rPr>
              <w:t>ze státního rozpočtu (systémová dotace investiční)</w:t>
            </w:r>
          </w:p>
          <w:p w14:paraId="104DF7FF" w14:textId="77777777" w:rsidR="00DC0C9F" w:rsidRPr="00A458BA" w:rsidRDefault="00DC0C9F" w:rsidP="00275CE2">
            <w:pPr>
              <w:numPr>
                <w:ilvl w:val="0"/>
                <w:numId w:val="44"/>
              </w:numPr>
              <w:tabs>
                <w:tab w:val="left" w:pos="283"/>
              </w:tabs>
              <w:suppressAutoHyphens/>
              <w:snapToGrid w:val="0"/>
              <w:ind w:left="283"/>
              <w:rPr>
                <w:i/>
                <w:lang w:eastAsia="ar-SA"/>
              </w:rPr>
            </w:pPr>
            <w:r w:rsidRPr="00A458BA">
              <w:rPr>
                <w:b/>
                <w:i/>
                <w:lang w:eastAsia="ar-SA"/>
              </w:rPr>
              <w:t>ze státního rozpočtu (neinvestiční dotace z fondů EU)</w:t>
            </w:r>
            <w:r w:rsidRPr="00A458BA">
              <w:rPr>
                <w:b/>
                <w:i/>
              </w:rPr>
              <w:t xml:space="preserve"> *)</w:t>
            </w:r>
            <w:r w:rsidRPr="00A458BA">
              <w:rPr>
                <w:b/>
                <w:i/>
                <w:lang w:eastAsia="ar-SA"/>
              </w:rPr>
              <w:t xml:space="preserve">                                            </w:t>
            </w:r>
          </w:p>
        </w:tc>
        <w:tc>
          <w:tcPr>
            <w:tcW w:w="1911" w:type="dxa"/>
          </w:tcPr>
          <w:p w14:paraId="1A2F9D8C" w14:textId="77777777" w:rsidR="00DC0C9F" w:rsidRPr="00A458BA" w:rsidRDefault="00DC0C9F" w:rsidP="00F915F4">
            <w:pPr>
              <w:snapToGrid w:val="0"/>
              <w:jc w:val="right"/>
              <w:rPr>
                <w:b/>
                <w:bCs/>
                <w:i/>
                <w:lang w:eastAsia="ar-SA"/>
              </w:rPr>
            </w:pPr>
            <w:r w:rsidRPr="00A458BA">
              <w:rPr>
                <w:b/>
                <w:bCs/>
                <w:i/>
                <w:lang w:eastAsia="ar-SA"/>
              </w:rPr>
              <w:t>1 059 tis. Kč</w:t>
            </w:r>
          </w:p>
          <w:p w14:paraId="2FBBC845" w14:textId="77777777" w:rsidR="00DC0C9F" w:rsidRPr="00A458BA" w:rsidRDefault="00DC0C9F" w:rsidP="00F915F4">
            <w:pPr>
              <w:jc w:val="right"/>
              <w:rPr>
                <w:b/>
                <w:bCs/>
                <w:i/>
                <w:lang w:eastAsia="ar-SA"/>
              </w:rPr>
            </w:pPr>
            <w:r w:rsidRPr="00A458BA">
              <w:rPr>
                <w:b/>
                <w:bCs/>
                <w:i/>
                <w:lang w:eastAsia="ar-SA"/>
              </w:rPr>
              <w:t>0 tis. Kč</w:t>
            </w:r>
          </w:p>
          <w:p w14:paraId="51FED2B0" w14:textId="77777777" w:rsidR="00DC0C9F" w:rsidRPr="00A458BA" w:rsidRDefault="00DC0C9F" w:rsidP="00F915F4">
            <w:pPr>
              <w:jc w:val="right"/>
              <w:rPr>
                <w:bCs/>
                <w:i/>
                <w:lang w:eastAsia="ar-SA"/>
              </w:rPr>
            </w:pPr>
            <w:r w:rsidRPr="00A458BA">
              <w:rPr>
                <w:b/>
                <w:bCs/>
                <w:i/>
                <w:lang w:eastAsia="ar-SA"/>
              </w:rPr>
              <w:t>1 601 tis. Kč</w:t>
            </w:r>
          </w:p>
        </w:tc>
      </w:tr>
    </w:tbl>
    <w:p w14:paraId="7953CE1A" w14:textId="77777777" w:rsidR="00DC0C9F" w:rsidRPr="00A458BA" w:rsidRDefault="00DC0C9F" w:rsidP="00D25EC1">
      <w:pPr>
        <w:spacing w:before="120"/>
        <w:jc w:val="both"/>
        <w:rPr>
          <w:sz w:val="22"/>
          <w:szCs w:val="22"/>
          <w:lang w:eastAsia="ar-SA"/>
        </w:rPr>
      </w:pPr>
      <w:r w:rsidRPr="00A458BA">
        <w:rPr>
          <w:vertAlign w:val="superscript"/>
          <w:lang w:eastAsia="ar-SA"/>
        </w:rPr>
        <w:t>x</w:t>
      </w:r>
      <w:r w:rsidRPr="00A458BA">
        <w:rPr>
          <w:lang w:eastAsia="ar-SA"/>
        </w:rPr>
        <w:t xml:space="preserve">) </w:t>
      </w:r>
      <w:r w:rsidRPr="00A458BA">
        <w:rPr>
          <w:sz w:val="22"/>
          <w:szCs w:val="22"/>
          <w:lang w:eastAsia="ar-SA"/>
        </w:rPr>
        <w:t>z</w:t>
      </w:r>
      <w:r>
        <w:rPr>
          <w:sz w:val="22"/>
          <w:szCs w:val="22"/>
          <w:lang w:eastAsia="ar-SA"/>
        </w:rPr>
        <w:t> </w:t>
      </w:r>
      <w:r w:rsidRPr="00A458BA">
        <w:rPr>
          <w:sz w:val="22"/>
          <w:szCs w:val="22"/>
          <w:lang w:eastAsia="ar-SA"/>
        </w:rPr>
        <w:t>toho</w:t>
      </w:r>
      <w:r>
        <w:rPr>
          <w:sz w:val="22"/>
          <w:szCs w:val="22"/>
          <w:lang w:eastAsia="ar-SA"/>
        </w:rPr>
        <w:t>:</w:t>
      </w:r>
      <w:r w:rsidRPr="00A458BA">
        <w:rPr>
          <w:sz w:val="22"/>
          <w:szCs w:val="22"/>
          <w:lang w:eastAsia="ar-SA"/>
        </w:rPr>
        <w:t xml:space="preserve"> nároky</w:t>
      </w:r>
      <w:r>
        <w:rPr>
          <w:sz w:val="22"/>
          <w:szCs w:val="22"/>
          <w:lang w:eastAsia="ar-SA"/>
        </w:rPr>
        <w:t xml:space="preserve"> ve výši</w:t>
      </w:r>
      <w:r w:rsidRPr="00A458BA">
        <w:rPr>
          <w:sz w:val="22"/>
          <w:szCs w:val="22"/>
          <w:lang w:eastAsia="ar-SA"/>
        </w:rPr>
        <w:t xml:space="preserve"> 434 tis. Kč</w:t>
      </w:r>
      <w:r>
        <w:rPr>
          <w:sz w:val="22"/>
          <w:szCs w:val="22"/>
          <w:lang w:eastAsia="ar-SA"/>
        </w:rPr>
        <w:t xml:space="preserve"> (investiční prostředky EU)</w:t>
      </w:r>
    </w:p>
    <w:p w14:paraId="1F16B74E" w14:textId="77777777" w:rsidR="00DC0C9F" w:rsidRDefault="00DC0C9F" w:rsidP="005E4525">
      <w:pPr>
        <w:spacing w:before="80"/>
        <w:jc w:val="both"/>
        <w:rPr>
          <w:sz w:val="22"/>
          <w:szCs w:val="22"/>
          <w:lang w:eastAsia="ar-SA"/>
        </w:rPr>
      </w:pPr>
      <w:r w:rsidRPr="00A458BA">
        <w:rPr>
          <w:sz w:val="22"/>
          <w:szCs w:val="22"/>
          <w:vertAlign w:val="superscript"/>
          <w:lang w:eastAsia="ar-SA"/>
        </w:rPr>
        <w:t>*</w:t>
      </w:r>
      <w:r w:rsidRPr="00A458BA">
        <w:rPr>
          <w:sz w:val="22"/>
          <w:szCs w:val="22"/>
          <w:lang w:eastAsia="ar-SA"/>
        </w:rPr>
        <w:t>) z</w:t>
      </w:r>
      <w:r>
        <w:rPr>
          <w:sz w:val="22"/>
          <w:szCs w:val="22"/>
          <w:lang w:eastAsia="ar-SA"/>
        </w:rPr>
        <w:t> </w:t>
      </w:r>
      <w:r w:rsidRPr="00A458BA">
        <w:rPr>
          <w:sz w:val="22"/>
          <w:szCs w:val="22"/>
          <w:lang w:eastAsia="ar-SA"/>
        </w:rPr>
        <w:t>toho</w:t>
      </w:r>
      <w:r>
        <w:rPr>
          <w:sz w:val="22"/>
          <w:szCs w:val="22"/>
          <w:lang w:eastAsia="ar-SA"/>
        </w:rPr>
        <w:t xml:space="preserve">: </w:t>
      </w:r>
      <w:r w:rsidRPr="00A458BA">
        <w:rPr>
          <w:sz w:val="22"/>
          <w:szCs w:val="22"/>
          <w:lang w:eastAsia="ar-SA"/>
        </w:rPr>
        <w:t xml:space="preserve"> nároky</w:t>
      </w:r>
      <w:r>
        <w:rPr>
          <w:sz w:val="22"/>
          <w:szCs w:val="22"/>
          <w:lang w:eastAsia="ar-SA"/>
        </w:rPr>
        <w:t xml:space="preserve"> ve výši</w:t>
      </w:r>
      <w:r w:rsidRPr="00A458BA">
        <w:rPr>
          <w:sz w:val="22"/>
          <w:szCs w:val="22"/>
          <w:lang w:eastAsia="ar-SA"/>
        </w:rPr>
        <w:t xml:space="preserve"> 433 tis. Kč</w:t>
      </w:r>
      <w:r>
        <w:rPr>
          <w:sz w:val="22"/>
          <w:szCs w:val="22"/>
          <w:lang w:eastAsia="ar-SA"/>
        </w:rPr>
        <w:t xml:space="preserve"> (neinvestiční prostředky EU)</w:t>
      </w:r>
    </w:p>
    <w:p w14:paraId="4582E88D" w14:textId="77777777" w:rsidR="00DC0C9F" w:rsidRPr="0037626F" w:rsidRDefault="00DC0C9F" w:rsidP="00BB64C4">
      <w:pPr>
        <w:pStyle w:val="Nadpis6"/>
      </w:pPr>
      <w:bookmarkStart w:id="1017" w:name="_Toc1376852"/>
      <w:r w:rsidRPr="0037626F">
        <w:rPr>
          <w:lang w:eastAsia="ar-SA"/>
        </w:rPr>
        <w:t xml:space="preserve">127 66 </w:t>
      </w:r>
      <w:r w:rsidRPr="0037626F">
        <w:t>Podpora obnovy historických železničních kolejových vozidel v období 2017-2020</w:t>
      </w:r>
    </w:p>
    <w:p w14:paraId="4A20526C" w14:textId="77777777" w:rsidR="00DC0C9F" w:rsidRPr="0037626F" w:rsidRDefault="00DC0C9F" w:rsidP="00BB64C4">
      <w:pPr>
        <w:pStyle w:val="KOMtext"/>
      </w:pPr>
      <w:r w:rsidRPr="0037626F">
        <w:t>Náplní programu je podpora obnovy historických železničních kolejových vozidel. Účastníky programu jsou podnikatelské subjekty, spolky a obecně prospěšné společnosti.</w:t>
      </w:r>
    </w:p>
    <w:p w14:paraId="5506D3F9" w14:textId="77777777" w:rsidR="00DC0C9F" w:rsidRPr="0037626F" w:rsidRDefault="00DC0C9F" w:rsidP="00BB64C4">
      <w:pPr>
        <w:pStyle w:val="KOMtext"/>
      </w:pPr>
      <w:r w:rsidRPr="0037626F">
        <w:t>Termín ukončení realizace programu je stanoven na 31.12.2020.</w:t>
      </w:r>
    </w:p>
    <w:p w14:paraId="01FED007" w14:textId="77777777" w:rsidR="00DC0C9F" w:rsidRPr="0037626F" w:rsidRDefault="00DC0C9F" w:rsidP="00BB64C4">
      <w:pPr>
        <w:pStyle w:val="KOMtext"/>
      </w:pPr>
      <w:r w:rsidRPr="0037626F">
        <w:lastRenderedPageBreak/>
        <w:t>Dokumentace programu byla schválena Ministerstvem financí č.j. 40 657/2016/1903-6 ze dne 20.1.2017.</w:t>
      </w:r>
    </w:p>
    <w:p w14:paraId="277F447B" w14:textId="77777777" w:rsidR="00DC0C9F" w:rsidRPr="0037626F" w:rsidRDefault="00DC0C9F" w:rsidP="00BB64C4">
      <w:pPr>
        <w:pStyle w:val="KOMtext"/>
      </w:pPr>
      <w:r w:rsidRPr="0037626F">
        <w:t xml:space="preserve">Dotace byly určeny jako státní příspěvek dopravcům na obnovu historických železničních kolejových vozidel. V roce 2019 bylo podpořeno 12 projektových záměrů a bylo obnoveno </w:t>
      </w:r>
      <w:r w:rsidRPr="0037626F">
        <w:br/>
        <w:t>13 vozidel.</w:t>
      </w:r>
    </w:p>
    <w:p w14:paraId="5872F568" w14:textId="77777777" w:rsidR="00DC0C9F" w:rsidRPr="0037626F" w:rsidRDefault="00DC0C9F" w:rsidP="00DC0C9F">
      <w:pPr>
        <w:spacing w:before="120" w:after="120"/>
        <w:jc w:val="both"/>
        <w:rPr>
          <w:b/>
          <w:i/>
          <w:lang w:eastAsia="ar-SA"/>
        </w:rPr>
      </w:pPr>
      <w:r w:rsidRPr="0037626F">
        <w:rPr>
          <w:b/>
          <w:i/>
          <w:lang w:eastAsia="ar-SA"/>
        </w:rPr>
        <w:t>Skutečné čerpání v roce 2019:</w:t>
      </w:r>
    </w:p>
    <w:tbl>
      <w:tblPr>
        <w:tblW w:w="9255" w:type="dxa"/>
        <w:tblLayout w:type="fixed"/>
        <w:tblCellMar>
          <w:left w:w="70" w:type="dxa"/>
          <w:right w:w="70" w:type="dxa"/>
        </w:tblCellMar>
        <w:tblLook w:val="04A0" w:firstRow="1" w:lastRow="0" w:firstColumn="1" w:lastColumn="0" w:noHBand="0" w:noVBand="1"/>
      </w:tblPr>
      <w:tblGrid>
        <w:gridCol w:w="7094"/>
        <w:gridCol w:w="2161"/>
      </w:tblGrid>
      <w:tr w:rsidR="00DC0C9F" w:rsidRPr="0037626F" w14:paraId="55461363" w14:textId="77777777" w:rsidTr="00F915F4">
        <w:tc>
          <w:tcPr>
            <w:tcW w:w="7094" w:type="dxa"/>
            <w:hideMark/>
          </w:tcPr>
          <w:p w14:paraId="4D3D75A4" w14:textId="77777777" w:rsidR="00DC0C9F" w:rsidRPr="00DA556E" w:rsidRDefault="00DC0C9F" w:rsidP="00275CE2">
            <w:pPr>
              <w:numPr>
                <w:ilvl w:val="0"/>
                <w:numId w:val="37"/>
              </w:numPr>
              <w:tabs>
                <w:tab w:val="left" w:pos="426"/>
                <w:tab w:val="num" w:pos="567"/>
              </w:tabs>
              <w:suppressAutoHyphens/>
              <w:snapToGrid w:val="0"/>
              <w:ind w:left="284" w:hanging="142"/>
              <w:rPr>
                <w:b/>
                <w:i/>
                <w:lang w:eastAsia="ar-SA"/>
              </w:rPr>
            </w:pPr>
            <w:r w:rsidRPr="00DA556E">
              <w:rPr>
                <w:b/>
                <w:i/>
                <w:lang w:eastAsia="ar-SA"/>
              </w:rPr>
              <w:t>ze státního rozpočtu (systémové dotace neinvestiční) )</w:t>
            </w:r>
            <w:r w:rsidRPr="00DA556E">
              <w:rPr>
                <w:b/>
                <w:i/>
                <w:vertAlign w:val="superscript"/>
                <w:lang w:eastAsia="ar-SA"/>
              </w:rPr>
              <w:t xml:space="preserve"> x</w:t>
            </w:r>
            <w:r w:rsidRPr="00DA556E">
              <w:rPr>
                <w:b/>
                <w:i/>
                <w:lang w:eastAsia="ar-SA"/>
              </w:rPr>
              <w:t>)</w:t>
            </w:r>
          </w:p>
        </w:tc>
        <w:tc>
          <w:tcPr>
            <w:tcW w:w="2161" w:type="dxa"/>
            <w:hideMark/>
          </w:tcPr>
          <w:p w14:paraId="49D6ECC5" w14:textId="77777777" w:rsidR="00DC0C9F" w:rsidRPr="00DA556E" w:rsidRDefault="00DC0C9F" w:rsidP="00F915F4">
            <w:pPr>
              <w:snapToGrid w:val="0"/>
              <w:jc w:val="right"/>
              <w:rPr>
                <w:b/>
                <w:bCs/>
                <w:i/>
                <w:lang w:eastAsia="ar-SA"/>
              </w:rPr>
            </w:pPr>
            <w:r w:rsidRPr="00DA556E">
              <w:rPr>
                <w:b/>
                <w:bCs/>
                <w:i/>
                <w:lang w:eastAsia="ar-SA"/>
              </w:rPr>
              <w:t>4 508 tis. Kč</w:t>
            </w:r>
          </w:p>
        </w:tc>
      </w:tr>
      <w:tr w:rsidR="00DC0C9F" w:rsidRPr="004B11AC" w14:paraId="5BC77F15" w14:textId="77777777" w:rsidTr="00F915F4">
        <w:tc>
          <w:tcPr>
            <w:tcW w:w="7094" w:type="dxa"/>
            <w:hideMark/>
          </w:tcPr>
          <w:p w14:paraId="7C62A44A" w14:textId="77777777" w:rsidR="00DC0C9F" w:rsidRPr="00DA556E" w:rsidRDefault="00DC0C9F" w:rsidP="00275CE2">
            <w:pPr>
              <w:numPr>
                <w:ilvl w:val="0"/>
                <w:numId w:val="37"/>
              </w:numPr>
              <w:tabs>
                <w:tab w:val="left" w:pos="426"/>
                <w:tab w:val="num" w:pos="567"/>
              </w:tabs>
              <w:suppressAutoHyphens/>
              <w:snapToGrid w:val="0"/>
              <w:ind w:left="284" w:hanging="142"/>
              <w:rPr>
                <w:b/>
                <w:i/>
                <w:lang w:eastAsia="ar-SA"/>
              </w:rPr>
            </w:pPr>
            <w:r w:rsidRPr="00DA556E">
              <w:rPr>
                <w:b/>
                <w:i/>
                <w:lang w:eastAsia="ar-SA"/>
              </w:rPr>
              <w:t xml:space="preserve">vlastní zdroje účastníků programu </w:t>
            </w:r>
          </w:p>
        </w:tc>
        <w:tc>
          <w:tcPr>
            <w:tcW w:w="2161" w:type="dxa"/>
            <w:hideMark/>
          </w:tcPr>
          <w:p w14:paraId="6F45973A" w14:textId="77777777" w:rsidR="00DC0C9F" w:rsidRPr="00DA556E" w:rsidRDefault="00DC0C9F" w:rsidP="00F915F4">
            <w:pPr>
              <w:snapToGrid w:val="0"/>
              <w:jc w:val="right"/>
              <w:rPr>
                <w:b/>
                <w:bCs/>
                <w:i/>
                <w:lang w:eastAsia="ar-SA"/>
              </w:rPr>
            </w:pPr>
            <w:r w:rsidRPr="00DA556E">
              <w:rPr>
                <w:b/>
                <w:bCs/>
                <w:i/>
                <w:lang w:eastAsia="ar-SA"/>
              </w:rPr>
              <w:t xml:space="preserve"> 1 327 tis. Kč</w:t>
            </w:r>
          </w:p>
        </w:tc>
      </w:tr>
    </w:tbl>
    <w:p w14:paraId="0F6341F1" w14:textId="77777777" w:rsidR="00DC0C9F" w:rsidRPr="00A458BA" w:rsidRDefault="00DC0C9F" w:rsidP="00BB64C4">
      <w:pPr>
        <w:spacing w:before="120"/>
        <w:jc w:val="both"/>
        <w:rPr>
          <w:sz w:val="22"/>
          <w:szCs w:val="22"/>
          <w:lang w:eastAsia="ar-SA"/>
        </w:rPr>
      </w:pPr>
      <w:r w:rsidRPr="00A458BA">
        <w:rPr>
          <w:vertAlign w:val="superscript"/>
          <w:lang w:eastAsia="ar-SA"/>
        </w:rPr>
        <w:t>x</w:t>
      </w:r>
      <w:r w:rsidRPr="00A458BA">
        <w:rPr>
          <w:lang w:eastAsia="ar-SA"/>
        </w:rPr>
        <w:t xml:space="preserve">) </w:t>
      </w:r>
      <w:r w:rsidRPr="00A458BA">
        <w:rPr>
          <w:sz w:val="22"/>
          <w:szCs w:val="22"/>
          <w:lang w:eastAsia="ar-SA"/>
        </w:rPr>
        <w:t>z</w:t>
      </w:r>
      <w:r>
        <w:rPr>
          <w:sz w:val="22"/>
          <w:szCs w:val="22"/>
          <w:lang w:eastAsia="ar-SA"/>
        </w:rPr>
        <w:t> </w:t>
      </w:r>
      <w:r w:rsidRPr="00A458BA">
        <w:rPr>
          <w:sz w:val="22"/>
          <w:szCs w:val="22"/>
          <w:lang w:eastAsia="ar-SA"/>
        </w:rPr>
        <w:t>toho</w:t>
      </w:r>
      <w:r>
        <w:rPr>
          <w:sz w:val="22"/>
          <w:szCs w:val="22"/>
          <w:lang w:eastAsia="ar-SA"/>
        </w:rPr>
        <w:t>:</w:t>
      </w:r>
      <w:r w:rsidRPr="00A458BA">
        <w:rPr>
          <w:sz w:val="22"/>
          <w:szCs w:val="22"/>
          <w:lang w:eastAsia="ar-SA"/>
        </w:rPr>
        <w:t xml:space="preserve"> nároky</w:t>
      </w:r>
      <w:r>
        <w:rPr>
          <w:sz w:val="22"/>
          <w:szCs w:val="22"/>
          <w:lang w:eastAsia="ar-SA"/>
        </w:rPr>
        <w:t xml:space="preserve"> ve výši</w:t>
      </w:r>
      <w:r w:rsidRPr="00A458BA">
        <w:rPr>
          <w:sz w:val="22"/>
          <w:szCs w:val="22"/>
          <w:lang w:eastAsia="ar-SA"/>
        </w:rPr>
        <w:t xml:space="preserve"> </w:t>
      </w:r>
      <w:r>
        <w:rPr>
          <w:sz w:val="22"/>
          <w:szCs w:val="22"/>
          <w:lang w:eastAsia="ar-SA"/>
        </w:rPr>
        <w:t>617</w:t>
      </w:r>
      <w:r w:rsidRPr="00A458BA">
        <w:rPr>
          <w:sz w:val="22"/>
          <w:szCs w:val="22"/>
          <w:lang w:eastAsia="ar-SA"/>
        </w:rPr>
        <w:t xml:space="preserve"> tis. Kč</w:t>
      </w:r>
      <w:r>
        <w:rPr>
          <w:sz w:val="22"/>
          <w:szCs w:val="22"/>
          <w:lang w:eastAsia="ar-SA"/>
        </w:rPr>
        <w:t xml:space="preserve"> (neinvestiční prostředky SR)</w:t>
      </w:r>
    </w:p>
    <w:p w14:paraId="6DE570F2" w14:textId="77777777" w:rsidR="00DC0C9F" w:rsidRPr="0037626F" w:rsidRDefault="00DC0C9F" w:rsidP="00BB64C4">
      <w:pPr>
        <w:pStyle w:val="Nadpis6"/>
      </w:pPr>
      <w:r w:rsidRPr="0037626F">
        <w:rPr>
          <w:lang w:eastAsia="ar-SA"/>
        </w:rPr>
        <w:t>127 77 Podpora financování dopravy</w:t>
      </w:r>
    </w:p>
    <w:p w14:paraId="162AEF2D" w14:textId="77777777" w:rsidR="00DC0C9F" w:rsidRPr="0037626F" w:rsidRDefault="00DC0C9F" w:rsidP="00BB64C4">
      <w:pPr>
        <w:pStyle w:val="KOMtext"/>
      </w:pPr>
      <w:r w:rsidRPr="0037626F">
        <w:t>Program je členěn na 4 podprogramy.</w:t>
      </w:r>
    </w:p>
    <w:p w14:paraId="08263D2F" w14:textId="77777777" w:rsidR="00DC0C9F" w:rsidRPr="0037626F" w:rsidRDefault="00DC0C9F" w:rsidP="00275CE2">
      <w:pPr>
        <w:pStyle w:val="Odstavecseseznamem"/>
        <w:numPr>
          <w:ilvl w:val="0"/>
          <w:numId w:val="58"/>
        </w:numPr>
        <w:spacing w:before="120"/>
        <w:ind w:left="709" w:hanging="425"/>
        <w:jc w:val="both"/>
        <w:rPr>
          <w:i/>
        </w:rPr>
      </w:pPr>
      <w:r w:rsidRPr="0037626F">
        <w:rPr>
          <w:i/>
        </w:rPr>
        <w:t>127 772 Operační program Doprava 2014–2020 – Ministerstvo dopravy</w:t>
      </w:r>
    </w:p>
    <w:p w14:paraId="3E05F184" w14:textId="77777777" w:rsidR="00DC0C9F" w:rsidRPr="0037626F" w:rsidRDefault="00DC0C9F" w:rsidP="00275CE2">
      <w:pPr>
        <w:pStyle w:val="Odstavecseseznamem"/>
        <w:numPr>
          <w:ilvl w:val="0"/>
          <w:numId w:val="58"/>
        </w:numPr>
        <w:spacing w:before="120"/>
        <w:ind w:left="709" w:hanging="425"/>
        <w:jc w:val="both"/>
        <w:rPr>
          <w:i/>
        </w:rPr>
      </w:pPr>
      <w:r w:rsidRPr="0037626F">
        <w:rPr>
          <w:i/>
        </w:rPr>
        <w:t xml:space="preserve">127 773 Operační program Doprava 2014–2020 – Státní fond dopravní infrastruktury </w:t>
      </w:r>
    </w:p>
    <w:p w14:paraId="050F2CB3" w14:textId="77777777" w:rsidR="00DC0C9F" w:rsidRPr="0037626F" w:rsidRDefault="00DC0C9F" w:rsidP="00BB64C4">
      <w:pPr>
        <w:pStyle w:val="KOMtext"/>
      </w:pPr>
      <w:r w:rsidRPr="0037626F">
        <w:t>Náplní obou podprogramů je podpora udržitelné dopravy a odstraňování nedostatků v klíčových síťových dopravních infrastrukturách.</w:t>
      </w:r>
    </w:p>
    <w:p w14:paraId="3232770A" w14:textId="77777777" w:rsidR="00DC0C9F" w:rsidRPr="0037626F" w:rsidRDefault="00DC0C9F" w:rsidP="00275CE2">
      <w:pPr>
        <w:pStyle w:val="Odstavecseseznamem"/>
        <w:numPr>
          <w:ilvl w:val="0"/>
          <w:numId w:val="59"/>
        </w:numPr>
        <w:spacing w:before="120"/>
        <w:ind w:left="709" w:hanging="425"/>
        <w:jc w:val="both"/>
        <w:rPr>
          <w:i/>
        </w:rPr>
      </w:pPr>
      <w:r w:rsidRPr="0037626F">
        <w:rPr>
          <w:i/>
        </w:rPr>
        <w:t>127 774 Nástroj pro propojení Evropy (CEF)</w:t>
      </w:r>
    </w:p>
    <w:p w14:paraId="550D9452" w14:textId="77777777" w:rsidR="00DC0C9F" w:rsidRPr="0037626F" w:rsidRDefault="00DC0C9F" w:rsidP="00BB64C4">
      <w:pPr>
        <w:pStyle w:val="KOMtext"/>
      </w:pPr>
      <w:r w:rsidRPr="0037626F">
        <w:t>Náplní podprogramu je podpora investic do nové a stávající infrastruktury se zaměřením na přeshraniční úseky.</w:t>
      </w:r>
    </w:p>
    <w:p w14:paraId="04FFF7E4" w14:textId="77777777" w:rsidR="00DC0C9F" w:rsidRPr="0037626F" w:rsidRDefault="00DC0C9F" w:rsidP="00275CE2">
      <w:pPr>
        <w:pStyle w:val="Odstavecseseznamem"/>
        <w:numPr>
          <w:ilvl w:val="0"/>
          <w:numId w:val="59"/>
        </w:numPr>
        <w:spacing w:before="120"/>
        <w:ind w:left="709" w:hanging="425"/>
        <w:jc w:val="both"/>
        <w:rPr>
          <w:i/>
        </w:rPr>
      </w:pPr>
      <w:r w:rsidRPr="0037626F">
        <w:rPr>
          <w:i/>
        </w:rPr>
        <w:t>127 775 Ostatní dotace Státnímu fondu dopravní infrastruktury</w:t>
      </w:r>
    </w:p>
    <w:p w14:paraId="6AD5A118" w14:textId="77777777" w:rsidR="00DC0C9F" w:rsidRPr="0037626F" w:rsidRDefault="00DC0C9F" w:rsidP="00BB64C4">
      <w:pPr>
        <w:pStyle w:val="KOMtext"/>
      </w:pPr>
      <w:r w:rsidRPr="0037626F">
        <w:t xml:space="preserve">Náplní podprogramu je financování výstavby a modernizace dopravní infrastruktury v rozsahu stanoveném zákonem č. 104/2000 Sb., o Státním </w:t>
      </w:r>
      <w:r w:rsidR="00BB64C4">
        <w:t xml:space="preserve">fondu dopravní infrastruktury, </w:t>
      </w:r>
      <w:r w:rsidR="00BB64C4">
        <w:br/>
      </w:r>
      <w:r w:rsidRPr="0037626F">
        <w:t>a spolufinancování investičních projektů EU.</w:t>
      </w:r>
    </w:p>
    <w:p w14:paraId="2092098F" w14:textId="77777777" w:rsidR="00DC0C9F" w:rsidRPr="0037626F" w:rsidRDefault="00DC0C9F" w:rsidP="00BB64C4">
      <w:pPr>
        <w:pStyle w:val="KOMtext"/>
      </w:pPr>
      <w:r w:rsidRPr="0037626F">
        <w:t xml:space="preserve">Stanovení struktury programu a výše účasti státního rozpočtu na jeho financování jsou určeny usnesením vlády č. 108 ze dne 8. února 2017. </w:t>
      </w:r>
    </w:p>
    <w:p w14:paraId="1D8585E6" w14:textId="77777777" w:rsidR="00DC0C9F" w:rsidRPr="0037626F" w:rsidRDefault="00DC0C9F" w:rsidP="00BB64C4">
      <w:pPr>
        <w:pStyle w:val="KOMtext"/>
      </w:pPr>
      <w:r w:rsidRPr="0037626F">
        <w:t xml:space="preserve">V roce 2019 nebyly čerpány investiční prostředky státního rozpočtu (prostředky EU) v rámci podprogramu </w:t>
      </w:r>
      <w:r w:rsidRPr="0037626F">
        <w:rPr>
          <w:i/>
        </w:rPr>
        <w:t>127 772 „Operační program Doprava 2014-2020 - Ministerstvo dopravy“.</w:t>
      </w:r>
      <w:r w:rsidRPr="0037626F">
        <w:t xml:space="preserve"> Bylo vyhlášeno celkem 26 výzev pro podávání žádostí o podporu, z nichž 22 je již pro podávání žádostí ukončeno. Z ukončených výzev bylo 6 kolových výzev na „Modernizaci plavidel vnitrozemské vodní dopravy“, 4 kolové výzvy na „Zajištění interope</w:t>
      </w:r>
      <w:r w:rsidR="00BB64C4">
        <w:t>rability v železniční dopravě“,</w:t>
      </w:r>
      <w:r w:rsidRPr="0037626F">
        <w:t xml:space="preserve"> 10 kolových výzev k „Rozvoji čisté mobilit</w:t>
      </w:r>
      <w:r w:rsidR="00BB64C4">
        <w:t xml:space="preserve">y“ a 2 kolové výzvy na „Podporu </w:t>
      </w:r>
      <w:r w:rsidRPr="0037626F">
        <w:t>přepravních jednotek kombinované dopravy</w:t>
      </w:r>
      <w:r>
        <w:t>.</w:t>
      </w:r>
    </w:p>
    <w:p w14:paraId="266E7EF4" w14:textId="77777777" w:rsidR="00556FCC" w:rsidRPr="0015322E" w:rsidRDefault="00556FCC" w:rsidP="00556FCC">
      <w:pPr>
        <w:pStyle w:val="KOMtext"/>
      </w:pPr>
      <w:r w:rsidRPr="00CD5D6E">
        <w:t xml:space="preserve">V rámci podprogramu </w:t>
      </w:r>
      <w:r w:rsidRPr="00CD5D6E">
        <w:rPr>
          <w:i/>
        </w:rPr>
        <w:t>127 773 „Operační program Doprava 2014-2020 – Státní fond dopravní infrastruktury“</w:t>
      </w:r>
      <w:r w:rsidRPr="00CD5D6E">
        <w:t xml:space="preserve"> byly čerpány investiční prostředky (prostředky EU) ve výši </w:t>
      </w:r>
      <w:r w:rsidRPr="0015322E">
        <w:t>14</w:t>
      </w:r>
      <w:r>
        <w:t> 431 537</w:t>
      </w:r>
      <w:r w:rsidRPr="0015322E">
        <w:t xml:space="preserve"> tis. Kč </w:t>
      </w:r>
      <w:r>
        <w:br/>
      </w:r>
      <w:r w:rsidRPr="0015322E">
        <w:t xml:space="preserve">a národní podíl ve výši 711 tis. Kč, neinvestiční prostředky (prostředky EU) 636 tis. Kč. Finanční prostředky byly použity na velké dopravní stavby, kdy konečnými příjemci byly Ředitelství silnic a dálnic ČR a Správa železniční dopravní cesty, s. o. </w:t>
      </w:r>
    </w:p>
    <w:p w14:paraId="78092B88" w14:textId="77777777" w:rsidR="00556FCC" w:rsidRDefault="00556FCC" w:rsidP="00556FCC">
      <w:pPr>
        <w:pStyle w:val="KOMtext"/>
      </w:pPr>
      <w:r w:rsidRPr="0015322E">
        <w:t xml:space="preserve">V rámci podprogramu </w:t>
      </w:r>
      <w:r w:rsidRPr="0015322E">
        <w:rPr>
          <w:i/>
        </w:rPr>
        <w:t>127 774 „Nástroj pro propojení Evropy“</w:t>
      </w:r>
      <w:r>
        <w:t xml:space="preserve"> byly čerpány investiční </w:t>
      </w:r>
      <w:r w:rsidRPr="0015322E">
        <w:t xml:space="preserve">prostředky (prostředky EU) </w:t>
      </w:r>
      <w:r w:rsidRPr="00145154">
        <w:t xml:space="preserve">ve výši </w:t>
      </w:r>
      <w:r w:rsidR="00275CE2">
        <w:t xml:space="preserve">3 130 326 </w:t>
      </w:r>
      <w:r>
        <w:t>tis. Kč.</w:t>
      </w:r>
    </w:p>
    <w:p w14:paraId="12D7F8E5" w14:textId="6D62DE73" w:rsidR="00556FCC" w:rsidRPr="005E5967" w:rsidRDefault="00556FCC" w:rsidP="00556FCC">
      <w:pPr>
        <w:pStyle w:val="KOMtext"/>
      </w:pPr>
      <w:r w:rsidRPr="00145154">
        <w:lastRenderedPageBreak/>
        <w:t xml:space="preserve">V rámci podprogramu </w:t>
      </w:r>
      <w:r w:rsidRPr="00145154">
        <w:rPr>
          <w:i/>
        </w:rPr>
        <w:t xml:space="preserve">127 775 „Ostatní dotace Státního fondu dopravní infrastruktury“ </w:t>
      </w:r>
      <w:r w:rsidRPr="00145154">
        <w:t xml:space="preserve">byly čerpány investiční prostředky státního rozpočtu ve výši </w:t>
      </w:r>
      <w:r w:rsidRPr="005E5967">
        <w:t>27 180 435 tis. Kč na krytí deficitu SFDI (26 980 000 tis. Kč) a na financování silnic II</w:t>
      </w:r>
      <w:r w:rsidR="00B36B59">
        <w:t>.</w:t>
      </w:r>
      <w:r w:rsidRPr="005E5967">
        <w:t xml:space="preserve"> a III. třídy ve vlastnictví krajů </w:t>
      </w:r>
      <w:r w:rsidRPr="005E5967">
        <w:br/>
        <w:t>(200 435 tis. Kč).</w:t>
      </w:r>
    </w:p>
    <w:p w14:paraId="02741FAB" w14:textId="77777777" w:rsidR="00556FCC" w:rsidRPr="00DF69AB" w:rsidRDefault="00556FCC" w:rsidP="00556FCC">
      <w:pPr>
        <w:spacing w:before="120"/>
        <w:jc w:val="both"/>
        <w:rPr>
          <w:b/>
          <w:i/>
          <w:lang w:eastAsia="ar-SA"/>
        </w:rPr>
      </w:pPr>
      <w:r w:rsidRPr="00DF69AB">
        <w:rPr>
          <w:b/>
          <w:i/>
          <w:lang w:eastAsia="ar-SA"/>
        </w:rPr>
        <w:t>Skutečné čerpání v roce 2019:</w:t>
      </w:r>
    </w:p>
    <w:tbl>
      <w:tblPr>
        <w:tblW w:w="9568" w:type="dxa"/>
        <w:tblLayout w:type="fixed"/>
        <w:tblCellMar>
          <w:left w:w="70" w:type="dxa"/>
          <w:right w:w="70" w:type="dxa"/>
        </w:tblCellMar>
        <w:tblLook w:val="04A0" w:firstRow="1" w:lastRow="0" w:firstColumn="1" w:lastColumn="0" w:noHBand="0" w:noVBand="1"/>
      </w:tblPr>
      <w:tblGrid>
        <w:gridCol w:w="70"/>
        <w:gridCol w:w="7200"/>
        <w:gridCol w:w="1911"/>
        <w:gridCol w:w="387"/>
      </w:tblGrid>
      <w:tr w:rsidR="00C92871" w:rsidRPr="00C92871" w14:paraId="6767D33B" w14:textId="77777777" w:rsidTr="00C92871">
        <w:trPr>
          <w:gridAfter w:val="1"/>
          <w:wAfter w:w="387" w:type="dxa"/>
          <w:trHeight w:val="377"/>
        </w:trPr>
        <w:tc>
          <w:tcPr>
            <w:tcW w:w="7270" w:type="dxa"/>
            <w:gridSpan w:val="2"/>
            <w:hideMark/>
          </w:tcPr>
          <w:p w14:paraId="51A5CB6A" w14:textId="77777777" w:rsidR="00C92871" w:rsidRPr="00C92871" w:rsidRDefault="00C92871" w:rsidP="00C92871">
            <w:pPr>
              <w:numPr>
                <w:ilvl w:val="0"/>
                <w:numId w:val="56"/>
              </w:numPr>
              <w:tabs>
                <w:tab w:val="left" w:pos="283"/>
                <w:tab w:val="num" w:pos="360"/>
              </w:tabs>
              <w:suppressAutoHyphens/>
              <w:snapToGrid w:val="0"/>
              <w:spacing w:before="120"/>
              <w:ind w:hanging="1979"/>
              <w:rPr>
                <w:i/>
                <w:lang w:eastAsia="ar-SA"/>
              </w:rPr>
            </w:pPr>
            <w:r w:rsidRPr="00C92871">
              <w:rPr>
                <w:b/>
                <w:i/>
                <w:lang w:eastAsia="ar-SA"/>
              </w:rPr>
              <w:t xml:space="preserve">ze státního rozpočtu </w:t>
            </w:r>
            <w:r w:rsidRPr="00C92871">
              <w:rPr>
                <w:b/>
                <w:i/>
              </w:rPr>
              <w:t>(individuální dotace investiční ze SR)</w:t>
            </w:r>
            <w:r w:rsidRPr="00C92871">
              <w:rPr>
                <w:b/>
                <w:bCs/>
                <w:i/>
                <w:vertAlign w:val="superscript"/>
                <w:lang w:eastAsia="ar-SA"/>
              </w:rPr>
              <w:t xml:space="preserve"> </w:t>
            </w:r>
            <w:r w:rsidRPr="00C92871">
              <w:rPr>
                <w:vertAlign w:val="superscript"/>
                <w:lang w:eastAsia="ar-SA"/>
              </w:rPr>
              <w:t>x</w:t>
            </w:r>
            <w:r w:rsidRPr="00C92871">
              <w:rPr>
                <w:lang w:eastAsia="ar-SA"/>
              </w:rPr>
              <w:t>)</w:t>
            </w:r>
          </w:p>
          <w:p w14:paraId="60797DE5" w14:textId="77777777" w:rsidR="00C92871" w:rsidRPr="00C92871" w:rsidRDefault="00C92871" w:rsidP="00C92871">
            <w:pPr>
              <w:numPr>
                <w:ilvl w:val="0"/>
                <w:numId w:val="56"/>
              </w:numPr>
              <w:tabs>
                <w:tab w:val="left" w:pos="283"/>
                <w:tab w:val="num" w:pos="360"/>
              </w:tabs>
              <w:suppressAutoHyphens/>
              <w:snapToGrid w:val="0"/>
              <w:ind w:hanging="1980"/>
              <w:rPr>
                <w:i/>
                <w:lang w:eastAsia="ar-SA"/>
              </w:rPr>
            </w:pPr>
            <w:r w:rsidRPr="00C92871">
              <w:rPr>
                <w:b/>
                <w:i/>
                <w:lang w:eastAsia="ar-SA"/>
              </w:rPr>
              <w:t xml:space="preserve">ze státního rozpočtu </w:t>
            </w:r>
            <w:r w:rsidRPr="00C92871">
              <w:rPr>
                <w:b/>
                <w:i/>
              </w:rPr>
              <w:t>(systémová dotace investiční ze SR)</w:t>
            </w:r>
            <w:r w:rsidRPr="00C92871">
              <w:rPr>
                <w:b/>
                <w:bCs/>
                <w:i/>
                <w:vertAlign w:val="superscript"/>
                <w:lang w:eastAsia="ar-SA"/>
              </w:rPr>
              <w:t xml:space="preserve"> </w:t>
            </w:r>
            <w:r w:rsidRPr="00C92871">
              <w:rPr>
                <w:vertAlign w:val="superscript"/>
                <w:lang w:eastAsia="ar-SA"/>
              </w:rPr>
              <w:t>xx</w:t>
            </w:r>
            <w:r w:rsidRPr="00C92871">
              <w:rPr>
                <w:lang w:eastAsia="ar-SA"/>
              </w:rPr>
              <w:t>)</w:t>
            </w:r>
          </w:p>
        </w:tc>
        <w:tc>
          <w:tcPr>
            <w:tcW w:w="1911" w:type="dxa"/>
            <w:hideMark/>
          </w:tcPr>
          <w:p w14:paraId="2FDF929C" w14:textId="77777777" w:rsidR="00C92871" w:rsidRPr="00C92871" w:rsidRDefault="00C92871" w:rsidP="00C92871">
            <w:pPr>
              <w:snapToGrid w:val="0"/>
              <w:spacing w:before="120"/>
              <w:jc w:val="right"/>
              <w:rPr>
                <w:b/>
                <w:bCs/>
                <w:i/>
                <w:lang w:eastAsia="ar-SA"/>
              </w:rPr>
            </w:pPr>
            <w:r w:rsidRPr="00C92871">
              <w:rPr>
                <w:b/>
                <w:bCs/>
                <w:i/>
                <w:lang w:eastAsia="ar-SA"/>
              </w:rPr>
              <w:t>26 980 000 tis. Kč</w:t>
            </w:r>
          </w:p>
          <w:p w14:paraId="2F082B09" w14:textId="77777777" w:rsidR="00C92871" w:rsidRPr="00C92871" w:rsidRDefault="00C92871" w:rsidP="00C92871">
            <w:pPr>
              <w:snapToGrid w:val="0"/>
              <w:jc w:val="right"/>
              <w:rPr>
                <w:b/>
                <w:i/>
                <w:lang w:eastAsia="ar-SA"/>
              </w:rPr>
            </w:pPr>
            <w:r w:rsidRPr="00C92871">
              <w:rPr>
                <w:b/>
                <w:i/>
                <w:lang w:eastAsia="ar-SA"/>
              </w:rPr>
              <w:t>201 146 tis. Kč</w:t>
            </w:r>
          </w:p>
        </w:tc>
      </w:tr>
      <w:tr w:rsidR="00C92871" w:rsidRPr="00C92871" w14:paraId="25E6E931" w14:textId="77777777" w:rsidTr="00C92871">
        <w:trPr>
          <w:gridAfter w:val="1"/>
          <w:wAfter w:w="387" w:type="dxa"/>
        </w:trPr>
        <w:tc>
          <w:tcPr>
            <w:tcW w:w="7270" w:type="dxa"/>
            <w:gridSpan w:val="2"/>
            <w:hideMark/>
          </w:tcPr>
          <w:p w14:paraId="151F6BE8" w14:textId="77777777" w:rsidR="00C92871" w:rsidRPr="00C92871" w:rsidRDefault="00C92871" w:rsidP="00C92871">
            <w:pPr>
              <w:numPr>
                <w:ilvl w:val="0"/>
                <w:numId w:val="56"/>
              </w:numPr>
              <w:tabs>
                <w:tab w:val="left" w:pos="283"/>
                <w:tab w:val="num" w:pos="360"/>
              </w:tabs>
              <w:suppressAutoHyphens/>
              <w:snapToGrid w:val="0"/>
              <w:ind w:hanging="1980"/>
              <w:rPr>
                <w:i/>
                <w:lang w:eastAsia="ar-SA"/>
              </w:rPr>
            </w:pPr>
            <w:r w:rsidRPr="00C92871">
              <w:rPr>
                <w:b/>
                <w:i/>
                <w:lang w:eastAsia="ar-SA"/>
              </w:rPr>
              <w:t>ze státního rozpočtu (investiční dotace z fondů EU</w:t>
            </w:r>
            <w:r w:rsidRPr="00C92871">
              <w:rPr>
                <w:lang w:eastAsia="ar-SA"/>
              </w:rPr>
              <w:t>)</w:t>
            </w:r>
            <w:r w:rsidRPr="00C92871">
              <w:rPr>
                <w:vertAlign w:val="superscript"/>
                <w:lang w:eastAsia="ar-SA"/>
              </w:rPr>
              <w:t xml:space="preserve"> xxx</w:t>
            </w:r>
            <w:r w:rsidRPr="00C92871">
              <w:rPr>
                <w:lang w:eastAsia="ar-SA"/>
              </w:rPr>
              <w:t>)</w:t>
            </w:r>
            <w:r w:rsidRPr="00C92871">
              <w:rPr>
                <w:sz w:val="22"/>
                <w:szCs w:val="22"/>
              </w:rPr>
              <w:t xml:space="preserve"> *)</w:t>
            </w:r>
          </w:p>
        </w:tc>
        <w:tc>
          <w:tcPr>
            <w:tcW w:w="1911" w:type="dxa"/>
            <w:hideMark/>
          </w:tcPr>
          <w:p w14:paraId="717B6537" w14:textId="77777777" w:rsidR="00C92871" w:rsidRPr="00C92871" w:rsidRDefault="00C92871" w:rsidP="00C92871">
            <w:pPr>
              <w:snapToGrid w:val="0"/>
              <w:jc w:val="right"/>
              <w:rPr>
                <w:i/>
                <w:lang w:eastAsia="ar-SA"/>
              </w:rPr>
            </w:pPr>
            <w:r w:rsidRPr="00C92871">
              <w:rPr>
                <w:b/>
                <w:i/>
              </w:rPr>
              <w:t xml:space="preserve">17 561 863 </w:t>
            </w:r>
            <w:r w:rsidRPr="00C92871">
              <w:rPr>
                <w:b/>
                <w:bCs/>
                <w:i/>
                <w:lang w:eastAsia="ar-SA"/>
              </w:rPr>
              <w:t>tis. Kč</w:t>
            </w:r>
          </w:p>
        </w:tc>
      </w:tr>
      <w:tr w:rsidR="00C92871" w:rsidRPr="00C92871" w14:paraId="3CB6F930" w14:textId="77777777" w:rsidTr="00C92871">
        <w:trPr>
          <w:gridAfter w:val="1"/>
          <w:wAfter w:w="387" w:type="dxa"/>
        </w:trPr>
        <w:tc>
          <w:tcPr>
            <w:tcW w:w="7270" w:type="dxa"/>
            <w:gridSpan w:val="2"/>
            <w:hideMark/>
          </w:tcPr>
          <w:p w14:paraId="268CBA2B" w14:textId="77777777" w:rsidR="00C92871" w:rsidRPr="00C92871" w:rsidRDefault="00C92871" w:rsidP="00C92871">
            <w:pPr>
              <w:numPr>
                <w:ilvl w:val="0"/>
                <w:numId w:val="56"/>
              </w:numPr>
              <w:tabs>
                <w:tab w:val="left" w:pos="283"/>
                <w:tab w:val="num" w:pos="360"/>
              </w:tabs>
              <w:suppressAutoHyphens/>
              <w:snapToGrid w:val="0"/>
              <w:ind w:hanging="1980"/>
              <w:rPr>
                <w:b/>
                <w:i/>
                <w:lang w:eastAsia="ar-SA"/>
              </w:rPr>
            </w:pPr>
            <w:r w:rsidRPr="00C92871">
              <w:rPr>
                <w:b/>
                <w:i/>
                <w:lang w:eastAsia="ar-SA"/>
              </w:rPr>
              <w:t>ze státního rozpočtu (neinvestiční dotace z fondů EU)</w:t>
            </w:r>
            <w:r w:rsidRPr="00C92871">
              <w:rPr>
                <w:sz w:val="22"/>
                <w:szCs w:val="22"/>
                <w:vertAlign w:val="superscript"/>
              </w:rPr>
              <w:t>xxxx</w:t>
            </w:r>
            <w:r w:rsidRPr="00C92871">
              <w:rPr>
                <w:sz w:val="22"/>
                <w:szCs w:val="22"/>
              </w:rPr>
              <w:t>)</w:t>
            </w:r>
          </w:p>
        </w:tc>
        <w:tc>
          <w:tcPr>
            <w:tcW w:w="1911" w:type="dxa"/>
            <w:hideMark/>
          </w:tcPr>
          <w:p w14:paraId="7FCED464" w14:textId="77777777" w:rsidR="00C92871" w:rsidRPr="00C92871" w:rsidRDefault="00C92871" w:rsidP="00C92871">
            <w:pPr>
              <w:snapToGrid w:val="0"/>
              <w:jc w:val="right"/>
              <w:rPr>
                <w:b/>
                <w:i/>
              </w:rPr>
            </w:pPr>
            <w:r w:rsidRPr="00C92871">
              <w:rPr>
                <w:b/>
                <w:i/>
              </w:rPr>
              <w:t>636 tis. Kč</w:t>
            </w:r>
          </w:p>
        </w:tc>
      </w:tr>
      <w:tr w:rsidR="00C92871" w:rsidRPr="00C92871" w14:paraId="61AC53D8" w14:textId="77777777" w:rsidTr="00C92871">
        <w:trPr>
          <w:gridBefore w:val="1"/>
          <w:wBefore w:w="70" w:type="dxa"/>
          <w:trHeight w:val="240"/>
        </w:trPr>
        <w:tc>
          <w:tcPr>
            <w:tcW w:w="9498" w:type="dxa"/>
            <w:gridSpan w:val="3"/>
            <w:shd w:val="clear" w:color="auto" w:fill="auto"/>
            <w:noWrap/>
            <w:vAlign w:val="bottom"/>
            <w:hideMark/>
          </w:tcPr>
          <w:p w14:paraId="736EB63D" w14:textId="0FA4C785" w:rsidR="00C92871" w:rsidRPr="00C92871" w:rsidRDefault="00C92871" w:rsidP="00D3113A">
            <w:pPr>
              <w:spacing w:before="80"/>
              <w:rPr>
                <w:sz w:val="22"/>
                <w:szCs w:val="22"/>
              </w:rPr>
            </w:pPr>
            <w:r w:rsidRPr="00C92871">
              <w:rPr>
                <w:color w:val="FF0000"/>
                <w:sz w:val="20"/>
              </w:rPr>
              <w:t xml:space="preserve">  </w:t>
            </w:r>
            <w:r w:rsidRPr="00C92871">
              <w:rPr>
                <w:sz w:val="22"/>
                <w:szCs w:val="22"/>
                <w:vertAlign w:val="superscript"/>
                <w:lang w:eastAsia="ar-SA"/>
              </w:rPr>
              <w:t>x</w:t>
            </w:r>
            <w:r w:rsidRPr="00C92871">
              <w:rPr>
                <w:sz w:val="22"/>
                <w:szCs w:val="22"/>
                <w:lang w:eastAsia="ar-SA"/>
              </w:rPr>
              <w:t xml:space="preserve">) z toho: </w:t>
            </w:r>
            <w:r w:rsidRPr="00C92871">
              <w:rPr>
                <w:sz w:val="22"/>
                <w:szCs w:val="22"/>
              </w:rPr>
              <w:t>nároky ve výši 3 200 000 tis. Kč (investiční prostředky SR)</w:t>
            </w:r>
          </w:p>
          <w:p w14:paraId="79523446" w14:textId="0FE4C15D" w:rsidR="00C92871" w:rsidRPr="00C92871" w:rsidRDefault="00C92871" w:rsidP="00D3113A">
            <w:pPr>
              <w:spacing w:before="80"/>
              <w:rPr>
                <w:sz w:val="22"/>
                <w:szCs w:val="22"/>
              </w:rPr>
            </w:pPr>
            <w:r w:rsidRPr="00C92871">
              <w:rPr>
                <w:sz w:val="22"/>
                <w:szCs w:val="22"/>
                <w:vertAlign w:val="superscript"/>
              </w:rPr>
              <w:t>xx</w:t>
            </w:r>
            <w:r w:rsidRPr="00C92871">
              <w:rPr>
                <w:sz w:val="22"/>
                <w:szCs w:val="22"/>
              </w:rPr>
              <w:t>) z toho nároky ve výši 31 146 tis. Kč(investiční prostředky SR)</w:t>
            </w:r>
          </w:p>
        </w:tc>
      </w:tr>
      <w:tr w:rsidR="00C92871" w:rsidRPr="00C92871" w14:paraId="0AC47859" w14:textId="77777777" w:rsidTr="00C92871">
        <w:trPr>
          <w:gridBefore w:val="1"/>
          <w:wBefore w:w="70" w:type="dxa"/>
          <w:trHeight w:val="240"/>
        </w:trPr>
        <w:tc>
          <w:tcPr>
            <w:tcW w:w="9498" w:type="dxa"/>
            <w:gridSpan w:val="3"/>
            <w:shd w:val="clear" w:color="auto" w:fill="auto"/>
            <w:noWrap/>
            <w:vAlign w:val="bottom"/>
            <w:hideMark/>
          </w:tcPr>
          <w:p w14:paraId="2B196D65" w14:textId="77777777" w:rsidR="00C92871" w:rsidRPr="00C92871" w:rsidRDefault="00C92871" w:rsidP="00D3113A">
            <w:pPr>
              <w:spacing w:before="80"/>
              <w:rPr>
                <w:sz w:val="22"/>
                <w:szCs w:val="22"/>
              </w:rPr>
            </w:pPr>
            <w:r w:rsidRPr="00C92871">
              <w:rPr>
                <w:sz w:val="22"/>
                <w:szCs w:val="22"/>
                <w:vertAlign w:val="superscript"/>
              </w:rPr>
              <w:t>xxx</w:t>
            </w:r>
            <w:r w:rsidRPr="00C92871">
              <w:rPr>
                <w:sz w:val="22"/>
                <w:szCs w:val="22"/>
              </w:rPr>
              <w:t>) z toho nároky ve výši 7 723 043 tis. Kč (investiční prostředky EU)</w:t>
            </w:r>
          </w:p>
          <w:p w14:paraId="09869310" w14:textId="0E3FAE00" w:rsidR="00C92871" w:rsidRPr="00C92871" w:rsidRDefault="00C92871" w:rsidP="00D3113A">
            <w:pPr>
              <w:spacing w:before="80"/>
              <w:rPr>
                <w:sz w:val="22"/>
                <w:szCs w:val="22"/>
              </w:rPr>
            </w:pPr>
            <w:r w:rsidRPr="00C92871">
              <w:rPr>
                <w:sz w:val="22"/>
                <w:szCs w:val="22"/>
                <w:vertAlign w:val="superscript"/>
              </w:rPr>
              <w:t>xxxx</w:t>
            </w:r>
            <w:r w:rsidRPr="00C92871">
              <w:rPr>
                <w:sz w:val="22"/>
                <w:szCs w:val="22"/>
              </w:rPr>
              <w:t>)</w:t>
            </w:r>
            <w:r w:rsidRPr="00C92871">
              <w:t xml:space="preserve"> </w:t>
            </w:r>
            <w:r w:rsidRPr="00C92871">
              <w:rPr>
                <w:sz w:val="22"/>
                <w:szCs w:val="22"/>
              </w:rPr>
              <w:t>z toho nároky ve výši 636 tis. Kč (neinvestiční prostředky EU)</w:t>
            </w:r>
          </w:p>
        </w:tc>
      </w:tr>
      <w:tr w:rsidR="00C92871" w:rsidRPr="00174A1D" w14:paraId="5CE21090" w14:textId="77777777" w:rsidTr="00C92871">
        <w:trPr>
          <w:gridBefore w:val="1"/>
          <w:wBefore w:w="70" w:type="dxa"/>
          <w:trHeight w:val="240"/>
        </w:trPr>
        <w:tc>
          <w:tcPr>
            <w:tcW w:w="9498" w:type="dxa"/>
            <w:gridSpan w:val="3"/>
            <w:shd w:val="clear" w:color="auto" w:fill="auto"/>
            <w:noWrap/>
            <w:vAlign w:val="bottom"/>
            <w:hideMark/>
          </w:tcPr>
          <w:p w14:paraId="2E49B644" w14:textId="77777777" w:rsidR="00C92871" w:rsidRPr="00C92871" w:rsidRDefault="00C92871" w:rsidP="00D3113A">
            <w:pPr>
              <w:spacing w:before="80"/>
              <w:rPr>
                <w:sz w:val="22"/>
                <w:szCs w:val="22"/>
              </w:rPr>
            </w:pPr>
            <w:r w:rsidRPr="00C92871">
              <w:rPr>
                <w:sz w:val="22"/>
                <w:szCs w:val="22"/>
              </w:rPr>
              <w:t>*) z toho: mimorozpočtový zdroj (rezervní fond) ve výši 103 426 tis. Kč (investiční prostředky EU)</w:t>
            </w:r>
          </w:p>
        </w:tc>
      </w:tr>
    </w:tbl>
    <w:p w14:paraId="2C6768E7" w14:textId="77777777" w:rsidR="00A712EC" w:rsidRPr="00AA7208" w:rsidRDefault="00A712EC" w:rsidP="005E4525">
      <w:pPr>
        <w:pStyle w:val="Nadpis2"/>
        <w:spacing w:before="360"/>
      </w:pPr>
      <w:bookmarkStart w:id="1018" w:name="_Toc34286481"/>
      <w:r w:rsidRPr="00AA7208">
        <w:t>Výdaje na Public Private Partnership</w:t>
      </w:r>
      <w:bookmarkEnd w:id="1013"/>
      <w:bookmarkEnd w:id="1014"/>
      <w:bookmarkEnd w:id="1015"/>
      <w:bookmarkEnd w:id="1016"/>
      <w:bookmarkEnd w:id="1017"/>
      <w:bookmarkEnd w:id="1018"/>
      <w:r w:rsidR="00207AB9" w:rsidRPr="00AA7208">
        <w:t xml:space="preserve"> </w:t>
      </w:r>
    </w:p>
    <w:p w14:paraId="16302D41" w14:textId="763AECC7" w:rsidR="00AA7208" w:rsidRPr="00607AC9" w:rsidRDefault="002052B5" w:rsidP="00BB64C4">
      <w:pPr>
        <w:pStyle w:val="KOMtext"/>
      </w:pPr>
      <w:bookmarkStart w:id="1019" w:name="_Toc413413672"/>
      <w:bookmarkStart w:id="1020" w:name="_Toc508879910"/>
      <w:bookmarkStart w:id="1021" w:name="_Toc508880186"/>
      <w:r w:rsidRPr="001A5459">
        <w:t xml:space="preserve">V roce 2019 byla v souvislosti s činností poradenského konsorcia uhrazena částka </w:t>
      </w:r>
      <w:r w:rsidR="00607AC9">
        <w:t>7</w:t>
      </w:r>
      <w:r w:rsidR="00AA7208" w:rsidRPr="00A24AA7">
        <w:rPr>
          <w:color w:val="FF0000"/>
        </w:rPr>
        <w:t> </w:t>
      </w:r>
      <w:r w:rsidR="00607AC9" w:rsidRPr="00607AC9">
        <w:t>830</w:t>
      </w:r>
      <w:r w:rsidRPr="00607AC9">
        <w:t xml:space="preserve"> </w:t>
      </w:r>
      <w:r w:rsidR="00AA7208" w:rsidRPr="00607AC9">
        <w:t>tis. Kč (z celkových 3</w:t>
      </w:r>
      <w:r w:rsidR="00607AC9" w:rsidRPr="00607AC9">
        <w:t>7</w:t>
      </w:r>
      <w:r w:rsidR="00AA7208" w:rsidRPr="00607AC9">
        <w:t> </w:t>
      </w:r>
      <w:r w:rsidR="00607AC9" w:rsidRPr="00607AC9">
        <w:t>790</w:t>
      </w:r>
      <w:r w:rsidR="00AA7208" w:rsidRPr="00607AC9">
        <w:t xml:space="preserve"> tis. Kč</w:t>
      </w:r>
      <w:r w:rsidR="00AA7208" w:rsidRPr="00607AC9">
        <w:rPr>
          <w:rStyle w:val="Znakapoznpodarou"/>
        </w:rPr>
        <w:footnoteReference w:id="3"/>
      </w:r>
      <w:r w:rsidR="00AA7208" w:rsidRPr="00607AC9">
        <w:t>), přičemž t</w:t>
      </w:r>
      <w:r w:rsidRPr="00607AC9">
        <w:t>ato úhrada proběhla z finančních prostředků SFDI v souladu s § 2 odst. 1 písm. h) zákona č. 104/2000 Sb., o SFDI v platném znění.</w:t>
      </w:r>
      <w:r w:rsidR="00467296" w:rsidRPr="00607AC9">
        <w:t xml:space="preserve"> </w:t>
      </w:r>
    </w:p>
    <w:p w14:paraId="5144C717" w14:textId="77777777" w:rsidR="00467296" w:rsidRPr="00A24AA7" w:rsidRDefault="00467296" w:rsidP="00BB64C4">
      <w:pPr>
        <w:pStyle w:val="KOMtext"/>
        <w:rPr>
          <w:color w:val="FF0000"/>
        </w:rPr>
      </w:pPr>
      <w:r w:rsidRPr="00607AC9">
        <w:t>Ministerstvo dopravy v roce 2019</w:t>
      </w:r>
      <w:r w:rsidR="00AA7208" w:rsidRPr="00607AC9">
        <w:t xml:space="preserve"> pak</w:t>
      </w:r>
      <w:r w:rsidRPr="00607AC9">
        <w:t xml:space="preserve"> uhradilo z prostředků státního rozpočtu z k</w:t>
      </w:r>
      <w:r w:rsidR="00AA7208" w:rsidRPr="00607AC9">
        <w:t>apitoly MD částku ve výši 25 tis.</w:t>
      </w:r>
      <w:r w:rsidRPr="00607AC9">
        <w:t xml:space="preserve"> Kč za provoz a údržbu datového úložiště pro administraci projektu a sdílení objemných dat v rámci projektu s uchazeči. Zároveň v průběhu jednotlivých kol soutěžního dialogu bylo zajištěno tlumočení a občerstvení pro </w:t>
      </w:r>
      <w:r w:rsidR="00AA7208" w:rsidRPr="00607AC9">
        <w:t>účastníky v celkové ceně 151 tis.</w:t>
      </w:r>
      <w:r w:rsidRPr="00607AC9">
        <w:t xml:space="preserve"> Kč.</w:t>
      </w:r>
      <w:r w:rsidRPr="00A24AA7">
        <w:rPr>
          <w:color w:val="FF0000"/>
        </w:rPr>
        <w:t xml:space="preserve"> </w:t>
      </w:r>
    </w:p>
    <w:p w14:paraId="5696AB33" w14:textId="77777777" w:rsidR="008D465F" w:rsidRPr="004B11AC" w:rsidRDefault="008D465F" w:rsidP="005E4525">
      <w:pPr>
        <w:pStyle w:val="Nadpis2"/>
        <w:spacing w:before="360"/>
      </w:pPr>
      <w:bookmarkStart w:id="1022" w:name="_Toc1376853"/>
      <w:bookmarkStart w:id="1023" w:name="_Toc34286482"/>
      <w:r w:rsidRPr="004B11AC">
        <w:t xml:space="preserve">Výdaje </w:t>
      </w:r>
      <w:r w:rsidR="00CE3575" w:rsidRPr="004B11AC">
        <w:t xml:space="preserve">vyplývající z veřejných zakázek o předpokládané hodnotě nejméně </w:t>
      </w:r>
      <w:r w:rsidR="008B6916" w:rsidRPr="004B11AC">
        <w:br/>
      </w:r>
      <w:smartTag w:uri="urn:schemas-microsoft-com:office:smarttags" w:element="metricconverter">
        <w:smartTagPr>
          <w:attr w:name="ProductID" w:val="300 mil"/>
        </w:smartTagPr>
        <w:r w:rsidR="00CE3575" w:rsidRPr="004B11AC">
          <w:t>300 mil</w:t>
        </w:r>
      </w:smartTag>
      <w:r w:rsidR="00CE3575" w:rsidRPr="004B11AC">
        <w:t>. Kč</w:t>
      </w:r>
      <w:bookmarkEnd w:id="1019"/>
      <w:bookmarkEnd w:id="1020"/>
      <w:bookmarkEnd w:id="1021"/>
      <w:bookmarkEnd w:id="1022"/>
      <w:bookmarkEnd w:id="1023"/>
    </w:p>
    <w:p w14:paraId="6D32A84E" w14:textId="77777777" w:rsidR="0084515C" w:rsidRPr="000E3464" w:rsidRDefault="0084515C" w:rsidP="0084515C">
      <w:pPr>
        <w:spacing w:before="240"/>
        <w:jc w:val="both"/>
        <w:rPr>
          <w:b/>
        </w:rPr>
      </w:pPr>
      <w:bookmarkStart w:id="1024" w:name="_Toc413413673"/>
      <w:bookmarkStart w:id="1025" w:name="_Toc508879911"/>
      <w:bookmarkStart w:id="1026" w:name="_Toc508880187"/>
      <w:bookmarkStart w:id="1027" w:name="_Toc1376854"/>
      <w:r w:rsidRPr="000E3464">
        <w:rPr>
          <w:u w:val="single"/>
        </w:rPr>
        <w:t>Předmět veřejné zakázky</w:t>
      </w:r>
      <w:r w:rsidRPr="000E3464">
        <w:t xml:space="preserve">:  </w:t>
      </w:r>
      <w:r w:rsidRPr="000E3464">
        <w:rPr>
          <w:b/>
        </w:rPr>
        <w:t>Řidičské průkazy vzoru Evropské unie (S-27-160/2013)</w:t>
      </w:r>
    </w:p>
    <w:p w14:paraId="4B6F9DF0" w14:textId="77777777" w:rsidR="0084515C" w:rsidRPr="000E3464" w:rsidRDefault="0084515C" w:rsidP="0084515C">
      <w:pPr>
        <w:pStyle w:val="KOMtext"/>
      </w:pPr>
      <w:r w:rsidRPr="000E3464">
        <w:t>Smlouva byla uzavřena dne 30. dubna 2013</w:t>
      </w:r>
      <w:r>
        <w:t xml:space="preserve"> </w:t>
      </w:r>
      <w:r w:rsidRPr="000E3464">
        <w:t xml:space="preserve">se Státní tiskárnou cenin, s.p. s platností </w:t>
      </w:r>
      <w:r>
        <w:br/>
      </w:r>
      <w:r w:rsidRPr="000E3464">
        <w:t xml:space="preserve">od 1. května 2013. Předmětem smlouvy je zajištění veškerých činností spojených s přípravou výroby, vlastní výrobou a dodáváním personalizovaných řidičských průkazů vzoru Evropské unie, včetně doprovodného materiálu. </w:t>
      </w:r>
    </w:p>
    <w:p w14:paraId="140AE5B8" w14:textId="77777777" w:rsidR="0084515C" w:rsidRPr="000E3464" w:rsidRDefault="0084515C" w:rsidP="0084515C">
      <w:pPr>
        <w:pStyle w:val="KOMtext"/>
      </w:pPr>
      <w:r w:rsidRPr="000E3464">
        <w:t>Smluvní cena je stanovena za jeden kus a množství vyrobených řidičských průkazů. Při vyrobení minimálního smluveného množství je cena za kus vyšší než při přeplnění minimálního množství, kdy se cena za kus snižuje.</w:t>
      </w:r>
    </w:p>
    <w:p w14:paraId="011B7C0B" w14:textId="77777777" w:rsidR="0084515C" w:rsidRPr="000E3464" w:rsidRDefault="0084515C" w:rsidP="0084515C">
      <w:pPr>
        <w:pStyle w:val="KOMtext"/>
      </w:pPr>
      <w:r w:rsidRPr="000E3464">
        <w:lastRenderedPageBreak/>
        <w:t xml:space="preserve">Od uzavření smlouvy byl uzavřen Dodatek č. 1 z důvodu úpravy designu řidičského průkazu </w:t>
      </w:r>
      <w:r w:rsidR="00513541">
        <w:br/>
      </w:r>
      <w:r w:rsidRPr="000E3464">
        <w:t xml:space="preserve">v rámci přijetí Chorvatska do Evropské unie, Dodatek č. 2 z důvodu změny nosiče dat CD/DVD na nový nosič flash disk, Dodatek č. 3 z důvodu dodání 500 kusů nového typu řidičského průkazu s doplněním textu v chorvatštině označeným nápisem SPECIMEN, </w:t>
      </w:r>
      <w:r w:rsidR="00AC5099">
        <w:t xml:space="preserve">pro ověřování pravosti </w:t>
      </w:r>
      <w:r w:rsidRPr="000E3464">
        <w:t xml:space="preserve">dokladů kontrolními orgány. Dále Dodatek č. 4, 5 a 7 z důvodu navýšení maximálního množství vyrobených řidičských průkazů-BLESK a Dodatek č. 6 z důvodu upřesnění podmínek </w:t>
      </w:r>
      <w:r w:rsidR="00AC5099">
        <w:br/>
      </w:r>
      <w:r w:rsidRPr="000E3464">
        <w:t xml:space="preserve">k zachování mlčenlivosti. Dodatek č. 8 z důvodu navýšení maximálního množství vyrobených </w:t>
      </w:r>
      <w:r w:rsidR="00AC5099">
        <w:br/>
      </w:r>
      <w:r w:rsidRPr="000E3464">
        <w:t>ŘP-BLESK a změna technické specifikace karty ŘP,</w:t>
      </w:r>
      <w:r w:rsidR="00513541">
        <w:t xml:space="preserve"> Dodatek č. 9 z důvodu vyčíslení </w:t>
      </w:r>
      <w:r w:rsidRPr="000E3464">
        <w:t>konkrétního počtu ŘP a ŘP-BLESK a Dodatek č. 10, jehož předmětem je zavedení digitalizace na základě příslušného zákona s účinností od 1. 7. 2018, dále navýšení počtu řidi</w:t>
      </w:r>
      <w:r w:rsidR="00513541">
        <w:t xml:space="preserve">čských </w:t>
      </w:r>
      <w:r w:rsidR="00513541">
        <w:br/>
        <w:t xml:space="preserve">průkazů </w:t>
      </w:r>
      <w:r w:rsidRPr="000E3464">
        <w:t>– blesk z 50 000 na 80 000 kusů.</w:t>
      </w:r>
    </w:p>
    <w:p w14:paraId="16726E51" w14:textId="77777777" w:rsidR="0084515C" w:rsidRPr="000E3464" w:rsidRDefault="0084515C" w:rsidP="0084515C">
      <w:pPr>
        <w:pStyle w:val="KOMtext"/>
      </w:pPr>
      <w:r w:rsidRPr="000E3464">
        <w:t>Čerpání za rok 2019 dosáhlo částky 1 646 tis. Kč</w:t>
      </w:r>
    </w:p>
    <w:p w14:paraId="3EFED55F" w14:textId="77777777" w:rsidR="0084515C" w:rsidRDefault="0084515C" w:rsidP="0084515C">
      <w:pPr>
        <w:spacing w:before="240"/>
        <w:jc w:val="both"/>
        <w:rPr>
          <w:b/>
        </w:rPr>
      </w:pPr>
      <w:r w:rsidRPr="00BC6AAD">
        <w:rPr>
          <w:u w:val="single"/>
        </w:rPr>
        <w:t>Předmět veřejné zakázky</w:t>
      </w:r>
      <w:r w:rsidRPr="00BC6AAD">
        <w:t xml:space="preserve">:  </w:t>
      </w:r>
      <w:r>
        <w:rPr>
          <w:b/>
        </w:rPr>
        <w:t>Výroba řidičských průkazu</w:t>
      </w:r>
      <w:r w:rsidRPr="00BC6AAD">
        <w:rPr>
          <w:b/>
        </w:rPr>
        <w:t xml:space="preserve"> (smlouva S-</w:t>
      </w:r>
      <w:r>
        <w:rPr>
          <w:b/>
        </w:rPr>
        <w:t>2</w:t>
      </w:r>
      <w:r w:rsidRPr="00BC6AAD">
        <w:rPr>
          <w:b/>
        </w:rPr>
        <w:t>8</w:t>
      </w:r>
      <w:r>
        <w:rPr>
          <w:b/>
        </w:rPr>
        <w:t>5</w:t>
      </w:r>
      <w:r w:rsidRPr="00BC6AAD">
        <w:rPr>
          <w:b/>
        </w:rPr>
        <w:t>-</w:t>
      </w:r>
      <w:r>
        <w:rPr>
          <w:b/>
        </w:rPr>
        <w:t>160</w:t>
      </w:r>
      <w:r w:rsidRPr="00BC6AAD">
        <w:rPr>
          <w:b/>
        </w:rPr>
        <w:t>/201</w:t>
      </w:r>
      <w:r>
        <w:rPr>
          <w:b/>
        </w:rPr>
        <w:t>8</w:t>
      </w:r>
      <w:r w:rsidRPr="00BC6AAD">
        <w:rPr>
          <w:b/>
        </w:rPr>
        <w:t>)</w:t>
      </w:r>
    </w:p>
    <w:p w14:paraId="514C687A" w14:textId="77777777" w:rsidR="0084515C" w:rsidRPr="00D252C6" w:rsidRDefault="0084515C" w:rsidP="0084515C">
      <w:pPr>
        <w:pStyle w:val="KOMtext"/>
      </w:pPr>
      <w:r w:rsidRPr="00D252C6">
        <w:t xml:space="preserve">Nová smlouva na výrobu řidičských průkazů vstoupila v platnost dne </w:t>
      </w:r>
      <w:r w:rsidR="00513541" w:rsidRPr="00D252C6">
        <w:t>1. 1. 2019</w:t>
      </w:r>
      <w:r w:rsidRPr="00D252C6">
        <w:t xml:space="preserve"> (S- 85- 60/2018). Předmětem této Smlouvy je dodávka řidičských průkazů (ŘP), řidičských průkazů typu BLESK, průkazů profesní způsobilosti řidiče a dodávání doprovodných tiskopisů žádostí o vydání řidičského průkazu a žádostí o vydání průkazu profesní způsobilosti řidiče.</w:t>
      </w:r>
    </w:p>
    <w:p w14:paraId="7B50F313" w14:textId="77777777" w:rsidR="0084515C" w:rsidRPr="00D252C6" w:rsidRDefault="00513541" w:rsidP="0084515C">
      <w:pPr>
        <w:pStyle w:val="KOMtext"/>
      </w:pPr>
      <w:r>
        <w:t>Čerpání za</w:t>
      </w:r>
      <w:r w:rsidR="0084515C">
        <w:t xml:space="preserve"> rok 2019 dosáhlo částky 68 337</w:t>
      </w:r>
      <w:r w:rsidR="0084515C" w:rsidRPr="00D252C6">
        <w:t> </w:t>
      </w:r>
      <w:r w:rsidR="0084515C">
        <w:t>tis.</w:t>
      </w:r>
      <w:r w:rsidR="0084515C" w:rsidRPr="00D252C6">
        <w:t xml:space="preserve"> Kč.</w:t>
      </w:r>
    </w:p>
    <w:p w14:paraId="6B8A092D" w14:textId="77777777" w:rsidR="0084515C" w:rsidRPr="00BC6AAD" w:rsidRDefault="0084515C" w:rsidP="0084515C">
      <w:pPr>
        <w:spacing w:before="240"/>
        <w:jc w:val="both"/>
        <w:rPr>
          <w:b/>
        </w:rPr>
      </w:pPr>
      <w:r w:rsidRPr="00BC6AAD">
        <w:rPr>
          <w:u w:val="single"/>
        </w:rPr>
        <w:t>Předmět veřejné zakázky</w:t>
      </w:r>
      <w:r w:rsidRPr="00BC6AAD">
        <w:t xml:space="preserve">:  </w:t>
      </w:r>
      <w:r w:rsidRPr="00BC6AAD">
        <w:rPr>
          <w:b/>
        </w:rPr>
        <w:t>Poskytování služeb provozu infrastruktury pro informační systému MD (smlouva S-8-330/2017)</w:t>
      </w:r>
    </w:p>
    <w:p w14:paraId="298EE521" w14:textId="77777777" w:rsidR="0084515C" w:rsidRPr="00BC6AAD" w:rsidRDefault="0084515C" w:rsidP="0084515C">
      <w:pPr>
        <w:pStyle w:val="KOMtext"/>
      </w:pPr>
      <w:r w:rsidRPr="00BC6AAD">
        <w:t xml:space="preserve">Společnost O2 ITS zajišťuje, na základě smlouvy provoz infrastruktury pro Dopravně správní agendy a Informační systémy Ministerstva dopravy. </w:t>
      </w:r>
    </w:p>
    <w:p w14:paraId="69F8FE79" w14:textId="77777777" w:rsidR="0084515C" w:rsidRDefault="0084515C" w:rsidP="0084515C">
      <w:pPr>
        <w:pStyle w:val="KOMtext"/>
      </w:pPr>
      <w:r w:rsidRPr="00BC6AAD">
        <w:t xml:space="preserve">Pro potřeby zajištění stabilního provozu těchto Dopravně správních agend ve správě MD </w:t>
      </w:r>
      <w:r>
        <w:br/>
      </w:r>
      <w:r w:rsidRPr="00BC6AAD">
        <w:t xml:space="preserve">a aplikací vlastního informačního systému má MD k dispozici dedikované virtuální prostředí </w:t>
      </w:r>
      <w:r>
        <w:br/>
      </w:r>
      <w:r w:rsidRPr="00BC6AAD">
        <w:t xml:space="preserve">a další související služby provozu infrastruktury od poskytovatele O2 ITS. Službami infrastruktury se kromě vlastního poskytnutí virtuální infrastruktury rozumí zejména řízení jejího provozu, zajišťování její dostupnosti, kybernetické bezpečnosti, zálohování, správa hardwaru </w:t>
      </w:r>
      <w:r>
        <w:br/>
      </w:r>
      <w:r w:rsidRPr="00BC6AAD">
        <w:t xml:space="preserve">a základního softwaru, poskytování služby jednotného kontaktního místa a další služby související s provozem infrastruktury, aby bylo dosaženo bezproblémového provozu infrastruktury Dopravně správních agend a IS MD. </w:t>
      </w:r>
    </w:p>
    <w:p w14:paraId="10475FD8" w14:textId="77777777" w:rsidR="0084515C" w:rsidRDefault="0084515C" w:rsidP="0084515C">
      <w:pPr>
        <w:pStyle w:val="KOMtext"/>
      </w:pPr>
      <w:r w:rsidRPr="00BC6AAD">
        <w:t xml:space="preserve">Čerpání za rok 2019 </w:t>
      </w:r>
      <w:r>
        <w:t>dosáhlo částky 46 297</w:t>
      </w:r>
      <w:r w:rsidRPr="00BC6AAD">
        <w:t> </w:t>
      </w:r>
      <w:r>
        <w:t>tis.</w:t>
      </w:r>
      <w:r w:rsidRPr="00BC6AAD">
        <w:t xml:space="preserve"> Kč. </w:t>
      </w:r>
    </w:p>
    <w:p w14:paraId="1D34ACED" w14:textId="77777777" w:rsidR="0084515C" w:rsidRDefault="0084515C" w:rsidP="0084515C">
      <w:pPr>
        <w:spacing w:before="240"/>
        <w:jc w:val="both"/>
        <w:rPr>
          <w:b/>
        </w:rPr>
      </w:pPr>
      <w:r w:rsidRPr="00BC6AAD">
        <w:rPr>
          <w:u w:val="single"/>
        </w:rPr>
        <w:t>Předmět veřejné zakázky</w:t>
      </w:r>
      <w:r w:rsidRPr="00BC6AAD">
        <w:t xml:space="preserve">:  </w:t>
      </w:r>
      <w:r w:rsidRPr="00084116">
        <w:rPr>
          <w:b/>
        </w:rPr>
        <w:t>Výroba a dodání tabulek registračních značek</w:t>
      </w:r>
      <w:r w:rsidRPr="00BC6AAD">
        <w:rPr>
          <w:b/>
        </w:rPr>
        <w:t xml:space="preserve"> (smlouva </w:t>
      </w:r>
      <w:r w:rsidR="007E79F4">
        <w:rPr>
          <w:b/>
        </w:rPr>
        <w:br/>
      </w:r>
      <w:r w:rsidRPr="00BC6AAD">
        <w:rPr>
          <w:b/>
        </w:rPr>
        <w:t>S-</w:t>
      </w:r>
      <w:r>
        <w:rPr>
          <w:b/>
        </w:rPr>
        <w:t>202</w:t>
      </w:r>
      <w:r w:rsidRPr="00BC6AAD">
        <w:rPr>
          <w:b/>
        </w:rPr>
        <w:t>-</w:t>
      </w:r>
      <w:r>
        <w:rPr>
          <w:b/>
        </w:rPr>
        <w:t>150</w:t>
      </w:r>
      <w:r w:rsidRPr="00BC6AAD">
        <w:rPr>
          <w:b/>
        </w:rPr>
        <w:t>/201</w:t>
      </w:r>
      <w:r>
        <w:rPr>
          <w:b/>
        </w:rPr>
        <w:t>6</w:t>
      </w:r>
      <w:r w:rsidRPr="00BC6AAD">
        <w:rPr>
          <w:b/>
        </w:rPr>
        <w:t>)</w:t>
      </w:r>
    </w:p>
    <w:p w14:paraId="08DAB035" w14:textId="77777777" w:rsidR="0084515C" w:rsidRDefault="0084515C" w:rsidP="0084515C">
      <w:pPr>
        <w:pStyle w:val="KOMtext"/>
      </w:pPr>
      <w:r w:rsidRPr="00084116">
        <w:t xml:space="preserve">Smlouva </w:t>
      </w:r>
      <w:r>
        <w:t>byla uzavřena s firmou SPM – Security Paper Mill, a.s. dne 30. listopadu 2016 na „Dodávky tabulek registračních značek“ na dobu trvání 4 let Z této smlouvy jsou čerpány finanční prostředky od 1. dubna 2017.</w:t>
      </w:r>
    </w:p>
    <w:p w14:paraId="48A685E5" w14:textId="77777777" w:rsidR="0084515C" w:rsidRDefault="0084515C" w:rsidP="0084515C">
      <w:pPr>
        <w:pStyle w:val="KOMtext"/>
      </w:pPr>
      <w:r>
        <w:t xml:space="preserve">Předmětem této Smlouvy jsou „Dodávky tabulek registračních značek“ na silniční motorová vozidla, zvláštní vozidla a přípojná vozidla. Cena je sjednána podle typu a rozměru tabulky registrační značky. Jednotlivé typy registračních značek a ceny jsou uvedeny v příloze Smlouvy. </w:t>
      </w:r>
    </w:p>
    <w:p w14:paraId="376B7536" w14:textId="77777777" w:rsidR="0084515C" w:rsidRDefault="0084515C" w:rsidP="0084515C">
      <w:pPr>
        <w:pStyle w:val="KOMtext"/>
      </w:pPr>
      <w:r>
        <w:lastRenderedPageBreak/>
        <w:t xml:space="preserve">Platná právní úprava účinná od 1. ledna 2016 ukládá povinnost zajišťovat výrobu </w:t>
      </w:r>
      <w:r>
        <w:br/>
        <w:t>a dodávky dvou základních druhů registračních značek, a to registračních značek standardních, včetně značek zvláštních (režim „Standard“) a registračních značek v režimu na přání, značek k umístění na nosné zařízení připojitelné k silničnímu vozidlu a značek přidělovaných jako náhrada za poškozené tabulky s přidělenou registrační značkou nebo značkou na přání již k silničnímu vozidlu přidělenou vozidla (režim „na Přání“).</w:t>
      </w:r>
    </w:p>
    <w:p w14:paraId="307C7C59" w14:textId="77777777" w:rsidR="0084515C" w:rsidRDefault="0084515C" w:rsidP="0084515C">
      <w:pPr>
        <w:pStyle w:val="KOMtext"/>
      </w:pPr>
      <w:r>
        <w:t xml:space="preserve">Dne 18. března 2019 byl uzavřen Dodatek č. 1 z důvodu doplnění předmětu Smlouvy </w:t>
      </w:r>
      <w:r>
        <w:br/>
        <w:t xml:space="preserve">o tabulky registračních značek elektrického vozidla nově zavedené s účinností od 1. dubna 2019 zákonem č. 193/2018 Sb., kterým se mění zákon č. 56/2001 Sb., o podmínkách provozu vozidel </w:t>
      </w:r>
      <w:r>
        <w:br/>
        <w:t xml:space="preserve">na pozemních komunikacích, ve znění pozdějších předpisů. </w:t>
      </w:r>
    </w:p>
    <w:p w14:paraId="32BB331B" w14:textId="77777777" w:rsidR="0084515C" w:rsidRDefault="0084515C" w:rsidP="0084515C">
      <w:pPr>
        <w:pStyle w:val="KOMtext"/>
      </w:pPr>
      <w:r w:rsidRPr="00BC6AAD">
        <w:t xml:space="preserve">Čerpání za rok 2019 </w:t>
      </w:r>
      <w:r>
        <w:t>dosáhlo částky 97 528</w:t>
      </w:r>
      <w:r w:rsidRPr="00BC6AAD">
        <w:t> </w:t>
      </w:r>
      <w:r>
        <w:t>tis.</w:t>
      </w:r>
      <w:r w:rsidRPr="00BC6AAD">
        <w:t xml:space="preserve"> Kč.</w:t>
      </w:r>
    </w:p>
    <w:p w14:paraId="52A4654E" w14:textId="77777777" w:rsidR="0084515C" w:rsidRPr="00BC6AAD" w:rsidRDefault="0084515C" w:rsidP="0084515C">
      <w:pPr>
        <w:keepNext/>
        <w:spacing w:before="240"/>
        <w:jc w:val="both"/>
        <w:rPr>
          <w:b/>
        </w:rPr>
      </w:pPr>
      <w:r w:rsidRPr="00BC6AAD">
        <w:rPr>
          <w:u w:val="single"/>
        </w:rPr>
        <w:t>Předmět veřejné zakázky</w:t>
      </w:r>
      <w:r w:rsidRPr="00BC6AAD">
        <w:t xml:space="preserve">:  </w:t>
      </w:r>
      <w:r>
        <w:rPr>
          <w:b/>
        </w:rPr>
        <w:t>Poskytování odborných, poradenských a dalších služeb v resortu Ministerstva dopravy</w:t>
      </w:r>
      <w:r w:rsidRPr="00BC6AAD">
        <w:rPr>
          <w:b/>
        </w:rPr>
        <w:t xml:space="preserve"> (smlouva S-</w:t>
      </w:r>
      <w:r>
        <w:rPr>
          <w:b/>
        </w:rPr>
        <w:t>28</w:t>
      </w:r>
      <w:r w:rsidRPr="00BC6AAD">
        <w:rPr>
          <w:b/>
        </w:rPr>
        <w:t>8-330/201</w:t>
      </w:r>
      <w:r>
        <w:rPr>
          <w:b/>
        </w:rPr>
        <w:t>9</w:t>
      </w:r>
      <w:r w:rsidRPr="00BC6AAD">
        <w:rPr>
          <w:b/>
        </w:rPr>
        <w:t>)</w:t>
      </w:r>
    </w:p>
    <w:p w14:paraId="07CF3AA7" w14:textId="77777777" w:rsidR="0084515C" w:rsidRDefault="0084515C" w:rsidP="0084515C">
      <w:pPr>
        <w:pStyle w:val="KOMtext"/>
      </w:pPr>
      <w:r>
        <w:t xml:space="preserve">Důvodem k uzavření rámcové smlouvy je formou externích dodávek a poskytováním odborných služeb účinně přispět k posílení kapacit i odbornému zajištění řešení komplexu všech současných i připravovaných projektů MD a také potřeba dalších služeb, s přípravou a realizací projektů spojených, např. projektové řízení, služby auditora mýtného systému, zajišťování kybernetické bezpečnosti, provoz aplikací e-Testy, ADR a IFS, podpora Národního kontaktního místa, Registr silničních vozidel, Registr řidičů, Rejstřík podnikatelů v silniční dopravě atp., a to především v návaznosti na záměry vyplývající z programu „Digitální Česko“, změn v legislativě, požadavků Národního úřadu pro kybernetickou bezpečnost, Odboru Hlavního architekta Ministerstva vnitra atp. </w:t>
      </w:r>
    </w:p>
    <w:p w14:paraId="3409DFED" w14:textId="77777777" w:rsidR="0084515C" w:rsidRPr="004B11AC" w:rsidRDefault="0084515C" w:rsidP="0084515C">
      <w:pPr>
        <w:pStyle w:val="KOMtext"/>
        <w:rPr>
          <w:color w:val="FF0000"/>
        </w:rPr>
      </w:pPr>
      <w:r>
        <w:t>Smlouva byla uzavřena v prosinci 2019, čerpání bude zahájeno až v roce 2020.</w:t>
      </w:r>
    </w:p>
    <w:p w14:paraId="79E056F8" w14:textId="77777777" w:rsidR="0084515C" w:rsidRPr="005E4525" w:rsidRDefault="0084515C" w:rsidP="0084515C">
      <w:pPr>
        <w:pStyle w:val="Nadpis6"/>
        <w:rPr>
          <w:b w:val="0"/>
        </w:rPr>
      </w:pPr>
      <w:r w:rsidRPr="005E4525">
        <w:rPr>
          <w:b w:val="0"/>
        </w:rPr>
        <w:t>Přehled čerpání finančních prostředků v rámci výše uvedených smluv:</w:t>
      </w:r>
    </w:p>
    <w:tbl>
      <w:tblPr>
        <w:tblW w:w="9079" w:type="dxa"/>
        <w:tblInd w:w="55" w:type="dxa"/>
        <w:tblLayout w:type="fixed"/>
        <w:tblCellMar>
          <w:left w:w="70" w:type="dxa"/>
          <w:right w:w="70" w:type="dxa"/>
        </w:tblCellMar>
        <w:tblLook w:val="0000" w:firstRow="0" w:lastRow="0" w:firstColumn="0" w:lastColumn="0" w:noHBand="0" w:noVBand="0"/>
      </w:tblPr>
      <w:tblGrid>
        <w:gridCol w:w="3560"/>
        <w:gridCol w:w="1200"/>
        <w:gridCol w:w="1070"/>
        <w:gridCol w:w="1070"/>
        <w:gridCol w:w="1070"/>
        <w:gridCol w:w="1109"/>
      </w:tblGrid>
      <w:tr w:rsidR="0084515C" w:rsidRPr="004B11AC" w14:paraId="7277D530" w14:textId="77777777" w:rsidTr="007E79F4">
        <w:trPr>
          <w:trHeight w:val="450"/>
        </w:trPr>
        <w:tc>
          <w:tcPr>
            <w:tcW w:w="3560" w:type="dxa"/>
            <w:vMerge w:val="restart"/>
            <w:tcBorders>
              <w:top w:val="single" w:sz="4" w:space="0" w:color="auto"/>
              <w:left w:val="single" w:sz="4" w:space="0" w:color="auto"/>
              <w:bottom w:val="single" w:sz="4" w:space="0" w:color="auto"/>
              <w:right w:val="single" w:sz="4" w:space="0" w:color="auto"/>
            </w:tcBorders>
            <w:vAlign w:val="center"/>
          </w:tcPr>
          <w:p w14:paraId="2E755A10" w14:textId="77777777" w:rsidR="0084515C" w:rsidRPr="00D844FC" w:rsidRDefault="0084515C" w:rsidP="007E79F4">
            <w:pPr>
              <w:jc w:val="center"/>
              <w:rPr>
                <w:b/>
                <w:bCs/>
              </w:rPr>
            </w:pPr>
            <w:r w:rsidRPr="00D844FC">
              <w:rPr>
                <w:b/>
                <w:bCs/>
                <w:sz w:val="22"/>
                <w:szCs w:val="22"/>
              </w:rPr>
              <w:t>Veřejná zakázka</w:t>
            </w:r>
          </w:p>
        </w:tc>
        <w:tc>
          <w:tcPr>
            <w:tcW w:w="5519" w:type="dxa"/>
            <w:gridSpan w:val="5"/>
            <w:tcBorders>
              <w:top w:val="single" w:sz="4" w:space="0" w:color="auto"/>
              <w:left w:val="nil"/>
              <w:bottom w:val="single" w:sz="4" w:space="0" w:color="auto"/>
              <w:right w:val="single" w:sz="4" w:space="0" w:color="000000"/>
            </w:tcBorders>
            <w:vAlign w:val="center"/>
          </w:tcPr>
          <w:p w14:paraId="670CD5ED" w14:textId="77777777" w:rsidR="0084515C" w:rsidRPr="00D844FC" w:rsidRDefault="0084515C" w:rsidP="007E79F4">
            <w:pPr>
              <w:jc w:val="center"/>
              <w:rPr>
                <w:b/>
                <w:bCs/>
                <w:sz w:val="22"/>
                <w:szCs w:val="22"/>
              </w:rPr>
            </w:pPr>
            <w:r w:rsidRPr="00D844FC">
              <w:rPr>
                <w:b/>
                <w:bCs/>
                <w:sz w:val="22"/>
                <w:szCs w:val="22"/>
              </w:rPr>
              <w:t>Čerpání v letech v tis. Kč (vč. DPH)</w:t>
            </w:r>
          </w:p>
        </w:tc>
      </w:tr>
      <w:tr w:rsidR="0084515C" w:rsidRPr="004B11AC" w14:paraId="7DE59F87" w14:textId="77777777" w:rsidTr="007E79F4">
        <w:trPr>
          <w:trHeight w:val="450"/>
        </w:trPr>
        <w:tc>
          <w:tcPr>
            <w:tcW w:w="3560" w:type="dxa"/>
            <w:vMerge/>
            <w:tcBorders>
              <w:top w:val="single" w:sz="4" w:space="0" w:color="auto"/>
              <w:left w:val="single" w:sz="4" w:space="0" w:color="auto"/>
              <w:bottom w:val="single" w:sz="4" w:space="0" w:color="auto"/>
              <w:right w:val="single" w:sz="4" w:space="0" w:color="auto"/>
            </w:tcBorders>
            <w:vAlign w:val="center"/>
          </w:tcPr>
          <w:p w14:paraId="7A3A8872" w14:textId="77777777" w:rsidR="0084515C" w:rsidRPr="00D844FC" w:rsidRDefault="0084515C" w:rsidP="007E79F4">
            <w:pPr>
              <w:rPr>
                <w:b/>
                <w:bCs/>
              </w:rPr>
            </w:pPr>
          </w:p>
        </w:tc>
        <w:tc>
          <w:tcPr>
            <w:tcW w:w="1200" w:type="dxa"/>
            <w:tcBorders>
              <w:top w:val="nil"/>
              <w:left w:val="nil"/>
              <w:bottom w:val="single" w:sz="4" w:space="0" w:color="auto"/>
              <w:right w:val="single" w:sz="4" w:space="0" w:color="auto"/>
            </w:tcBorders>
            <w:vAlign w:val="center"/>
          </w:tcPr>
          <w:p w14:paraId="329180EA" w14:textId="77777777" w:rsidR="0084515C" w:rsidRPr="00D844FC" w:rsidRDefault="0084515C" w:rsidP="007E79F4">
            <w:pPr>
              <w:jc w:val="center"/>
              <w:rPr>
                <w:b/>
                <w:bCs/>
              </w:rPr>
            </w:pPr>
            <w:r w:rsidRPr="00D844FC">
              <w:rPr>
                <w:b/>
                <w:bCs/>
                <w:sz w:val="22"/>
                <w:szCs w:val="22"/>
              </w:rPr>
              <w:t xml:space="preserve"> do 2015</w:t>
            </w:r>
          </w:p>
        </w:tc>
        <w:tc>
          <w:tcPr>
            <w:tcW w:w="1070" w:type="dxa"/>
            <w:tcBorders>
              <w:top w:val="nil"/>
              <w:left w:val="nil"/>
              <w:bottom w:val="single" w:sz="4" w:space="0" w:color="auto"/>
              <w:right w:val="single" w:sz="4" w:space="0" w:color="auto"/>
            </w:tcBorders>
            <w:vAlign w:val="center"/>
          </w:tcPr>
          <w:p w14:paraId="130B6275" w14:textId="77777777" w:rsidR="0084515C" w:rsidRPr="00D844FC" w:rsidRDefault="0084515C" w:rsidP="007E79F4">
            <w:pPr>
              <w:jc w:val="center"/>
              <w:rPr>
                <w:b/>
                <w:bCs/>
              </w:rPr>
            </w:pPr>
            <w:r w:rsidRPr="00D844FC">
              <w:rPr>
                <w:b/>
                <w:bCs/>
                <w:sz w:val="22"/>
                <w:szCs w:val="22"/>
              </w:rPr>
              <w:t>2016</w:t>
            </w:r>
          </w:p>
        </w:tc>
        <w:tc>
          <w:tcPr>
            <w:tcW w:w="1070" w:type="dxa"/>
            <w:tcBorders>
              <w:top w:val="nil"/>
              <w:left w:val="nil"/>
              <w:bottom w:val="single" w:sz="4" w:space="0" w:color="auto"/>
              <w:right w:val="single" w:sz="4" w:space="0" w:color="auto"/>
            </w:tcBorders>
            <w:vAlign w:val="center"/>
          </w:tcPr>
          <w:p w14:paraId="36CCE6FD" w14:textId="77777777" w:rsidR="0084515C" w:rsidRPr="00D844FC" w:rsidRDefault="0084515C" w:rsidP="007E79F4">
            <w:pPr>
              <w:jc w:val="center"/>
              <w:rPr>
                <w:b/>
                <w:bCs/>
              </w:rPr>
            </w:pPr>
            <w:r w:rsidRPr="00D844FC">
              <w:rPr>
                <w:b/>
                <w:bCs/>
                <w:sz w:val="22"/>
                <w:szCs w:val="22"/>
              </w:rPr>
              <w:t>2017</w:t>
            </w:r>
          </w:p>
        </w:tc>
        <w:tc>
          <w:tcPr>
            <w:tcW w:w="1070" w:type="dxa"/>
            <w:tcBorders>
              <w:top w:val="nil"/>
              <w:left w:val="nil"/>
              <w:bottom w:val="single" w:sz="4" w:space="0" w:color="auto"/>
              <w:right w:val="single" w:sz="4" w:space="0" w:color="auto"/>
            </w:tcBorders>
            <w:vAlign w:val="center"/>
          </w:tcPr>
          <w:p w14:paraId="6DC6527F" w14:textId="77777777" w:rsidR="0084515C" w:rsidRPr="00D844FC" w:rsidRDefault="0084515C" w:rsidP="007E79F4">
            <w:pPr>
              <w:jc w:val="center"/>
              <w:rPr>
                <w:b/>
                <w:bCs/>
              </w:rPr>
            </w:pPr>
            <w:r w:rsidRPr="00D844FC">
              <w:rPr>
                <w:b/>
                <w:bCs/>
                <w:sz w:val="22"/>
                <w:szCs w:val="22"/>
              </w:rPr>
              <w:t>2018</w:t>
            </w:r>
          </w:p>
        </w:tc>
        <w:tc>
          <w:tcPr>
            <w:tcW w:w="1109" w:type="dxa"/>
            <w:tcBorders>
              <w:top w:val="nil"/>
              <w:left w:val="nil"/>
              <w:bottom w:val="single" w:sz="4" w:space="0" w:color="auto"/>
              <w:right w:val="single" w:sz="4" w:space="0" w:color="auto"/>
            </w:tcBorders>
            <w:vAlign w:val="center"/>
          </w:tcPr>
          <w:p w14:paraId="6C57C320" w14:textId="77777777" w:rsidR="0084515C" w:rsidRPr="00D844FC" w:rsidRDefault="0084515C" w:rsidP="007E79F4">
            <w:pPr>
              <w:jc w:val="center"/>
              <w:rPr>
                <w:b/>
                <w:bCs/>
              </w:rPr>
            </w:pPr>
            <w:r w:rsidRPr="00D844FC">
              <w:rPr>
                <w:b/>
                <w:bCs/>
                <w:sz w:val="22"/>
                <w:szCs w:val="22"/>
              </w:rPr>
              <w:t>2019</w:t>
            </w:r>
          </w:p>
        </w:tc>
      </w:tr>
      <w:tr w:rsidR="0084515C" w:rsidRPr="004B11AC" w14:paraId="4C70169C" w14:textId="77777777" w:rsidTr="007E79F4">
        <w:trPr>
          <w:trHeight w:val="450"/>
        </w:trPr>
        <w:tc>
          <w:tcPr>
            <w:tcW w:w="3560" w:type="dxa"/>
            <w:tcBorders>
              <w:top w:val="nil"/>
              <w:left w:val="single" w:sz="4" w:space="0" w:color="auto"/>
              <w:bottom w:val="single" w:sz="4" w:space="0" w:color="auto"/>
              <w:right w:val="single" w:sz="4" w:space="0" w:color="auto"/>
            </w:tcBorders>
            <w:noWrap/>
            <w:vAlign w:val="bottom"/>
          </w:tcPr>
          <w:p w14:paraId="6D25F673" w14:textId="77777777" w:rsidR="0084515C" w:rsidRPr="00D844FC" w:rsidRDefault="0084515C" w:rsidP="007E79F4">
            <w:r w:rsidRPr="00D844FC">
              <w:rPr>
                <w:sz w:val="22"/>
                <w:szCs w:val="22"/>
              </w:rPr>
              <w:t>Výroba a dodání řidičských</w:t>
            </w:r>
            <w:r>
              <w:rPr>
                <w:sz w:val="22"/>
                <w:szCs w:val="22"/>
              </w:rPr>
              <w:t xml:space="preserve"> průkazů (S-27-160/2013</w:t>
            </w:r>
            <w:r w:rsidRPr="00D844FC">
              <w:rPr>
                <w:sz w:val="22"/>
                <w:szCs w:val="22"/>
              </w:rPr>
              <w:t>)</w:t>
            </w:r>
          </w:p>
        </w:tc>
        <w:tc>
          <w:tcPr>
            <w:tcW w:w="1200" w:type="dxa"/>
            <w:tcBorders>
              <w:top w:val="nil"/>
              <w:left w:val="nil"/>
              <w:bottom w:val="single" w:sz="4" w:space="0" w:color="auto"/>
              <w:right w:val="single" w:sz="4" w:space="0" w:color="auto"/>
            </w:tcBorders>
            <w:noWrap/>
            <w:vAlign w:val="center"/>
          </w:tcPr>
          <w:p w14:paraId="646C9615" w14:textId="77777777" w:rsidR="0084515C" w:rsidRPr="00D844FC" w:rsidRDefault="0084515C" w:rsidP="007E79F4">
            <w:pPr>
              <w:ind w:firstLineChars="100" w:firstLine="240"/>
              <w:jc w:val="right"/>
            </w:pPr>
            <w:r>
              <w:t>212 921</w:t>
            </w:r>
          </w:p>
        </w:tc>
        <w:tc>
          <w:tcPr>
            <w:tcW w:w="1070" w:type="dxa"/>
            <w:tcBorders>
              <w:top w:val="nil"/>
              <w:left w:val="nil"/>
              <w:bottom w:val="single" w:sz="4" w:space="0" w:color="auto"/>
              <w:right w:val="single" w:sz="4" w:space="0" w:color="auto"/>
            </w:tcBorders>
            <w:noWrap/>
            <w:vAlign w:val="center"/>
          </w:tcPr>
          <w:p w14:paraId="34C68AA8" w14:textId="77777777" w:rsidR="0084515C" w:rsidRPr="00D844FC" w:rsidRDefault="0084515C" w:rsidP="007E79F4">
            <w:pPr>
              <w:jc w:val="right"/>
            </w:pPr>
            <w:r>
              <w:t>71 102</w:t>
            </w:r>
          </w:p>
        </w:tc>
        <w:tc>
          <w:tcPr>
            <w:tcW w:w="1070" w:type="dxa"/>
            <w:tcBorders>
              <w:top w:val="single" w:sz="4" w:space="0" w:color="auto"/>
              <w:left w:val="nil"/>
              <w:bottom w:val="single" w:sz="4" w:space="0" w:color="auto"/>
              <w:right w:val="single" w:sz="4" w:space="0" w:color="auto"/>
            </w:tcBorders>
            <w:noWrap/>
            <w:vAlign w:val="center"/>
          </w:tcPr>
          <w:p w14:paraId="3FC21F81" w14:textId="77777777" w:rsidR="0084515C" w:rsidRPr="00D844FC" w:rsidRDefault="0084515C" w:rsidP="007E79F4">
            <w:pPr>
              <w:jc w:val="right"/>
            </w:pPr>
            <w:r w:rsidRPr="00D844FC">
              <w:t>82 7</w:t>
            </w:r>
            <w:r>
              <w:t>17</w:t>
            </w:r>
          </w:p>
        </w:tc>
        <w:tc>
          <w:tcPr>
            <w:tcW w:w="1070" w:type="dxa"/>
            <w:tcBorders>
              <w:top w:val="single" w:sz="4" w:space="0" w:color="auto"/>
              <w:left w:val="nil"/>
              <w:bottom w:val="single" w:sz="4" w:space="0" w:color="auto"/>
              <w:right w:val="single" w:sz="4" w:space="0" w:color="auto"/>
            </w:tcBorders>
            <w:vAlign w:val="center"/>
          </w:tcPr>
          <w:p w14:paraId="153F74DA" w14:textId="77777777" w:rsidR="0084515C" w:rsidRPr="00D844FC" w:rsidRDefault="0084515C" w:rsidP="007E79F4">
            <w:pPr>
              <w:jc w:val="right"/>
            </w:pPr>
            <w:r w:rsidRPr="00D844FC">
              <w:t>90 694</w:t>
            </w:r>
          </w:p>
        </w:tc>
        <w:tc>
          <w:tcPr>
            <w:tcW w:w="1109" w:type="dxa"/>
            <w:tcBorders>
              <w:top w:val="single" w:sz="4" w:space="0" w:color="auto"/>
              <w:left w:val="nil"/>
              <w:bottom w:val="single" w:sz="4" w:space="0" w:color="auto"/>
              <w:right w:val="single" w:sz="4" w:space="0" w:color="auto"/>
            </w:tcBorders>
            <w:vAlign w:val="center"/>
          </w:tcPr>
          <w:p w14:paraId="3E7292A2" w14:textId="77777777" w:rsidR="0084515C" w:rsidRPr="00D844FC" w:rsidRDefault="0084515C" w:rsidP="007E79F4">
            <w:pPr>
              <w:jc w:val="right"/>
            </w:pPr>
            <w:r w:rsidRPr="00D844FC">
              <w:t>1 646</w:t>
            </w:r>
          </w:p>
        </w:tc>
      </w:tr>
      <w:tr w:rsidR="0084515C" w:rsidRPr="004B11AC" w14:paraId="30B735B4" w14:textId="77777777" w:rsidTr="007E79F4">
        <w:trPr>
          <w:trHeight w:val="450"/>
        </w:trPr>
        <w:tc>
          <w:tcPr>
            <w:tcW w:w="3560" w:type="dxa"/>
            <w:tcBorders>
              <w:top w:val="single" w:sz="4" w:space="0" w:color="auto"/>
              <w:left w:val="single" w:sz="4" w:space="0" w:color="auto"/>
              <w:bottom w:val="single" w:sz="4" w:space="0" w:color="auto"/>
              <w:right w:val="single" w:sz="4" w:space="0" w:color="auto"/>
            </w:tcBorders>
            <w:noWrap/>
            <w:vAlign w:val="bottom"/>
          </w:tcPr>
          <w:p w14:paraId="03203CA3" w14:textId="77777777" w:rsidR="0084515C" w:rsidRPr="00D844FC" w:rsidRDefault="0084515C" w:rsidP="007E79F4">
            <w:pPr>
              <w:rPr>
                <w:sz w:val="22"/>
                <w:szCs w:val="22"/>
              </w:rPr>
            </w:pPr>
            <w:r w:rsidRPr="00D844FC">
              <w:rPr>
                <w:sz w:val="22"/>
                <w:szCs w:val="22"/>
              </w:rPr>
              <w:t>Výroba řidičských průkazů                (S-285-160/2018)</w:t>
            </w:r>
          </w:p>
        </w:tc>
        <w:tc>
          <w:tcPr>
            <w:tcW w:w="1200" w:type="dxa"/>
            <w:tcBorders>
              <w:top w:val="single" w:sz="4" w:space="0" w:color="auto"/>
              <w:left w:val="nil"/>
              <w:bottom w:val="single" w:sz="4" w:space="0" w:color="auto"/>
              <w:right w:val="single" w:sz="4" w:space="0" w:color="auto"/>
            </w:tcBorders>
            <w:noWrap/>
            <w:vAlign w:val="center"/>
          </w:tcPr>
          <w:p w14:paraId="06C2E427" w14:textId="77777777" w:rsidR="0084515C" w:rsidRPr="00D844FC" w:rsidRDefault="0084515C" w:rsidP="007E79F4">
            <w:pPr>
              <w:ind w:firstLineChars="100" w:firstLine="240"/>
              <w:jc w:val="right"/>
            </w:pPr>
            <w:r w:rsidRPr="00D844FC">
              <w:t>-</w:t>
            </w:r>
          </w:p>
        </w:tc>
        <w:tc>
          <w:tcPr>
            <w:tcW w:w="1070" w:type="dxa"/>
            <w:tcBorders>
              <w:top w:val="single" w:sz="4" w:space="0" w:color="auto"/>
              <w:left w:val="nil"/>
              <w:bottom w:val="single" w:sz="4" w:space="0" w:color="auto"/>
              <w:right w:val="single" w:sz="4" w:space="0" w:color="auto"/>
            </w:tcBorders>
            <w:noWrap/>
            <w:vAlign w:val="center"/>
          </w:tcPr>
          <w:p w14:paraId="7DB762B7" w14:textId="77777777" w:rsidR="0084515C" w:rsidRPr="00D844FC" w:rsidRDefault="0084515C" w:rsidP="007E79F4">
            <w:pPr>
              <w:jc w:val="right"/>
            </w:pPr>
            <w:r w:rsidRPr="00D844FC">
              <w:t>-</w:t>
            </w:r>
          </w:p>
        </w:tc>
        <w:tc>
          <w:tcPr>
            <w:tcW w:w="1070" w:type="dxa"/>
            <w:tcBorders>
              <w:top w:val="single" w:sz="4" w:space="0" w:color="auto"/>
              <w:left w:val="nil"/>
              <w:bottom w:val="single" w:sz="4" w:space="0" w:color="auto"/>
              <w:right w:val="single" w:sz="4" w:space="0" w:color="auto"/>
            </w:tcBorders>
            <w:noWrap/>
            <w:vAlign w:val="center"/>
          </w:tcPr>
          <w:p w14:paraId="7F53004D" w14:textId="77777777" w:rsidR="0084515C" w:rsidRPr="00D844FC" w:rsidRDefault="0084515C" w:rsidP="007E79F4">
            <w:pPr>
              <w:jc w:val="right"/>
            </w:pPr>
            <w:r w:rsidRPr="00D844FC">
              <w:t>-</w:t>
            </w:r>
          </w:p>
        </w:tc>
        <w:tc>
          <w:tcPr>
            <w:tcW w:w="1070" w:type="dxa"/>
            <w:tcBorders>
              <w:top w:val="single" w:sz="4" w:space="0" w:color="auto"/>
              <w:left w:val="nil"/>
              <w:bottom w:val="single" w:sz="4" w:space="0" w:color="auto"/>
              <w:right w:val="single" w:sz="4" w:space="0" w:color="auto"/>
            </w:tcBorders>
            <w:vAlign w:val="center"/>
          </w:tcPr>
          <w:p w14:paraId="2E3F8861" w14:textId="77777777" w:rsidR="0084515C" w:rsidRPr="00D844FC" w:rsidRDefault="0084515C" w:rsidP="007E79F4">
            <w:pPr>
              <w:jc w:val="right"/>
            </w:pPr>
            <w:r w:rsidRPr="00D844FC">
              <w:t>-</w:t>
            </w:r>
          </w:p>
        </w:tc>
        <w:tc>
          <w:tcPr>
            <w:tcW w:w="1109" w:type="dxa"/>
            <w:tcBorders>
              <w:top w:val="single" w:sz="4" w:space="0" w:color="auto"/>
              <w:left w:val="nil"/>
              <w:bottom w:val="single" w:sz="4" w:space="0" w:color="auto"/>
              <w:right w:val="single" w:sz="4" w:space="0" w:color="auto"/>
            </w:tcBorders>
            <w:vAlign w:val="center"/>
          </w:tcPr>
          <w:p w14:paraId="565FB532" w14:textId="77777777" w:rsidR="0084515C" w:rsidRPr="00D844FC" w:rsidRDefault="0084515C" w:rsidP="007E79F4">
            <w:pPr>
              <w:jc w:val="right"/>
            </w:pPr>
            <w:r w:rsidRPr="00D844FC">
              <w:t>68 337</w:t>
            </w:r>
          </w:p>
        </w:tc>
      </w:tr>
      <w:tr w:rsidR="0084515C" w:rsidRPr="004B11AC" w14:paraId="4132F948" w14:textId="77777777" w:rsidTr="007E79F4">
        <w:trPr>
          <w:trHeight w:val="450"/>
        </w:trPr>
        <w:tc>
          <w:tcPr>
            <w:tcW w:w="3560" w:type="dxa"/>
            <w:tcBorders>
              <w:top w:val="single" w:sz="4" w:space="0" w:color="auto"/>
              <w:left w:val="single" w:sz="4" w:space="0" w:color="auto"/>
              <w:bottom w:val="single" w:sz="4" w:space="0" w:color="auto"/>
              <w:right w:val="single" w:sz="4" w:space="0" w:color="auto"/>
            </w:tcBorders>
            <w:noWrap/>
            <w:vAlign w:val="bottom"/>
          </w:tcPr>
          <w:p w14:paraId="7F93FB80" w14:textId="77777777" w:rsidR="0084515C" w:rsidRPr="00D844FC" w:rsidRDefault="0084515C" w:rsidP="007E79F4">
            <w:pPr>
              <w:rPr>
                <w:sz w:val="22"/>
                <w:szCs w:val="22"/>
              </w:rPr>
            </w:pPr>
            <w:r w:rsidRPr="00D844FC">
              <w:rPr>
                <w:sz w:val="22"/>
                <w:szCs w:val="22"/>
              </w:rPr>
              <w:t>Poskytování služeb provozu infr. pro IS MD (S-8-330/2017)</w:t>
            </w:r>
          </w:p>
        </w:tc>
        <w:tc>
          <w:tcPr>
            <w:tcW w:w="1200" w:type="dxa"/>
            <w:tcBorders>
              <w:top w:val="single" w:sz="4" w:space="0" w:color="auto"/>
              <w:left w:val="nil"/>
              <w:bottom w:val="single" w:sz="4" w:space="0" w:color="auto"/>
              <w:right w:val="single" w:sz="4" w:space="0" w:color="auto"/>
            </w:tcBorders>
            <w:noWrap/>
            <w:vAlign w:val="center"/>
          </w:tcPr>
          <w:p w14:paraId="6B2457C8" w14:textId="77777777" w:rsidR="0084515C" w:rsidRPr="00D844FC" w:rsidRDefault="0084515C" w:rsidP="007E79F4">
            <w:pPr>
              <w:ind w:firstLineChars="100" w:firstLine="240"/>
              <w:jc w:val="right"/>
            </w:pPr>
          </w:p>
        </w:tc>
        <w:tc>
          <w:tcPr>
            <w:tcW w:w="1070" w:type="dxa"/>
            <w:tcBorders>
              <w:top w:val="single" w:sz="4" w:space="0" w:color="auto"/>
              <w:left w:val="nil"/>
              <w:bottom w:val="single" w:sz="4" w:space="0" w:color="auto"/>
              <w:right w:val="single" w:sz="4" w:space="0" w:color="auto"/>
            </w:tcBorders>
            <w:noWrap/>
            <w:vAlign w:val="center"/>
          </w:tcPr>
          <w:p w14:paraId="6C487E47" w14:textId="77777777" w:rsidR="0084515C" w:rsidRPr="00D844FC" w:rsidRDefault="0084515C" w:rsidP="007E79F4">
            <w:pPr>
              <w:jc w:val="right"/>
            </w:pPr>
          </w:p>
        </w:tc>
        <w:tc>
          <w:tcPr>
            <w:tcW w:w="1070" w:type="dxa"/>
            <w:tcBorders>
              <w:top w:val="single" w:sz="4" w:space="0" w:color="auto"/>
              <w:left w:val="nil"/>
              <w:bottom w:val="single" w:sz="4" w:space="0" w:color="auto"/>
              <w:right w:val="single" w:sz="4" w:space="0" w:color="auto"/>
            </w:tcBorders>
            <w:noWrap/>
            <w:vAlign w:val="center"/>
          </w:tcPr>
          <w:p w14:paraId="342155EA" w14:textId="77777777" w:rsidR="0084515C" w:rsidRPr="00D844FC" w:rsidRDefault="0084515C" w:rsidP="007E79F4">
            <w:pPr>
              <w:jc w:val="right"/>
            </w:pPr>
            <w:r>
              <w:t>7 435</w:t>
            </w:r>
          </w:p>
        </w:tc>
        <w:tc>
          <w:tcPr>
            <w:tcW w:w="1070" w:type="dxa"/>
            <w:tcBorders>
              <w:top w:val="single" w:sz="4" w:space="0" w:color="auto"/>
              <w:left w:val="nil"/>
              <w:bottom w:val="single" w:sz="4" w:space="0" w:color="auto"/>
              <w:right w:val="single" w:sz="4" w:space="0" w:color="auto"/>
            </w:tcBorders>
            <w:vAlign w:val="center"/>
          </w:tcPr>
          <w:p w14:paraId="7DE9D00A" w14:textId="77777777" w:rsidR="0084515C" w:rsidRPr="00D844FC" w:rsidRDefault="0084515C" w:rsidP="007E79F4">
            <w:pPr>
              <w:jc w:val="right"/>
            </w:pPr>
            <w:r>
              <w:t>45 261</w:t>
            </w:r>
          </w:p>
        </w:tc>
        <w:tc>
          <w:tcPr>
            <w:tcW w:w="1109" w:type="dxa"/>
            <w:tcBorders>
              <w:top w:val="single" w:sz="4" w:space="0" w:color="auto"/>
              <w:left w:val="nil"/>
              <w:bottom w:val="single" w:sz="4" w:space="0" w:color="auto"/>
              <w:right w:val="single" w:sz="4" w:space="0" w:color="auto"/>
            </w:tcBorders>
            <w:vAlign w:val="center"/>
          </w:tcPr>
          <w:p w14:paraId="0DDF0E44" w14:textId="77777777" w:rsidR="0084515C" w:rsidRPr="00D844FC" w:rsidRDefault="0084515C" w:rsidP="007E79F4">
            <w:pPr>
              <w:jc w:val="right"/>
            </w:pPr>
            <w:r w:rsidRPr="00D844FC">
              <w:t>46 297</w:t>
            </w:r>
          </w:p>
        </w:tc>
      </w:tr>
      <w:tr w:rsidR="0084515C" w:rsidRPr="004B11AC" w14:paraId="5E96CA2D" w14:textId="77777777" w:rsidTr="007E79F4">
        <w:trPr>
          <w:trHeight w:val="450"/>
        </w:trPr>
        <w:tc>
          <w:tcPr>
            <w:tcW w:w="3560" w:type="dxa"/>
            <w:tcBorders>
              <w:top w:val="single" w:sz="4" w:space="0" w:color="auto"/>
              <w:left w:val="single" w:sz="4" w:space="0" w:color="auto"/>
              <w:bottom w:val="single" w:sz="4" w:space="0" w:color="auto"/>
              <w:right w:val="single" w:sz="4" w:space="0" w:color="auto"/>
            </w:tcBorders>
            <w:noWrap/>
            <w:vAlign w:val="bottom"/>
          </w:tcPr>
          <w:p w14:paraId="5B9209EF" w14:textId="77777777" w:rsidR="0084515C" w:rsidRPr="00D844FC" w:rsidRDefault="0084515C" w:rsidP="007E79F4">
            <w:pPr>
              <w:rPr>
                <w:sz w:val="22"/>
                <w:szCs w:val="22"/>
              </w:rPr>
            </w:pPr>
            <w:r w:rsidRPr="00D844FC">
              <w:rPr>
                <w:sz w:val="22"/>
                <w:szCs w:val="22"/>
              </w:rPr>
              <w:t>Dodávky tabulek registračních značek (S-202-150/2016)</w:t>
            </w:r>
          </w:p>
        </w:tc>
        <w:tc>
          <w:tcPr>
            <w:tcW w:w="1200" w:type="dxa"/>
            <w:tcBorders>
              <w:top w:val="single" w:sz="4" w:space="0" w:color="auto"/>
              <w:left w:val="nil"/>
              <w:bottom w:val="single" w:sz="4" w:space="0" w:color="auto"/>
              <w:right w:val="single" w:sz="4" w:space="0" w:color="auto"/>
            </w:tcBorders>
            <w:noWrap/>
            <w:vAlign w:val="center"/>
          </w:tcPr>
          <w:p w14:paraId="0C93FA4E" w14:textId="77777777" w:rsidR="0084515C" w:rsidRPr="00D844FC" w:rsidRDefault="0084515C" w:rsidP="007E79F4">
            <w:pPr>
              <w:ind w:firstLineChars="100" w:firstLine="240"/>
              <w:jc w:val="right"/>
            </w:pPr>
          </w:p>
        </w:tc>
        <w:tc>
          <w:tcPr>
            <w:tcW w:w="1070" w:type="dxa"/>
            <w:tcBorders>
              <w:top w:val="single" w:sz="4" w:space="0" w:color="auto"/>
              <w:left w:val="nil"/>
              <w:bottom w:val="single" w:sz="4" w:space="0" w:color="auto"/>
              <w:right w:val="single" w:sz="4" w:space="0" w:color="auto"/>
            </w:tcBorders>
            <w:noWrap/>
            <w:vAlign w:val="center"/>
          </w:tcPr>
          <w:p w14:paraId="23F64C11" w14:textId="77777777" w:rsidR="0084515C" w:rsidRPr="00D844FC" w:rsidRDefault="0084515C" w:rsidP="007E79F4">
            <w:pPr>
              <w:jc w:val="right"/>
            </w:pPr>
          </w:p>
        </w:tc>
        <w:tc>
          <w:tcPr>
            <w:tcW w:w="1070" w:type="dxa"/>
            <w:tcBorders>
              <w:top w:val="single" w:sz="4" w:space="0" w:color="auto"/>
              <w:left w:val="nil"/>
              <w:bottom w:val="single" w:sz="4" w:space="0" w:color="auto"/>
              <w:right w:val="single" w:sz="4" w:space="0" w:color="auto"/>
            </w:tcBorders>
            <w:noWrap/>
            <w:vAlign w:val="center"/>
          </w:tcPr>
          <w:p w14:paraId="3AD0F7D3" w14:textId="77777777" w:rsidR="0084515C" w:rsidRPr="00D844FC" w:rsidRDefault="0084515C" w:rsidP="007E79F4">
            <w:pPr>
              <w:jc w:val="right"/>
            </w:pPr>
            <w:r>
              <w:t>64 867</w:t>
            </w:r>
          </w:p>
        </w:tc>
        <w:tc>
          <w:tcPr>
            <w:tcW w:w="1070" w:type="dxa"/>
            <w:tcBorders>
              <w:top w:val="single" w:sz="4" w:space="0" w:color="auto"/>
              <w:left w:val="nil"/>
              <w:bottom w:val="single" w:sz="4" w:space="0" w:color="auto"/>
              <w:right w:val="single" w:sz="4" w:space="0" w:color="auto"/>
            </w:tcBorders>
            <w:vAlign w:val="center"/>
          </w:tcPr>
          <w:p w14:paraId="7DC036B6" w14:textId="77777777" w:rsidR="0084515C" w:rsidRPr="00D844FC" w:rsidRDefault="0084515C" w:rsidP="007E79F4">
            <w:pPr>
              <w:jc w:val="right"/>
            </w:pPr>
            <w:r>
              <w:t>60 290</w:t>
            </w:r>
          </w:p>
        </w:tc>
        <w:tc>
          <w:tcPr>
            <w:tcW w:w="1109" w:type="dxa"/>
            <w:tcBorders>
              <w:top w:val="single" w:sz="4" w:space="0" w:color="auto"/>
              <w:left w:val="nil"/>
              <w:bottom w:val="single" w:sz="4" w:space="0" w:color="auto"/>
              <w:right w:val="single" w:sz="4" w:space="0" w:color="auto"/>
            </w:tcBorders>
            <w:vAlign w:val="center"/>
          </w:tcPr>
          <w:p w14:paraId="51FFD4E2" w14:textId="77777777" w:rsidR="0084515C" w:rsidRPr="00D844FC" w:rsidRDefault="0084515C" w:rsidP="007E79F4">
            <w:pPr>
              <w:jc w:val="right"/>
            </w:pPr>
            <w:r w:rsidRPr="00D844FC">
              <w:t>97 528</w:t>
            </w:r>
          </w:p>
        </w:tc>
      </w:tr>
    </w:tbl>
    <w:p w14:paraId="59D705A6" w14:textId="77777777" w:rsidR="00F8275E" w:rsidRPr="00DC0C9F" w:rsidRDefault="00F8275E" w:rsidP="005E4525">
      <w:pPr>
        <w:pStyle w:val="Nadpis2"/>
        <w:spacing w:before="360"/>
      </w:pPr>
      <w:bookmarkStart w:id="1028" w:name="_Toc34286483"/>
      <w:r w:rsidRPr="00DC0C9F">
        <w:t>Majetko</w:t>
      </w:r>
      <w:r w:rsidR="00571697" w:rsidRPr="00DC0C9F">
        <w:t>vé účasti státu v tuzemských společnostech</w:t>
      </w:r>
      <w:bookmarkEnd w:id="1024"/>
      <w:bookmarkEnd w:id="1025"/>
      <w:bookmarkEnd w:id="1026"/>
      <w:bookmarkEnd w:id="1027"/>
      <w:bookmarkEnd w:id="1028"/>
    </w:p>
    <w:p w14:paraId="2900A153" w14:textId="77777777" w:rsidR="00DC0C9F" w:rsidRPr="0087627A" w:rsidRDefault="00DC0C9F" w:rsidP="00BB64C4">
      <w:pPr>
        <w:pStyle w:val="KOMtext"/>
      </w:pPr>
      <w:bookmarkStart w:id="1029" w:name="_Toc508879912"/>
      <w:bookmarkStart w:id="1030" w:name="_Toc508880188"/>
      <w:bookmarkStart w:id="1031" w:name="_Toc1376855"/>
      <w:r w:rsidRPr="0087627A">
        <w:t xml:space="preserve">Ministerstvo dopravy je držitelem 100 % akcií společnosti České dráhy, a.s. v nominální hodnotě 20 mld. Kč. Jde o 20 ks kmenových akcií na jméno „Česká republika“, vydaných v listinné podobě, ve jmenovité hodnotě 1 000 000 tis. Kč za jednu akcii. Akcie jsou omezeně převoditelné. K převodu akcií se vyžaduje předchozí souhlas vlády. </w:t>
      </w:r>
    </w:p>
    <w:p w14:paraId="1839B5D6" w14:textId="77777777" w:rsidR="00DC0C9F" w:rsidRPr="0087627A" w:rsidRDefault="00DC0C9F" w:rsidP="00BB64C4">
      <w:pPr>
        <w:pStyle w:val="KOMtext"/>
      </w:pPr>
      <w:r w:rsidRPr="0087627A">
        <w:lastRenderedPageBreak/>
        <w:t>Účetní hodnota nepeněžitého vkladu činí 39 453 879 tis. Kč. Hodnota nepeněžitého vkladu byla ve vlastním kapitálu společnosti členěna na základní kapitál ve výši 20 000 000 tis. Kč a emisní ážio ve výši 19 453 879 tis. Kč.</w:t>
      </w:r>
    </w:p>
    <w:p w14:paraId="79018D8F" w14:textId="77777777" w:rsidR="00A44507" w:rsidRPr="00652EDF" w:rsidRDefault="00A44507" w:rsidP="005E4525">
      <w:pPr>
        <w:pStyle w:val="Nadpis2"/>
        <w:spacing w:before="360"/>
      </w:pPr>
      <w:bookmarkStart w:id="1032" w:name="_Toc34286484"/>
      <w:r w:rsidRPr="00BB64C4">
        <w:t>Likvidace</w:t>
      </w:r>
      <w:r w:rsidRPr="00652EDF">
        <w:t xml:space="preserve"> státních podniků</w:t>
      </w:r>
      <w:bookmarkEnd w:id="1029"/>
      <w:bookmarkEnd w:id="1030"/>
      <w:bookmarkEnd w:id="1031"/>
      <w:bookmarkEnd w:id="1032"/>
    </w:p>
    <w:p w14:paraId="4BA09757" w14:textId="77777777" w:rsidR="0020677C" w:rsidRPr="00652EDF" w:rsidRDefault="00652EDF" w:rsidP="00BB64C4">
      <w:pPr>
        <w:pStyle w:val="KOMtext"/>
      </w:pPr>
      <w:bookmarkStart w:id="1033" w:name="_Toc508879913"/>
      <w:bookmarkStart w:id="1034" w:name="_Toc508880189"/>
      <w:r w:rsidRPr="00652EDF">
        <w:t>V roce 2019</w:t>
      </w:r>
      <w:r w:rsidR="0020677C" w:rsidRPr="00652EDF">
        <w:t xml:space="preserve"> </w:t>
      </w:r>
      <w:r w:rsidRPr="00652EDF">
        <w:t>nebyl zlikvidován žádný státní podnik</w:t>
      </w:r>
      <w:r w:rsidR="0020677C" w:rsidRPr="00652EDF">
        <w:t xml:space="preserve"> v působnosti Ministerstva dopravy. </w:t>
      </w:r>
    </w:p>
    <w:p w14:paraId="3425DCBB" w14:textId="77777777" w:rsidR="008319D4" w:rsidRPr="004B11AC" w:rsidRDefault="00F408CE" w:rsidP="005E4525">
      <w:pPr>
        <w:pStyle w:val="Nadpis2"/>
        <w:spacing w:before="360"/>
      </w:pPr>
      <w:bookmarkStart w:id="1035" w:name="_Toc413413674"/>
      <w:bookmarkStart w:id="1036" w:name="_Toc508879925"/>
      <w:bookmarkStart w:id="1037" w:name="_Toc508880201"/>
      <w:bookmarkStart w:id="1038" w:name="_Toc1376857"/>
      <w:bookmarkStart w:id="1039" w:name="_Toc34286485"/>
      <w:bookmarkStart w:id="1040" w:name="_Toc255297655"/>
      <w:bookmarkEnd w:id="1033"/>
      <w:bookmarkEnd w:id="1034"/>
      <w:r w:rsidRPr="004B11AC">
        <w:t>Bezúplatné p</w:t>
      </w:r>
      <w:r w:rsidR="008319D4" w:rsidRPr="004B11AC">
        <w:t>řevody majetku</w:t>
      </w:r>
      <w:bookmarkEnd w:id="1035"/>
      <w:bookmarkEnd w:id="1036"/>
      <w:bookmarkEnd w:id="1037"/>
      <w:bookmarkEnd w:id="1038"/>
      <w:bookmarkEnd w:id="1039"/>
    </w:p>
    <w:p w14:paraId="2B91B36C" w14:textId="77777777" w:rsidR="00F408CE" w:rsidRPr="00350030" w:rsidRDefault="00F408CE" w:rsidP="00350030">
      <w:pPr>
        <w:pStyle w:val="KOMtext"/>
      </w:pPr>
      <w:bookmarkStart w:id="1041" w:name="_Toc380593810"/>
      <w:bookmarkStart w:id="1042" w:name="_Toc413413675"/>
      <w:r w:rsidRPr="00350030">
        <w:t>V roce 201</w:t>
      </w:r>
      <w:r w:rsidR="00350030" w:rsidRPr="00350030">
        <w:t>9</w:t>
      </w:r>
      <w:r w:rsidRPr="00350030">
        <w:t xml:space="preserve"> byly v kapitole Ministerstva dopravy prováděny bezúplatné převody majetku, a to </w:t>
      </w:r>
      <w:r w:rsidR="000A3084" w:rsidRPr="00350030">
        <w:t xml:space="preserve">obě jeho formy, tj. bezúplatné nabytí do majetku státu </w:t>
      </w:r>
      <w:r w:rsidR="00F63F11" w:rsidRPr="00350030">
        <w:t>i</w:t>
      </w:r>
      <w:r w:rsidR="000A3084" w:rsidRPr="00350030">
        <w:t xml:space="preserve"> jeho bezúplatné pozbytí ve prospěch jiných subjektů.</w:t>
      </w:r>
      <w:r w:rsidR="00F63F11" w:rsidRPr="00350030">
        <w:t xml:space="preserve"> Bezúplatné převody m</w:t>
      </w:r>
      <w:r w:rsidR="008B6916" w:rsidRPr="00350030">
        <w:t>ajetku jsou prováděny v souladu</w:t>
      </w:r>
      <w:r w:rsidR="00756CFD" w:rsidRPr="00350030">
        <w:t xml:space="preserve"> </w:t>
      </w:r>
      <w:r w:rsidR="00F63F11" w:rsidRPr="00350030">
        <w:t xml:space="preserve">se zákonem </w:t>
      </w:r>
      <w:r w:rsidR="008B6916" w:rsidRPr="00350030">
        <w:br/>
      </w:r>
      <w:r w:rsidR="00F63F11" w:rsidRPr="00350030">
        <w:t xml:space="preserve">č. 219/2000 Sb., o majetku České republiky a jejím vystupování v právních vztazích, </w:t>
      </w:r>
      <w:r w:rsidR="00514C2C" w:rsidRPr="00350030">
        <w:t>ve znění pozdějších předpisů</w:t>
      </w:r>
      <w:r w:rsidR="00F63F11" w:rsidRPr="00350030">
        <w:t>.</w:t>
      </w:r>
      <w:bookmarkEnd w:id="1041"/>
      <w:bookmarkEnd w:id="1042"/>
    </w:p>
    <w:p w14:paraId="0F9D06A3" w14:textId="77777777" w:rsidR="000A3084" w:rsidRPr="00350030" w:rsidRDefault="00F63F11" w:rsidP="00350030">
      <w:pPr>
        <w:pStyle w:val="KOMtext"/>
      </w:pPr>
      <w:bookmarkStart w:id="1043" w:name="_Toc380593811"/>
      <w:bookmarkStart w:id="1044" w:name="_Toc413413676"/>
      <w:bookmarkStart w:id="1045" w:name="_Toc508879926"/>
      <w:bookmarkStart w:id="1046" w:name="_Toc508880202"/>
      <w:r w:rsidRPr="00350030">
        <w:t>Přehled bezúplatných převodů majetku je uveden v Příloze č. 5 vč. komentáře.</w:t>
      </w:r>
      <w:bookmarkEnd w:id="1043"/>
      <w:bookmarkEnd w:id="1044"/>
      <w:bookmarkEnd w:id="1045"/>
      <w:bookmarkEnd w:id="1046"/>
    </w:p>
    <w:p w14:paraId="16144ADF" w14:textId="77777777" w:rsidR="007A071D" w:rsidRPr="004B11AC" w:rsidRDefault="007A071D" w:rsidP="00BB64C4">
      <w:pPr>
        <w:pStyle w:val="Nadpis20"/>
        <w:numPr>
          <w:ilvl w:val="0"/>
          <w:numId w:val="0"/>
        </w:numPr>
        <w:ind w:left="28"/>
        <w:sectPr w:rsidR="007A071D" w:rsidRPr="004B11AC" w:rsidSect="00DD21C2">
          <w:footerReference w:type="first" r:id="rId32"/>
          <w:pgSz w:w="11906" w:h="16838"/>
          <w:pgMar w:top="1417" w:right="1274" w:bottom="1417" w:left="1417" w:header="709" w:footer="709" w:gutter="0"/>
          <w:cols w:space="708"/>
          <w:titlePg/>
          <w:docGrid w:linePitch="360"/>
        </w:sectPr>
      </w:pPr>
    </w:p>
    <w:p w14:paraId="23891492" w14:textId="77777777" w:rsidR="00185BC4" w:rsidRPr="004B11AC" w:rsidRDefault="001E4EF9" w:rsidP="00275CE2">
      <w:pPr>
        <w:pStyle w:val="Znadpis1"/>
        <w:numPr>
          <w:ilvl w:val="0"/>
          <w:numId w:val="51"/>
        </w:numPr>
      </w:pPr>
      <w:bookmarkStart w:id="1047" w:name="_Toc413413677"/>
      <w:bookmarkStart w:id="1048" w:name="_Toc508879927"/>
      <w:bookmarkStart w:id="1049" w:name="_Toc508880203"/>
      <w:bookmarkStart w:id="1050" w:name="_Toc1376858"/>
      <w:bookmarkStart w:id="1051" w:name="_Toc34286486"/>
      <w:r w:rsidRPr="004B11AC">
        <w:lastRenderedPageBreak/>
        <w:t>Výdaje na výzkum,</w:t>
      </w:r>
      <w:r w:rsidR="00185BC4" w:rsidRPr="004B11AC">
        <w:t xml:space="preserve"> vývoj</w:t>
      </w:r>
      <w:bookmarkEnd w:id="1040"/>
      <w:bookmarkEnd w:id="1047"/>
      <w:bookmarkEnd w:id="1048"/>
      <w:bookmarkEnd w:id="1049"/>
      <w:bookmarkEnd w:id="1050"/>
      <w:r w:rsidRPr="004B11AC">
        <w:t xml:space="preserve"> a inovace</w:t>
      </w:r>
      <w:bookmarkEnd w:id="1051"/>
    </w:p>
    <w:p w14:paraId="5CE6EA6C" w14:textId="77777777" w:rsidR="006A36E3" w:rsidRPr="00192DFC" w:rsidRDefault="006A36E3" w:rsidP="00350030">
      <w:pPr>
        <w:pStyle w:val="KOMtext"/>
      </w:pPr>
      <w:bookmarkStart w:id="1052" w:name="_Toc255297656"/>
      <w:bookmarkStart w:id="1053" w:name="_Toc413413678"/>
      <w:r w:rsidRPr="00192DFC">
        <w:t xml:space="preserve">Prostředky na výzkum a vývoj byly v roce 2019 poskytnuty veřejné výzkumné instituci rezortu Ministerstva dopravy Centrum dopravního výzkumu, v.v.i. </w:t>
      </w:r>
    </w:p>
    <w:p w14:paraId="21BC12B8" w14:textId="77777777" w:rsidR="006A36E3" w:rsidRPr="00192DFC" w:rsidRDefault="006A36E3" w:rsidP="00350030">
      <w:pPr>
        <w:pStyle w:val="KOMtext"/>
      </w:pPr>
      <w:r w:rsidRPr="00192DFC">
        <w:t xml:space="preserve">Rok 2019 je třetím rokem, ve kterém Ministerstvo dopravy poskytovalo výdaje na výzkum, vývoj a inovaci. Od roku 2010 byla podpora výzkumu, vývoje a inovací postupně převáděna na Technologickou agenturu ČR, a s tím souvisel i postupný pokles výdajů na výzkum a vývoj poskytovaných z kapitoly Ministerstva dopravy. Veřejná výzkumná instituce Centrum dopravního výzkumu pobírala od roku 2011 institucionální podporu z kapitoly 333 Ministerstvo školství, mládeže a tělovýchovy. </w:t>
      </w:r>
    </w:p>
    <w:p w14:paraId="4726DC62" w14:textId="77777777" w:rsidR="006A36E3" w:rsidRPr="00192DFC" w:rsidRDefault="006A36E3" w:rsidP="00350030">
      <w:pPr>
        <w:pStyle w:val="KOMtext"/>
      </w:pPr>
      <w:r w:rsidRPr="004B11AC">
        <w:rPr>
          <w:color w:val="FF0000"/>
        </w:rPr>
        <w:t xml:space="preserve"> </w:t>
      </w:r>
      <w:r w:rsidRPr="00192DFC">
        <w:t xml:space="preserve">Finanční prostředky byly Centru dopravního výzkumu poskytnuty formou institucionální podpory na dlouhodobý koncepční rozvoj organizace ve výši 50 000 tis. Kč. </w:t>
      </w:r>
    </w:p>
    <w:p w14:paraId="38E176A4" w14:textId="77777777" w:rsidR="006A36E3" w:rsidRPr="00787A0A" w:rsidRDefault="006A36E3" w:rsidP="00350030">
      <w:pPr>
        <w:pStyle w:val="Nadpis9"/>
      </w:pPr>
      <w:r w:rsidRPr="00787A0A">
        <w:t>Hodnocení vynaložení prostředků na podporu výzkumu, vývoje a inovací (institucionální podpora)</w:t>
      </w:r>
    </w:p>
    <w:p w14:paraId="3C913FA7" w14:textId="77777777" w:rsidR="006A36E3" w:rsidRPr="00787A0A" w:rsidRDefault="006A36E3" w:rsidP="00350030">
      <w:pPr>
        <w:pStyle w:val="KOMtext"/>
      </w:pPr>
      <w:r w:rsidRPr="00787A0A">
        <w:t xml:space="preserve">Skutečné čerpání finančních prostředků na podporu výzkumu, vývoje a inovací (institucionální podpora) v roce 2019 bylo následující: </w:t>
      </w:r>
    </w:p>
    <w:p w14:paraId="2B43CDD9" w14:textId="77777777" w:rsidR="006A36E3" w:rsidRPr="00787A0A" w:rsidRDefault="006A36E3" w:rsidP="006A36E3">
      <w:pPr>
        <w:spacing w:after="120"/>
        <w:jc w:val="both"/>
        <w:rPr>
          <w:b/>
        </w:rPr>
      </w:pPr>
      <w:r w:rsidRPr="00787A0A">
        <w:rPr>
          <w:b/>
        </w:rPr>
        <w:t xml:space="preserve">Institucionální podpora ve výši: 50 000 tis. Kč. </w:t>
      </w:r>
    </w:p>
    <w:p w14:paraId="633CD20D" w14:textId="77777777" w:rsidR="006A36E3" w:rsidRPr="00787A0A" w:rsidRDefault="006A36E3" w:rsidP="00350030">
      <w:pPr>
        <w:pStyle w:val="KOMtext"/>
        <w:rPr>
          <w:b/>
        </w:rPr>
      </w:pPr>
      <w:r w:rsidRPr="00787A0A">
        <w:t xml:space="preserve">Institucionální podpora členěná na: běžné výdaje ve výši </w:t>
      </w:r>
      <w:r w:rsidRPr="00787A0A">
        <w:rPr>
          <w:b/>
        </w:rPr>
        <w:t>42 750 tis. Kč</w:t>
      </w:r>
    </w:p>
    <w:p w14:paraId="2F531CDB" w14:textId="77777777" w:rsidR="006A36E3" w:rsidRPr="00787A0A" w:rsidRDefault="006A36E3" w:rsidP="006A36E3">
      <w:pPr>
        <w:pStyle w:val="Odstavecseseznamem"/>
        <w:spacing w:after="120"/>
        <w:ind w:left="432"/>
        <w:jc w:val="both"/>
        <w:rPr>
          <w:b/>
        </w:rPr>
      </w:pPr>
      <w:r w:rsidRPr="00787A0A">
        <w:tab/>
      </w:r>
      <w:r w:rsidRPr="00787A0A">
        <w:tab/>
      </w:r>
      <w:r w:rsidRPr="00787A0A">
        <w:tab/>
      </w:r>
      <w:r w:rsidRPr="00787A0A">
        <w:tab/>
        <w:t xml:space="preserve">          kapitálové výdaje ve výši </w:t>
      </w:r>
      <w:r w:rsidRPr="00787A0A">
        <w:rPr>
          <w:b/>
        </w:rPr>
        <w:t>7 250 tis. Kč</w:t>
      </w:r>
    </w:p>
    <w:p w14:paraId="2286D920" w14:textId="6CC93C58" w:rsidR="006A36E3" w:rsidRPr="00787A0A" w:rsidRDefault="006A36E3" w:rsidP="006A36E3">
      <w:pPr>
        <w:pStyle w:val="Titulek"/>
        <w:rPr>
          <w:rStyle w:val="Siln"/>
          <w:b/>
        </w:rPr>
      </w:pPr>
      <w:bookmarkStart w:id="1054" w:name="_Toc34288687"/>
      <w:r w:rsidRPr="00787A0A">
        <w:t xml:space="preserve">Graf č. </w:t>
      </w:r>
      <w:r w:rsidRPr="00787A0A">
        <w:rPr>
          <w:noProof/>
        </w:rPr>
        <w:fldChar w:fldCharType="begin"/>
      </w:r>
      <w:r w:rsidRPr="00787A0A">
        <w:rPr>
          <w:noProof/>
        </w:rPr>
        <w:instrText xml:space="preserve"> SEQ Graf_č. \* ARABIC </w:instrText>
      </w:r>
      <w:r w:rsidRPr="00787A0A">
        <w:rPr>
          <w:noProof/>
        </w:rPr>
        <w:fldChar w:fldCharType="separate"/>
      </w:r>
      <w:r w:rsidR="00DF450F">
        <w:rPr>
          <w:noProof/>
        </w:rPr>
        <w:t>20</w:t>
      </w:r>
      <w:r w:rsidRPr="00787A0A">
        <w:rPr>
          <w:noProof/>
        </w:rPr>
        <w:fldChar w:fldCharType="end"/>
      </w:r>
      <w:r w:rsidRPr="00787A0A">
        <w:rPr>
          <w:rStyle w:val="Siln"/>
          <w:b/>
        </w:rPr>
        <w:t>:  Porovnání výdajů na výzkum, vývoj a inovace</w:t>
      </w:r>
      <w:bookmarkEnd w:id="1054"/>
    </w:p>
    <w:p w14:paraId="2A4452C1" w14:textId="77777777" w:rsidR="006A36E3" w:rsidRPr="004B11AC" w:rsidRDefault="006A36E3" w:rsidP="006A36E3">
      <w:pPr>
        <w:spacing w:after="120"/>
        <w:jc w:val="center"/>
        <w:rPr>
          <w:b/>
          <w:color w:val="FF0000"/>
        </w:rPr>
      </w:pPr>
      <w:r w:rsidRPr="00900BF0">
        <w:rPr>
          <w:b/>
          <w:noProof/>
          <w:color w:val="FF0000"/>
        </w:rPr>
        <w:drawing>
          <wp:inline distT="0" distB="0" distL="0" distR="0" wp14:anchorId="39E6901D" wp14:editId="5D336B4B">
            <wp:extent cx="5852160" cy="1534795"/>
            <wp:effectExtent l="0" t="0" r="0" b="0"/>
            <wp:docPr id="29" name="Graf 2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1A277D73" w14:textId="77777777" w:rsidR="006A36E3" w:rsidRPr="00787A0A" w:rsidRDefault="006A36E3" w:rsidP="00350030">
      <w:pPr>
        <w:pStyle w:val="Nadpis6"/>
      </w:pPr>
      <w:r w:rsidRPr="00787A0A">
        <w:t xml:space="preserve">Popis využití běžných výdajů: </w:t>
      </w:r>
    </w:p>
    <w:p w14:paraId="78045541" w14:textId="77777777" w:rsidR="006A36E3" w:rsidRPr="00787A0A" w:rsidRDefault="006A36E3" w:rsidP="00350030">
      <w:pPr>
        <w:pStyle w:val="KOMtext"/>
      </w:pPr>
      <w:r w:rsidRPr="00787A0A">
        <w:t>Prostředky běžné byly použity na financování způsobilých výdajů na řešení výzkumných projektů řešených v rámci výzkumných programů Centra dopravního výzkumu, v.v.i. Řešené projekty byly:</w:t>
      </w:r>
    </w:p>
    <w:p w14:paraId="59478C75" w14:textId="77777777" w:rsidR="006A36E3" w:rsidRPr="0091523D" w:rsidRDefault="006A36E3" w:rsidP="00275CE2">
      <w:pPr>
        <w:pStyle w:val="KOMtext"/>
        <w:numPr>
          <w:ilvl w:val="0"/>
          <w:numId w:val="74"/>
        </w:numPr>
      </w:pPr>
      <w:r w:rsidRPr="0091523D">
        <w:t xml:space="preserve">Motivovány jednotlivými odbory Ministerstva dopravy (projekty především v oblasti bezpečnosti silniční dopravy a ochrany životního prostředí) např.: </w:t>
      </w:r>
    </w:p>
    <w:p w14:paraId="28E4496F" w14:textId="77777777" w:rsidR="006A36E3" w:rsidRPr="0091523D" w:rsidRDefault="006A36E3" w:rsidP="00EA39DC">
      <w:pPr>
        <w:pStyle w:val="KOMtext"/>
        <w:numPr>
          <w:ilvl w:val="0"/>
          <w:numId w:val="37"/>
        </w:numPr>
        <w:spacing w:before="60" w:after="0"/>
        <w:ind w:left="993" w:hanging="284"/>
      </w:pPr>
      <w:r w:rsidRPr="0091523D">
        <w:t xml:space="preserve">Environmentální a ekonomické hodnocení adaptačních opatření ve vztahu ke změně klimatu v sektoru dopravy, </w:t>
      </w:r>
    </w:p>
    <w:p w14:paraId="58E1F480" w14:textId="77777777" w:rsidR="006A36E3" w:rsidRPr="0091523D" w:rsidRDefault="006A36E3" w:rsidP="00EA39DC">
      <w:pPr>
        <w:pStyle w:val="KOMtext"/>
        <w:numPr>
          <w:ilvl w:val="0"/>
          <w:numId w:val="37"/>
        </w:numPr>
        <w:spacing w:before="60" w:after="0"/>
        <w:ind w:left="993" w:hanging="284"/>
      </w:pPr>
      <w:r w:rsidRPr="0091523D">
        <w:t xml:space="preserve">Stanovení a evaluace emisních charakteristik osobních automobilů a lehkých užitkových vozidel v reálném provozu, </w:t>
      </w:r>
    </w:p>
    <w:p w14:paraId="6F6DAFC8" w14:textId="77777777" w:rsidR="006A36E3" w:rsidRPr="0091523D" w:rsidRDefault="006A36E3" w:rsidP="00EA39DC">
      <w:pPr>
        <w:pStyle w:val="KOMtext"/>
        <w:numPr>
          <w:ilvl w:val="0"/>
          <w:numId w:val="37"/>
        </w:numPr>
        <w:spacing w:before="60" w:after="0"/>
        <w:ind w:left="993" w:hanging="284"/>
      </w:pPr>
      <w:r w:rsidRPr="0091523D">
        <w:lastRenderedPageBreak/>
        <w:t xml:space="preserve">Celorepubliková implementace Metodiky dopravní výchovy pro mateřské školy, </w:t>
      </w:r>
    </w:p>
    <w:p w14:paraId="5DFD9154" w14:textId="77777777" w:rsidR="006A36E3" w:rsidRPr="0091523D" w:rsidRDefault="006A36E3" w:rsidP="00EA39DC">
      <w:pPr>
        <w:pStyle w:val="KOMtext"/>
        <w:numPr>
          <w:ilvl w:val="0"/>
          <w:numId w:val="37"/>
        </w:numPr>
        <w:spacing w:before="60" w:after="0"/>
        <w:ind w:left="993" w:hanging="284"/>
      </w:pPr>
      <w:r w:rsidRPr="0091523D">
        <w:t xml:space="preserve">Pohyb organizované skupiny dětí a žáků, </w:t>
      </w:r>
    </w:p>
    <w:p w14:paraId="63BD1F27" w14:textId="77777777" w:rsidR="006A36E3" w:rsidRPr="0091523D" w:rsidRDefault="006A36E3" w:rsidP="00EA39DC">
      <w:pPr>
        <w:pStyle w:val="KOMtext"/>
        <w:numPr>
          <w:ilvl w:val="0"/>
          <w:numId w:val="37"/>
        </w:numPr>
        <w:spacing w:before="60" w:after="0"/>
        <w:ind w:left="993" w:hanging="284"/>
      </w:pPr>
      <w:r w:rsidRPr="0091523D">
        <w:t xml:space="preserve">Průzkum preferencí poptávky po nákladní dopravě. </w:t>
      </w:r>
    </w:p>
    <w:p w14:paraId="6960FAA0" w14:textId="77777777" w:rsidR="006A36E3" w:rsidRPr="0091523D" w:rsidRDefault="006A36E3" w:rsidP="00275CE2">
      <w:pPr>
        <w:pStyle w:val="KOMtext"/>
        <w:numPr>
          <w:ilvl w:val="0"/>
          <w:numId w:val="74"/>
        </w:numPr>
      </w:pPr>
      <w:r w:rsidRPr="0091523D">
        <w:t xml:space="preserve">Řešeny jako interní granty a související činnosti (dopravní chování a psychologie, rozvoj dopravní telematiky) např.: </w:t>
      </w:r>
    </w:p>
    <w:p w14:paraId="487BB5B3" w14:textId="77777777" w:rsidR="006A36E3" w:rsidRPr="0091523D" w:rsidRDefault="006A36E3" w:rsidP="00EA39DC">
      <w:pPr>
        <w:pStyle w:val="KOMtext"/>
        <w:numPr>
          <w:ilvl w:val="0"/>
          <w:numId w:val="75"/>
        </w:numPr>
        <w:spacing w:before="60" w:after="0"/>
        <w:ind w:left="993" w:hanging="284"/>
      </w:pPr>
      <w:r w:rsidRPr="0091523D">
        <w:t xml:space="preserve">Rozvoj oblasti analýz dopravního chování a modelování dopravy, </w:t>
      </w:r>
    </w:p>
    <w:p w14:paraId="4CF66B3E" w14:textId="77777777" w:rsidR="006A36E3" w:rsidRPr="0091523D" w:rsidRDefault="006A36E3" w:rsidP="00EA39DC">
      <w:pPr>
        <w:pStyle w:val="KOMtext"/>
        <w:numPr>
          <w:ilvl w:val="0"/>
          <w:numId w:val="75"/>
        </w:numPr>
        <w:spacing w:before="60" w:after="0"/>
        <w:ind w:left="993" w:hanging="284"/>
      </w:pPr>
      <w:r w:rsidRPr="0091523D">
        <w:t xml:space="preserve">Rozvoj oblasti dopravní psychologie, </w:t>
      </w:r>
    </w:p>
    <w:p w14:paraId="247D13D9" w14:textId="77777777" w:rsidR="006A36E3" w:rsidRPr="0091523D" w:rsidRDefault="006A36E3" w:rsidP="00EA39DC">
      <w:pPr>
        <w:pStyle w:val="KOMtext"/>
        <w:numPr>
          <w:ilvl w:val="0"/>
          <w:numId w:val="75"/>
        </w:numPr>
        <w:spacing w:before="60" w:after="0"/>
        <w:ind w:left="993" w:hanging="284"/>
      </w:pPr>
      <w:r w:rsidRPr="0091523D">
        <w:t xml:space="preserve">Výdaje na ochranu duševního vlastnictví. </w:t>
      </w:r>
    </w:p>
    <w:p w14:paraId="6D6F3C01" w14:textId="77777777" w:rsidR="006A36E3" w:rsidRPr="001E1855" w:rsidRDefault="006A36E3" w:rsidP="00275CE2">
      <w:pPr>
        <w:pStyle w:val="KOMtext"/>
        <w:numPr>
          <w:ilvl w:val="0"/>
          <w:numId w:val="74"/>
        </w:numPr>
      </w:pPr>
      <w:r w:rsidRPr="001E1855">
        <w:t xml:space="preserve">Použity na spolufinancování jiných výzkumných projektů tam, kde to pravidla podpory dovolují (autonomní vozidla, systém řízení železničního provozu v České republice) např.: </w:t>
      </w:r>
    </w:p>
    <w:p w14:paraId="5F5DD9D6" w14:textId="77777777" w:rsidR="006A36E3" w:rsidRPr="001E1855" w:rsidRDefault="006A36E3" w:rsidP="00EA39DC">
      <w:pPr>
        <w:pStyle w:val="KOMtext"/>
        <w:numPr>
          <w:ilvl w:val="0"/>
          <w:numId w:val="76"/>
        </w:numPr>
        <w:spacing w:before="60" w:after="0"/>
        <w:ind w:left="993" w:hanging="284"/>
      </w:pPr>
      <w:r w:rsidRPr="001E1855">
        <w:t xml:space="preserve">Výzkum vlivu dopravně bezpečnostních kampaní na zvýšení bezpečnosti na silnicích, </w:t>
      </w:r>
    </w:p>
    <w:p w14:paraId="2E7AE11A" w14:textId="77777777" w:rsidR="006A36E3" w:rsidRPr="001E1855" w:rsidRDefault="006A36E3" w:rsidP="00EA39DC">
      <w:pPr>
        <w:pStyle w:val="KOMtext"/>
        <w:numPr>
          <w:ilvl w:val="0"/>
          <w:numId w:val="76"/>
        </w:numPr>
        <w:spacing w:before="60" w:after="0"/>
        <w:ind w:left="993" w:hanging="284"/>
      </w:pPr>
      <w:r w:rsidRPr="001E1855">
        <w:t>Strategické plánování bezpečnosti silničního provozu ve městech a jeho zavádění do praxe,</w:t>
      </w:r>
    </w:p>
    <w:p w14:paraId="3B1A6DAD" w14:textId="77777777" w:rsidR="006A36E3" w:rsidRPr="001E1855" w:rsidRDefault="006A36E3" w:rsidP="00EA39DC">
      <w:pPr>
        <w:pStyle w:val="KOMtext"/>
        <w:numPr>
          <w:ilvl w:val="0"/>
          <w:numId w:val="76"/>
        </w:numPr>
        <w:spacing w:before="60" w:after="0"/>
        <w:ind w:left="993" w:hanging="284"/>
      </w:pPr>
      <w:r w:rsidRPr="001E1855">
        <w:t xml:space="preserve">Rozvoj území s využitím nízkohlučných vozovek.  </w:t>
      </w:r>
    </w:p>
    <w:p w14:paraId="7FEE4768" w14:textId="77777777" w:rsidR="006A36E3" w:rsidRPr="00062BD4" w:rsidRDefault="006A36E3" w:rsidP="00350030">
      <w:pPr>
        <w:pStyle w:val="KOMtext"/>
      </w:pPr>
      <w:r w:rsidRPr="00062BD4">
        <w:t xml:space="preserve">Z celkové částky </w:t>
      </w:r>
      <w:r w:rsidRPr="00062BD4">
        <w:rPr>
          <w:b/>
        </w:rPr>
        <w:t>42 750 tis. Kč</w:t>
      </w:r>
      <w:r w:rsidRPr="00062BD4">
        <w:t xml:space="preserve"> určené na neinvestiční část institucionální podpory na rok 201</w:t>
      </w:r>
      <w:r>
        <w:t>9</w:t>
      </w:r>
      <w:r w:rsidRPr="00062BD4">
        <w:t xml:space="preserve"> byla na řešení projektů spotřebována částka </w:t>
      </w:r>
      <w:r w:rsidRPr="00062BD4">
        <w:rPr>
          <w:b/>
        </w:rPr>
        <w:t>ve výši 40 614 tis. Kč.</w:t>
      </w:r>
      <w:r w:rsidRPr="00062BD4">
        <w:t xml:space="preserve"> Nevyčerpané finanční prostředky </w:t>
      </w:r>
      <w:r w:rsidRPr="00062BD4">
        <w:rPr>
          <w:b/>
        </w:rPr>
        <w:t>ve výši 2 136 tis. Kč</w:t>
      </w:r>
      <w:r w:rsidRPr="00062BD4">
        <w:t xml:space="preserve"> byly v souladu s § 26 zákona č. 341/2005 Sb., </w:t>
      </w:r>
      <w:r w:rsidRPr="00062BD4">
        <w:br/>
        <w:t xml:space="preserve">o veřejných výzkumných institucích převedeny do fondu účelově určených prostředků Centra dopravního výzkumu v.v.i.  </w:t>
      </w:r>
    </w:p>
    <w:p w14:paraId="73365E82" w14:textId="77777777" w:rsidR="006A36E3" w:rsidRPr="00787A0A" w:rsidRDefault="006A36E3" w:rsidP="00350030">
      <w:pPr>
        <w:pStyle w:val="Nadpis6"/>
      </w:pPr>
      <w:r w:rsidRPr="00787A0A">
        <w:t>Popis využití kapitálových výdajů:</w:t>
      </w:r>
    </w:p>
    <w:p w14:paraId="07D499A4" w14:textId="77777777" w:rsidR="006A36E3" w:rsidRDefault="006A36E3" w:rsidP="00350030">
      <w:pPr>
        <w:pStyle w:val="KOMtext"/>
      </w:pPr>
      <w:r w:rsidRPr="00787A0A">
        <w:t>V roce 2019 byl v rámci investiční části instituc</w:t>
      </w:r>
      <w:r w:rsidR="00350030">
        <w:t xml:space="preserve">ionální podpory pořízen hmotný </w:t>
      </w:r>
      <w:r w:rsidRPr="00787A0A">
        <w:t xml:space="preserve">a nehmotný majetek celkem </w:t>
      </w:r>
      <w:r w:rsidRPr="00787A0A">
        <w:rPr>
          <w:b/>
        </w:rPr>
        <w:t xml:space="preserve">ve výši </w:t>
      </w:r>
      <w:r>
        <w:rPr>
          <w:b/>
        </w:rPr>
        <w:t>7 201</w:t>
      </w:r>
      <w:r w:rsidRPr="00787A0A">
        <w:rPr>
          <w:b/>
        </w:rPr>
        <w:t xml:space="preserve"> tis. Kč</w:t>
      </w:r>
      <w:r>
        <w:rPr>
          <w:b/>
        </w:rPr>
        <w:t xml:space="preserve">. </w:t>
      </w:r>
      <w:r w:rsidRPr="00062BD4">
        <w:t xml:space="preserve">Nevyčerpané finanční prostředky </w:t>
      </w:r>
      <w:r>
        <w:rPr>
          <w:b/>
        </w:rPr>
        <w:t>ve výši 49</w:t>
      </w:r>
      <w:r w:rsidRPr="00062BD4">
        <w:rPr>
          <w:b/>
        </w:rPr>
        <w:t xml:space="preserve"> tis. Kč</w:t>
      </w:r>
      <w:r w:rsidRPr="00062BD4">
        <w:t xml:space="preserve"> byly v souladu </w:t>
      </w:r>
      <w:r>
        <w:t xml:space="preserve">s § 26 zákona č. 341/2005 Sb., </w:t>
      </w:r>
      <w:r w:rsidRPr="00062BD4">
        <w:t xml:space="preserve">o veřejných výzkumných institucích převedeny do fondu účelově určených prostředků Centra dopravního výzkumu v.v.i.  </w:t>
      </w:r>
    </w:p>
    <w:p w14:paraId="0216D829" w14:textId="77777777" w:rsidR="00350030" w:rsidRPr="00DC2F00" w:rsidRDefault="00350030" w:rsidP="00350030">
      <w:pPr>
        <w:pStyle w:val="KOMtext"/>
      </w:pPr>
      <w:r w:rsidRPr="00787A0A">
        <w:t xml:space="preserve">Finanční prostředky z roku 2018 určené na hodnocení institucionální podpory v hodnotě </w:t>
      </w:r>
      <w:r w:rsidR="00A06E49">
        <w:br/>
      </w:r>
      <w:r w:rsidRPr="00787A0A">
        <w:t>16 tis. Kč byly v roce 2019 čerpány formou nároků ve výši 13 tis. Kč.</w:t>
      </w:r>
      <w:r>
        <w:rPr>
          <w:color w:val="FF0000"/>
        </w:rPr>
        <w:t xml:space="preserve"> </w:t>
      </w:r>
      <w:r w:rsidRPr="00DC2F00">
        <w:t xml:space="preserve">Zbylé prostředky ve výši 3 tis. Kč budou použity až v roce 2020.   </w:t>
      </w:r>
    </w:p>
    <w:p w14:paraId="416F5D7C" w14:textId="77777777" w:rsidR="00350030" w:rsidRPr="00062BD4" w:rsidRDefault="00350030" w:rsidP="00350030">
      <w:pPr>
        <w:pStyle w:val="KOMtext"/>
      </w:pPr>
    </w:p>
    <w:tbl>
      <w:tblPr>
        <w:tblW w:w="8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84"/>
        <w:gridCol w:w="6237"/>
      </w:tblGrid>
      <w:tr w:rsidR="006A36E3" w:rsidRPr="004B11AC" w14:paraId="0B0E513E" w14:textId="77777777" w:rsidTr="00D3113A">
        <w:trPr>
          <w:trHeight w:val="615"/>
          <w:tblHeader/>
        </w:trPr>
        <w:tc>
          <w:tcPr>
            <w:tcW w:w="2684" w:type="dxa"/>
            <w:shd w:val="clear" w:color="auto" w:fill="FFFFFF" w:themeFill="background1"/>
            <w:noWrap/>
            <w:vAlign w:val="center"/>
            <w:hideMark/>
          </w:tcPr>
          <w:p w14:paraId="6862278D" w14:textId="77777777" w:rsidR="006A36E3" w:rsidRPr="00D3113A" w:rsidRDefault="006A36E3" w:rsidP="00CD1704">
            <w:pPr>
              <w:rPr>
                <w:b/>
              </w:rPr>
            </w:pPr>
            <w:r w:rsidRPr="00D3113A">
              <w:rPr>
                <w:b/>
              </w:rPr>
              <w:lastRenderedPageBreak/>
              <w:t>Popis</w:t>
            </w:r>
          </w:p>
        </w:tc>
        <w:tc>
          <w:tcPr>
            <w:tcW w:w="6237" w:type="dxa"/>
            <w:shd w:val="clear" w:color="auto" w:fill="FFFFFF" w:themeFill="background1"/>
            <w:noWrap/>
            <w:vAlign w:val="center"/>
            <w:hideMark/>
          </w:tcPr>
          <w:p w14:paraId="18944456" w14:textId="77777777" w:rsidR="006A36E3" w:rsidRPr="00D3113A" w:rsidRDefault="006A36E3" w:rsidP="00CD1704">
            <w:pPr>
              <w:rPr>
                <w:b/>
              </w:rPr>
            </w:pPr>
            <w:r w:rsidRPr="00D3113A">
              <w:rPr>
                <w:b/>
              </w:rPr>
              <w:t>Poznámka-specifikace</w:t>
            </w:r>
          </w:p>
        </w:tc>
      </w:tr>
      <w:tr w:rsidR="006A36E3" w:rsidRPr="004B11AC" w14:paraId="1AB88806" w14:textId="77777777" w:rsidTr="00D3113A">
        <w:trPr>
          <w:trHeight w:val="1172"/>
          <w:tblHeader/>
        </w:trPr>
        <w:tc>
          <w:tcPr>
            <w:tcW w:w="2684" w:type="dxa"/>
            <w:shd w:val="clear" w:color="auto" w:fill="auto"/>
            <w:vAlign w:val="center"/>
            <w:hideMark/>
          </w:tcPr>
          <w:p w14:paraId="3F4F5B44" w14:textId="77777777" w:rsidR="006A36E3" w:rsidRPr="00062BD4" w:rsidRDefault="006A36E3" w:rsidP="00CD1704">
            <w:r w:rsidRPr="00062BD4">
              <w:t>Lešení pro měření konstrukcí a odběry vzorů ve větších výškách</w:t>
            </w:r>
          </w:p>
        </w:tc>
        <w:tc>
          <w:tcPr>
            <w:tcW w:w="6237" w:type="dxa"/>
            <w:shd w:val="clear" w:color="auto" w:fill="auto"/>
            <w:vAlign w:val="center"/>
            <w:hideMark/>
          </w:tcPr>
          <w:p w14:paraId="626D0BD4" w14:textId="77777777" w:rsidR="006A36E3" w:rsidRPr="00062BD4" w:rsidRDefault="006A36E3" w:rsidP="00CD1704">
            <w:r w:rsidRPr="00062BD4">
              <w:t>Lešení 2 typy</w:t>
            </w:r>
          </w:p>
          <w:p w14:paraId="0C6BB2D7" w14:textId="77777777" w:rsidR="006A36E3" w:rsidRPr="00062BD4" w:rsidRDefault="006A36E3" w:rsidP="00CD1704"/>
        </w:tc>
      </w:tr>
      <w:tr w:rsidR="006A36E3" w:rsidRPr="004B11AC" w14:paraId="017EDAD0" w14:textId="77777777" w:rsidTr="00D3113A">
        <w:trPr>
          <w:trHeight w:val="300"/>
          <w:tblHeader/>
        </w:trPr>
        <w:tc>
          <w:tcPr>
            <w:tcW w:w="2684" w:type="dxa"/>
            <w:shd w:val="clear" w:color="auto" w:fill="auto"/>
            <w:vAlign w:val="center"/>
            <w:hideMark/>
          </w:tcPr>
          <w:p w14:paraId="3446FE36" w14:textId="77777777" w:rsidR="006A36E3" w:rsidRPr="00062BD4" w:rsidRDefault="006A36E3" w:rsidP="00CD1704">
            <w:r w:rsidRPr="00062BD4">
              <w:t>Ultraodstředivý mlýn</w:t>
            </w:r>
          </w:p>
        </w:tc>
        <w:tc>
          <w:tcPr>
            <w:tcW w:w="6237" w:type="dxa"/>
            <w:shd w:val="clear" w:color="auto" w:fill="auto"/>
            <w:noWrap/>
            <w:vAlign w:val="center"/>
            <w:hideMark/>
          </w:tcPr>
          <w:p w14:paraId="229321A7" w14:textId="77777777" w:rsidR="006A36E3" w:rsidRPr="00062BD4" w:rsidRDefault="006A36E3" w:rsidP="00CD1704">
            <w:r w:rsidRPr="00062BD4">
              <w:t>Střižný mlýn - příprava biologických vzorků pro chemickou analýzu</w:t>
            </w:r>
          </w:p>
        </w:tc>
      </w:tr>
      <w:tr w:rsidR="006A36E3" w:rsidRPr="004B11AC" w14:paraId="2E1FE374" w14:textId="77777777" w:rsidTr="00D3113A">
        <w:trPr>
          <w:trHeight w:val="887"/>
          <w:tblHeader/>
        </w:trPr>
        <w:tc>
          <w:tcPr>
            <w:tcW w:w="2684" w:type="dxa"/>
            <w:shd w:val="clear" w:color="auto" w:fill="auto"/>
            <w:vAlign w:val="center"/>
            <w:hideMark/>
          </w:tcPr>
          <w:p w14:paraId="7A9D1A8D" w14:textId="77777777" w:rsidR="006A36E3" w:rsidRPr="00062BD4" w:rsidRDefault="006A36E3" w:rsidP="00CD1704">
            <w:r w:rsidRPr="00062BD4">
              <w:t>Notebook pro terénní šetření</w:t>
            </w:r>
          </w:p>
        </w:tc>
        <w:tc>
          <w:tcPr>
            <w:tcW w:w="6237" w:type="dxa"/>
            <w:shd w:val="clear" w:color="auto" w:fill="auto"/>
            <w:vAlign w:val="center"/>
            <w:hideMark/>
          </w:tcPr>
          <w:p w14:paraId="78108DE1" w14:textId="77777777" w:rsidR="006A36E3" w:rsidRPr="00062BD4" w:rsidRDefault="006A36E3" w:rsidP="00CD1704">
            <w:r w:rsidRPr="00062BD4">
              <w:t>Odolný pro terénní šetření</w:t>
            </w:r>
          </w:p>
        </w:tc>
      </w:tr>
      <w:tr w:rsidR="006A36E3" w:rsidRPr="004B11AC" w14:paraId="304A3DB3" w14:textId="77777777" w:rsidTr="00D3113A">
        <w:trPr>
          <w:trHeight w:val="857"/>
          <w:tblHeader/>
        </w:trPr>
        <w:tc>
          <w:tcPr>
            <w:tcW w:w="2684" w:type="dxa"/>
            <w:shd w:val="clear" w:color="auto" w:fill="auto"/>
            <w:vAlign w:val="center"/>
            <w:hideMark/>
          </w:tcPr>
          <w:p w14:paraId="1865B694" w14:textId="77777777" w:rsidR="006A36E3" w:rsidRPr="00062BD4" w:rsidRDefault="006A36E3" w:rsidP="00CD1704">
            <w:r w:rsidRPr="00062BD4">
              <w:t>Notebook pro psychodiagnostiku</w:t>
            </w:r>
          </w:p>
        </w:tc>
        <w:tc>
          <w:tcPr>
            <w:tcW w:w="6237" w:type="dxa"/>
            <w:shd w:val="clear" w:color="auto" w:fill="auto"/>
            <w:vAlign w:val="center"/>
            <w:hideMark/>
          </w:tcPr>
          <w:p w14:paraId="111A12A7" w14:textId="77777777" w:rsidR="006A36E3" w:rsidRPr="00062BD4" w:rsidRDefault="006A36E3" w:rsidP="00CD1704">
            <w:r w:rsidRPr="00062BD4">
              <w:t>Odolný pro terénní šetření</w:t>
            </w:r>
          </w:p>
        </w:tc>
      </w:tr>
      <w:tr w:rsidR="006A36E3" w:rsidRPr="004B11AC" w14:paraId="17B986E3" w14:textId="77777777" w:rsidTr="00D3113A">
        <w:trPr>
          <w:trHeight w:val="1134"/>
          <w:tblHeader/>
        </w:trPr>
        <w:tc>
          <w:tcPr>
            <w:tcW w:w="2684" w:type="dxa"/>
            <w:shd w:val="clear" w:color="auto" w:fill="auto"/>
            <w:vAlign w:val="center"/>
            <w:hideMark/>
          </w:tcPr>
          <w:p w14:paraId="2B2DDC3D" w14:textId="77777777" w:rsidR="006A36E3" w:rsidRPr="00062BD4" w:rsidRDefault="006A36E3" w:rsidP="00CD1704">
            <w:r w:rsidRPr="00062BD4">
              <w:t>Lázeň s automatickou regulací</w:t>
            </w:r>
          </w:p>
        </w:tc>
        <w:tc>
          <w:tcPr>
            <w:tcW w:w="6237" w:type="dxa"/>
            <w:shd w:val="clear" w:color="auto" w:fill="auto"/>
            <w:vAlign w:val="center"/>
            <w:hideMark/>
          </w:tcPr>
          <w:p w14:paraId="1966CC55" w14:textId="77777777" w:rsidR="006A36E3" w:rsidRPr="00062BD4" w:rsidRDefault="006A36E3" w:rsidP="00CD1704">
            <w:r w:rsidRPr="00062BD4">
              <w:t>Temperování vzorků zemin</w:t>
            </w:r>
          </w:p>
        </w:tc>
      </w:tr>
      <w:tr w:rsidR="006A36E3" w:rsidRPr="004B11AC" w14:paraId="44B23293" w14:textId="77777777" w:rsidTr="00D3113A">
        <w:trPr>
          <w:trHeight w:val="919"/>
          <w:tblHeader/>
        </w:trPr>
        <w:tc>
          <w:tcPr>
            <w:tcW w:w="2684" w:type="dxa"/>
            <w:shd w:val="clear" w:color="auto" w:fill="auto"/>
            <w:vAlign w:val="center"/>
            <w:hideMark/>
          </w:tcPr>
          <w:p w14:paraId="43787A2C" w14:textId="77777777" w:rsidR="006A36E3" w:rsidRPr="00062BD4" w:rsidRDefault="006A36E3" w:rsidP="00CD1704">
            <w:r w:rsidRPr="00062BD4">
              <w:t>Plotter A1 Brno</w:t>
            </w:r>
          </w:p>
        </w:tc>
        <w:tc>
          <w:tcPr>
            <w:tcW w:w="6237" w:type="dxa"/>
            <w:shd w:val="clear" w:color="auto" w:fill="auto"/>
            <w:vAlign w:val="center"/>
            <w:hideMark/>
          </w:tcPr>
          <w:p w14:paraId="7FF3BD4D" w14:textId="77777777" w:rsidR="006A36E3" w:rsidRPr="00062BD4" w:rsidRDefault="006A36E3" w:rsidP="00CD1704">
            <w:r w:rsidRPr="00062BD4">
              <w:t>Náhrada vadného plotru – formát A1</w:t>
            </w:r>
          </w:p>
        </w:tc>
      </w:tr>
      <w:tr w:rsidR="006A36E3" w:rsidRPr="004B11AC" w14:paraId="039E4BC1" w14:textId="77777777" w:rsidTr="00D3113A">
        <w:trPr>
          <w:trHeight w:val="833"/>
          <w:tblHeader/>
        </w:trPr>
        <w:tc>
          <w:tcPr>
            <w:tcW w:w="2684" w:type="dxa"/>
            <w:shd w:val="clear" w:color="auto" w:fill="auto"/>
            <w:vAlign w:val="center"/>
            <w:hideMark/>
          </w:tcPr>
          <w:p w14:paraId="034B1822" w14:textId="77777777" w:rsidR="006A36E3" w:rsidRPr="00062BD4" w:rsidRDefault="006A36E3" w:rsidP="00CD1704">
            <w:r w:rsidRPr="00062BD4">
              <w:t>Georadar</w:t>
            </w:r>
          </w:p>
        </w:tc>
        <w:tc>
          <w:tcPr>
            <w:tcW w:w="6237" w:type="dxa"/>
            <w:shd w:val="clear" w:color="auto" w:fill="auto"/>
            <w:vAlign w:val="center"/>
            <w:hideMark/>
          </w:tcPr>
          <w:p w14:paraId="72E984F3" w14:textId="77777777" w:rsidR="006A36E3" w:rsidRPr="00062BD4" w:rsidRDefault="006A36E3" w:rsidP="00CD1704">
            <w:r w:rsidRPr="00062BD4">
              <w:t>Jednoruční přístroj schopný detekovat výztuž, kovové a plastové potrubí, dutiny v betonových konstrukcích včetně prostorové lokalizace</w:t>
            </w:r>
          </w:p>
        </w:tc>
      </w:tr>
      <w:tr w:rsidR="006A36E3" w:rsidRPr="004B11AC" w14:paraId="4B60D5E5" w14:textId="77777777" w:rsidTr="00D3113A">
        <w:trPr>
          <w:trHeight w:val="1050"/>
          <w:tblHeader/>
        </w:trPr>
        <w:tc>
          <w:tcPr>
            <w:tcW w:w="2684" w:type="dxa"/>
            <w:shd w:val="clear" w:color="auto" w:fill="auto"/>
            <w:vAlign w:val="center"/>
            <w:hideMark/>
          </w:tcPr>
          <w:p w14:paraId="6ACCDDB0" w14:textId="77777777" w:rsidR="006A36E3" w:rsidRPr="00062BD4" w:rsidRDefault="006A36E3" w:rsidP="00CD1704">
            <w:r w:rsidRPr="00062BD4">
              <w:t>IT obnova serverové infrastruktury - 2 servery (Olomouc, Brno2)</w:t>
            </w:r>
          </w:p>
        </w:tc>
        <w:tc>
          <w:tcPr>
            <w:tcW w:w="6237" w:type="dxa"/>
            <w:shd w:val="clear" w:color="auto" w:fill="auto"/>
            <w:vAlign w:val="center"/>
            <w:hideMark/>
          </w:tcPr>
          <w:p w14:paraId="50619A14" w14:textId="77777777" w:rsidR="006A36E3" w:rsidRPr="00062BD4" w:rsidRDefault="006A36E3" w:rsidP="00CD1704">
            <w:r w:rsidRPr="00062BD4">
              <w:t>Náhrada zastaralých již bez možnosti servisní smlouvy</w:t>
            </w:r>
          </w:p>
        </w:tc>
      </w:tr>
      <w:tr w:rsidR="006A36E3" w:rsidRPr="004B11AC" w14:paraId="73EC6853" w14:textId="77777777" w:rsidTr="00D3113A">
        <w:trPr>
          <w:trHeight w:val="634"/>
          <w:tblHeader/>
        </w:trPr>
        <w:tc>
          <w:tcPr>
            <w:tcW w:w="2684" w:type="dxa"/>
            <w:shd w:val="clear" w:color="auto" w:fill="auto"/>
            <w:vAlign w:val="center"/>
            <w:hideMark/>
          </w:tcPr>
          <w:p w14:paraId="5CFA89DB" w14:textId="77777777" w:rsidR="006A36E3" w:rsidRPr="00062BD4" w:rsidRDefault="006A36E3" w:rsidP="00CD1704">
            <w:r w:rsidRPr="00062BD4">
              <w:t>IT obnova serverové infrastruktury - 2 servery (Intranet, Brno1)</w:t>
            </w:r>
          </w:p>
        </w:tc>
        <w:tc>
          <w:tcPr>
            <w:tcW w:w="6237" w:type="dxa"/>
            <w:shd w:val="clear" w:color="auto" w:fill="auto"/>
            <w:vAlign w:val="center"/>
            <w:hideMark/>
          </w:tcPr>
          <w:p w14:paraId="12878455" w14:textId="77777777" w:rsidR="006A36E3" w:rsidRPr="00062BD4" w:rsidRDefault="006A36E3" w:rsidP="00CD1704">
            <w:r w:rsidRPr="00062BD4">
              <w:t>Náhrada zastaralých již bez možnosti servisní smlouvy</w:t>
            </w:r>
          </w:p>
        </w:tc>
      </w:tr>
      <w:tr w:rsidR="006A36E3" w:rsidRPr="004B11AC" w14:paraId="7202C3FE" w14:textId="77777777" w:rsidTr="00D3113A">
        <w:trPr>
          <w:trHeight w:val="300"/>
          <w:tblHeader/>
        </w:trPr>
        <w:tc>
          <w:tcPr>
            <w:tcW w:w="2684" w:type="dxa"/>
            <w:shd w:val="clear" w:color="auto" w:fill="auto"/>
            <w:vAlign w:val="center"/>
            <w:hideMark/>
          </w:tcPr>
          <w:p w14:paraId="4F6B21E0" w14:textId="77777777" w:rsidR="006A36E3" w:rsidRPr="00062BD4" w:rsidRDefault="006A36E3" w:rsidP="00CD1704">
            <w:r w:rsidRPr="00062BD4">
              <w:t>Velký užitkový automobil</w:t>
            </w:r>
          </w:p>
        </w:tc>
        <w:tc>
          <w:tcPr>
            <w:tcW w:w="6237" w:type="dxa"/>
            <w:shd w:val="clear" w:color="auto" w:fill="auto"/>
            <w:noWrap/>
            <w:vAlign w:val="center"/>
            <w:hideMark/>
          </w:tcPr>
          <w:p w14:paraId="5BFF739A" w14:textId="77777777" w:rsidR="006A36E3" w:rsidRPr="00062BD4" w:rsidRDefault="006A36E3" w:rsidP="00CD1704">
            <w:r w:rsidRPr="00062BD4">
              <w:t>Velká dodávka jako náhrada za současnou z roku 2000</w:t>
            </w:r>
          </w:p>
        </w:tc>
      </w:tr>
      <w:tr w:rsidR="006A36E3" w:rsidRPr="004B11AC" w14:paraId="38A944A2" w14:textId="77777777" w:rsidTr="00D3113A">
        <w:trPr>
          <w:trHeight w:val="902"/>
          <w:tblHeader/>
        </w:trPr>
        <w:tc>
          <w:tcPr>
            <w:tcW w:w="2684" w:type="dxa"/>
            <w:shd w:val="clear" w:color="auto" w:fill="auto"/>
            <w:vAlign w:val="center"/>
            <w:hideMark/>
          </w:tcPr>
          <w:p w14:paraId="6F25DA70" w14:textId="77777777" w:rsidR="006A36E3" w:rsidRPr="00062BD4" w:rsidRDefault="006A36E3" w:rsidP="00CD1704">
            <w:r w:rsidRPr="00062BD4">
              <w:t>Menší užitkový automobil</w:t>
            </w:r>
          </w:p>
        </w:tc>
        <w:tc>
          <w:tcPr>
            <w:tcW w:w="6237" w:type="dxa"/>
            <w:shd w:val="clear" w:color="auto" w:fill="auto"/>
            <w:vAlign w:val="center"/>
            <w:hideMark/>
          </w:tcPr>
          <w:p w14:paraId="1A39DB93" w14:textId="77777777" w:rsidR="006A36E3" w:rsidRPr="00062BD4" w:rsidRDefault="006A36E3" w:rsidP="00CD1704">
            <w:r w:rsidRPr="00062BD4">
              <w:t>Tažné vozidlo, současně i pro převoz přístrojů na měření kvality ovzduší, jelikož současné Opel Combo přestává kapacitně stačit</w:t>
            </w:r>
          </w:p>
        </w:tc>
      </w:tr>
      <w:tr w:rsidR="006A36E3" w:rsidRPr="004B11AC" w14:paraId="3CC886CD" w14:textId="77777777" w:rsidTr="00D3113A">
        <w:trPr>
          <w:trHeight w:val="902"/>
          <w:tblHeader/>
        </w:trPr>
        <w:tc>
          <w:tcPr>
            <w:tcW w:w="2684" w:type="dxa"/>
            <w:shd w:val="clear" w:color="auto" w:fill="auto"/>
            <w:vAlign w:val="center"/>
          </w:tcPr>
          <w:p w14:paraId="50BAD776" w14:textId="77777777" w:rsidR="006A36E3" w:rsidRPr="00062BD4" w:rsidRDefault="006A36E3" w:rsidP="00CD1704">
            <w:r w:rsidRPr="00062BD4">
              <w:t>Univerzální frézka</w:t>
            </w:r>
          </w:p>
        </w:tc>
        <w:tc>
          <w:tcPr>
            <w:tcW w:w="6237" w:type="dxa"/>
            <w:shd w:val="clear" w:color="auto" w:fill="auto"/>
            <w:vAlign w:val="center"/>
          </w:tcPr>
          <w:p w14:paraId="2AE8B730" w14:textId="77777777" w:rsidR="006A36E3" w:rsidRPr="00062BD4" w:rsidRDefault="006A36E3" w:rsidP="00CD1704">
            <w:r w:rsidRPr="00062BD4">
              <w:t xml:space="preserve">Vertikální frézka (výroba přesných měřicích pomůcek) </w:t>
            </w:r>
          </w:p>
        </w:tc>
      </w:tr>
      <w:tr w:rsidR="006A36E3" w:rsidRPr="004B11AC" w14:paraId="469A8468" w14:textId="77777777" w:rsidTr="00D3113A">
        <w:trPr>
          <w:trHeight w:val="902"/>
          <w:tblHeader/>
        </w:trPr>
        <w:tc>
          <w:tcPr>
            <w:tcW w:w="2684" w:type="dxa"/>
            <w:shd w:val="clear" w:color="auto" w:fill="auto"/>
            <w:vAlign w:val="center"/>
          </w:tcPr>
          <w:p w14:paraId="73E8428F" w14:textId="77777777" w:rsidR="006A36E3" w:rsidRPr="00062BD4" w:rsidRDefault="006A36E3" w:rsidP="00CD1704">
            <w:r w:rsidRPr="00062BD4">
              <w:t>Inspekční dron</w:t>
            </w:r>
          </w:p>
        </w:tc>
        <w:tc>
          <w:tcPr>
            <w:tcW w:w="6237" w:type="dxa"/>
            <w:shd w:val="clear" w:color="auto" w:fill="auto"/>
            <w:vAlign w:val="center"/>
          </w:tcPr>
          <w:p w14:paraId="304E4ADB" w14:textId="77777777" w:rsidR="006A36E3" w:rsidRPr="00062BD4" w:rsidRDefault="006A36E3" w:rsidP="00CD1704">
            <w:r w:rsidRPr="00062BD4">
              <w:t>Dron Flyability ELIOS pro prohlídky špatně přístupných objektů dopravní infrastruktury</w:t>
            </w:r>
          </w:p>
        </w:tc>
      </w:tr>
      <w:tr w:rsidR="006A36E3" w:rsidRPr="004B11AC" w14:paraId="3CF61643" w14:textId="77777777" w:rsidTr="00D3113A">
        <w:trPr>
          <w:trHeight w:val="902"/>
          <w:tblHeader/>
        </w:trPr>
        <w:tc>
          <w:tcPr>
            <w:tcW w:w="2684" w:type="dxa"/>
            <w:shd w:val="clear" w:color="auto" w:fill="auto"/>
            <w:vAlign w:val="center"/>
          </w:tcPr>
          <w:p w14:paraId="30D6633F" w14:textId="77777777" w:rsidR="006A36E3" w:rsidRPr="00062BD4" w:rsidRDefault="006A36E3" w:rsidP="00CD1704">
            <w:r w:rsidRPr="00062BD4">
              <w:t>Kompaktní přístroj systému pro měření kvality ovzduší, umožňující častou a snadnou změnu místa měření</w:t>
            </w:r>
          </w:p>
        </w:tc>
        <w:tc>
          <w:tcPr>
            <w:tcW w:w="6237" w:type="dxa"/>
            <w:shd w:val="clear" w:color="auto" w:fill="auto"/>
            <w:vAlign w:val="center"/>
          </w:tcPr>
          <w:p w14:paraId="2BAA3D15" w14:textId="77777777" w:rsidR="006A36E3" w:rsidRPr="00062BD4" w:rsidRDefault="006A36E3" w:rsidP="00CD1704">
            <w:r w:rsidRPr="00062BD4">
              <w:t>Airpoitner pro měření koncentrací následujících škodlivin ve vnějším ovzduší Nox, CO, PM10 a PM2,5</w:t>
            </w:r>
          </w:p>
        </w:tc>
      </w:tr>
    </w:tbl>
    <w:p w14:paraId="47C0D4B1" w14:textId="77777777" w:rsidR="00CF6D4B" w:rsidRPr="004B11AC" w:rsidRDefault="00CF6D4B" w:rsidP="00CF6D4B">
      <w:pPr>
        <w:contextualSpacing/>
        <w:jc w:val="both"/>
        <w:rPr>
          <w:color w:val="FF0000"/>
        </w:rPr>
      </w:pPr>
    </w:p>
    <w:p w14:paraId="4BAC67A9" w14:textId="77777777" w:rsidR="00185BC4" w:rsidRPr="004B11AC" w:rsidRDefault="00185BC4" w:rsidP="00275CE2">
      <w:pPr>
        <w:pStyle w:val="Znadpis1"/>
        <w:numPr>
          <w:ilvl w:val="0"/>
          <w:numId w:val="51"/>
        </w:numPr>
      </w:pPr>
      <w:bookmarkStart w:id="1055" w:name="_Toc508879928"/>
      <w:bookmarkStart w:id="1056" w:name="_Toc508880204"/>
      <w:bookmarkStart w:id="1057" w:name="_Toc1376859"/>
      <w:bookmarkStart w:id="1058" w:name="_Toc34286487"/>
      <w:r w:rsidRPr="004B11AC">
        <w:lastRenderedPageBreak/>
        <w:t>Čerpání finančních prostředků fondů Evropské unie</w:t>
      </w:r>
      <w:bookmarkEnd w:id="1052"/>
      <w:bookmarkEnd w:id="1053"/>
      <w:bookmarkEnd w:id="1055"/>
      <w:bookmarkEnd w:id="1056"/>
      <w:bookmarkEnd w:id="1057"/>
      <w:bookmarkEnd w:id="1058"/>
      <w:r w:rsidRPr="004B11AC">
        <w:t xml:space="preserve">  </w:t>
      </w:r>
    </w:p>
    <w:p w14:paraId="3011A4AC" w14:textId="77777777" w:rsidR="00556FCC" w:rsidRPr="00DC3204" w:rsidRDefault="00556FCC" w:rsidP="00350030">
      <w:pPr>
        <w:pStyle w:val="KOMtext"/>
      </w:pPr>
      <w:r w:rsidRPr="00DC3204">
        <w:t xml:space="preserve">K datu </w:t>
      </w:r>
      <w:smartTag w:uri="urn:schemas-microsoft-com:office:smarttags" w:element="date">
        <w:smartTagPr>
          <w:attr w:name="Year" w:val="2007"/>
          <w:attr w:name="Day" w:val="1"/>
          <w:attr w:name="Month" w:val="1"/>
          <w:attr w:name="ls" w:val="trans"/>
        </w:smartTagPr>
        <w:r w:rsidRPr="00DC3204">
          <w:t>1. ledna 2007</w:t>
        </w:r>
      </w:smartTag>
      <w:r w:rsidRPr="00DC3204">
        <w:t xml:space="preserve"> došlo k zásadní změně finančních toků pro projekty spolufinancované z fondů EU na čerpání prostřednictvím státního rozpočtu. Podíl strukturálních fondů a Fondu soudržnosti (SF/FS) na výdajích vynaložených konečným příjemcem u projektů v sektoru dopravy je částečně předfinancován v kapitole 327-MD. Jedná se o projekty realizované v rámci Operačního programu Infrastruktura, Operačního programu Doprava 2007-2013 </w:t>
      </w:r>
      <w:r w:rsidR="007E79F4">
        <w:br/>
      </w:r>
      <w:r w:rsidRPr="00DC3204">
        <w:t xml:space="preserve">a Operačního programu Doprava 2014-2020. Po provedení kontroly, administrace a schválení žádosti o platbu těchto projektů je zaslán pokyn k proplacení žádosti o platbu, a to formou příkazu k proplacení na účet příjemce. </w:t>
      </w:r>
    </w:p>
    <w:p w14:paraId="2FE73200" w14:textId="77777777" w:rsidR="00556FCC" w:rsidRPr="00DC3204" w:rsidRDefault="00556FCC" w:rsidP="00350030">
      <w:pPr>
        <w:pStyle w:val="KOMtext"/>
      </w:pPr>
      <w:r w:rsidRPr="00DC3204">
        <w:t>Následně, na základě uskutečněného předfinancování, jsou prostředky SF/FS vyžádány formou Souhrnných žádostí od Platebního a certifika</w:t>
      </w:r>
      <w:r w:rsidR="00350030">
        <w:t xml:space="preserve">čního orgánu (Národní fond MF) </w:t>
      </w:r>
      <w:r w:rsidRPr="00DC3204">
        <w:t xml:space="preserve">na příjmový účet správce kapitoly 327 MD. </w:t>
      </w:r>
    </w:p>
    <w:p w14:paraId="537609D5" w14:textId="77777777" w:rsidR="00556FCC" w:rsidRPr="00DC3204" w:rsidRDefault="00556FCC" w:rsidP="00350030">
      <w:pPr>
        <w:pStyle w:val="Nadpis9"/>
      </w:pPr>
      <w:r w:rsidRPr="00DC3204">
        <w:t xml:space="preserve">Přehled prostředků fondů EU vč. spolufinancování ze SR </w:t>
      </w:r>
    </w:p>
    <w:p w14:paraId="7264166E" w14:textId="77777777" w:rsidR="00556FCC" w:rsidRDefault="00556FCC" w:rsidP="00DB2320">
      <w:pPr>
        <w:keepNext/>
        <w:ind w:left="357" w:right="1"/>
        <w:jc w:val="right"/>
      </w:pPr>
      <w:bookmarkStart w:id="1059" w:name="_Toc508879938"/>
      <w:bookmarkStart w:id="1060" w:name="_Toc508880214"/>
      <w:r w:rsidRPr="00DC3204">
        <w:t xml:space="preserve"> v </w:t>
      </w:r>
      <w:r w:rsidRPr="00DB2320">
        <w:rPr>
          <w:szCs w:val="20"/>
        </w:rPr>
        <w:t>tis</w:t>
      </w:r>
      <w:r w:rsidRPr="00DC3204">
        <w:t>. Kč</w:t>
      </w:r>
    </w:p>
    <w:tbl>
      <w:tblPr>
        <w:tblW w:w="9214" w:type="dxa"/>
        <w:jc w:val="center"/>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3686"/>
        <w:gridCol w:w="1134"/>
        <w:gridCol w:w="1134"/>
        <w:gridCol w:w="1134"/>
        <w:gridCol w:w="1134"/>
        <w:gridCol w:w="992"/>
      </w:tblGrid>
      <w:tr w:rsidR="008133F8" w:rsidRPr="00FE4B68" w14:paraId="5DD9AA6A" w14:textId="77777777" w:rsidTr="00C26B90">
        <w:trPr>
          <w:jc w:val="center"/>
        </w:trPr>
        <w:tc>
          <w:tcPr>
            <w:tcW w:w="3686" w:type="dxa"/>
            <w:tcBorders>
              <w:right w:val="single" w:sz="4" w:space="0" w:color="auto"/>
            </w:tcBorders>
          </w:tcPr>
          <w:p w14:paraId="04BD62F0" w14:textId="77777777" w:rsidR="008133F8" w:rsidRPr="00FE4B68" w:rsidRDefault="008133F8" w:rsidP="00C26B90">
            <w:pPr>
              <w:jc w:val="center"/>
              <w:rPr>
                <w:sz w:val="22"/>
              </w:rPr>
            </w:pPr>
          </w:p>
          <w:p w14:paraId="70895718" w14:textId="77777777" w:rsidR="008133F8" w:rsidRPr="00FE4B68" w:rsidRDefault="008133F8" w:rsidP="00C26B90">
            <w:pPr>
              <w:jc w:val="center"/>
              <w:rPr>
                <w:sz w:val="22"/>
              </w:rPr>
            </w:pPr>
            <w:r w:rsidRPr="00FE4B68">
              <w:rPr>
                <w:sz w:val="22"/>
              </w:rPr>
              <w:t>Ukazatel</w:t>
            </w:r>
          </w:p>
        </w:tc>
        <w:tc>
          <w:tcPr>
            <w:tcW w:w="1134" w:type="dxa"/>
            <w:tcBorders>
              <w:top w:val="single" w:sz="4" w:space="0" w:color="auto"/>
              <w:left w:val="single" w:sz="4" w:space="0" w:color="auto"/>
              <w:bottom w:val="single" w:sz="4" w:space="0" w:color="auto"/>
              <w:right w:val="single" w:sz="4" w:space="0" w:color="auto"/>
            </w:tcBorders>
            <w:vAlign w:val="center"/>
          </w:tcPr>
          <w:p w14:paraId="5FDF1F9D" w14:textId="77777777" w:rsidR="008133F8" w:rsidRPr="00FE4B68" w:rsidRDefault="008133F8" w:rsidP="00C26B90">
            <w:pPr>
              <w:ind w:left="-108"/>
              <w:jc w:val="center"/>
              <w:rPr>
                <w:sz w:val="22"/>
              </w:rPr>
            </w:pPr>
            <w:r w:rsidRPr="00FE4B68">
              <w:rPr>
                <w:sz w:val="22"/>
              </w:rPr>
              <w:t>Skutečnost</w:t>
            </w:r>
          </w:p>
          <w:p w14:paraId="0DCCB975" w14:textId="77777777" w:rsidR="008133F8" w:rsidRPr="00FE4B68" w:rsidRDefault="008133F8" w:rsidP="00C26B90">
            <w:pPr>
              <w:jc w:val="center"/>
              <w:rPr>
                <w:sz w:val="22"/>
              </w:rPr>
            </w:pPr>
            <w:r w:rsidRPr="00FE4B68">
              <w:rPr>
                <w:sz w:val="22"/>
              </w:rPr>
              <w:t>201</w:t>
            </w:r>
            <w:r>
              <w:rPr>
                <w:sz w:val="22"/>
              </w:rPr>
              <w:t>8</w:t>
            </w:r>
          </w:p>
        </w:tc>
        <w:tc>
          <w:tcPr>
            <w:tcW w:w="1134" w:type="dxa"/>
            <w:tcBorders>
              <w:top w:val="single" w:sz="4" w:space="0" w:color="auto"/>
              <w:left w:val="single" w:sz="4" w:space="0" w:color="auto"/>
              <w:bottom w:val="single" w:sz="4" w:space="0" w:color="auto"/>
              <w:right w:val="single" w:sz="4" w:space="0" w:color="auto"/>
            </w:tcBorders>
            <w:vAlign w:val="center"/>
          </w:tcPr>
          <w:p w14:paraId="01F374CE" w14:textId="77777777" w:rsidR="008133F8" w:rsidRPr="00FE4B68" w:rsidRDefault="008133F8" w:rsidP="00C26B90">
            <w:pPr>
              <w:jc w:val="center"/>
              <w:rPr>
                <w:sz w:val="22"/>
              </w:rPr>
            </w:pPr>
            <w:r w:rsidRPr="00FE4B68">
              <w:rPr>
                <w:sz w:val="22"/>
              </w:rPr>
              <w:t>Schválený</w:t>
            </w:r>
          </w:p>
          <w:p w14:paraId="73D4B842" w14:textId="77777777" w:rsidR="008133F8" w:rsidRPr="00FE4B68" w:rsidRDefault="008133F8" w:rsidP="00C26B90">
            <w:pPr>
              <w:jc w:val="center"/>
              <w:rPr>
                <w:sz w:val="22"/>
              </w:rPr>
            </w:pPr>
            <w:r w:rsidRPr="00FE4B68">
              <w:rPr>
                <w:sz w:val="22"/>
              </w:rPr>
              <w:t>rozpočet</w:t>
            </w:r>
          </w:p>
          <w:p w14:paraId="42ADA960" w14:textId="77777777" w:rsidR="008133F8" w:rsidRPr="00FE4B68" w:rsidRDefault="008133F8" w:rsidP="00C26B90">
            <w:pPr>
              <w:jc w:val="center"/>
              <w:rPr>
                <w:sz w:val="22"/>
              </w:rPr>
            </w:pPr>
            <w:r w:rsidRPr="00FE4B68">
              <w:rPr>
                <w:sz w:val="22"/>
              </w:rPr>
              <w:t>201</w:t>
            </w:r>
            <w:r>
              <w:rPr>
                <w:sz w:val="22"/>
              </w:rPr>
              <w:t>9</w:t>
            </w:r>
          </w:p>
        </w:tc>
        <w:tc>
          <w:tcPr>
            <w:tcW w:w="1134" w:type="dxa"/>
            <w:tcBorders>
              <w:top w:val="single" w:sz="4" w:space="0" w:color="auto"/>
              <w:left w:val="single" w:sz="4" w:space="0" w:color="auto"/>
              <w:bottom w:val="single" w:sz="4" w:space="0" w:color="auto"/>
              <w:right w:val="single" w:sz="4" w:space="0" w:color="auto"/>
            </w:tcBorders>
            <w:vAlign w:val="center"/>
          </w:tcPr>
          <w:p w14:paraId="1B4799ED" w14:textId="77777777" w:rsidR="008133F8" w:rsidRPr="00FE4B68" w:rsidRDefault="008133F8" w:rsidP="00C26B90">
            <w:pPr>
              <w:jc w:val="center"/>
              <w:rPr>
                <w:sz w:val="22"/>
              </w:rPr>
            </w:pPr>
            <w:r w:rsidRPr="00FE4B68">
              <w:rPr>
                <w:sz w:val="22"/>
              </w:rPr>
              <w:t>Upravený</w:t>
            </w:r>
          </w:p>
          <w:p w14:paraId="24E8C89B" w14:textId="77777777" w:rsidR="008133F8" w:rsidRPr="00FE4B68" w:rsidRDefault="008133F8" w:rsidP="00C26B90">
            <w:pPr>
              <w:jc w:val="center"/>
              <w:rPr>
                <w:sz w:val="22"/>
              </w:rPr>
            </w:pPr>
            <w:r w:rsidRPr="00FE4B68">
              <w:rPr>
                <w:sz w:val="22"/>
              </w:rPr>
              <w:t>rozpočet</w:t>
            </w:r>
          </w:p>
          <w:p w14:paraId="11649BEE" w14:textId="77777777" w:rsidR="008133F8" w:rsidRPr="00FE4B68" w:rsidRDefault="008133F8" w:rsidP="00C26B90">
            <w:pPr>
              <w:jc w:val="center"/>
              <w:rPr>
                <w:sz w:val="22"/>
              </w:rPr>
            </w:pPr>
            <w:r w:rsidRPr="00FE4B68">
              <w:rPr>
                <w:sz w:val="22"/>
              </w:rPr>
              <w:t>201</w:t>
            </w:r>
            <w:r>
              <w:rPr>
                <w:sz w:val="22"/>
              </w:rPr>
              <w:t>9</w:t>
            </w:r>
          </w:p>
        </w:tc>
        <w:tc>
          <w:tcPr>
            <w:tcW w:w="1134" w:type="dxa"/>
            <w:tcBorders>
              <w:top w:val="single" w:sz="4" w:space="0" w:color="auto"/>
              <w:left w:val="single" w:sz="4" w:space="0" w:color="auto"/>
              <w:bottom w:val="single" w:sz="4" w:space="0" w:color="auto"/>
              <w:right w:val="single" w:sz="4" w:space="0" w:color="auto"/>
            </w:tcBorders>
            <w:vAlign w:val="center"/>
          </w:tcPr>
          <w:p w14:paraId="5BBEC716" w14:textId="77777777" w:rsidR="008133F8" w:rsidRPr="00FE4B68" w:rsidRDefault="008133F8" w:rsidP="00C26B90">
            <w:pPr>
              <w:ind w:left="-108"/>
              <w:jc w:val="center"/>
              <w:rPr>
                <w:sz w:val="22"/>
              </w:rPr>
            </w:pPr>
            <w:r w:rsidRPr="00FE4B68">
              <w:rPr>
                <w:sz w:val="22"/>
              </w:rPr>
              <w:t>Skutečnost</w:t>
            </w:r>
          </w:p>
          <w:p w14:paraId="40E877BA" w14:textId="77777777" w:rsidR="008133F8" w:rsidRPr="00FE4B68" w:rsidRDefault="008133F8" w:rsidP="00C26B90">
            <w:pPr>
              <w:jc w:val="center"/>
              <w:rPr>
                <w:sz w:val="22"/>
              </w:rPr>
            </w:pPr>
            <w:r w:rsidRPr="00FE4B68">
              <w:rPr>
                <w:sz w:val="22"/>
              </w:rPr>
              <w:t>201</w:t>
            </w:r>
            <w:r>
              <w:rPr>
                <w:sz w:val="22"/>
              </w:rPr>
              <w:t>9</w:t>
            </w:r>
          </w:p>
        </w:tc>
        <w:tc>
          <w:tcPr>
            <w:tcW w:w="992" w:type="dxa"/>
            <w:tcBorders>
              <w:top w:val="single" w:sz="4" w:space="0" w:color="auto"/>
              <w:left w:val="single" w:sz="4" w:space="0" w:color="auto"/>
              <w:bottom w:val="single" w:sz="4" w:space="0" w:color="auto"/>
            </w:tcBorders>
            <w:vAlign w:val="center"/>
          </w:tcPr>
          <w:p w14:paraId="3145E127" w14:textId="77777777" w:rsidR="008133F8" w:rsidRPr="00FE4B68" w:rsidRDefault="008133F8" w:rsidP="00C26B90">
            <w:pPr>
              <w:jc w:val="center"/>
              <w:rPr>
                <w:sz w:val="22"/>
              </w:rPr>
            </w:pPr>
            <w:r w:rsidRPr="00FE4B68">
              <w:rPr>
                <w:sz w:val="22"/>
              </w:rPr>
              <w:t>Index</w:t>
            </w:r>
          </w:p>
          <w:p w14:paraId="60DB730D" w14:textId="77777777" w:rsidR="008133F8" w:rsidRPr="00FE4B68" w:rsidRDefault="008133F8" w:rsidP="00C26B90">
            <w:pPr>
              <w:jc w:val="center"/>
              <w:rPr>
                <w:sz w:val="22"/>
              </w:rPr>
            </w:pPr>
            <w:r w:rsidRPr="00FE4B68">
              <w:rPr>
                <w:sz w:val="22"/>
              </w:rPr>
              <w:t>1</w:t>
            </w:r>
            <w:r>
              <w:rPr>
                <w:sz w:val="22"/>
              </w:rPr>
              <w:t>9</w:t>
            </w:r>
            <w:r w:rsidRPr="00FE4B68">
              <w:rPr>
                <w:sz w:val="22"/>
              </w:rPr>
              <w:t>/1</w:t>
            </w:r>
            <w:r>
              <w:rPr>
                <w:sz w:val="22"/>
              </w:rPr>
              <w:t>8</w:t>
            </w:r>
            <w:r w:rsidRPr="00FE4B68">
              <w:rPr>
                <w:sz w:val="22"/>
              </w:rPr>
              <w:t xml:space="preserve">         (v %)</w:t>
            </w:r>
          </w:p>
        </w:tc>
      </w:tr>
      <w:tr w:rsidR="008133F8" w:rsidRPr="00FE4B68" w14:paraId="59CA55E7" w14:textId="77777777" w:rsidTr="00C26B90">
        <w:trPr>
          <w:jc w:val="center"/>
        </w:trPr>
        <w:tc>
          <w:tcPr>
            <w:tcW w:w="3686" w:type="dxa"/>
            <w:tcBorders>
              <w:top w:val="single" w:sz="4" w:space="0" w:color="auto"/>
              <w:bottom w:val="single" w:sz="4" w:space="0" w:color="auto"/>
              <w:right w:val="single" w:sz="4" w:space="0" w:color="auto"/>
            </w:tcBorders>
          </w:tcPr>
          <w:p w14:paraId="026B858B" w14:textId="77777777" w:rsidR="008133F8" w:rsidRPr="00FE4B68" w:rsidRDefault="008133F8" w:rsidP="00C26B90">
            <w:pPr>
              <w:jc w:val="center"/>
              <w:rPr>
                <w:sz w:val="22"/>
              </w:rPr>
            </w:pPr>
            <w:r w:rsidRPr="00FE4B68">
              <w:rPr>
                <w:sz w:val="22"/>
              </w:rPr>
              <w:t>a</w:t>
            </w:r>
          </w:p>
        </w:tc>
        <w:tc>
          <w:tcPr>
            <w:tcW w:w="1134" w:type="dxa"/>
            <w:tcBorders>
              <w:top w:val="single" w:sz="4" w:space="0" w:color="auto"/>
              <w:bottom w:val="single" w:sz="4" w:space="0" w:color="auto"/>
              <w:right w:val="single" w:sz="4" w:space="0" w:color="auto"/>
            </w:tcBorders>
          </w:tcPr>
          <w:p w14:paraId="71EEE196" w14:textId="77777777" w:rsidR="008133F8" w:rsidRPr="00FE4B68" w:rsidRDefault="008133F8" w:rsidP="00C26B90">
            <w:pPr>
              <w:jc w:val="center"/>
              <w:rPr>
                <w:sz w:val="22"/>
              </w:rPr>
            </w:pPr>
            <w:r w:rsidRPr="00FE4B68">
              <w:rPr>
                <w:sz w:val="22"/>
              </w:rPr>
              <w:t>1</w:t>
            </w:r>
          </w:p>
        </w:tc>
        <w:tc>
          <w:tcPr>
            <w:tcW w:w="1134" w:type="dxa"/>
            <w:tcBorders>
              <w:top w:val="single" w:sz="4" w:space="0" w:color="auto"/>
              <w:left w:val="single" w:sz="4" w:space="0" w:color="auto"/>
              <w:bottom w:val="single" w:sz="4" w:space="0" w:color="auto"/>
              <w:right w:val="single" w:sz="4" w:space="0" w:color="auto"/>
            </w:tcBorders>
          </w:tcPr>
          <w:p w14:paraId="74512B42" w14:textId="77777777" w:rsidR="008133F8" w:rsidRPr="00FE4B68" w:rsidRDefault="008133F8" w:rsidP="00C26B90">
            <w:pPr>
              <w:jc w:val="center"/>
              <w:rPr>
                <w:sz w:val="22"/>
              </w:rPr>
            </w:pPr>
            <w:r w:rsidRPr="00FE4B68">
              <w:rPr>
                <w:sz w:val="22"/>
              </w:rPr>
              <w:t>2</w:t>
            </w:r>
          </w:p>
        </w:tc>
        <w:tc>
          <w:tcPr>
            <w:tcW w:w="1134" w:type="dxa"/>
            <w:tcBorders>
              <w:top w:val="single" w:sz="4" w:space="0" w:color="auto"/>
              <w:left w:val="single" w:sz="4" w:space="0" w:color="auto"/>
              <w:bottom w:val="single" w:sz="4" w:space="0" w:color="auto"/>
              <w:right w:val="single" w:sz="4" w:space="0" w:color="auto"/>
            </w:tcBorders>
          </w:tcPr>
          <w:p w14:paraId="68F565CE" w14:textId="77777777" w:rsidR="008133F8" w:rsidRPr="00FE4B68" w:rsidRDefault="008133F8" w:rsidP="00C26B90">
            <w:pPr>
              <w:jc w:val="center"/>
              <w:rPr>
                <w:sz w:val="22"/>
              </w:rPr>
            </w:pPr>
            <w:r w:rsidRPr="00FE4B68">
              <w:rPr>
                <w:sz w:val="22"/>
              </w:rPr>
              <w:t>3</w:t>
            </w:r>
          </w:p>
        </w:tc>
        <w:tc>
          <w:tcPr>
            <w:tcW w:w="1134" w:type="dxa"/>
            <w:tcBorders>
              <w:top w:val="single" w:sz="4" w:space="0" w:color="auto"/>
              <w:left w:val="single" w:sz="4" w:space="0" w:color="auto"/>
              <w:bottom w:val="single" w:sz="4" w:space="0" w:color="auto"/>
              <w:right w:val="single" w:sz="4" w:space="0" w:color="auto"/>
            </w:tcBorders>
          </w:tcPr>
          <w:p w14:paraId="294F8028" w14:textId="77777777" w:rsidR="008133F8" w:rsidRPr="00FE4B68" w:rsidRDefault="008133F8" w:rsidP="00C26B90">
            <w:pPr>
              <w:jc w:val="center"/>
              <w:rPr>
                <w:sz w:val="22"/>
              </w:rPr>
            </w:pPr>
            <w:r w:rsidRPr="00FE4B68">
              <w:rPr>
                <w:sz w:val="22"/>
              </w:rPr>
              <w:t>4</w:t>
            </w:r>
          </w:p>
        </w:tc>
        <w:tc>
          <w:tcPr>
            <w:tcW w:w="992" w:type="dxa"/>
            <w:tcBorders>
              <w:top w:val="single" w:sz="4" w:space="0" w:color="auto"/>
              <w:left w:val="single" w:sz="4" w:space="0" w:color="auto"/>
              <w:bottom w:val="single" w:sz="4" w:space="0" w:color="auto"/>
            </w:tcBorders>
          </w:tcPr>
          <w:p w14:paraId="69F43CB8" w14:textId="77777777" w:rsidR="008133F8" w:rsidRPr="00FE4B68" w:rsidRDefault="008133F8" w:rsidP="00C26B90">
            <w:pPr>
              <w:jc w:val="center"/>
              <w:rPr>
                <w:sz w:val="22"/>
              </w:rPr>
            </w:pPr>
            <w:r w:rsidRPr="00FE4B68">
              <w:rPr>
                <w:sz w:val="22"/>
              </w:rPr>
              <w:t>5</w:t>
            </w:r>
          </w:p>
        </w:tc>
      </w:tr>
      <w:tr w:rsidR="008133F8" w:rsidRPr="00E91988" w14:paraId="576644C5" w14:textId="77777777" w:rsidTr="00C26B90">
        <w:trPr>
          <w:trHeight w:val="270"/>
          <w:jc w:val="center"/>
        </w:trPr>
        <w:tc>
          <w:tcPr>
            <w:tcW w:w="3686" w:type="dxa"/>
            <w:tcBorders>
              <w:top w:val="single" w:sz="4" w:space="0" w:color="auto"/>
              <w:bottom w:val="nil"/>
              <w:right w:val="single" w:sz="4" w:space="0" w:color="auto"/>
            </w:tcBorders>
          </w:tcPr>
          <w:p w14:paraId="424E70CF" w14:textId="77777777" w:rsidR="008133F8" w:rsidRPr="00FE4B68" w:rsidRDefault="008133F8" w:rsidP="00C26B90">
            <w:pPr>
              <w:ind w:left="-70"/>
              <w:rPr>
                <w:b/>
                <w:sz w:val="20"/>
                <w:szCs w:val="20"/>
              </w:rPr>
            </w:pPr>
            <w:r w:rsidRPr="00FE4B68">
              <w:rPr>
                <w:b/>
                <w:sz w:val="20"/>
                <w:szCs w:val="20"/>
              </w:rPr>
              <w:t>Výdaje spolufinancované z rozpočtu EU</w:t>
            </w:r>
          </w:p>
        </w:tc>
        <w:tc>
          <w:tcPr>
            <w:tcW w:w="1134" w:type="dxa"/>
            <w:tcBorders>
              <w:top w:val="single" w:sz="4" w:space="0" w:color="auto"/>
              <w:left w:val="single" w:sz="4" w:space="0" w:color="auto"/>
              <w:bottom w:val="nil"/>
              <w:right w:val="single" w:sz="4" w:space="0" w:color="auto"/>
            </w:tcBorders>
          </w:tcPr>
          <w:p w14:paraId="564A92A2" w14:textId="77777777" w:rsidR="008133F8" w:rsidRPr="00FE4B68" w:rsidRDefault="008133F8" w:rsidP="00C26B90">
            <w:pPr>
              <w:jc w:val="right"/>
              <w:rPr>
                <w:b/>
                <w:sz w:val="20"/>
                <w:szCs w:val="20"/>
              </w:rPr>
            </w:pPr>
            <w:r w:rsidRPr="00FE4B68">
              <w:rPr>
                <w:b/>
                <w:sz w:val="20"/>
                <w:szCs w:val="20"/>
              </w:rPr>
              <w:t>14 228</w:t>
            </w:r>
            <w:r>
              <w:rPr>
                <w:b/>
                <w:sz w:val="20"/>
                <w:szCs w:val="20"/>
              </w:rPr>
              <w:t> </w:t>
            </w:r>
            <w:r w:rsidRPr="00FE4B68">
              <w:rPr>
                <w:b/>
                <w:sz w:val="20"/>
                <w:szCs w:val="20"/>
              </w:rPr>
              <w:t>978</w:t>
            </w:r>
          </w:p>
        </w:tc>
        <w:tc>
          <w:tcPr>
            <w:tcW w:w="1134" w:type="dxa"/>
            <w:tcBorders>
              <w:top w:val="single" w:sz="4" w:space="0" w:color="auto"/>
              <w:left w:val="single" w:sz="4" w:space="0" w:color="auto"/>
              <w:bottom w:val="nil"/>
              <w:right w:val="single" w:sz="4" w:space="0" w:color="auto"/>
            </w:tcBorders>
          </w:tcPr>
          <w:p w14:paraId="05E83E1A" w14:textId="77777777" w:rsidR="008133F8" w:rsidRPr="004B11AC" w:rsidRDefault="008133F8" w:rsidP="00C26B90">
            <w:pPr>
              <w:jc w:val="right"/>
              <w:rPr>
                <w:b/>
                <w:color w:val="FF0000"/>
                <w:sz w:val="20"/>
                <w:szCs w:val="20"/>
              </w:rPr>
            </w:pPr>
            <w:r w:rsidRPr="00CB4115">
              <w:rPr>
                <w:b/>
                <w:sz w:val="20"/>
                <w:szCs w:val="20"/>
              </w:rPr>
              <w:t>18 882 781</w:t>
            </w:r>
          </w:p>
        </w:tc>
        <w:tc>
          <w:tcPr>
            <w:tcW w:w="1134" w:type="dxa"/>
            <w:tcBorders>
              <w:top w:val="single" w:sz="4" w:space="0" w:color="auto"/>
              <w:left w:val="single" w:sz="4" w:space="0" w:color="auto"/>
              <w:bottom w:val="nil"/>
              <w:right w:val="single" w:sz="4" w:space="0" w:color="auto"/>
            </w:tcBorders>
          </w:tcPr>
          <w:p w14:paraId="39A3187A" w14:textId="77777777" w:rsidR="008133F8" w:rsidRPr="004B11AC" w:rsidRDefault="008133F8" w:rsidP="00C26B90">
            <w:pPr>
              <w:jc w:val="right"/>
              <w:rPr>
                <w:b/>
                <w:color w:val="FF0000"/>
                <w:sz w:val="20"/>
                <w:szCs w:val="20"/>
              </w:rPr>
            </w:pPr>
            <w:r w:rsidRPr="00602930">
              <w:rPr>
                <w:b/>
                <w:sz w:val="20"/>
                <w:szCs w:val="20"/>
              </w:rPr>
              <w:t>18 882 781</w:t>
            </w:r>
          </w:p>
        </w:tc>
        <w:tc>
          <w:tcPr>
            <w:tcW w:w="1134" w:type="dxa"/>
            <w:tcBorders>
              <w:top w:val="single" w:sz="4" w:space="0" w:color="auto"/>
              <w:left w:val="single" w:sz="4" w:space="0" w:color="auto"/>
              <w:bottom w:val="nil"/>
              <w:right w:val="single" w:sz="4" w:space="0" w:color="auto"/>
            </w:tcBorders>
          </w:tcPr>
          <w:p w14:paraId="40EEE087" w14:textId="77777777" w:rsidR="008133F8" w:rsidRPr="004B11AC" w:rsidRDefault="008133F8" w:rsidP="00C26B90">
            <w:pPr>
              <w:jc w:val="right"/>
              <w:rPr>
                <w:b/>
                <w:color w:val="FF0000"/>
                <w:sz w:val="20"/>
                <w:szCs w:val="20"/>
              </w:rPr>
            </w:pPr>
            <w:r w:rsidRPr="00AD2014">
              <w:rPr>
                <w:b/>
                <w:sz w:val="20"/>
                <w:szCs w:val="20"/>
              </w:rPr>
              <w:t>17 763 085</w:t>
            </w:r>
          </w:p>
        </w:tc>
        <w:tc>
          <w:tcPr>
            <w:tcW w:w="992" w:type="dxa"/>
            <w:tcBorders>
              <w:top w:val="single" w:sz="4" w:space="0" w:color="auto"/>
              <w:left w:val="single" w:sz="4" w:space="0" w:color="auto"/>
              <w:bottom w:val="nil"/>
            </w:tcBorders>
          </w:tcPr>
          <w:p w14:paraId="27287D93" w14:textId="77777777" w:rsidR="008133F8" w:rsidRPr="00C06167" w:rsidRDefault="008133F8" w:rsidP="00C26B90">
            <w:pPr>
              <w:jc w:val="right"/>
              <w:rPr>
                <w:b/>
                <w:sz w:val="20"/>
                <w:szCs w:val="20"/>
              </w:rPr>
            </w:pPr>
            <w:r w:rsidRPr="00C06167">
              <w:rPr>
                <w:b/>
                <w:sz w:val="20"/>
                <w:szCs w:val="20"/>
              </w:rPr>
              <w:t>124,84</w:t>
            </w:r>
          </w:p>
        </w:tc>
      </w:tr>
      <w:tr w:rsidR="008133F8" w:rsidRPr="00E91988" w14:paraId="44BB3729" w14:textId="77777777" w:rsidTr="00C26B90">
        <w:trPr>
          <w:jc w:val="center"/>
        </w:trPr>
        <w:tc>
          <w:tcPr>
            <w:tcW w:w="3686" w:type="dxa"/>
            <w:tcBorders>
              <w:top w:val="nil"/>
              <w:bottom w:val="nil"/>
              <w:right w:val="single" w:sz="4" w:space="0" w:color="auto"/>
            </w:tcBorders>
          </w:tcPr>
          <w:p w14:paraId="096927A4" w14:textId="77777777" w:rsidR="008133F8" w:rsidRPr="00FE4B68" w:rsidRDefault="008133F8" w:rsidP="00C26B90">
            <w:pPr>
              <w:ind w:left="-70"/>
              <w:rPr>
                <w:b/>
                <w:i/>
                <w:sz w:val="20"/>
                <w:szCs w:val="20"/>
              </w:rPr>
            </w:pPr>
            <w:r w:rsidRPr="00FE4B68">
              <w:rPr>
                <w:b/>
                <w:i/>
                <w:sz w:val="20"/>
                <w:szCs w:val="20"/>
              </w:rPr>
              <w:t>v tom: EU podíl</w:t>
            </w:r>
          </w:p>
          <w:p w14:paraId="22226B8A" w14:textId="77777777" w:rsidR="008133F8" w:rsidRPr="00FE4B68" w:rsidRDefault="008133F8" w:rsidP="00C26B90">
            <w:pPr>
              <w:spacing w:after="120"/>
              <w:ind w:left="-68"/>
              <w:rPr>
                <w:b/>
                <w:i/>
                <w:sz w:val="20"/>
                <w:szCs w:val="20"/>
              </w:rPr>
            </w:pPr>
            <w:r w:rsidRPr="00FE4B68">
              <w:rPr>
                <w:b/>
                <w:i/>
                <w:sz w:val="20"/>
                <w:szCs w:val="20"/>
              </w:rPr>
              <w:t xml:space="preserve">            SR podíl</w:t>
            </w:r>
          </w:p>
        </w:tc>
        <w:tc>
          <w:tcPr>
            <w:tcW w:w="1134" w:type="dxa"/>
            <w:tcBorders>
              <w:top w:val="nil"/>
              <w:left w:val="single" w:sz="4" w:space="0" w:color="auto"/>
              <w:bottom w:val="nil"/>
              <w:right w:val="single" w:sz="4" w:space="0" w:color="auto"/>
            </w:tcBorders>
          </w:tcPr>
          <w:p w14:paraId="1D844003" w14:textId="77777777" w:rsidR="008133F8" w:rsidRPr="00FE4B68" w:rsidRDefault="008133F8" w:rsidP="00C26B90">
            <w:pPr>
              <w:jc w:val="right"/>
              <w:rPr>
                <w:b/>
                <w:i/>
                <w:sz w:val="20"/>
                <w:szCs w:val="20"/>
              </w:rPr>
            </w:pPr>
            <w:r w:rsidRPr="00FE4B68">
              <w:rPr>
                <w:b/>
                <w:i/>
                <w:sz w:val="20"/>
                <w:szCs w:val="20"/>
              </w:rPr>
              <w:t>14 210 808</w:t>
            </w:r>
          </w:p>
          <w:p w14:paraId="75987360" w14:textId="77777777" w:rsidR="008133F8" w:rsidRPr="00FE4B68" w:rsidRDefault="008133F8" w:rsidP="00C26B90">
            <w:pPr>
              <w:jc w:val="right"/>
              <w:rPr>
                <w:b/>
                <w:i/>
                <w:sz w:val="20"/>
                <w:szCs w:val="20"/>
              </w:rPr>
            </w:pPr>
            <w:r w:rsidRPr="00FE4B68">
              <w:rPr>
                <w:b/>
                <w:i/>
                <w:sz w:val="20"/>
                <w:szCs w:val="20"/>
              </w:rPr>
              <w:t xml:space="preserve">18 170 </w:t>
            </w:r>
          </w:p>
        </w:tc>
        <w:tc>
          <w:tcPr>
            <w:tcW w:w="1134" w:type="dxa"/>
            <w:tcBorders>
              <w:top w:val="nil"/>
              <w:left w:val="single" w:sz="4" w:space="0" w:color="auto"/>
              <w:bottom w:val="nil"/>
              <w:right w:val="single" w:sz="4" w:space="0" w:color="auto"/>
            </w:tcBorders>
          </w:tcPr>
          <w:p w14:paraId="748F243B" w14:textId="77777777" w:rsidR="008133F8" w:rsidRPr="00CB4115" w:rsidRDefault="008133F8" w:rsidP="00C26B90">
            <w:pPr>
              <w:jc w:val="right"/>
              <w:rPr>
                <w:b/>
                <w:i/>
                <w:sz w:val="20"/>
                <w:szCs w:val="20"/>
              </w:rPr>
            </w:pPr>
            <w:r w:rsidRPr="00CB4115">
              <w:rPr>
                <w:b/>
                <w:i/>
                <w:sz w:val="20"/>
                <w:szCs w:val="20"/>
              </w:rPr>
              <w:t>18 869 733</w:t>
            </w:r>
          </w:p>
          <w:p w14:paraId="326DDD1A" w14:textId="77777777" w:rsidR="008133F8" w:rsidRPr="004B11AC" w:rsidRDefault="008133F8" w:rsidP="00C26B90">
            <w:pPr>
              <w:jc w:val="right"/>
              <w:rPr>
                <w:b/>
                <w:i/>
                <w:color w:val="FF0000"/>
                <w:sz w:val="20"/>
                <w:szCs w:val="20"/>
              </w:rPr>
            </w:pPr>
            <w:r w:rsidRPr="00CB4115">
              <w:rPr>
                <w:b/>
                <w:i/>
                <w:sz w:val="20"/>
                <w:szCs w:val="20"/>
              </w:rPr>
              <w:t xml:space="preserve">13 048 </w:t>
            </w:r>
          </w:p>
        </w:tc>
        <w:tc>
          <w:tcPr>
            <w:tcW w:w="1134" w:type="dxa"/>
            <w:tcBorders>
              <w:top w:val="nil"/>
              <w:left w:val="single" w:sz="4" w:space="0" w:color="auto"/>
              <w:bottom w:val="nil"/>
              <w:right w:val="single" w:sz="4" w:space="0" w:color="auto"/>
            </w:tcBorders>
          </w:tcPr>
          <w:p w14:paraId="3BC7F70D" w14:textId="77777777" w:rsidR="008133F8" w:rsidRPr="00602930" w:rsidRDefault="008133F8" w:rsidP="00C26B90">
            <w:pPr>
              <w:jc w:val="right"/>
              <w:rPr>
                <w:b/>
                <w:i/>
                <w:sz w:val="20"/>
                <w:szCs w:val="20"/>
              </w:rPr>
            </w:pPr>
            <w:r w:rsidRPr="00602930">
              <w:rPr>
                <w:b/>
                <w:i/>
                <w:sz w:val="20"/>
                <w:szCs w:val="20"/>
              </w:rPr>
              <w:t>18 869 733</w:t>
            </w:r>
          </w:p>
          <w:p w14:paraId="015D87F1" w14:textId="77777777" w:rsidR="008133F8" w:rsidRPr="004B11AC" w:rsidRDefault="008133F8" w:rsidP="00C26B90">
            <w:pPr>
              <w:jc w:val="right"/>
              <w:rPr>
                <w:b/>
                <w:i/>
                <w:color w:val="FF0000"/>
                <w:sz w:val="20"/>
                <w:szCs w:val="20"/>
              </w:rPr>
            </w:pPr>
            <w:r w:rsidRPr="00602930">
              <w:rPr>
                <w:b/>
                <w:i/>
                <w:sz w:val="20"/>
                <w:szCs w:val="20"/>
              </w:rPr>
              <w:t xml:space="preserve">13 048 </w:t>
            </w:r>
          </w:p>
        </w:tc>
        <w:tc>
          <w:tcPr>
            <w:tcW w:w="1134" w:type="dxa"/>
            <w:tcBorders>
              <w:top w:val="nil"/>
              <w:left w:val="single" w:sz="4" w:space="0" w:color="auto"/>
              <w:bottom w:val="nil"/>
              <w:right w:val="single" w:sz="4" w:space="0" w:color="auto"/>
            </w:tcBorders>
          </w:tcPr>
          <w:p w14:paraId="7C34D056" w14:textId="77777777" w:rsidR="008133F8" w:rsidRPr="00AD2014" w:rsidRDefault="008133F8" w:rsidP="00C26B90">
            <w:pPr>
              <w:jc w:val="right"/>
              <w:rPr>
                <w:b/>
                <w:i/>
                <w:sz w:val="20"/>
                <w:szCs w:val="20"/>
              </w:rPr>
            </w:pPr>
            <w:r w:rsidRPr="00AD2014">
              <w:rPr>
                <w:b/>
                <w:i/>
                <w:sz w:val="20"/>
                <w:szCs w:val="20"/>
              </w:rPr>
              <w:t>17 745 619</w:t>
            </w:r>
          </w:p>
          <w:p w14:paraId="11295E65" w14:textId="77777777" w:rsidR="008133F8" w:rsidRPr="004B11AC" w:rsidRDefault="008133F8" w:rsidP="00C26B90">
            <w:pPr>
              <w:jc w:val="right"/>
              <w:rPr>
                <w:b/>
                <w:i/>
                <w:color w:val="FF0000"/>
                <w:sz w:val="20"/>
                <w:szCs w:val="20"/>
              </w:rPr>
            </w:pPr>
            <w:r w:rsidRPr="00AD2014">
              <w:rPr>
                <w:b/>
                <w:i/>
                <w:sz w:val="20"/>
                <w:szCs w:val="20"/>
              </w:rPr>
              <w:t xml:space="preserve">17 466 </w:t>
            </w:r>
          </w:p>
        </w:tc>
        <w:tc>
          <w:tcPr>
            <w:tcW w:w="992" w:type="dxa"/>
            <w:tcBorders>
              <w:top w:val="nil"/>
              <w:left w:val="single" w:sz="4" w:space="0" w:color="auto"/>
              <w:bottom w:val="nil"/>
            </w:tcBorders>
          </w:tcPr>
          <w:p w14:paraId="7B16FDF6" w14:textId="77777777" w:rsidR="008133F8" w:rsidRPr="00C06167" w:rsidRDefault="008133F8" w:rsidP="00C26B90">
            <w:pPr>
              <w:jc w:val="right"/>
              <w:rPr>
                <w:b/>
                <w:i/>
                <w:sz w:val="20"/>
                <w:szCs w:val="20"/>
              </w:rPr>
            </w:pPr>
            <w:r w:rsidRPr="00C06167">
              <w:rPr>
                <w:b/>
                <w:i/>
                <w:sz w:val="20"/>
                <w:szCs w:val="20"/>
              </w:rPr>
              <w:t>124,87</w:t>
            </w:r>
          </w:p>
          <w:p w14:paraId="3C19CC31" w14:textId="77777777" w:rsidR="008133F8" w:rsidRPr="00C06167" w:rsidRDefault="008133F8" w:rsidP="00C26B90">
            <w:pPr>
              <w:jc w:val="right"/>
              <w:rPr>
                <w:b/>
                <w:i/>
                <w:sz w:val="20"/>
                <w:szCs w:val="20"/>
              </w:rPr>
            </w:pPr>
            <w:r w:rsidRPr="00C06167">
              <w:rPr>
                <w:b/>
                <w:i/>
                <w:sz w:val="20"/>
                <w:szCs w:val="20"/>
              </w:rPr>
              <w:t>96,13</w:t>
            </w:r>
          </w:p>
        </w:tc>
      </w:tr>
      <w:tr w:rsidR="008133F8" w:rsidRPr="00E91988" w14:paraId="62C6344F" w14:textId="77777777" w:rsidTr="00C26B90">
        <w:trPr>
          <w:trHeight w:val="1546"/>
          <w:jc w:val="center"/>
        </w:trPr>
        <w:tc>
          <w:tcPr>
            <w:tcW w:w="3686" w:type="dxa"/>
            <w:tcBorders>
              <w:top w:val="nil"/>
              <w:bottom w:val="nil"/>
              <w:right w:val="single" w:sz="4" w:space="0" w:color="auto"/>
            </w:tcBorders>
          </w:tcPr>
          <w:p w14:paraId="5D40050C" w14:textId="77777777" w:rsidR="008133F8" w:rsidRPr="00FE4B68" w:rsidRDefault="008133F8" w:rsidP="00C26B90">
            <w:pPr>
              <w:ind w:left="-70"/>
              <w:rPr>
                <w:sz w:val="20"/>
                <w:szCs w:val="20"/>
              </w:rPr>
            </w:pPr>
            <w:r w:rsidRPr="00FE4B68">
              <w:rPr>
                <w:sz w:val="20"/>
                <w:szCs w:val="20"/>
              </w:rPr>
              <w:t>Operační program Zaměstnanost</w:t>
            </w:r>
          </w:p>
          <w:p w14:paraId="7C0E7F70" w14:textId="77777777" w:rsidR="008133F8" w:rsidRPr="00FE4B68" w:rsidRDefault="008133F8" w:rsidP="00C26B90">
            <w:pPr>
              <w:ind w:left="-70"/>
              <w:rPr>
                <w:i/>
                <w:sz w:val="20"/>
                <w:szCs w:val="20"/>
              </w:rPr>
            </w:pPr>
            <w:r w:rsidRPr="00FE4B68">
              <w:rPr>
                <w:i/>
                <w:sz w:val="20"/>
                <w:szCs w:val="20"/>
              </w:rPr>
              <w:t>v tom: EU podíl</w:t>
            </w:r>
          </w:p>
          <w:p w14:paraId="533BE2F9" w14:textId="77777777" w:rsidR="008133F8" w:rsidRPr="00FE4B68" w:rsidRDefault="008133F8" w:rsidP="00C26B90">
            <w:pPr>
              <w:spacing w:after="120"/>
              <w:ind w:left="-68"/>
              <w:rPr>
                <w:sz w:val="20"/>
                <w:szCs w:val="20"/>
              </w:rPr>
            </w:pPr>
            <w:r w:rsidRPr="00FE4B68">
              <w:rPr>
                <w:i/>
                <w:sz w:val="20"/>
                <w:szCs w:val="20"/>
              </w:rPr>
              <w:t xml:space="preserve">           SR podíl</w:t>
            </w:r>
          </w:p>
          <w:p w14:paraId="3B7F4AE4" w14:textId="77777777" w:rsidR="008133F8" w:rsidRPr="00FE4B68" w:rsidRDefault="008133F8" w:rsidP="00C26B90">
            <w:pPr>
              <w:spacing w:before="120"/>
              <w:ind w:left="-68"/>
              <w:rPr>
                <w:sz w:val="20"/>
                <w:szCs w:val="20"/>
              </w:rPr>
            </w:pPr>
            <w:r w:rsidRPr="00FE4B68">
              <w:rPr>
                <w:sz w:val="20"/>
                <w:szCs w:val="20"/>
              </w:rPr>
              <w:t>Operační program Doprava (2014 – 2020)</w:t>
            </w:r>
          </w:p>
          <w:p w14:paraId="1D68DDE7" w14:textId="77777777" w:rsidR="008133F8" w:rsidRPr="00FE4B68" w:rsidRDefault="008133F8" w:rsidP="00C26B90">
            <w:pPr>
              <w:ind w:left="-68"/>
              <w:rPr>
                <w:i/>
                <w:sz w:val="20"/>
                <w:szCs w:val="20"/>
              </w:rPr>
            </w:pPr>
            <w:r w:rsidRPr="00FE4B68">
              <w:rPr>
                <w:i/>
                <w:sz w:val="20"/>
                <w:szCs w:val="20"/>
              </w:rPr>
              <w:t>v tom: EU podíl</w:t>
            </w:r>
          </w:p>
          <w:p w14:paraId="5B15AEEC" w14:textId="77777777" w:rsidR="008133F8" w:rsidRPr="00FE4B68" w:rsidRDefault="008133F8" w:rsidP="00C26B90">
            <w:pPr>
              <w:ind w:left="-68"/>
              <w:rPr>
                <w:sz w:val="20"/>
                <w:szCs w:val="20"/>
              </w:rPr>
            </w:pPr>
            <w:r w:rsidRPr="00FE4B68">
              <w:rPr>
                <w:i/>
                <w:sz w:val="20"/>
                <w:szCs w:val="20"/>
              </w:rPr>
              <w:t xml:space="preserve">           SR podíl</w:t>
            </w:r>
          </w:p>
        </w:tc>
        <w:tc>
          <w:tcPr>
            <w:tcW w:w="1134" w:type="dxa"/>
            <w:tcBorders>
              <w:top w:val="nil"/>
              <w:left w:val="single" w:sz="4" w:space="0" w:color="auto"/>
              <w:bottom w:val="nil"/>
              <w:right w:val="single" w:sz="4" w:space="0" w:color="auto"/>
            </w:tcBorders>
          </w:tcPr>
          <w:p w14:paraId="69E482ED" w14:textId="77777777" w:rsidR="008133F8" w:rsidRPr="00FE4B68" w:rsidRDefault="008133F8" w:rsidP="00C26B90">
            <w:pPr>
              <w:jc w:val="right"/>
              <w:rPr>
                <w:sz w:val="20"/>
                <w:szCs w:val="20"/>
              </w:rPr>
            </w:pPr>
            <w:r w:rsidRPr="00FE4B68">
              <w:rPr>
                <w:sz w:val="20"/>
                <w:szCs w:val="20"/>
              </w:rPr>
              <w:t>881</w:t>
            </w:r>
          </w:p>
          <w:p w14:paraId="7E7FAD36" w14:textId="77777777" w:rsidR="008133F8" w:rsidRPr="00FE4B68" w:rsidRDefault="008133F8" w:rsidP="00C26B90">
            <w:pPr>
              <w:jc w:val="right"/>
              <w:rPr>
                <w:i/>
                <w:sz w:val="20"/>
                <w:szCs w:val="20"/>
              </w:rPr>
            </w:pPr>
            <w:r w:rsidRPr="00FE4B68">
              <w:rPr>
                <w:i/>
                <w:sz w:val="20"/>
                <w:szCs w:val="20"/>
              </w:rPr>
              <w:t>440</w:t>
            </w:r>
          </w:p>
          <w:p w14:paraId="0324FF23" w14:textId="77777777" w:rsidR="008133F8" w:rsidRPr="00FE4B68" w:rsidRDefault="008133F8" w:rsidP="00C26B90">
            <w:pPr>
              <w:jc w:val="right"/>
              <w:rPr>
                <w:i/>
                <w:sz w:val="20"/>
                <w:szCs w:val="20"/>
              </w:rPr>
            </w:pPr>
            <w:r w:rsidRPr="00FE4B68">
              <w:rPr>
                <w:i/>
                <w:sz w:val="20"/>
                <w:szCs w:val="20"/>
              </w:rPr>
              <w:t>441</w:t>
            </w:r>
          </w:p>
          <w:p w14:paraId="3D5C8169" w14:textId="77777777" w:rsidR="008133F8" w:rsidRPr="00FE4B68" w:rsidRDefault="008133F8" w:rsidP="00C26B90">
            <w:pPr>
              <w:spacing w:before="120"/>
              <w:jc w:val="right"/>
              <w:rPr>
                <w:sz w:val="20"/>
                <w:szCs w:val="20"/>
              </w:rPr>
            </w:pPr>
            <w:r w:rsidRPr="00FE4B68">
              <w:rPr>
                <w:sz w:val="20"/>
                <w:szCs w:val="20"/>
              </w:rPr>
              <w:t>11 594 012</w:t>
            </w:r>
          </w:p>
          <w:p w14:paraId="20DD6C9F" w14:textId="77777777" w:rsidR="008133F8" w:rsidRPr="00FE4B68" w:rsidRDefault="008133F8" w:rsidP="00C26B90">
            <w:pPr>
              <w:jc w:val="right"/>
              <w:rPr>
                <w:i/>
                <w:sz w:val="20"/>
                <w:szCs w:val="20"/>
              </w:rPr>
            </w:pPr>
            <w:r w:rsidRPr="00FE4B68">
              <w:rPr>
                <w:i/>
                <w:sz w:val="20"/>
                <w:szCs w:val="20"/>
              </w:rPr>
              <w:t>11 576 771</w:t>
            </w:r>
          </w:p>
          <w:p w14:paraId="699CC136" w14:textId="77777777" w:rsidR="008133F8" w:rsidRPr="00FE4B68" w:rsidRDefault="008133F8" w:rsidP="00C26B90">
            <w:pPr>
              <w:jc w:val="right"/>
              <w:rPr>
                <w:i/>
                <w:sz w:val="20"/>
                <w:szCs w:val="20"/>
              </w:rPr>
            </w:pPr>
            <w:r w:rsidRPr="00FE4B68">
              <w:rPr>
                <w:i/>
                <w:sz w:val="20"/>
                <w:szCs w:val="20"/>
              </w:rPr>
              <w:t>17 241</w:t>
            </w:r>
          </w:p>
          <w:p w14:paraId="3DAD3053" w14:textId="77777777" w:rsidR="008133F8" w:rsidRPr="00FE4B68" w:rsidRDefault="008133F8" w:rsidP="00C26B90">
            <w:pPr>
              <w:jc w:val="right"/>
              <w:rPr>
                <w:i/>
                <w:sz w:val="20"/>
                <w:szCs w:val="20"/>
              </w:rPr>
            </w:pPr>
          </w:p>
        </w:tc>
        <w:tc>
          <w:tcPr>
            <w:tcW w:w="1134" w:type="dxa"/>
            <w:tcBorders>
              <w:top w:val="nil"/>
              <w:left w:val="single" w:sz="4" w:space="0" w:color="auto"/>
              <w:bottom w:val="nil"/>
              <w:right w:val="single" w:sz="4" w:space="0" w:color="auto"/>
            </w:tcBorders>
          </w:tcPr>
          <w:p w14:paraId="3823B5B9" w14:textId="77777777" w:rsidR="008133F8" w:rsidRPr="00CB4115" w:rsidRDefault="008133F8" w:rsidP="00C26B90">
            <w:pPr>
              <w:jc w:val="right"/>
              <w:rPr>
                <w:sz w:val="20"/>
                <w:szCs w:val="20"/>
              </w:rPr>
            </w:pPr>
            <w:r w:rsidRPr="00CB4115">
              <w:rPr>
                <w:sz w:val="20"/>
                <w:szCs w:val="20"/>
              </w:rPr>
              <w:t>829</w:t>
            </w:r>
          </w:p>
          <w:p w14:paraId="4CFF3E51" w14:textId="77777777" w:rsidR="008133F8" w:rsidRPr="00CB4115" w:rsidRDefault="008133F8" w:rsidP="00C26B90">
            <w:pPr>
              <w:jc w:val="right"/>
              <w:rPr>
                <w:i/>
                <w:sz w:val="20"/>
                <w:szCs w:val="20"/>
              </w:rPr>
            </w:pPr>
            <w:r w:rsidRPr="00CB4115">
              <w:rPr>
                <w:i/>
                <w:sz w:val="20"/>
                <w:szCs w:val="20"/>
              </w:rPr>
              <w:t>414</w:t>
            </w:r>
          </w:p>
          <w:p w14:paraId="77068788" w14:textId="77777777" w:rsidR="008133F8" w:rsidRPr="00CB4115" w:rsidRDefault="008133F8" w:rsidP="00C26B90">
            <w:pPr>
              <w:jc w:val="right"/>
              <w:rPr>
                <w:i/>
                <w:sz w:val="20"/>
                <w:szCs w:val="20"/>
              </w:rPr>
            </w:pPr>
            <w:r w:rsidRPr="00CB4115">
              <w:rPr>
                <w:i/>
                <w:sz w:val="20"/>
                <w:szCs w:val="20"/>
              </w:rPr>
              <w:t>415</w:t>
            </w:r>
          </w:p>
          <w:p w14:paraId="508A7201" w14:textId="77777777" w:rsidR="008133F8" w:rsidRPr="00940833" w:rsidRDefault="008133F8" w:rsidP="00C26B90">
            <w:pPr>
              <w:spacing w:before="120"/>
              <w:jc w:val="right"/>
              <w:rPr>
                <w:sz w:val="20"/>
                <w:szCs w:val="20"/>
              </w:rPr>
            </w:pPr>
            <w:r w:rsidRPr="00940833">
              <w:rPr>
                <w:sz w:val="20"/>
                <w:szCs w:val="20"/>
              </w:rPr>
              <w:t>17 954 074</w:t>
            </w:r>
          </w:p>
          <w:p w14:paraId="6A44651B" w14:textId="77777777" w:rsidR="008133F8" w:rsidRPr="00940833" w:rsidRDefault="008133F8" w:rsidP="00C26B90">
            <w:pPr>
              <w:jc w:val="right"/>
              <w:rPr>
                <w:i/>
                <w:sz w:val="20"/>
                <w:szCs w:val="20"/>
              </w:rPr>
            </w:pPr>
            <w:r w:rsidRPr="00940833">
              <w:rPr>
                <w:i/>
                <w:sz w:val="20"/>
                <w:szCs w:val="20"/>
              </w:rPr>
              <w:t>17 943 664</w:t>
            </w:r>
          </w:p>
          <w:p w14:paraId="5CE7A75B" w14:textId="77777777" w:rsidR="008133F8" w:rsidRPr="004B11AC" w:rsidRDefault="008133F8" w:rsidP="00C26B90">
            <w:pPr>
              <w:jc w:val="right"/>
              <w:rPr>
                <w:i/>
                <w:color w:val="FF0000"/>
                <w:sz w:val="20"/>
                <w:szCs w:val="20"/>
              </w:rPr>
            </w:pPr>
            <w:r w:rsidRPr="00940833">
              <w:rPr>
                <w:i/>
                <w:sz w:val="20"/>
                <w:szCs w:val="20"/>
              </w:rPr>
              <w:t>10 410</w:t>
            </w:r>
          </w:p>
        </w:tc>
        <w:tc>
          <w:tcPr>
            <w:tcW w:w="1134" w:type="dxa"/>
            <w:tcBorders>
              <w:top w:val="nil"/>
              <w:left w:val="single" w:sz="4" w:space="0" w:color="auto"/>
              <w:bottom w:val="nil"/>
              <w:right w:val="single" w:sz="4" w:space="0" w:color="auto"/>
            </w:tcBorders>
          </w:tcPr>
          <w:p w14:paraId="3E0C3323" w14:textId="77777777" w:rsidR="008133F8" w:rsidRPr="00940833" w:rsidRDefault="008133F8" w:rsidP="00C26B90">
            <w:pPr>
              <w:jc w:val="right"/>
              <w:rPr>
                <w:sz w:val="20"/>
                <w:szCs w:val="20"/>
              </w:rPr>
            </w:pPr>
            <w:r w:rsidRPr="00940833">
              <w:rPr>
                <w:sz w:val="20"/>
                <w:szCs w:val="20"/>
              </w:rPr>
              <w:t>829</w:t>
            </w:r>
          </w:p>
          <w:p w14:paraId="7512A0D3" w14:textId="77777777" w:rsidR="008133F8" w:rsidRPr="00940833" w:rsidRDefault="008133F8" w:rsidP="00C26B90">
            <w:pPr>
              <w:jc w:val="right"/>
              <w:rPr>
                <w:i/>
                <w:sz w:val="20"/>
                <w:szCs w:val="20"/>
              </w:rPr>
            </w:pPr>
            <w:r w:rsidRPr="00940833">
              <w:rPr>
                <w:i/>
                <w:sz w:val="20"/>
                <w:szCs w:val="20"/>
              </w:rPr>
              <w:t>414</w:t>
            </w:r>
          </w:p>
          <w:p w14:paraId="66B0BA0F" w14:textId="77777777" w:rsidR="008133F8" w:rsidRPr="004B11AC" w:rsidRDefault="008133F8" w:rsidP="00C26B90">
            <w:pPr>
              <w:jc w:val="right"/>
              <w:rPr>
                <w:i/>
                <w:color w:val="FF0000"/>
                <w:sz w:val="20"/>
                <w:szCs w:val="20"/>
              </w:rPr>
            </w:pPr>
            <w:r w:rsidRPr="00940833">
              <w:rPr>
                <w:i/>
                <w:sz w:val="20"/>
                <w:szCs w:val="20"/>
              </w:rPr>
              <w:t>415</w:t>
            </w:r>
          </w:p>
          <w:p w14:paraId="24DEB196" w14:textId="77777777" w:rsidR="008133F8" w:rsidRPr="00940833" w:rsidRDefault="008133F8" w:rsidP="00C26B90">
            <w:pPr>
              <w:spacing w:before="120"/>
              <w:jc w:val="right"/>
              <w:rPr>
                <w:sz w:val="20"/>
                <w:szCs w:val="20"/>
              </w:rPr>
            </w:pPr>
            <w:r w:rsidRPr="00940833">
              <w:rPr>
                <w:sz w:val="20"/>
                <w:szCs w:val="20"/>
              </w:rPr>
              <w:t>17 954 074</w:t>
            </w:r>
          </w:p>
          <w:p w14:paraId="0E4F7CB2" w14:textId="77777777" w:rsidR="008133F8" w:rsidRPr="00940833" w:rsidRDefault="008133F8" w:rsidP="00C26B90">
            <w:pPr>
              <w:jc w:val="right"/>
              <w:rPr>
                <w:i/>
                <w:sz w:val="20"/>
                <w:szCs w:val="20"/>
              </w:rPr>
            </w:pPr>
            <w:r w:rsidRPr="00940833">
              <w:rPr>
                <w:i/>
                <w:sz w:val="20"/>
                <w:szCs w:val="20"/>
              </w:rPr>
              <w:t>17 943 664</w:t>
            </w:r>
          </w:p>
          <w:p w14:paraId="1A6F6ACB" w14:textId="77777777" w:rsidR="008133F8" w:rsidRPr="004B11AC" w:rsidRDefault="008133F8" w:rsidP="00C26B90">
            <w:pPr>
              <w:jc w:val="right"/>
              <w:rPr>
                <w:i/>
                <w:color w:val="FF0000"/>
                <w:sz w:val="20"/>
                <w:szCs w:val="20"/>
              </w:rPr>
            </w:pPr>
            <w:r w:rsidRPr="00940833">
              <w:rPr>
                <w:i/>
                <w:sz w:val="20"/>
                <w:szCs w:val="20"/>
              </w:rPr>
              <w:t>10 410</w:t>
            </w:r>
          </w:p>
        </w:tc>
        <w:tc>
          <w:tcPr>
            <w:tcW w:w="1134" w:type="dxa"/>
            <w:tcBorders>
              <w:top w:val="nil"/>
              <w:left w:val="single" w:sz="4" w:space="0" w:color="auto"/>
              <w:bottom w:val="nil"/>
              <w:right w:val="single" w:sz="4" w:space="0" w:color="auto"/>
            </w:tcBorders>
          </w:tcPr>
          <w:p w14:paraId="3F60B514" w14:textId="77777777" w:rsidR="008133F8" w:rsidRPr="00940833" w:rsidRDefault="008133F8" w:rsidP="00C26B90">
            <w:pPr>
              <w:jc w:val="right"/>
              <w:rPr>
                <w:sz w:val="20"/>
                <w:szCs w:val="20"/>
              </w:rPr>
            </w:pPr>
            <w:r w:rsidRPr="00940833">
              <w:rPr>
                <w:sz w:val="20"/>
                <w:szCs w:val="20"/>
              </w:rPr>
              <w:t>912</w:t>
            </w:r>
          </w:p>
          <w:p w14:paraId="7C0F971B" w14:textId="77777777" w:rsidR="008133F8" w:rsidRPr="00940833" w:rsidRDefault="008133F8" w:rsidP="00C26B90">
            <w:pPr>
              <w:jc w:val="right"/>
              <w:rPr>
                <w:i/>
                <w:sz w:val="20"/>
                <w:szCs w:val="20"/>
              </w:rPr>
            </w:pPr>
            <w:r w:rsidRPr="00940833">
              <w:rPr>
                <w:i/>
                <w:sz w:val="20"/>
                <w:szCs w:val="20"/>
              </w:rPr>
              <w:t>456</w:t>
            </w:r>
          </w:p>
          <w:p w14:paraId="7D24D4A6" w14:textId="77777777" w:rsidR="008133F8" w:rsidRPr="00940833" w:rsidRDefault="008133F8" w:rsidP="00C26B90">
            <w:pPr>
              <w:jc w:val="right"/>
              <w:rPr>
                <w:i/>
                <w:sz w:val="20"/>
                <w:szCs w:val="20"/>
              </w:rPr>
            </w:pPr>
            <w:r w:rsidRPr="00940833">
              <w:rPr>
                <w:i/>
                <w:sz w:val="20"/>
                <w:szCs w:val="20"/>
              </w:rPr>
              <w:t>456</w:t>
            </w:r>
          </w:p>
          <w:p w14:paraId="08FEEF9A" w14:textId="77777777" w:rsidR="008133F8" w:rsidRPr="00940833" w:rsidRDefault="008133F8" w:rsidP="00C26B90">
            <w:pPr>
              <w:spacing w:before="120"/>
              <w:jc w:val="right"/>
              <w:rPr>
                <w:sz w:val="20"/>
                <w:szCs w:val="20"/>
              </w:rPr>
            </w:pPr>
            <w:r w:rsidRPr="00940833">
              <w:rPr>
                <w:sz w:val="20"/>
                <w:szCs w:val="20"/>
              </w:rPr>
              <w:t>14 582 101</w:t>
            </w:r>
          </w:p>
          <w:p w14:paraId="373A8DD5" w14:textId="77777777" w:rsidR="008133F8" w:rsidRPr="00940833" w:rsidRDefault="008133F8" w:rsidP="00C26B90">
            <w:pPr>
              <w:jc w:val="right"/>
              <w:rPr>
                <w:i/>
                <w:sz w:val="20"/>
                <w:szCs w:val="20"/>
              </w:rPr>
            </w:pPr>
            <w:r w:rsidRPr="00940833">
              <w:rPr>
                <w:i/>
                <w:sz w:val="20"/>
                <w:szCs w:val="20"/>
              </w:rPr>
              <w:t>14 566 762</w:t>
            </w:r>
          </w:p>
          <w:p w14:paraId="5C6008A2" w14:textId="77777777" w:rsidR="008133F8" w:rsidRPr="004B11AC" w:rsidRDefault="008133F8" w:rsidP="00C26B90">
            <w:pPr>
              <w:jc w:val="right"/>
              <w:rPr>
                <w:i/>
                <w:color w:val="FF0000"/>
                <w:sz w:val="20"/>
                <w:szCs w:val="20"/>
              </w:rPr>
            </w:pPr>
            <w:r w:rsidRPr="00940833">
              <w:rPr>
                <w:i/>
                <w:sz w:val="20"/>
                <w:szCs w:val="20"/>
              </w:rPr>
              <w:t>15 339</w:t>
            </w:r>
          </w:p>
        </w:tc>
        <w:tc>
          <w:tcPr>
            <w:tcW w:w="992" w:type="dxa"/>
            <w:tcBorders>
              <w:top w:val="nil"/>
              <w:left w:val="single" w:sz="4" w:space="0" w:color="auto"/>
              <w:bottom w:val="nil"/>
            </w:tcBorders>
          </w:tcPr>
          <w:p w14:paraId="6B380A09" w14:textId="77777777" w:rsidR="008133F8" w:rsidRPr="00C06167" w:rsidRDefault="008133F8" w:rsidP="00C26B90">
            <w:pPr>
              <w:jc w:val="right"/>
              <w:rPr>
                <w:sz w:val="20"/>
                <w:szCs w:val="20"/>
              </w:rPr>
            </w:pPr>
            <w:r w:rsidRPr="00C06167">
              <w:rPr>
                <w:sz w:val="20"/>
                <w:szCs w:val="20"/>
              </w:rPr>
              <w:t>103,52</w:t>
            </w:r>
          </w:p>
          <w:p w14:paraId="5FE5FDA5" w14:textId="77777777" w:rsidR="008133F8" w:rsidRPr="00C06167" w:rsidRDefault="008133F8" w:rsidP="00C26B90">
            <w:pPr>
              <w:jc w:val="right"/>
              <w:rPr>
                <w:i/>
                <w:sz w:val="20"/>
                <w:szCs w:val="20"/>
              </w:rPr>
            </w:pPr>
            <w:r w:rsidRPr="00C06167">
              <w:rPr>
                <w:i/>
                <w:sz w:val="20"/>
                <w:szCs w:val="20"/>
              </w:rPr>
              <w:t>103,64</w:t>
            </w:r>
          </w:p>
          <w:p w14:paraId="15407EE2" w14:textId="77777777" w:rsidR="008133F8" w:rsidRPr="00C06167" w:rsidRDefault="008133F8" w:rsidP="00C26B90">
            <w:pPr>
              <w:jc w:val="right"/>
              <w:rPr>
                <w:i/>
                <w:sz w:val="20"/>
                <w:szCs w:val="20"/>
              </w:rPr>
            </w:pPr>
            <w:r w:rsidRPr="00C06167">
              <w:rPr>
                <w:i/>
                <w:sz w:val="20"/>
                <w:szCs w:val="20"/>
              </w:rPr>
              <w:t>103,40</w:t>
            </w:r>
          </w:p>
          <w:p w14:paraId="665052B4" w14:textId="77777777" w:rsidR="008133F8" w:rsidRPr="00C06167" w:rsidRDefault="008133F8" w:rsidP="00C26B90">
            <w:pPr>
              <w:spacing w:before="120"/>
              <w:jc w:val="right"/>
              <w:rPr>
                <w:sz w:val="20"/>
                <w:szCs w:val="20"/>
              </w:rPr>
            </w:pPr>
            <w:r w:rsidRPr="00C06167">
              <w:rPr>
                <w:sz w:val="20"/>
                <w:szCs w:val="20"/>
              </w:rPr>
              <w:t>125,77</w:t>
            </w:r>
          </w:p>
          <w:p w14:paraId="3281C2D8" w14:textId="77777777" w:rsidR="008133F8" w:rsidRPr="00C06167" w:rsidRDefault="008133F8" w:rsidP="00C26B90">
            <w:pPr>
              <w:jc w:val="right"/>
              <w:rPr>
                <w:i/>
                <w:sz w:val="20"/>
                <w:szCs w:val="20"/>
              </w:rPr>
            </w:pPr>
            <w:r w:rsidRPr="00C06167">
              <w:rPr>
                <w:i/>
                <w:sz w:val="20"/>
                <w:szCs w:val="20"/>
              </w:rPr>
              <w:t>125,83</w:t>
            </w:r>
          </w:p>
          <w:p w14:paraId="371CB12F" w14:textId="77777777" w:rsidR="008133F8" w:rsidRPr="00C06167" w:rsidRDefault="008133F8" w:rsidP="00C26B90">
            <w:pPr>
              <w:jc w:val="right"/>
              <w:rPr>
                <w:i/>
                <w:sz w:val="20"/>
                <w:szCs w:val="20"/>
              </w:rPr>
            </w:pPr>
            <w:r w:rsidRPr="00C06167">
              <w:rPr>
                <w:i/>
                <w:sz w:val="20"/>
                <w:szCs w:val="20"/>
              </w:rPr>
              <w:t>88,97</w:t>
            </w:r>
          </w:p>
        </w:tc>
      </w:tr>
      <w:tr w:rsidR="008133F8" w:rsidRPr="00E91988" w14:paraId="7D1EB09A" w14:textId="77777777" w:rsidTr="00C26B90">
        <w:trPr>
          <w:jc w:val="center"/>
        </w:trPr>
        <w:tc>
          <w:tcPr>
            <w:tcW w:w="3686" w:type="dxa"/>
            <w:tcBorders>
              <w:top w:val="nil"/>
              <w:bottom w:val="single" w:sz="4" w:space="0" w:color="auto"/>
              <w:right w:val="single" w:sz="4" w:space="0" w:color="auto"/>
            </w:tcBorders>
          </w:tcPr>
          <w:p w14:paraId="68D1AB8A" w14:textId="77777777" w:rsidR="008133F8" w:rsidRPr="00FE4B68" w:rsidRDefault="008133F8" w:rsidP="00C26B90">
            <w:pPr>
              <w:spacing w:before="120"/>
              <w:ind w:left="-68"/>
              <w:rPr>
                <w:sz w:val="20"/>
                <w:szCs w:val="20"/>
              </w:rPr>
            </w:pPr>
            <w:r w:rsidRPr="00FE4B68">
              <w:rPr>
                <w:sz w:val="20"/>
                <w:szCs w:val="20"/>
              </w:rPr>
              <w:t>Komunitární programy (2014 – 2020)</w:t>
            </w:r>
          </w:p>
          <w:p w14:paraId="4EAEBC1A" w14:textId="77777777" w:rsidR="008133F8" w:rsidRPr="00FE4B68" w:rsidRDefault="008133F8" w:rsidP="00C26B90">
            <w:pPr>
              <w:ind w:left="-70"/>
              <w:rPr>
                <w:i/>
                <w:sz w:val="20"/>
                <w:szCs w:val="20"/>
              </w:rPr>
            </w:pPr>
            <w:r w:rsidRPr="00FE4B68">
              <w:rPr>
                <w:i/>
                <w:sz w:val="20"/>
                <w:szCs w:val="20"/>
              </w:rPr>
              <w:t>v tom: EU podíl</w:t>
            </w:r>
          </w:p>
          <w:p w14:paraId="20730BA9" w14:textId="77777777" w:rsidR="008133F8" w:rsidRPr="00FE4B68" w:rsidRDefault="008133F8" w:rsidP="00C26B90">
            <w:pPr>
              <w:ind w:left="-70"/>
              <w:rPr>
                <w:sz w:val="20"/>
                <w:szCs w:val="20"/>
                <w:highlight w:val="yellow"/>
              </w:rPr>
            </w:pPr>
            <w:r w:rsidRPr="00FE4B68">
              <w:rPr>
                <w:i/>
                <w:sz w:val="20"/>
                <w:szCs w:val="20"/>
              </w:rPr>
              <w:t xml:space="preserve">            SR podíl</w:t>
            </w:r>
          </w:p>
        </w:tc>
        <w:tc>
          <w:tcPr>
            <w:tcW w:w="1134" w:type="dxa"/>
            <w:tcBorders>
              <w:top w:val="nil"/>
              <w:left w:val="single" w:sz="4" w:space="0" w:color="auto"/>
              <w:bottom w:val="single" w:sz="4" w:space="0" w:color="auto"/>
              <w:right w:val="single" w:sz="4" w:space="0" w:color="auto"/>
            </w:tcBorders>
          </w:tcPr>
          <w:p w14:paraId="7893208B" w14:textId="77777777" w:rsidR="008133F8" w:rsidRPr="00FE4B68" w:rsidRDefault="008133F8" w:rsidP="00C26B90">
            <w:pPr>
              <w:spacing w:before="120"/>
              <w:jc w:val="right"/>
              <w:rPr>
                <w:sz w:val="20"/>
                <w:szCs w:val="20"/>
              </w:rPr>
            </w:pPr>
            <w:r w:rsidRPr="00FE4B68">
              <w:rPr>
                <w:sz w:val="20"/>
                <w:szCs w:val="20"/>
              </w:rPr>
              <w:t>2 634 085</w:t>
            </w:r>
          </w:p>
          <w:p w14:paraId="3F545FA5" w14:textId="77777777" w:rsidR="008133F8" w:rsidRPr="00FE4B68" w:rsidRDefault="008133F8" w:rsidP="00C26B90">
            <w:pPr>
              <w:jc w:val="right"/>
              <w:rPr>
                <w:i/>
                <w:sz w:val="20"/>
                <w:szCs w:val="20"/>
              </w:rPr>
            </w:pPr>
            <w:r w:rsidRPr="00FE4B68">
              <w:rPr>
                <w:i/>
                <w:sz w:val="20"/>
                <w:szCs w:val="20"/>
              </w:rPr>
              <w:t>2 633 597</w:t>
            </w:r>
          </w:p>
          <w:p w14:paraId="22E60D31" w14:textId="77777777" w:rsidR="008133F8" w:rsidRPr="00FE4B68" w:rsidRDefault="008133F8" w:rsidP="00C26B90">
            <w:pPr>
              <w:jc w:val="right"/>
              <w:rPr>
                <w:sz w:val="20"/>
                <w:szCs w:val="20"/>
              </w:rPr>
            </w:pPr>
            <w:r w:rsidRPr="00FE4B68">
              <w:rPr>
                <w:i/>
                <w:sz w:val="20"/>
                <w:szCs w:val="20"/>
              </w:rPr>
              <w:t>488</w:t>
            </w:r>
          </w:p>
        </w:tc>
        <w:tc>
          <w:tcPr>
            <w:tcW w:w="1134" w:type="dxa"/>
            <w:tcBorders>
              <w:top w:val="nil"/>
              <w:left w:val="single" w:sz="4" w:space="0" w:color="auto"/>
              <w:bottom w:val="single" w:sz="4" w:space="0" w:color="auto"/>
              <w:right w:val="single" w:sz="4" w:space="0" w:color="auto"/>
            </w:tcBorders>
            <w:vAlign w:val="center"/>
          </w:tcPr>
          <w:p w14:paraId="6E94D8E1" w14:textId="77777777" w:rsidR="008133F8" w:rsidRPr="00602930" w:rsidRDefault="008133F8" w:rsidP="00C26B90">
            <w:pPr>
              <w:spacing w:before="60"/>
              <w:jc w:val="right"/>
              <w:rPr>
                <w:sz w:val="20"/>
                <w:szCs w:val="20"/>
              </w:rPr>
            </w:pPr>
            <w:r>
              <w:rPr>
                <w:sz w:val="20"/>
                <w:szCs w:val="20"/>
              </w:rPr>
              <w:t>927 87</w:t>
            </w:r>
            <w:r w:rsidRPr="00602930">
              <w:rPr>
                <w:sz w:val="20"/>
                <w:szCs w:val="20"/>
              </w:rPr>
              <w:t>8</w:t>
            </w:r>
          </w:p>
          <w:p w14:paraId="5F5125E6" w14:textId="77777777" w:rsidR="008133F8" w:rsidRPr="00602930" w:rsidRDefault="008133F8" w:rsidP="00C26B90">
            <w:pPr>
              <w:jc w:val="right"/>
              <w:rPr>
                <w:i/>
                <w:sz w:val="20"/>
                <w:szCs w:val="20"/>
              </w:rPr>
            </w:pPr>
            <w:r w:rsidRPr="00602930">
              <w:rPr>
                <w:i/>
                <w:sz w:val="20"/>
                <w:szCs w:val="20"/>
              </w:rPr>
              <w:t>925 6</w:t>
            </w:r>
            <w:r>
              <w:rPr>
                <w:i/>
                <w:sz w:val="20"/>
                <w:szCs w:val="20"/>
              </w:rPr>
              <w:t>5</w:t>
            </w:r>
            <w:r w:rsidRPr="00602930">
              <w:rPr>
                <w:i/>
                <w:sz w:val="20"/>
                <w:szCs w:val="20"/>
              </w:rPr>
              <w:t>5</w:t>
            </w:r>
          </w:p>
          <w:p w14:paraId="4727D3A1" w14:textId="77777777" w:rsidR="008133F8" w:rsidRPr="004B11AC" w:rsidRDefault="008133F8" w:rsidP="00C26B90">
            <w:pPr>
              <w:jc w:val="right"/>
              <w:rPr>
                <w:color w:val="FF0000"/>
                <w:sz w:val="20"/>
                <w:szCs w:val="20"/>
              </w:rPr>
            </w:pPr>
            <w:r w:rsidRPr="00602930">
              <w:rPr>
                <w:i/>
                <w:sz w:val="20"/>
                <w:szCs w:val="20"/>
              </w:rPr>
              <w:t>2 223</w:t>
            </w:r>
          </w:p>
        </w:tc>
        <w:tc>
          <w:tcPr>
            <w:tcW w:w="1134" w:type="dxa"/>
            <w:tcBorders>
              <w:top w:val="nil"/>
              <w:left w:val="single" w:sz="4" w:space="0" w:color="auto"/>
              <w:bottom w:val="single" w:sz="4" w:space="0" w:color="auto"/>
              <w:right w:val="single" w:sz="4" w:space="0" w:color="auto"/>
            </w:tcBorders>
            <w:vAlign w:val="center"/>
          </w:tcPr>
          <w:p w14:paraId="5DEE909E" w14:textId="77777777" w:rsidR="008133F8" w:rsidRPr="00602930" w:rsidRDefault="008133F8" w:rsidP="00C26B90">
            <w:pPr>
              <w:spacing w:before="60"/>
              <w:jc w:val="right"/>
              <w:rPr>
                <w:sz w:val="20"/>
                <w:szCs w:val="20"/>
              </w:rPr>
            </w:pPr>
            <w:r w:rsidRPr="00602930">
              <w:rPr>
                <w:sz w:val="20"/>
                <w:szCs w:val="20"/>
              </w:rPr>
              <w:t>927 8</w:t>
            </w:r>
            <w:r>
              <w:rPr>
                <w:sz w:val="20"/>
                <w:szCs w:val="20"/>
              </w:rPr>
              <w:t>7</w:t>
            </w:r>
            <w:r w:rsidRPr="00602930">
              <w:rPr>
                <w:sz w:val="20"/>
                <w:szCs w:val="20"/>
              </w:rPr>
              <w:t>8</w:t>
            </w:r>
          </w:p>
          <w:p w14:paraId="242EE207" w14:textId="77777777" w:rsidR="008133F8" w:rsidRPr="00602930" w:rsidRDefault="008133F8" w:rsidP="00C26B90">
            <w:pPr>
              <w:jc w:val="right"/>
              <w:rPr>
                <w:i/>
                <w:sz w:val="20"/>
                <w:szCs w:val="20"/>
              </w:rPr>
            </w:pPr>
            <w:r w:rsidRPr="00602930">
              <w:rPr>
                <w:i/>
                <w:sz w:val="20"/>
                <w:szCs w:val="20"/>
              </w:rPr>
              <w:t>925 6</w:t>
            </w:r>
            <w:r>
              <w:rPr>
                <w:i/>
                <w:sz w:val="20"/>
                <w:szCs w:val="20"/>
              </w:rPr>
              <w:t>5</w:t>
            </w:r>
            <w:r w:rsidRPr="00602930">
              <w:rPr>
                <w:i/>
                <w:sz w:val="20"/>
                <w:szCs w:val="20"/>
              </w:rPr>
              <w:t>5</w:t>
            </w:r>
          </w:p>
          <w:p w14:paraId="35A1FE36" w14:textId="77777777" w:rsidR="008133F8" w:rsidRPr="004B11AC" w:rsidRDefault="008133F8" w:rsidP="00C26B90">
            <w:pPr>
              <w:jc w:val="right"/>
              <w:rPr>
                <w:color w:val="FF0000"/>
                <w:sz w:val="20"/>
                <w:szCs w:val="20"/>
              </w:rPr>
            </w:pPr>
            <w:r w:rsidRPr="00602930">
              <w:rPr>
                <w:i/>
                <w:sz w:val="20"/>
                <w:szCs w:val="20"/>
              </w:rPr>
              <w:t>2 223</w:t>
            </w:r>
          </w:p>
        </w:tc>
        <w:tc>
          <w:tcPr>
            <w:tcW w:w="1134" w:type="dxa"/>
            <w:tcBorders>
              <w:top w:val="nil"/>
              <w:left w:val="single" w:sz="4" w:space="0" w:color="auto"/>
              <w:bottom w:val="single" w:sz="4" w:space="0" w:color="auto"/>
              <w:right w:val="single" w:sz="4" w:space="0" w:color="auto"/>
            </w:tcBorders>
            <w:vAlign w:val="center"/>
          </w:tcPr>
          <w:p w14:paraId="22A22507" w14:textId="77777777" w:rsidR="008133F8" w:rsidRPr="008C6BC3" w:rsidRDefault="008133F8" w:rsidP="00C26B90">
            <w:pPr>
              <w:spacing w:before="60"/>
              <w:jc w:val="right"/>
              <w:rPr>
                <w:sz w:val="20"/>
                <w:szCs w:val="20"/>
              </w:rPr>
            </w:pPr>
            <w:r w:rsidRPr="008C6BC3">
              <w:rPr>
                <w:sz w:val="20"/>
                <w:szCs w:val="20"/>
              </w:rPr>
              <w:t>3 180 072</w:t>
            </w:r>
          </w:p>
          <w:p w14:paraId="417334FD" w14:textId="77777777" w:rsidR="008133F8" w:rsidRPr="008C6BC3" w:rsidRDefault="008133F8" w:rsidP="00C26B90">
            <w:pPr>
              <w:jc w:val="right"/>
              <w:rPr>
                <w:i/>
                <w:sz w:val="20"/>
                <w:szCs w:val="20"/>
              </w:rPr>
            </w:pPr>
            <w:r w:rsidRPr="008C6BC3">
              <w:rPr>
                <w:i/>
                <w:sz w:val="20"/>
                <w:szCs w:val="20"/>
              </w:rPr>
              <w:t>3 178 401</w:t>
            </w:r>
          </w:p>
          <w:p w14:paraId="7BC4B7A1" w14:textId="77777777" w:rsidR="008133F8" w:rsidRPr="004B11AC" w:rsidRDefault="008133F8" w:rsidP="00C26B90">
            <w:pPr>
              <w:jc w:val="right"/>
              <w:rPr>
                <w:color w:val="FF0000"/>
                <w:sz w:val="20"/>
                <w:szCs w:val="20"/>
              </w:rPr>
            </w:pPr>
            <w:r w:rsidRPr="008C6BC3">
              <w:rPr>
                <w:i/>
                <w:sz w:val="20"/>
                <w:szCs w:val="20"/>
              </w:rPr>
              <w:t>1 671</w:t>
            </w:r>
          </w:p>
        </w:tc>
        <w:tc>
          <w:tcPr>
            <w:tcW w:w="992" w:type="dxa"/>
            <w:tcBorders>
              <w:top w:val="nil"/>
              <w:left w:val="single" w:sz="4" w:space="0" w:color="auto"/>
              <w:bottom w:val="single" w:sz="4" w:space="0" w:color="auto"/>
            </w:tcBorders>
            <w:vAlign w:val="bottom"/>
          </w:tcPr>
          <w:p w14:paraId="44C5A701" w14:textId="77777777" w:rsidR="008133F8" w:rsidRPr="00C06167" w:rsidRDefault="008133F8" w:rsidP="00C26B90">
            <w:pPr>
              <w:rPr>
                <w:i/>
                <w:sz w:val="20"/>
                <w:szCs w:val="20"/>
              </w:rPr>
            </w:pPr>
            <w:r w:rsidRPr="00C06167">
              <w:rPr>
                <w:i/>
                <w:sz w:val="20"/>
                <w:szCs w:val="20"/>
              </w:rPr>
              <w:t xml:space="preserve">    120,73</w:t>
            </w:r>
          </w:p>
          <w:p w14:paraId="6DA4B398" w14:textId="77777777" w:rsidR="008133F8" w:rsidRPr="00C06167" w:rsidRDefault="008133F8" w:rsidP="00C26B90">
            <w:pPr>
              <w:jc w:val="right"/>
              <w:rPr>
                <w:i/>
                <w:sz w:val="20"/>
                <w:szCs w:val="20"/>
              </w:rPr>
            </w:pPr>
            <w:r w:rsidRPr="00C06167">
              <w:rPr>
                <w:i/>
                <w:sz w:val="20"/>
                <w:szCs w:val="20"/>
              </w:rPr>
              <w:t>120,69</w:t>
            </w:r>
          </w:p>
          <w:p w14:paraId="628AAD14" w14:textId="77777777" w:rsidR="008133F8" w:rsidRPr="00C06167" w:rsidRDefault="008133F8" w:rsidP="00C26B90">
            <w:pPr>
              <w:jc w:val="right"/>
              <w:rPr>
                <w:i/>
                <w:sz w:val="20"/>
                <w:szCs w:val="20"/>
              </w:rPr>
            </w:pPr>
            <w:r w:rsidRPr="00C06167">
              <w:rPr>
                <w:i/>
                <w:sz w:val="20"/>
                <w:szCs w:val="20"/>
              </w:rPr>
              <w:t>348,42</w:t>
            </w:r>
          </w:p>
        </w:tc>
      </w:tr>
    </w:tbl>
    <w:p w14:paraId="1D6A0A12" w14:textId="77777777" w:rsidR="00556FCC" w:rsidRPr="004B11AC" w:rsidRDefault="00556FCC" w:rsidP="00275CE2">
      <w:pPr>
        <w:pStyle w:val="Odstavecseseznamem"/>
        <w:keepNext/>
        <w:numPr>
          <w:ilvl w:val="0"/>
          <w:numId w:val="11"/>
        </w:numPr>
        <w:tabs>
          <w:tab w:val="left" w:pos="709"/>
        </w:tabs>
        <w:spacing w:before="120" w:after="160"/>
        <w:contextualSpacing w:val="0"/>
        <w:jc w:val="both"/>
        <w:outlineLvl w:val="1"/>
        <w:rPr>
          <w:b/>
          <w:vanish/>
          <w:color w:val="FF0000"/>
          <w:sz w:val="26"/>
        </w:rPr>
      </w:pPr>
      <w:bookmarkStart w:id="1061" w:name="_Toc1376782"/>
      <w:bookmarkStart w:id="1062" w:name="_Toc1376860"/>
      <w:bookmarkStart w:id="1063" w:name="_Toc1377505"/>
      <w:bookmarkStart w:id="1064" w:name="_Toc1473508"/>
      <w:bookmarkStart w:id="1065" w:name="_Toc1491662"/>
      <w:bookmarkStart w:id="1066" w:name="_Toc1491741"/>
      <w:bookmarkStart w:id="1067" w:name="_Toc1561719"/>
      <w:bookmarkStart w:id="1068" w:name="_Toc2757018"/>
      <w:bookmarkStart w:id="1069" w:name="_Toc2786562"/>
      <w:bookmarkStart w:id="1070" w:name="_Toc2789322"/>
      <w:bookmarkStart w:id="1071" w:name="_Toc2789449"/>
      <w:bookmarkStart w:id="1072" w:name="_Toc32587620"/>
      <w:bookmarkStart w:id="1073" w:name="_Toc32587714"/>
      <w:bookmarkStart w:id="1074" w:name="_Toc32935741"/>
      <w:bookmarkStart w:id="1075" w:name="_Toc34204629"/>
      <w:bookmarkStart w:id="1076" w:name="_Toc34286421"/>
      <w:bookmarkStart w:id="1077" w:name="_Toc34286488"/>
      <w:bookmarkStart w:id="1078" w:name="_Toc508879930"/>
      <w:bookmarkStart w:id="1079" w:name="_Toc508880206"/>
      <w:bookmarkStart w:id="1080" w:name="_Toc535839774"/>
      <w:bookmarkStart w:id="1081" w:name="_Toc255297658"/>
      <w:bookmarkStart w:id="1082" w:name="_Toc41341368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14:paraId="08110D6A" w14:textId="77777777" w:rsidR="00556FCC" w:rsidRPr="004B11AC" w:rsidRDefault="00556FCC" w:rsidP="00275CE2">
      <w:pPr>
        <w:pStyle w:val="Odstavecseseznamem"/>
        <w:keepNext/>
        <w:numPr>
          <w:ilvl w:val="0"/>
          <w:numId w:val="11"/>
        </w:numPr>
        <w:tabs>
          <w:tab w:val="left" w:pos="709"/>
        </w:tabs>
        <w:spacing w:before="120" w:after="160"/>
        <w:contextualSpacing w:val="0"/>
        <w:jc w:val="both"/>
        <w:outlineLvl w:val="1"/>
        <w:rPr>
          <w:b/>
          <w:vanish/>
          <w:color w:val="FF0000"/>
          <w:sz w:val="26"/>
        </w:rPr>
      </w:pPr>
      <w:bookmarkStart w:id="1083" w:name="_Toc1376783"/>
      <w:bookmarkStart w:id="1084" w:name="_Toc1376861"/>
      <w:bookmarkStart w:id="1085" w:name="_Toc1377506"/>
      <w:bookmarkStart w:id="1086" w:name="_Toc1473509"/>
      <w:bookmarkStart w:id="1087" w:name="_Toc1491663"/>
      <w:bookmarkStart w:id="1088" w:name="_Toc1491742"/>
      <w:bookmarkStart w:id="1089" w:name="_Toc1561720"/>
      <w:bookmarkStart w:id="1090" w:name="_Toc2757019"/>
      <w:bookmarkStart w:id="1091" w:name="_Toc2786563"/>
      <w:bookmarkStart w:id="1092" w:name="_Toc2789323"/>
      <w:bookmarkStart w:id="1093" w:name="_Toc2789450"/>
      <w:bookmarkStart w:id="1094" w:name="_Toc32587621"/>
      <w:bookmarkStart w:id="1095" w:name="_Toc32587715"/>
      <w:bookmarkStart w:id="1096" w:name="_Toc32935742"/>
      <w:bookmarkStart w:id="1097" w:name="_Toc34204630"/>
      <w:bookmarkStart w:id="1098" w:name="_Toc34286422"/>
      <w:bookmarkStart w:id="1099" w:name="_Toc34286489"/>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14:paraId="113C49D1" w14:textId="77777777" w:rsidR="00556FCC" w:rsidRPr="00E55588" w:rsidRDefault="00556FCC" w:rsidP="00EA39DC">
      <w:pPr>
        <w:pStyle w:val="Nadpis2"/>
        <w:spacing w:before="360"/>
      </w:pPr>
      <w:bookmarkStart w:id="1100" w:name="_Toc508879931"/>
      <w:bookmarkStart w:id="1101" w:name="_Toc508880207"/>
      <w:bookmarkStart w:id="1102" w:name="_Toc535839775"/>
      <w:bookmarkStart w:id="1103" w:name="_Toc1376863"/>
      <w:bookmarkStart w:id="1104" w:name="_Toc34286490"/>
      <w:bookmarkEnd w:id="1078"/>
      <w:bookmarkEnd w:id="1079"/>
      <w:bookmarkEnd w:id="1080"/>
      <w:r w:rsidRPr="00E55588">
        <w:t>Operační program Infrastruktura</w:t>
      </w:r>
      <w:bookmarkEnd w:id="1081"/>
      <w:bookmarkEnd w:id="1082"/>
      <w:bookmarkEnd w:id="1100"/>
      <w:bookmarkEnd w:id="1101"/>
      <w:bookmarkEnd w:id="1102"/>
      <w:bookmarkEnd w:id="1103"/>
      <w:bookmarkEnd w:id="1104"/>
    </w:p>
    <w:p w14:paraId="50E89424" w14:textId="77777777" w:rsidR="00556FCC" w:rsidRPr="00F0588D" w:rsidRDefault="00556FCC" w:rsidP="005A7C2C">
      <w:pPr>
        <w:pStyle w:val="KOMtext"/>
      </w:pPr>
      <w:bookmarkStart w:id="1105" w:name="_Toc255297659"/>
      <w:r w:rsidRPr="00F0588D">
        <w:t>Z pohledu výdajů SR kapitoly 327 MD je OP Infrastruktura ukončený. Na financování projektů OP Infrastruktura nebyly v letech 2010-2019 vyplaceny žádné finanční prostředky z prostředků SR kapitoly 327 MD.</w:t>
      </w:r>
    </w:p>
    <w:p w14:paraId="05881248" w14:textId="59308356" w:rsidR="00556FCC" w:rsidRPr="00F0588D" w:rsidRDefault="00556FCC" w:rsidP="005A7C2C">
      <w:pPr>
        <w:pStyle w:val="KOMtext"/>
      </w:pPr>
      <w:r w:rsidRPr="00F0588D">
        <w:lastRenderedPageBreak/>
        <w:t>Ve druhé polovině roku 2010 provedlo MŽP závěrečnou 11. certifikaci výdajů, kterou bylo na EK zažádáno o proplacení závěrečných 5 % alokace. V roce 2012 provedla EK částečnou úhradu této certifikace. Ze strany PCO byly refundovány v roce 2012 na účet MD prostředky ve výši 49 928 tis. Kč. Dne 7. 4. 2014 se uskutečnil</w:t>
      </w:r>
      <w:r w:rsidR="005A7C2C">
        <w:t xml:space="preserve"> „hearing“ se zástupci EK</w:t>
      </w:r>
      <w:r w:rsidRPr="00F0588D">
        <w:t xml:space="preserve"> o ukončení OPI, kde byla dořešena konečná výše finančních oprav. V průběhu prosince 2018 (10. 12. 2018) byla odsouhlasena kalkulace poslední tranše závěrečné platby za OP Infrastruktura. Dne 10. 9. 2019 došlo ze strany EK k oficiálnímu ukončení OP Infrastruktura. </w:t>
      </w:r>
      <w:r w:rsidRPr="00F0588D">
        <w:rPr>
          <w:b/>
        </w:rPr>
        <w:t xml:space="preserve">Závěrečná platba ve výši </w:t>
      </w:r>
      <w:r w:rsidR="00A06E49">
        <w:rPr>
          <w:b/>
        </w:rPr>
        <w:br/>
      </w:r>
      <w:r w:rsidRPr="00F0588D">
        <w:rPr>
          <w:b/>
        </w:rPr>
        <w:t>95 328 658,26 Kč</w:t>
      </w:r>
      <w:r w:rsidRPr="00F0588D">
        <w:t xml:space="preserve"> byla se splatností k 11. 12. 2019 převedena na účet kapitoly 327, čímž došlo k závěrečnému finančnímu vypořádání programu.</w:t>
      </w:r>
    </w:p>
    <w:p w14:paraId="50320888" w14:textId="77777777" w:rsidR="00556FCC" w:rsidRPr="004B32AF" w:rsidRDefault="00556FCC" w:rsidP="00EA39DC">
      <w:pPr>
        <w:pStyle w:val="Nadpis2"/>
        <w:spacing w:before="360"/>
      </w:pPr>
      <w:bookmarkStart w:id="1106" w:name="_Toc399836810"/>
      <w:bookmarkStart w:id="1107" w:name="_Toc413413682"/>
      <w:bookmarkStart w:id="1108" w:name="_Toc508879933"/>
      <w:bookmarkStart w:id="1109" w:name="_Toc508880209"/>
      <w:bookmarkStart w:id="1110" w:name="_Toc535839777"/>
      <w:bookmarkStart w:id="1111" w:name="_Toc1376865"/>
      <w:bookmarkStart w:id="1112" w:name="_Toc34286491"/>
      <w:bookmarkStart w:id="1113" w:name="_Toc255297660"/>
      <w:bookmarkStart w:id="1114" w:name="_Toc285037581"/>
      <w:bookmarkEnd w:id="1105"/>
      <w:r w:rsidRPr="004B32AF">
        <w:t>Operační program Doprava – programové období 2014 – 2020</w:t>
      </w:r>
      <w:bookmarkEnd w:id="1106"/>
      <w:bookmarkEnd w:id="1107"/>
      <w:bookmarkEnd w:id="1108"/>
      <w:bookmarkEnd w:id="1109"/>
      <w:bookmarkEnd w:id="1110"/>
      <w:bookmarkEnd w:id="1111"/>
      <w:bookmarkEnd w:id="1112"/>
    </w:p>
    <w:p w14:paraId="2A7E21F9" w14:textId="77777777" w:rsidR="00556FCC" w:rsidRPr="00A44305" w:rsidRDefault="00556FCC" w:rsidP="00DA1FD4">
      <w:pPr>
        <w:keepNext/>
        <w:keepLines/>
        <w:spacing w:before="120" w:after="120"/>
        <w:jc w:val="both"/>
        <w:rPr>
          <w:b/>
        </w:rPr>
      </w:pPr>
      <w:bookmarkStart w:id="1115" w:name="_Toc177762"/>
      <w:r w:rsidRPr="00A44305">
        <w:rPr>
          <w:b/>
        </w:rPr>
        <w:t>Skutečné čerpání za rok 2019:</w:t>
      </w:r>
      <w:r w:rsidRPr="00A44305">
        <w:rPr>
          <w:b/>
        </w:rPr>
        <w:tab/>
      </w:r>
      <w:r w:rsidRPr="00A44305">
        <w:rPr>
          <w:b/>
        </w:rPr>
        <w:tab/>
        <w:t>14 582 101 tis. Kč</w:t>
      </w:r>
    </w:p>
    <w:p w14:paraId="43EA1BC2" w14:textId="77777777" w:rsidR="00556FCC" w:rsidRPr="00A44305" w:rsidRDefault="00556FCC" w:rsidP="00DA1FD4">
      <w:pPr>
        <w:keepNext/>
        <w:keepLines/>
        <w:spacing w:before="120" w:after="120"/>
        <w:jc w:val="both"/>
        <w:rPr>
          <w:b/>
        </w:rPr>
      </w:pPr>
      <w:r w:rsidRPr="00A44305">
        <w:rPr>
          <w:b/>
        </w:rPr>
        <w:t>v tom: krytí p</w:t>
      </w:r>
      <w:r w:rsidR="00282AF2">
        <w:rPr>
          <w:b/>
        </w:rPr>
        <w:t>říjmem z rozpočtu EU:</w:t>
      </w:r>
      <w:r w:rsidR="00282AF2">
        <w:rPr>
          <w:b/>
        </w:rPr>
        <w:tab/>
        <w:t>14 566 762</w:t>
      </w:r>
      <w:r w:rsidRPr="00A44305">
        <w:rPr>
          <w:b/>
        </w:rPr>
        <w:t xml:space="preserve"> tis. Kč</w:t>
      </w:r>
    </w:p>
    <w:p w14:paraId="0737B434" w14:textId="77777777" w:rsidR="00556FCC" w:rsidRPr="00A44305" w:rsidRDefault="00556FCC" w:rsidP="00DA1FD4">
      <w:pPr>
        <w:keepLines/>
        <w:spacing w:before="120" w:after="120"/>
        <w:jc w:val="both"/>
        <w:rPr>
          <w:b/>
        </w:rPr>
      </w:pPr>
      <w:r w:rsidRPr="00A44305">
        <w:rPr>
          <w:b/>
        </w:rPr>
        <w:tab/>
        <w:t>spolufinancování ze SR:                         15 339 tis. Kč</w:t>
      </w:r>
    </w:p>
    <w:bookmarkEnd w:id="1115"/>
    <w:p w14:paraId="7F08D061" w14:textId="77777777" w:rsidR="00556FCC" w:rsidRPr="00A44305" w:rsidRDefault="00556FCC" w:rsidP="005A7C2C">
      <w:pPr>
        <w:pStyle w:val="KOMtext"/>
      </w:pPr>
      <w:r w:rsidRPr="00A44305">
        <w:t>Operační program Doprava 2014-2020 byl schválen usnesením vlády č</w:t>
      </w:r>
      <w:r w:rsidR="005A7C2C">
        <w:t xml:space="preserve">. 558 ze dne </w:t>
      </w:r>
      <w:r w:rsidR="005A7C2C">
        <w:br/>
      </w:r>
      <w:r w:rsidRPr="00A44305">
        <w:t xml:space="preserve">9. července 2014. Řídícím orgánem Operačního programu Doprava 2014-2020 bylo usnesením vlády č. 867 ze dne 28. listopadu 2012 pověřeno Ministerstvo dopravy. Operační program Doprava 2014-2020 vychází z materiálu Dopravní politika ČR pro období 2014-2020 </w:t>
      </w:r>
      <w:r w:rsidRPr="00A44305">
        <w:br/>
        <w:t xml:space="preserve">s výhledem do roku 2050 a jejích návazných strategických dokumentů, především Dopravní sektorové strategie, 2. fáze (Střednědobý plán rozvoje dopravní infrastruktury s dlouhodobým výhledem do roku 2050). Schválení Operačního programu Doprava 2014-2020 ze strany Evropské komise se uskutečnilo dne 11.5.2015 ve vazbě na změnu rozpočtu EU. Dne 30.11.2015 byly vyhlášeny první výzvy a v roce 2016 byl zahájen proces hodnocení projektů </w:t>
      </w:r>
      <w:r w:rsidRPr="00A44305">
        <w:br/>
        <w:t xml:space="preserve">a jejich následná realizace, což pokračovalo </w:t>
      </w:r>
      <w:r>
        <w:t>i v letech 2017-2019.</w:t>
      </w:r>
      <w:r w:rsidRPr="004B11AC">
        <w:rPr>
          <w:color w:val="FF0000"/>
        </w:rPr>
        <w:t xml:space="preserve"> </w:t>
      </w:r>
      <w:r w:rsidRPr="00A44305">
        <w:t xml:space="preserve">Celková alokace Operačního programu Doprava 2014-2020 činí </w:t>
      </w:r>
      <w:r w:rsidRPr="00A44305">
        <w:rPr>
          <w:b/>
          <w:i/>
        </w:rPr>
        <w:t>4 559 769 999 EUR</w:t>
      </w:r>
      <w:r w:rsidRPr="00A44305">
        <w:t xml:space="preserve"> v členění: </w:t>
      </w:r>
    </w:p>
    <w:p w14:paraId="102F20DD" w14:textId="77777777" w:rsidR="00556FCC" w:rsidRPr="00A44305" w:rsidRDefault="00556FCC" w:rsidP="00556FCC">
      <w:pPr>
        <w:ind w:firstLine="708"/>
        <w:jc w:val="both"/>
        <w:rPr>
          <w:b/>
          <w:i/>
        </w:rPr>
      </w:pPr>
      <w:r w:rsidRPr="00A44305">
        <w:rPr>
          <w:b/>
          <w:i/>
        </w:rPr>
        <w:t xml:space="preserve">FS:         3 657 452 860 EUR </w:t>
      </w:r>
    </w:p>
    <w:p w14:paraId="7B0C6911" w14:textId="77777777" w:rsidR="00556FCC" w:rsidRPr="00A44305" w:rsidRDefault="00556FCC" w:rsidP="00556FCC">
      <w:pPr>
        <w:ind w:firstLine="708"/>
        <w:jc w:val="both"/>
        <w:rPr>
          <w:b/>
          <w:i/>
        </w:rPr>
      </w:pPr>
      <w:r w:rsidRPr="00A44305">
        <w:rPr>
          <w:b/>
          <w:i/>
        </w:rPr>
        <w:t>ERDF:     902 317 139 EUR</w:t>
      </w:r>
    </w:p>
    <w:p w14:paraId="2627A684" w14:textId="31DEC8E6" w:rsidR="00556FCC" w:rsidRPr="00A44305" w:rsidRDefault="00556FCC" w:rsidP="005A7C2C">
      <w:pPr>
        <w:pStyle w:val="KOMtext"/>
      </w:pPr>
      <w:r w:rsidRPr="00A44305">
        <w:t xml:space="preserve">Při schválení Operačního programu Doprava 2014-2020 byla jeho alokace </w:t>
      </w:r>
      <w:r w:rsidRPr="00A44305">
        <w:br/>
        <w:t>4 695 769 435 EUR, v roce 2016 došlo k realokaci prostředků FS ve výši 73 762 632 EUR                 z Operačního programu Doprava 2014-2020 do Operačního programu Životní prostředí                      (o tuto částku byla snížena celková alokace P</w:t>
      </w:r>
      <w:r w:rsidR="005625E3">
        <w:t xml:space="preserve">rioritní osy </w:t>
      </w:r>
      <w:r w:rsidRPr="00A44305">
        <w:t xml:space="preserve">2). </w:t>
      </w:r>
    </w:p>
    <w:p w14:paraId="5A2BDAD0" w14:textId="6C3B5157" w:rsidR="00556FCC" w:rsidRPr="00A44305" w:rsidRDefault="00556FCC" w:rsidP="005A7C2C">
      <w:pPr>
        <w:pStyle w:val="KOMtext"/>
      </w:pPr>
      <w:r w:rsidRPr="00A44305">
        <w:t xml:space="preserve">K dalšímu snížení alokace došlo v roce 2017 v důsledku snížení alokace ČR pro období 2017-2020 po přezkumu celkové alokace pro cíl Investice pro růst a zaměstnanost kohezní politiky (tzv. Kohezní obálky) o 115 mil. EUR, tj. 0,5 % celkové původní alokace pro kohezní politiku ČR pro období 2014-2020. V rámci OPD došlo ke snížení alokace FS </w:t>
      </w:r>
      <w:r w:rsidRPr="00A44305">
        <w:br/>
        <w:t>o částku 62 236 804 EUR, a to z</w:t>
      </w:r>
      <w:r w:rsidR="005625E3">
        <w:t> </w:t>
      </w:r>
      <w:r w:rsidRPr="00A44305">
        <w:t>P</w:t>
      </w:r>
      <w:r w:rsidR="005625E3">
        <w:t>rioritní osy</w:t>
      </w:r>
      <w:r w:rsidRPr="00A44305">
        <w:t>1.</w:t>
      </w:r>
    </w:p>
    <w:p w14:paraId="5F7634A1" w14:textId="77777777" w:rsidR="00556FCC" w:rsidRPr="00A44305" w:rsidRDefault="00556FCC" w:rsidP="00251B76">
      <w:pPr>
        <w:pStyle w:val="Nadpis6"/>
      </w:pPr>
      <w:r w:rsidRPr="00A44305">
        <w:lastRenderedPageBreak/>
        <w:t>Zprostředkující subjekt</w:t>
      </w:r>
    </w:p>
    <w:p w14:paraId="54CDE0E0" w14:textId="77777777" w:rsidR="00556FCC" w:rsidRPr="00A44305" w:rsidRDefault="00556FCC" w:rsidP="005A7C2C">
      <w:pPr>
        <w:pStyle w:val="KOMtext"/>
      </w:pPr>
      <w:r w:rsidRPr="00A44305">
        <w:t xml:space="preserve">Dne 19.5.2015 byla uzavřena mezi Ministerstvem dopravy a Státním fondem dopravní infrastruktury (SFDI) </w:t>
      </w:r>
      <w:r w:rsidRPr="00A44305">
        <w:rPr>
          <w:b/>
          <w:i/>
        </w:rPr>
        <w:t>„Dohoda o delegování některých pravomocí a činností Řídícího orgánu OP Doprava na Zprostředkující subjekt OP Doprava“</w:t>
      </w:r>
      <w:r w:rsidRPr="00A44305">
        <w:t xml:space="preserve"> (dále jen Dohoda). Tímto aktem byl                   v rámci implementační struktury OP Doprava formálně ustaven Zprostředkující subjekt (ZS). </w:t>
      </w:r>
      <w:r w:rsidRPr="00A44305">
        <w:rPr>
          <w:i/>
        </w:rPr>
        <w:t>Dne 10.5.2017</w:t>
      </w:r>
      <w:r w:rsidRPr="00A44305">
        <w:t xml:space="preserve"> byl podepsán </w:t>
      </w:r>
      <w:r w:rsidRPr="00A44305">
        <w:rPr>
          <w:i/>
        </w:rPr>
        <w:t>dodatek č. 1</w:t>
      </w:r>
      <w:r w:rsidRPr="00A44305">
        <w:t xml:space="preserve">, který byl uzavřen v návaznosti na zákon </w:t>
      </w:r>
      <w:r w:rsidRPr="00A44305">
        <w:br/>
        <w:t>č. 129/2016 Sb., kterým se novelizuje zákon č. 104/2000 Sb., o Státním fondu dopravní infrastruktury, ve znění pozdějších předpisů, jehož účinností byla rozšířena možnost ustanovit SFDI jako ZS OPD nově i pro specifické cíle:</w:t>
      </w:r>
    </w:p>
    <w:p w14:paraId="7938C9CA" w14:textId="275BF5BA" w:rsidR="00556FCC" w:rsidRPr="00A44305" w:rsidRDefault="00556FCC" w:rsidP="00E331AB">
      <w:pPr>
        <w:spacing w:before="240" w:after="80"/>
        <w:jc w:val="both"/>
        <w:rPr>
          <w:i/>
        </w:rPr>
      </w:pPr>
      <w:r w:rsidRPr="00A44305">
        <w:rPr>
          <w:i/>
        </w:rPr>
        <w:t>1.3 „Vytvoření podmínek pro větš</w:t>
      </w:r>
      <w:r w:rsidR="00C074C7">
        <w:rPr>
          <w:i/>
        </w:rPr>
        <w:t>í využití multimodální dopravy“.</w:t>
      </w:r>
    </w:p>
    <w:p w14:paraId="12A2311D" w14:textId="234ECAD6" w:rsidR="00556FCC" w:rsidRPr="00A44305" w:rsidRDefault="00556FCC" w:rsidP="00E331AB">
      <w:pPr>
        <w:spacing w:before="240" w:after="80"/>
        <w:jc w:val="both"/>
        <w:rPr>
          <w:i/>
        </w:rPr>
      </w:pPr>
      <w:r w:rsidRPr="00A44305">
        <w:rPr>
          <w:i/>
        </w:rPr>
        <w:t xml:space="preserve">1.4 „Vytvoření podmínek pro zvýšení využívání veřejné hromadné dopravy ve městech </w:t>
      </w:r>
      <w:r w:rsidR="00C074C7">
        <w:rPr>
          <w:i/>
        </w:rPr>
        <w:br/>
      </w:r>
      <w:r w:rsidRPr="00A44305">
        <w:rPr>
          <w:i/>
        </w:rPr>
        <w:t>v elektrické trakci OPD“.</w:t>
      </w:r>
    </w:p>
    <w:p w14:paraId="7342DA35" w14:textId="77777777" w:rsidR="00556FCC" w:rsidRPr="00A44305" w:rsidRDefault="00556FCC" w:rsidP="005A7C2C">
      <w:pPr>
        <w:pStyle w:val="KOMtext"/>
      </w:pPr>
      <w:r w:rsidRPr="00A44305">
        <w:rPr>
          <w:i/>
        </w:rPr>
        <w:t>Dne 27. 6. 2017</w:t>
      </w:r>
      <w:r w:rsidRPr="00A44305">
        <w:t xml:space="preserve"> byl podepsán </w:t>
      </w:r>
      <w:r w:rsidRPr="00A44305">
        <w:rPr>
          <w:i/>
        </w:rPr>
        <w:t>dodatek č. 2</w:t>
      </w:r>
      <w:r w:rsidRPr="00A44305">
        <w:t xml:space="preserve">, který byl uzavřen v návaznosti na zákon </w:t>
      </w:r>
      <w:r w:rsidRPr="00A44305">
        <w:br/>
        <w:t>č. 129/2016 Sb., kterým se novelizuje zákon č. 104/2000 Sb., o Státním fondu dopravní infrastruktury, ve znění pozdějších předpisů, jehož účinností byla rozšířena možnost ustanovit SFDI jako ZS OPD nově i pro specifický cíl:</w:t>
      </w:r>
    </w:p>
    <w:p w14:paraId="66BA17B1" w14:textId="77777777" w:rsidR="00556FCC" w:rsidRPr="00A44305" w:rsidRDefault="00556FCC" w:rsidP="00E331AB">
      <w:pPr>
        <w:spacing w:before="240" w:after="80"/>
        <w:jc w:val="both"/>
        <w:rPr>
          <w:i/>
        </w:rPr>
      </w:pPr>
      <w:r w:rsidRPr="00A44305">
        <w:rPr>
          <w:i/>
        </w:rPr>
        <w:t>1.5 „Vytvoření podmínek pro širší využití železniční a vodní dopravy prostřednictvím modernizace dopravního parku“,</w:t>
      </w:r>
    </w:p>
    <w:p w14:paraId="0C2BC5A2" w14:textId="77777777" w:rsidR="00556FCC" w:rsidRPr="00A44305" w:rsidRDefault="00556FCC" w:rsidP="005A7C2C">
      <w:pPr>
        <w:pStyle w:val="KOMtext"/>
      </w:pPr>
      <w:r w:rsidRPr="00A44305">
        <w:t>a to v rozsahu financování aktivit spadajících zároveň do účelu SFDI.</w:t>
      </w:r>
    </w:p>
    <w:p w14:paraId="064993A6" w14:textId="77777777" w:rsidR="00556FCC" w:rsidRPr="00A44305" w:rsidRDefault="00556FCC" w:rsidP="005A7C2C">
      <w:pPr>
        <w:pStyle w:val="KOMtext"/>
      </w:pPr>
      <w:r w:rsidRPr="00A44305">
        <w:t>Příjemci dotací z OP Doprava jsou vlastníci a správci dotčené infrastruktury, vlastníci drážních vozidel a provozovatelé drážní dopravy, vla</w:t>
      </w:r>
      <w:r w:rsidR="005A7C2C">
        <w:t xml:space="preserve">stníci překládacích mechanismů </w:t>
      </w:r>
      <w:r w:rsidRPr="00A44305">
        <w:t>u multimodální dopravy a případně další relevantní subjekty. Především se jedná o státní investorské organizace Správa železniční dopravní cesty a Ředitelství silnic a dálnic ČR.</w:t>
      </w:r>
    </w:p>
    <w:p w14:paraId="4FB1F8D5" w14:textId="77777777" w:rsidR="00556FCC" w:rsidRPr="00A44305" w:rsidRDefault="00556FCC" w:rsidP="005A7C2C">
      <w:pPr>
        <w:spacing w:before="240" w:after="80"/>
        <w:jc w:val="both"/>
        <w:rPr>
          <w:u w:val="single"/>
        </w:rPr>
      </w:pPr>
      <w:r w:rsidRPr="00A44305">
        <w:rPr>
          <w:u w:val="single"/>
        </w:rPr>
        <w:t>Operační program Doprava 2014 - 2020 obsahuje následující prioritní osy:</w:t>
      </w:r>
    </w:p>
    <w:p w14:paraId="79A3DFB0" w14:textId="77777777" w:rsidR="00556FCC" w:rsidRPr="005A7C2C" w:rsidRDefault="00556FCC" w:rsidP="005A7C2C">
      <w:pPr>
        <w:pStyle w:val="Nadpis6"/>
        <w:rPr>
          <w:i/>
        </w:rPr>
      </w:pPr>
      <w:r w:rsidRPr="005A7C2C">
        <w:rPr>
          <w:i/>
        </w:rPr>
        <w:t>Prioritní osa 1 – Infrastruktura pro železniční a další udržitelnou dopravu (FS)</w:t>
      </w:r>
    </w:p>
    <w:p w14:paraId="1EC95AC0" w14:textId="77777777" w:rsidR="00556FCC" w:rsidRPr="005A7C2C" w:rsidRDefault="00556FCC" w:rsidP="005A7C2C">
      <w:pPr>
        <w:pStyle w:val="KOMtext"/>
        <w:rPr>
          <w:i/>
        </w:rPr>
      </w:pPr>
      <w:r w:rsidRPr="005A7C2C">
        <w:rPr>
          <w:i/>
        </w:rPr>
        <w:t>Specifický cíl 1.1 - Zlepšení infrastruktury pro vyšší konkurenceschopnost a větší využití železniční dopravy.</w:t>
      </w:r>
      <w:r w:rsidRPr="005A7C2C" w:rsidDel="00F06086">
        <w:rPr>
          <w:i/>
        </w:rPr>
        <w:t xml:space="preserve"> </w:t>
      </w:r>
    </w:p>
    <w:p w14:paraId="2DAB3C50" w14:textId="77777777" w:rsidR="00556FCC" w:rsidRPr="005A7C2C" w:rsidRDefault="00556FCC" w:rsidP="005A7C2C">
      <w:pPr>
        <w:pStyle w:val="KOMtext"/>
        <w:rPr>
          <w:i/>
        </w:rPr>
      </w:pPr>
      <w:r w:rsidRPr="005A7C2C">
        <w:rPr>
          <w:i/>
        </w:rPr>
        <w:t xml:space="preserve">Specifický cíl 1.2 - Zlepšení infrastruktury pro vyšší konkurenceschopnost a větší využití vnitrozemské vodní dopravy – </w:t>
      </w:r>
      <w:r w:rsidRPr="005A7C2C">
        <w:rPr>
          <w:b/>
          <w:i/>
        </w:rPr>
        <w:t>tento specifický cíl byl z OPD vypuštěn.</w:t>
      </w:r>
    </w:p>
    <w:p w14:paraId="1D358442" w14:textId="77777777" w:rsidR="00556FCC" w:rsidRPr="005A7C2C" w:rsidRDefault="00556FCC" w:rsidP="005A7C2C">
      <w:pPr>
        <w:pStyle w:val="KOMtext"/>
        <w:rPr>
          <w:i/>
        </w:rPr>
      </w:pPr>
      <w:r w:rsidRPr="005A7C2C">
        <w:rPr>
          <w:i/>
        </w:rPr>
        <w:t>Specifický cíl 1.3 - Vytvoření podmínek pro větší využití multimodální dopravy.</w:t>
      </w:r>
      <w:r w:rsidRPr="005A7C2C" w:rsidDel="00684652">
        <w:rPr>
          <w:i/>
        </w:rPr>
        <w:t xml:space="preserve"> </w:t>
      </w:r>
    </w:p>
    <w:p w14:paraId="291F9E7C" w14:textId="77777777" w:rsidR="00556FCC" w:rsidRPr="005A7C2C" w:rsidRDefault="00556FCC" w:rsidP="005A7C2C">
      <w:pPr>
        <w:pStyle w:val="KOMtext"/>
        <w:rPr>
          <w:i/>
        </w:rPr>
      </w:pPr>
      <w:r w:rsidRPr="005A7C2C">
        <w:rPr>
          <w:i/>
        </w:rPr>
        <w:t>Specifický cíl 1.4 - Vytvoření podmínek pro zvýšení využívání veřejné hromadné dopravy ve městech v elektrické trakci.</w:t>
      </w:r>
      <w:r w:rsidRPr="005A7C2C" w:rsidDel="00684652">
        <w:rPr>
          <w:i/>
        </w:rPr>
        <w:t xml:space="preserve"> </w:t>
      </w:r>
    </w:p>
    <w:p w14:paraId="3D0FD1F7" w14:textId="77777777" w:rsidR="00556FCC" w:rsidRPr="005A7C2C" w:rsidRDefault="00556FCC" w:rsidP="005A7C2C">
      <w:pPr>
        <w:pStyle w:val="KOMtext"/>
        <w:rPr>
          <w:i/>
        </w:rPr>
      </w:pPr>
      <w:r w:rsidRPr="005A7C2C">
        <w:rPr>
          <w:i/>
        </w:rPr>
        <w:t>Specifický cíl 1.5 - Vytvoření podmínek pro širší využití železniční a vodní dopravy prostřednictvím modernizace dopravního parku.</w:t>
      </w:r>
    </w:p>
    <w:p w14:paraId="22F6BF2F" w14:textId="77777777" w:rsidR="00556FCC" w:rsidRPr="005A7C2C" w:rsidRDefault="00556FCC" w:rsidP="005A7C2C">
      <w:pPr>
        <w:pStyle w:val="Nadpis6"/>
        <w:rPr>
          <w:i/>
        </w:rPr>
      </w:pPr>
      <w:r w:rsidRPr="005A7C2C">
        <w:rPr>
          <w:i/>
        </w:rPr>
        <w:lastRenderedPageBreak/>
        <w:t>Prioritní osa 2 - Silniční infrastruktura na síti TEN-T a veřejná infrastruktura                          pro čistou mobilitu (FS)</w:t>
      </w:r>
    </w:p>
    <w:p w14:paraId="6F11285E" w14:textId="77777777" w:rsidR="00556FCC" w:rsidRPr="005A7C2C" w:rsidRDefault="00556FCC" w:rsidP="005A7C2C">
      <w:pPr>
        <w:pStyle w:val="KOMtext"/>
        <w:rPr>
          <w:i/>
        </w:rPr>
      </w:pPr>
      <w:r w:rsidRPr="005A7C2C">
        <w:rPr>
          <w:i/>
        </w:rPr>
        <w:t xml:space="preserve">Specifický cíl 2.1 - Zlepšení propojení center a </w:t>
      </w:r>
      <w:r w:rsidR="005A7C2C">
        <w:rPr>
          <w:i/>
        </w:rPr>
        <w:t>regionů a zvýšení bezpečnosti</w:t>
      </w:r>
      <w:r w:rsidRPr="005A7C2C">
        <w:rPr>
          <w:i/>
        </w:rPr>
        <w:t xml:space="preserve"> a efektivnosti silniční dopravy prostřednictvím výstavby, obnovy a modernizace dálnic, rychlostních silnic </w:t>
      </w:r>
      <w:r w:rsidR="007E79F4">
        <w:rPr>
          <w:i/>
        </w:rPr>
        <w:br/>
      </w:r>
      <w:r w:rsidRPr="005A7C2C">
        <w:rPr>
          <w:i/>
        </w:rPr>
        <w:t>a silnic sítě TEN-T včetně rozvoje systémů ITS.</w:t>
      </w:r>
    </w:p>
    <w:p w14:paraId="00468421" w14:textId="77777777" w:rsidR="00556FCC" w:rsidRPr="005A7C2C" w:rsidRDefault="00556FCC" w:rsidP="005A7C2C">
      <w:pPr>
        <w:pStyle w:val="KOMtext"/>
        <w:rPr>
          <w:i/>
        </w:rPr>
      </w:pPr>
      <w:r w:rsidRPr="005A7C2C">
        <w:rPr>
          <w:i/>
        </w:rPr>
        <w:t xml:space="preserve">Specifický cíl 2.2 - Vytvoření podmínek pro širší využití vozidel na alternativní pohon     </w:t>
      </w:r>
      <w:r w:rsidRPr="005A7C2C">
        <w:rPr>
          <w:i/>
        </w:rPr>
        <w:br/>
        <w:t>na silniční síti.</w:t>
      </w:r>
    </w:p>
    <w:p w14:paraId="2C47A1B5" w14:textId="77777777" w:rsidR="00556FCC" w:rsidRPr="005A7C2C" w:rsidRDefault="00556FCC" w:rsidP="005A7C2C">
      <w:pPr>
        <w:pStyle w:val="KOMtext"/>
        <w:rPr>
          <w:i/>
        </w:rPr>
      </w:pPr>
      <w:r w:rsidRPr="005A7C2C">
        <w:rPr>
          <w:i/>
        </w:rPr>
        <w:t>Specifický cíl 2.3 - Zlepšení řízení dopravního provozu a zvyšování bezpečnosti dopravního provozu.</w:t>
      </w:r>
    </w:p>
    <w:p w14:paraId="53136DAD" w14:textId="77777777" w:rsidR="00556FCC" w:rsidRPr="005A7C2C" w:rsidRDefault="00556FCC" w:rsidP="005A7C2C">
      <w:pPr>
        <w:pStyle w:val="Nadpis6"/>
        <w:rPr>
          <w:i/>
        </w:rPr>
      </w:pPr>
      <w:r w:rsidRPr="005A7C2C">
        <w:rPr>
          <w:i/>
        </w:rPr>
        <w:t>Prioritní osa 3 - Silniční infrastruktura mimo síť TEN-T (ERDF)</w:t>
      </w:r>
    </w:p>
    <w:p w14:paraId="2B6374AB" w14:textId="77777777" w:rsidR="00556FCC" w:rsidRPr="005A7C2C" w:rsidRDefault="00556FCC" w:rsidP="005A7C2C">
      <w:pPr>
        <w:pStyle w:val="KOMtext"/>
        <w:rPr>
          <w:i/>
        </w:rPr>
      </w:pPr>
      <w:r w:rsidRPr="005A7C2C">
        <w:rPr>
          <w:i/>
        </w:rPr>
        <w:t>Specifický cíl 3.1 - Zlepšení dostupnosti regionů, z</w:t>
      </w:r>
      <w:r w:rsidR="005A7C2C" w:rsidRPr="005A7C2C">
        <w:rPr>
          <w:i/>
        </w:rPr>
        <w:t xml:space="preserve">výšení bezpečnosti a plynulosti </w:t>
      </w:r>
      <w:r w:rsidRPr="005A7C2C">
        <w:rPr>
          <w:i/>
        </w:rPr>
        <w:t>a snížení dopadů dopravy na veřejné zdraví prostřednictvím výstavby, obnovy a zlepšení parametrů dálnic, rychlostních silnic a silnic I. třídy mimo síť TEN-T.</w:t>
      </w:r>
    </w:p>
    <w:p w14:paraId="217F9066" w14:textId="77777777" w:rsidR="00556FCC" w:rsidRPr="005A7C2C" w:rsidRDefault="00556FCC" w:rsidP="005A7C2C">
      <w:pPr>
        <w:pStyle w:val="Nadpis6"/>
        <w:rPr>
          <w:i/>
        </w:rPr>
      </w:pPr>
      <w:r w:rsidRPr="005A7C2C">
        <w:rPr>
          <w:i/>
        </w:rPr>
        <w:t xml:space="preserve">Prioritní osa 4 - Technická pomoc (FS) </w:t>
      </w:r>
    </w:p>
    <w:p w14:paraId="35D36F73" w14:textId="77777777" w:rsidR="00556FCC" w:rsidRPr="005A7C2C" w:rsidRDefault="00556FCC" w:rsidP="005A7C2C">
      <w:pPr>
        <w:pStyle w:val="KOMtext"/>
        <w:rPr>
          <w:i/>
        </w:rPr>
      </w:pPr>
      <w:r w:rsidRPr="005A7C2C">
        <w:rPr>
          <w:i/>
        </w:rPr>
        <w:t xml:space="preserve">Specifický cíl 4.1 – Podpora a zajištění implementace OP Doprava. </w:t>
      </w:r>
    </w:p>
    <w:p w14:paraId="0B6752D1" w14:textId="77777777" w:rsidR="00556FCC" w:rsidRPr="005A7C2C" w:rsidRDefault="00556FCC" w:rsidP="005A7C2C">
      <w:pPr>
        <w:pStyle w:val="KOMtext"/>
        <w:rPr>
          <w:i/>
        </w:rPr>
      </w:pPr>
      <w:r w:rsidRPr="005A7C2C">
        <w:rPr>
          <w:i/>
        </w:rPr>
        <w:t xml:space="preserve">V rámci prioritní osy Technická pomoc může být podle článku 59 obecného nařízení financována příprava, řízení, monitorování, hodnocení, aktivity v oblasti informovanosti                      a publicity, výměna informací, řešení stížností, kontrola a audit.  </w:t>
      </w:r>
    </w:p>
    <w:p w14:paraId="15E0CCB5" w14:textId="77777777" w:rsidR="00556FCC" w:rsidRPr="00B72637" w:rsidRDefault="00556FCC" w:rsidP="005A7C2C">
      <w:pPr>
        <w:pStyle w:val="KOMtext"/>
      </w:pPr>
      <w:r w:rsidRPr="00636621">
        <w:t>Od zahájení realizace program</w:t>
      </w:r>
      <w:r>
        <w:t xml:space="preserve">u v roce 2015 do konce roku 2019 </w:t>
      </w:r>
      <w:r w:rsidRPr="00636621">
        <w:t>bylo na národní úrovni v rámci všech prioritních os schváleno ke spolu</w:t>
      </w:r>
      <w:r w:rsidR="005A7C2C">
        <w:t xml:space="preserve">financování z fondů EU v rámci </w:t>
      </w:r>
      <w:r w:rsidRPr="00636621">
        <w:t xml:space="preserve">OPD 2014 - 2020 celkem </w:t>
      </w:r>
      <w:r>
        <w:t>212</w:t>
      </w:r>
      <w:r w:rsidRPr="00636621">
        <w:t xml:space="preserve"> projektů (</w:t>
      </w:r>
      <w:r>
        <w:t>209</w:t>
      </w:r>
      <w:r w:rsidRPr="00636621">
        <w:t xml:space="preserve"> investičních projektů v rámci pr</w:t>
      </w:r>
      <w:r w:rsidR="005A7C2C">
        <w:t xml:space="preserve">ioritních os 1-3 </w:t>
      </w:r>
      <w:r w:rsidRPr="00636621">
        <w:t xml:space="preserve">a 3 projekty v rámci prioritní osy 4) s celkovými způsobilými výdaji ve výši </w:t>
      </w:r>
      <w:r>
        <w:t>132,9</w:t>
      </w:r>
      <w:r w:rsidRPr="00636621" w:rsidDel="002478CF">
        <w:t xml:space="preserve"> </w:t>
      </w:r>
      <w:r w:rsidR="005A7C2C">
        <w:t xml:space="preserve">mld. Kč. </w:t>
      </w:r>
      <w:r w:rsidRPr="00636621">
        <w:t xml:space="preserve">Z toho schválený podíl EU činil </w:t>
      </w:r>
      <w:r>
        <w:t>105</w:t>
      </w:r>
      <w:r w:rsidRPr="00636621">
        <w:t>,</w:t>
      </w:r>
      <w:r>
        <w:t>2</w:t>
      </w:r>
      <w:r w:rsidRPr="00636621">
        <w:t xml:space="preserve"> mld. Kč.</w:t>
      </w:r>
    </w:p>
    <w:p w14:paraId="6C19F8BE" w14:textId="12678C24" w:rsidR="00556FCC" w:rsidRPr="00DD55B7" w:rsidRDefault="00556FCC" w:rsidP="005A7C2C">
      <w:pPr>
        <w:pStyle w:val="KOMtext"/>
      </w:pPr>
      <w:bookmarkStart w:id="1116" w:name="_Toc508879934"/>
      <w:bookmarkStart w:id="1117" w:name="_Toc508880210"/>
      <w:r w:rsidRPr="00B72637">
        <w:t xml:space="preserve">V průběhu roku 2019 byly na Platebním a certifikačním orgánu (odbor Národního fondu MF) vyžádány prostředky v souhrnné výši </w:t>
      </w:r>
      <w:r w:rsidRPr="00B72637">
        <w:rPr>
          <w:b/>
        </w:rPr>
        <w:t>14 561 776 316,5</w:t>
      </w:r>
      <w:r w:rsidR="00C074C7">
        <w:rPr>
          <w:b/>
        </w:rPr>
        <w:t>0</w:t>
      </w:r>
      <w:r w:rsidRPr="00B72637">
        <w:rPr>
          <w:b/>
        </w:rPr>
        <w:t xml:space="preserve"> Kč.</w:t>
      </w:r>
      <w:r w:rsidRPr="00B72637">
        <w:t xml:space="preserve"> Částka ve výši </w:t>
      </w:r>
      <w:r>
        <w:br/>
      </w:r>
      <w:r w:rsidRPr="00DD55B7">
        <w:rPr>
          <w:b/>
        </w:rPr>
        <w:t>14 495 334 130,5</w:t>
      </w:r>
      <w:r w:rsidR="00C074C7">
        <w:rPr>
          <w:b/>
        </w:rPr>
        <w:t>0</w:t>
      </w:r>
      <w:r>
        <w:t xml:space="preserve"> Kč</w:t>
      </w:r>
      <w:r w:rsidRPr="00B72637">
        <w:t xml:space="preserve"> byla v roce 2019 refundována zpět do kapitoly MD.  </w:t>
      </w:r>
      <w:r w:rsidRPr="00DD55B7">
        <w:t xml:space="preserve">Celkově od počátku implementace OPD 2014–2020 až do konce roku 2019 bylo </w:t>
      </w:r>
      <w:r w:rsidRPr="00DD55B7">
        <w:rPr>
          <w:b/>
        </w:rPr>
        <w:t xml:space="preserve">z Národního fondu refundováno </w:t>
      </w:r>
      <w:r>
        <w:rPr>
          <w:b/>
        </w:rPr>
        <w:t>47 175 140 660</w:t>
      </w:r>
      <w:r w:rsidRPr="00DD55B7">
        <w:rPr>
          <w:b/>
        </w:rPr>
        <w:t xml:space="preserve"> Kč.</w:t>
      </w:r>
      <w:bookmarkEnd w:id="1116"/>
      <w:bookmarkEnd w:id="1117"/>
      <w:r w:rsidRPr="00DD55B7">
        <w:t xml:space="preserve"> V částce refundace je již odečtena částka extrapolované opravy ve výši 381 320 381,03 Kč, která byla zaplacena v lednu 2018 na účet Ministerstva financí. K zaplacení této částky bylo Ministerstvo dopravy vyzváno ze strany Ministerstva financí dopisem </w:t>
      </w:r>
      <w:r w:rsidR="00513541">
        <w:br/>
      </w:r>
      <w:r w:rsidR="00513541" w:rsidRPr="00DD55B7">
        <w:t>č. j.</w:t>
      </w:r>
      <w:r w:rsidRPr="00DD55B7">
        <w:t xml:space="preserve"> MF-1486/2018/5501-1 ze dne </w:t>
      </w:r>
      <w:r w:rsidR="00513541" w:rsidRPr="00DD55B7">
        <w:t>18. 1. 2018</w:t>
      </w:r>
      <w:r w:rsidRPr="00DD55B7">
        <w:t>, a to v souladu s Metodickým pokynem finančních toků programů spolufinancovaných z Evropských strukturálních fondů, Fondu soudržnosti a Evropského námořního a rybářského fondu pro programové období 2014 – 2020, kap. 4.5. Extrapolovaná korekce byla provedena s cílem snížit zbytkové riziko na hranici 2 %, neboť celková projektovaná chybovost v OP Doprava na základě ukončených auditů operací dosáhla hodnoty nad limit 2 % hladiny významnosti a vychází z doporučení Auditního orgánu Ministerstva financí a následného souhlasu Ministerstva dopravy.</w:t>
      </w:r>
      <w:r w:rsidRPr="00DD55B7">
        <w:rPr>
          <w:b/>
        </w:rPr>
        <w:t xml:space="preserve"> </w:t>
      </w:r>
    </w:p>
    <w:p w14:paraId="3B688BAF" w14:textId="77777777" w:rsidR="00556FCC" w:rsidRPr="008F7C7F" w:rsidRDefault="00556FCC" w:rsidP="005A7C2C">
      <w:pPr>
        <w:keepNext/>
        <w:suppressLineNumbers/>
        <w:spacing w:before="240"/>
        <w:jc w:val="both"/>
        <w:rPr>
          <w:b/>
        </w:rPr>
      </w:pPr>
      <w:bookmarkStart w:id="1118" w:name="_Toc508879935"/>
      <w:bookmarkStart w:id="1119" w:name="_Toc508880211"/>
      <w:r w:rsidRPr="008F7C7F">
        <w:rPr>
          <w:b/>
        </w:rPr>
        <w:lastRenderedPageBreak/>
        <w:t>Financování národních podílů u projektů spolufinancovaných z OPD 2014 - 2020</w:t>
      </w:r>
      <w:bookmarkEnd w:id="1118"/>
      <w:bookmarkEnd w:id="1119"/>
      <w:r w:rsidRPr="008F7C7F">
        <w:rPr>
          <w:b/>
        </w:rPr>
        <w:t xml:space="preserve"> </w:t>
      </w:r>
    </w:p>
    <w:p w14:paraId="34C37963" w14:textId="77777777" w:rsidR="00556FCC" w:rsidRPr="00291DB6" w:rsidRDefault="00556FCC" w:rsidP="005A7C2C">
      <w:pPr>
        <w:pStyle w:val="KOMtext"/>
      </w:pPr>
      <w:r w:rsidRPr="008F7C7F">
        <w:t xml:space="preserve">Z dotace ze státního rozpočtu na krytí národního podílu u projektů spolufinancovaných z OPD byly čerpány finanční prostředky v roce 2019 </w:t>
      </w:r>
      <w:r w:rsidRPr="008F7C7F">
        <w:rPr>
          <w:b/>
        </w:rPr>
        <w:t>ve výši 15 339 tis. Kč,</w:t>
      </w:r>
      <w:r w:rsidRPr="008F7C7F">
        <w:t xml:space="preserve"> v tom </w:t>
      </w:r>
      <w:r w:rsidRPr="004B11AC">
        <w:rPr>
          <w:color w:val="FF0000"/>
        </w:rPr>
        <w:br/>
      </w:r>
      <w:r w:rsidRPr="00185140">
        <w:t xml:space="preserve">711 tis. Kč čerpal Zprostředkující subjekt (SFDI) </w:t>
      </w:r>
      <w:r w:rsidRPr="00291DB6">
        <w:t>a 14 628 tis. Kč Řídící orgán (MD) v rámci Prioritní osy 4 - Technická pomoc.</w:t>
      </w:r>
    </w:p>
    <w:p w14:paraId="4A14A960" w14:textId="77777777" w:rsidR="00556FCC" w:rsidRPr="00291DB6" w:rsidRDefault="00556FCC" w:rsidP="005A7C2C">
      <w:pPr>
        <w:keepNext/>
        <w:suppressLineNumbers/>
        <w:spacing w:before="240"/>
        <w:jc w:val="both"/>
        <w:rPr>
          <w:b/>
        </w:rPr>
      </w:pPr>
      <w:r w:rsidRPr="00291DB6">
        <w:rPr>
          <w:b/>
        </w:rPr>
        <w:t xml:space="preserve">Programová dokumentace 127 77 – Podpora financování dopravy byla schválena </w:t>
      </w:r>
      <w:r w:rsidRPr="00291DB6">
        <w:rPr>
          <w:b/>
        </w:rPr>
        <w:br/>
        <w:t>UV č. 108 ze dne 8.2.2017</w:t>
      </w:r>
    </w:p>
    <w:p w14:paraId="15B29C9F" w14:textId="77777777" w:rsidR="00556FCC" w:rsidRPr="00291DB6" w:rsidRDefault="00556FCC" w:rsidP="005A7C2C">
      <w:pPr>
        <w:pStyle w:val="KOMtext"/>
      </w:pPr>
      <w:r w:rsidRPr="00291DB6">
        <w:t xml:space="preserve">V rámci programové dokumentace jsou financovány projekty z OPD 2014 – 2020. Jedná se </w:t>
      </w:r>
      <w:r w:rsidR="007E79F4">
        <w:br/>
      </w:r>
      <w:r w:rsidRPr="00291DB6">
        <w:t>o podprogramy 127 772 a 127 773.</w:t>
      </w:r>
    </w:p>
    <w:p w14:paraId="002F43F3" w14:textId="77777777" w:rsidR="00556FCC" w:rsidRPr="00291DB6" w:rsidRDefault="00556FCC" w:rsidP="005A7C2C">
      <w:pPr>
        <w:keepNext/>
        <w:suppressLineNumbers/>
        <w:spacing w:before="240"/>
        <w:jc w:val="both"/>
        <w:rPr>
          <w:b/>
        </w:rPr>
      </w:pPr>
      <w:r w:rsidRPr="00291DB6">
        <w:rPr>
          <w:b/>
        </w:rPr>
        <w:t>Podprogram 127 772 „OPD 2014–2020 MD“</w:t>
      </w:r>
    </w:p>
    <w:p w14:paraId="304E7FFE" w14:textId="77777777" w:rsidR="00556FCC" w:rsidRPr="00291DB6" w:rsidRDefault="00556FCC" w:rsidP="005A7C2C">
      <w:pPr>
        <w:pStyle w:val="KOMtext"/>
      </w:pPr>
      <w:r w:rsidRPr="00291DB6">
        <w:t>Pod titulem Operační program Doprava jsou realizovány čtyři subtituly zaměřené na veřejnou podporu naplňující svým obsahem specifické cíle 1.3, 1.5 a 2.2 Operačního programu Doprava 2014–2020:</w:t>
      </w:r>
    </w:p>
    <w:p w14:paraId="4E910E63" w14:textId="77777777" w:rsidR="00556FCC" w:rsidRPr="00291DB6" w:rsidRDefault="00556FCC" w:rsidP="00275CE2">
      <w:pPr>
        <w:pStyle w:val="Odstavecseseznamem"/>
        <w:keepNext/>
        <w:numPr>
          <w:ilvl w:val="0"/>
          <w:numId w:val="37"/>
        </w:numPr>
        <w:spacing w:after="120" w:line="259" w:lineRule="auto"/>
        <w:ind w:left="714" w:hanging="357"/>
        <w:jc w:val="both"/>
        <w:rPr>
          <w:rFonts w:cs="Calibri"/>
          <w:i/>
        </w:rPr>
      </w:pPr>
      <w:r w:rsidRPr="00291DB6">
        <w:rPr>
          <w:rFonts w:cs="Calibri"/>
          <w:i/>
        </w:rPr>
        <w:t>SC 1.3 Vytvoření podmínek pro větší využití multimodální dopravy</w:t>
      </w:r>
    </w:p>
    <w:p w14:paraId="2DE1CF65" w14:textId="77777777" w:rsidR="00556FCC" w:rsidRPr="00291DB6" w:rsidRDefault="00556FCC" w:rsidP="00B46BD3">
      <w:pPr>
        <w:pStyle w:val="KOMtext"/>
        <w:ind w:left="709"/>
      </w:pPr>
      <w:r w:rsidRPr="00291DB6">
        <w:rPr>
          <w:b/>
        </w:rPr>
        <w:t>Subtitul 127D772 4</w:t>
      </w:r>
      <w:r w:rsidRPr="00291DB6">
        <w:t xml:space="preserve"> představuje veřejnou podporu </w:t>
      </w:r>
      <w:r w:rsidRPr="00291DB6">
        <w:rPr>
          <w:b/>
        </w:rPr>
        <w:t>„</w:t>
      </w:r>
      <w:r w:rsidRPr="00291DB6">
        <w:rPr>
          <w:b/>
          <w:bCs/>
        </w:rPr>
        <w:t xml:space="preserve">Podpora přepravních jednotek kombinované dopravy“ </w:t>
      </w:r>
      <w:r w:rsidRPr="00291DB6">
        <w:t>zaevidovanou EK pod č. SA.49153 (2017/N). Cílem této veřejné podpory je převod zásilek z přímé silniční dopravy na kontinentální kombinovanou dopravu.</w:t>
      </w:r>
    </w:p>
    <w:p w14:paraId="4ADE30F4" w14:textId="77777777" w:rsidR="00556FCC" w:rsidRPr="00291DB6" w:rsidRDefault="00556FCC" w:rsidP="00275CE2">
      <w:pPr>
        <w:pStyle w:val="Odstavecseseznamem"/>
        <w:keepNext/>
        <w:numPr>
          <w:ilvl w:val="0"/>
          <w:numId w:val="37"/>
        </w:numPr>
        <w:spacing w:after="120" w:line="259" w:lineRule="auto"/>
        <w:ind w:left="714" w:hanging="357"/>
        <w:jc w:val="both"/>
        <w:rPr>
          <w:rFonts w:cs="Calibri"/>
          <w:i/>
        </w:rPr>
      </w:pPr>
      <w:r w:rsidRPr="00291DB6">
        <w:rPr>
          <w:rFonts w:cs="Calibri"/>
          <w:i/>
        </w:rPr>
        <w:t>SC 1.5 Vytvoření podmínek pro širší využití železniční a vodní dopravy prostřednictvím modernizace dopravního parku</w:t>
      </w:r>
    </w:p>
    <w:p w14:paraId="4908E39F" w14:textId="77777777" w:rsidR="00556FCC" w:rsidRPr="00291DB6" w:rsidRDefault="00556FCC" w:rsidP="00B46BD3">
      <w:pPr>
        <w:pStyle w:val="KOMtext"/>
        <w:ind w:left="709"/>
        <w:rPr>
          <w:rFonts w:cs="Calibri"/>
        </w:rPr>
      </w:pPr>
      <w:r w:rsidRPr="00291DB6">
        <w:rPr>
          <w:rFonts w:cs="Calibri"/>
          <w:b/>
        </w:rPr>
        <w:t xml:space="preserve">Subtitul </w:t>
      </w:r>
      <w:r w:rsidRPr="00291DB6">
        <w:rPr>
          <w:b/>
        </w:rPr>
        <w:t>127D772 1</w:t>
      </w:r>
      <w:r w:rsidRPr="00291DB6">
        <w:t xml:space="preserve"> představuje veřejnou podporu </w:t>
      </w:r>
      <w:r w:rsidRPr="00291DB6">
        <w:rPr>
          <w:b/>
        </w:rPr>
        <w:t>„Zajištění interoperability v železniční dopravě“</w:t>
      </w:r>
      <w:r w:rsidRPr="00291DB6">
        <w:t xml:space="preserve"> notifikovanou Rozhodnutím EK č. SA.44621 (2016/N). </w:t>
      </w:r>
      <w:r w:rsidRPr="00291DB6">
        <w:rPr>
          <w:rFonts w:cs="Calibri"/>
        </w:rPr>
        <w:t>Realizací subtitulu je podporováno zajištění souladu s technickými specifikacemi interoperability v železniční dopravě, což je jeden ze základních předpokladů pro vytváření jednotného evropského železničního prostoru, prostřednictvím kterého bude zajištěna vyšší konkurenceschopnost železniční dopravy, jakožto druhu dopravy šetrnějšího k životnímu prostředí a veřejnému zdraví.</w:t>
      </w:r>
    </w:p>
    <w:p w14:paraId="75112293" w14:textId="77777777" w:rsidR="00556FCC" w:rsidRPr="00291DB6" w:rsidRDefault="00556FCC" w:rsidP="00B46BD3">
      <w:pPr>
        <w:pStyle w:val="KOMtext"/>
        <w:ind w:left="709"/>
      </w:pPr>
      <w:r w:rsidRPr="00291DB6">
        <w:rPr>
          <w:b/>
        </w:rPr>
        <w:t>Subtitul</w:t>
      </w:r>
      <w:r w:rsidRPr="00291DB6">
        <w:rPr>
          <w:bCs/>
        </w:rPr>
        <w:t xml:space="preserve"> </w:t>
      </w:r>
      <w:r w:rsidRPr="00291DB6">
        <w:rPr>
          <w:b/>
          <w:bCs/>
        </w:rPr>
        <w:t>127D772 2</w:t>
      </w:r>
      <w:r w:rsidRPr="00291DB6">
        <w:rPr>
          <w:bCs/>
        </w:rPr>
        <w:t xml:space="preserve"> </w:t>
      </w:r>
      <w:r w:rsidRPr="00291DB6">
        <w:t xml:space="preserve">představuje veřejnou podporu </w:t>
      </w:r>
      <w:r w:rsidRPr="00291DB6">
        <w:rPr>
          <w:b/>
        </w:rPr>
        <w:t>„</w:t>
      </w:r>
      <w:r w:rsidR="00B46BD3">
        <w:rPr>
          <w:b/>
          <w:bCs/>
        </w:rPr>
        <w:t xml:space="preserve">Modernizace plavidel </w:t>
      </w:r>
      <w:r w:rsidRPr="00291DB6">
        <w:rPr>
          <w:b/>
          <w:bCs/>
        </w:rPr>
        <w:t>vnitrozemské vodní nákladní dopravy“</w:t>
      </w:r>
      <w:r w:rsidRPr="00291DB6">
        <w:rPr>
          <w:bCs/>
        </w:rPr>
        <w:t xml:space="preserve"> </w:t>
      </w:r>
      <w:r w:rsidR="00B46BD3">
        <w:t xml:space="preserve">notifikovanou Rozhodnutím EK </w:t>
      </w:r>
      <w:r w:rsidR="00B46BD3">
        <w:br/>
      </w:r>
      <w:r w:rsidRPr="00291DB6">
        <w:t>č.  SA.43080 (2015/N). Cílem podpory je zvýšení konkurenceschopnosti vodní dopravy prostřednictvím modernizace dopravního parku pro širší využití nákladní vodní dopravy.</w:t>
      </w:r>
    </w:p>
    <w:p w14:paraId="2D685D1C" w14:textId="77777777" w:rsidR="00556FCC" w:rsidRPr="00291DB6" w:rsidRDefault="00556FCC" w:rsidP="00275CE2">
      <w:pPr>
        <w:pStyle w:val="Odstavecseseznamem"/>
        <w:keepNext/>
        <w:numPr>
          <w:ilvl w:val="0"/>
          <w:numId w:val="37"/>
        </w:numPr>
        <w:spacing w:after="120" w:line="259" w:lineRule="auto"/>
        <w:ind w:left="714" w:hanging="357"/>
        <w:jc w:val="both"/>
        <w:rPr>
          <w:rFonts w:cs="Calibri"/>
          <w:i/>
        </w:rPr>
      </w:pPr>
      <w:r w:rsidRPr="00291DB6">
        <w:rPr>
          <w:rFonts w:cs="Calibri"/>
          <w:i/>
        </w:rPr>
        <w:lastRenderedPageBreak/>
        <w:t xml:space="preserve">SC 2.2 Vytvoření podmínek pro širší využití vozidel na alternativní pohon </w:t>
      </w:r>
      <w:r w:rsidRPr="00291DB6">
        <w:rPr>
          <w:rFonts w:cs="Calibri"/>
          <w:i/>
        </w:rPr>
        <w:br/>
        <w:t>na silniční síti</w:t>
      </w:r>
    </w:p>
    <w:p w14:paraId="17C8D0D1" w14:textId="77777777" w:rsidR="00556FCC" w:rsidRPr="00291DB6" w:rsidRDefault="00556FCC" w:rsidP="00B46BD3">
      <w:pPr>
        <w:pStyle w:val="KOMtext"/>
        <w:ind w:left="709"/>
        <w:rPr>
          <w:rFonts w:cs="Calibri"/>
        </w:rPr>
      </w:pPr>
      <w:r w:rsidRPr="00291DB6">
        <w:rPr>
          <w:rFonts w:cs="Calibri"/>
          <w:b/>
        </w:rPr>
        <w:t>Subtitul 127D772 3</w:t>
      </w:r>
      <w:r w:rsidRPr="00291DB6">
        <w:rPr>
          <w:rFonts w:cs="Calibri"/>
        </w:rPr>
        <w:t xml:space="preserve"> představuje veřejnou podporu </w:t>
      </w:r>
      <w:r w:rsidRPr="00291DB6">
        <w:rPr>
          <w:rFonts w:cs="Calibri"/>
          <w:b/>
        </w:rPr>
        <w:t>„Z</w:t>
      </w:r>
      <w:r w:rsidRPr="00291DB6">
        <w:rPr>
          <w:b/>
          <w:bCs/>
          <w:iCs/>
        </w:rPr>
        <w:t>avádění veřejně přístupných dobíjecích a plnících stanic pro vozidla s pohonem na alternativní paliva v České republice</w:t>
      </w:r>
      <w:r w:rsidRPr="00291DB6">
        <w:rPr>
          <w:rFonts w:cs="Calibri"/>
          <w:b/>
        </w:rPr>
        <w:t xml:space="preserve">“ </w:t>
      </w:r>
      <w:r w:rsidRPr="00291DB6">
        <w:rPr>
          <w:rFonts w:cs="Calibri"/>
        </w:rPr>
        <w:t xml:space="preserve">notifikovanou Rozhodnutím EK č. </w:t>
      </w:r>
      <w:r w:rsidRPr="00291DB6">
        <w:rPr>
          <w:bCs/>
          <w:iCs/>
        </w:rPr>
        <w:t>SA.45182 (2016/N)</w:t>
      </w:r>
      <w:r w:rsidRPr="00291DB6">
        <w:rPr>
          <w:rFonts w:cs="Calibri"/>
        </w:rPr>
        <w:t>. Cílem podpory je vytvoření podmínek pro širší využití vozidel na alternativ</w:t>
      </w:r>
      <w:r w:rsidR="00B46BD3">
        <w:rPr>
          <w:rFonts w:cs="Calibri"/>
        </w:rPr>
        <w:t xml:space="preserve">ní pohon </w:t>
      </w:r>
      <w:r w:rsidRPr="00291DB6">
        <w:rPr>
          <w:rFonts w:cs="Calibri"/>
        </w:rPr>
        <w:t xml:space="preserve">v silniční dopravě, </w:t>
      </w:r>
      <w:r w:rsidR="00B46BD3">
        <w:rPr>
          <w:rFonts w:cs="Calibri"/>
        </w:rPr>
        <w:br/>
      </w:r>
      <w:r w:rsidRPr="00291DB6">
        <w:rPr>
          <w:rFonts w:cs="Calibri"/>
        </w:rPr>
        <w:t xml:space="preserve">a tím přispět k naplnění vnitrostátních cílů ve vztahu k rozvoji veřejně přístupných dobíjecích stanic pro vozidla na elektrický pohon, veřejně přístupných plnících stanic CNG, LNG a veřejně přístupných vodíkových plnících stanic obsažených v Národním akčním plánu čisté mobility (NAP CM). </w:t>
      </w:r>
    </w:p>
    <w:p w14:paraId="0DFFAD02" w14:textId="77777777" w:rsidR="00556FCC" w:rsidRPr="00291DB6" w:rsidRDefault="00556FCC" w:rsidP="00B46BD3">
      <w:pPr>
        <w:pStyle w:val="KOMtext"/>
      </w:pPr>
      <w:r w:rsidRPr="00291DB6">
        <w:t xml:space="preserve">Výzvy k předkládání projektů – žádostí o podporu jsou vyhlašovány dle harmonogramu výzev OP Doprava od srpna 2017 a dle připravenosti veřejných podpor, resp. v návaznosti </w:t>
      </w:r>
      <w:r w:rsidRPr="00291DB6">
        <w:br/>
        <w:t xml:space="preserve">na vydaná Rozhodnutí EK o veřejné podpoře. </w:t>
      </w:r>
    </w:p>
    <w:p w14:paraId="249CD95B" w14:textId="77777777" w:rsidR="00556FCC" w:rsidRPr="00291DB6" w:rsidRDefault="00556FCC" w:rsidP="00B46BD3">
      <w:pPr>
        <w:pStyle w:val="KOMtext"/>
        <w:rPr>
          <w:bCs/>
          <w:i/>
          <w:iCs/>
        </w:rPr>
      </w:pPr>
      <w:r w:rsidRPr="00291DB6">
        <w:t xml:space="preserve">K 31.12.2019 bylo v rámci programu 127 77 vyhlášeno celkem 26 výzev pro podávání žádostí o podporu, z nichž 22 je již pro podávání žádostí ukončené. Z těchto 22 uvedených výzev bylo vyhlášeno 6 kolových výzev v oblasti subtitulu 127D772 2 </w:t>
      </w:r>
      <w:r w:rsidRPr="00291DB6">
        <w:rPr>
          <w:i/>
        </w:rPr>
        <w:t xml:space="preserve">„Modernizace </w:t>
      </w:r>
      <w:r w:rsidRPr="00291DB6">
        <w:rPr>
          <w:bCs/>
          <w:i/>
        </w:rPr>
        <w:t>plavidel</w:t>
      </w:r>
      <w:r w:rsidRPr="00291DB6">
        <w:rPr>
          <w:i/>
        </w:rPr>
        <w:t xml:space="preserve"> vnitrozemské vodní dopravy“</w:t>
      </w:r>
      <w:r w:rsidRPr="00291DB6">
        <w:t xml:space="preserve">, 4 kolové výzvy v oblasti subtitulu 127D772 1 </w:t>
      </w:r>
      <w:r w:rsidRPr="00291DB6">
        <w:rPr>
          <w:i/>
        </w:rPr>
        <w:t>„Zajištění interoperability v železniční dopravě“</w:t>
      </w:r>
      <w:r w:rsidRPr="00291DB6">
        <w:t xml:space="preserve"> a 10 kolových výzev v oblasti subtitulu 127D772 3 </w:t>
      </w:r>
      <w:r w:rsidRPr="00291DB6">
        <w:rPr>
          <w:i/>
        </w:rPr>
        <w:t>„Z</w:t>
      </w:r>
      <w:r w:rsidRPr="00291DB6">
        <w:rPr>
          <w:bCs/>
          <w:i/>
          <w:iCs/>
        </w:rPr>
        <w:t xml:space="preserve">avádění veřejně přístupných dobíjecích a plnících stanic pro vozidla s pohonem </w:t>
      </w:r>
      <w:r w:rsidRPr="00291DB6">
        <w:rPr>
          <w:bCs/>
          <w:i/>
          <w:iCs/>
        </w:rPr>
        <w:br/>
        <w:t>na alterna</w:t>
      </w:r>
      <w:r>
        <w:rPr>
          <w:bCs/>
          <w:i/>
          <w:iCs/>
        </w:rPr>
        <w:t xml:space="preserve">tivní paliva v České republice“ </w:t>
      </w:r>
      <w:r w:rsidRPr="00291DB6">
        <w:rPr>
          <w:bCs/>
          <w:iCs/>
        </w:rPr>
        <w:t>a 2 kolové vý</w:t>
      </w:r>
      <w:r>
        <w:rPr>
          <w:bCs/>
          <w:iCs/>
        </w:rPr>
        <w:t>zvy v oblasti subtitulu 127 D77</w:t>
      </w:r>
      <w:r w:rsidRPr="00291DB6">
        <w:rPr>
          <w:bCs/>
          <w:iCs/>
        </w:rPr>
        <w:t>2</w:t>
      </w:r>
      <w:r>
        <w:rPr>
          <w:bCs/>
          <w:iCs/>
        </w:rPr>
        <w:t xml:space="preserve"> </w:t>
      </w:r>
      <w:r w:rsidRPr="00291DB6">
        <w:rPr>
          <w:bCs/>
          <w:iCs/>
        </w:rPr>
        <w:t>4</w:t>
      </w:r>
      <w:r w:rsidRPr="00291DB6">
        <w:rPr>
          <w:bCs/>
          <w:i/>
          <w:iCs/>
        </w:rPr>
        <w:t xml:space="preserve"> „Podpora přepravních jednotek kombinované dopravy“</w:t>
      </w:r>
    </w:p>
    <w:p w14:paraId="304B314E" w14:textId="77777777" w:rsidR="00556FCC" w:rsidRDefault="00556FCC" w:rsidP="00B46BD3">
      <w:pPr>
        <w:keepNext/>
        <w:suppressLineNumbers/>
        <w:spacing w:before="240" w:after="240"/>
        <w:jc w:val="both"/>
        <w:rPr>
          <w:b/>
        </w:rPr>
      </w:pPr>
      <w:r w:rsidRPr="000A3050">
        <w:rPr>
          <w:b/>
        </w:rPr>
        <w:t>Přehled vyhlášených výzev k 31.12.2019</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268"/>
        <w:gridCol w:w="3430"/>
        <w:gridCol w:w="993"/>
        <w:gridCol w:w="1275"/>
      </w:tblGrid>
      <w:tr w:rsidR="00556FCC" w14:paraId="6DCBFEA1" w14:textId="77777777" w:rsidTr="00334A2D">
        <w:trPr>
          <w:trHeight w:val="1134"/>
        </w:trPr>
        <w:tc>
          <w:tcPr>
            <w:tcW w:w="3403" w:type="dxa"/>
            <w:gridSpan w:val="2"/>
            <w:shd w:val="clear" w:color="auto" w:fill="auto"/>
            <w:vAlign w:val="center"/>
          </w:tcPr>
          <w:p w14:paraId="4FAF4E7C" w14:textId="77777777" w:rsidR="00556FCC" w:rsidRPr="00C75CAA" w:rsidRDefault="00556FCC" w:rsidP="00556FCC">
            <w:pPr>
              <w:jc w:val="center"/>
              <w:rPr>
                <w:rFonts w:cs="Calibri"/>
                <w:b/>
                <w:sz w:val="20"/>
                <w:szCs w:val="20"/>
              </w:rPr>
            </w:pPr>
            <w:r w:rsidRPr="00C75CAA">
              <w:rPr>
                <w:rFonts w:cs="Calibri"/>
                <w:b/>
                <w:sz w:val="20"/>
                <w:szCs w:val="20"/>
              </w:rPr>
              <w:t>Subtitul</w:t>
            </w:r>
          </w:p>
          <w:p w14:paraId="1362BA06" w14:textId="77777777" w:rsidR="00556FCC" w:rsidRPr="00C75CAA" w:rsidRDefault="00556FCC" w:rsidP="00556FCC">
            <w:pPr>
              <w:jc w:val="center"/>
              <w:rPr>
                <w:rFonts w:cs="Calibri"/>
                <w:b/>
                <w:sz w:val="20"/>
                <w:szCs w:val="20"/>
              </w:rPr>
            </w:pPr>
          </w:p>
        </w:tc>
        <w:tc>
          <w:tcPr>
            <w:tcW w:w="4423" w:type="dxa"/>
            <w:gridSpan w:val="2"/>
            <w:shd w:val="clear" w:color="auto" w:fill="auto"/>
            <w:vAlign w:val="center"/>
          </w:tcPr>
          <w:p w14:paraId="4D873CE3" w14:textId="77777777" w:rsidR="00556FCC" w:rsidRPr="00C75CAA" w:rsidRDefault="00556FCC" w:rsidP="00556FCC">
            <w:pPr>
              <w:jc w:val="center"/>
              <w:rPr>
                <w:rFonts w:cs="Calibri"/>
                <w:b/>
                <w:sz w:val="20"/>
                <w:szCs w:val="20"/>
              </w:rPr>
            </w:pPr>
            <w:r w:rsidRPr="00C75CAA">
              <w:rPr>
                <w:rFonts w:cs="Calibri"/>
                <w:b/>
                <w:sz w:val="20"/>
                <w:szCs w:val="20"/>
              </w:rPr>
              <w:t>Výzva</w:t>
            </w:r>
          </w:p>
        </w:tc>
        <w:tc>
          <w:tcPr>
            <w:tcW w:w="1275" w:type="dxa"/>
            <w:shd w:val="clear" w:color="auto" w:fill="auto"/>
            <w:vAlign w:val="center"/>
          </w:tcPr>
          <w:p w14:paraId="5837BFF5" w14:textId="77777777" w:rsidR="00556FCC" w:rsidRPr="00C75CAA" w:rsidRDefault="00556FCC" w:rsidP="00556FCC">
            <w:pPr>
              <w:jc w:val="center"/>
              <w:rPr>
                <w:rFonts w:cs="Calibri"/>
                <w:b/>
                <w:sz w:val="20"/>
                <w:szCs w:val="20"/>
              </w:rPr>
            </w:pPr>
            <w:r w:rsidRPr="00C75CAA">
              <w:rPr>
                <w:rFonts w:cs="Calibri"/>
                <w:b/>
                <w:sz w:val="20"/>
                <w:szCs w:val="20"/>
              </w:rPr>
              <w:t xml:space="preserve">Stav výzvy/počet </w:t>
            </w:r>
            <w:r>
              <w:rPr>
                <w:rFonts w:cs="Calibri"/>
                <w:b/>
                <w:sz w:val="20"/>
                <w:szCs w:val="20"/>
              </w:rPr>
              <w:t xml:space="preserve">předložených </w:t>
            </w:r>
            <w:r w:rsidRPr="00C75CAA">
              <w:rPr>
                <w:rFonts w:cs="Calibri"/>
                <w:b/>
                <w:sz w:val="20"/>
                <w:szCs w:val="20"/>
              </w:rPr>
              <w:t>projektů</w:t>
            </w:r>
          </w:p>
        </w:tc>
      </w:tr>
      <w:tr w:rsidR="00556FCC" w14:paraId="33031D52" w14:textId="77777777" w:rsidTr="00334A2D">
        <w:trPr>
          <w:trHeight w:val="794"/>
        </w:trPr>
        <w:tc>
          <w:tcPr>
            <w:tcW w:w="1135" w:type="dxa"/>
            <w:shd w:val="clear" w:color="auto" w:fill="auto"/>
            <w:vAlign w:val="center"/>
          </w:tcPr>
          <w:p w14:paraId="45F46485" w14:textId="77777777" w:rsidR="00556FCC" w:rsidRPr="00C75CAA" w:rsidRDefault="00556FCC" w:rsidP="00556FCC">
            <w:pPr>
              <w:jc w:val="both"/>
              <w:rPr>
                <w:rFonts w:cs="Calibri"/>
                <w:sz w:val="20"/>
                <w:szCs w:val="20"/>
              </w:rPr>
            </w:pPr>
            <w:r>
              <w:rPr>
                <w:rFonts w:cs="Calibri"/>
                <w:sz w:val="20"/>
                <w:szCs w:val="20"/>
              </w:rPr>
              <w:t>127D77</w:t>
            </w:r>
            <w:r w:rsidRPr="00C75CAA">
              <w:rPr>
                <w:rFonts w:cs="Calibri"/>
                <w:sz w:val="20"/>
                <w:szCs w:val="20"/>
              </w:rPr>
              <w:t>2</w:t>
            </w:r>
            <w:r>
              <w:rPr>
                <w:rFonts w:cs="Calibri"/>
                <w:sz w:val="20"/>
                <w:szCs w:val="20"/>
              </w:rPr>
              <w:t xml:space="preserve"> </w:t>
            </w:r>
            <w:r w:rsidRPr="00C75CAA">
              <w:rPr>
                <w:rFonts w:cs="Calibri"/>
                <w:sz w:val="20"/>
                <w:szCs w:val="20"/>
              </w:rPr>
              <w:t>1</w:t>
            </w:r>
          </w:p>
        </w:tc>
        <w:tc>
          <w:tcPr>
            <w:tcW w:w="2268" w:type="dxa"/>
            <w:shd w:val="clear" w:color="auto" w:fill="auto"/>
            <w:vAlign w:val="center"/>
          </w:tcPr>
          <w:p w14:paraId="4BC109DF" w14:textId="77777777" w:rsidR="00556FCC" w:rsidRPr="00C75CAA" w:rsidRDefault="00556FCC" w:rsidP="00556FCC">
            <w:pPr>
              <w:rPr>
                <w:rFonts w:cs="Calibri"/>
                <w:sz w:val="20"/>
                <w:szCs w:val="20"/>
              </w:rPr>
            </w:pPr>
            <w:r w:rsidRPr="00C75CAA">
              <w:rPr>
                <w:rFonts w:ascii="Calibri" w:hAnsi="Calibri" w:cs="Calibri"/>
                <w:bCs/>
                <w:color w:val="000000"/>
                <w:sz w:val="20"/>
                <w:szCs w:val="20"/>
              </w:rPr>
              <w:t>Zajištění interoperability</w:t>
            </w:r>
            <w:r w:rsidRPr="00C75CAA">
              <w:rPr>
                <w:rFonts w:ascii="Calibri" w:hAnsi="Calibri" w:cs="Calibri"/>
                <w:color w:val="000000"/>
                <w:sz w:val="20"/>
                <w:szCs w:val="20"/>
              </w:rPr>
              <w:t xml:space="preserve"> </w:t>
            </w:r>
            <w:r w:rsidRPr="00C75CAA">
              <w:rPr>
                <w:rFonts w:ascii="Calibri" w:hAnsi="Calibri" w:cs="Calibri"/>
                <w:color w:val="000000"/>
                <w:sz w:val="20"/>
                <w:szCs w:val="20"/>
              </w:rPr>
              <w:br/>
              <w:t>v železniční dopravě</w:t>
            </w:r>
          </w:p>
        </w:tc>
        <w:tc>
          <w:tcPr>
            <w:tcW w:w="3430" w:type="dxa"/>
            <w:shd w:val="clear" w:color="auto" w:fill="auto"/>
            <w:vAlign w:val="center"/>
          </w:tcPr>
          <w:p w14:paraId="47A49BC2" w14:textId="77777777" w:rsidR="00556FCC" w:rsidRPr="00C75CAA" w:rsidRDefault="00556FCC" w:rsidP="00556FCC">
            <w:pPr>
              <w:jc w:val="both"/>
              <w:rPr>
                <w:rFonts w:cs="Calibri"/>
                <w:sz w:val="18"/>
                <w:szCs w:val="18"/>
              </w:rPr>
            </w:pPr>
            <w:r w:rsidRPr="00C75CAA">
              <w:rPr>
                <w:rFonts w:cs="Calibri"/>
                <w:b/>
                <w:bCs/>
                <w:color w:val="000000"/>
                <w:sz w:val="18"/>
                <w:szCs w:val="18"/>
              </w:rPr>
              <w:t xml:space="preserve">Implementace subsystému telematika – </w:t>
            </w:r>
            <w:r w:rsidRPr="00C75CAA">
              <w:rPr>
                <w:rFonts w:cs="Calibri"/>
                <w:color w:val="000000"/>
                <w:sz w:val="18"/>
                <w:szCs w:val="18"/>
              </w:rPr>
              <w:t>telematické aplikace v nákladní dopravě a telematické aplikace v osobní dopravě</w:t>
            </w:r>
          </w:p>
        </w:tc>
        <w:tc>
          <w:tcPr>
            <w:tcW w:w="993" w:type="dxa"/>
            <w:shd w:val="clear" w:color="auto" w:fill="auto"/>
            <w:vAlign w:val="center"/>
          </w:tcPr>
          <w:p w14:paraId="10F842F6" w14:textId="77777777" w:rsidR="00556FCC" w:rsidRPr="00C75CAA" w:rsidRDefault="00556FCC" w:rsidP="00556FCC">
            <w:pPr>
              <w:jc w:val="center"/>
              <w:rPr>
                <w:rFonts w:cs="Calibri"/>
                <w:sz w:val="20"/>
                <w:szCs w:val="20"/>
              </w:rPr>
            </w:pPr>
            <w:r w:rsidRPr="00C75CAA">
              <w:rPr>
                <w:rFonts w:cs="Calibri"/>
                <w:sz w:val="20"/>
                <w:szCs w:val="20"/>
              </w:rPr>
              <w:t>kolová</w:t>
            </w:r>
          </w:p>
        </w:tc>
        <w:tc>
          <w:tcPr>
            <w:tcW w:w="1275" w:type="dxa"/>
            <w:shd w:val="clear" w:color="auto" w:fill="auto"/>
            <w:vAlign w:val="center"/>
          </w:tcPr>
          <w:p w14:paraId="1F2D96E9" w14:textId="77777777" w:rsidR="00556FCC" w:rsidRPr="00C75CAA" w:rsidRDefault="00556FCC" w:rsidP="00556FCC">
            <w:pPr>
              <w:jc w:val="center"/>
              <w:rPr>
                <w:rFonts w:cs="Calibri"/>
                <w:sz w:val="18"/>
                <w:szCs w:val="18"/>
              </w:rPr>
            </w:pPr>
            <w:r>
              <w:rPr>
                <w:rFonts w:cs="Calibri"/>
                <w:sz w:val="18"/>
                <w:szCs w:val="18"/>
              </w:rPr>
              <w:t>ukončená/0</w:t>
            </w:r>
          </w:p>
        </w:tc>
      </w:tr>
      <w:tr w:rsidR="00556FCC" w14:paraId="2F60F9E5" w14:textId="77777777" w:rsidTr="00334A2D">
        <w:trPr>
          <w:trHeight w:val="794"/>
        </w:trPr>
        <w:tc>
          <w:tcPr>
            <w:tcW w:w="1135" w:type="dxa"/>
            <w:shd w:val="clear" w:color="auto" w:fill="auto"/>
            <w:vAlign w:val="center"/>
          </w:tcPr>
          <w:p w14:paraId="1988A0DE" w14:textId="77777777" w:rsidR="00556FCC" w:rsidRPr="00C75CAA" w:rsidRDefault="00556FCC" w:rsidP="00556FCC">
            <w:pPr>
              <w:jc w:val="both"/>
              <w:rPr>
                <w:rFonts w:cs="Calibri"/>
                <w:sz w:val="20"/>
                <w:szCs w:val="20"/>
              </w:rPr>
            </w:pPr>
            <w:r>
              <w:rPr>
                <w:rFonts w:cs="Calibri"/>
                <w:sz w:val="20"/>
                <w:szCs w:val="20"/>
              </w:rPr>
              <w:t>127D77</w:t>
            </w:r>
            <w:r w:rsidRPr="00C75CAA">
              <w:rPr>
                <w:rFonts w:cs="Calibri"/>
                <w:sz w:val="20"/>
                <w:szCs w:val="20"/>
              </w:rPr>
              <w:t>2</w:t>
            </w:r>
            <w:r>
              <w:rPr>
                <w:rFonts w:cs="Calibri"/>
                <w:sz w:val="20"/>
                <w:szCs w:val="20"/>
              </w:rPr>
              <w:t xml:space="preserve"> </w:t>
            </w:r>
            <w:r w:rsidRPr="00C75CAA">
              <w:rPr>
                <w:rFonts w:cs="Calibri"/>
                <w:sz w:val="20"/>
                <w:szCs w:val="20"/>
              </w:rPr>
              <w:t>1</w:t>
            </w:r>
          </w:p>
        </w:tc>
        <w:tc>
          <w:tcPr>
            <w:tcW w:w="2268" w:type="dxa"/>
            <w:shd w:val="clear" w:color="auto" w:fill="auto"/>
            <w:vAlign w:val="center"/>
          </w:tcPr>
          <w:p w14:paraId="29902277" w14:textId="77777777" w:rsidR="00556FCC" w:rsidRPr="00C75CAA" w:rsidRDefault="00556FCC" w:rsidP="00556FCC">
            <w:pPr>
              <w:rPr>
                <w:rFonts w:cs="Calibri"/>
                <w:sz w:val="20"/>
                <w:szCs w:val="20"/>
              </w:rPr>
            </w:pPr>
            <w:r w:rsidRPr="00C75CAA">
              <w:rPr>
                <w:rFonts w:ascii="Calibri" w:hAnsi="Calibri" w:cs="Calibri"/>
                <w:bCs/>
                <w:color w:val="000000"/>
                <w:sz w:val="20"/>
                <w:szCs w:val="20"/>
              </w:rPr>
              <w:t>Zajištění interoperability</w:t>
            </w:r>
            <w:r w:rsidRPr="00C75CAA">
              <w:rPr>
                <w:rFonts w:ascii="Calibri" w:hAnsi="Calibri" w:cs="Calibri"/>
                <w:color w:val="000000"/>
                <w:sz w:val="20"/>
                <w:szCs w:val="20"/>
              </w:rPr>
              <w:t xml:space="preserve"> </w:t>
            </w:r>
            <w:r w:rsidRPr="00C75CAA">
              <w:rPr>
                <w:rFonts w:ascii="Calibri" w:hAnsi="Calibri" w:cs="Calibri"/>
                <w:color w:val="000000"/>
                <w:sz w:val="20"/>
                <w:szCs w:val="20"/>
              </w:rPr>
              <w:br/>
              <w:t>v železniční dopravě</w:t>
            </w:r>
          </w:p>
        </w:tc>
        <w:tc>
          <w:tcPr>
            <w:tcW w:w="3430" w:type="dxa"/>
            <w:shd w:val="clear" w:color="auto" w:fill="auto"/>
            <w:vAlign w:val="center"/>
          </w:tcPr>
          <w:p w14:paraId="19870374" w14:textId="77777777" w:rsidR="00556FCC" w:rsidRPr="00C75CAA" w:rsidRDefault="00556FCC" w:rsidP="00556FCC">
            <w:pPr>
              <w:jc w:val="both"/>
              <w:rPr>
                <w:rFonts w:cs="Calibri"/>
                <w:sz w:val="18"/>
                <w:szCs w:val="18"/>
              </w:rPr>
            </w:pPr>
            <w:r w:rsidRPr="00C75CAA">
              <w:rPr>
                <w:rFonts w:cs="Calibri"/>
                <w:b/>
                <w:bCs/>
                <w:color w:val="000000"/>
                <w:sz w:val="18"/>
                <w:szCs w:val="18"/>
              </w:rPr>
              <w:t xml:space="preserve">Implementace subsystému kolejová vozidla – </w:t>
            </w:r>
            <w:r w:rsidRPr="00C75CAA">
              <w:rPr>
                <w:rFonts w:cs="Calibri"/>
                <w:color w:val="000000"/>
                <w:sz w:val="18"/>
                <w:szCs w:val="18"/>
              </w:rPr>
              <w:t>lokomotivy a kolejová vozidla – systém měření spotřeby energie</w:t>
            </w:r>
          </w:p>
        </w:tc>
        <w:tc>
          <w:tcPr>
            <w:tcW w:w="993" w:type="dxa"/>
            <w:shd w:val="clear" w:color="auto" w:fill="auto"/>
            <w:vAlign w:val="center"/>
          </w:tcPr>
          <w:p w14:paraId="6B9C32E8" w14:textId="77777777" w:rsidR="00556FCC" w:rsidRPr="00C75CAA" w:rsidRDefault="00556FCC" w:rsidP="00556FCC">
            <w:pPr>
              <w:jc w:val="center"/>
              <w:rPr>
                <w:rFonts w:cs="Calibri"/>
                <w:sz w:val="20"/>
                <w:szCs w:val="20"/>
              </w:rPr>
            </w:pPr>
            <w:r w:rsidRPr="00C75CAA">
              <w:rPr>
                <w:rFonts w:cs="Calibri"/>
                <w:sz w:val="20"/>
                <w:szCs w:val="20"/>
              </w:rPr>
              <w:t>kolová</w:t>
            </w:r>
          </w:p>
        </w:tc>
        <w:tc>
          <w:tcPr>
            <w:tcW w:w="1275" w:type="dxa"/>
            <w:shd w:val="clear" w:color="auto" w:fill="auto"/>
            <w:vAlign w:val="center"/>
          </w:tcPr>
          <w:p w14:paraId="6259F035" w14:textId="77777777" w:rsidR="00556FCC" w:rsidRPr="00C75CAA" w:rsidRDefault="00556FCC" w:rsidP="00556FCC">
            <w:pPr>
              <w:jc w:val="center"/>
              <w:rPr>
                <w:rFonts w:cs="Calibri"/>
                <w:sz w:val="18"/>
                <w:szCs w:val="18"/>
              </w:rPr>
            </w:pPr>
            <w:r>
              <w:rPr>
                <w:rFonts w:cs="Calibri"/>
                <w:sz w:val="18"/>
                <w:szCs w:val="18"/>
              </w:rPr>
              <w:t>ukončená/3</w:t>
            </w:r>
          </w:p>
        </w:tc>
      </w:tr>
      <w:tr w:rsidR="00556FCC" w14:paraId="7A7B0B1D" w14:textId="77777777" w:rsidTr="00334A2D">
        <w:trPr>
          <w:trHeight w:val="1134"/>
        </w:trPr>
        <w:tc>
          <w:tcPr>
            <w:tcW w:w="1135" w:type="dxa"/>
            <w:tcBorders>
              <w:bottom w:val="single" w:sz="4" w:space="0" w:color="auto"/>
            </w:tcBorders>
            <w:shd w:val="clear" w:color="auto" w:fill="auto"/>
            <w:vAlign w:val="center"/>
          </w:tcPr>
          <w:p w14:paraId="365F9B76" w14:textId="77777777" w:rsidR="00556FCC" w:rsidRPr="00C75CAA" w:rsidRDefault="00556FCC" w:rsidP="00556FCC">
            <w:pPr>
              <w:jc w:val="both"/>
              <w:rPr>
                <w:rFonts w:cs="Calibri"/>
                <w:sz w:val="20"/>
                <w:szCs w:val="20"/>
              </w:rPr>
            </w:pPr>
            <w:r>
              <w:rPr>
                <w:rFonts w:cs="Calibri"/>
                <w:sz w:val="20"/>
                <w:szCs w:val="20"/>
              </w:rPr>
              <w:t>127D77</w:t>
            </w:r>
            <w:r w:rsidRPr="00C75CAA">
              <w:rPr>
                <w:rFonts w:cs="Calibri"/>
                <w:sz w:val="20"/>
                <w:szCs w:val="20"/>
              </w:rPr>
              <w:t>2</w:t>
            </w:r>
            <w:r>
              <w:rPr>
                <w:rFonts w:cs="Calibri"/>
                <w:sz w:val="20"/>
                <w:szCs w:val="20"/>
              </w:rPr>
              <w:t xml:space="preserve"> </w:t>
            </w:r>
            <w:r w:rsidRPr="00C75CAA">
              <w:rPr>
                <w:rFonts w:cs="Calibri"/>
                <w:sz w:val="20"/>
                <w:szCs w:val="20"/>
              </w:rPr>
              <w:t>1</w:t>
            </w:r>
          </w:p>
        </w:tc>
        <w:tc>
          <w:tcPr>
            <w:tcW w:w="2268" w:type="dxa"/>
            <w:tcBorders>
              <w:bottom w:val="single" w:sz="4" w:space="0" w:color="auto"/>
            </w:tcBorders>
            <w:shd w:val="clear" w:color="auto" w:fill="auto"/>
            <w:vAlign w:val="center"/>
          </w:tcPr>
          <w:p w14:paraId="0CDBCC78" w14:textId="77777777" w:rsidR="00556FCC" w:rsidRPr="00C75CAA" w:rsidRDefault="00556FCC" w:rsidP="00556FCC">
            <w:pPr>
              <w:rPr>
                <w:rFonts w:cs="Calibri"/>
                <w:sz w:val="20"/>
                <w:szCs w:val="20"/>
              </w:rPr>
            </w:pPr>
            <w:r w:rsidRPr="00C75CAA">
              <w:rPr>
                <w:rFonts w:ascii="Calibri" w:hAnsi="Calibri" w:cs="Calibri"/>
                <w:bCs/>
                <w:color w:val="000000"/>
                <w:sz w:val="20"/>
                <w:szCs w:val="20"/>
              </w:rPr>
              <w:t>Zajištění interoperability</w:t>
            </w:r>
            <w:r w:rsidRPr="00C75CAA">
              <w:rPr>
                <w:rFonts w:ascii="Calibri" w:hAnsi="Calibri" w:cs="Calibri"/>
                <w:color w:val="000000"/>
                <w:sz w:val="20"/>
                <w:szCs w:val="20"/>
              </w:rPr>
              <w:t xml:space="preserve"> </w:t>
            </w:r>
            <w:r w:rsidRPr="00C75CAA">
              <w:rPr>
                <w:rFonts w:ascii="Calibri" w:hAnsi="Calibri" w:cs="Calibri"/>
                <w:color w:val="000000"/>
                <w:sz w:val="20"/>
                <w:szCs w:val="20"/>
              </w:rPr>
              <w:br/>
              <w:t>v železniční dopravě</w:t>
            </w:r>
          </w:p>
        </w:tc>
        <w:tc>
          <w:tcPr>
            <w:tcW w:w="3430" w:type="dxa"/>
            <w:tcBorders>
              <w:bottom w:val="single" w:sz="4" w:space="0" w:color="auto"/>
            </w:tcBorders>
            <w:shd w:val="clear" w:color="auto" w:fill="auto"/>
            <w:vAlign w:val="center"/>
          </w:tcPr>
          <w:p w14:paraId="673FDFD3" w14:textId="77777777" w:rsidR="00556FCC" w:rsidRPr="00C75CAA" w:rsidRDefault="00556FCC" w:rsidP="00556FCC">
            <w:pPr>
              <w:jc w:val="both"/>
              <w:rPr>
                <w:rFonts w:cs="Calibri"/>
                <w:sz w:val="18"/>
                <w:szCs w:val="18"/>
              </w:rPr>
            </w:pPr>
            <w:r w:rsidRPr="00C75CAA">
              <w:rPr>
                <w:rFonts w:cs="Calibri"/>
                <w:b/>
                <w:bCs/>
                <w:color w:val="000000"/>
                <w:sz w:val="18"/>
                <w:szCs w:val="18"/>
              </w:rPr>
              <w:t xml:space="preserve">Implementace subsystému kolejová vozidla – nákladní vozy – </w:t>
            </w:r>
            <w:r w:rsidRPr="00C75CAA">
              <w:rPr>
                <w:rFonts w:cs="Calibri"/>
                <w:color w:val="000000"/>
                <w:sz w:val="18"/>
                <w:szCs w:val="18"/>
              </w:rPr>
              <w:t>splnění hlukových požadavků dle technických specifikací interoperability subsystémů hluk a nákladní vozy</w:t>
            </w:r>
          </w:p>
        </w:tc>
        <w:tc>
          <w:tcPr>
            <w:tcW w:w="993" w:type="dxa"/>
            <w:tcBorders>
              <w:bottom w:val="single" w:sz="4" w:space="0" w:color="auto"/>
            </w:tcBorders>
            <w:shd w:val="clear" w:color="auto" w:fill="auto"/>
            <w:vAlign w:val="center"/>
          </w:tcPr>
          <w:p w14:paraId="187A7F64" w14:textId="77777777" w:rsidR="00556FCC" w:rsidRPr="00C75CAA" w:rsidRDefault="00556FCC" w:rsidP="00556FCC">
            <w:pPr>
              <w:jc w:val="center"/>
              <w:rPr>
                <w:rFonts w:cs="Calibri"/>
                <w:sz w:val="20"/>
                <w:szCs w:val="20"/>
              </w:rPr>
            </w:pPr>
            <w:r w:rsidRPr="00C75CAA">
              <w:rPr>
                <w:rFonts w:cs="Calibri"/>
                <w:sz w:val="20"/>
                <w:szCs w:val="20"/>
              </w:rPr>
              <w:t>kolová</w:t>
            </w:r>
          </w:p>
        </w:tc>
        <w:tc>
          <w:tcPr>
            <w:tcW w:w="1275" w:type="dxa"/>
            <w:tcBorders>
              <w:bottom w:val="single" w:sz="4" w:space="0" w:color="auto"/>
            </w:tcBorders>
            <w:shd w:val="clear" w:color="auto" w:fill="auto"/>
            <w:vAlign w:val="center"/>
          </w:tcPr>
          <w:p w14:paraId="2E75DBB9" w14:textId="77777777" w:rsidR="00556FCC" w:rsidRPr="00C75CAA" w:rsidRDefault="00556FCC" w:rsidP="00556FCC">
            <w:pPr>
              <w:jc w:val="center"/>
              <w:rPr>
                <w:rFonts w:cs="Calibri"/>
                <w:sz w:val="18"/>
                <w:szCs w:val="18"/>
              </w:rPr>
            </w:pPr>
            <w:r>
              <w:rPr>
                <w:rFonts w:cs="Calibri"/>
                <w:sz w:val="18"/>
                <w:szCs w:val="18"/>
              </w:rPr>
              <w:t>ukončená/4</w:t>
            </w:r>
          </w:p>
        </w:tc>
      </w:tr>
      <w:tr w:rsidR="00556FCC" w14:paraId="4EF16C27" w14:textId="77777777" w:rsidTr="007E79F4">
        <w:trPr>
          <w:trHeight w:val="794"/>
        </w:trPr>
        <w:tc>
          <w:tcPr>
            <w:tcW w:w="1135" w:type="dxa"/>
            <w:tcBorders>
              <w:top w:val="single" w:sz="12" w:space="0" w:color="auto"/>
              <w:bottom w:val="single" w:sz="4" w:space="0" w:color="auto"/>
            </w:tcBorders>
            <w:shd w:val="clear" w:color="auto" w:fill="auto"/>
            <w:vAlign w:val="center"/>
          </w:tcPr>
          <w:p w14:paraId="5D665F9A" w14:textId="77777777" w:rsidR="00556FCC" w:rsidRPr="00C75CAA" w:rsidRDefault="00556FCC" w:rsidP="00556FCC">
            <w:pPr>
              <w:jc w:val="both"/>
              <w:rPr>
                <w:rFonts w:cs="Calibri"/>
                <w:sz w:val="20"/>
                <w:szCs w:val="20"/>
              </w:rPr>
            </w:pPr>
            <w:r>
              <w:rPr>
                <w:rFonts w:cs="Calibri"/>
                <w:sz w:val="20"/>
                <w:szCs w:val="20"/>
              </w:rPr>
              <w:t>127D77</w:t>
            </w:r>
            <w:r w:rsidRPr="00C75CAA">
              <w:rPr>
                <w:rFonts w:cs="Calibri"/>
                <w:sz w:val="20"/>
                <w:szCs w:val="20"/>
              </w:rPr>
              <w:t>2</w:t>
            </w:r>
            <w:r>
              <w:rPr>
                <w:rFonts w:cs="Calibri"/>
                <w:sz w:val="20"/>
                <w:szCs w:val="20"/>
              </w:rPr>
              <w:t xml:space="preserve"> </w:t>
            </w:r>
            <w:r w:rsidRPr="00C75CAA">
              <w:rPr>
                <w:rFonts w:cs="Calibri"/>
                <w:sz w:val="20"/>
                <w:szCs w:val="20"/>
              </w:rPr>
              <w:t>2</w:t>
            </w:r>
          </w:p>
        </w:tc>
        <w:tc>
          <w:tcPr>
            <w:tcW w:w="2268" w:type="dxa"/>
            <w:tcBorders>
              <w:top w:val="single" w:sz="12" w:space="0" w:color="auto"/>
              <w:bottom w:val="single" w:sz="4" w:space="0" w:color="auto"/>
            </w:tcBorders>
            <w:shd w:val="clear" w:color="auto" w:fill="auto"/>
            <w:vAlign w:val="center"/>
          </w:tcPr>
          <w:p w14:paraId="3B6E91C1" w14:textId="77777777" w:rsidR="00556FCC" w:rsidRPr="00C75CAA" w:rsidRDefault="00556FCC" w:rsidP="00556FCC">
            <w:pPr>
              <w:rPr>
                <w:rFonts w:cs="Calibri"/>
                <w:sz w:val="20"/>
                <w:szCs w:val="20"/>
              </w:rPr>
            </w:pPr>
            <w:r w:rsidRPr="00C75CAA">
              <w:rPr>
                <w:rFonts w:ascii="Calibri" w:hAnsi="Calibri" w:cs="Calibri"/>
                <w:color w:val="000000"/>
                <w:sz w:val="20"/>
                <w:szCs w:val="20"/>
              </w:rPr>
              <w:t xml:space="preserve">Modernizace </w:t>
            </w:r>
            <w:r w:rsidRPr="00C75CAA">
              <w:rPr>
                <w:rFonts w:ascii="Calibri" w:hAnsi="Calibri" w:cs="Calibri"/>
                <w:bCs/>
                <w:color w:val="000000"/>
                <w:sz w:val="20"/>
                <w:szCs w:val="20"/>
              </w:rPr>
              <w:t>plavidel</w:t>
            </w:r>
            <w:r w:rsidRPr="00C75CAA">
              <w:rPr>
                <w:rFonts w:ascii="Calibri" w:hAnsi="Calibri" w:cs="Calibri"/>
                <w:color w:val="000000"/>
                <w:sz w:val="20"/>
                <w:szCs w:val="20"/>
              </w:rPr>
              <w:t xml:space="preserve"> vnitrozemské vodní dopravy</w:t>
            </w:r>
          </w:p>
        </w:tc>
        <w:tc>
          <w:tcPr>
            <w:tcW w:w="3430" w:type="dxa"/>
            <w:tcBorders>
              <w:top w:val="single" w:sz="12" w:space="0" w:color="auto"/>
              <w:bottom w:val="single" w:sz="4" w:space="0" w:color="auto"/>
            </w:tcBorders>
            <w:shd w:val="clear" w:color="auto" w:fill="auto"/>
            <w:vAlign w:val="center"/>
          </w:tcPr>
          <w:p w14:paraId="1BDA67CA" w14:textId="77777777" w:rsidR="00556FCC" w:rsidRPr="00C75CAA" w:rsidRDefault="00556FCC" w:rsidP="00556FCC">
            <w:pPr>
              <w:jc w:val="both"/>
              <w:rPr>
                <w:rFonts w:cs="Calibri"/>
                <w:sz w:val="18"/>
                <w:szCs w:val="18"/>
              </w:rPr>
            </w:pPr>
            <w:r w:rsidRPr="00C75CAA">
              <w:rPr>
                <w:rFonts w:cs="Calibri"/>
                <w:bCs/>
                <w:color w:val="000000"/>
                <w:sz w:val="18"/>
                <w:szCs w:val="18"/>
              </w:rPr>
              <w:t xml:space="preserve">Modernizace plavidel vedoucí ke </w:t>
            </w:r>
            <w:r w:rsidRPr="00C75CAA">
              <w:rPr>
                <w:rFonts w:cs="Calibri"/>
                <w:b/>
                <w:bCs/>
                <w:color w:val="000000"/>
                <w:sz w:val="18"/>
                <w:szCs w:val="18"/>
              </w:rPr>
              <w:t>zvýšení bezpečnosti</w:t>
            </w:r>
            <w:r w:rsidRPr="00C75CAA">
              <w:rPr>
                <w:rFonts w:cs="Calibri"/>
                <w:bCs/>
                <w:color w:val="000000"/>
                <w:sz w:val="18"/>
                <w:szCs w:val="18"/>
              </w:rPr>
              <w:t xml:space="preserve"> vnitrozemské plavby</w:t>
            </w:r>
          </w:p>
        </w:tc>
        <w:tc>
          <w:tcPr>
            <w:tcW w:w="993" w:type="dxa"/>
            <w:tcBorders>
              <w:top w:val="single" w:sz="12" w:space="0" w:color="auto"/>
              <w:bottom w:val="single" w:sz="4" w:space="0" w:color="auto"/>
            </w:tcBorders>
            <w:shd w:val="clear" w:color="auto" w:fill="auto"/>
            <w:vAlign w:val="center"/>
          </w:tcPr>
          <w:p w14:paraId="24CC7F96" w14:textId="77777777" w:rsidR="00556FCC" w:rsidRPr="00C75CAA" w:rsidRDefault="00556FCC" w:rsidP="00556FCC">
            <w:pPr>
              <w:jc w:val="center"/>
              <w:rPr>
                <w:rFonts w:cs="Calibri"/>
                <w:sz w:val="20"/>
                <w:szCs w:val="20"/>
              </w:rPr>
            </w:pPr>
            <w:r w:rsidRPr="00C75CAA">
              <w:rPr>
                <w:rFonts w:cs="Calibri"/>
                <w:sz w:val="20"/>
                <w:szCs w:val="20"/>
              </w:rPr>
              <w:t>kolová</w:t>
            </w:r>
          </w:p>
        </w:tc>
        <w:tc>
          <w:tcPr>
            <w:tcW w:w="1275" w:type="dxa"/>
            <w:tcBorders>
              <w:top w:val="single" w:sz="12" w:space="0" w:color="auto"/>
              <w:bottom w:val="single" w:sz="4" w:space="0" w:color="auto"/>
            </w:tcBorders>
            <w:shd w:val="clear" w:color="auto" w:fill="auto"/>
            <w:vAlign w:val="center"/>
          </w:tcPr>
          <w:p w14:paraId="544750BE" w14:textId="77777777" w:rsidR="00556FCC" w:rsidRPr="00C75CAA" w:rsidRDefault="00556FCC" w:rsidP="00556FCC">
            <w:pPr>
              <w:jc w:val="center"/>
              <w:rPr>
                <w:rFonts w:cs="Calibri"/>
                <w:sz w:val="18"/>
                <w:szCs w:val="18"/>
              </w:rPr>
            </w:pPr>
            <w:r w:rsidRPr="00C75CAA">
              <w:rPr>
                <w:rFonts w:cs="Calibri"/>
                <w:sz w:val="18"/>
                <w:szCs w:val="18"/>
              </w:rPr>
              <w:t>ukončená/21</w:t>
            </w:r>
          </w:p>
        </w:tc>
      </w:tr>
      <w:tr w:rsidR="00556FCC" w14:paraId="189752FC" w14:textId="77777777" w:rsidTr="00334A2D">
        <w:trPr>
          <w:trHeight w:val="794"/>
        </w:trPr>
        <w:tc>
          <w:tcPr>
            <w:tcW w:w="1135" w:type="dxa"/>
            <w:tcBorders>
              <w:bottom w:val="single" w:sz="12" w:space="0" w:color="auto"/>
            </w:tcBorders>
            <w:shd w:val="clear" w:color="auto" w:fill="auto"/>
            <w:vAlign w:val="center"/>
          </w:tcPr>
          <w:p w14:paraId="1ECEF9EC" w14:textId="77777777" w:rsidR="00556FCC" w:rsidRPr="00C75CAA" w:rsidRDefault="00556FCC" w:rsidP="00556FCC">
            <w:pPr>
              <w:jc w:val="both"/>
              <w:rPr>
                <w:rFonts w:cs="Calibri"/>
                <w:sz w:val="20"/>
                <w:szCs w:val="20"/>
              </w:rPr>
            </w:pPr>
            <w:r>
              <w:rPr>
                <w:rFonts w:cs="Calibri"/>
                <w:sz w:val="20"/>
                <w:szCs w:val="20"/>
              </w:rPr>
              <w:t>127D77</w:t>
            </w:r>
            <w:r w:rsidRPr="00C75CAA">
              <w:rPr>
                <w:rFonts w:cs="Calibri"/>
                <w:sz w:val="20"/>
                <w:szCs w:val="20"/>
              </w:rPr>
              <w:t>2</w:t>
            </w:r>
            <w:r>
              <w:rPr>
                <w:rFonts w:cs="Calibri"/>
                <w:sz w:val="20"/>
                <w:szCs w:val="20"/>
              </w:rPr>
              <w:t xml:space="preserve"> </w:t>
            </w:r>
            <w:r w:rsidRPr="00C75CAA">
              <w:rPr>
                <w:rFonts w:cs="Calibri"/>
                <w:sz w:val="20"/>
                <w:szCs w:val="20"/>
              </w:rPr>
              <w:t>2</w:t>
            </w:r>
          </w:p>
        </w:tc>
        <w:tc>
          <w:tcPr>
            <w:tcW w:w="2268" w:type="dxa"/>
            <w:tcBorders>
              <w:bottom w:val="single" w:sz="12" w:space="0" w:color="auto"/>
            </w:tcBorders>
            <w:shd w:val="clear" w:color="auto" w:fill="auto"/>
            <w:vAlign w:val="center"/>
          </w:tcPr>
          <w:p w14:paraId="05569FD7" w14:textId="77777777" w:rsidR="00556FCC" w:rsidRPr="00C75CAA" w:rsidRDefault="00556FCC" w:rsidP="00556FCC">
            <w:pPr>
              <w:rPr>
                <w:rFonts w:cs="Calibri"/>
                <w:sz w:val="20"/>
                <w:szCs w:val="20"/>
              </w:rPr>
            </w:pPr>
            <w:r w:rsidRPr="00C75CAA">
              <w:rPr>
                <w:rFonts w:ascii="Calibri" w:hAnsi="Calibri" w:cs="Calibri"/>
                <w:color w:val="000000"/>
                <w:sz w:val="20"/>
                <w:szCs w:val="20"/>
              </w:rPr>
              <w:t xml:space="preserve">Modernizace </w:t>
            </w:r>
            <w:r w:rsidRPr="00C75CAA">
              <w:rPr>
                <w:rFonts w:ascii="Calibri" w:hAnsi="Calibri" w:cs="Calibri"/>
                <w:bCs/>
                <w:color w:val="000000"/>
                <w:sz w:val="20"/>
                <w:szCs w:val="20"/>
              </w:rPr>
              <w:t>plavidel</w:t>
            </w:r>
            <w:r w:rsidRPr="00C75CAA">
              <w:rPr>
                <w:rFonts w:ascii="Calibri" w:hAnsi="Calibri" w:cs="Calibri"/>
                <w:color w:val="000000"/>
                <w:sz w:val="20"/>
                <w:szCs w:val="20"/>
              </w:rPr>
              <w:t xml:space="preserve"> vnitrozemské vodní dopravy</w:t>
            </w:r>
          </w:p>
        </w:tc>
        <w:tc>
          <w:tcPr>
            <w:tcW w:w="3430" w:type="dxa"/>
            <w:tcBorders>
              <w:bottom w:val="single" w:sz="12" w:space="0" w:color="auto"/>
            </w:tcBorders>
            <w:shd w:val="clear" w:color="auto" w:fill="auto"/>
            <w:vAlign w:val="center"/>
          </w:tcPr>
          <w:p w14:paraId="673EAB0F" w14:textId="77777777" w:rsidR="00556FCC" w:rsidRPr="00C75CAA" w:rsidRDefault="00556FCC" w:rsidP="00556FCC">
            <w:pPr>
              <w:jc w:val="both"/>
              <w:rPr>
                <w:rFonts w:cs="Calibri"/>
                <w:sz w:val="20"/>
                <w:szCs w:val="20"/>
              </w:rPr>
            </w:pPr>
            <w:r w:rsidRPr="00C75CAA">
              <w:rPr>
                <w:rFonts w:cs="Calibri"/>
                <w:bCs/>
                <w:color w:val="000000"/>
                <w:sz w:val="18"/>
                <w:szCs w:val="18"/>
              </w:rPr>
              <w:t xml:space="preserve">Modernizace plavidel za účelem </w:t>
            </w:r>
            <w:r w:rsidRPr="00C75CAA">
              <w:rPr>
                <w:rFonts w:cs="Calibri"/>
                <w:b/>
                <w:bCs/>
                <w:color w:val="000000"/>
                <w:sz w:val="18"/>
                <w:szCs w:val="18"/>
              </w:rPr>
              <w:t>zvýšení multimodality</w:t>
            </w:r>
            <w:r w:rsidRPr="00C75CAA">
              <w:rPr>
                <w:rFonts w:cs="Calibri"/>
                <w:bCs/>
                <w:color w:val="000000"/>
                <w:sz w:val="18"/>
                <w:szCs w:val="18"/>
              </w:rPr>
              <w:t xml:space="preserve"> nákladní přepravy</w:t>
            </w:r>
          </w:p>
        </w:tc>
        <w:tc>
          <w:tcPr>
            <w:tcW w:w="993" w:type="dxa"/>
            <w:tcBorders>
              <w:bottom w:val="single" w:sz="12" w:space="0" w:color="auto"/>
            </w:tcBorders>
            <w:shd w:val="clear" w:color="auto" w:fill="auto"/>
            <w:vAlign w:val="center"/>
          </w:tcPr>
          <w:p w14:paraId="6A3541E0" w14:textId="77777777" w:rsidR="00556FCC" w:rsidRPr="00C75CAA" w:rsidRDefault="00556FCC" w:rsidP="00556FCC">
            <w:pPr>
              <w:jc w:val="center"/>
              <w:rPr>
                <w:rFonts w:cs="Calibri"/>
                <w:sz w:val="20"/>
                <w:szCs w:val="20"/>
              </w:rPr>
            </w:pPr>
            <w:r w:rsidRPr="00C75CAA">
              <w:rPr>
                <w:rFonts w:cs="Calibri"/>
                <w:sz w:val="20"/>
                <w:szCs w:val="20"/>
              </w:rPr>
              <w:t>kolová</w:t>
            </w:r>
          </w:p>
        </w:tc>
        <w:tc>
          <w:tcPr>
            <w:tcW w:w="1275" w:type="dxa"/>
            <w:tcBorders>
              <w:bottom w:val="single" w:sz="12" w:space="0" w:color="auto"/>
            </w:tcBorders>
            <w:shd w:val="clear" w:color="auto" w:fill="auto"/>
            <w:vAlign w:val="center"/>
          </w:tcPr>
          <w:p w14:paraId="182D3001" w14:textId="77777777" w:rsidR="00556FCC" w:rsidRPr="00C75CAA" w:rsidRDefault="00556FCC" w:rsidP="00556FCC">
            <w:pPr>
              <w:jc w:val="center"/>
              <w:rPr>
                <w:rFonts w:cs="Calibri"/>
                <w:sz w:val="18"/>
                <w:szCs w:val="18"/>
              </w:rPr>
            </w:pPr>
            <w:r w:rsidRPr="00C75CAA">
              <w:rPr>
                <w:rFonts w:cs="Calibri"/>
                <w:sz w:val="18"/>
                <w:szCs w:val="18"/>
              </w:rPr>
              <w:t>ukončená/6</w:t>
            </w:r>
          </w:p>
        </w:tc>
      </w:tr>
    </w:tbl>
    <w:p w14:paraId="00573F01" w14:textId="77777777" w:rsidR="00334A2D" w:rsidRDefault="00334A2D"/>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268"/>
        <w:gridCol w:w="3430"/>
        <w:gridCol w:w="993"/>
        <w:gridCol w:w="1275"/>
      </w:tblGrid>
      <w:tr w:rsidR="00556FCC" w14:paraId="27572498" w14:textId="77777777" w:rsidTr="00334A2D">
        <w:trPr>
          <w:trHeight w:val="1020"/>
        </w:trPr>
        <w:tc>
          <w:tcPr>
            <w:tcW w:w="1135" w:type="dxa"/>
            <w:tcBorders>
              <w:top w:val="single" w:sz="12" w:space="0" w:color="auto"/>
              <w:bottom w:val="single" w:sz="2" w:space="0" w:color="auto"/>
            </w:tcBorders>
            <w:shd w:val="clear" w:color="auto" w:fill="auto"/>
            <w:vAlign w:val="center"/>
          </w:tcPr>
          <w:p w14:paraId="2E18B858" w14:textId="77777777" w:rsidR="00556FCC" w:rsidRPr="00C75CAA" w:rsidRDefault="00556FCC" w:rsidP="00556FCC">
            <w:pPr>
              <w:jc w:val="both"/>
              <w:rPr>
                <w:rFonts w:cs="Calibri"/>
                <w:sz w:val="20"/>
                <w:szCs w:val="20"/>
              </w:rPr>
            </w:pPr>
            <w:r>
              <w:rPr>
                <w:rFonts w:cs="Calibri"/>
                <w:sz w:val="20"/>
                <w:szCs w:val="20"/>
              </w:rPr>
              <w:lastRenderedPageBreak/>
              <w:t>127D77</w:t>
            </w:r>
            <w:r w:rsidRPr="00C75CAA">
              <w:rPr>
                <w:rFonts w:cs="Calibri"/>
                <w:sz w:val="20"/>
                <w:szCs w:val="20"/>
              </w:rPr>
              <w:t>2</w:t>
            </w:r>
            <w:r>
              <w:rPr>
                <w:rFonts w:cs="Calibri"/>
                <w:sz w:val="20"/>
                <w:szCs w:val="20"/>
              </w:rPr>
              <w:t xml:space="preserve"> </w:t>
            </w:r>
            <w:r w:rsidRPr="00C75CAA">
              <w:rPr>
                <w:rFonts w:cs="Calibri"/>
                <w:sz w:val="20"/>
                <w:szCs w:val="20"/>
              </w:rPr>
              <w:t>3</w:t>
            </w:r>
          </w:p>
        </w:tc>
        <w:tc>
          <w:tcPr>
            <w:tcW w:w="2268" w:type="dxa"/>
            <w:tcBorders>
              <w:top w:val="single" w:sz="12" w:space="0" w:color="auto"/>
              <w:bottom w:val="single" w:sz="2" w:space="0" w:color="auto"/>
            </w:tcBorders>
            <w:shd w:val="clear" w:color="auto" w:fill="auto"/>
            <w:vAlign w:val="center"/>
          </w:tcPr>
          <w:p w14:paraId="0564DD8B" w14:textId="77777777" w:rsidR="00556FCC" w:rsidRPr="00C75CAA" w:rsidRDefault="00556FCC" w:rsidP="00556FCC">
            <w:pPr>
              <w:rPr>
                <w:rFonts w:cs="Calibri"/>
                <w:sz w:val="20"/>
                <w:szCs w:val="20"/>
              </w:rPr>
            </w:pPr>
            <w:r w:rsidRPr="00C75CAA">
              <w:rPr>
                <w:rFonts w:cs="Calibri"/>
                <w:sz w:val="20"/>
                <w:szCs w:val="20"/>
              </w:rPr>
              <w:t>Z</w:t>
            </w:r>
            <w:r w:rsidRPr="00C75CAA">
              <w:rPr>
                <w:bCs/>
                <w:iCs/>
                <w:sz w:val="20"/>
                <w:szCs w:val="20"/>
              </w:rPr>
              <w:t>avádění veřejně přístupných dobíjecích</w:t>
            </w:r>
            <w:r w:rsidR="00334A2D">
              <w:rPr>
                <w:bCs/>
                <w:iCs/>
                <w:sz w:val="20"/>
                <w:szCs w:val="20"/>
              </w:rPr>
              <w:t xml:space="preserve"> a plnících stanic pro vozidla </w:t>
            </w:r>
            <w:r w:rsidRPr="00C75CAA">
              <w:rPr>
                <w:bCs/>
                <w:iCs/>
                <w:sz w:val="20"/>
                <w:szCs w:val="20"/>
              </w:rPr>
              <w:t>s pohonem na alternativní paliva v ČR</w:t>
            </w:r>
          </w:p>
        </w:tc>
        <w:tc>
          <w:tcPr>
            <w:tcW w:w="3430" w:type="dxa"/>
            <w:tcBorders>
              <w:top w:val="single" w:sz="12" w:space="0" w:color="auto"/>
              <w:bottom w:val="single" w:sz="2" w:space="0" w:color="auto"/>
            </w:tcBorders>
            <w:shd w:val="clear" w:color="auto" w:fill="auto"/>
            <w:vAlign w:val="center"/>
          </w:tcPr>
          <w:p w14:paraId="0993C9A2" w14:textId="77777777" w:rsidR="00556FCC" w:rsidRPr="00C75CAA" w:rsidRDefault="00556FCC" w:rsidP="00556FCC">
            <w:pPr>
              <w:jc w:val="both"/>
              <w:rPr>
                <w:rFonts w:cs="Calibri"/>
                <w:sz w:val="18"/>
                <w:szCs w:val="18"/>
              </w:rPr>
            </w:pPr>
            <w:r w:rsidRPr="00C75CAA">
              <w:rPr>
                <w:rFonts w:cs="Calibri"/>
                <w:bCs/>
                <w:color w:val="000000"/>
                <w:sz w:val="18"/>
                <w:szCs w:val="18"/>
              </w:rPr>
              <w:t>Podpora rozvoje páteřní sítě dobíjecích stanic</w:t>
            </w:r>
          </w:p>
        </w:tc>
        <w:tc>
          <w:tcPr>
            <w:tcW w:w="993" w:type="dxa"/>
            <w:tcBorders>
              <w:top w:val="single" w:sz="12" w:space="0" w:color="auto"/>
              <w:bottom w:val="single" w:sz="2" w:space="0" w:color="auto"/>
            </w:tcBorders>
            <w:shd w:val="clear" w:color="auto" w:fill="auto"/>
            <w:vAlign w:val="center"/>
          </w:tcPr>
          <w:p w14:paraId="05AAFECF" w14:textId="77777777" w:rsidR="00556FCC" w:rsidRPr="00C75CAA" w:rsidRDefault="00556FCC" w:rsidP="00556FCC">
            <w:pPr>
              <w:jc w:val="center"/>
              <w:rPr>
                <w:rFonts w:cs="Calibri"/>
                <w:sz w:val="20"/>
                <w:szCs w:val="20"/>
              </w:rPr>
            </w:pPr>
            <w:r w:rsidRPr="00C75CAA">
              <w:rPr>
                <w:rFonts w:cs="Calibri"/>
                <w:sz w:val="20"/>
                <w:szCs w:val="20"/>
              </w:rPr>
              <w:t>kolová</w:t>
            </w:r>
          </w:p>
        </w:tc>
        <w:tc>
          <w:tcPr>
            <w:tcW w:w="1275" w:type="dxa"/>
            <w:tcBorders>
              <w:top w:val="single" w:sz="12" w:space="0" w:color="auto"/>
              <w:bottom w:val="single" w:sz="2" w:space="0" w:color="auto"/>
            </w:tcBorders>
            <w:shd w:val="clear" w:color="auto" w:fill="auto"/>
            <w:vAlign w:val="center"/>
          </w:tcPr>
          <w:p w14:paraId="0BFDEC19" w14:textId="77777777" w:rsidR="00556FCC" w:rsidRPr="00C75CAA" w:rsidRDefault="00556FCC" w:rsidP="00556FCC">
            <w:pPr>
              <w:jc w:val="center"/>
              <w:rPr>
                <w:rFonts w:cs="Calibri"/>
                <w:sz w:val="18"/>
                <w:szCs w:val="18"/>
              </w:rPr>
            </w:pPr>
            <w:r>
              <w:rPr>
                <w:rFonts w:cs="Calibri"/>
                <w:sz w:val="18"/>
                <w:szCs w:val="18"/>
              </w:rPr>
              <w:t>ukončená/2</w:t>
            </w:r>
          </w:p>
        </w:tc>
      </w:tr>
      <w:tr w:rsidR="00556FCC" w14:paraId="0BADEFAC" w14:textId="77777777" w:rsidTr="00B46BD3">
        <w:tc>
          <w:tcPr>
            <w:tcW w:w="1135" w:type="dxa"/>
            <w:tcBorders>
              <w:top w:val="single" w:sz="2" w:space="0" w:color="auto"/>
              <w:bottom w:val="single" w:sz="2" w:space="0" w:color="auto"/>
            </w:tcBorders>
            <w:shd w:val="clear" w:color="auto" w:fill="auto"/>
            <w:vAlign w:val="center"/>
          </w:tcPr>
          <w:p w14:paraId="5523A6D2" w14:textId="77777777" w:rsidR="00556FCC" w:rsidRDefault="00556FCC" w:rsidP="00556FCC">
            <w:pPr>
              <w:jc w:val="both"/>
              <w:rPr>
                <w:rFonts w:cs="Calibri"/>
                <w:sz w:val="20"/>
                <w:szCs w:val="20"/>
              </w:rPr>
            </w:pPr>
            <w:r>
              <w:rPr>
                <w:rFonts w:cs="Calibri"/>
                <w:sz w:val="20"/>
                <w:szCs w:val="20"/>
              </w:rPr>
              <w:t>127D77</w:t>
            </w:r>
            <w:r w:rsidRPr="00C75CAA">
              <w:rPr>
                <w:rFonts w:cs="Calibri"/>
                <w:sz w:val="20"/>
                <w:szCs w:val="20"/>
              </w:rPr>
              <w:t>2</w:t>
            </w:r>
            <w:r>
              <w:rPr>
                <w:rFonts w:cs="Calibri"/>
                <w:sz w:val="20"/>
                <w:szCs w:val="20"/>
              </w:rPr>
              <w:t xml:space="preserve"> </w:t>
            </w:r>
            <w:r w:rsidRPr="00C75CAA">
              <w:rPr>
                <w:rFonts w:cs="Calibri"/>
                <w:sz w:val="20"/>
                <w:szCs w:val="20"/>
              </w:rPr>
              <w:t>3</w:t>
            </w:r>
          </w:p>
        </w:tc>
        <w:tc>
          <w:tcPr>
            <w:tcW w:w="2268" w:type="dxa"/>
            <w:tcBorders>
              <w:top w:val="single" w:sz="2" w:space="0" w:color="auto"/>
              <w:bottom w:val="single" w:sz="2" w:space="0" w:color="auto"/>
            </w:tcBorders>
            <w:shd w:val="clear" w:color="auto" w:fill="auto"/>
            <w:vAlign w:val="center"/>
          </w:tcPr>
          <w:p w14:paraId="53C3AAB1" w14:textId="77777777" w:rsidR="00556FCC" w:rsidRPr="00C75CAA" w:rsidRDefault="00556FCC" w:rsidP="00556FCC">
            <w:pPr>
              <w:rPr>
                <w:rFonts w:cs="Calibri"/>
                <w:sz w:val="20"/>
                <w:szCs w:val="20"/>
              </w:rPr>
            </w:pPr>
            <w:r w:rsidRPr="00C75CAA">
              <w:rPr>
                <w:rFonts w:cs="Calibri"/>
                <w:sz w:val="20"/>
                <w:szCs w:val="20"/>
              </w:rPr>
              <w:t>Z</w:t>
            </w:r>
            <w:r w:rsidRPr="00C75CAA">
              <w:rPr>
                <w:bCs/>
                <w:iCs/>
                <w:sz w:val="20"/>
                <w:szCs w:val="20"/>
              </w:rPr>
              <w:t xml:space="preserve">avádění veřejně přístupných dobíjecích a plnících stanic pro vozidla </w:t>
            </w:r>
            <w:r w:rsidRPr="00C75CAA">
              <w:rPr>
                <w:bCs/>
                <w:iCs/>
                <w:sz w:val="20"/>
                <w:szCs w:val="20"/>
              </w:rPr>
              <w:br/>
              <w:t>s pohonem na alternativní paliva v ČR</w:t>
            </w:r>
          </w:p>
        </w:tc>
        <w:tc>
          <w:tcPr>
            <w:tcW w:w="3430" w:type="dxa"/>
            <w:tcBorders>
              <w:top w:val="single" w:sz="2" w:space="0" w:color="auto"/>
              <w:bottom w:val="single" w:sz="2" w:space="0" w:color="auto"/>
            </w:tcBorders>
            <w:shd w:val="clear" w:color="auto" w:fill="auto"/>
            <w:vAlign w:val="center"/>
          </w:tcPr>
          <w:p w14:paraId="1478316E" w14:textId="77777777" w:rsidR="00556FCC" w:rsidRPr="00C75CAA" w:rsidDel="002C5387" w:rsidRDefault="00556FCC" w:rsidP="00556FCC">
            <w:pPr>
              <w:jc w:val="both"/>
              <w:rPr>
                <w:rFonts w:cs="Calibri"/>
                <w:color w:val="000000"/>
                <w:sz w:val="18"/>
                <w:szCs w:val="18"/>
              </w:rPr>
            </w:pPr>
            <w:r w:rsidRPr="00351242">
              <w:rPr>
                <w:rFonts w:cs="Calibri"/>
                <w:bCs/>
                <w:color w:val="000000"/>
                <w:sz w:val="18"/>
                <w:szCs w:val="18"/>
              </w:rPr>
              <w:t>Podpora rozvoje doplňkové sítě dobíjecích stanic</w:t>
            </w:r>
          </w:p>
        </w:tc>
        <w:tc>
          <w:tcPr>
            <w:tcW w:w="993" w:type="dxa"/>
            <w:tcBorders>
              <w:top w:val="single" w:sz="2" w:space="0" w:color="auto"/>
              <w:bottom w:val="single" w:sz="2" w:space="0" w:color="auto"/>
            </w:tcBorders>
            <w:shd w:val="clear" w:color="auto" w:fill="auto"/>
            <w:vAlign w:val="center"/>
          </w:tcPr>
          <w:p w14:paraId="620CF65E" w14:textId="77777777" w:rsidR="00556FCC" w:rsidRPr="00C75CAA" w:rsidRDefault="00556FCC" w:rsidP="00556FCC">
            <w:pPr>
              <w:jc w:val="center"/>
              <w:rPr>
                <w:rFonts w:cs="Calibri"/>
                <w:sz w:val="20"/>
                <w:szCs w:val="20"/>
              </w:rPr>
            </w:pPr>
            <w:r w:rsidRPr="00C75CAA">
              <w:rPr>
                <w:rFonts w:cs="Calibri"/>
                <w:sz w:val="20"/>
                <w:szCs w:val="20"/>
              </w:rPr>
              <w:t>kolová</w:t>
            </w:r>
          </w:p>
        </w:tc>
        <w:tc>
          <w:tcPr>
            <w:tcW w:w="1275" w:type="dxa"/>
            <w:tcBorders>
              <w:top w:val="single" w:sz="2" w:space="0" w:color="auto"/>
              <w:bottom w:val="single" w:sz="2" w:space="0" w:color="auto"/>
            </w:tcBorders>
            <w:shd w:val="clear" w:color="auto" w:fill="auto"/>
            <w:vAlign w:val="center"/>
          </w:tcPr>
          <w:p w14:paraId="265450D6" w14:textId="77777777" w:rsidR="00556FCC" w:rsidRPr="00C75CAA" w:rsidDel="002C5387" w:rsidRDefault="00556FCC" w:rsidP="00556FCC">
            <w:pPr>
              <w:jc w:val="center"/>
              <w:rPr>
                <w:rFonts w:cs="Calibri"/>
                <w:sz w:val="18"/>
                <w:szCs w:val="18"/>
              </w:rPr>
            </w:pPr>
            <w:r>
              <w:rPr>
                <w:rFonts w:cs="Calibri"/>
                <w:sz w:val="18"/>
                <w:szCs w:val="18"/>
              </w:rPr>
              <w:t>ukončená/5</w:t>
            </w:r>
          </w:p>
        </w:tc>
      </w:tr>
      <w:tr w:rsidR="00556FCC" w14:paraId="2ABF513D" w14:textId="77777777" w:rsidTr="00B46BD3">
        <w:tc>
          <w:tcPr>
            <w:tcW w:w="1135" w:type="dxa"/>
            <w:tcBorders>
              <w:top w:val="single" w:sz="2" w:space="0" w:color="auto"/>
              <w:bottom w:val="single" w:sz="2" w:space="0" w:color="auto"/>
            </w:tcBorders>
            <w:shd w:val="clear" w:color="auto" w:fill="auto"/>
            <w:vAlign w:val="center"/>
          </w:tcPr>
          <w:p w14:paraId="2AD0495D" w14:textId="77777777" w:rsidR="00556FCC" w:rsidRDefault="00556FCC" w:rsidP="00556FCC">
            <w:pPr>
              <w:jc w:val="both"/>
              <w:rPr>
                <w:rFonts w:cs="Calibri"/>
                <w:sz w:val="20"/>
                <w:szCs w:val="20"/>
              </w:rPr>
            </w:pPr>
            <w:r>
              <w:rPr>
                <w:rFonts w:cs="Calibri"/>
                <w:sz w:val="20"/>
                <w:szCs w:val="20"/>
              </w:rPr>
              <w:t>127D77</w:t>
            </w:r>
            <w:r w:rsidRPr="00C75CAA">
              <w:rPr>
                <w:rFonts w:cs="Calibri"/>
                <w:sz w:val="20"/>
                <w:szCs w:val="20"/>
              </w:rPr>
              <w:t>2</w:t>
            </w:r>
            <w:r>
              <w:rPr>
                <w:rFonts w:cs="Calibri"/>
                <w:sz w:val="20"/>
                <w:szCs w:val="20"/>
              </w:rPr>
              <w:t xml:space="preserve"> </w:t>
            </w:r>
            <w:r w:rsidRPr="00C75CAA">
              <w:rPr>
                <w:rFonts w:cs="Calibri"/>
                <w:sz w:val="20"/>
                <w:szCs w:val="20"/>
              </w:rPr>
              <w:t>3</w:t>
            </w:r>
          </w:p>
        </w:tc>
        <w:tc>
          <w:tcPr>
            <w:tcW w:w="2268" w:type="dxa"/>
            <w:tcBorders>
              <w:top w:val="single" w:sz="2" w:space="0" w:color="auto"/>
              <w:bottom w:val="single" w:sz="2" w:space="0" w:color="auto"/>
            </w:tcBorders>
            <w:shd w:val="clear" w:color="auto" w:fill="auto"/>
            <w:vAlign w:val="center"/>
          </w:tcPr>
          <w:p w14:paraId="139B5140" w14:textId="77777777" w:rsidR="00556FCC" w:rsidRPr="00C75CAA" w:rsidRDefault="00556FCC" w:rsidP="00556FCC">
            <w:pPr>
              <w:rPr>
                <w:rFonts w:cs="Calibri"/>
                <w:sz w:val="20"/>
                <w:szCs w:val="20"/>
              </w:rPr>
            </w:pPr>
            <w:r w:rsidRPr="00C75CAA">
              <w:rPr>
                <w:rFonts w:cs="Calibri"/>
                <w:sz w:val="20"/>
                <w:szCs w:val="20"/>
              </w:rPr>
              <w:t>Z</w:t>
            </w:r>
            <w:r w:rsidRPr="00C75CAA">
              <w:rPr>
                <w:bCs/>
                <w:iCs/>
                <w:sz w:val="20"/>
                <w:szCs w:val="20"/>
              </w:rPr>
              <w:t xml:space="preserve">avádění veřejně přístupných dobíjecích a plnících stanic pro vozidla </w:t>
            </w:r>
            <w:r w:rsidRPr="00C75CAA">
              <w:rPr>
                <w:bCs/>
                <w:iCs/>
                <w:sz w:val="20"/>
                <w:szCs w:val="20"/>
              </w:rPr>
              <w:br/>
              <w:t>s pohonem na alternativní paliva v ČR</w:t>
            </w:r>
          </w:p>
        </w:tc>
        <w:tc>
          <w:tcPr>
            <w:tcW w:w="3430" w:type="dxa"/>
            <w:tcBorders>
              <w:top w:val="single" w:sz="2" w:space="0" w:color="auto"/>
              <w:bottom w:val="single" w:sz="2" w:space="0" w:color="auto"/>
            </w:tcBorders>
            <w:shd w:val="clear" w:color="auto" w:fill="auto"/>
            <w:vAlign w:val="center"/>
          </w:tcPr>
          <w:p w14:paraId="4888BD45" w14:textId="77777777" w:rsidR="00556FCC" w:rsidRPr="00C75CAA" w:rsidDel="002C5387" w:rsidRDefault="00556FCC" w:rsidP="00556FCC">
            <w:pPr>
              <w:jc w:val="both"/>
              <w:rPr>
                <w:rFonts w:cs="Calibri"/>
                <w:color w:val="000000"/>
                <w:sz w:val="18"/>
                <w:szCs w:val="18"/>
              </w:rPr>
            </w:pPr>
            <w:r w:rsidRPr="00351242">
              <w:rPr>
                <w:rFonts w:cs="Calibri"/>
                <w:bCs/>
                <w:color w:val="000000"/>
                <w:sz w:val="18"/>
                <w:szCs w:val="18"/>
              </w:rPr>
              <w:t>Podpora rozvoje infrastruktury CNG plnících stanic</w:t>
            </w:r>
          </w:p>
        </w:tc>
        <w:tc>
          <w:tcPr>
            <w:tcW w:w="993" w:type="dxa"/>
            <w:tcBorders>
              <w:top w:val="single" w:sz="2" w:space="0" w:color="auto"/>
              <w:bottom w:val="single" w:sz="2" w:space="0" w:color="auto"/>
            </w:tcBorders>
            <w:shd w:val="clear" w:color="auto" w:fill="auto"/>
            <w:vAlign w:val="center"/>
          </w:tcPr>
          <w:p w14:paraId="40D1E2AC" w14:textId="77777777" w:rsidR="00556FCC" w:rsidRPr="00C75CAA" w:rsidRDefault="00556FCC" w:rsidP="00556FCC">
            <w:pPr>
              <w:jc w:val="center"/>
              <w:rPr>
                <w:rFonts w:cs="Calibri"/>
                <w:sz w:val="20"/>
                <w:szCs w:val="20"/>
              </w:rPr>
            </w:pPr>
            <w:r w:rsidRPr="00C75CAA">
              <w:rPr>
                <w:rFonts w:cs="Calibri"/>
                <w:sz w:val="20"/>
                <w:szCs w:val="20"/>
              </w:rPr>
              <w:t>kolová</w:t>
            </w:r>
          </w:p>
        </w:tc>
        <w:tc>
          <w:tcPr>
            <w:tcW w:w="1275" w:type="dxa"/>
            <w:tcBorders>
              <w:top w:val="single" w:sz="2" w:space="0" w:color="auto"/>
              <w:bottom w:val="single" w:sz="2" w:space="0" w:color="auto"/>
            </w:tcBorders>
            <w:shd w:val="clear" w:color="auto" w:fill="auto"/>
            <w:vAlign w:val="center"/>
          </w:tcPr>
          <w:p w14:paraId="4EF1BBD2" w14:textId="77777777" w:rsidR="00556FCC" w:rsidRPr="00C75CAA" w:rsidDel="002C5387" w:rsidRDefault="00556FCC" w:rsidP="00556FCC">
            <w:pPr>
              <w:jc w:val="center"/>
              <w:rPr>
                <w:rFonts w:cs="Calibri"/>
                <w:sz w:val="18"/>
                <w:szCs w:val="18"/>
              </w:rPr>
            </w:pPr>
            <w:r>
              <w:rPr>
                <w:rFonts w:cs="Calibri"/>
                <w:sz w:val="18"/>
                <w:szCs w:val="18"/>
              </w:rPr>
              <w:t>ukončená/2</w:t>
            </w:r>
          </w:p>
        </w:tc>
      </w:tr>
      <w:tr w:rsidR="00556FCC" w14:paraId="2C43FF92" w14:textId="77777777" w:rsidTr="00B46BD3">
        <w:tc>
          <w:tcPr>
            <w:tcW w:w="1135" w:type="dxa"/>
            <w:tcBorders>
              <w:top w:val="single" w:sz="2" w:space="0" w:color="auto"/>
              <w:bottom w:val="single" w:sz="2" w:space="0" w:color="auto"/>
            </w:tcBorders>
            <w:shd w:val="clear" w:color="auto" w:fill="auto"/>
            <w:vAlign w:val="center"/>
          </w:tcPr>
          <w:p w14:paraId="089C64DC" w14:textId="77777777" w:rsidR="00556FCC" w:rsidRDefault="00556FCC" w:rsidP="00556FCC">
            <w:pPr>
              <w:jc w:val="both"/>
              <w:rPr>
                <w:rFonts w:cs="Calibri"/>
                <w:sz w:val="20"/>
                <w:szCs w:val="20"/>
              </w:rPr>
            </w:pPr>
            <w:r>
              <w:rPr>
                <w:rFonts w:cs="Calibri"/>
                <w:sz w:val="20"/>
                <w:szCs w:val="20"/>
              </w:rPr>
              <w:t>127D77</w:t>
            </w:r>
            <w:r w:rsidRPr="00C75CAA">
              <w:rPr>
                <w:rFonts w:cs="Calibri"/>
                <w:sz w:val="20"/>
                <w:szCs w:val="20"/>
              </w:rPr>
              <w:t>2</w:t>
            </w:r>
            <w:r>
              <w:rPr>
                <w:rFonts w:cs="Calibri"/>
                <w:sz w:val="20"/>
                <w:szCs w:val="20"/>
              </w:rPr>
              <w:t xml:space="preserve"> </w:t>
            </w:r>
            <w:r w:rsidRPr="00C75CAA">
              <w:rPr>
                <w:rFonts w:cs="Calibri"/>
                <w:sz w:val="20"/>
                <w:szCs w:val="20"/>
              </w:rPr>
              <w:t>3</w:t>
            </w:r>
          </w:p>
        </w:tc>
        <w:tc>
          <w:tcPr>
            <w:tcW w:w="2268" w:type="dxa"/>
            <w:tcBorders>
              <w:top w:val="single" w:sz="2" w:space="0" w:color="auto"/>
              <w:bottom w:val="single" w:sz="2" w:space="0" w:color="auto"/>
            </w:tcBorders>
            <w:shd w:val="clear" w:color="auto" w:fill="auto"/>
            <w:vAlign w:val="center"/>
          </w:tcPr>
          <w:p w14:paraId="72D5FB46" w14:textId="77777777" w:rsidR="00556FCC" w:rsidRPr="00C75CAA" w:rsidRDefault="00556FCC" w:rsidP="00556FCC">
            <w:pPr>
              <w:rPr>
                <w:rFonts w:cs="Calibri"/>
                <w:sz w:val="20"/>
                <w:szCs w:val="20"/>
              </w:rPr>
            </w:pPr>
            <w:r w:rsidRPr="00C75CAA">
              <w:rPr>
                <w:rFonts w:cs="Calibri"/>
                <w:sz w:val="20"/>
                <w:szCs w:val="20"/>
              </w:rPr>
              <w:t>Z</w:t>
            </w:r>
            <w:r w:rsidRPr="00C75CAA">
              <w:rPr>
                <w:bCs/>
                <w:iCs/>
                <w:sz w:val="20"/>
                <w:szCs w:val="20"/>
              </w:rPr>
              <w:t xml:space="preserve">avádění veřejně přístupných dobíjecích a plnících stanic pro vozidla </w:t>
            </w:r>
            <w:r w:rsidRPr="00C75CAA">
              <w:rPr>
                <w:bCs/>
                <w:iCs/>
                <w:sz w:val="20"/>
                <w:szCs w:val="20"/>
              </w:rPr>
              <w:br/>
              <w:t>s pohonem na alternativní paliva v ČR</w:t>
            </w:r>
          </w:p>
        </w:tc>
        <w:tc>
          <w:tcPr>
            <w:tcW w:w="3430" w:type="dxa"/>
            <w:tcBorders>
              <w:top w:val="single" w:sz="2" w:space="0" w:color="auto"/>
              <w:bottom w:val="single" w:sz="2" w:space="0" w:color="auto"/>
            </w:tcBorders>
            <w:shd w:val="clear" w:color="auto" w:fill="auto"/>
            <w:vAlign w:val="center"/>
          </w:tcPr>
          <w:p w14:paraId="1615A4D8" w14:textId="77777777" w:rsidR="00556FCC" w:rsidRPr="00C75CAA" w:rsidDel="002C5387" w:rsidRDefault="00556FCC" w:rsidP="00556FCC">
            <w:pPr>
              <w:jc w:val="both"/>
              <w:rPr>
                <w:rFonts w:cs="Calibri"/>
                <w:color w:val="000000"/>
                <w:sz w:val="18"/>
                <w:szCs w:val="18"/>
              </w:rPr>
            </w:pPr>
            <w:r w:rsidRPr="00351242">
              <w:rPr>
                <w:rFonts w:cs="Calibri"/>
                <w:bCs/>
                <w:color w:val="000000"/>
                <w:sz w:val="18"/>
                <w:szCs w:val="18"/>
              </w:rPr>
              <w:t>Podpora rozvoje infrastruktury LNG plnících stanic</w:t>
            </w:r>
          </w:p>
        </w:tc>
        <w:tc>
          <w:tcPr>
            <w:tcW w:w="993" w:type="dxa"/>
            <w:tcBorders>
              <w:top w:val="single" w:sz="2" w:space="0" w:color="auto"/>
              <w:bottom w:val="single" w:sz="2" w:space="0" w:color="auto"/>
            </w:tcBorders>
            <w:shd w:val="clear" w:color="auto" w:fill="auto"/>
            <w:vAlign w:val="center"/>
          </w:tcPr>
          <w:p w14:paraId="5761A20C" w14:textId="77777777" w:rsidR="00556FCC" w:rsidRPr="00C75CAA" w:rsidRDefault="00556FCC" w:rsidP="00556FCC">
            <w:pPr>
              <w:jc w:val="center"/>
              <w:rPr>
                <w:rFonts w:cs="Calibri"/>
                <w:sz w:val="20"/>
                <w:szCs w:val="20"/>
              </w:rPr>
            </w:pPr>
            <w:r w:rsidRPr="00C75CAA">
              <w:rPr>
                <w:rFonts w:cs="Calibri"/>
                <w:sz w:val="20"/>
                <w:szCs w:val="20"/>
              </w:rPr>
              <w:t>kolová</w:t>
            </w:r>
          </w:p>
        </w:tc>
        <w:tc>
          <w:tcPr>
            <w:tcW w:w="1275" w:type="dxa"/>
            <w:tcBorders>
              <w:top w:val="single" w:sz="2" w:space="0" w:color="auto"/>
              <w:bottom w:val="single" w:sz="2" w:space="0" w:color="auto"/>
            </w:tcBorders>
            <w:shd w:val="clear" w:color="auto" w:fill="auto"/>
            <w:vAlign w:val="center"/>
          </w:tcPr>
          <w:p w14:paraId="57928D4F" w14:textId="77777777" w:rsidR="00556FCC" w:rsidRPr="00C75CAA" w:rsidDel="002C5387" w:rsidRDefault="00556FCC" w:rsidP="00556FCC">
            <w:pPr>
              <w:jc w:val="center"/>
              <w:rPr>
                <w:rFonts w:cs="Calibri"/>
                <w:sz w:val="18"/>
                <w:szCs w:val="18"/>
              </w:rPr>
            </w:pPr>
            <w:r>
              <w:rPr>
                <w:rFonts w:cs="Calibri"/>
                <w:sz w:val="18"/>
                <w:szCs w:val="18"/>
              </w:rPr>
              <w:t>ukončená/3</w:t>
            </w:r>
          </w:p>
        </w:tc>
      </w:tr>
      <w:tr w:rsidR="00556FCC" w14:paraId="52BBB280" w14:textId="77777777" w:rsidTr="00B46BD3">
        <w:trPr>
          <w:trHeight w:val="1417"/>
        </w:trPr>
        <w:tc>
          <w:tcPr>
            <w:tcW w:w="1135" w:type="dxa"/>
            <w:tcBorders>
              <w:top w:val="single" w:sz="2" w:space="0" w:color="auto"/>
              <w:bottom w:val="single" w:sz="2" w:space="0" w:color="auto"/>
            </w:tcBorders>
            <w:shd w:val="clear" w:color="auto" w:fill="auto"/>
            <w:vAlign w:val="center"/>
          </w:tcPr>
          <w:p w14:paraId="47B03EC8" w14:textId="77777777" w:rsidR="00556FCC" w:rsidRDefault="00556FCC" w:rsidP="00556FCC">
            <w:pPr>
              <w:jc w:val="both"/>
              <w:rPr>
                <w:rFonts w:cs="Calibri"/>
                <w:sz w:val="20"/>
                <w:szCs w:val="20"/>
              </w:rPr>
            </w:pPr>
            <w:r>
              <w:rPr>
                <w:rFonts w:cs="Calibri"/>
                <w:sz w:val="20"/>
                <w:szCs w:val="20"/>
              </w:rPr>
              <w:t>127D77</w:t>
            </w:r>
            <w:r w:rsidRPr="00C75CAA">
              <w:rPr>
                <w:rFonts w:cs="Calibri"/>
                <w:sz w:val="20"/>
                <w:szCs w:val="20"/>
              </w:rPr>
              <w:t>2</w:t>
            </w:r>
            <w:r>
              <w:rPr>
                <w:rFonts w:cs="Calibri"/>
                <w:sz w:val="20"/>
                <w:szCs w:val="20"/>
              </w:rPr>
              <w:t xml:space="preserve"> </w:t>
            </w:r>
            <w:r w:rsidRPr="00C75CAA">
              <w:rPr>
                <w:rFonts w:cs="Calibri"/>
                <w:sz w:val="20"/>
                <w:szCs w:val="20"/>
              </w:rPr>
              <w:t>3</w:t>
            </w:r>
          </w:p>
        </w:tc>
        <w:tc>
          <w:tcPr>
            <w:tcW w:w="2268" w:type="dxa"/>
            <w:tcBorders>
              <w:top w:val="single" w:sz="2" w:space="0" w:color="auto"/>
              <w:bottom w:val="single" w:sz="2" w:space="0" w:color="auto"/>
            </w:tcBorders>
            <w:shd w:val="clear" w:color="auto" w:fill="auto"/>
            <w:vAlign w:val="center"/>
          </w:tcPr>
          <w:p w14:paraId="4F656814" w14:textId="77777777" w:rsidR="00556FCC" w:rsidRPr="00C75CAA" w:rsidRDefault="00556FCC" w:rsidP="00556FCC">
            <w:pPr>
              <w:rPr>
                <w:rFonts w:cs="Calibri"/>
                <w:sz w:val="20"/>
                <w:szCs w:val="20"/>
              </w:rPr>
            </w:pPr>
            <w:r w:rsidRPr="00C75CAA">
              <w:rPr>
                <w:rFonts w:cs="Calibri"/>
                <w:sz w:val="20"/>
                <w:szCs w:val="20"/>
              </w:rPr>
              <w:t>Z</w:t>
            </w:r>
            <w:r w:rsidRPr="00C75CAA">
              <w:rPr>
                <w:bCs/>
                <w:iCs/>
                <w:sz w:val="20"/>
                <w:szCs w:val="20"/>
              </w:rPr>
              <w:t xml:space="preserve">avádění veřejně přístupných dobíjecích a plnících stanic pro vozidla </w:t>
            </w:r>
            <w:r w:rsidRPr="00C75CAA">
              <w:rPr>
                <w:bCs/>
                <w:iCs/>
                <w:sz w:val="20"/>
                <w:szCs w:val="20"/>
              </w:rPr>
              <w:br/>
              <w:t>s pohonem na alternativní paliva v ČR</w:t>
            </w:r>
          </w:p>
        </w:tc>
        <w:tc>
          <w:tcPr>
            <w:tcW w:w="3430" w:type="dxa"/>
            <w:tcBorders>
              <w:top w:val="single" w:sz="2" w:space="0" w:color="auto"/>
              <w:bottom w:val="single" w:sz="2" w:space="0" w:color="auto"/>
            </w:tcBorders>
            <w:shd w:val="clear" w:color="auto" w:fill="auto"/>
            <w:vAlign w:val="center"/>
          </w:tcPr>
          <w:p w14:paraId="0056B6EA" w14:textId="77777777" w:rsidR="00556FCC" w:rsidRPr="00C75CAA" w:rsidDel="002C5387" w:rsidRDefault="00556FCC" w:rsidP="00556FCC">
            <w:pPr>
              <w:jc w:val="both"/>
              <w:rPr>
                <w:rFonts w:cs="Calibri"/>
                <w:color w:val="000000"/>
                <w:sz w:val="18"/>
                <w:szCs w:val="18"/>
              </w:rPr>
            </w:pPr>
            <w:r w:rsidRPr="00351242">
              <w:rPr>
                <w:rFonts w:cs="Calibri"/>
                <w:bCs/>
                <w:color w:val="000000"/>
                <w:sz w:val="18"/>
                <w:szCs w:val="18"/>
              </w:rPr>
              <w:t>Podpora rozvoje infrastruktury vodíkových plnicích stanic</w:t>
            </w:r>
          </w:p>
        </w:tc>
        <w:tc>
          <w:tcPr>
            <w:tcW w:w="993" w:type="dxa"/>
            <w:tcBorders>
              <w:top w:val="single" w:sz="2" w:space="0" w:color="auto"/>
              <w:bottom w:val="single" w:sz="2" w:space="0" w:color="auto"/>
            </w:tcBorders>
            <w:shd w:val="clear" w:color="auto" w:fill="auto"/>
            <w:vAlign w:val="center"/>
          </w:tcPr>
          <w:p w14:paraId="19B3D4D9" w14:textId="77777777" w:rsidR="00556FCC" w:rsidRPr="00C75CAA" w:rsidRDefault="00556FCC" w:rsidP="00556FCC">
            <w:pPr>
              <w:jc w:val="center"/>
              <w:rPr>
                <w:rFonts w:cs="Calibri"/>
                <w:sz w:val="20"/>
                <w:szCs w:val="20"/>
              </w:rPr>
            </w:pPr>
            <w:r w:rsidRPr="00C75CAA">
              <w:rPr>
                <w:rFonts w:cs="Calibri"/>
                <w:sz w:val="20"/>
                <w:szCs w:val="20"/>
              </w:rPr>
              <w:t>kolová</w:t>
            </w:r>
          </w:p>
        </w:tc>
        <w:tc>
          <w:tcPr>
            <w:tcW w:w="1275" w:type="dxa"/>
            <w:tcBorders>
              <w:top w:val="single" w:sz="2" w:space="0" w:color="auto"/>
              <w:bottom w:val="single" w:sz="2" w:space="0" w:color="auto"/>
            </w:tcBorders>
            <w:shd w:val="clear" w:color="auto" w:fill="auto"/>
            <w:vAlign w:val="center"/>
          </w:tcPr>
          <w:p w14:paraId="22F95842" w14:textId="77777777" w:rsidR="00556FCC" w:rsidRPr="00C75CAA" w:rsidDel="002C5387" w:rsidRDefault="00556FCC" w:rsidP="00556FCC">
            <w:pPr>
              <w:jc w:val="center"/>
              <w:rPr>
                <w:rFonts w:cs="Calibri"/>
                <w:sz w:val="18"/>
                <w:szCs w:val="18"/>
              </w:rPr>
            </w:pPr>
            <w:r>
              <w:rPr>
                <w:rFonts w:cs="Calibri"/>
                <w:sz w:val="18"/>
                <w:szCs w:val="18"/>
              </w:rPr>
              <w:t>ukončená/2</w:t>
            </w:r>
          </w:p>
        </w:tc>
      </w:tr>
      <w:tr w:rsidR="00556FCC" w14:paraId="5139F38C" w14:textId="77777777" w:rsidTr="00B46BD3">
        <w:tc>
          <w:tcPr>
            <w:tcW w:w="1135" w:type="dxa"/>
            <w:tcBorders>
              <w:top w:val="single" w:sz="2" w:space="0" w:color="auto"/>
              <w:bottom w:val="single" w:sz="2" w:space="0" w:color="auto"/>
            </w:tcBorders>
            <w:shd w:val="clear" w:color="auto" w:fill="auto"/>
            <w:vAlign w:val="center"/>
          </w:tcPr>
          <w:p w14:paraId="05BBB258" w14:textId="77777777" w:rsidR="00556FCC" w:rsidRDefault="00556FCC" w:rsidP="00556FCC">
            <w:pPr>
              <w:jc w:val="both"/>
              <w:rPr>
                <w:rFonts w:cs="Calibri"/>
                <w:sz w:val="20"/>
                <w:szCs w:val="20"/>
              </w:rPr>
            </w:pPr>
            <w:r>
              <w:rPr>
                <w:rFonts w:cs="Calibri"/>
                <w:sz w:val="20"/>
                <w:szCs w:val="20"/>
              </w:rPr>
              <w:t>127D77</w:t>
            </w:r>
            <w:r w:rsidRPr="00C75CAA">
              <w:rPr>
                <w:rFonts w:cs="Calibri"/>
                <w:sz w:val="20"/>
                <w:szCs w:val="20"/>
              </w:rPr>
              <w:t>2</w:t>
            </w:r>
            <w:r>
              <w:rPr>
                <w:rFonts w:cs="Calibri"/>
                <w:sz w:val="20"/>
                <w:szCs w:val="20"/>
              </w:rPr>
              <w:t xml:space="preserve"> </w:t>
            </w:r>
            <w:r w:rsidRPr="00C75CAA">
              <w:rPr>
                <w:rFonts w:cs="Calibri"/>
                <w:sz w:val="20"/>
                <w:szCs w:val="20"/>
              </w:rPr>
              <w:t>3</w:t>
            </w:r>
          </w:p>
        </w:tc>
        <w:tc>
          <w:tcPr>
            <w:tcW w:w="2268" w:type="dxa"/>
            <w:tcBorders>
              <w:top w:val="single" w:sz="2" w:space="0" w:color="auto"/>
              <w:bottom w:val="single" w:sz="2" w:space="0" w:color="auto"/>
            </w:tcBorders>
            <w:shd w:val="clear" w:color="auto" w:fill="auto"/>
            <w:vAlign w:val="center"/>
          </w:tcPr>
          <w:p w14:paraId="0CB58548" w14:textId="77777777" w:rsidR="00556FCC" w:rsidRPr="00C75CAA" w:rsidRDefault="00556FCC" w:rsidP="00556FCC">
            <w:pPr>
              <w:rPr>
                <w:rFonts w:cs="Calibri"/>
                <w:sz w:val="20"/>
                <w:szCs w:val="20"/>
              </w:rPr>
            </w:pPr>
            <w:r w:rsidRPr="00C75CAA">
              <w:rPr>
                <w:rFonts w:cs="Calibri"/>
                <w:sz w:val="20"/>
                <w:szCs w:val="20"/>
              </w:rPr>
              <w:t>Z</w:t>
            </w:r>
            <w:r w:rsidRPr="00C75CAA">
              <w:rPr>
                <w:bCs/>
                <w:iCs/>
                <w:sz w:val="20"/>
                <w:szCs w:val="20"/>
              </w:rPr>
              <w:t xml:space="preserve">avádění veřejně přístupných dobíjecích a plnících stanic pro vozidla </w:t>
            </w:r>
            <w:r w:rsidRPr="00C75CAA">
              <w:rPr>
                <w:bCs/>
                <w:iCs/>
                <w:sz w:val="20"/>
                <w:szCs w:val="20"/>
              </w:rPr>
              <w:br/>
              <w:t>s pohonem na alternativní paliva v ČR</w:t>
            </w:r>
          </w:p>
        </w:tc>
        <w:tc>
          <w:tcPr>
            <w:tcW w:w="3430" w:type="dxa"/>
            <w:tcBorders>
              <w:top w:val="single" w:sz="2" w:space="0" w:color="auto"/>
              <w:bottom w:val="single" w:sz="2" w:space="0" w:color="auto"/>
            </w:tcBorders>
            <w:shd w:val="clear" w:color="auto" w:fill="auto"/>
            <w:vAlign w:val="center"/>
          </w:tcPr>
          <w:p w14:paraId="2AC6CE2F" w14:textId="77777777" w:rsidR="00556FCC" w:rsidRPr="00C75CAA" w:rsidDel="002C5387" w:rsidRDefault="00556FCC" w:rsidP="00556FCC">
            <w:pPr>
              <w:jc w:val="both"/>
              <w:rPr>
                <w:rFonts w:cs="Calibri"/>
                <w:color w:val="000000"/>
                <w:sz w:val="18"/>
                <w:szCs w:val="18"/>
              </w:rPr>
            </w:pPr>
            <w:r w:rsidRPr="00C75CAA">
              <w:rPr>
                <w:rFonts w:cs="Calibri"/>
                <w:bCs/>
                <w:color w:val="000000"/>
                <w:sz w:val="18"/>
                <w:szCs w:val="18"/>
              </w:rPr>
              <w:t>Podpora rozvoje páteřní sítě dobíjecích stanic</w:t>
            </w:r>
          </w:p>
        </w:tc>
        <w:tc>
          <w:tcPr>
            <w:tcW w:w="993" w:type="dxa"/>
            <w:tcBorders>
              <w:top w:val="single" w:sz="2" w:space="0" w:color="auto"/>
              <w:bottom w:val="single" w:sz="2" w:space="0" w:color="auto"/>
            </w:tcBorders>
            <w:shd w:val="clear" w:color="auto" w:fill="auto"/>
            <w:vAlign w:val="center"/>
          </w:tcPr>
          <w:p w14:paraId="27E0AF4D" w14:textId="77777777" w:rsidR="00556FCC" w:rsidRPr="00C75CAA" w:rsidRDefault="00556FCC" w:rsidP="00556FCC">
            <w:pPr>
              <w:jc w:val="center"/>
              <w:rPr>
                <w:rFonts w:cs="Calibri"/>
                <w:sz w:val="20"/>
                <w:szCs w:val="20"/>
              </w:rPr>
            </w:pPr>
            <w:r w:rsidRPr="00C75CAA">
              <w:rPr>
                <w:rFonts w:cs="Calibri"/>
                <w:sz w:val="20"/>
                <w:szCs w:val="20"/>
              </w:rPr>
              <w:t>kolová</w:t>
            </w:r>
          </w:p>
        </w:tc>
        <w:tc>
          <w:tcPr>
            <w:tcW w:w="1275" w:type="dxa"/>
            <w:tcBorders>
              <w:top w:val="single" w:sz="2" w:space="0" w:color="auto"/>
              <w:bottom w:val="single" w:sz="2" w:space="0" w:color="auto"/>
            </w:tcBorders>
            <w:shd w:val="clear" w:color="auto" w:fill="auto"/>
            <w:vAlign w:val="center"/>
          </w:tcPr>
          <w:p w14:paraId="71B1E8B9" w14:textId="77777777" w:rsidR="00556FCC" w:rsidRPr="00C75CAA" w:rsidDel="002C5387" w:rsidRDefault="00556FCC" w:rsidP="00556FCC">
            <w:pPr>
              <w:jc w:val="center"/>
              <w:rPr>
                <w:rFonts w:cs="Calibri"/>
                <w:sz w:val="18"/>
                <w:szCs w:val="18"/>
              </w:rPr>
            </w:pPr>
            <w:r>
              <w:rPr>
                <w:rFonts w:cs="Calibri"/>
                <w:sz w:val="18"/>
                <w:szCs w:val="18"/>
              </w:rPr>
              <w:t>ukončená/2</w:t>
            </w:r>
          </w:p>
        </w:tc>
      </w:tr>
      <w:tr w:rsidR="00556FCC" w14:paraId="41FD24BD" w14:textId="77777777" w:rsidTr="007E79F4">
        <w:trPr>
          <w:trHeight w:val="1549"/>
        </w:trPr>
        <w:tc>
          <w:tcPr>
            <w:tcW w:w="1135" w:type="dxa"/>
            <w:tcBorders>
              <w:top w:val="single" w:sz="2" w:space="0" w:color="auto"/>
              <w:bottom w:val="single" w:sz="12" w:space="0" w:color="auto"/>
            </w:tcBorders>
            <w:shd w:val="clear" w:color="auto" w:fill="auto"/>
            <w:vAlign w:val="center"/>
          </w:tcPr>
          <w:p w14:paraId="374122E4" w14:textId="77777777" w:rsidR="00556FCC" w:rsidRDefault="00556FCC" w:rsidP="00556FCC">
            <w:pPr>
              <w:jc w:val="both"/>
              <w:rPr>
                <w:rFonts w:cs="Calibri"/>
                <w:sz w:val="20"/>
                <w:szCs w:val="20"/>
              </w:rPr>
            </w:pPr>
            <w:r>
              <w:rPr>
                <w:rFonts w:cs="Calibri"/>
                <w:sz w:val="20"/>
                <w:szCs w:val="20"/>
              </w:rPr>
              <w:t>127D77</w:t>
            </w:r>
            <w:r w:rsidRPr="00C75CAA">
              <w:rPr>
                <w:rFonts w:cs="Calibri"/>
                <w:sz w:val="20"/>
                <w:szCs w:val="20"/>
              </w:rPr>
              <w:t>2</w:t>
            </w:r>
            <w:r>
              <w:rPr>
                <w:rFonts w:cs="Calibri"/>
                <w:sz w:val="20"/>
                <w:szCs w:val="20"/>
              </w:rPr>
              <w:t xml:space="preserve"> </w:t>
            </w:r>
            <w:r w:rsidRPr="00C75CAA">
              <w:rPr>
                <w:rFonts w:cs="Calibri"/>
                <w:sz w:val="20"/>
                <w:szCs w:val="20"/>
              </w:rPr>
              <w:t>3</w:t>
            </w:r>
          </w:p>
        </w:tc>
        <w:tc>
          <w:tcPr>
            <w:tcW w:w="2268" w:type="dxa"/>
            <w:tcBorders>
              <w:top w:val="single" w:sz="2" w:space="0" w:color="auto"/>
              <w:bottom w:val="single" w:sz="12" w:space="0" w:color="auto"/>
            </w:tcBorders>
            <w:shd w:val="clear" w:color="auto" w:fill="auto"/>
            <w:vAlign w:val="center"/>
          </w:tcPr>
          <w:p w14:paraId="58E46748" w14:textId="77777777" w:rsidR="00556FCC" w:rsidRPr="00C75CAA" w:rsidRDefault="00556FCC" w:rsidP="00556FCC">
            <w:pPr>
              <w:rPr>
                <w:rFonts w:cs="Calibri"/>
                <w:sz w:val="20"/>
                <w:szCs w:val="20"/>
              </w:rPr>
            </w:pPr>
            <w:r w:rsidRPr="00C75CAA">
              <w:rPr>
                <w:rFonts w:cs="Calibri"/>
                <w:sz w:val="20"/>
                <w:szCs w:val="20"/>
              </w:rPr>
              <w:t>Z</w:t>
            </w:r>
            <w:r w:rsidRPr="00C75CAA">
              <w:rPr>
                <w:bCs/>
                <w:iCs/>
                <w:sz w:val="20"/>
                <w:szCs w:val="20"/>
              </w:rPr>
              <w:t xml:space="preserve">avádění veřejně přístupných dobíjecích a plnících stanic pro vozidla </w:t>
            </w:r>
            <w:r w:rsidRPr="00C75CAA">
              <w:rPr>
                <w:bCs/>
                <w:iCs/>
                <w:sz w:val="20"/>
                <w:szCs w:val="20"/>
              </w:rPr>
              <w:br/>
              <w:t>s pohonem na alternativní paliva v ČR</w:t>
            </w:r>
          </w:p>
        </w:tc>
        <w:tc>
          <w:tcPr>
            <w:tcW w:w="3430" w:type="dxa"/>
            <w:tcBorders>
              <w:top w:val="single" w:sz="2" w:space="0" w:color="auto"/>
              <w:bottom w:val="single" w:sz="12" w:space="0" w:color="auto"/>
            </w:tcBorders>
            <w:shd w:val="clear" w:color="auto" w:fill="auto"/>
            <w:vAlign w:val="center"/>
          </w:tcPr>
          <w:p w14:paraId="4D5B28EC" w14:textId="77777777" w:rsidR="00556FCC" w:rsidRPr="00C75CAA" w:rsidDel="002C5387" w:rsidRDefault="00556FCC" w:rsidP="00556FCC">
            <w:pPr>
              <w:jc w:val="both"/>
              <w:rPr>
                <w:rFonts w:cs="Calibri"/>
                <w:color w:val="000000"/>
                <w:sz w:val="18"/>
                <w:szCs w:val="18"/>
              </w:rPr>
            </w:pPr>
            <w:r w:rsidRPr="00351242">
              <w:rPr>
                <w:rFonts w:cs="Calibri"/>
                <w:bCs/>
                <w:color w:val="000000"/>
                <w:sz w:val="18"/>
                <w:szCs w:val="18"/>
              </w:rPr>
              <w:t>Podpora rozvoje doplňkové sítě dobíjecích stanic</w:t>
            </w:r>
          </w:p>
        </w:tc>
        <w:tc>
          <w:tcPr>
            <w:tcW w:w="993" w:type="dxa"/>
            <w:tcBorders>
              <w:top w:val="single" w:sz="2" w:space="0" w:color="auto"/>
              <w:bottom w:val="single" w:sz="12" w:space="0" w:color="auto"/>
            </w:tcBorders>
            <w:shd w:val="clear" w:color="auto" w:fill="auto"/>
            <w:vAlign w:val="center"/>
          </w:tcPr>
          <w:p w14:paraId="3D3DB190" w14:textId="77777777" w:rsidR="00556FCC" w:rsidRPr="00C75CAA" w:rsidRDefault="00556FCC" w:rsidP="00556FCC">
            <w:pPr>
              <w:jc w:val="center"/>
              <w:rPr>
                <w:rFonts w:cs="Calibri"/>
                <w:sz w:val="20"/>
                <w:szCs w:val="20"/>
              </w:rPr>
            </w:pPr>
            <w:r w:rsidRPr="00C75CAA">
              <w:rPr>
                <w:rFonts w:cs="Calibri"/>
                <w:sz w:val="20"/>
                <w:szCs w:val="20"/>
              </w:rPr>
              <w:t>kolová</w:t>
            </w:r>
          </w:p>
        </w:tc>
        <w:tc>
          <w:tcPr>
            <w:tcW w:w="1275" w:type="dxa"/>
            <w:tcBorders>
              <w:top w:val="single" w:sz="2" w:space="0" w:color="auto"/>
              <w:bottom w:val="single" w:sz="12" w:space="0" w:color="auto"/>
            </w:tcBorders>
            <w:shd w:val="clear" w:color="auto" w:fill="auto"/>
            <w:vAlign w:val="center"/>
          </w:tcPr>
          <w:p w14:paraId="02D1B443" w14:textId="77777777" w:rsidR="00556FCC" w:rsidRPr="00C75CAA" w:rsidDel="002C5387" w:rsidRDefault="00556FCC" w:rsidP="00556FCC">
            <w:pPr>
              <w:jc w:val="center"/>
              <w:rPr>
                <w:rFonts w:cs="Calibri"/>
                <w:sz w:val="18"/>
                <w:szCs w:val="18"/>
              </w:rPr>
            </w:pPr>
            <w:r>
              <w:rPr>
                <w:rFonts w:cs="Calibri"/>
                <w:sz w:val="18"/>
                <w:szCs w:val="18"/>
              </w:rPr>
              <w:t>ukončená/5</w:t>
            </w:r>
          </w:p>
        </w:tc>
      </w:tr>
      <w:tr w:rsidR="00556FCC" w14:paraId="19A5B1F7" w14:textId="77777777" w:rsidTr="00B46BD3">
        <w:tc>
          <w:tcPr>
            <w:tcW w:w="1135" w:type="dxa"/>
            <w:tcBorders>
              <w:top w:val="single" w:sz="12" w:space="0" w:color="auto"/>
              <w:bottom w:val="single" w:sz="2" w:space="0" w:color="auto"/>
            </w:tcBorders>
            <w:shd w:val="clear" w:color="auto" w:fill="auto"/>
            <w:vAlign w:val="center"/>
          </w:tcPr>
          <w:p w14:paraId="27773B8F" w14:textId="77777777" w:rsidR="00556FCC" w:rsidRDefault="00556FCC" w:rsidP="00556FCC">
            <w:pPr>
              <w:jc w:val="both"/>
              <w:rPr>
                <w:rFonts w:cs="Calibri"/>
                <w:sz w:val="20"/>
                <w:szCs w:val="20"/>
              </w:rPr>
            </w:pPr>
            <w:r>
              <w:rPr>
                <w:rFonts w:cs="Calibri"/>
                <w:sz w:val="20"/>
                <w:szCs w:val="20"/>
              </w:rPr>
              <w:t>127D77</w:t>
            </w:r>
            <w:r w:rsidRPr="00C75CAA">
              <w:rPr>
                <w:rFonts w:cs="Calibri"/>
                <w:sz w:val="20"/>
                <w:szCs w:val="20"/>
              </w:rPr>
              <w:t>2</w:t>
            </w:r>
            <w:r>
              <w:rPr>
                <w:rFonts w:cs="Calibri"/>
                <w:sz w:val="20"/>
                <w:szCs w:val="20"/>
              </w:rPr>
              <w:t xml:space="preserve"> </w:t>
            </w:r>
            <w:r w:rsidRPr="00C75CAA">
              <w:rPr>
                <w:rFonts w:cs="Calibri"/>
                <w:sz w:val="20"/>
                <w:szCs w:val="20"/>
              </w:rPr>
              <w:t>2</w:t>
            </w:r>
          </w:p>
        </w:tc>
        <w:tc>
          <w:tcPr>
            <w:tcW w:w="2268" w:type="dxa"/>
            <w:tcBorders>
              <w:top w:val="single" w:sz="12" w:space="0" w:color="auto"/>
              <w:bottom w:val="single" w:sz="2" w:space="0" w:color="auto"/>
            </w:tcBorders>
            <w:shd w:val="clear" w:color="auto" w:fill="auto"/>
            <w:vAlign w:val="center"/>
          </w:tcPr>
          <w:p w14:paraId="24349FB6" w14:textId="77777777" w:rsidR="00556FCC" w:rsidRPr="00C75CAA" w:rsidRDefault="00556FCC" w:rsidP="00556FCC">
            <w:pPr>
              <w:rPr>
                <w:rFonts w:cs="Calibri"/>
                <w:sz w:val="20"/>
                <w:szCs w:val="20"/>
              </w:rPr>
            </w:pPr>
            <w:r w:rsidRPr="00C75CAA">
              <w:rPr>
                <w:rFonts w:ascii="Calibri" w:hAnsi="Calibri" w:cs="Calibri"/>
                <w:color w:val="000000"/>
                <w:sz w:val="20"/>
                <w:szCs w:val="20"/>
              </w:rPr>
              <w:t xml:space="preserve">Modernizace </w:t>
            </w:r>
            <w:r w:rsidRPr="00C75CAA">
              <w:rPr>
                <w:rFonts w:ascii="Calibri" w:hAnsi="Calibri" w:cs="Calibri"/>
                <w:bCs/>
                <w:color w:val="000000"/>
                <w:sz w:val="20"/>
                <w:szCs w:val="20"/>
              </w:rPr>
              <w:t>plavidel</w:t>
            </w:r>
            <w:r w:rsidRPr="00C75CAA">
              <w:rPr>
                <w:rFonts w:ascii="Calibri" w:hAnsi="Calibri" w:cs="Calibri"/>
                <w:color w:val="000000"/>
                <w:sz w:val="20"/>
                <w:szCs w:val="20"/>
              </w:rPr>
              <w:t xml:space="preserve"> vnitrozemské vodní dopravy</w:t>
            </w:r>
          </w:p>
        </w:tc>
        <w:tc>
          <w:tcPr>
            <w:tcW w:w="3430" w:type="dxa"/>
            <w:tcBorders>
              <w:top w:val="single" w:sz="12" w:space="0" w:color="auto"/>
              <w:bottom w:val="single" w:sz="2" w:space="0" w:color="auto"/>
            </w:tcBorders>
            <w:shd w:val="clear" w:color="auto" w:fill="auto"/>
            <w:vAlign w:val="center"/>
          </w:tcPr>
          <w:p w14:paraId="11DFDCE4" w14:textId="77777777" w:rsidR="00556FCC" w:rsidRPr="00C75CAA" w:rsidDel="002C5387" w:rsidRDefault="00556FCC" w:rsidP="00556FCC">
            <w:pPr>
              <w:jc w:val="both"/>
              <w:rPr>
                <w:rFonts w:cs="Calibri"/>
                <w:color w:val="000000"/>
                <w:sz w:val="18"/>
                <w:szCs w:val="18"/>
              </w:rPr>
            </w:pPr>
            <w:r w:rsidRPr="00C75CAA">
              <w:rPr>
                <w:rFonts w:cs="Calibri"/>
                <w:bCs/>
                <w:color w:val="000000"/>
                <w:sz w:val="18"/>
                <w:szCs w:val="18"/>
              </w:rPr>
              <w:t xml:space="preserve">Modernizace plavidel za účelem </w:t>
            </w:r>
            <w:r w:rsidRPr="00C75CAA">
              <w:rPr>
                <w:rFonts w:cs="Calibri"/>
                <w:b/>
                <w:bCs/>
                <w:color w:val="000000"/>
                <w:sz w:val="18"/>
                <w:szCs w:val="18"/>
              </w:rPr>
              <w:t>zvýšení multimodality</w:t>
            </w:r>
            <w:r w:rsidRPr="00C75CAA">
              <w:rPr>
                <w:rFonts w:cs="Calibri"/>
                <w:bCs/>
                <w:color w:val="000000"/>
                <w:sz w:val="18"/>
                <w:szCs w:val="18"/>
              </w:rPr>
              <w:t xml:space="preserve"> nákladní přepravy</w:t>
            </w:r>
          </w:p>
        </w:tc>
        <w:tc>
          <w:tcPr>
            <w:tcW w:w="993" w:type="dxa"/>
            <w:tcBorders>
              <w:top w:val="single" w:sz="12" w:space="0" w:color="auto"/>
              <w:bottom w:val="single" w:sz="2" w:space="0" w:color="auto"/>
            </w:tcBorders>
            <w:shd w:val="clear" w:color="auto" w:fill="auto"/>
            <w:vAlign w:val="center"/>
          </w:tcPr>
          <w:p w14:paraId="5429CD26" w14:textId="77777777" w:rsidR="00556FCC" w:rsidRPr="00C75CAA" w:rsidRDefault="00556FCC" w:rsidP="00556FCC">
            <w:pPr>
              <w:jc w:val="center"/>
              <w:rPr>
                <w:rFonts w:cs="Calibri"/>
                <w:sz w:val="20"/>
                <w:szCs w:val="20"/>
              </w:rPr>
            </w:pPr>
            <w:r w:rsidRPr="00C75CAA">
              <w:rPr>
                <w:rFonts w:cs="Calibri"/>
                <w:sz w:val="20"/>
                <w:szCs w:val="20"/>
              </w:rPr>
              <w:t>kolová</w:t>
            </w:r>
          </w:p>
        </w:tc>
        <w:tc>
          <w:tcPr>
            <w:tcW w:w="1275" w:type="dxa"/>
            <w:tcBorders>
              <w:top w:val="single" w:sz="12" w:space="0" w:color="auto"/>
              <w:bottom w:val="single" w:sz="2" w:space="0" w:color="auto"/>
            </w:tcBorders>
            <w:shd w:val="clear" w:color="auto" w:fill="auto"/>
            <w:vAlign w:val="center"/>
          </w:tcPr>
          <w:p w14:paraId="62B01F17" w14:textId="77777777" w:rsidR="00556FCC" w:rsidRPr="00C75CAA" w:rsidDel="002C5387" w:rsidRDefault="00556FCC" w:rsidP="00556FCC">
            <w:pPr>
              <w:jc w:val="center"/>
              <w:rPr>
                <w:rFonts w:cs="Calibri"/>
                <w:sz w:val="18"/>
                <w:szCs w:val="18"/>
              </w:rPr>
            </w:pPr>
            <w:r w:rsidRPr="00C75CAA">
              <w:rPr>
                <w:rFonts w:cs="Calibri"/>
                <w:sz w:val="18"/>
                <w:szCs w:val="18"/>
              </w:rPr>
              <w:t>ukončená/</w:t>
            </w:r>
            <w:r>
              <w:rPr>
                <w:rFonts w:cs="Calibri"/>
                <w:sz w:val="18"/>
                <w:szCs w:val="18"/>
              </w:rPr>
              <w:t>15</w:t>
            </w:r>
          </w:p>
        </w:tc>
      </w:tr>
      <w:tr w:rsidR="00556FCC" w14:paraId="03ECEBCD" w14:textId="77777777" w:rsidTr="00B46BD3">
        <w:tc>
          <w:tcPr>
            <w:tcW w:w="1135" w:type="dxa"/>
            <w:tcBorders>
              <w:top w:val="single" w:sz="2" w:space="0" w:color="auto"/>
              <w:bottom w:val="single" w:sz="2" w:space="0" w:color="auto"/>
            </w:tcBorders>
            <w:shd w:val="clear" w:color="auto" w:fill="auto"/>
            <w:vAlign w:val="center"/>
          </w:tcPr>
          <w:p w14:paraId="04A906D5" w14:textId="77777777" w:rsidR="00556FCC" w:rsidRDefault="00556FCC" w:rsidP="00556FCC">
            <w:pPr>
              <w:jc w:val="both"/>
              <w:rPr>
                <w:rFonts w:cs="Calibri"/>
                <w:sz w:val="20"/>
                <w:szCs w:val="20"/>
              </w:rPr>
            </w:pPr>
            <w:r>
              <w:rPr>
                <w:rFonts w:cs="Calibri"/>
                <w:sz w:val="20"/>
                <w:szCs w:val="20"/>
              </w:rPr>
              <w:t>127D77</w:t>
            </w:r>
            <w:r w:rsidRPr="00C75CAA">
              <w:rPr>
                <w:rFonts w:cs="Calibri"/>
                <w:sz w:val="20"/>
                <w:szCs w:val="20"/>
              </w:rPr>
              <w:t>2</w:t>
            </w:r>
            <w:r>
              <w:rPr>
                <w:rFonts w:cs="Calibri"/>
                <w:sz w:val="20"/>
                <w:szCs w:val="20"/>
              </w:rPr>
              <w:t xml:space="preserve"> </w:t>
            </w:r>
            <w:r w:rsidRPr="00C75CAA">
              <w:rPr>
                <w:rFonts w:cs="Calibri"/>
                <w:sz w:val="20"/>
                <w:szCs w:val="20"/>
              </w:rPr>
              <w:t>2</w:t>
            </w:r>
          </w:p>
        </w:tc>
        <w:tc>
          <w:tcPr>
            <w:tcW w:w="2268" w:type="dxa"/>
            <w:tcBorders>
              <w:top w:val="single" w:sz="2" w:space="0" w:color="auto"/>
              <w:bottom w:val="single" w:sz="2" w:space="0" w:color="auto"/>
            </w:tcBorders>
            <w:shd w:val="clear" w:color="auto" w:fill="auto"/>
            <w:vAlign w:val="center"/>
          </w:tcPr>
          <w:p w14:paraId="6377D266" w14:textId="77777777" w:rsidR="00556FCC" w:rsidRPr="00C75CAA" w:rsidRDefault="00556FCC" w:rsidP="00556FCC">
            <w:pPr>
              <w:rPr>
                <w:rFonts w:cs="Calibri"/>
                <w:sz w:val="20"/>
                <w:szCs w:val="20"/>
              </w:rPr>
            </w:pPr>
            <w:r w:rsidRPr="00C75CAA">
              <w:rPr>
                <w:rFonts w:ascii="Calibri" w:hAnsi="Calibri" w:cs="Calibri"/>
                <w:color w:val="000000"/>
                <w:sz w:val="20"/>
                <w:szCs w:val="20"/>
              </w:rPr>
              <w:t xml:space="preserve">Modernizace </w:t>
            </w:r>
            <w:r w:rsidRPr="00C75CAA">
              <w:rPr>
                <w:rFonts w:ascii="Calibri" w:hAnsi="Calibri" w:cs="Calibri"/>
                <w:bCs/>
                <w:color w:val="000000"/>
                <w:sz w:val="20"/>
                <w:szCs w:val="20"/>
              </w:rPr>
              <w:t>plavidel</w:t>
            </w:r>
            <w:r w:rsidRPr="00C75CAA">
              <w:rPr>
                <w:rFonts w:ascii="Calibri" w:hAnsi="Calibri" w:cs="Calibri"/>
                <w:color w:val="000000"/>
                <w:sz w:val="20"/>
                <w:szCs w:val="20"/>
              </w:rPr>
              <w:t xml:space="preserve"> vnitrozemské vodní dopravy</w:t>
            </w:r>
          </w:p>
        </w:tc>
        <w:tc>
          <w:tcPr>
            <w:tcW w:w="3430" w:type="dxa"/>
            <w:tcBorders>
              <w:top w:val="single" w:sz="2" w:space="0" w:color="auto"/>
              <w:bottom w:val="single" w:sz="2" w:space="0" w:color="auto"/>
            </w:tcBorders>
            <w:shd w:val="clear" w:color="auto" w:fill="auto"/>
            <w:vAlign w:val="center"/>
          </w:tcPr>
          <w:p w14:paraId="06CF75AA" w14:textId="77777777" w:rsidR="00556FCC" w:rsidRPr="00C75CAA" w:rsidDel="002C5387" w:rsidRDefault="00556FCC" w:rsidP="00556FCC">
            <w:pPr>
              <w:jc w:val="both"/>
              <w:rPr>
                <w:rFonts w:cs="Calibri"/>
                <w:color w:val="000000"/>
                <w:sz w:val="18"/>
                <w:szCs w:val="18"/>
              </w:rPr>
            </w:pPr>
            <w:r w:rsidRPr="00C75CAA">
              <w:rPr>
                <w:rFonts w:cs="Calibri"/>
                <w:bCs/>
                <w:color w:val="000000"/>
                <w:sz w:val="18"/>
                <w:szCs w:val="18"/>
              </w:rPr>
              <w:t xml:space="preserve">Modernizace plavidel vedoucí ke </w:t>
            </w:r>
            <w:r w:rsidRPr="00C75CAA">
              <w:rPr>
                <w:rFonts w:cs="Calibri"/>
                <w:b/>
                <w:bCs/>
                <w:color w:val="000000"/>
                <w:sz w:val="18"/>
                <w:szCs w:val="18"/>
              </w:rPr>
              <w:t>zvýšení bezpečnosti</w:t>
            </w:r>
            <w:r w:rsidRPr="00C75CAA">
              <w:rPr>
                <w:rFonts w:cs="Calibri"/>
                <w:bCs/>
                <w:color w:val="000000"/>
                <w:sz w:val="18"/>
                <w:szCs w:val="18"/>
              </w:rPr>
              <w:t xml:space="preserve"> vnitrozemské plavby</w:t>
            </w:r>
          </w:p>
        </w:tc>
        <w:tc>
          <w:tcPr>
            <w:tcW w:w="993" w:type="dxa"/>
            <w:tcBorders>
              <w:top w:val="single" w:sz="2" w:space="0" w:color="auto"/>
              <w:bottom w:val="single" w:sz="2" w:space="0" w:color="auto"/>
            </w:tcBorders>
            <w:shd w:val="clear" w:color="auto" w:fill="auto"/>
            <w:vAlign w:val="center"/>
          </w:tcPr>
          <w:p w14:paraId="5FE1AFBB" w14:textId="77777777" w:rsidR="00556FCC" w:rsidRPr="00C75CAA" w:rsidRDefault="00556FCC" w:rsidP="00556FCC">
            <w:pPr>
              <w:jc w:val="center"/>
              <w:rPr>
                <w:rFonts w:cs="Calibri"/>
                <w:sz w:val="20"/>
                <w:szCs w:val="20"/>
              </w:rPr>
            </w:pPr>
            <w:r w:rsidRPr="00C75CAA">
              <w:rPr>
                <w:rFonts w:cs="Calibri"/>
                <w:sz w:val="20"/>
                <w:szCs w:val="20"/>
              </w:rPr>
              <w:t>kolová</w:t>
            </w:r>
          </w:p>
        </w:tc>
        <w:tc>
          <w:tcPr>
            <w:tcW w:w="1275" w:type="dxa"/>
            <w:tcBorders>
              <w:top w:val="single" w:sz="2" w:space="0" w:color="auto"/>
              <w:bottom w:val="single" w:sz="2" w:space="0" w:color="auto"/>
            </w:tcBorders>
            <w:shd w:val="clear" w:color="auto" w:fill="auto"/>
            <w:vAlign w:val="center"/>
          </w:tcPr>
          <w:p w14:paraId="701F82E1" w14:textId="77777777" w:rsidR="00556FCC" w:rsidRPr="00C75CAA" w:rsidDel="002C5387" w:rsidRDefault="00556FCC" w:rsidP="00556FCC">
            <w:pPr>
              <w:jc w:val="center"/>
              <w:rPr>
                <w:rFonts w:cs="Calibri"/>
                <w:sz w:val="18"/>
                <w:szCs w:val="18"/>
              </w:rPr>
            </w:pPr>
            <w:r w:rsidRPr="00C75CAA">
              <w:rPr>
                <w:rFonts w:cs="Calibri"/>
                <w:sz w:val="18"/>
                <w:szCs w:val="18"/>
              </w:rPr>
              <w:t>ukončená/</w:t>
            </w:r>
            <w:r>
              <w:rPr>
                <w:rFonts w:cs="Calibri"/>
                <w:sz w:val="18"/>
                <w:szCs w:val="18"/>
              </w:rPr>
              <w:t>47</w:t>
            </w:r>
          </w:p>
        </w:tc>
      </w:tr>
      <w:tr w:rsidR="00556FCC" w14:paraId="2C802F06" w14:textId="77777777" w:rsidTr="00B46BD3">
        <w:tc>
          <w:tcPr>
            <w:tcW w:w="1135" w:type="dxa"/>
            <w:tcBorders>
              <w:top w:val="single" w:sz="2" w:space="0" w:color="auto"/>
              <w:bottom w:val="single" w:sz="2" w:space="0" w:color="auto"/>
            </w:tcBorders>
            <w:shd w:val="clear" w:color="auto" w:fill="auto"/>
            <w:vAlign w:val="center"/>
          </w:tcPr>
          <w:p w14:paraId="331EC6E7" w14:textId="77777777" w:rsidR="00556FCC" w:rsidRDefault="00556FCC" w:rsidP="00556FCC">
            <w:pPr>
              <w:jc w:val="both"/>
              <w:rPr>
                <w:rFonts w:cs="Calibri"/>
                <w:sz w:val="20"/>
                <w:szCs w:val="20"/>
              </w:rPr>
            </w:pPr>
            <w:r>
              <w:rPr>
                <w:rFonts w:cs="Calibri"/>
                <w:sz w:val="20"/>
                <w:szCs w:val="20"/>
              </w:rPr>
              <w:t>127D77</w:t>
            </w:r>
            <w:r w:rsidRPr="00C75CAA">
              <w:rPr>
                <w:rFonts w:cs="Calibri"/>
                <w:sz w:val="20"/>
                <w:szCs w:val="20"/>
              </w:rPr>
              <w:t>2</w:t>
            </w:r>
            <w:r>
              <w:rPr>
                <w:rFonts w:cs="Calibri"/>
                <w:sz w:val="20"/>
                <w:szCs w:val="20"/>
              </w:rPr>
              <w:t xml:space="preserve"> </w:t>
            </w:r>
            <w:r w:rsidRPr="00C75CAA">
              <w:rPr>
                <w:rFonts w:cs="Calibri"/>
                <w:sz w:val="20"/>
                <w:szCs w:val="20"/>
              </w:rPr>
              <w:t>2</w:t>
            </w:r>
          </w:p>
        </w:tc>
        <w:tc>
          <w:tcPr>
            <w:tcW w:w="2268" w:type="dxa"/>
            <w:tcBorders>
              <w:top w:val="single" w:sz="2" w:space="0" w:color="auto"/>
              <w:bottom w:val="single" w:sz="2" w:space="0" w:color="auto"/>
            </w:tcBorders>
            <w:shd w:val="clear" w:color="auto" w:fill="auto"/>
            <w:vAlign w:val="center"/>
          </w:tcPr>
          <w:p w14:paraId="3EC164EF" w14:textId="77777777" w:rsidR="00556FCC" w:rsidRPr="00C75CAA" w:rsidRDefault="00556FCC" w:rsidP="00556FCC">
            <w:pPr>
              <w:rPr>
                <w:rFonts w:cs="Calibri"/>
                <w:sz w:val="20"/>
                <w:szCs w:val="20"/>
              </w:rPr>
            </w:pPr>
            <w:r w:rsidRPr="00C75CAA">
              <w:rPr>
                <w:rFonts w:ascii="Calibri" w:hAnsi="Calibri" w:cs="Calibri"/>
                <w:color w:val="000000"/>
                <w:sz w:val="20"/>
                <w:szCs w:val="20"/>
              </w:rPr>
              <w:t xml:space="preserve">Modernizace </w:t>
            </w:r>
            <w:r w:rsidRPr="00C75CAA">
              <w:rPr>
                <w:rFonts w:ascii="Calibri" w:hAnsi="Calibri" w:cs="Calibri"/>
                <w:bCs/>
                <w:color w:val="000000"/>
                <w:sz w:val="20"/>
                <w:szCs w:val="20"/>
              </w:rPr>
              <w:t>plavidel</w:t>
            </w:r>
            <w:r w:rsidRPr="00C75CAA">
              <w:rPr>
                <w:rFonts w:ascii="Calibri" w:hAnsi="Calibri" w:cs="Calibri"/>
                <w:color w:val="000000"/>
                <w:sz w:val="20"/>
                <w:szCs w:val="20"/>
              </w:rPr>
              <w:t xml:space="preserve"> vnitrozemské vodní dopravy</w:t>
            </w:r>
          </w:p>
        </w:tc>
        <w:tc>
          <w:tcPr>
            <w:tcW w:w="3430" w:type="dxa"/>
            <w:tcBorders>
              <w:top w:val="single" w:sz="2" w:space="0" w:color="auto"/>
              <w:bottom w:val="single" w:sz="2" w:space="0" w:color="auto"/>
            </w:tcBorders>
            <w:shd w:val="clear" w:color="auto" w:fill="auto"/>
            <w:vAlign w:val="center"/>
          </w:tcPr>
          <w:p w14:paraId="1C49F693" w14:textId="77777777" w:rsidR="00556FCC" w:rsidRPr="00C75CAA" w:rsidDel="002C5387" w:rsidRDefault="00556FCC" w:rsidP="00556FCC">
            <w:pPr>
              <w:jc w:val="both"/>
              <w:rPr>
                <w:rFonts w:cs="Calibri"/>
                <w:color w:val="000000"/>
                <w:sz w:val="18"/>
                <w:szCs w:val="18"/>
              </w:rPr>
            </w:pPr>
            <w:r>
              <w:rPr>
                <w:rFonts w:cs="Calibri"/>
                <w:bCs/>
                <w:color w:val="000000"/>
                <w:sz w:val="18"/>
                <w:szCs w:val="18"/>
              </w:rPr>
              <w:t>Modernizace plavidel – remotorizace (</w:t>
            </w:r>
            <w:r w:rsidRPr="00AA7A34">
              <w:rPr>
                <w:rFonts w:cs="Calibri"/>
                <w:bCs/>
                <w:color w:val="000000"/>
                <w:sz w:val="18"/>
                <w:szCs w:val="18"/>
              </w:rPr>
              <w:t>Pořízení nízko-emisních pohonných a pomocných jednotek</w:t>
            </w:r>
            <w:r>
              <w:rPr>
                <w:rFonts w:cs="Calibri"/>
                <w:bCs/>
                <w:color w:val="000000"/>
                <w:sz w:val="18"/>
                <w:szCs w:val="18"/>
              </w:rPr>
              <w:t>)</w:t>
            </w:r>
          </w:p>
        </w:tc>
        <w:tc>
          <w:tcPr>
            <w:tcW w:w="993" w:type="dxa"/>
            <w:tcBorders>
              <w:top w:val="single" w:sz="2" w:space="0" w:color="auto"/>
              <w:bottom w:val="single" w:sz="2" w:space="0" w:color="auto"/>
            </w:tcBorders>
            <w:shd w:val="clear" w:color="auto" w:fill="auto"/>
            <w:vAlign w:val="center"/>
          </w:tcPr>
          <w:p w14:paraId="5C851F65" w14:textId="77777777" w:rsidR="00556FCC" w:rsidRPr="00C75CAA" w:rsidRDefault="00556FCC" w:rsidP="00556FCC">
            <w:pPr>
              <w:jc w:val="center"/>
              <w:rPr>
                <w:rFonts w:cs="Calibri"/>
                <w:sz w:val="20"/>
                <w:szCs w:val="20"/>
              </w:rPr>
            </w:pPr>
            <w:r w:rsidRPr="00C75CAA">
              <w:rPr>
                <w:rFonts w:cs="Calibri"/>
                <w:sz w:val="20"/>
                <w:szCs w:val="20"/>
              </w:rPr>
              <w:t>kolová</w:t>
            </w:r>
          </w:p>
        </w:tc>
        <w:tc>
          <w:tcPr>
            <w:tcW w:w="1275" w:type="dxa"/>
            <w:tcBorders>
              <w:top w:val="single" w:sz="2" w:space="0" w:color="auto"/>
              <w:bottom w:val="single" w:sz="2" w:space="0" w:color="auto"/>
            </w:tcBorders>
            <w:shd w:val="clear" w:color="auto" w:fill="auto"/>
            <w:vAlign w:val="center"/>
          </w:tcPr>
          <w:p w14:paraId="7A125628" w14:textId="77777777" w:rsidR="00556FCC" w:rsidRPr="00C75CAA" w:rsidDel="002C5387" w:rsidRDefault="00556FCC" w:rsidP="00556FCC">
            <w:pPr>
              <w:jc w:val="center"/>
              <w:rPr>
                <w:rFonts w:cs="Calibri"/>
                <w:sz w:val="18"/>
                <w:szCs w:val="18"/>
              </w:rPr>
            </w:pPr>
            <w:r w:rsidRPr="00C75CAA">
              <w:rPr>
                <w:rFonts w:cs="Calibri"/>
                <w:sz w:val="18"/>
                <w:szCs w:val="18"/>
              </w:rPr>
              <w:t>ukončená/2</w:t>
            </w:r>
            <w:r>
              <w:rPr>
                <w:rFonts w:cs="Calibri"/>
                <w:sz w:val="18"/>
                <w:szCs w:val="18"/>
              </w:rPr>
              <w:t>3</w:t>
            </w:r>
          </w:p>
        </w:tc>
      </w:tr>
      <w:tr w:rsidR="00556FCC" w14:paraId="17885A58" w14:textId="77777777" w:rsidTr="007E79F4">
        <w:trPr>
          <w:trHeight w:val="892"/>
        </w:trPr>
        <w:tc>
          <w:tcPr>
            <w:tcW w:w="1135" w:type="dxa"/>
            <w:tcBorders>
              <w:top w:val="single" w:sz="2" w:space="0" w:color="auto"/>
              <w:bottom w:val="single" w:sz="12" w:space="0" w:color="auto"/>
            </w:tcBorders>
            <w:shd w:val="clear" w:color="auto" w:fill="auto"/>
            <w:vAlign w:val="center"/>
          </w:tcPr>
          <w:p w14:paraId="4C98C1A3" w14:textId="77777777" w:rsidR="00556FCC" w:rsidRDefault="00556FCC" w:rsidP="00556FCC">
            <w:pPr>
              <w:jc w:val="both"/>
              <w:rPr>
                <w:rFonts w:cs="Calibri"/>
                <w:sz w:val="20"/>
                <w:szCs w:val="20"/>
              </w:rPr>
            </w:pPr>
            <w:r>
              <w:rPr>
                <w:rFonts w:cs="Calibri"/>
                <w:sz w:val="20"/>
                <w:szCs w:val="20"/>
              </w:rPr>
              <w:t>127D77</w:t>
            </w:r>
            <w:r w:rsidRPr="00C75CAA">
              <w:rPr>
                <w:rFonts w:cs="Calibri"/>
                <w:sz w:val="20"/>
                <w:szCs w:val="20"/>
              </w:rPr>
              <w:t>2</w:t>
            </w:r>
            <w:r>
              <w:rPr>
                <w:rFonts w:cs="Calibri"/>
                <w:sz w:val="20"/>
                <w:szCs w:val="20"/>
              </w:rPr>
              <w:t xml:space="preserve"> </w:t>
            </w:r>
            <w:r w:rsidRPr="00C75CAA">
              <w:rPr>
                <w:rFonts w:cs="Calibri"/>
                <w:sz w:val="20"/>
                <w:szCs w:val="20"/>
              </w:rPr>
              <w:t>2</w:t>
            </w:r>
          </w:p>
        </w:tc>
        <w:tc>
          <w:tcPr>
            <w:tcW w:w="2268" w:type="dxa"/>
            <w:tcBorders>
              <w:top w:val="single" w:sz="2" w:space="0" w:color="auto"/>
              <w:bottom w:val="single" w:sz="12" w:space="0" w:color="auto"/>
            </w:tcBorders>
            <w:shd w:val="clear" w:color="auto" w:fill="auto"/>
            <w:vAlign w:val="center"/>
          </w:tcPr>
          <w:p w14:paraId="1B49567F" w14:textId="77777777" w:rsidR="00556FCC" w:rsidRPr="00C75CAA" w:rsidRDefault="00556FCC" w:rsidP="00556FCC">
            <w:pPr>
              <w:rPr>
                <w:rFonts w:cs="Calibri"/>
                <w:sz w:val="20"/>
                <w:szCs w:val="20"/>
              </w:rPr>
            </w:pPr>
            <w:r w:rsidRPr="00C75CAA">
              <w:rPr>
                <w:rFonts w:ascii="Calibri" w:hAnsi="Calibri" w:cs="Calibri"/>
                <w:color w:val="000000"/>
                <w:sz w:val="20"/>
                <w:szCs w:val="20"/>
              </w:rPr>
              <w:t xml:space="preserve">Modernizace </w:t>
            </w:r>
            <w:r w:rsidRPr="00C75CAA">
              <w:rPr>
                <w:rFonts w:ascii="Calibri" w:hAnsi="Calibri" w:cs="Calibri"/>
                <w:bCs/>
                <w:color w:val="000000"/>
                <w:sz w:val="20"/>
                <w:szCs w:val="20"/>
              </w:rPr>
              <w:t>plavidel</w:t>
            </w:r>
            <w:r w:rsidRPr="00C75CAA">
              <w:rPr>
                <w:rFonts w:ascii="Calibri" w:hAnsi="Calibri" w:cs="Calibri"/>
                <w:color w:val="000000"/>
                <w:sz w:val="20"/>
                <w:szCs w:val="20"/>
              </w:rPr>
              <w:t xml:space="preserve"> vnitrozemské vodní dopravy</w:t>
            </w:r>
          </w:p>
        </w:tc>
        <w:tc>
          <w:tcPr>
            <w:tcW w:w="3430" w:type="dxa"/>
            <w:tcBorders>
              <w:top w:val="single" w:sz="2" w:space="0" w:color="auto"/>
              <w:bottom w:val="single" w:sz="12" w:space="0" w:color="auto"/>
            </w:tcBorders>
            <w:shd w:val="clear" w:color="auto" w:fill="auto"/>
            <w:vAlign w:val="center"/>
          </w:tcPr>
          <w:p w14:paraId="6787F62A" w14:textId="77777777" w:rsidR="00556FCC" w:rsidRPr="00C75CAA" w:rsidDel="002C5387" w:rsidRDefault="00556FCC" w:rsidP="00556FCC">
            <w:pPr>
              <w:jc w:val="both"/>
              <w:rPr>
                <w:rFonts w:cs="Calibri"/>
                <w:color w:val="000000"/>
                <w:sz w:val="18"/>
                <w:szCs w:val="18"/>
              </w:rPr>
            </w:pPr>
            <w:r>
              <w:rPr>
                <w:rFonts w:cs="Calibri"/>
                <w:bCs/>
                <w:color w:val="000000"/>
                <w:sz w:val="18"/>
                <w:szCs w:val="18"/>
              </w:rPr>
              <w:t xml:space="preserve">Modernizace plavidel vedoucí ke </w:t>
            </w:r>
            <w:r w:rsidRPr="00AA7A34">
              <w:rPr>
                <w:rFonts w:cs="Calibri"/>
                <w:bCs/>
                <w:color w:val="000000"/>
                <w:sz w:val="18"/>
                <w:szCs w:val="18"/>
              </w:rPr>
              <w:t>snižování spotřeby paliva</w:t>
            </w:r>
          </w:p>
        </w:tc>
        <w:tc>
          <w:tcPr>
            <w:tcW w:w="993" w:type="dxa"/>
            <w:tcBorders>
              <w:top w:val="single" w:sz="2" w:space="0" w:color="auto"/>
              <w:bottom w:val="single" w:sz="12" w:space="0" w:color="auto"/>
            </w:tcBorders>
            <w:shd w:val="clear" w:color="auto" w:fill="auto"/>
            <w:vAlign w:val="center"/>
          </w:tcPr>
          <w:p w14:paraId="65FB93A7" w14:textId="77777777" w:rsidR="00556FCC" w:rsidRPr="00C75CAA" w:rsidRDefault="00556FCC" w:rsidP="00556FCC">
            <w:pPr>
              <w:jc w:val="center"/>
              <w:rPr>
                <w:rFonts w:cs="Calibri"/>
                <w:sz w:val="20"/>
                <w:szCs w:val="20"/>
              </w:rPr>
            </w:pPr>
            <w:r w:rsidRPr="00C75CAA">
              <w:rPr>
                <w:rFonts w:cs="Calibri"/>
                <w:sz w:val="20"/>
                <w:szCs w:val="20"/>
              </w:rPr>
              <w:t>kolová</w:t>
            </w:r>
          </w:p>
        </w:tc>
        <w:tc>
          <w:tcPr>
            <w:tcW w:w="1275" w:type="dxa"/>
            <w:tcBorders>
              <w:top w:val="single" w:sz="2" w:space="0" w:color="auto"/>
              <w:bottom w:val="single" w:sz="12" w:space="0" w:color="auto"/>
            </w:tcBorders>
            <w:shd w:val="clear" w:color="auto" w:fill="auto"/>
            <w:vAlign w:val="center"/>
          </w:tcPr>
          <w:p w14:paraId="7F5C6B2B" w14:textId="77777777" w:rsidR="00556FCC" w:rsidRPr="00C75CAA" w:rsidDel="002C5387" w:rsidRDefault="00556FCC" w:rsidP="00556FCC">
            <w:pPr>
              <w:jc w:val="center"/>
              <w:rPr>
                <w:rFonts w:cs="Calibri"/>
                <w:sz w:val="18"/>
                <w:szCs w:val="18"/>
              </w:rPr>
            </w:pPr>
            <w:r>
              <w:rPr>
                <w:rFonts w:cs="Calibri"/>
                <w:sz w:val="18"/>
                <w:szCs w:val="18"/>
              </w:rPr>
              <w:t>ukončená/8</w:t>
            </w:r>
          </w:p>
        </w:tc>
      </w:tr>
      <w:tr w:rsidR="00556FCC" w14:paraId="7B853647" w14:textId="77777777" w:rsidTr="00B46BD3">
        <w:tc>
          <w:tcPr>
            <w:tcW w:w="1135" w:type="dxa"/>
            <w:tcBorders>
              <w:top w:val="single" w:sz="12" w:space="0" w:color="auto"/>
              <w:bottom w:val="single" w:sz="4" w:space="0" w:color="auto"/>
            </w:tcBorders>
            <w:shd w:val="clear" w:color="auto" w:fill="auto"/>
            <w:vAlign w:val="center"/>
          </w:tcPr>
          <w:p w14:paraId="64FE900C" w14:textId="77777777" w:rsidR="00556FCC" w:rsidRDefault="00556FCC" w:rsidP="00556FCC">
            <w:pPr>
              <w:jc w:val="both"/>
              <w:rPr>
                <w:rFonts w:cs="Calibri"/>
                <w:sz w:val="20"/>
                <w:szCs w:val="20"/>
              </w:rPr>
            </w:pPr>
            <w:r>
              <w:rPr>
                <w:rFonts w:cs="Calibri"/>
                <w:sz w:val="20"/>
                <w:szCs w:val="20"/>
              </w:rPr>
              <w:t>127D77</w:t>
            </w:r>
            <w:r w:rsidRPr="00C75CAA">
              <w:rPr>
                <w:rFonts w:cs="Calibri"/>
                <w:sz w:val="20"/>
                <w:szCs w:val="20"/>
              </w:rPr>
              <w:t>2</w:t>
            </w:r>
            <w:r>
              <w:rPr>
                <w:rFonts w:cs="Calibri"/>
                <w:sz w:val="20"/>
                <w:szCs w:val="20"/>
              </w:rPr>
              <w:t xml:space="preserve"> </w:t>
            </w:r>
            <w:r w:rsidRPr="00C75CAA">
              <w:rPr>
                <w:rFonts w:cs="Calibri"/>
                <w:sz w:val="20"/>
                <w:szCs w:val="20"/>
              </w:rPr>
              <w:t>1</w:t>
            </w:r>
          </w:p>
        </w:tc>
        <w:tc>
          <w:tcPr>
            <w:tcW w:w="2268" w:type="dxa"/>
            <w:tcBorders>
              <w:top w:val="single" w:sz="12" w:space="0" w:color="auto"/>
              <w:bottom w:val="single" w:sz="4" w:space="0" w:color="auto"/>
            </w:tcBorders>
            <w:shd w:val="clear" w:color="auto" w:fill="auto"/>
            <w:vAlign w:val="center"/>
          </w:tcPr>
          <w:p w14:paraId="14E91166" w14:textId="77777777" w:rsidR="00556FCC" w:rsidRPr="00C75CAA" w:rsidRDefault="00556FCC" w:rsidP="00556FCC">
            <w:pPr>
              <w:rPr>
                <w:rFonts w:cs="Calibri"/>
                <w:sz w:val="20"/>
                <w:szCs w:val="20"/>
              </w:rPr>
            </w:pPr>
            <w:r w:rsidRPr="00C75CAA">
              <w:rPr>
                <w:rFonts w:ascii="Calibri" w:hAnsi="Calibri" w:cs="Calibri"/>
                <w:bCs/>
                <w:color w:val="000000"/>
                <w:sz w:val="20"/>
                <w:szCs w:val="20"/>
              </w:rPr>
              <w:t>Zajištění interoperability</w:t>
            </w:r>
            <w:r w:rsidRPr="00C75CAA">
              <w:rPr>
                <w:rFonts w:ascii="Calibri" w:hAnsi="Calibri" w:cs="Calibri"/>
                <w:color w:val="000000"/>
                <w:sz w:val="20"/>
                <w:szCs w:val="20"/>
              </w:rPr>
              <w:t xml:space="preserve"> </w:t>
            </w:r>
            <w:r w:rsidRPr="00C75CAA">
              <w:rPr>
                <w:rFonts w:ascii="Calibri" w:hAnsi="Calibri" w:cs="Calibri"/>
                <w:color w:val="000000"/>
                <w:sz w:val="20"/>
                <w:szCs w:val="20"/>
              </w:rPr>
              <w:br/>
              <w:t>v železniční dopravě</w:t>
            </w:r>
          </w:p>
        </w:tc>
        <w:tc>
          <w:tcPr>
            <w:tcW w:w="3430" w:type="dxa"/>
            <w:tcBorders>
              <w:top w:val="single" w:sz="12" w:space="0" w:color="auto"/>
              <w:bottom w:val="single" w:sz="4" w:space="0" w:color="auto"/>
            </w:tcBorders>
            <w:shd w:val="clear" w:color="auto" w:fill="auto"/>
            <w:vAlign w:val="center"/>
          </w:tcPr>
          <w:p w14:paraId="4C4D4541" w14:textId="77777777" w:rsidR="00556FCC" w:rsidRPr="00C75CAA" w:rsidDel="002C5387" w:rsidRDefault="00556FCC" w:rsidP="00556FCC">
            <w:pPr>
              <w:jc w:val="both"/>
              <w:rPr>
                <w:rFonts w:cs="Calibri"/>
                <w:color w:val="000000"/>
                <w:sz w:val="18"/>
                <w:szCs w:val="18"/>
              </w:rPr>
            </w:pPr>
            <w:r w:rsidRPr="00C75CAA">
              <w:rPr>
                <w:rFonts w:cs="Calibri"/>
                <w:b/>
                <w:bCs/>
                <w:color w:val="000000"/>
                <w:sz w:val="18"/>
                <w:szCs w:val="18"/>
              </w:rPr>
              <w:t xml:space="preserve">Implementace subsystému kolejová vozidla – nákladní vozy – </w:t>
            </w:r>
            <w:r w:rsidRPr="00351242">
              <w:rPr>
                <w:rFonts w:cs="Calibri"/>
                <w:color w:val="000000"/>
                <w:sz w:val="18"/>
                <w:szCs w:val="18"/>
              </w:rPr>
              <w:t>Implementace subsystému kolejová vozidla – lokomotivy a kolejová vozidla pro přepravu osob – umožnění provozu na systému 25 kV/50 Hz</w:t>
            </w:r>
          </w:p>
        </w:tc>
        <w:tc>
          <w:tcPr>
            <w:tcW w:w="993" w:type="dxa"/>
            <w:tcBorders>
              <w:top w:val="single" w:sz="12" w:space="0" w:color="auto"/>
              <w:bottom w:val="single" w:sz="4" w:space="0" w:color="auto"/>
            </w:tcBorders>
            <w:shd w:val="clear" w:color="auto" w:fill="auto"/>
            <w:vAlign w:val="center"/>
          </w:tcPr>
          <w:p w14:paraId="4B66A83A" w14:textId="77777777" w:rsidR="00556FCC" w:rsidRPr="00C75CAA" w:rsidRDefault="00556FCC" w:rsidP="00556FCC">
            <w:pPr>
              <w:jc w:val="center"/>
              <w:rPr>
                <w:rFonts w:cs="Calibri"/>
                <w:sz w:val="20"/>
                <w:szCs w:val="20"/>
              </w:rPr>
            </w:pPr>
            <w:r w:rsidRPr="00C75CAA">
              <w:rPr>
                <w:rFonts w:cs="Calibri"/>
                <w:sz w:val="20"/>
                <w:szCs w:val="20"/>
              </w:rPr>
              <w:t>kolová</w:t>
            </w:r>
          </w:p>
        </w:tc>
        <w:tc>
          <w:tcPr>
            <w:tcW w:w="1275" w:type="dxa"/>
            <w:tcBorders>
              <w:top w:val="single" w:sz="12" w:space="0" w:color="auto"/>
              <w:bottom w:val="single" w:sz="4" w:space="0" w:color="auto"/>
            </w:tcBorders>
            <w:shd w:val="clear" w:color="auto" w:fill="auto"/>
            <w:vAlign w:val="center"/>
          </w:tcPr>
          <w:p w14:paraId="3C509C33" w14:textId="77777777" w:rsidR="00556FCC" w:rsidRPr="00C75CAA" w:rsidDel="002C5387" w:rsidRDefault="00556FCC" w:rsidP="00556FCC">
            <w:pPr>
              <w:jc w:val="center"/>
              <w:rPr>
                <w:rFonts w:cs="Calibri"/>
                <w:sz w:val="18"/>
                <w:szCs w:val="18"/>
              </w:rPr>
            </w:pPr>
            <w:r>
              <w:rPr>
                <w:rFonts w:cs="Calibri"/>
                <w:sz w:val="18"/>
                <w:szCs w:val="18"/>
              </w:rPr>
              <w:t>ukončená/5</w:t>
            </w:r>
          </w:p>
        </w:tc>
      </w:tr>
      <w:tr w:rsidR="00556FCC" w14:paraId="519ABB5A" w14:textId="77777777" w:rsidTr="00B46BD3">
        <w:tc>
          <w:tcPr>
            <w:tcW w:w="1135" w:type="dxa"/>
            <w:tcBorders>
              <w:top w:val="single" w:sz="4" w:space="0" w:color="auto"/>
              <w:bottom w:val="single" w:sz="4" w:space="0" w:color="auto"/>
            </w:tcBorders>
            <w:shd w:val="clear" w:color="auto" w:fill="auto"/>
            <w:vAlign w:val="center"/>
          </w:tcPr>
          <w:p w14:paraId="40803542" w14:textId="77777777" w:rsidR="00556FCC" w:rsidRDefault="00556FCC" w:rsidP="00556FCC">
            <w:pPr>
              <w:jc w:val="both"/>
              <w:rPr>
                <w:rFonts w:cs="Calibri"/>
                <w:sz w:val="20"/>
                <w:szCs w:val="20"/>
              </w:rPr>
            </w:pPr>
            <w:r>
              <w:rPr>
                <w:rFonts w:cs="Calibri"/>
                <w:sz w:val="20"/>
                <w:szCs w:val="20"/>
              </w:rPr>
              <w:lastRenderedPageBreak/>
              <w:t>127D772 4</w:t>
            </w:r>
          </w:p>
        </w:tc>
        <w:tc>
          <w:tcPr>
            <w:tcW w:w="2268" w:type="dxa"/>
            <w:tcBorders>
              <w:top w:val="single" w:sz="4" w:space="0" w:color="auto"/>
              <w:bottom w:val="single" w:sz="4" w:space="0" w:color="auto"/>
            </w:tcBorders>
            <w:shd w:val="clear" w:color="auto" w:fill="auto"/>
            <w:vAlign w:val="center"/>
          </w:tcPr>
          <w:p w14:paraId="1187FB5F" w14:textId="77777777" w:rsidR="00556FCC" w:rsidRPr="00C75CAA" w:rsidRDefault="00556FCC" w:rsidP="00556FCC">
            <w:pPr>
              <w:rPr>
                <w:rFonts w:ascii="Calibri" w:hAnsi="Calibri" w:cs="Calibri"/>
                <w:bCs/>
                <w:color w:val="000000"/>
                <w:sz w:val="20"/>
                <w:szCs w:val="20"/>
              </w:rPr>
            </w:pPr>
            <w:r w:rsidRPr="002447CA">
              <w:rPr>
                <w:rFonts w:ascii="Calibri" w:hAnsi="Calibri" w:cs="Calibri"/>
                <w:bCs/>
                <w:color w:val="000000"/>
                <w:sz w:val="20"/>
                <w:szCs w:val="20"/>
              </w:rPr>
              <w:t>Podpora přepravních jednotek kombinované dopravy</w:t>
            </w:r>
          </w:p>
        </w:tc>
        <w:tc>
          <w:tcPr>
            <w:tcW w:w="3430" w:type="dxa"/>
            <w:tcBorders>
              <w:top w:val="single" w:sz="4" w:space="0" w:color="auto"/>
              <w:bottom w:val="single" w:sz="4" w:space="0" w:color="auto"/>
            </w:tcBorders>
            <w:shd w:val="clear" w:color="auto" w:fill="auto"/>
            <w:vAlign w:val="center"/>
          </w:tcPr>
          <w:p w14:paraId="28C32F8C" w14:textId="77777777" w:rsidR="00556FCC" w:rsidRPr="002447CA" w:rsidRDefault="00556FCC" w:rsidP="00556FCC">
            <w:pPr>
              <w:jc w:val="both"/>
              <w:rPr>
                <w:rFonts w:cs="Calibri"/>
                <w:bCs/>
                <w:color w:val="000000"/>
                <w:sz w:val="18"/>
                <w:szCs w:val="18"/>
              </w:rPr>
            </w:pPr>
            <w:r w:rsidRPr="002447CA">
              <w:rPr>
                <w:rFonts w:cs="Calibri"/>
                <w:bCs/>
                <w:color w:val="000000"/>
                <w:sz w:val="18"/>
                <w:szCs w:val="18"/>
              </w:rPr>
              <w:t>Pořízení přepravních jednotek kombinované dopravy</w:t>
            </w:r>
          </w:p>
        </w:tc>
        <w:tc>
          <w:tcPr>
            <w:tcW w:w="993" w:type="dxa"/>
            <w:tcBorders>
              <w:top w:val="single" w:sz="4" w:space="0" w:color="auto"/>
              <w:bottom w:val="single" w:sz="4" w:space="0" w:color="auto"/>
            </w:tcBorders>
            <w:shd w:val="clear" w:color="auto" w:fill="auto"/>
            <w:vAlign w:val="center"/>
          </w:tcPr>
          <w:p w14:paraId="6303E500" w14:textId="77777777" w:rsidR="00556FCC" w:rsidRPr="00C75CAA" w:rsidRDefault="00556FCC" w:rsidP="00556FCC">
            <w:pPr>
              <w:jc w:val="center"/>
              <w:rPr>
                <w:rFonts w:cs="Calibri"/>
                <w:sz w:val="20"/>
                <w:szCs w:val="20"/>
              </w:rPr>
            </w:pPr>
            <w:r>
              <w:rPr>
                <w:rFonts w:cs="Calibri"/>
                <w:sz w:val="20"/>
                <w:szCs w:val="20"/>
              </w:rPr>
              <w:t>kolová</w:t>
            </w:r>
          </w:p>
        </w:tc>
        <w:tc>
          <w:tcPr>
            <w:tcW w:w="1275" w:type="dxa"/>
            <w:tcBorders>
              <w:top w:val="single" w:sz="4" w:space="0" w:color="auto"/>
              <w:bottom w:val="single" w:sz="4" w:space="0" w:color="auto"/>
            </w:tcBorders>
            <w:shd w:val="clear" w:color="auto" w:fill="auto"/>
            <w:vAlign w:val="center"/>
          </w:tcPr>
          <w:p w14:paraId="2775145B" w14:textId="77777777" w:rsidR="00556FCC" w:rsidRDefault="00556FCC" w:rsidP="00556FCC">
            <w:pPr>
              <w:jc w:val="center"/>
              <w:rPr>
                <w:rFonts w:cs="Calibri"/>
                <w:sz w:val="18"/>
                <w:szCs w:val="18"/>
              </w:rPr>
            </w:pPr>
            <w:r>
              <w:rPr>
                <w:rFonts w:cs="Calibri"/>
                <w:sz w:val="18"/>
                <w:szCs w:val="18"/>
              </w:rPr>
              <w:t>ukončená/2</w:t>
            </w:r>
          </w:p>
        </w:tc>
      </w:tr>
      <w:tr w:rsidR="00556FCC" w14:paraId="4C293347" w14:textId="77777777" w:rsidTr="00B46BD3">
        <w:tc>
          <w:tcPr>
            <w:tcW w:w="1135" w:type="dxa"/>
            <w:tcBorders>
              <w:top w:val="single" w:sz="4" w:space="0" w:color="auto"/>
              <w:bottom w:val="single" w:sz="4" w:space="0" w:color="auto"/>
            </w:tcBorders>
            <w:shd w:val="clear" w:color="auto" w:fill="auto"/>
            <w:vAlign w:val="center"/>
          </w:tcPr>
          <w:p w14:paraId="381252CC" w14:textId="77777777" w:rsidR="00556FCC" w:rsidRDefault="00556FCC" w:rsidP="00556FCC">
            <w:pPr>
              <w:jc w:val="both"/>
              <w:rPr>
                <w:rFonts w:cs="Calibri"/>
                <w:sz w:val="20"/>
                <w:szCs w:val="20"/>
              </w:rPr>
            </w:pPr>
            <w:r>
              <w:rPr>
                <w:rFonts w:cs="Calibri"/>
                <w:sz w:val="20"/>
                <w:szCs w:val="20"/>
              </w:rPr>
              <w:t>127D77</w:t>
            </w:r>
            <w:r w:rsidRPr="00C75CAA">
              <w:rPr>
                <w:rFonts w:cs="Calibri"/>
                <w:sz w:val="20"/>
                <w:szCs w:val="20"/>
              </w:rPr>
              <w:t>2</w:t>
            </w:r>
            <w:r>
              <w:rPr>
                <w:rFonts w:cs="Calibri"/>
                <w:sz w:val="20"/>
                <w:szCs w:val="20"/>
              </w:rPr>
              <w:t xml:space="preserve"> </w:t>
            </w:r>
            <w:r w:rsidRPr="00C75CAA">
              <w:rPr>
                <w:rFonts w:cs="Calibri"/>
                <w:sz w:val="20"/>
                <w:szCs w:val="20"/>
              </w:rPr>
              <w:t>3</w:t>
            </w:r>
          </w:p>
        </w:tc>
        <w:tc>
          <w:tcPr>
            <w:tcW w:w="2268" w:type="dxa"/>
            <w:tcBorders>
              <w:top w:val="single" w:sz="4" w:space="0" w:color="auto"/>
              <w:bottom w:val="single" w:sz="4" w:space="0" w:color="auto"/>
            </w:tcBorders>
            <w:shd w:val="clear" w:color="auto" w:fill="auto"/>
            <w:vAlign w:val="center"/>
          </w:tcPr>
          <w:p w14:paraId="31FF338D" w14:textId="77777777" w:rsidR="00556FCC" w:rsidRPr="00E62516" w:rsidRDefault="00556FCC" w:rsidP="00556FCC">
            <w:pPr>
              <w:rPr>
                <w:rFonts w:ascii="Calibri" w:hAnsi="Calibri" w:cs="Calibri"/>
                <w:bCs/>
                <w:color w:val="000000"/>
                <w:sz w:val="20"/>
                <w:szCs w:val="20"/>
              </w:rPr>
            </w:pPr>
            <w:r w:rsidRPr="00C75CAA">
              <w:rPr>
                <w:rFonts w:cs="Calibri"/>
                <w:sz w:val="20"/>
                <w:szCs w:val="20"/>
              </w:rPr>
              <w:t>Z</w:t>
            </w:r>
            <w:r w:rsidRPr="00C75CAA">
              <w:rPr>
                <w:bCs/>
                <w:iCs/>
                <w:sz w:val="20"/>
                <w:szCs w:val="20"/>
              </w:rPr>
              <w:t xml:space="preserve">avádění veřejně přístupných dobíjecích a plnících stanic pro vozidla </w:t>
            </w:r>
            <w:r w:rsidRPr="00C75CAA">
              <w:rPr>
                <w:bCs/>
                <w:iCs/>
                <w:sz w:val="20"/>
                <w:szCs w:val="20"/>
              </w:rPr>
              <w:br/>
              <w:t>s pohonem na alternativní paliva v ČR</w:t>
            </w:r>
          </w:p>
        </w:tc>
        <w:tc>
          <w:tcPr>
            <w:tcW w:w="3430" w:type="dxa"/>
            <w:tcBorders>
              <w:top w:val="single" w:sz="4" w:space="0" w:color="auto"/>
              <w:bottom w:val="single" w:sz="4" w:space="0" w:color="auto"/>
            </w:tcBorders>
            <w:shd w:val="clear" w:color="auto" w:fill="auto"/>
            <w:vAlign w:val="center"/>
          </w:tcPr>
          <w:p w14:paraId="26698117" w14:textId="77777777" w:rsidR="00556FCC" w:rsidRDefault="00556FCC" w:rsidP="00556FCC">
            <w:pPr>
              <w:jc w:val="both"/>
              <w:rPr>
                <w:rFonts w:cs="Calibri"/>
                <w:b/>
                <w:bCs/>
                <w:color w:val="000000"/>
                <w:sz w:val="18"/>
                <w:szCs w:val="18"/>
              </w:rPr>
            </w:pPr>
            <w:r w:rsidRPr="00C75CAA">
              <w:rPr>
                <w:rFonts w:cs="Calibri"/>
                <w:bCs/>
                <w:color w:val="000000"/>
                <w:sz w:val="18"/>
                <w:szCs w:val="18"/>
              </w:rPr>
              <w:t>Podpora rozvoje páteřní sítě dobíjecích stanic</w:t>
            </w:r>
          </w:p>
        </w:tc>
        <w:tc>
          <w:tcPr>
            <w:tcW w:w="993" w:type="dxa"/>
            <w:tcBorders>
              <w:top w:val="single" w:sz="4" w:space="0" w:color="auto"/>
              <w:bottom w:val="single" w:sz="4" w:space="0" w:color="auto"/>
            </w:tcBorders>
            <w:shd w:val="clear" w:color="auto" w:fill="auto"/>
            <w:vAlign w:val="center"/>
          </w:tcPr>
          <w:p w14:paraId="388A132B" w14:textId="77777777" w:rsidR="00556FCC" w:rsidRDefault="00556FCC" w:rsidP="00556FCC">
            <w:pPr>
              <w:jc w:val="center"/>
              <w:rPr>
                <w:rFonts w:cs="Calibri"/>
                <w:sz w:val="20"/>
                <w:szCs w:val="20"/>
              </w:rPr>
            </w:pPr>
            <w:r w:rsidRPr="00C75CAA">
              <w:rPr>
                <w:rFonts w:cs="Calibri"/>
                <w:sz w:val="20"/>
                <w:szCs w:val="20"/>
              </w:rPr>
              <w:t>kolová</w:t>
            </w:r>
          </w:p>
        </w:tc>
        <w:tc>
          <w:tcPr>
            <w:tcW w:w="1275" w:type="dxa"/>
            <w:tcBorders>
              <w:top w:val="single" w:sz="4" w:space="0" w:color="auto"/>
              <w:bottom w:val="single" w:sz="4" w:space="0" w:color="auto"/>
            </w:tcBorders>
            <w:shd w:val="clear" w:color="auto" w:fill="auto"/>
            <w:vAlign w:val="center"/>
          </w:tcPr>
          <w:p w14:paraId="240E1ADC" w14:textId="77777777" w:rsidR="00556FCC" w:rsidRDefault="00556FCC" w:rsidP="00556FCC">
            <w:pPr>
              <w:jc w:val="center"/>
              <w:rPr>
                <w:rFonts w:cs="Calibri"/>
                <w:sz w:val="18"/>
                <w:szCs w:val="18"/>
              </w:rPr>
            </w:pPr>
            <w:r>
              <w:rPr>
                <w:rFonts w:cs="Calibri"/>
                <w:sz w:val="18"/>
                <w:szCs w:val="18"/>
              </w:rPr>
              <w:t>ukončená/1</w:t>
            </w:r>
          </w:p>
        </w:tc>
      </w:tr>
      <w:tr w:rsidR="00556FCC" w14:paraId="7562F44E" w14:textId="77777777" w:rsidTr="00B46BD3">
        <w:tc>
          <w:tcPr>
            <w:tcW w:w="1135" w:type="dxa"/>
            <w:tcBorders>
              <w:top w:val="single" w:sz="4" w:space="0" w:color="auto"/>
              <w:bottom w:val="single" w:sz="4" w:space="0" w:color="auto"/>
            </w:tcBorders>
            <w:shd w:val="clear" w:color="auto" w:fill="auto"/>
            <w:vAlign w:val="center"/>
          </w:tcPr>
          <w:p w14:paraId="63A0FDF6" w14:textId="77777777" w:rsidR="00556FCC" w:rsidRDefault="00556FCC" w:rsidP="00556FCC">
            <w:pPr>
              <w:jc w:val="both"/>
              <w:rPr>
                <w:rFonts w:cs="Calibri"/>
                <w:sz w:val="20"/>
                <w:szCs w:val="20"/>
              </w:rPr>
            </w:pPr>
            <w:r>
              <w:rPr>
                <w:rFonts w:cs="Calibri"/>
                <w:sz w:val="20"/>
                <w:szCs w:val="20"/>
              </w:rPr>
              <w:t>127D77</w:t>
            </w:r>
            <w:r w:rsidRPr="00C75CAA">
              <w:rPr>
                <w:rFonts w:cs="Calibri"/>
                <w:sz w:val="20"/>
                <w:szCs w:val="20"/>
              </w:rPr>
              <w:t>2</w:t>
            </w:r>
            <w:r>
              <w:rPr>
                <w:rFonts w:cs="Calibri"/>
                <w:sz w:val="20"/>
                <w:szCs w:val="20"/>
              </w:rPr>
              <w:t xml:space="preserve"> </w:t>
            </w:r>
            <w:r w:rsidRPr="00C75CAA">
              <w:rPr>
                <w:rFonts w:cs="Calibri"/>
                <w:sz w:val="20"/>
                <w:szCs w:val="20"/>
              </w:rPr>
              <w:t>3</w:t>
            </w:r>
          </w:p>
        </w:tc>
        <w:tc>
          <w:tcPr>
            <w:tcW w:w="2268" w:type="dxa"/>
            <w:tcBorders>
              <w:top w:val="single" w:sz="4" w:space="0" w:color="auto"/>
              <w:bottom w:val="single" w:sz="4" w:space="0" w:color="auto"/>
            </w:tcBorders>
            <w:shd w:val="clear" w:color="auto" w:fill="auto"/>
            <w:vAlign w:val="center"/>
          </w:tcPr>
          <w:p w14:paraId="323BB809" w14:textId="77777777" w:rsidR="00556FCC" w:rsidRPr="00C75CAA" w:rsidRDefault="00556FCC" w:rsidP="00556FCC">
            <w:pPr>
              <w:rPr>
                <w:rFonts w:cs="Calibri"/>
                <w:sz w:val="20"/>
                <w:szCs w:val="20"/>
              </w:rPr>
            </w:pPr>
            <w:r w:rsidRPr="00C75CAA">
              <w:rPr>
                <w:rFonts w:cs="Calibri"/>
                <w:sz w:val="20"/>
                <w:szCs w:val="20"/>
              </w:rPr>
              <w:t>Z</w:t>
            </w:r>
            <w:r w:rsidRPr="00C75CAA">
              <w:rPr>
                <w:bCs/>
                <w:iCs/>
                <w:sz w:val="20"/>
                <w:szCs w:val="20"/>
              </w:rPr>
              <w:t xml:space="preserve">avádění veřejně přístupných dobíjecích a plnících stanic pro vozidla </w:t>
            </w:r>
            <w:r w:rsidRPr="00C75CAA">
              <w:rPr>
                <w:bCs/>
                <w:iCs/>
                <w:sz w:val="20"/>
                <w:szCs w:val="20"/>
              </w:rPr>
              <w:br/>
              <w:t>s pohonem na alternativní paliva v ČR</w:t>
            </w:r>
          </w:p>
        </w:tc>
        <w:tc>
          <w:tcPr>
            <w:tcW w:w="3430" w:type="dxa"/>
            <w:tcBorders>
              <w:top w:val="single" w:sz="4" w:space="0" w:color="auto"/>
              <w:bottom w:val="single" w:sz="4" w:space="0" w:color="auto"/>
            </w:tcBorders>
            <w:shd w:val="clear" w:color="auto" w:fill="auto"/>
            <w:vAlign w:val="center"/>
          </w:tcPr>
          <w:p w14:paraId="380FF9CD" w14:textId="77777777" w:rsidR="00556FCC" w:rsidRPr="00C75CAA" w:rsidRDefault="00556FCC" w:rsidP="00556FCC">
            <w:pPr>
              <w:jc w:val="both"/>
              <w:rPr>
                <w:rFonts w:cs="Calibri"/>
                <w:bCs/>
                <w:color w:val="000000"/>
                <w:sz w:val="18"/>
                <w:szCs w:val="18"/>
              </w:rPr>
            </w:pPr>
            <w:r w:rsidRPr="00351242">
              <w:rPr>
                <w:rFonts w:cs="Calibri"/>
                <w:bCs/>
                <w:color w:val="000000"/>
                <w:sz w:val="18"/>
                <w:szCs w:val="18"/>
              </w:rPr>
              <w:t>Podpora rozvoje infrastruktury vodíkových plnicích stanic</w:t>
            </w:r>
          </w:p>
        </w:tc>
        <w:tc>
          <w:tcPr>
            <w:tcW w:w="993" w:type="dxa"/>
            <w:tcBorders>
              <w:top w:val="single" w:sz="4" w:space="0" w:color="auto"/>
              <w:bottom w:val="single" w:sz="4" w:space="0" w:color="auto"/>
            </w:tcBorders>
            <w:shd w:val="clear" w:color="auto" w:fill="auto"/>
            <w:vAlign w:val="center"/>
          </w:tcPr>
          <w:p w14:paraId="57EF00B8" w14:textId="77777777" w:rsidR="00556FCC" w:rsidRPr="00C75CAA" w:rsidRDefault="00556FCC" w:rsidP="00556FCC">
            <w:pPr>
              <w:jc w:val="center"/>
              <w:rPr>
                <w:rFonts w:cs="Calibri"/>
                <w:sz w:val="20"/>
                <w:szCs w:val="20"/>
              </w:rPr>
            </w:pPr>
            <w:r w:rsidRPr="00C75CAA">
              <w:rPr>
                <w:rFonts w:cs="Calibri"/>
                <w:sz w:val="20"/>
                <w:szCs w:val="20"/>
              </w:rPr>
              <w:t>kolová</w:t>
            </w:r>
          </w:p>
        </w:tc>
        <w:tc>
          <w:tcPr>
            <w:tcW w:w="1275" w:type="dxa"/>
            <w:tcBorders>
              <w:top w:val="single" w:sz="4" w:space="0" w:color="auto"/>
              <w:bottom w:val="single" w:sz="4" w:space="0" w:color="auto"/>
            </w:tcBorders>
            <w:shd w:val="clear" w:color="auto" w:fill="auto"/>
            <w:vAlign w:val="center"/>
          </w:tcPr>
          <w:p w14:paraId="06FB651E" w14:textId="77777777" w:rsidR="00556FCC" w:rsidRDefault="00556FCC" w:rsidP="00556FCC">
            <w:pPr>
              <w:jc w:val="center"/>
              <w:rPr>
                <w:rFonts w:cs="Calibri"/>
                <w:sz w:val="18"/>
                <w:szCs w:val="18"/>
              </w:rPr>
            </w:pPr>
            <w:r>
              <w:rPr>
                <w:rFonts w:cs="Calibri"/>
                <w:sz w:val="18"/>
                <w:szCs w:val="18"/>
              </w:rPr>
              <w:t>ukončená/4</w:t>
            </w:r>
          </w:p>
        </w:tc>
      </w:tr>
      <w:tr w:rsidR="00556FCC" w14:paraId="47B72FBB" w14:textId="77777777" w:rsidTr="00B46BD3">
        <w:tc>
          <w:tcPr>
            <w:tcW w:w="1135" w:type="dxa"/>
            <w:tcBorders>
              <w:top w:val="single" w:sz="4" w:space="0" w:color="auto"/>
              <w:bottom w:val="single" w:sz="4" w:space="0" w:color="auto"/>
            </w:tcBorders>
            <w:shd w:val="clear" w:color="auto" w:fill="auto"/>
            <w:vAlign w:val="center"/>
          </w:tcPr>
          <w:p w14:paraId="70434E51" w14:textId="77777777" w:rsidR="00556FCC" w:rsidRDefault="00556FCC" w:rsidP="00556FCC">
            <w:pPr>
              <w:jc w:val="both"/>
              <w:rPr>
                <w:rFonts w:cs="Calibri"/>
                <w:sz w:val="20"/>
                <w:szCs w:val="20"/>
              </w:rPr>
            </w:pPr>
            <w:r>
              <w:rPr>
                <w:rFonts w:cs="Calibri"/>
                <w:sz w:val="20"/>
                <w:szCs w:val="20"/>
              </w:rPr>
              <w:t>127D77</w:t>
            </w:r>
            <w:r w:rsidRPr="00C75CAA">
              <w:rPr>
                <w:rFonts w:cs="Calibri"/>
                <w:sz w:val="20"/>
                <w:szCs w:val="20"/>
              </w:rPr>
              <w:t>2</w:t>
            </w:r>
            <w:r>
              <w:rPr>
                <w:rFonts w:cs="Calibri"/>
                <w:sz w:val="20"/>
                <w:szCs w:val="20"/>
              </w:rPr>
              <w:t xml:space="preserve"> </w:t>
            </w:r>
            <w:r w:rsidRPr="00C75CAA">
              <w:rPr>
                <w:rFonts w:cs="Calibri"/>
                <w:sz w:val="20"/>
                <w:szCs w:val="20"/>
              </w:rPr>
              <w:t>3</w:t>
            </w:r>
          </w:p>
        </w:tc>
        <w:tc>
          <w:tcPr>
            <w:tcW w:w="2268" w:type="dxa"/>
            <w:tcBorders>
              <w:top w:val="single" w:sz="4" w:space="0" w:color="auto"/>
              <w:bottom w:val="single" w:sz="4" w:space="0" w:color="auto"/>
            </w:tcBorders>
            <w:shd w:val="clear" w:color="auto" w:fill="auto"/>
            <w:vAlign w:val="center"/>
          </w:tcPr>
          <w:p w14:paraId="61206E89" w14:textId="77777777" w:rsidR="00556FCC" w:rsidRPr="00C75CAA" w:rsidRDefault="00556FCC" w:rsidP="00556FCC">
            <w:pPr>
              <w:rPr>
                <w:rFonts w:cs="Calibri"/>
                <w:sz w:val="20"/>
                <w:szCs w:val="20"/>
              </w:rPr>
            </w:pPr>
            <w:r w:rsidRPr="00C75CAA">
              <w:rPr>
                <w:rFonts w:cs="Calibri"/>
                <w:sz w:val="20"/>
                <w:szCs w:val="20"/>
              </w:rPr>
              <w:t>Z</w:t>
            </w:r>
            <w:r w:rsidRPr="00C75CAA">
              <w:rPr>
                <w:bCs/>
                <w:iCs/>
                <w:sz w:val="20"/>
                <w:szCs w:val="20"/>
              </w:rPr>
              <w:t xml:space="preserve">avádění veřejně přístupných dobíjecích a plnících stanic pro vozidla </w:t>
            </w:r>
            <w:r w:rsidRPr="00C75CAA">
              <w:rPr>
                <w:bCs/>
                <w:iCs/>
                <w:sz w:val="20"/>
                <w:szCs w:val="20"/>
              </w:rPr>
              <w:br/>
              <w:t>s pohonem na alternativní paliva v ČR</w:t>
            </w:r>
          </w:p>
        </w:tc>
        <w:tc>
          <w:tcPr>
            <w:tcW w:w="3430" w:type="dxa"/>
            <w:tcBorders>
              <w:top w:val="single" w:sz="4" w:space="0" w:color="auto"/>
              <w:bottom w:val="single" w:sz="4" w:space="0" w:color="auto"/>
            </w:tcBorders>
            <w:shd w:val="clear" w:color="auto" w:fill="auto"/>
            <w:vAlign w:val="center"/>
          </w:tcPr>
          <w:p w14:paraId="343D7A60" w14:textId="77777777" w:rsidR="00556FCC" w:rsidRPr="00351242" w:rsidRDefault="00556FCC" w:rsidP="00556FCC">
            <w:pPr>
              <w:jc w:val="both"/>
              <w:rPr>
                <w:rFonts w:cs="Calibri"/>
                <w:bCs/>
                <w:color w:val="000000"/>
                <w:sz w:val="18"/>
                <w:szCs w:val="18"/>
              </w:rPr>
            </w:pPr>
            <w:r w:rsidRPr="00351242">
              <w:rPr>
                <w:rFonts w:cs="Calibri"/>
                <w:bCs/>
                <w:color w:val="000000"/>
                <w:sz w:val="18"/>
                <w:szCs w:val="18"/>
              </w:rPr>
              <w:t>Podpora rozvoje doplňkové sítě dobíjecích stanic</w:t>
            </w:r>
          </w:p>
        </w:tc>
        <w:tc>
          <w:tcPr>
            <w:tcW w:w="993" w:type="dxa"/>
            <w:tcBorders>
              <w:top w:val="single" w:sz="4" w:space="0" w:color="auto"/>
              <w:bottom w:val="single" w:sz="4" w:space="0" w:color="auto"/>
            </w:tcBorders>
            <w:shd w:val="clear" w:color="auto" w:fill="auto"/>
            <w:vAlign w:val="center"/>
          </w:tcPr>
          <w:p w14:paraId="358C9156" w14:textId="77777777" w:rsidR="00556FCC" w:rsidRPr="00C75CAA" w:rsidRDefault="00556FCC" w:rsidP="00556FCC">
            <w:pPr>
              <w:jc w:val="center"/>
              <w:rPr>
                <w:rFonts w:cs="Calibri"/>
                <w:sz w:val="20"/>
                <w:szCs w:val="20"/>
              </w:rPr>
            </w:pPr>
            <w:r w:rsidRPr="00C75CAA">
              <w:rPr>
                <w:rFonts w:cs="Calibri"/>
                <w:sz w:val="20"/>
                <w:szCs w:val="20"/>
              </w:rPr>
              <w:t>kolová</w:t>
            </w:r>
          </w:p>
        </w:tc>
        <w:tc>
          <w:tcPr>
            <w:tcW w:w="1275" w:type="dxa"/>
            <w:tcBorders>
              <w:top w:val="single" w:sz="4" w:space="0" w:color="auto"/>
              <w:bottom w:val="single" w:sz="4" w:space="0" w:color="auto"/>
            </w:tcBorders>
            <w:shd w:val="clear" w:color="auto" w:fill="auto"/>
            <w:vAlign w:val="center"/>
          </w:tcPr>
          <w:p w14:paraId="6CB06FA0" w14:textId="77777777" w:rsidR="00556FCC" w:rsidRDefault="00556FCC" w:rsidP="00556FCC">
            <w:pPr>
              <w:jc w:val="center"/>
              <w:rPr>
                <w:rFonts w:cs="Calibri"/>
                <w:sz w:val="18"/>
                <w:szCs w:val="18"/>
              </w:rPr>
            </w:pPr>
            <w:r>
              <w:rPr>
                <w:rFonts w:cs="Calibri"/>
                <w:sz w:val="18"/>
                <w:szCs w:val="18"/>
              </w:rPr>
              <w:t>ukončená/3</w:t>
            </w:r>
          </w:p>
        </w:tc>
      </w:tr>
      <w:tr w:rsidR="00556FCC" w14:paraId="4F2D5870" w14:textId="77777777" w:rsidTr="00B46BD3">
        <w:tc>
          <w:tcPr>
            <w:tcW w:w="1135" w:type="dxa"/>
            <w:tcBorders>
              <w:top w:val="single" w:sz="4" w:space="0" w:color="auto"/>
              <w:bottom w:val="single" w:sz="4" w:space="0" w:color="auto"/>
            </w:tcBorders>
            <w:shd w:val="clear" w:color="auto" w:fill="auto"/>
            <w:vAlign w:val="center"/>
          </w:tcPr>
          <w:p w14:paraId="59AEF445" w14:textId="77777777" w:rsidR="00556FCC" w:rsidRDefault="00556FCC" w:rsidP="00556FCC">
            <w:pPr>
              <w:jc w:val="both"/>
              <w:rPr>
                <w:rFonts w:cs="Calibri"/>
                <w:sz w:val="20"/>
                <w:szCs w:val="20"/>
              </w:rPr>
            </w:pPr>
            <w:r>
              <w:rPr>
                <w:rFonts w:cs="Calibri"/>
                <w:sz w:val="20"/>
                <w:szCs w:val="20"/>
              </w:rPr>
              <w:t>127D772 4</w:t>
            </w:r>
          </w:p>
        </w:tc>
        <w:tc>
          <w:tcPr>
            <w:tcW w:w="2268" w:type="dxa"/>
            <w:tcBorders>
              <w:top w:val="single" w:sz="4" w:space="0" w:color="auto"/>
              <w:bottom w:val="single" w:sz="4" w:space="0" w:color="auto"/>
            </w:tcBorders>
            <w:shd w:val="clear" w:color="auto" w:fill="auto"/>
            <w:vAlign w:val="center"/>
          </w:tcPr>
          <w:p w14:paraId="27DDE504" w14:textId="77777777" w:rsidR="00556FCC" w:rsidRPr="00C75CAA" w:rsidRDefault="00556FCC" w:rsidP="00556FCC">
            <w:pPr>
              <w:rPr>
                <w:rFonts w:cs="Calibri"/>
                <w:sz w:val="20"/>
                <w:szCs w:val="20"/>
              </w:rPr>
            </w:pPr>
            <w:r w:rsidRPr="003775A4">
              <w:rPr>
                <w:rFonts w:ascii="Calibri" w:hAnsi="Calibri" w:cs="Calibri"/>
                <w:bCs/>
                <w:color w:val="000000"/>
                <w:sz w:val="20"/>
                <w:szCs w:val="20"/>
              </w:rPr>
              <w:t>Podpora přepravních jednotek kombinované dopravy</w:t>
            </w:r>
          </w:p>
        </w:tc>
        <w:tc>
          <w:tcPr>
            <w:tcW w:w="3430" w:type="dxa"/>
            <w:tcBorders>
              <w:top w:val="single" w:sz="4" w:space="0" w:color="auto"/>
              <w:bottom w:val="single" w:sz="4" w:space="0" w:color="auto"/>
            </w:tcBorders>
            <w:shd w:val="clear" w:color="auto" w:fill="auto"/>
            <w:vAlign w:val="center"/>
          </w:tcPr>
          <w:p w14:paraId="06A79E27" w14:textId="77777777" w:rsidR="00556FCC" w:rsidRPr="00351242" w:rsidRDefault="00556FCC" w:rsidP="00556FCC">
            <w:pPr>
              <w:jc w:val="both"/>
              <w:rPr>
                <w:rFonts w:cs="Calibri"/>
                <w:bCs/>
                <w:color w:val="000000"/>
                <w:sz w:val="18"/>
                <w:szCs w:val="18"/>
              </w:rPr>
            </w:pPr>
            <w:r w:rsidRPr="003775A4">
              <w:rPr>
                <w:rFonts w:cs="Calibri"/>
                <w:bCs/>
                <w:color w:val="000000"/>
                <w:sz w:val="18"/>
                <w:szCs w:val="18"/>
              </w:rPr>
              <w:t>Pořízení přepravních jednotek kombinované dopravy</w:t>
            </w:r>
          </w:p>
        </w:tc>
        <w:tc>
          <w:tcPr>
            <w:tcW w:w="993" w:type="dxa"/>
            <w:tcBorders>
              <w:top w:val="single" w:sz="4" w:space="0" w:color="auto"/>
              <w:bottom w:val="single" w:sz="4" w:space="0" w:color="auto"/>
            </w:tcBorders>
            <w:shd w:val="clear" w:color="auto" w:fill="auto"/>
            <w:vAlign w:val="center"/>
          </w:tcPr>
          <w:p w14:paraId="676AED85" w14:textId="77777777" w:rsidR="00556FCC" w:rsidRPr="00C75CAA" w:rsidRDefault="00556FCC" w:rsidP="00556FCC">
            <w:pPr>
              <w:jc w:val="center"/>
              <w:rPr>
                <w:rFonts w:cs="Calibri"/>
                <w:sz w:val="20"/>
                <w:szCs w:val="20"/>
              </w:rPr>
            </w:pPr>
            <w:r>
              <w:rPr>
                <w:rFonts w:cs="Calibri"/>
                <w:sz w:val="20"/>
                <w:szCs w:val="20"/>
              </w:rPr>
              <w:t>kolová</w:t>
            </w:r>
          </w:p>
        </w:tc>
        <w:tc>
          <w:tcPr>
            <w:tcW w:w="1275" w:type="dxa"/>
            <w:tcBorders>
              <w:top w:val="single" w:sz="4" w:space="0" w:color="auto"/>
              <w:bottom w:val="single" w:sz="4" w:space="0" w:color="auto"/>
            </w:tcBorders>
            <w:shd w:val="clear" w:color="auto" w:fill="auto"/>
            <w:vAlign w:val="center"/>
          </w:tcPr>
          <w:p w14:paraId="0C26FFBB" w14:textId="77777777" w:rsidR="00556FCC" w:rsidRDefault="00556FCC" w:rsidP="00556FCC">
            <w:pPr>
              <w:jc w:val="center"/>
              <w:rPr>
                <w:rFonts w:cs="Calibri"/>
                <w:sz w:val="18"/>
                <w:szCs w:val="18"/>
              </w:rPr>
            </w:pPr>
            <w:r>
              <w:rPr>
                <w:rFonts w:cs="Calibri"/>
                <w:sz w:val="18"/>
                <w:szCs w:val="18"/>
              </w:rPr>
              <w:t>ukončená/2</w:t>
            </w:r>
          </w:p>
        </w:tc>
      </w:tr>
      <w:tr w:rsidR="00556FCC" w14:paraId="7597964F" w14:textId="77777777" w:rsidTr="00B46BD3">
        <w:tc>
          <w:tcPr>
            <w:tcW w:w="1135" w:type="dxa"/>
            <w:tcBorders>
              <w:top w:val="single" w:sz="4" w:space="0" w:color="auto"/>
              <w:bottom w:val="single" w:sz="4" w:space="0" w:color="auto"/>
            </w:tcBorders>
            <w:shd w:val="clear" w:color="auto" w:fill="auto"/>
            <w:vAlign w:val="center"/>
          </w:tcPr>
          <w:p w14:paraId="19A6A0AC" w14:textId="77777777" w:rsidR="00556FCC" w:rsidRDefault="00556FCC" w:rsidP="00556FCC">
            <w:pPr>
              <w:jc w:val="both"/>
              <w:rPr>
                <w:rFonts w:cs="Calibri"/>
                <w:sz w:val="20"/>
                <w:szCs w:val="20"/>
              </w:rPr>
            </w:pPr>
            <w:r>
              <w:rPr>
                <w:rFonts w:cs="Calibri"/>
                <w:sz w:val="20"/>
                <w:szCs w:val="20"/>
              </w:rPr>
              <w:t>127D77</w:t>
            </w:r>
            <w:r w:rsidRPr="00C75CAA">
              <w:rPr>
                <w:rFonts w:cs="Calibri"/>
                <w:sz w:val="20"/>
                <w:szCs w:val="20"/>
              </w:rPr>
              <w:t>2</w:t>
            </w:r>
            <w:r>
              <w:rPr>
                <w:rFonts w:cs="Calibri"/>
                <w:sz w:val="20"/>
                <w:szCs w:val="20"/>
              </w:rPr>
              <w:t xml:space="preserve"> </w:t>
            </w:r>
            <w:r w:rsidRPr="00C75CAA">
              <w:rPr>
                <w:rFonts w:cs="Calibri"/>
                <w:sz w:val="20"/>
                <w:szCs w:val="20"/>
              </w:rPr>
              <w:t>3</w:t>
            </w:r>
          </w:p>
        </w:tc>
        <w:tc>
          <w:tcPr>
            <w:tcW w:w="2268" w:type="dxa"/>
            <w:tcBorders>
              <w:top w:val="single" w:sz="4" w:space="0" w:color="auto"/>
              <w:bottom w:val="single" w:sz="4" w:space="0" w:color="auto"/>
            </w:tcBorders>
            <w:shd w:val="clear" w:color="auto" w:fill="auto"/>
            <w:vAlign w:val="center"/>
          </w:tcPr>
          <w:p w14:paraId="286EB41D" w14:textId="77777777" w:rsidR="00556FCC" w:rsidRPr="003775A4" w:rsidRDefault="00556FCC" w:rsidP="00556FCC">
            <w:pPr>
              <w:rPr>
                <w:rFonts w:ascii="Calibri" w:hAnsi="Calibri" w:cs="Calibri"/>
                <w:bCs/>
                <w:color w:val="000000"/>
                <w:sz w:val="20"/>
                <w:szCs w:val="20"/>
              </w:rPr>
            </w:pPr>
            <w:r w:rsidRPr="00C75CAA">
              <w:rPr>
                <w:rFonts w:cs="Calibri"/>
                <w:sz w:val="20"/>
                <w:szCs w:val="20"/>
              </w:rPr>
              <w:t>Z</w:t>
            </w:r>
            <w:r w:rsidRPr="00C75CAA">
              <w:rPr>
                <w:bCs/>
                <w:iCs/>
                <w:sz w:val="20"/>
                <w:szCs w:val="20"/>
              </w:rPr>
              <w:t xml:space="preserve">avádění veřejně přístupných dobíjecích a plnících stanic pro vozidla </w:t>
            </w:r>
            <w:r w:rsidRPr="00C75CAA">
              <w:rPr>
                <w:bCs/>
                <w:iCs/>
                <w:sz w:val="20"/>
                <w:szCs w:val="20"/>
              </w:rPr>
              <w:br/>
              <w:t>s pohonem na alternativní paliva v ČR</w:t>
            </w:r>
          </w:p>
        </w:tc>
        <w:tc>
          <w:tcPr>
            <w:tcW w:w="3430" w:type="dxa"/>
            <w:tcBorders>
              <w:top w:val="single" w:sz="4" w:space="0" w:color="auto"/>
              <w:bottom w:val="single" w:sz="4" w:space="0" w:color="auto"/>
            </w:tcBorders>
            <w:shd w:val="clear" w:color="auto" w:fill="auto"/>
            <w:vAlign w:val="center"/>
          </w:tcPr>
          <w:p w14:paraId="3A0076E8" w14:textId="77777777" w:rsidR="00556FCC" w:rsidRPr="003775A4" w:rsidRDefault="00556FCC" w:rsidP="00556FCC">
            <w:pPr>
              <w:jc w:val="both"/>
              <w:rPr>
                <w:rFonts w:cs="Calibri"/>
                <w:bCs/>
                <w:color w:val="000000"/>
                <w:sz w:val="18"/>
                <w:szCs w:val="18"/>
              </w:rPr>
            </w:pPr>
            <w:r w:rsidRPr="00351242">
              <w:rPr>
                <w:rFonts w:cs="Calibri"/>
                <w:bCs/>
                <w:color w:val="000000"/>
                <w:sz w:val="18"/>
                <w:szCs w:val="18"/>
              </w:rPr>
              <w:t>Podpora rozvoje infrastruktury LNG plnících stanic</w:t>
            </w:r>
          </w:p>
        </w:tc>
        <w:tc>
          <w:tcPr>
            <w:tcW w:w="993" w:type="dxa"/>
            <w:tcBorders>
              <w:top w:val="single" w:sz="4" w:space="0" w:color="auto"/>
              <w:bottom w:val="single" w:sz="4" w:space="0" w:color="auto"/>
            </w:tcBorders>
            <w:shd w:val="clear" w:color="auto" w:fill="auto"/>
            <w:vAlign w:val="center"/>
          </w:tcPr>
          <w:p w14:paraId="3EDE68DD" w14:textId="77777777" w:rsidR="00556FCC" w:rsidRDefault="00556FCC" w:rsidP="00556FCC">
            <w:pPr>
              <w:jc w:val="center"/>
              <w:rPr>
                <w:rFonts w:cs="Calibri"/>
                <w:sz w:val="20"/>
                <w:szCs w:val="20"/>
              </w:rPr>
            </w:pPr>
            <w:r w:rsidRPr="00C75CAA">
              <w:rPr>
                <w:rFonts w:cs="Calibri"/>
                <w:sz w:val="20"/>
                <w:szCs w:val="20"/>
              </w:rPr>
              <w:t>kolová</w:t>
            </w:r>
          </w:p>
        </w:tc>
        <w:tc>
          <w:tcPr>
            <w:tcW w:w="1275" w:type="dxa"/>
            <w:tcBorders>
              <w:top w:val="single" w:sz="4" w:space="0" w:color="auto"/>
              <w:bottom w:val="single" w:sz="4" w:space="0" w:color="auto"/>
            </w:tcBorders>
            <w:shd w:val="clear" w:color="auto" w:fill="auto"/>
            <w:vAlign w:val="center"/>
          </w:tcPr>
          <w:p w14:paraId="7569C42B" w14:textId="77777777" w:rsidR="00556FCC" w:rsidRDefault="00556FCC" w:rsidP="00556FCC">
            <w:pPr>
              <w:jc w:val="center"/>
              <w:rPr>
                <w:rFonts w:cs="Calibri"/>
                <w:sz w:val="18"/>
                <w:szCs w:val="18"/>
              </w:rPr>
            </w:pPr>
            <w:r>
              <w:rPr>
                <w:rFonts w:cs="Calibri"/>
                <w:sz w:val="18"/>
                <w:szCs w:val="18"/>
              </w:rPr>
              <w:t>otevřená</w:t>
            </w:r>
          </w:p>
        </w:tc>
      </w:tr>
      <w:tr w:rsidR="00556FCC" w14:paraId="29D63841" w14:textId="77777777" w:rsidTr="00B46BD3">
        <w:tc>
          <w:tcPr>
            <w:tcW w:w="1135" w:type="dxa"/>
            <w:tcBorders>
              <w:top w:val="single" w:sz="4" w:space="0" w:color="auto"/>
            </w:tcBorders>
            <w:shd w:val="clear" w:color="auto" w:fill="auto"/>
            <w:vAlign w:val="center"/>
          </w:tcPr>
          <w:p w14:paraId="536E5C18" w14:textId="77777777" w:rsidR="00556FCC" w:rsidRDefault="00556FCC" w:rsidP="00556FCC">
            <w:pPr>
              <w:jc w:val="both"/>
              <w:rPr>
                <w:rFonts w:cs="Calibri"/>
                <w:sz w:val="20"/>
                <w:szCs w:val="20"/>
              </w:rPr>
            </w:pPr>
            <w:r>
              <w:rPr>
                <w:rFonts w:cs="Calibri"/>
                <w:sz w:val="20"/>
                <w:szCs w:val="20"/>
              </w:rPr>
              <w:t>127D77</w:t>
            </w:r>
            <w:r w:rsidRPr="00C75CAA">
              <w:rPr>
                <w:rFonts w:cs="Calibri"/>
                <w:sz w:val="20"/>
                <w:szCs w:val="20"/>
              </w:rPr>
              <w:t>2</w:t>
            </w:r>
            <w:r>
              <w:rPr>
                <w:rFonts w:cs="Calibri"/>
                <w:sz w:val="20"/>
                <w:szCs w:val="20"/>
              </w:rPr>
              <w:t xml:space="preserve"> </w:t>
            </w:r>
            <w:r w:rsidRPr="00C75CAA">
              <w:rPr>
                <w:rFonts w:cs="Calibri"/>
                <w:sz w:val="20"/>
                <w:szCs w:val="20"/>
              </w:rPr>
              <w:t>3</w:t>
            </w:r>
          </w:p>
        </w:tc>
        <w:tc>
          <w:tcPr>
            <w:tcW w:w="2268" w:type="dxa"/>
            <w:tcBorders>
              <w:top w:val="single" w:sz="4" w:space="0" w:color="auto"/>
            </w:tcBorders>
            <w:shd w:val="clear" w:color="auto" w:fill="auto"/>
            <w:vAlign w:val="center"/>
          </w:tcPr>
          <w:p w14:paraId="4BCFE740" w14:textId="77777777" w:rsidR="00556FCC" w:rsidRPr="00C75CAA" w:rsidRDefault="00556FCC" w:rsidP="00556FCC">
            <w:pPr>
              <w:rPr>
                <w:rFonts w:ascii="Calibri" w:hAnsi="Calibri" w:cs="Calibri"/>
                <w:bCs/>
                <w:color w:val="000000"/>
                <w:sz w:val="20"/>
                <w:szCs w:val="20"/>
              </w:rPr>
            </w:pPr>
            <w:r w:rsidRPr="00C75CAA">
              <w:rPr>
                <w:rFonts w:cs="Calibri"/>
                <w:sz w:val="20"/>
                <w:szCs w:val="20"/>
              </w:rPr>
              <w:t>Z</w:t>
            </w:r>
            <w:r w:rsidRPr="00C75CAA">
              <w:rPr>
                <w:bCs/>
                <w:iCs/>
                <w:sz w:val="20"/>
                <w:szCs w:val="20"/>
              </w:rPr>
              <w:t xml:space="preserve">avádění veřejně přístupných dobíjecích a plnících stanic pro vozidla </w:t>
            </w:r>
            <w:r w:rsidRPr="00C75CAA">
              <w:rPr>
                <w:bCs/>
                <w:iCs/>
                <w:sz w:val="20"/>
                <w:szCs w:val="20"/>
              </w:rPr>
              <w:br/>
              <w:t>s pohonem na alternativní paliva v ČR</w:t>
            </w:r>
          </w:p>
        </w:tc>
        <w:tc>
          <w:tcPr>
            <w:tcW w:w="3430" w:type="dxa"/>
            <w:tcBorders>
              <w:top w:val="single" w:sz="4" w:space="0" w:color="auto"/>
            </w:tcBorders>
            <w:shd w:val="clear" w:color="auto" w:fill="auto"/>
            <w:vAlign w:val="center"/>
          </w:tcPr>
          <w:p w14:paraId="01E756A0" w14:textId="77777777" w:rsidR="00556FCC" w:rsidRPr="00C81E8A" w:rsidRDefault="00556FCC" w:rsidP="00556FCC">
            <w:pPr>
              <w:jc w:val="both"/>
              <w:rPr>
                <w:rFonts w:cs="Calibri"/>
                <w:bCs/>
                <w:color w:val="000000"/>
                <w:sz w:val="18"/>
                <w:szCs w:val="18"/>
              </w:rPr>
            </w:pPr>
            <w:r w:rsidRPr="00C75CAA">
              <w:rPr>
                <w:rFonts w:cs="Calibri"/>
                <w:bCs/>
                <w:color w:val="000000"/>
                <w:sz w:val="18"/>
                <w:szCs w:val="18"/>
              </w:rPr>
              <w:t>Podpora rozvoje páteřní sítě dobíjecích stanic</w:t>
            </w:r>
          </w:p>
        </w:tc>
        <w:tc>
          <w:tcPr>
            <w:tcW w:w="993" w:type="dxa"/>
            <w:tcBorders>
              <w:top w:val="single" w:sz="4" w:space="0" w:color="auto"/>
            </w:tcBorders>
            <w:shd w:val="clear" w:color="auto" w:fill="auto"/>
            <w:vAlign w:val="center"/>
          </w:tcPr>
          <w:p w14:paraId="22F2D978" w14:textId="77777777" w:rsidR="00556FCC" w:rsidRPr="00C75CAA" w:rsidRDefault="00556FCC" w:rsidP="00556FCC">
            <w:pPr>
              <w:jc w:val="center"/>
              <w:rPr>
                <w:rFonts w:cs="Calibri"/>
                <w:sz w:val="20"/>
                <w:szCs w:val="20"/>
              </w:rPr>
            </w:pPr>
            <w:r w:rsidRPr="00C75CAA">
              <w:rPr>
                <w:rFonts w:cs="Calibri"/>
                <w:sz w:val="20"/>
                <w:szCs w:val="20"/>
              </w:rPr>
              <w:t>kolová</w:t>
            </w:r>
          </w:p>
        </w:tc>
        <w:tc>
          <w:tcPr>
            <w:tcW w:w="1275" w:type="dxa"/>
            <w:tcBorders>
              <w:top w:val="single" w:sz="4" w:space="0" w:color="auto"/>
            </w:tcBorders>
            <w:shd w:val="clear" w:color="auto" w:fill="auto"/>
            <w:vAlign w:val="center"/>
          </w:tcPr>
          <w:p w14:paraId="598DA3EA" w14:textId="77777777" w:rsidR="00556FCC" w:rsidRDefault="00556FCC" w:rsidP="00556FCC">
            <w:pPr>
              <w:jc w:val="center"/>
              <w:rPr>
                <w:rFonts w:cs="Calibri"/>
                <w:sz w:val="18"/>
                <w:szCs w:val="18"/>
              </w:rPr>
            </w:pPr>
            <w:r>
              <w:rPr>
                <w:rFonts w:cs="Calibri"/>
                <w:sz w:val="18"/>
                <w:szCs w:val="18"/>
              </w:rPr>
              <w:t>otevřená</w:t>
            </w:r>
          </w:p>
        </w:tc>
      </w:tr>
    </w:tbl>
    <w:p w14:paraId="1A38CCD7" w14:textId="77777777" w:rsidR="00556FCC" w:rsidRPr="0092441C" w:rsidRDefault="00556FCC" w:rsidP="00B46BD3">
      <w:pPr>
        <w:pStyle w:val="KOMtext"/>
        <w:rPr>
          <w:b/>
        </w:rPr>
      </w:pPr>
      <w:r w:rsidRPr="0092441C">
        <w:t>Celkem u 31 projektů v rámci výše uvedených výzev již došlo k vydání Schvalovacího protokolu OPD, nicméně prozatím ještě nedošlo k vydání žádného Rozhodnutí o poskytnutí dotace.</w:t>
      </w:r>
    </w:p>
    <w:p w14:paraId="263B6667" w14:textId="77777777" w:rsidR="00D363E0" w:rsidRPr="00B46BD3" w:rsidRDefault="00D363E0" w:rsidP="00D363E0">
      <w:pPr>
        <w:pStyle w:val="KOMtext"/>
        <w:rPr>
          <w:b/>
        </w:rPr>
      </w:pPr>
      <w:r w:rsidRPr="00B46BD3">
        <w:rPr>
          <w:b/>
        </w:rPr>
        <w:t>Reálné čerpání prostředků tedy nebylo k 31. 12. 2019 zahájeno v rámci žádné z výše uvedených veřejných podpor.</w:t>
      </w:r>
    </w:p>
    <w:p w14:paraId="4FD448A5" w14:textId="77777777" w:rsidR="00D363E0" w:rsidRPr="0092441C" w:rsidRDefault="00D363E0" w:rsidP="00D363E0">
      <w:pPr>
        <w:keepNext/>
        <w:spacing w:before="120" w:after="120"/>
        <w:jc w:val="both"/>
        <w:rPr>
          <w:b/>
        </w:rPr>
      </w:pPr>
      <w:r w:rsidRPr="0092441C">
        <w:rPr>
          <w:b/>
        </w:rPr>
        <w:t>Podprogram 127 773 - OPD 2014–2020 SFDI</w:t>
      </w:r>
    </w:p>
    <w:p w14:paraId="1DF3C9DF" w14:textId="5876817A" w:rsidR="00D363E0" w:rsidRPr="008E3722" w:rsidRDefault="00D363E0" w:rsidP="00D363E0">
      <w:pPr>
        <w:pStyle w:val="KOMtext"/>
      </w:pPr>
      <w:r w:rsidRPr="0092441C">
        <w:t>V rámci podprogramu 127 773 byly v roce 2019 financovány dvě akce, na něž byly Z</w:t>
      </w:r>
      <w:r w:rsidR="00351F1A">
        <w:t>prostředkujícímu subjektu</w:t>
      </w:r>
      <w:r w:rsidRPr="0092441C">
        <w:t xml:space="preserve"> formou </w:t>
      </w:r>
      <w:r>
        <w:t xml:space="preserve">rozhodnutí o poskytnutí </w:t>
      </w:r>
      <w:r w:rsidRPr="0092441C">
        <w:t xml:space="preserve">dotace poskytnuty finanční prostředky v celkové </w:t>
      </w:r>
      <w:r w:rsidRPr="008E3722">
        <w:t xml:space="preserve">výši </w:t>
      </w:r>
      <w:r>
        <w:t>22 527 825</w:t>
      </w:r>
      <w:r w:rsidRPr="008E3722">
        <w:t xml:space="preserve"> tis. Kč v tom:</w:t>
      </w:r>
    </w:p>
    <w:p w14:paraId="2C942104" w14:textId="77777777" w:rsidR="00D363E0" w:rsidRPr="00D17203" w:rsidRDefault="00D363E0" w:rsidP="00D363E0">
      <w:pPr>
        <w:pStyle w:val="KOMtext"/>
        <w:numPr>
          <w:ilvl w:val="0"/>
          <w:numId w:val="37"/>
        </w:numPr>
        <w:rPr>
          <w:b/>
        </w:rPr>
      </w:pPr>
      <w:r w:rsidRPr="00D17203">
        <w:t xml:space="preserve">akce 127D773000005 (SFDI OPD 2014–2020 v roce 2019) – rozhodnutí vydáno </w:t>
      </w:r>
      <w:r w:rsidRPr="00D17203">
        <w:br/>
        <w:t xml:space="preserve">ve výši 22 527 114 tis. Kč, přičemž čerpáno bylo </w:t>
      </w:r>
      <w:r w:rsidRPr="00D17203">
        <w:rPr>
          <w:b/>
        </w:rPr>
        <w:t>14 432 173 tis. Kč</w:t>
      </w:r>
      <w:r w:rsidRPr="00D17203">
        <w:t xml:space="preserve">, v tom z ERDF </w:t>
      </w:r>
      <w:r w:rsidRPr="00D17203">
        <w:rPr>
          <w:b/>
        </w:rPr>
        <w:t>2 220 752 tis. Kč</w:t>
      </w:r>
      <w:r w:rsidRPr="00D17203">
        <w:t xml:space="preserve"> a z CF </w:t>
      </w:r>
      <w:r w:rsidRPr="00D17203">
        <w:rPr>
          <w:b/>
        </w:rPr>
        <w:t>12 211 421 tis. Kč</w:t>
      </w:r>
    </w:p>
    <w:p w14:paraId="49C36859" w14:textId="77777777" w:rsidR="00D363E0" w:rsidRPr="005E264F" w:rsidRDefault="00D363E0" w:rsidP="00D363E0">
      <w:pPr>
        <w:pStyle w:val="KOMtext"/>
        <w:numPr>
          <w:ilvl w:val="0"/>
          <w:numId w:val="37"/>
        </w:numPr>
      </w:pPr>
      <w:r w:rsidRPr="005E264F">
        <w:t>akce 127D773000006 (SFDI OPD 2014–2020 NÁRODNÍ PODÍLY v roce 2019) – rozhodnutí vydáno ve výši 711 tis. Kč, přičemž čerpáno bylo 711 tis. Kč.</w:t>
      </w:r>
    </w:p>
    <w:p w14:paraId="68870CA0" w14:textId="77777777" w:rsidR="00D363E0" w:rsidRPr="00D17203" w:rsidRDefault="00D363E0" w:rsidP="00090DA5">
      <w:pPr>
        <w:pStyle w:val="KOModrky"/>
        <w:spacing w:line="276" w:lineRule="auto"/>
      </w:pPr>
      <w:r w:rsidRPr="00D17203">
        <w:lastRenderedPageBreak/>
        <w:t>Finanční prostředky byly použity na velké dopravní stavby, kdy konečnými příjemci byly Ředitelství silnic a dálnic ČR a Správa železniční dopravní cesty. Zprostředkující subjekt celkem čerpal na projekty OPD 2014+ ve výši 14 432 173 tis. Kč z dotace ze státního rozpočtu a 840 166 tis. Kč pokryl vrácenými transfery prostředků OPD. Z uvedených částek bylo určeno 9 521 862 tis. Kč pro pozemní komunikace,  5 744 657 tis. Kč pro dráhy a 5 820 tis. Kč pro kombinovanou dopravu.</w:t>
      </w:r>
    </w:p>
    <w:p w14:paraId="6A368B72" w14:textId="77777777" w:rsidR="00556FCC" w:rsidRPr="00B46BD3" w:rsidRDefault="00556FCC" w:rsidP="00B46BD3">
      <w:pPr>
        <w:keepNext/>
        <w:spacing w:before="120" w:after="120"/>
        <w:jc w:val="both"/>
        <w:rPr>
          <w:b/>
        </w:rPr>
      </w:pPr>
      <w:r w:rsidRPr="00B46BD3">
        <w:rPr>
          <w:b/>
        </w:rPr>
        <w:t xml:space="preserve">Prioritní osa 4 - Technická pomoc </w:t>
      </w:r>
    </w:p>
    <w:p w14:paraId="4990942B" w14:textId="77777777" w:rsidR="00556FCC" w:rsidRPr="0044430F" w:rsidRDefault="00556FCC" w:rsidP="00090DA5">
      <w:pPr>
        <w:pStyle w:val="KOModrky"/>
        <w:spacing w:line="276" w:lineRule="auto"/>
        <w:rPr>
          <w:rFonts w:ascii="Arial" w:hAnsi="Arial"/>
          <w:sz w:val="22"/>
        </w:rPr>
      </w:pPr>
      <w:r w:rsidRPr="0044430F">
        <w:t>Technická pomoc OP Doprava je realizována prostřednictvím prioritní osy 4 (Fond soudržnosti) a je na ní vyčleněno 70,4 mil. EUR, což je 1,5 % alokace OP Doprava. Technická pomoc je zakotvena v Nařízení Evropského parlamentu a Rady (EU) č. 1303/2013</w:t>
      </w:r>
      <w:r w:rsidRPr="0044430F">
        <w:rPr>
          <w:vertAlign w:val="superscript"/>
        </w:rPr>
        <w:footnoteReference w:id="4"/>
      </w:r>
      <w:r w:rsidRPr="0044430F">
        <w:t xml:space="preserve"> (dále jen „obecné nařízení“), článek 59, podle kterého mohou fondy ESI (Evropské strukturální </w:t>
      </w:r>
      <w:r w:rsidRPr="0044430F">
        <w:br/>
        <w:t xml:space="preserve">a investiční fondy) podporovat opatření v oblasti přípravy, řízení, monitorování, hodnocení, informování a komunikace, vytváření sítí, řešení stížností, kontroly a auditu. Členský stát může fondy ESI využívat na podporu opatření ke snížení administrativní zátěže příjemců, a to </w:t>
      </w:r>
      <w:r w:rsidRPr="0044430F">
        <w:br/>
        <w:t>i prostřednictvím systémů pro elektronickou výměnu dat a opatření ke zvýšení způsobilosti orgánů členských států a příjemců spravovat a využívat tyto fondy.</w:t>
      </w:r>
      <w:r w:rsidRPr="0044430F">
        <w:rPr>
          <w:rFonts w:ascii="Arial" w:hAnsi="Arial"/>
          <w:sz w:val="22"/>
        </w:rPr>
        <w:t xml:space="preserve"> </w:t>
      </w:r>
      <w:r w:rsidRPr="0044430F">
        <w:t>Výdaje Technické pomoci OP Doprava jsou hrazeny z 85 % z Fondu soudržnosti a z 15 % ze SR – kapitola 327 Ministerstvo dopravy.</w:t>
      </w:r>
    </w:p>
    <w:p w14:paraId="4A9103D9" w14:textId="77777777" w:rsidR="00556FCC" w:rsidRPr="0044430F" w:rsidRDefault="00556FCC" w:rsidP="00090DA5">
      <w:pPr>
        <w:pStyle w:val="KOModrky"/>
        <w:spacing w:line="276" w:lineRule="auto"/>
      </w:pPr>
      <w:r w:rsidRPr="0044430F">
        <w:t>Prostřednictvím TP OP Doprava se v roce 2019 re</w:t>
      </w:r>
      <w:r w:rsidR="00B46BD3">
        <w:t xml:space="preserve">alizovaly 3 projekty, z toho </w:t>
      </w:r>
      <w:r w:rsidRPr="0044430F">
        <w:t>2 projekty byly realizovány Řídícím orgánem OP Doprava a 1 projekt byl realizován Zprostředkujícím subjektem OP Doprava (SFDI).</w:t>
      </w:r>
    </w:p>
    <w:p w14:paraId="384D6796" w14:textId="77777777" w:rsidR="00556FCC" w:rsidRPr="0044430F" w:rsidRDefault="00556FCC" w:rsidP="00B46BD3">
      <w:pPr>
        <w:keepNext/>
        <w:spacing w:before="120" w:after="120"/>
        <w:jc w:val="both"/>
        <w:rPr>
          <w:b/>
        </w:rPr>
      </w:pPr>
      <w:r w:rsidRPr="0044430F">
        <w:rPr>
          <w:b/>
        </w:rPr>
        <w:t>Řídící orgán OP Doprava:</w:t>
      </w:r>
    </w:p>
    <w:p w14:paraId="0C8BB179" w14:textId="77777777" w:rsidR="00556FCC" w:rsidRPr="0044430F" w:rsidRDefault="00556FCC" w:rsidP="00BA24B3">
      <w:pPr>
        <w:pStyle w:val="KOMtext"/>
        <w:numPr>
          <w:ilvl w:val="0"/>
          <w:numId w:val="77"/>
        </w:numPr>
        <w:spacing w:before="60" w:after="0"/>
        <w:ind w:left="721" w:hanging="437"/>
      </w:pPr>
      <w:r w:rsidRPr="0044430F">
        <w:t>Technická pomoc OPD2 ŘO 2016-2023</w:t>
      </w:r>
    </w:p>
    <w:p w14:paraId="66242979" w14:textId="77777777" w:rsidR="00556FCC" w:rsidRPr="0044430F" w:rsidRDefault="00556FCC" w:rsidP="00BA24B3">
      <w:pPr>
        <w:pStyle w:val="KOMtext"/>
        <w:numPr>
          <w:ilvl w:val="0"/>
          <w:numId w:val="77"/>
        </w:numPr>
        <w:spacing w:before="60" w:after="0"/>
        <w:ind w:left="721" w:hanging="437"/>
      </w:pPr>
      <w:r w:rsidRPr="0044430F">
        <w:t>Administrativní kapacita a vzdělávání implementační struktury Řídícího orgánu Operačního programu Doprava</w:t>
      </w:r>
    </w:p>
    <w:p w14:paraId="145801D8" w14:textId="77777777" w:rsidR="00556FCC" w:rsidRPr="0044430F" w:rsidRDefault="00556FCC" w:rsidP="00B46BD3">
      <w:pPr>
        <w:keepNext/>
        <w:spacing w:before="120" w:after="120"/>
        <w:jc w:val="both"/>
        <w:rPr>
          <w:b/>
        </w:rPr>
      </w:pPr>
      <w:r w:rsidRPr="0044430F">
        <w:rPr>
          <w:b/>
        </w:rPr>
        <w:t>Zprostředkující subjekt OP Doprava:</w:t>
      </w:r>
    </w:p>
    <w:p w14:paraId="0F4B6AC0" w14:textId="77777777" w:rsidR="00556FCC" w:rsidRPr="0044430F" w:rsidRDefault="00556FCC" w:rsidP="00275CE2">
      <w:pPr>
        <w:pStyle w:val="KOMtext"/>
        <w:numPr>
          <w:ilvl w:val="0"/>
          <w:numId w:val="78"/>
        </w:numPr>
        <w:rPr>
          <w:b/>
          <w:u w:val="single"/>
        </w:rPr>
      </w:pPr>
      <w:r w:rsidRPr="0044430F">
        <w:t>Technická pomoc ZS OPD 2016-2023</w:t>
      </w:r>
    </w:p>
    <w:p w14:paraId="5B4B12D4" w14:textId="77777777" w:rsidR="00556FCC" w:rsidRPr="0044430F" w:rsidRDefault="00556FCC" w:rsidP="00B46BD3">
      <w:pPr>
        <w:pStyle w:val="KOMtext"/>
      </w:pPr>
      <w:r w:rsidRPr="0044430F">
        <w:t>Projekty „Technická pomoc OPD2 ŘO 2016-2023“ a „Administrativní kapacita a vzdělávání implementační struktury Řídícího orgánu Operačního programu Doprava“ byly vytvořeny pro potřeby Řídícího orgánu OPD. Projekty byly zaměřeny na následující oblasti:</w:t>
      </w:r>
    </w:p>
    <w:p w14:paraId="6A1E2901" w14:textId="77777777" w:rsidR="00556FCC" w:rsidRPr="0044430F" w:rsidRDefault="00556FCC" w:rsidP="00BA24B3">
      <w:pPr>
        <w:pStyle w:val="KOMtext"/>
        <w:numPr>
          <w:ilvl w:val="0"/>
          <w:numId w:val="78"/>
        </w:numPr>
        <w:spacing w:before="60" w:after="0"/>
        <w:ind w:left="721" w:hanging="437"/>
      </w:pPr>
      <w:r w:rsidRPr="0044430F">
        <w:t>Řízení a kontrola programu</w:t>
      </w:r>
    </w:p>
    <w:p w14:paraId="2217EAF9" w14:textId="77777777" w:rsidR="00556FCC" w:rsidRPr="0044430F" w:rsidRDefault="00556FCC" w:rsidP="00BA24B3">
      <w:pPr>
        <w:pStyle w:val="KOMtext"/>
        <w:numPr>
          <w:ilvl w:val="0"/>
          <w:numId w:val="78"/>
        </w:numPr>
        <w:spacing w:before="60" w:after="0"/>
        <w:ind w:left="721" w:hanging="437"/>
      </w:pPr>
      <w:r w:rsidRPr="0044430F">
        <w:t xml:space="preserve">Technické zabezpečení činností </w:t>
      </w:r>
    </w:p>
    <w:p w14:paraId="0A9E239C" w14:textId="77777777" w:rsidR="00556FCC" w:rsidRPr="0044430F" w:rsidRDefault="00556FCC" w:rsidP="00BA24B3">
      <w:pPr>
        <w:pStyle w:val="KOMtext"/>
        <w:numPr>
          <w:ilvl w:val="0"/>
          <w:numId w:val="78"/>
        </w:numPr>
        <w:spacing w:before="60" w:after="0"/>
        <w:ind w:left="721" w:hanging="437"/>
      </w:pPr>
      <w:r w:rsidRPr="0044430F">
        <w:t xml:space="preserve">Publicita </w:t>
      </w:r>
    </w:p>
    <w:p w14:paraId="6FC8C048" w14:textId="77777777" w:rsidR="00556FCC" w:rsidRPr="0044430F" w:rsidRDefault="00556FCC" w:rsidP="00BA24B3">
      <w:pPr>
        <w:pStyle w:val="KOMtext"/>
        <w:numPr>
          <w:ilvl w:val="0"/>
          <w:numId w:val="78"/>
        </w:numPr>
        <w:spacing w:before="60" w:after="0"/>
        <w:ind w:left="721" w:hanging="437"/>
      </w:pPr>
      <w:r w:rsidRPr="0044430F">
        <w:t>Evaluace</w:t>
      </w:r>
    </w:p>
    <w:p w14:paraId="0385753C" w14:textId="77777777" w:rsidR="00556FCC" w:rsidRPr="0044430F" w:rsidRDefault="00556FCC" w:rsidP="00BA24B3">
      <w:pPr>
        <w:pStyle w:val="KOMtext"/>
        <w:numPr>
          <w:ilvl w:val="0"/>
          <w:numId w:val="78"/>
        </w:numPr>
        <w:spacing w:before="60" w:after="0"/>
        <w:ind w:left="721" w:hanging="437"/>
      </w:pPr>
      <w:r w:rsidRPr="0044430F">
        <w:t>Vzdělávání</w:t>
      </w:r>
    </w:p>
    <w:p w14:paraId="31EF21A4" w14:textId="77777777" w:rsidR="00556FCC" w:rsidRPr="0044430F" w:rsidRDefault="00556FCC" w:rsidP="00BA24B3">
      <w:pPr>
        <w:pStyle w:val="KOMtext"/>
        <w:numPr>
          <w:ilvl w:val="0"/>
          <w:numId w:val="78"/>
        </w:numPr>
        <w:spacing w:before="60" w:after="0"/>
        <w:ind w:left="721" w:hanging="437"/>
      </w:pPr>
      <w:r w:rsidRPr="0044430F">
        <w:lastRenderedPageBreak/>
        <w:t>Dokončení realizace programového období 2007-2013 a příprava nového programového období 2020+</w:t>
      </w:r>
    </w:p>
    <w:p w14:paraId="3DEA55D0" w14:textId="77777777" w:rsidR="00556FCC" w:rsidRPr="0044430F" w:rsidRDefault="00556FCC" w:rsidP="00B46BD3">
      <w:pPr>
        <w:keepNext/>
        <w:spacing w:before="120" w:after="120"/>
        <w:jc w:val="both"/>
        <w:rPr>
          <w:b/>
        </w:rPr>
      </w:pPr>
      <w:r w:rsidRPr="0044430F">
        <w:rPr>
          <w:b/>
        </w:rPr>
        <w:t>Projekt Zprostředkujícího subjektu OP Doprava:</w:t>
      </w:r>
    </w:p>
    <w:p w14:paraId="61EAE01B" w14:textId="77777777" w:rsidR="00556FCC" w:rsidRPr="008D1BAE" w:rsidRDefault="00556FCC" w:rsidP="00090DA5">
      <w:pPr>
        <w:spacing w:line="276" w:lineRule="auto"/>
        <w:jc w:val="both"/>
        <w:rPr>
          <w:szCs w:val="20"/>
        </w:rPr>
      </w:pPr>
      <w:r w:rsidRPr="0044430F">
        <w:rPr>
          <w:szCs w:val="20"/>
        </w:rPr>
        <w:t xml:space="preserve">Projekt </w:t>
      </w:r>
      <w:r w:rsidRPr="0044430F">
        <w:rPr>
          <w:b/>
          <w:szCs w:val="20"/>
        </w:rPr>
        <w:t>„</w:t>
      </w:r>
      <w:r w:rsidRPr="0044430F">
        <w:rPr>
          <w:b/>
        </w:rPr>
        <w:t>Technická pomoc ZS OPD 2016-2023“</w:t>
      </w:r>
      <w:r w:rsidRPr="0044430F">
        <w:t xml:space="preserve"> </w:t>
      </w:r>
      <w:r w:rsidRPr="0044430F">
        <w:rPr>
          <w:szCs w:val="20"/>
        </w:rPr>
        <w:t xml:space="preserve">je </w:t>
      </w:r>
      <w:r w:rsidR="00FB40E0">
        <w:rPr>
          <w:szCs w:val="20"/>
        </w:rPr>
        <w:t xml:space="preserve">určen na zajištění technických </w:t>
      </w:r>
      <w:r w:rsidR="00FB40E0">
        <w:rPr>
          <w:szCs w:val="20"/>
        </w:rPr>
        <w:br/>
      </w:r>
      <w:r w:rsidRPr="0044430F">
        <w:rPr>
          <w:szCs w:val="20"/>
        </w:rPr>
        <w:t>a administrativních podmínek pro výkon činností delegovaných</w:t>
      </w:r>
      <w:r w:rsidRPr="0044430F">
        <w:rPr>
          <w:b/>
          <w:szCs w:val="20"/>
        </w:rPr>
        <w:t xml:space="preserve"> </w:t>
      </w:r>
      <w:r w:rsidRPr="0044430F">
        <w:rPr>
          <w:szCs w:val="20"/>
        </w:rPr>
        <w:t xml:space="preserve">na Zprostředkující subjekt OP Doprava (dále jen ZS OP Doprava) a na zvyšování odborné kvalifikace zaměstnanců SFDI. </w:t>
      </w:r>
      <w:r w:rsidRPr="008D1BAE">
        <w:rPr>
          <w:szCs w:val="20"/>
        </w:rPr>
        <w:t xml:space="preserve">Jedná se zejména o osobní náklady, kancelářské a IT vybavení, režijní náklady, vzdělávání zaměstnanců ZS zapojených do implementace OP Doprava a o zlepšení jejich technického zázemí. </w:t>
      </w:r>
    </w:p>
    <w:p w14:paraId="0AA459F5" w14:textId="77777777" w:rsidR="00556FCC" w:rsidRPr="008D1BAE" w:rsidRDefault="00556FCC" w:rsidP="00556FCC">
      <w:pPr>
        <w:spacing w:before="120"/>
        <w:jc w:val="both"/>
      </w:pPr>
      <w:r w:rsidRPr="008D1BAE">
        <w:rPr>
          <w:szCs w:val="20"/>
        </w:rPr>
        <w:t>Projekt je zaměřen na následující oblasti:</w:t>
      </w:r>
    </w:p>
    <w:p w14:paraId="5E1BBFED" w14:textId="77777777" w:rsidR="00556FCC" w:rsidRPr="008D1BAE" w:rsidRDefault="00556FCC" w:rsidP="00BA24B3">
      <w:pPr>
        <w:numPr>
          <w:ilvl w:val="1"/>
          <w:numId w:val="27"/>
        </w:numPr>
        <w:tabs>
          <w:tab w:val="clear" w:pos="1440"/>
          <w:tab w:val="num" w:pos="709"/>
        </w:tabs>
        <w:spacing w:before="60"/>
        <w:ind w:hanging="1157"/>
        <w:jc w:val="both"/>
        <w:rPr>
          <w:szCs w:val="20"/>
        </w:rPr>
      </w:pPr>
      <w:r w:rsidRPr="008D1BAE">
        <w:rPr>
          <w:szCs w:val="20"/>
        </w:rPr>
        <w:t xml:space="preserve">Technické zabezpečení činností </w:t>
      </w:r>
    </w:p>
    <w:p w14:paraId="699EE294" w14:textId="77777777" w:rsidR="00556FCC" w:rsidRPr="008D1BAE" w:rsidRDefault="00556FCC" w:rsidP="00BA24B3">
      <w:pPr>
        <w:numPr>
          <w:ilvl w:val="1"/>
          <w:numId w:val="27"/>
        </w:numPr>
        <w:tabs>
          <w:tab w:val="clear" w:pos="1440"/>
          <w:tab w:val="num" w:pos="709"/>
        </w:tabs>
        <w:spacing w:before="60"/>
        <w:ind w:hanging="1157"/>
        <w:jc w:val="both"/>
        <w:rPr>
          <w:szCs w:val="20"/>
        </w:rPr>
      </w:pPr>
      <w:r w:rsidRPr="008D1BAE">
        <w:rPr>
          <w:szCs w:val="20"/>
        </w:rPr>
        <w:t>Vzdělávání</w:t>
      </w:r>
    </w:p>
    <w:p w14:paraId="0F672ECC" w14:textId="77777777" w:rsidR="00556FCC" w:rsidRPr="008D1BAE" w:rsidRDefault="00556FCC" w:rsidP="00BA24B3">
      <w:pPr>
        <w:numPr>
          <w:ilvl w:val="1"/>
          <w:numId w:val="27"/>
        </w:numPr>
        <w:tabs>
          <w:tab w:val="clear" w:pos="1440"/>
          <w:tab w:val="num" w:pos="709"/>
        </w:tabs>
        <w:spacing w:before="60"/>
        <w:ind w:left="1434" w:hanging="1157"/>
        <w:jc w:val="both"/>
        <w:rPr>
          <w:szCs w:val="20"/>
        </w:rPr>
      </w:pPr>
      <w:r w:rsidRPr="008D1BAE">
        <w:rPr>
          <w:szCs w:val="20"/>
        </w:rPr>
        <w:t>Publicita</w:t>
      </w:r>
    </w:p>
    <w:p w14:paraId="047AF239" w14:textId="77777777" w:rsidR="00556FCC" w:rsidRPr="008D1BAE" w:rsidRDefault="00556FCC" w:rsidP="00B46BD3">
      <w:pPr>
        <w:pStyle w:val="Nadpis6"/>
      </w:pPr>
      <w:r w:rsidRPr="008D1BAE">
        <w:t>Technická pomoc OP Doprava – Řídící orgán</w:t>
      </w:r>
    </w:p>
    <w:p w14:paraId="7BAB2B54" w14:textId="22D0E20C" w:rsidR="00556FCC" w:rsidRPr="00DA4F9C" w:rsidRDefault="00556FCC" w:rsidP="00B46BD3">
      <w:pPr>
        <w:pStyle w:val="KOMtext"/>
      </w:pPr>
      <w:r w:rsidRPr="008D1BAE">
        <w:t xml:space="preserve">Řídícím orgánem bylo v roce 2019 v rámci projektu „Technická pomoc OPD2 ŘO 2016-2023“ vyčerpáno </w:t>
      </w:r>
      <w:r w:rsidRPr="00DA4F9C">
        <w:t xml:space="preserve">celkem </w:t>
      </w:r>
      <w:r w:rsidRPr="00DA4F9C">
        <w:rPr>
          <w:b/>
        </w:rPr>
        <w:t>9 797 tis. Kč</w:t>
      </w:r>
      <w:r w:rsidRPr="00DA4F9C">
        <w:t xml:space="preserve"> (podíl SR 1 469 tis. Kč, podíl EU 8 328 tis. Kč). Jednalo se </w:t>
      </w:r>
      <w:r w:rsidR="00351F1A">
        <w:br/>
      </w:r>
      <w:r w:rsidRPr="00DA4F9C">
        <w:t>o běžné výdaje.</w:t>
      </w:r>
    </w:p>
    <w:p w14:paraId="70AA1F50" w14:textId="77777777" w:rsidR="00556FCC" w:rsidRPr="00CF5876" w:rsidRDefault="00556FCC" w:rsidP="00B46BD3">
      <w:pPr>
        <w:pStyle w:val="KOMtext"/>
      </w:pPr>
      <w:r w:rsidRPr="00DA4F9C">
        <w:t>V rámci projektu „Administrativní kapacita a vzdělávání implementační struktury Řídícího orgánu Operačního programu Doprava“ byl</w:t>
      </w:r>
      <w:r w:rsidR="00B46BD3">
        <w:t xml:space="preserve">o v roce 2019 vyčerpáno celkem </w:t>
      </w:r>
      <w:r w:rsidRPr="00DA4F9C">
        <w:rPr>
          <w:b/>
        </w:rPr>
        <w:t>87 721 tis. Kč</w:t>
      </w:r>
      <w:r w:rsidRPr="00DA4F9C">
        <w:t xml:space="preserve"> (podíl SR 13 158 tis. Kč, podíl EU 74 563 tis. Kč). Z této částky připadá na mzdové výdaje včetně příslušenství zaměstnanců zapoj</w:t>
      </w:r>
      <w:r w:rsidR="00B46BD3">
        <w:t xml:space="preserve">ených do implementace fondů EU </w:t>
      </w:r>
      <w:r>
        <w:t>86 142</w:t>
      </w:r>
      <w:r w:rsidRPr="00CF5876">
        <w:t xml:space="preserve"> tis. Kč, </w:t>
      </w:r>
      <w:r w:rsidR="00B46BD3">
        <w:br/>
      </w:r>
      <w:r w:rsidRPr="00CF5876">
        <w:t>na ostatní běžné výdaje </w:t>
      </w:r>
      <w:r>
        <w:t xml:space="preserve">1 579 </w:t>
      </w:r>
      <w:r w:rsidRPr="00CF5876">
        <w:t xml:space="preserve">tis. Kč. </w:t>
      </w:r>
    </w:p>
    <w:p w14:paraId="49802C2F" w14:textId="102445E0" w:rsidR="00556FCC" w:rsidRPr="00CF5876" w:rsidRDefault="00556FCC" w:rsidP="00B46BD3">
      <w:pPr>
        <w:pStyle w:val="KOMtext"/>
      </w:pPr>
      <w:r w:rsidRPr="00CF5876">
        <w:t xml:space="preserve">Běžné výdaje realizované v roce 2019 byly spojeny zejména se zajištěním publicity </w:t>
      </w:r>
      <w:r w:rsidR="00351F1A">
        <w:br/>
      </w:r>
      <w:r w:rsidRPr="00CF5876">
        <w:t>OP Doprava, zahraničními pracovními cestami, se vzděláváním pracovníků a s organizačně technickým a materiálním zabezpečením aktivit realizovaných Řídícím orgánem. V roce 2019 byla také provedena evaluace Komunikačního plánu Operačního programu Doprava v období 2017</w:t>
      </w:r>
      <w:r>
        <w:t xml:space="preserve"> </w:t>
      </w:r>
      <w:r w:rsidRPr="00CF5876">
        <w:t>-</w:t>
      </w:r>
      <w:r>
        <w:t xml:space="preserve"> </w:t>
      </w:r>
      <w:r w:rsidRPr="00CF5876">
        <w:t>2018.</w:t>
      </w:r>
    </w:p>
    <w:p w14:paraId="552BE51C" w14:textId="77777777" w:rsidR="00556FCC" w:rsidRPr="003F6430" w:rsidRDefault="00556FCC" w:rsidP="00B46BD3">
      <w:pPr>
        <w:pStyle w:val="KOMtext"/>
        <w:rPr>
          <w:highlight w:val="yellow"/>
        </w:rPr>
      </w:pPr>
      <w:r w:rsidRPr="003F6430">
        <w:t xml:space="preserve">Systém finanční motivace a stabilizace zaměstnanců Ministerstva dopravy zapojených do implementace OP Doprava byl realizován v souladu s usnesením vlády č. 818/2007 </w:t>
      </w:r>
      <w:r w:rsidRPr="003F6430">
        <w:br/>
        <w:t>a usnesením č. 1332/2009. Od 1. 9. 2014 byl následně realizován v souladu s Metodickým pokynem k rozvoji lidských zdrojů v programovém období 2014–2020 a v programovém období 2007–2013, který byl schválen usnesením vlády č. 444/2014 ze dne 16. 6. 2014                       a aktualizován</w:t>
      </w:r>
      <w:r w:rsidRPr="003F6430">
        <w:rPr>
          <w:rFonts w:cs="Arial"/>
        </w:rPr>
        <w:t xml:space="preserve"> usnesením vlády č. 1006 ze dne 1. 12. 2014 o aktualizaci Metodického pokynu  k rozvoji lidských zdrojů v programovém období 2014–2020 a v programovém období     </w:t>
      </w:r>
      <w:r w:rsidRPr="003F6430">
        <w:rPr>
          <w:rFonts w:cs="Arial"/>
        </w:rPr>
        <w:br/>
        <w:t xml:space="preserve">2007–2013. </w:t>
      </w:r>
      <w:r w:rsidRPr="003F6430">
        <w:t xml:space="preserve">Od 1. 7. 2015 je systém finanční motivace a stabilizace zaměstnanců, kteří jsou </w:t>
      </w:r>
      <w:r w:rsidRPr="003F6430">
        <w:br/>
        <w:t xml:space="preserve">ve služebním poměru, realizován v souladu se zákonem č. 234/2014 Sb., o státní službě. Náklady spojené s finanční motivací jsou plně hrazeny z prostředků Technické pomoci </w:t>
      </w:r>
      <w:r w:rsidRPr="003F6430">
        <w:br/>
        <w:t xml:space="preserve">OP Doprava. </w:t>
      </w:r>
    </w:p>
    <w:p w14:paraId="10013B71" w14:textId="77777777" w:rsidR="00556FCC" w:rsidRPr="00ED6AE5" w:rsidRDefault="00556FCC" w:rsidP="00B46BD3">
      <w:pPr>
        <w:pStyle w:val="Nadpis6"/>
      </w:pPr>
      <w:r w:rsidRPr="00ED6AE5">
        <w:lastRenderedPageBreak/>
        <w:t>Technická pomoc OP Doprava – Zprostředkující subjekt</w:t>
      </w:r>
    </w:p>
    <w:p w14:paraId="1A52107B" w14:textId="77777777" w:rsidR="00556FCC" w:rsidRPr="00ED6AE5" w:rsidRDefault="00556FCC" w:rsidP="00B46BD3">
      <w:pPr>
        <w:pStyle w:val="KOMtext"/>
      </w:pPr>
      <w:bookmarkStart w:id="1120" w:name="_Toc413413685"/>
      <w:bookmarkEnd w:id="1113"/>
      <w:bookmarkEnd w:id="1114"/>
      <w:r w:rsidRPr="00ED6AE5">
        <w:t>V roce 2019 bylo ZS na platná vydaná rozhodnutí na technickou pomoc v rámci EDS/SMVS čerpáno 2 660 tis. Kč na dopravní prostředky, rozšíření a technickou podporu SW Evidence, na pořízení manažerského informačního systému</w:t>
      </w:r>
      <w:r>
        <w:t xml:space="preserve"> </w:t>
      </w:r>
      <w:r w:rsidRPr="00ED6AE5">
        <w:t>včetně podpory</w:t>
      </w:r>
      <w:r w:rsidRPr="004B11AC">
        <w:rPr>
          <w:color w:val="FF0000"/>
        </w:rPr>
        <w:t xml:space="preserve"> </w:t>
      </w:r>
      <w:r w:rsidRPr="00ED6AE5">
        <w:t xml:space="preserve">a </w:t>
      </w:r>
      <w:r>
        <w:t xml:space="preserve">pořízení </w:t>
      </w:r>
      <w:r w:rsidRPr="00ED6AE5">
        <w:t xml:space="preserve">výpočetní techniky. V rámci běžných výdajů mimo EDS/SMVS byla vydána rozhodnutí v celkové výši </w:t>
      </w:r>
      <w:r w:rsidR="00334A2D">
        <w:br/>
      </w:r>
      <w:r w:rsidRPr="00ED6AE5">
        <w:t xml:space="preserve">84 903 tis. Kč, z čehož byly čerpány prostředky ve výši 49 039 tis. Kč na osobní náklady zaměstnanců implementujících OPD 2014 – 2020, nákup materiálu a nákup služeb spojených s provozem OPD 2014 – 2020. </w:t>
      </w:r>
    </w:p>
    <w:p w14:paraId="594EFB86" w14:textId="77777777" w:rsidR="00556FCC" w:rsidRPr="00ED6AE5" w:rsidRDefault="00556FCC" w:rsidP="00B46BD3">
      <w:pPr>
        <w:pStyle w:val="Nadpis6"/>
      </w:pPr>
      <w:r w:rsidRPr="00ED6AE5">
        <w:t>Mzdové výdaje hrazené z Technické pomoci Operačního programu Doprava</w:t>
      </w:r>
    </w:p>
    <w:p w14:paraId="46143067" w14:textId="77777777" w:rsidR="00556FCC" w:rsidRPr="00ED6AE5" w:rsidRDefault="00556FCC" w:rsidP="00B46BD3">
      <w:pPr>
        <w:pStyle w:val="KOMtext"/>
      </w:pPr>
      <w:r w:rsidRPr="00ED6AE5">
        <w:t>V rámci OP Do</w:t>
      </w:r>
      <w:r>
        <w:t>prava 2014–2020 byly v roce 2019</w:t>
      </w:r>
      <w:r w:rsidRPr="00ED6AE5">
        <w:t xml:space="preserve"> financovány mzdové výdaje včetně příslušenství u zaměstnanců podílejících se na implementaci OP Doprava. Jedná se                         o zaměstnance Řídícího orgánu (Odbor fondů EU), finančního útvaru (Odbor f</w:t>
      </w:r>
      <w:r w:rsidR="00B46BD3">
        <w:t xml:space="preserve">inancí                        </w:t>
      </w:r>
      <w:r w:rsidRPr="00ED6AE5">
        <w:t xml:space="preserve">a ekonomiky) a věcně příslušných odborů ústředního orgánu Ministerstva dopravy (podílející se na schvalovacím procesu při implementaci OP Doprava). </w:t>
      </w:r>
    </w:p>
    <w:p w14:paraId="0F91A867" w14:textId="77777777" w:rsidR="00556FCC" w:rsidRPr="00211142" w:rsidRDefault="00556FCC" w:rsidP="00B46BD3">
      <w:pPr>
        <w:pStyle w:val="KOMtext"/>
      </w:pPr>
      <w:r w:rsidRPr="00211142">
        <w:t xml:space="preserve">Dále byly z Technické pomoci OP Doprava financovány ostatní osobní </w:t>
      </w:r>
      <w:r>
        <w:t>výdaje</w:t>
      </w:r>
      <w:r w:rsidRPr="00211142">
        <w:t xml:space="preserve"> včetně souvisejících odvodů, a to na základě uzavřených dohod o provedení práce a dohod o pracovní činnosti. Cílem bylo posílení odborné administrativní kapacity související s realizací projektů. </w:t>
      </w:r>
    </w:p>
    <w:p w14:paraId="61F627BF" w14:textId="1BE0845B" w:rsidR="00556FCC" w:rsidRPr="00D3667C" w:rsidRDefault="00556FCC" w:rsidP="00351F1A">
      <w:pPr>
        <w:pStyle w:val="KOMtext"/>
      </w:pPr>
      <w:r w:rsidRPr="00211142">
        <w:t xml:space="preserve">V roce 2019 byly proplaceny prostředky na platy a ostatní osobní výdaje včetně příslušenství ve výši </w:t>
      </w:r>
      <w:r w:rsidRPr="0043052A">
        <w:t xml:space="preserve">celkem </w:t>
      </w:r>
      <w:r w:rsidR="00351F1A">
        <w:t>8</w:t>
      </w:r>
      <w:r w:rsidRPr="0043052A">
        <w:t xml:space="preserve">6 142 tis. Kč, v tom EU podíl </w:t>
      </w:r>
      <w:r w:rsidR="002D5454">
        <w:t xml:space="preserve">73 221 tis. Kč a SR podíl </w:t>
      </w:r>
      <w:r w:rsidRPr="00D3667C">
        <w:t xml:space="preserve">ve výši </w:t>
      </w:r>
      <w:r w:rsidR="002D5454">
        <w:br/>
      </w:r>
      <w:r w:rsidRPr="00D3667C">
        <w:t>12 921  tis. Kč.</w:t>
      </w:r>
    </w:p>
    <w:p w14:paraId="3B5FAA4C" w14:textId="77777777" w:rsidR="00556FCC" w:rsidRPr="006D4B0B" w:rsidRDefault="00556FCC" w:rsidP="00EA39DC">
      <w:pPr>
        <w:pStyle w:val="Nadpis2"/>
        <w:spacing w:before="360"/>
      </w:pPr>
      <w:bookmarkStart w:id="1121" w:name="_Toc1376866"/>
      <w:bookmarkStart w:id="1122" w:name="_Toc34286492"/>
      <w:bookmarkStart w:id="1123" w:name="_Toc413413686"/>
      <w:bookmarkStart w:id="1124" w:name="_Toc508879936"/>
      <w:bookmarkStart w:id="1125" w:name="_Toc508880212"/>
      <w:bookmarkStart w:id="1126" w:name="_Toc535839778"/>
      <w:bookmarkEnd w:id="1120"/>
      <w:r w:rsidRPr="006D4B0B">
        <w:t>Operační program Zaměstnanost – programové období 2014 – 2020</w:t>
      </w:r>
      <w:bookmarkEnd w:id="1121"/>
      <w:bookmarkEnd w:id="1122"/>
    </w:p>
    <w:p w14:paraId="6014EC44" w14:textId="77777777" w:rsidR="00556FCC" w:rsidRPr="001524DB" w:rsidRDefault="00556FCC" w:rsidP="00DA1FD4">
      <w:pPr>
        <w:keepNext/>
        <w:keepLines/>
        <w:spacing w:before="120" w:after="120"/>
        <w:jc w:val="both"/>
        <w:rPr>
          <w:b/>
        </w:rPr>
      </w:pPr>
      <w:r w:rsidRPr="001524DB">
        <w:rPr>
          <w:b/>
        </w:rPr>
        <w:t>Skutečné čerpání za rok 2019:</w:t>
      </w:r>
      <w:r w:rsidRPr="001524DB">
        <w:rPr>
          <w:b/>
        </w:rPr>
        <w:tab/>
        <w:t xml:space="preserve">                     912 tis. Kč</w:t>
      </w:r>
    </w:p>
    <w:p w14:paraId="1DB8D18F" w14:textId="77777777" w:rsidR="00556FCC" w:rsidRPr="001524DB" w:rsidRDefault="00556FCC" w:rsidP="00DA1FD4">
      <w:pPr>
        <w:keepNext/>
        <w:keepLines/>
        <w:spacing w:before="120" w:after="120"/>
        <w:jc w:val="both"/>
        <w:rPr>
          <w:b/>
        </w:rPr>
      </w:pPr>
      <w:r w:rsidRPr="001524DB">
        <w:rPr>
          <w:b/>
        </w:rPr>
        <w:t>v tom: krytí příjmem z rozpočtu EU:</w:t>
      </w:r>
      <w:r w:rsidRPr="001524DB">
        <w:rPr>
          <w:b/>
        </w:rPr>
        <w:tab/>
        <w:t xml:space="preserve">         456 tis. Kč</w:t>
      </w:r>
    </w:p>
    <w:p w14:paraId="564C2128" w14:textId="77777777" w:rsidR="00556FCC" w:rsidRPr="001524DB" w:rsidRDefault="00556FCC" w:rsidP="00DA1FD4">
      <w:pPr>
        <w:keepLines/>
        <w:spacing w:before="120" w:after="120"/>
        <w:jc w:val="both"/>
        <w:rPr>
          <w:b/>
        </w:rPr>
      </w:pPr>
      <w:r w:rsidRPr="001524DB">
        <w:rPr>
          <w:b/>
        </w:rPr>
        <w:tab/>
        <w:t>spolufinancování ze SR:</w:t>
      </w:r>
      <w:r w:rsidRPr="001524DB">
        <w:rPr>
          <w:b/>
        </w:rPr>
        <w:tab/>
      </w:r>
      <w:r w:rsidRPr="001524DB">
        <w:rPr>
          <w:b/>
        </w:rPr>
        <w:tab/>
        <w:t xml:space="preserve">         456 tis. Kč</w:t>
      </w:r>
    </w:p>
    <w:p w14:paraId="41A0DCF0" w14:textId="206CEFFC" w:rsidR="00556FCC" w:rsidRPr="0087384A" w:rsidRDefault="00556FCC" w:rsidP="002D5454">
      <w:pPr>
        <w:pStyle w:val="KOMtext"/>
      </w:pPr>
      <w:r w:rsidRPr="0087384A">
        <w:t>Činnosti v rámci projektu OPZ registrační číslo CZ.03.1.51/0.0./0.0./15_028/0006289 Implementace Vládní strategie pro rovnost žen a mužů a související aktivity proběhly</w:t>
      </w:r>
      <w:r w:rsidR="00772F35">
        <w:t xml:space="preserve"> dle plánu.</w:t>
      </w:r>
      <w:r w:rsidRPr="0087384A">
        <w:t xml:space="preserve"> Byla vytvořena Rezortní koncepce podpory rovnosti žen a mužů Ministerstvo dopravy,</w:t>
      </w:r>
      <w:r>
        <w:t xml:space="preserve"> která byla</w:t>
      </w:r>
      <w:r w:rsidRPr="0087384A">
        <w:t xml:space="preserve"> upravena na základě každoročních Aktualizovaných opatření Priorit a postupů vlády při prosazování rovnosti žen a mužů, Akčního plánu pro rovnost žen a mužů na léta 2019 – 2020  a výsledků genderového auditu v MD. </w:t>
      </w:r>
    </w:p>
    <w:p w14:paraId="5348C21F" w14:textId="7FA30DAA" w:rsidR="00556FCC" w:rsidRPr="00424DDE" w:rsidRDefault="00556FCC" w:rsidP="002D5454">
      <w:pPr>
        <w:pStyle w:val="KOMtext"/>
      </w:pPr>
      <w:r w:rsidRPr="00424DDE">
        <w:lastRenderedPageBreak/>
        <w:t xml:space="preserve">V roce 2019 byly také hodnoceny Metodikou již platné strategické dokumenty Ministerstva dopravy. Z osmi analyzovaných dokumentů byly 2 zhodnoceny jako pozitivně dopadající na rovné příležitosti mužů a žen a 6 dokumentů bylo zhodnoceno jako neutrálně dopadající. V roce 2019 začala příprava materiálů nelegislativní povahy, jejichž schválení se předpokládá v roce 2020. Jedná se o </w:t>
      </w:r>
      <w:r w:rsidRPr="00424DDE">
        <w:rPr>
          <w:b/>
          <w:i/>
        </w:rPr>
        <w:t>Dopravní politiku na období 2021 – 2027 a Koncepci městské a aktivní mobility</w:t>
      </w:r>
      <w:r w:rsidRPr="00424DDE">
        <w:t>, v nichž bude zahrnuta problematika rovnosti žen a mužů. Při tvorbě těchto dokumentů jsou využívány výstupy projektu „Analýza naplňování horizontálních priorit v rámci OPD1, OPD2 a zhodnocení dopadu na rovné příležitosti žen a mužů ve strategických dokumentech rezortu MD“. V roce 2019 se klíčov</w:t>
      </w:r>
      <w:r w:rsidR="009B08ED">
        <w:t>í</w:t>
      </w:r>
      <w:r w:rsidRPr="00424DDE">
        <w:t xml:space="preserve"> garanti projektu OPZ věnovali analýze sexuálního obtěžování v MD. Analýza zohlednila metodickou příručku prevence sexuálního obtěžování, kterou vydal Úřad vlády ve spolupráci s veřejnou ochránkyní práv. Hlavním závěrem analýzy je vedle nutnosti implementovat závěry genderového auditu (byl v lednu 2019 úspěšně ukončen a Závěrečná zpráva byla zveřejněna na stránkách ESF) a důsledně naplňovat úkoly a cíle rezortní koncepce. </w:t>
      </w:r>
    </w:p>
    <w:p w14:paraId="294BFE6C" w14:textId="77777777" w:rsidR="00556FCC" w:rsidRPr="001B4A6D" w:rsidRDefault="00556FCC" w:rsidP="002D5454">
      <w:pPr>
        <w:pStyle w:val="KOMtext"/>
      </w:pPr>
      <w:r w:rsidRPr="001B4A6D">
        <w:t xml:space="preserve">V roce 2019 byly proplaceny pouze prostředky na ostatní běžné výdaje ve výši </w:t>
      </w:r>
      <w:r w:rsidRPr="001B4A6D">
        <w:br/>
      </w:r>
      <w:r w:rsidRPr="001B4A6D">
        <w:rPr>
          <w:b/>
        </w:rPr>
        <w:t>86 tis. Kč</w:t>
      </w:r>
      <w:r w:rsidRPr="001B4A6D">
        <w:t xml:space="preserve"> a na mzdové výdaje včetně příslušenství ve výši </w:t>
      </w:r>
      <w:r w:rsidRPr="001B4A6D">
        <w:rPr>
          <w:b/>
        </w:rPr>
        <w:t>826 tis. Kč</w:t>
      </w:r>
      <w:r w:rsidRPr="001B4A6D">
        <w:t xml:space="preserve"> (v tom EU podíl </w:t>
      </w:r>
      <w:r>
        <w:br/>
      </w:r>
      <w:r w:rsidRPr="001B4A6D">
        <w:t>456 tis. Kč a SR podíl 456 tis. Kč).</w:t>
      </w:r>
    </w:p>
    <w:p w14:paraId="636C42EF" w14:textId="77777777" w:rsidR="00556FCC" w:rsidRPr="00473503" w:rsidRDefault="00556FCC" w:rsidP="002D5454">
      <w:pPr>
        <w:pStyle w:val="KOMtext"/>
      </w:pPr>
      <w:r w:rsidRPr="00473503">
        <w:t xml:space="preserve">V roce 2019 byla </w:t>
      </w:r>
      <w:r w:rsidRPr="00473503">
        <w:rPr>
          <w:b/>
          <w:i/>
        </w:rPr>
        <w:t>refundována do příjmů</w:t>
      </w:r>
      <w:r w:rsidRPr="00473503">
        <w:t xml:space="preserve"> Ministerstva dopravy za projekt Operační program Zaměstnanost částka ve výši </w:t>
      </w:r>
      <w:r w:rsidRPr="00473503">
        <w:rPr>
          <w:b/>
        </w:rPr>
        <w:t xml:space="preserve">642 287,49 </w:t>
      </w:r>
      <w:r w:rsidRPr="00473503">
        <w:rPr>
          <w:b/>
          <w:i/>
        </w:rPr>
        <w:t>Kč</w:t>
      </w:r>
      <w:r w:rsidRPr="00473503">
        <w:t xml:space="preserve">. </w:t>
      </w:r>
    </w:p>
    <w:p w14:paraId="4B50B286" w14:textId="77777777" w:rsidR="00556FCC" w:rsidRPr="00DA7262" w:rsidRDefault="00556FCC" w:rsidP="00EA39DC">
      <w:pPr>
        <w:pStyle w:val="Nadpis2"/>
        <w:spacing w:before="360"/>
      </w:pPr>
      <w:bookmarkStart w:id="1127" w:name="_Toc1376867"/>
      <w:bookmarkStart w:id="1128" w:name="_Toc34286493"/>
      <w:r w:rsidRPr="00DA7262">
        <w:t>Komunitární programy – programové období 2014 – 2020</w:t>
      </w:r>
      <w:bookmarkEnd w:id="1123"/>
      <w:bookmarkEnd w:id="1124"/>
      <w:bookmarkEnd w:id="1125"/>
      <w:bookmarkEnd w:id="1126"/>
      <w:bookmarkEnd w:id="1127"/>
      <w:bookmarkEnd w:id="1128"/>
    </w:p>
    <w:p w14:paraId="71DDA780" w14:textId="77777777" w:rsidR="00556FCC" w:rsidRPr="00D60B6D" w:rsidRDefault="00556FCC" w:rsidP="00556FCC">
      <w:pPr>
        <w:spacing w:before="240" w:after="120"/>
        <w:jc w:val="both"/>
        <w:rPr>
          <w:b/>
          <w:u w:val="single"/>
        </w:rPr>
      </w:pPr>
      <w:r w:rsidRPr="00D60B6D">
        <w:rPr>
          <w:b/>
          <w:u w:val="single"/>
        </w:rPr>
        <w:t xml:space="preserve">NÁSTROJ PRO PROPOJENÍ EVROPY – CEF </w:t>
      </w:r>
    </w:p>
    <w:p w14:paraId="5F6FDE1F" w14:textId="77777777" w:rsidR="00556FCC" w:rsidRPr="00DA1FD4" w:rsidRDefault="00556FCC" w:rsidP="00DA1FD4">
      <w:pPr>
        <w:keepNext/>
        <w:keepLines/>
        <w:spacing w:before="120" w:after="120"/>
        <w:jc w:val="both"/>
        <w:rPr>
          <w:b/>
        </w:rPr>
      </w:pPr>
      <w:r w:rsidRPr="00D60B6D">
        <w:rPr>
          <w:b/>
        </w:rPr>
        <w:t>Skutečné čerpání za rok 2019:</w:t>
      </w:r>
      <w:r w:rsidRPr="00D60B6D">
        <w:rPr>
          <w:b/>
        </w:rPr>
        <w:tab/>
        <w:t xml:space="preserve">                  3 180 072 tis. Kč</w:t>
      </w:r>
    </w:p>
    <w:p w14:paraId="61A93895" w14:textId="77777777" w:rsidR="00556FCC" w:rsidRPr="00DA1FD4" w:rsidRDefault="00556FCC" w:rsidP="00DA1FD4">
      <w:pPr>
        <w:keepNext/>
        <w:keepLines/>
        <w:spacing w:before="120" w:after="120"/>
        <w:jc w:val="both"/>
        <w:rPr>
          <w:b/>
        </w:rPr>
      </w:pPr>
      <w:r w:rsidRPr="00D60B6D">
        <w:rPr>
          <w:b/>
        </w:rPr>
        <w:t>v tom: krytí příjmem z rozpočtu EU:</w:t>
      </w:r>
      <w:r w:rsidRPr="00D60B6D">
        <w:rPr>
          <w:b/>
        </w:rPr>
        <w:tab/>
        <w:t xml:space="preserve">      3 178 401 tis. Kč</w:t>
      </w:r>
    </w:p>
    <w:p w14:paraId="33EC867E" w14:textId="77777777" w:rsidR="00556FCC" w:rsidRPr="00D60B6D" w:rsidRDefault="00556FCC" w:rsidP="00DA1FD4">
      <w:pPr>
        <w:keepLines/>
        <w:spacing w:before="120" w:after="120"/>
        <w:jc w:val="both"/>
        <w:rPr>
          <w:b/>
        </w:rPr>
      </w:pPr>
      <w:r w:rsidRPr="00D60B6D">
        <w:rPr>
          <w:b/>
        </w:rPr>
        <w:tab/>
        <w:t>spolufina</w:t>
      </w:r>
      <w:r w:rsidR="00DA1FD4">
        <w:rPr>
          <w:b/>
        </w:rPr>
        <w:t>ncování ze SR:</w:t>
      </w:r>
      <w:r w:rsidR="00DA1FD4">
        <w:rPr>
          <w:b/>
        </w:rPr>
        <w:tab/>
      </w:r>
      <w:r w:rsidR="00DA1FD4">
        <w:rPr>
          <w:b/>
        </w:rPr>
        <w:tab/>
        <w:t xml:space="preserve">             </w:t>
      </w:r>
      <w:r w:rsidRPr="00D60B6D">
        <w:rPr>
          <w:b/>
        </w:rPr>
        <w:t>1 671 tis. Kč</w:t>
      </w:r>
    </w:p>
    <w:p w14:paraId="13F06BDD" w14:textId="77777777" w:rsidR="00556FCC" w:rsidRPr="009A19CA" w:rsidRDefault="00556FCC" w:rsidP="002D5454">
      <w:pPr>
        <w:pStyle w:val="KOMtext"/>
      </w:pPr>
      <w:r w:rsidRPr="009A19CA">
        <w:t>Jedná se o integrovaný nástroj k financování prioritních transevropských infrastrukturních sítí. Cílem tohoto nástroje je podpořit vybudování infrastruktury, která zlepší fungování vnitřního trhu EU. Podpora EU je zaměřena na prioritní</w:t>
      </w:r>
      <w:r w:rsidR="00A06E49">
        <w:t xml:space="preserve"> energetické, dopravní </w:t>
      </w:r>
      <w:r w:rsidRPr="009A19CA">
        <w:t>a telekomunikační sítě, které by měly být dokončeny do roku 2020. V současnosti již probíhá příprava CEF2 pro období 2021+. </w:t>
      </w:r>
    </w:p>
    <w:p w14:paraId="0966B9D5" w14:textId="77777777" w:rsidR="00556FCC" w:rsidRPr="00395750" w:rsidRDefault="00556FCC" w:rsidP="002D5454">
      <w:pPr>
        <w:keepNext/>
        <w:spacing w:before="240" w:after="120"/>
        <w:ind w:left="284" w:firstLine="425"/>
        <w:jc w:val="both"/>
        <w:rPr>
          <w:b/>
        </w:rPr>
      </w:pPr>
      <w:r w:rsidRPr="00395750">
        <w:rPr>
          <w:b/>
        </w:rPr>
        <w:t>a) NÁSTROJ PRO PROPOJENÍ EVROPY – CEF (kohezní)</w:t>
      </w:r>
    </w:p>
    <w:p w14:paraId="44F3CADD" w14:textId="77777777" w:rsidR="00556FCC" w:rsidRPr="00DA1FD4" w:rsidRDefault="00556FCC" w:rsidP="00DA1FD4">
      <w:pPr>
        <w:keepNext/>
        <w:keepLines/>
        <w:spacing w:before="120" w:after="120"/>
        <w:jc w:val="both"/>
        <w:rPr>
          <w:b/>
        </w:rPr>
      </w:pPr>
      <w:r w:rsidRPr="00F91869">
        <w:rPr>
          <w:b/>
        </w:rPr>
        <w:t>Skutečné čerpání za rok 2019:</w:t>
      </w:r>
      <w:r w:rsidRPr="00F91869">
        <w:rPr>
          <w:b/>
        </w:rPr>
        <w:tab/>
        <w:t xml:space="preserve">                  3 115 011 tis. Kč</w:t>
      </w:r>
    </w:p>
    <w:p w14:paraId="57BA59C0" w14:textId="77777777" w:rsidR="00556FCC" w:rsidRPr="00DA1FD4" w:rsidRDefault="00556FCC" w:rsidP="00DA1FD4">
      <w:pPr>
        <w:keepNext/>
        <w:keepLines/>
        <w:spacing w:before="120" w:after="120"/>
        <w:jc w:val="both"/>
        <w:rPr>
          <w:b/>
        </w:rPr>
      </w:pPr>
      <w:r w:rsidRPr="00F91869">
        <w:rPr>
          <w:b/>
        </w:rPr>
        <w:t>v tom: krytí příjmem z rozpočtu EU:</w:t>
      </w:r>
      <w:r w:rsidRPr="00F91869">
        <w:rPr>
          <w:b/>
        </w:rPr>
        <w:tab/>
        <w:t xml:space="preserve">      3 115 011 tis. Kč</w:t>
      </w:r>
    </w:p>
    <w:p w14:paraId="2311EFF2" w14:textId="77777777" w:rsidR="00556FCC" w:rsidRPr="00F91869" w:rsidRDefault="00556FCC" w:rsidP="00DA1FD4">
      <w:pPr>
        <w:keepLines/>
        <w:spacing w:before="120" w:after="120"/>
        <w:jc w:val="both"/>
        <w:rPr>
          <w:b/>
        </w:rPr>
      </w:pPr>
      <w:r w:rsidRPr="00F91869">
        <w:rPr>
          <w:b/>
        </w:rPr>
        <w:tab/>
        <w:t>spolufinancování ze SR:</w:t>
      </w:r>
      <w:r w:rsidRPr="00F91869">
        <w:rPr>
          <w:b/>
        </w:rPr>
        <w:tab/>
      </w:r>
      <w:r w:rsidRPr="00F91869">
        <w:rPr>
          <w:b/>
        </w:rPr>
        <w:tab/>
        <w:t xml:space="preserve">                    0 tis. Kč</w:t>
      </w:r>
    </w:p>
    <w:p w14:paraId="022EDE8D" w14:textId="77777777" w:rsidR="00556FCC" w:rsidRPr="00395750" w:rsidRDefault="00556FCC" w:rsidP="002D5454">
      <w:pPr>
        <w:pStyle w:val="KOMtext"/>
      </w:pPr>
      <w:r w:rsidRPr="00395750">
        <w:t>Součástí Nástroje pro propojení Evropy (dále jen CEF) jsou i prostředky z Kohezního fondu Politiky soudržnosti, které jsou určeny na budování transevropské páteřní dopravní infrastruktury v tzv. kohezních státech (státech, které mohou čerpat z fondu soudržnosti).</w:t>
      </w:r>
    </w:p>
    <w:p w14:paraId="5B1C6D36" w14:textId="77777777" w:rsidR="00556FCC" w:rsidRPr="00395750" w:rsidRDefault="00556FCC" w:rsidP="002D5454">
      <w:pPr>
        <w:pStyle w:val="KOMtext"/>
      </w:pPr>
      <w:r w:rsidRPr="00395750">
        <w:lastRenderedPageBreak/>
        <w:t xml:space="preserve">Prostředky v kohezní části CEF byly rozděleny do tzv. národních obálek, kde byly k dispozici členským státům do roku 2016. V roce 2019 byla vyhlášena výzva na prostředky uvolněné </w:t>
      </w:r>
      <w:r w:rsidR="00334A2D">
        <w:br/>
      </w:r>
      <w:r w:rsidRPr="00395750">
        <w:t>z projektů v kohezní části. Lhůta pro předkládání žádostí končí 26. února 2020. Na další uvolněné prostředky bude ještě zaměřena poslední výzva, která bude vyhlášena v tomto roce.</w:t>
      </w:r>
    </w:p>
    <w:p w14:paraId="6C968DFA" w14:textId="77777777" w:rsidR="00556FCC" w:rsidRDefault="00556FCC" w:rsidP="002D5454">
      <w:pPr>
        <w:pStyle w:val="KOMtext"/>
        <w:rPr>
          <w:color w:val="FF0000"/>
        </w:rPr>
      </w:pPr>
      <w:r w:rsidRPr="00395750">
        <w:t>V kohezním CEF se realizuje celkem 48 projektů, z toho prostřednictvím státního rozpočtu 28 projektů. V roce 2019 byly opět na tzv. kohezní CEF projekty poskytnuty Evropskou komisí zálohy a průběžné platby k projektům vybraným v předešlých výzvách.</w:t>
      </w:r>
      <w:r w:rsidRPr="00395750">
        <w:rPr>
          <w:color w:val="FF0000"/>
        </w:rPr>
        <w:t xml:space="preserve"> </w:t>
      </w:r>
    </w:p>
    <w:p w14:paraId="66D1AD19" w14:textId="77777777" w:rsidR="00556FCC" w:rsidRPr="00D37848" w:rsidRDefault="00556FCC" w:rsidP="002D5454">
      <w:pPr>
        <w:pStyle w:val="KOMtext"/>
      </w:pPr>
      <w:r w:rsidRPr="00D37848">
        <w:t xml:space="preserve">Prostředky ve výši </w:t>
      </w:r>
      <w:r w:rsidRPr="00D37848">
        <w:rPr>
          <w:b/>
          <w:i/>
        </w:rPr>
        <w:t>2 260 049 078,26 Kč byly refundovány do příjmů MD</w:t>
      </w:r>
      <w:r w:rsidRPr="00D37848">
        <w:t xml:space="preserve">. </w:t>
      </w:r>
    </w:p>
    <w:p w14:paraId="14EA8CE6" w14:textId="77777777" w:rsidR="00556FCC" w:rsidRPr="001F644F" w:rsidRDefault="00556FCC" w:rsidP="002D5454">
      <w:pPr>
        <w:pStyle w:val="KOMtext"/>
      </w:pPr>
      <w:r w:rsidRPr="001F644F">
        <w:t xml:space="preserve">Příjemce průběžně žádá o průběžné platby Výkonnou agenturu pro sítě a inovace (INEA) pověřenou administrací programu CEF. Realizace řady schválených projektů byla zahájena již v roce 2017, další následují tak, aby se stihly termíny dle schválených projektových žádostí. </w:t>
      </w:r>
    </w:p>
    <w:p w14:paraId="052C0DDA" w14:textId="77777777" w:rsidR="00556FCC" w:rsidRPr="002E38E7" w:rsidRDefault="00556FCC" w:rsidP="002D5454">
      <w:pPr>
        <w:pStyle w:val="KOMtext"/>
      </w:pPr>
      <w:r w:rsidRPr="002E38E7">
        <w:t xml:space="preserve">Finanční prostředky byly poskytnuty příjemcům prostřednictvím Státního fondu dopravní infrastruktury ve výši </w:t>
      </w:r>
      <w:r w:rsidRPr="002E38E7">
        <w:rPr>
          <w:b/>
        </w:rPr>
        <w:t>3 115 011 tis. Kč</w:t>
      </w:r>
      <w:r w:rsidRPr="002E38E7">
        <w:t xml:space="preserve">, </w:t>
      </w:r>
      <w:r w:rsidRPr="002E38E7">
        <w:rPr>
          <w:b/>
          <w:i/>
        </w:rPr>
        <w:t>z toho 95 052 tis. Kč z rezervního fondu.</w:t>
      </w:r>
    </w:p>
    <w:p w14:paraId="061C23D0" w14:textId="77777777" w:rsidR="00556FCC" w:rsidRPr="00485E9C" w:rsidRDefault="00556FCC" w:rsidP="00DA1FD4">
      <w:pPr>
        <w:keepNext/>
        <w:spacing w:before="240" w:after="120"/>
        <w:ind w:left="714"/>
        <w:jc w:val="both"/>
        <w:rPr>
          <w:b/>
        </w:rPr>
      </w:pPr>
      <w:r w:rsidRPr="00485E9C">
        <w:rPr>
          <w:b/>
        </w:rPr>
        <w:t>b) NÁSTROJ PRO PROPOJENÍ EVROPY (Technická pomoc) – CEF TP</w:t>
      </w:r>
    </w:p>
    <w:p w14:paraId="00969E36" w14:textId="77777777" w:rsidR="00556FCC" w:rsidRPr="00383FB7" w:rsidRDefault="00556FCC" w:rsidP="00DA1FD4">
      <w:pPr>
        <w:keepNext/>
        <w:keepLines/>
        <w:spacing w:before="120" w:after="120"/>
        <w:jc w:val="both"/>
        <w:rPr>
          <w:vertAlign w:val="superscript"/>
        </w:rPr>
      </w:pPr>
      <w:r w:rsidRPr="00485E9C">
        <w:rPr>
          <w:b/>
        </w:rPr>
        <w:t>Skutečné čerpání za rok 2019:</w:t>
      </w:r>
      <w:r w:rsidRPr="004B11AC">
        <w:rPr>
          <w:b/>
          <w:color w:val="FF0000"/>
        </w:rPr>
        <w:tab/>
      </w:r>
      <w:r w:rsidRPr="00383FB7">
        <w:rPr>
          <w:b/>
        </w:rPr>
        <w:t xml:space="preserve">                         4 </w:t>
      </w:r>
      <w:r>
        <w:rPr>
          <w:b/>
        </w:rPr>
        <w:t>044</w:t>
      </w:r>
      <w:r w:rsidRPr="00383FB7">
        <w:rPr>
          <w:b/>
        </w:rPr>
        <w:t xml:space="preserve"> tis. Kč</w:t>
      </w:r>
    </w:p>
    <w:p w14:paraId="2D402136" w14:textId="77777777" w:rsidR="00556FCC" w:rsidRPr="005355D8" w:rsidRDefault="00556FCC" w:rsidP="00DA1FD4">
      <w:pPr>
        <w:keepNext/>
        <w:keepLines/>
        <w:spacing w:before="120" w:after="120"/>
        <w:jc w:val="both"/>
        <w:rPr>
          <w:vertAlign w:val="superscript"/>
        </w:rPr>
      </w:pPr>
      <w:r w:rsidRPr="005355D8">
        <w:rPr>
          <w:b/>
        </w:rPr>
        <w:t>v tom: krytí příjmem z rozpočtu EU:</w:t>
      </w:r>
      <w:r w:rsidRPr="005355D8">
        <w:rPr>
          <w:b/>
        </w:rPr>
        <w:tab/>
        <w:t xml:space="preserve">              </w:t>
      </w:r>
      <w:r>
        <w:rPr>
          <w:b/>
        </w:rPr>
        <w:t>3 769</w:t>
      </w:r>
      <w:r w:rsidRPr="005355D8">
        <w:rPr>
          <w:b/>
        </w:rPr>
        <w:t xml:space="preserve"> tis. Kč</w:t>
      </w:r>
    </w:p>
    <w:p w14:paraId="1046D2D0" w14:textId="77777777" w:rsidR="00556FCC" w:rsidRPr="005355D8" w:rsidRDefault="00556FCC" w:rsidP="00DA1FD4">
      <w:pPr>
        <w:keepNext/>
        <w:keepLines/>
        <w:spacing w:after="120"/>
        <w:jc w:val="both"/>
        <w:rPr>
          <w:b/>
        </w:rPr>
      </w:pPr>
      <w:r w:rsidRPr="005355D8">
        <w:rPr>
          <w:b/>
        </w:rPr>
        <w:tab/>
        <w:t>spolufinancov</w:t>
      </w:r>
      <w:r>
        <w:rPr>
          <w:b/>
        </w:rPr>
        <w:t>ání ze SR:</w:t>
      </w:r>
      <w:r>
        <w:rPr>
          <w:b/>
        </w:rPr>
        <w:tab/>
      </w:r>
      <w:r>
        <w:rPr>
          <w:b/>
        </w:rPr>
        <w:tab/>
        <w:t xml:space="preserve">                </w:t>
      </w:r>
      <w:r w:rsidRPr="005355D8">
        <w:rPr>
          <w:b/>
        </w:rPr>
        <w:t xml:space="preserve"> </w:t>
      </w:r>
      <w:r>
        <w:rPr>
          <w:b/>
        </w:rPr>
        <w:t>275</w:t>
      </w:r>
      <w:r w:rsidRPr="005355D8">
        <w:rPr>
          <w:b/>
        </w:rPr>
        <w:t xml:space="preserve"> tis. Kč</w:t>
      </w:r>
    </w:p>
    <w:p w14:paraId="08122B67" w14:textId="77777777" w:rsidR="00556FCC" w:rsidRPr="005355D8" w:rsidRDefault="00556FCC" w:rsidP="002D5454">
      <w:pPr>
        <w:pStyle w:val="KOMtext"/>
      </w:pPr>
      <w:r w:rsidRPr="005355D8">
        <w:t xml:space="preserve">MD získalo podporu z CEF rovněž v oblasti tzv. technické pomoci. </w:t>
      </w:r>
    </w:p>
    <w:p w14:paraId="3C17C23B" w14:textId="77777777" w:rsidR="00556FCC" w:rsidRPr="005355D8" w:rsidRDefault="00556FCC" w:rsidP="002D5454">
      <w:pPr>
        <w:pStyle w:val="KOMtext"/>
      </w:pPr>
      <w:r w:rsidRPr="005355D8">
        <w:t xml:space="preserve">Jedná se o projekty: </w:t>
      </w:r>
    </w:p>
    <w:p w14:paraId="76832F47" w14:textId="77777777" w:rsidR="00556FCC" w:rsidRPr="0051485D" w:rsidRDefault="00556FCC" w:rsidP="00DA1FD4">
      <w:pPr>
        <w:keepNext/>
        <w:spacing w:before="240"/>
        <w:rPr>
          <w:i/>
          <w:iCs/>
          <w:u w:val="single"/>
          <w:lang w:eastAsia="en-US"/>
        </w:rPr>
      </w:pPr>
      <w:r w:rsidRPr="0051485D">
        <w:rPr>
          <w:i/>
          <w:iCs/>
          <w:u w:val="single"/>
          <w:lang w:eastAsia="en-US"/>
        </w:rPr>
        <w:t>Projekt č. MOVE/B4/SUB/2014-</w:t>
      </w:r>
      <w:r w:rsidRPr="00DA1FD4">
        <w:rPr>
          <w:i/>
          <w:iCs/>
          <w:u w:val="single"/>
          <w:lang w:eastAsia="en-US"/>
        </w:rPr>
        <w:t>706/C</w:t>
      </w:r>
      <w:r w:rsidRPr="0051485D">
        <w:rPr>
          <w:i/>
          <w:iCs/>
          <w:u w:val="single"/>
          <w:lang w:eastAsia="en-US"/>
        </w:rPr>
        <w:t>EF/PSA3/5/SI2.714477 (Ministerstvo dopravy, Ředitelství vodních cest ČR, Státní fond dopravní infrastruktury)</w:t>
      </w:r>
    </w:p>
    <w:p w14:paraId="21B9B739" w14:textId="77777777" w:rsidR="00556FCC" w:rsidRPr="0051485D" w:rsidRDefault="00556FCC" w:rsidP="002D5454">
      <w:pPr>
        <w:pStyle w:val="KOMtext"/>
      </w:pPr>
      <w:r w:rsidRPr="0051485D">
        <w:t>Cílem projektu „Podpora administrativní kap</w:t>
      </w:r>
      <w:r w:rsidR="002D5454">
        <w:t xml:space="preserve">acity ČR zajišťující přípravu </w:t>
      </w:r>
      <w:r w:rsidRPr="0051485D">
        <w:t>a implementaci projektů nástroje CEF prostřednictvím rozvoje sítě TEN-T“ je zkvalitnění stávající institucionální a administrativní kapacity jednotlivých subjektů zapojených do realizace projektů TEN-T prostřednictvím odborného v</w:t>
      </w:r>
      <w:r w:rsidR="002D5454">
        <w:t xml:space="preserve">zdělávání, výměny zkušeností </w:t>
      </w:r>
      <w:r w:rsidRPr="0051485D">
        <w:t xml:space="preserve">a metodické podpory. Dále pak podpora zapojených institucí prostřednictvím navýšení počtu administrativních kapacit a zajištění jejich osobního odměňování, podpora zapojených institucí prostřednictvím využití podpory implementace prostřednictvím kapacity externích expertních dodavatelů služeb, zejména pro specifické oblasti poradenství v oblasti legislativy a metodiky souvisejících s přípravou projektových žádostí CEF. Projekt taktéž zahrnuje náklady spojené </w:t>
      </w:r>
      <w:r w:rsidRPr="0051485D">
        <w:br/>
        <w:t>s jednáními, konferencemi a semináři k CEF v ČR a v zahraničí.</w:t>
      </w:r>
    </w:p>
    <w:p w14:paraId="6CB6C611" w14:textId="77777777" w:rsidR="00556FCC" w:rsidRPr="005355D8" w:rsidRDefault="00556FCC" w:rsidP="002D5454">
      <w:pPr>
        <w:pStyle w:val="KOMtext"/>
      </w:pPr>
      <w:r w:rsidRPr="0051485D">
        <w:t xml:space="preserve">Ministerstvo dopravy </w:t>
      </w:r>
      <w:r w:rsidRPr="005355D8">
        <w:t xml:space="preserve">čerpalo </w:t>
      </w:r>
      <w:r>
        <w:rPr>
          <w:b/>
          <w:i/>
        </w:rPr>
        <w:t>911</w:t>
      </w:r>
      <w:r w:rsidRPr="005355D8">
        <w:rPr>
          <w:b/>
          <w:i/>
        </w:rPr>
        <w:t xml:space="preserve"> tis. Kč</w:t>
      </w:r>
      <w:r w:rsidRPr="005355D8">
        <w:t xml:space="preserve"> a Státní fond dopravní infrastruktury čerpal </w:t>
      </w:r>
      <w:r w:rsidR="00A06E49">
        <w:br/>
      </w:r>
      <w:r w:rsidRPr="005355D8">
        <w:rPr>
          <w:b/>
          <w:i/>
        </w:rPr>
        <w:t>815 tis. Kč</w:t>
      </w:r>
      <w:r w:rsidRPr="005355D8">
        <w:t xml:space="preserve">. </w:t>
      </w:r>
    </w:p>
    <w:p w14:paraId="3AD97B81" w14:textId="77777777" w:rsidR="00556FCC" w:rsidRPr="009C3C54" w:rsidRDefault="00556FCC" w:rsidP="002D5454">
      <w:pPr>
        <w:pStyle w:val="KOMtext"/>
      </w:pPr>
      <w:r w:rsidRPr="009C3C54">
        <w:t xml:space="preserve">Ministerstvo dopravy čerpalo finanční prostředky na mzdové výdaje a ostatní osobní výdaje včetně příslušenství ve výši 837 tis. Kč a 74 tis. Kč na cestovné. </w:t>
      </w:r>
    </w:p>
    <w:p w14:paraId="4463CB1F" w14:textId="77777777" w:rsidR="00556FCC" w:rsidRPr="009C3C54" w:rsidRDefault="00556FCC" w:rsidP="002D5454">
      <w:pPr>
        <w:pStyle w:val="KOMtext"/>
      </w:pPr>
      <w:r w:rsidRPr="0051485D">
        <w:t>Státní fond dopravní infrastruktury využil v roce 201</w:t>
      </w:r>
      <w:r w:rsidR="00CF0A45">
        <w:t xml:space="preserve">9 finanční prostředky projektu </w:t>
      </w:r>
      <w:r w:rsidRPr="0051485D">
        <w:t xml:space="preserve">na cestovné ve výši </w:t>
      </w:r>
      <w:r w:rsidRPr="009C3C54">
        <w:t xml:space="preserve">815 tis. Kč </w:t>
      </w:r>
      <w:r w:rsidRPr="0051485D">
        <w:t>k zajištění zahraničních cest zamě</w:t>
      </w:r>
      <w:r w:rsidR="00CF0A45">
        <w:t xml:space="preserve">řených na výměnu best practices </w:t>
      </w:r>
      <w:r w:rsidRPr="0051485D">
        <w:t>s o</w:t>
      </w:r>
      <w:r>
        <w:t xml:space="preserve">dborníky </w:t>
      </w:r>
      <w:r w:rsidRPr="009C3C54">
        <w:t xml:space="preserve">ve </w:t>
      </w:r>
      <w:r>
        <w:t>Švédsku, Rakousku a Španělsku</w:t>
      </w:r>
      <w:r w:rsidRPr="009C3C54">
        <w:t>.</w:t>
      </w:r>
    </w:p>
    <w:p w14:paraId="43743423" w14:textId="77777777" w:rsidR="00556FCC" w:rsidRDefault="00556FCC" w:rsidP="002D5454">
      <w:pPr>
        <w:pStyle w:val="KOMtext"/>
      </w:pPr>
      <w:r w:rsidRPr="0051485D">
        <w:lastRenderedPageBreak/>
        <w:t xml:space="preserve">Cílem uskutečněných expertních cest bylo získání „best practices“ a dalších zkušeností </w:t>
      </w:r>
      <w:r w:rsidRPr="0051485D">
        <w:br/>
        <w:t>v oblastech týkajících se zejména plánování projektů, přípravy projektů (mimo jiné získání zkušeností s aplikací BIM), veřejných zakázek, řízení kvality při realizaci projektů.</w:t>
      </w:r>
    </w:p>
    <w:p w14:paraId="5C00EE51" w14:textId="77777777" w:rsidR="00556FCC" w:rsidRPr="00332DE8" w:rsidRDefault="00556FCC" w:rsidP="002D5454">
      <w:pPr>
        <w:spacing w:before="120"/>
        <w:jc w:val="both"/>
        <w:rPr>
          <w:b/>
          <w:i/>
        </w:rPr>
      </w:pPr>
      <w:r w:rsidRPr="00332DE8">
        <w:rPr>
          <w:b/>
          <w:i/>
        </w:rPr>
        <w:t>Projekt byl k 20.12.2019 ukončen.</w:t>
      </w:r>
      <w:r>
        <w:rPr>
          <w:b/>
          <w:i/>
        </w:rPr>
        <w:t xml:space="preserve"> Do příjmů MD již nebylo nic refundováno.</w:t>
      </w:r>
    </w:p>
    <w:p w14:paraId="2AC37DD5" w14:textId="77777777" w:rsidR="00556FCC" w:rsidRPr="00DA1FD4" w:rsidRDefault="00556FCC" w:rsidP="00DA1FD4">
      <w:pPr>
        <w:keepNext/>
        <w:spacing w:before="240"/>
        <w:rPr>
          <w:i/>
          <w:iCs/>
          <w:u w:val="single"/>
          <w:lang w:eastAsia="en-US"/>
        </w:rPr>
      </w:pPr>
      <w:r w:rsidRPr="006C072B">
        <w:rPr>
          <w:i/>
          <w:iCs/>
          <w:u w:val="single"/>
          <w:lang w:eastAsia="en-US"/>
        </w:rPr>
        <w:t>Projekt č.</w:t>
      </w:r>
      <w:r w:rsidRPr="00DA1FD4">
        <w:rPr>
          <w:i/>
          <w:iCs/>
          <w:u w:val="single"/>
          <w:lang w:eastAsia="en-US"/>
        </w:rPr>
        <w:t xml:space="preserve"> </w:t>
      </w:r>
      <w:r w:rsidRPr="006C072B">
        <w:rPr>
          <w:i/>
          <w:iCs/>
          <w:u w:val="single"/>
          <w:lang w:eastAsia="en-US"/>
        </w:rPr>
        <w:t>No.MOVE/B2/SUB/2018-</w:t>
      </w:r>
      <w:r w:rsidRPr="00DA1FD4">
        <w:rPr>
          <w:i/>
          <w:iCs/>
          <w:u w:val="single"/>
          <w:lang w:eastAsia="en-US"/>
        </w:rPr>
        <w:t>154/C</w:t>
      </w:r>
      <w:r w:rsidRPr="006C072B">
        <w:rPr>
          <w:i/>
          <w:iCs/>
          <w:u w:val="single"/>
          <w:lang w:eastAsia="en-US"/>
        </w:rPr>
        <w:t>EF/PSA/SI2.789857</w:t>
      </w:r>
      <w:r w:rsidRPr="00DA1FD4">
        <w:rPr>
          <w:i/>
          <w:iCs/>
          <w:u w:val="single"/>
          <w:lang w:eastAsia="en-US"/>
        </w:rPr>
        <w:t xml:space="preserve"> (Ministerstvo dopravy)</w:t>
      </w:r>
    </w:p>
    <w:p w14:paraId="28BF1724" w14:textId="77777777" w:rsidR="00556FCC" w:rsidRPr="006C072B" w:rsidRDefault="00556FCC" w:rsidP="002D5454">
      <w:pPr>
        <w:pStyle w:val="KOMtext"/>
      </w:pPr>
      <w:r w:rsidRPr="006C072B">
        <w:t>Nový projekt</w:t>
      </w:r>
      <w:r>
        <w:t xml:space="preserve"> navazuje na předešlý projekt 706-C a</w:t>
      </w:r>
      <w:r w:rsidRPr="006C072B">
        <w:t xml:space="preserve"> je zaměřen na technickou pomoc při přípravě a implementaci projektů CEF. </w:t>
      </w:r>
      <w:r>
        <w:t xml:space="preserve">Grantová dohoda byla uzavřena na období </w:t>
      </w:r>
      <w:r>
        <w:br/>
        <w:t xml:space="preserve">od 21.12.2019 do 20.12.2021. </w:t>
      </w:r>
    </w:p>
    <w:p w14:paraId="45E793D9" w14:textId="77777777" w:rsidR="00556FCC" w:rsidRPr="009045E4" w:rsidRDefault="00556FCC" w:rsidP="00DA1FD4">
      <w:pPr>
        <w:pStyle w:val="KOMtext"/>
        <w:rPr>
          <w:rFonts w:ascii="Calibri" w:hAnsi="Calibri" w:cs="Calibri"/>
          <w:sz w:val="22"/>
          <w:szCs w:val="22"/>
          <w:lang w:eastAsia="en-US"/>
        </w:rPr>
      </w:pPr>
      <w:r w:rsidRPr="009045E4">
        <w:t>V roce 2019 byla</w:t>
      </w:r>
      <w:r>
        <w:t xml:space="preserve"> pouze</w:t>
      </w:r>
      <w:r w:rsidRPr="009045E4">
        <w:t xml:space="preserve"> zaslána Evropskou komisí první </w:t>
      </w:r>
      <w:r>
        <w:t xml:space="preserve">zálohová </w:t>
      </w:r>
      <w:r w:rsidRPr="009045E4">
        <w:t xml:space="preserve">platba ve výši </w:t>
      </w:r>
      <w:r w:rsidR="00A06E49">
        <w:br/>
      </w:r>
      <w:r w:rsidRPr="009045E4">
        <w:rPr>
          <w:b/>
          <w:i/>
        </w:rPr>
        <w:t>3 526 378,16 Kč</w:t>
      </w:r>
      <w:r w:rsidRPr="009045E4">
        <w:t xml:space="preserve">, která </w:t>
      </w:r>
      <w:r w:rsidRPr="009045E4">
        <w:rPr>
          <w:b/>
          <w:i/>
        </w:rPr>
        <w:t>byla refundována do příjmů Ministerstva dopravy</w:t>
      </w:r>
      <w:r w:rsidRPr="009045E4">
        <w:t>.</w:t>
      </w:r>
    </w:p>
    <w:p w14:paraId="601FC884" w14:textId="77777777" w:rsidR="00556FCC" w:rsidRPr="00DA1FD4" w:rsidRDefault="00556FCC" w:rsidP="00DA1FD4">
      <w:pPr>
        <w:pStyle w:val="MDSR"/>
        <w:keepNext/>
        <w:ind w:firstLine="0"/>
        <w:rPr>
          <w:i/>
          <w:szCs w:val="24"/>
          <w:u w:val="single"/>
        </w:rPr>
      </w:pPr>
      <w:r w:rsidRPr="00DA1FD4">
        <w:rPr>
          <w:i/>
          <w:szCs w:val="24"/>
          <w:u w:val="single"/>
        </w:rPr>
        <w:t xml:space="preserve">Projekt č. INEA/CEF/TRAN/M2016/PSA05 (Ministerstvo dopravy) </w:t>
      </w:r>
    </w:p>
    <w:p w14:paraId="3E5C643E" w14:textId="77777777" w:rsidR="00556FCC" w:rsidRPr="005508D3" w:rsidRDefault="00556FCC" w:rsidP="00DA1FD4">
      <w:pPr>
        <w:pStyle w:val="KOMtext"/>
      </w:pPr>
      <w:r w:rsidRPr="005508D3">
        <w:t>CEF TP je zaměřen na aktivity spojené s administrativní podporou České republiky s implementaci nařízení TEN –T. Projekt je na období 2018-2020.</w:t>
      </w:r>
    </w:p>
    <w:p w14:paraId="797E74C3" w14:textId="77777777" w:rsidR="00556FCC" w:rsidRPr="004531C7" w:rsidRDefault="00556FCC" w:rsidP="00DA1FD4">
      <w:pPr>
        <w:pStyle w:val="KOMtext"/>
        <w:rPr>
          <w:szCs w:val="24"/>
        </w:rPr>
      </w:pPr>
      <w:r w:rsidRPr="005508D3">
        <w:t xml:space="preserve">Ministerstvo dopravy čerpalo </w:t>
      </w:r>
      <w:r w:rsidRPr="005508D3">
        <w:rPr>
          <w:b/>
          <w:i/>
        </w:rPr>
        <w:t>1 681 tis. Kč</w:t>
      </w:r>
      <w:r w:rsidRPr="005508D3">
        <w:t xml:space="preserve">, na mzdové výdaje včetně příslušenství </w:t>
      </w:r>
      <w:r>
        <w:br/>
      </w:r>
      <w:r w:rsidRPr="005508D3">
        <w:t xml:space="preserve">1 046 tis. Kč a 635 tis. Kč na cestovné, pohoštění a materiál. </w:t>
      </w:r>
      <w:r w:rsidRPr="004531C7">
        <w:t xml:space="preserve">Cestové bylo na zajištění účasti </w:t>
      </w:r>
      <w:r w:rsidRPr="004531C7">
        <w:br/>
        <w:t xml:space="preserve">na mezinárodních jednání související s politikou TEN – T a CEF. Zároveň byly uspořádány mezinárodní jednání a konference, které přispěli k šíření poznatků z oblasti implementace nařízení </w:t>
      </w:r>
      <w:r w:rsidRPr="004531C7">
        <w:rPr>
          <w:szCs w:val="24"/>
        </w:rPr>
        <w:t xml:space="preserve">TEN –T. Projekt </w:t>
      </w:r>
      <w:r>
        <w:rPr>
          <w:szCs w:val="24"/>
        </w:rPr>
        <w:t>je</w:t>
      </w:r>
      <w:r w:rsidRPr="004531C7">
        <w:rPr>
          <w:szCs w:val="24"/>
        </w:rPr>
        <w:t xml:space="preserve"> 100 % financován z EU.</w:t>
      </w:r>
    </w:p>
    <w:p w14:paraId="03525FAB" w14:textId="77777777" w:rsidR="00556FCC" w:rsidRDefault="00556FCC" w:rsidP="00DA1FD4">
      <w:pPr>
        <w:pStyle w:val="KOMtext"/>
      </w:pPr>
      <w:r w:rsidRPr="00E6274A">
        <w:t xml:space="preserve">V roce 2019 nebyly refundovány do příjmů Ministerstva dopravy žádné finanční prostředky. </w:t>
      </w:r>
    </w:p>
    <w:p w14:paraId="0A2CDC4C" w14:textId="6158F007" w:rsidR="00556FCC" w:rsidRDefault="00556FCC" w:rsidP="00DA1FD4">
      <w:pPr>
        <w:pStyle w:val="MDSR"/>
        <w:keepNext/>
        <w:ind w:firstLine="0"/>
        <w:rPr>
          <w:i/>
          <w:szCs w:val="24"/>
          <w:u w:val="single"/>
        </w:rPr>
      </w:pPr>
      <w:r w:rsidRPr="00E6274A">
        <w:rPr>
          <w:i/>
          <w:szCs w:val="24"/>
          <w:u w:val="single"/>
        </w:rPr>
        <w:t>Projekt č. MOVE/B4/SUB/2018-</w:t>
      </w:r>
      <w:r w:rsidRPr="009B08ED">
        <w:rPr>
          <w:i/>
          <w:szCs w:val="24"/>
          <w:u w:val="single"/>
        </w:rPr>
        <w:t>498/CEF/PSA</w:t>
      </w:r>
      <w:r w:rsidRPr="00E6274A">
        <w:rPr>
          <w:i/>
          <w:szCs w:val="24"/>
          <w:u w:val="single"/>
        </w:rPr>
        <w:t>/SI2.792684</w:t>
      </w:r>
      <w:r w:rsidR="00816536">
        <w:rPr>
          <w:i/>
          <w:szCs w:val="24"/>
          <w:u w:val="single"/>
        </w:rPr>
        <w:t xml:space="preserve"> </w:t>
      </w:r>
      <w:r w:rsidRPr="00E6274A">
        <w:rPr>
          <w:i/>
          <w:szCs w:val="24"/>
          <w:u w:val="single"/>
        </w:rPr>
        <w:t>(Ministerstvo dopravy)</w:t>
      </w:r>
    </w:p>
    <w:p w14:paraId="760BF36D" w14:textId="77777777" w:rsidR="00556FCC" w:rsidRDefault="00556FCC" w:rsidP="00DA1FD4">
      <w:pPr>
        <w:pStyle w:val="KOMtext"/>
      </w:pPr>
      <w:r>
        <w:t>Projekt je</w:t>
      </w:r>
      <w:r w:rsidRPr="00080777">
        <w:t xml:space="preserve"> zaměřený na sběr dat k dobíjecím a plnícím stanicím pro alternativní paliva </w:t>
      </w:r>
      <w:r w:rsidR="00A06E49">
        <w:br/>
      </w:r>
      <w:r w:rsidRPr="00080777">
        <w:t>a vytvoření jejich unikátních ide</w:t>
      </w:r>
      <w:r>
        <w:t>ntifikačních kódů pro uživatele a</w:t>
      </w:r>
      <w:r w:rsidRPr="00080777">
        <w:t xml:space="preserve"> všechny registrované stanice na území EU.</w:t>
      </w:r>
      <w:r>
        <w:t xml:space="preserve"> </w:t>
      </w:r>
      <w:r w:rsidRPr="00080777">
        <w:t>Projekt je financován 80% z EU a 20% z národních zdrojů</w:t>
      </w:r>
      <w:r>
        <w:t xml:space="preserve">. Ministerstvo dopravy čerpalo celkem </w:t>
      </w:r>
      <w:r w:rsidRPr="00080777">
        <w:rPr>
          <w:b/>
          <w:i/>
        </w:rPr>
        <w:t>562 tis. Kč</w:t>
      </w:r>
      <w:r>
        <w:rPr>
          <w:b/>
          <w:i/>
        </w:rPr>
        <w:t xml:space="preserve"> (v tom SR podíl 275 tis. Kč a EU podíl 287 tis. Kč). </w:t>
      </w:r>
      <w:r w:rsidRPr="00080777">
        <w:t>Mzdové výdaje</w:t>
      </w:r>
      <w:r>
        <w:t xml:space="preserve"> včetně příslušenství činily 218 tis. Kč (v tom SR podíl 44 tis. Kč a EU podíl 174 tis. Kč). Zbytek bylo použito na cestovné, účastnické poplatky na konference a poradenské služby.  </w:t>
      </w:r>
      <w:r w:rsidRPr="00F61EEB">
        <w:t xml:space="preserve"> </w:t>
      </w:r>
    </w:p>
    <w:p w14:paraId="438686B0" w14:textId="77777777" w:rsidR="00556FCC" w:rsidRPr="00080777" w:rsidRDefault="00556FCC" w:rsidP="00DA1FD4">
      <w:pPr>
        <w:pStyle w:val="KOMtext"/>
      </w:pPr>
      <w:r w:rsidRPr="00E713BC">
        <w:t xml:space="preserve">V roce 2019 byly refundovány do příjmů Ministerstva dopravy finanční prostředky ve výši </w:t>
      </w:r>
      <w:r w:rsidRPr="00E713BC">
        <w:rPr>
          <w:b/>
          <w:i/>
        </w:rPr>
        <w:t>1 707 024,60 Kč</w:t>
      </w:r>
      <w:r w:rsidRPr="00E713BC">
        <w:t>.</w:t>
      </w:r>
    </w:p>
    <w:p w14:paraId="1AE9E070" w14:textId="77777777" w:rsidR="00556FCC" w:rsidRPr="00DA1FD4" w:rsidRDefault="00556FCC" w:rsidP="00DA1FD4">
      <w:pPr>
        <w:pStyle w:val="MDSR"/>
        <w:keepNext/>
        <w:ind w:firstLine="0"/>
        <w:rPr>
          <w:i/>
          <w:szCs w:val="24"/>
          <w:u w:val="single"/>
        </w:rPr>
      </w:pPr>
      <w:r w:rsidRPr="00DA1FD4">
        <w:rPr>
          <w:i/>
          <w:szCs w:val="24"/>
          <w:u w:val="single"/>
        </w:rPr>
        <w:t>Projekt č. INEA/CEF/TRAN/M2016/PSARFC5 (Ministerstvo dopravy)</w:t>
      </w:r>
    </w:p>
    <w:p w14:paraId="1953DBA4" w14:textId="77777777" w:rsidR="00556FCC" w:rsidRPr="005B3F2B" w:rsidRDefault="00556FCC" w:rsidP="00DA1FD4">
      <w:pPr>
        <w:pStyle w:val="KOMtext"/>
      </w:pPr>
      <w:r w:rsidRPr="005B3F2B">
        <w:t>Zákaznicky orientovaný rozvoj a zefektivnění železničního nákladního koridoru RFC Baltic – Adriatic.</w:t>
      </w:r>
      <w:r>
        <w:t xml:space="preserve"> </w:t>
      </w:r>
      <w:r w:rsidRPr="0064003E">
        <w:t>Projekt je 100 % financován z EU</w:t>
      </w:r>
      <w:r>
        <w:t>.</w:t>
      </w:r>
    </w:p>
    <w:p w14:paraId="411DE9D6" w14:textId="3B3D71C3" w:rsidR="00556FCC" w:rsidRPr="005B3F2B" w:rsidRDefault="00556FCC" w:rsidP="00DA1FD4">
      <w:pPr>
        <w:pStyle w:val="KOMtext"/>
      </w:pPr>
      <w:r w:rsidRPr="005B3F2B">
        <w:t>Základním cílem poskytované podpory je zvýšit přístupnost a atraktivitu RFC BAC pro jeho konečné uživatele, kterými jsou železniční dopravci, provozovatelé a vlastníci terminálů</w:t>
      </w:r>
      <w:r w:rsidR="00174EF4">
        <w:t>,</w:t>
      </w:r>
      <w:r w:rsidRPr="005B3F2B">
        <w:t xml:space="preserve"> </w:t>
      </w:r>
      <w:r w:rsidRPr="005B3F2B">
        <w:br/>
        <w:t>a to v souladu s cíli nákladních koridorů zřízených dle nařízení 913/2010.</w:t>
      </w:r>
    </w:p>
    <w:p w14:paraId="33A0869E" w14:textId="77777777" w:rsidR="00556FCC" w:rsidRPr="005B3F2B" w:rsidRDefault="00556FCC" w:rsidP="00DA1FD4">
      <w:pPr>
        <w:pStyle w:val="KOMtext"/>
      </w:pPr>
      <w:r w:rsidRPr="005B3F2B">
        <w:lastRenderedPageBreak/>
        <w:t xml:space="preserve">V rámci smlouvy budou podporovány aktivity spojené s činností Správní rady (Executive Board) koridoru, řídící rady (Management Board) a projektové kanceláře (Project Management Office). Dále budou rozvíjeny funkcionality informačních systémů pro zákazníky a bude financováno vypracování studií. Podporovány budou aktivity realizované v období od </w:t>
      </w:r>
      <w:r w:rsidRPr="005B3F2B">
        <w:br/>
        <w:t>1. 1. 2018 do 31. 12. 2020.</w:t>
      </w:r>
    </w:p>
    <w:p w14:paraId="30592701" w14:textId="77777777" w:rsidR="00556FCC" w:rsidRPr="0064003E" w:rsidRDefault="00556FCC" w:rsidP="00DA1FD4">
      <w:pPr>
        <w:pStyle w:val="KOMtext"/>
      </w:pPr>
      <w:r w:rsidRPr="00F27880">
        <w:t xml:space="preserve">Ministerstvo dopravy </w:t>
      </w:r>
      <w:r>
        <w:t>čerpalo</w:t>
      </w:r>
      <w:r w:rsidRPr="0064003E">
        <w:t xml:space="preserve"> </w:t>
      </w:r>
      <w:r w:rsidRPr="0064003E">
        <w:rPr>
          <w:b/>
          <w:i/>
        </w:rPr>
        <w:t>17 tis. Kč</w:t>
      </w:r>
      <w:r w:rsidRPr="0064003E">
        <w:t xml:space="preserve"> na cestovné a pohoštění</w:t>
      </w:r>
    </w:p>
    <w:p w14:paraId="673A0F67" w14:textId="77777777" w:rsidR="00556FCC" w:rsidRPr="0064003E" w:rsidRDefault="00556FCC" w:rsidP="00DA1FD4">
      <w:pPr>
        <w:pStyle w:val="KOMtext"/>
      </w:pPr>
      <w:r w:rsidRPr="0064003E">
        <w:t xml:space="preserve">V roce 2019 byly refundovány do příjmů Ministerstva dopravy finanční prostředky ve výši </w:t>
      </w:r>
      <w:r w:rsidR="00DA1FD4">
        <w:br/>
      </w:r>
      <w:r>
        <w:rPr>
          <w:b/>
          <w:i/>
        </w:rPr>
        <w:t>231 129</w:t>
      </w:r>
      <w:r w:rsidRPr="0064003E">
        <w:rPr>
          <w:b/>
          <w:i/>
        </w:rPr>
        <w:t xml:space="preserve"> Kč</w:t>
      </w:r>
      <w:r w:rsidRPr="0064003E">
        <w:t xml:space="preserve">. </w:t>
      </w:r>
    </w:p>
    <w:p w14:paraId="396DCB8B" w14:textId="77777777" w:rsidR="00556FCC" w:rsidRPr="005B3F2B" w:rsidRDefault="00556FCC" w:rsidP="00DA1FD4">
      <w:pPr>
        <w:spacing w:before="240" w:after="120"/>
        <w:jc w:val="both"/>
        <w:rPr>
          <w:i/>
          <w:u w:val="single"/>
        </w:rPr>
      </w:pPr>
      <w:r w:rsidRPr="005B3F2B">
        <w:rPr>
          <w:i/>
          <w:u w:val="single"/>
        </w:rPr>
        <w:t>Projekt č. INEA/CEF/TRAN/M2016/PSARFC08 (Ministerstvo dopravy)</w:t>
      </w:r>
    </w:p>
    <w:p w14:paraId="44266744" w14:textId="77777777" w:rsidR="00556FCC" w:rsidRPr="00C05856" w:rsidRDefault="00556FCC" w:rsidP="00DA1FD4">
      <w:pPr>
        <w:pStyle w:val="KOMtext"/>
      </w:pPr>
      <w:r w:rsidRPr="00C05856">
        <w:t>Rozvoj železničního nákladního koridoru RFC North Sea – Baltic.</w:t>
      </w:r>
      <w:r>
        <w:t xml:space="preserve"> </w:t>
      </w:r>
      <w:r w:rsidRPr="00F27880">
        <w:t>Projekt je 100 % financován z EU.</w:t>
      </w:r>
    </w:p>
    <w:p w14:paraId="10547865" w14:textId="77777777" w:rsidR="00556FCC" w:rsidRPr="00C05856" w:rsidRDefault="00556FCC" w:rsidP="00DA1FD4">
      <w:pPr>
        <w:pStyle w:val="KOMtext"/>
      </w:pPr>
      <w:r w:rsidRPr="00C05856">
        <w:t>Základním cílem poskytované podpory je posílit funkčnost RFC NSB v souladu s cíli nákladních koridorů zřízených dle nařízení 913/2010.</w:t>
      </w:r>
    </w:p>
    <w:p w14:paraId="139B6242" w14:textId="3375A2C8" w:rsidR="00556FCC" w:rsidRPr="00C05856" w:rsidRDefault="00556FCC" w:rsidP="00DA1FD4">
      <w:pPr>
        <w:pStyle w:val="KOMtext"/>
      </w:pPr>
      <w:r w:rsidRPr="00C05856">
        <w:t>V rámci smlouvy budou podporovány aktivity spojené s činností Správní rady (Executive Board)</w:t>
      </w:r>
      <w:r w:rsidR="00481094">
        <w:t>,</w:t>
      </w:r>
      <w:r w:rsidRPr="00C05856">
        <w:t xml:space="preserve"> a to zajištěním účasti členů ExBo na souvisejících jednáních, organizace jednání </w:t>
      </w:r>
      <w:r w:rsidR="00334A2D">
        <w:br/>
      </w:r>
      <w:r w:rsidRPr="00C05856">
        <w:t xml:space="preserve">a implementace požadavků na fungování RFC dle nařízení 913/2010 a 1316/2013 </w:t>
      </w:r>
      <w:r w:rsidRPr="00C05856">
        <w:br/>
        <w:t xml:space="preserve">na jednotlivé nástroje sloužící komunikaci mezi správci infrastruktury a dopravci a především na aktualizaci Transport Market Study. Podporovány budou aktivity realizované v období od </w:t>
      </w:r>
      <w:r w:rsidRPr="00C05856">
        <w:br/>
        <w:t>1. 1. 2018 do 31. 12. 2020.</w:t>
      </w:r>
    </w:p>
    <w:p w14:paraId="4B152DDB" w14:textId="77777777" w:rsidR="00556FCC" w:rsidRPr="00F27880" w:rsidRDefault="00556FCC" w:rsidP="00DA1FD4">
      <w:pPr>
        <w:pStyle w:val="KOMtext"/>
      </w:pPr>
      <w:r w:rsidRPr="00F27880">
        <w:t xml:space="preserve">Ministerstvo dopravy čerpalo </w:t>
      </w:r>
      <w:r w:rsidRPr="00F27880">
        <w:rPr>
          <w:b/>
          <w:i/>
        </w:rPr>
        <w:t>56 tis. Kč</w:t>
      </w:r>
      <w:r w:rsidRPr="00F27880">
        <w:t xml:space="preserve"> na cestovné a pohoštění.</w:t>
      </w:r>
    </w:p>
    <w:p w14:paraId="068D0706" w14:textId="77777777" w:rsidR="00556FCC" w:rsidRPr="00F27880" w:rsidRDefault="00556FCC" w:rsidP="00DA1FD4">
      <w:pPr>
        <w:pStyle w:val="KOMtext"/>
        <w:rPr>
          <w:b/>
        </w:rPr>
      </w:pPr>
      <w:r w:rsidRPr="00F27880">
        <w:t xml:space="preserve">V roce 2019 byly refundovány do příjmů Ministerstva dopravy finanční prostředky ve výši </w:t>
      </w:r>
      <w:r w:rsidR="00DA1FD4">
        <w:br/>
      </w:r>
      <w:r>
        <w:rPr>
          <w:b/>
          <w:i/>
        </w:rPr>
        <w:t>383 940</w:t>
      </w:r>
      <w:r w:rsidRPr="00F27880">
        <w:rPr>
          <w:b/>
          <w:i/>
        </w:rPr>
        <w:t xml:space="preserve"> Kč.</w:t>
      </w:r>
    </w:p>
    <w:p w14:paraId="6B532A33" w14:textId="77777777" w:rsidR="00556FCC" w:rsidRPr="00C10CFB" w:rsidRDefault="00556FCC" w:rsidP="00556FCC">
      <w:pPr>
        <w:spacing w:before="240"/>
        <w:ind w:firstLine="709"/>
        <w:jc w:val="both"/>
        <w:rPr>
          <w:b/>
          <w:bCs/>
        </w:rPr>
      </w:pPr>
      <w:r w:rsidRPr="00C10CFB">
        <w:rPr>
          <w:b/>
        </w:rPr>
        <w:t>c) NÁSTROJ PRO PROPOJENÍ EVROPY</w:t>
      </w:r>
      <w:r w:rsidRPr="00C10CFB">
        <w:rPr>
          <w:b/>
          <w:bCs/>
        </w:rPr>
        <w:t xml:space="preserve"> - CROCODILE 3</w:t>
      </w:r>
    </w:p>
    <w:p w14:paraId="7086C921" w14:textId="77777777" w:rsidR="00556FCC" w:rsidRPr="00C10CFB" w:rsidRDefault="00556FCC" w:rsidP="00556FCC">
      <w:pPr>
        <w:spacing w:before="120" w:after="120"/>
        <w:jc w:val="both"/>
        <w:rPr>
          <w:vertAlign w:val="superscript"/>
        </w:rPr>
      </w:pPr>
      <w:r w:rsidRPr="00C10CFB">
        <w:rPr>
          <w:b/>
        </w:rPr>
        <w:t>Skutečné čerpání za rok 2019:</w:t>
      </w:r>
      <w:r w:rsidRPr="00C10CFB">
        <w:rPr>
          <w:b/>
        </w:rPr>
        <w:tab/>
        <w:t xml:space="preserve">                    1 428 tis. Kč</w:t>
      </w:r>
    </w:p>
    <w:p w14:paraId="7DDEF8B0" w14:textId="77777777" w:rsidR="00556FCC" w:rsidRPr="00C10CFB" w:rsidRDefault="00556FCC" w:rsidP="00556FCC">
      <w:pPr>
        <w:spacing w:before="120" w:after="120"/>
        <w:jc w:val="both"/>
        <w:rPr>
          <w:vertAlign w:val="superscript"/>
        </w:rPr>
      </w:pPr>
      <w:r w:rsidRPr="00C10CFB">
        <w:rPr>
          <w:b/>
        </w:rPr>
        <w:t>v tom: krytí příjmem z rozpočtu EU:</w:t>
      </w:r>
      <w:r w:rsidRPr="00C10CFB">
        <w:rPr>
          <w:b/>
        </w:rPr>
        <w:tab/>
        <w:t xml:space="preserve">            802 tis. Kč</w:t>
      </w:r>
    </w:p>
    <w:p w14:paraId="6DF761F5" w14:textId="77777777" w:rsidR="00556FCC" w:rsidRPr="00C10CFB" w:rsidRDefault="00556FCC" w:rsidP="00556FCC">
      <w:pPr>
        <w:spacing w:after="120"/>
        <w:jc w:val="both"/>
        <w:rPr>
          <w:b/>
        </w:rPr>
      </w:pPr>
      <w:r w:rsidRPr="00C10CFB">
        <w:rPr>
          <w:b/>
        </w:rPr>
        <w:tab/>
        <w:t>spolufin</w:t>
      </w:r>
      <w:r>
        <w:rPr>
          <w:b/>
        </w:rPr>
        <w:t>ancování ze SR:</w:t>
      </w:r>
      <w:r>
        <w:rPr>
          <w:b/>
        </w:rPr>
        <w:tab/>
      </w:r>
      <w:r>
        <w:rPr>
          <w:b/>
        </w:rPr>
        <w:tab/>
        <w:t xml:space="preserve">            </w:t>
      </w:r>
      <w:r w:rsidRPr="00C10CFB">
        <w:rPr>
          <w:b/>
        </w:rPr>
        <w:t>626 tis. Kč</w:t>
      </w:r>
    </w:p>
    <w:p w14:paraId="4675F51B" w14:textId="77777777" w:rsidR="00556FCC" w:rsidRDefault="00556FCC" w:rsidP="00DA1FD4">
      <w:pPr>
        <w:pStyle w:val="KOMtext"/>
      </w:pPr>
      <w:r w:rsidRPr="002C6E36">
        <w:t xml:space="preserve">V roce 2019 se na řešení projektu Crocodile 3 </w:t>
      </w:r>
      <w:r w:rsidR="00A06E49">
        <w:t xml:space="preserve">účastnilo Ministerstvo dopravy </w:t>
      </w:r>
      <w:r w:rsidRPr="002C6E36">
        <w:t xml:space="preserve">a Ředitelství silnic a dálnic ČR. </w:t>
      </w:r>
    </w:p>
    <w:p w14:paraId="3648E573" w14:textId="77777777" w:rsidR="00556FCC" w:rsidRPr="002C6E36" w:rsidRDefault="00556FCC" w:rsidP="00DA1FD4">
      <w:pPr>
        <w:pStyle w:val="KOMtext"/>
      </w:pPr>
      <w:r w:rsidRPr="005004E8">
        <w:t xml:space="preserve">Projekt je financován </w:t>
      </w:r>
      <w:r>
        <w:t>20</w:t>
      </w:r>
      <w:r w:rsidRPr="005004E8">
        <w:t xml:space="preserve">% z EU a </w:t>
      </w:r>
      <w:r>
        <w:t>80</w:t>
      </w:r>
      <w:r w:rsidRPr="005004E8">
        <w:t>% z národních zdrojů.</w:t>
      </w:r>
    </w:p>
    <w:p w14:paraId="2597420C" w14:textId="77777777" w:rsidR="00556FCC" w:rsidRPr="002C6E36" w:rsidRDefault="00556FCC" w:rsidP="00DA1FD4">
      <w:pPr>
        <w:pStyle w:val="KOMtext"/>
      </w:pPr>
      <w:r w:rsidRPr="002C6E36">
        <w:t>Vzhledem k potřebě dále realizovat rozvoj Národního dopravně informačního centra v Ostravě (provozovaného ŘSD ČR) se MD a ŘSD ČR zapojilo do projektu Crocodile 3 schváleného Evropskou komisí ke spolufinancování z programu CEF Transport jako následovníka projektu Crocodile 2. MD ve spolupráci s ŘSD ČR bude v rámci tohoto projektu dále modernizovat infrastrukturu NDIC tak, aby poskytované dopravně informační služby naplňovaly specifikace stanovené nařízeními v přenesené pravomoci (EU) 886/2013 a 885/2013, na základě kterých se mají v EU harmonizovat poskytované dopravně informační služby uživatelům dopravního systému  jednotlivých členských států.</w:t>
      </w:r>
    </w:p>
    <w:p w14:paraId="36CD94F6" w14:textId="77777777" w:rsidR="00556FCC" w:rsidRPr="002C6E36" w:rsidRDefault="00556FCC" w:rsidP="00DA1FD4">
      <w:pPr>
        <w:pStyle w:val="KOMtext"/>
      </w:pPr>
      <w:r w:rsidRPr="002C6E36">
        <w:lastRenderedPageBreak/>
        <w:t>V roce 2019 byly v rámci projektu Crocodile 3 započaty 3 neinvestiční akce a 1 investiční akce, jejich cílem bylo modernizovat poskytované služby NDIC, a to v souladu s plánem prací uvedeným v grantové dohodě projektu. Dále byly uskutečněny zahraniční pracovní z důvodu potřeby se účastnit koordinačních jednání se zástupci členských států zapojených do projektu Crocodile 3, koordinátorem projektu a Evropskou komisí. Zahraniční pracovní cesty byly uskutečněny v souladu s plánem prací uvedených v grantové dohodě projektu.</w:t>
      </w:r>
    </w:p>
    <w:p w14:paraId="07D8699A" w14:textId="77777777" w:rsidR="00556FCC" w:rsidRPr="002C6E36" w:rsidRDefault="00556FCC" w:rsidP="00DA1FD4">
      <w:pPr>
        <w:pStyle w:val="KOMtext"/>
      </w:pPr>
      <w:r w:rsidRPr="002C6E36">
        <w:t>Doba realizace projektu: 1. 1. 2018 – 31. 12. 20</w:t>
      </w:r>
      <w:r>
        <w:t>20</w:t>
      </w:r>
      <w:r w:rsidRPr="002C6E36">
        <w:t xml:space="preserve">. </w:t>
      </w:r>
    </w:p>
    <w:p w14:paraId="1457F052" w14:textId="77777777" w:rsidR="00556FCC" w:rsidRDefault="00556FCC" w:rsidP="00DA1FD4">
      <w:pPr>
        <w:pStyle w:val="KOMtext"/>
      </w:pPr>
      <w:r w:rsidRPr="002C6E36">
        <w:t xml:space="preserve">V roce 2019 byly proplaceny prostředky </w:t>
      </w:r>
      <w:r w:rsidRPr="00962D09">
        <w:t xml:space="preserve">na mzdové výdaje a ostatní osobní výdaje včetně příslušenství </w:t>
      </w:r>
      <w:r w:rsidRPr="00962D09">
        <w:rPr>
          <w:b/>
          <w:i/>
        </w:rPr>
        <w:t>701 tis. Kč</w:t>
      </w:r>
      <w:r>
        <w:rPr>
          <w:color w:val="FF0000"/>
        </w:rPr>
        <w:t xml:space="preserve"> </w:t>
      </w:r>
      <w:r w:rsidRPr="00962D09">
        <w:t xml:space="preserve">(SR podíl </w:t>
      </w:r>
      <w:r>
        <w:t>559</w:t>
      </w:r>
      <w:r w:rsidRPr="00962D09">
        <w:t xml:space="preserve"> tis. Kč a EU podíl 142 tis. Kč</w:t>
      </w:r>
      <w:r w:rsidRPr="005004E8">
        <w:t xml:space="preserve">) a na cestovní výdaje ve výši </w:t>
      </w:r>
      <w:r w:rsidRPr="005004E8">
        <w:rPr>
          <w:b/>
          <w:i/>
        </w:rPr>
        <w:t>83 tis. Kč.</w:t>
      </w:r>
      <w:r w:rsidRPr="005004E8">
        <w:t xml:space="preserve"> (SR podíl </w:t>
      </w:r>
      <w:r>
        <w:t>67</w:t>
      </w:r>
      <w:r w:rsidRPr="005004E8">
        <w:t xml:space="preserve"> tis. Kč a EU podíl </w:t>
      </w:r>
      <w:r>
        <w:t>16</w:t>
      </w:r>
      <w:r w:rsidRPr="005004E8">
        <w:t xml:space="preserve"> tis. Kč) </w:t>
      </w:r>
    </w:p>
    <w:p w14:paraId="0CAB362F" w14:textId="77777777" w:rsidR="00556FCC" w:rsidRPr="005004E8" w:rsidRDefault="00556FCC" w:rsidP="00DA1FD4">
      <w:pPr>
        <w:pStyle w:val="KOMtext"/>
      </w:pPr>
      <w:r w:rsidRPr="005004E8">
        <w:t xml:space="preserve">Zbylé finanční prostředky byly poskytnuty prostřednictvím Státního fondu dopravní infrastruktury ve výši </w:t>
      </w:r>
      <w:r w:rsidRPr="005004E8">
        <w:rPr>
          <w:b/>
          <w:i/>
        </w:rPr>
        <w:t>643 tis. Kč (pouze EU podíl)</w:t>
      </w:r>
      <w:r w:rsidRPr="005004E8">
        <w:t xml:space="preserve"> pro konečného příjemce ŘSD ČR. </w:t>
      </w:r>
    </w:p>
    <w:p w14:paraId="1F4A6BFD" w14:textId="77777777" w:rsidR="00556FCC" w:rsidRPr="005004E8" w:rsidRDefault="00556FCC" w:rsidP="00DA1FD4">
      <w:pPr>
        <w:pStyle w:val="KOMtext"/>
      </w:pPr>
      <w:r w:rsidRPr="005004E8">
        <w:t xml:space="preserve">V roce 2019 nebyly </w:t>
      </w:r>
      <w:r w:rsidRPr="005004E8">
        <w:rPr>
          <w:b/>
          <w:i/>
        </w:rPr>
        <w:t>refundovány do příjmů</w:t>
      </w:r>
      <w:r w:rsidRPr="005004E8">
        <w:t xml:space="preserve"> Ministerstva dopravy za projekt </w:t>
      </w:r>
      <w:r w:rsidRPr="005004E8">
        <w:br/>
        <w:t>Crocodile 3</w:t>
      </w:r>
      <w:r>
        <w:t xml:space="preserve"> </w:t>
      </w:r>
      <w:r w:rsidRPr="005004E8">
        <w:t>žádné finanční prostředky.</w:t>
      </w:r>
    </w:p>
    <w:p w14:paraId="051D8442" w14:textId="77777777" w:rsidR="00556FCC" w:rsidRPr="00C10CFB" w:rsidRDefault="00556FCC" w:rsidP="00556FCC">
      <w:pPr>
        <w:spacing w:before="240" w:after="120"/>
        <w:ind w:left="644"/>
        <w:rPr>
          <w:b/>
          <w:bCs/>
        </w:rPr>
      </w:pPr>
      <w:r w:rsidRPr="00C10CFB">
        <w:rPr>
          <w:b/>
        </w:rPr>
        <w:t>d) NÁSTROJ PRO PROPOJENÍ EVROPY</w:t>
      </w:r>
      <w:r w:rsidRPr="00C10CFB">
        <w:rPr>
          <w:b/>
          <w:bCs/>
        </w:rPr>
        <w:t xml:space="preserve"> – C ROADS - CZ</w:t>
      </w:r>
    </w:p>
    <w:p w14:paraId="5867860E" w14:textId="77777777" w:rsidR="00556FCC" w:rsidRPr="00520514" w:rsidRDefault="00556FCC" w:rsidP="00556FCC">
      <w:pPr>
        <w:tabs>
          <w:tab w:val="left" w:pos="4678"/>
          <w:tab w:val="left" w:pos="4820"/>
        </w:tabs>
        <w:spacing w:before="120" w:after="120"/>
        <w:jc w:val="both"/>
        <w:rPr>
          <w:vertAlign w:val="superscript"/>
        </w:rPr>
      </w:pPr>
      <w:r w:rsidRPr="00520514">
        <w:rPr>
          <w:b/>
        </w:rPr>
        <w:t xml:space="preserve">Skutečné čerpání za rok 2019:                           </w:t>
      </w:r>
      <w:r>
        <w:rPr>
          <w:b/>
        </w:rPr>
        <w:t>44</w:t>
      </w:r>
      <w:r w:rsidRPr="00520514">
        <w:rPr>
          <w:b/>
        </w:rPr>
        <w:t xml:space="preserve"> </w:t>
      </w:r>
      <w:r>
        <w:rPr>
          <w:b/>
        </w:rPr>
        <w:t>088</w:t>
      </w:r>
      <w:r w:rsidRPr="00520514">
        <w:rPr>
          <w:b/>
        </w:rPr>
        <w:t xml:space="preserve"> tis. Kč</w:t>
      </w:r>
    </w:p>
    <w:p w14:paraId="168EBC20" w14:textId="77777777" w:rsidR="00556FCC" w:rsidRPr="00520514" w:rsidRDefault="00556FCC" w:rsidP="00556FCC">
      <w:pPr>
        <w:spacing w:after="120"/>
        <w:jc w:val="both"/>
        <w:rPr>
          <w:vertAlign w:val="superscript"/>
        </w:rPr>
      </w:pPr>
      <w:r w:rsidRPr="00520514">
        <w:rPr>
          <w:b/>
        </w:rPr>
        <w:t>v tom: krytí příjmem z rozpočtu EU:</w:t>
      </w:r>
      <w:r w:rsidRPr="00520514">
        <w:rPr>
          <w:b/>
        </w:rPr>
        <w:tab/>
        <w:t xml:space="preserve">        43 </w:t>
      </w:r>
      <w:r>
        <w:rPr>
          <w:b/>
        </w:rPr>
        <w:t>517</w:t>
      </w:r>
      <w:r w:rsidRPr="00520514">
        <w:rPr>
          <w:b/>
        </w:rPr>
        <w:t xml:space="preserve"> tis. Kč</w:t>
      </w:r>
    </w:p>
    <w:p w14:paraId="7CD3E6D2" w14:textId="77777777" w:rsidR="00556FCC" w:rsidRPr="00520514" w:rsidRDefault="00556FCC" w:rsidP="00556FCC">
      <w:pPr>
        <w:spacing w:after="120"/>
        <w:jc w:val="both"/>
        <w:rPr>
          <w:b/>
        </w:rPr>
      </w:pPr>
      <w:r w:rsidRPr="00520514">
        <w:rPr>
          <w:b/>
        </w:rPr>
        <w:tab/>
        <w:t>spolufinancování ze SR:</w:t>
      </w:r>
      <w:r w:rsidRPr="00520514">
        <w:rPr>
          <w:b/>
        </w:rPr>
        <w:tab/>
      </w:r>
      <w:r w:rsidRPr="00520514">
        <w:rPr>
          <w:b/>
        </w:rPr>
        <w:tab/>
        <w:t xml:space="preserve">             </w:t>
      </w:r>
      <w:r>
        <w:rPr>
          <w:b/>
        </w:rPr>
        <w:t>571</w:t>
      </w:r>
      <w:r w:rsidRPr="00520514">
        <w:rPr>
          <w:b/>
        </w:rPr>
        <w:t xml:space="preserve"> tis. Kč</w:t>
      </w:r>
    </w:p>
    <w:p w14:paraId="684B0644" w14:textId="77777777" w:rsidR="00556FCC" w:rsidRPr="00571D06" w:rsidRDefault="00556FCC" w:rsidP="00DA1FD4">
      <w:pPr>
        <w:pStyle w:val="KOMtext"/>
      </w:pPr>
      <w:r w:rsidRPr="00571D06">
        <w:t xml:space="preserve">V rámci projektu C-Roads Czech Republic, jehož cílem je ověřit v praxi na českých silnicích, vybraných úsecích linek MHD a vybraných železničních přejezdech fungování spolupracujících systémů ITS (C-ITS) a dále harmonizace a spolupráce při zavádění systémů C-ITS v členských státech Evropy, probíhaly práce zejména na mezinárodní úrovni. </w:t>
      </w:r>
    </w:p>
    <w:p w14:paraId="213C41D6" w14:textId="77777777" w:rsidR="00556FCC" w:rsidRPr="00571D06" w:rsidRDefault="00556FCC" w:rsidP="00DA1FD4">
      <w:pPr>
        <w:pStyle w:val="KOMtext"/>
      </w:pPr>
      <w:r w:rsidRPr="00571D06">
        <w:t xml:space="preserve">MD jako příjemce grantu z programu CEF Transport na spolufinancování nákladů, které MD vznikly při realizaci projektu C-Roads Czech Republic, vynaložil za rok 2018 prostředky na spolufinancování mzdových nákladů. Personální kapacity MD byly v rámci projektu využity na řízení projektu: koordinační jednání realizačního týmu a řídícího výboru, příprava podkladů pro koordinační jednání, monitorování a hodnocení postupu prací, zajišťování povinností MD jako koordinátora vyplývajících z Grantové dohody INEA/CEF/TRAN/M2015/1150948. Dále na financování projektu: zajištění zákonných procesů poskytování dotací příjemcům </w:t>
      </w:r>
      <w:r w:rsidRPr="00571D06">
        <w:br/>
        <w:t>a veřejnosprávních kontrol u všech příjemců (kontroly jsou zajišťovány externími zaměstnanci pracujících na dohody). Prostředky byly též vynaloženy na zahraniční pracovní cesty, které jsou uskutečňovány na základě povinnosti MD se účastnit koordinačních jednání s Evropskou komisí a mezinárodní platformou C-Roads Platform, v rámci které pracují externí zaměstnanci MD (pracující na dohodu).</w:t>
      </w:r>
    </w:p>
    <w:p w14:paraId="1FB66E22" w14:textId="77777777" w:rsidR="00556FCC" w:rsidRPr="00571D06" w:rsidRDefault="00556FCC" w:rsidP="00DA1FD4">
      <w:pPr>
        <w:pStyle w:val="KOMtext"/>
      </w:pPr>
      <w:r w:rsidRPr="00571D06">
        <w:t xml:space="preserve">Příjemci grantu projektu: ŘSD ČR (poskytuje se prostřednictvím dotace SFDI), SŽDC (poskytuje se prostřednictvím dotace SFDI), AŽD Praha, Brněnské komunikace, </w:t>
      </w:r>
      <w:r w:rsidRPr="00571D06">
        <w:br/>
        <w:t>O2 Czech Republic, T-Mobile Czech Republic, INTENS Corporation, ČVUT Praha.</w:t>
      </w:r>
    </w:p>
    <w:p w14:paraId="34ABDB74" w14:textId="77777777" w:rsidR="00556FCC" w:rsidRPr="00571D06" w:rsidRDefault="00556FCC" w:rsidP="00DA1FD4">
      <w:pPr>
        <w:pStyle w:val="KOMtext"/>
      </w:pPr>
      <w:r w:rsidRPr="00571D06">
        <w:t>Doba</w:t>
      </w:r>
      <w:r>
        <w:t xml:space="preserve"> realizace projektu: 16. 2. 2016</w:t>
      </w:r>
      <w:r w:rsidRPr="00571D06">
        <w:t xml:space="preserve"> – 31. 12. 2020</w:t>
      </w:r>
    </w:p>
    <w:p w14:paraId="400EC775" w14:textId="77777777" w:rsidR="00556FCC" w:rsidRPr="004B11AC" w:rsidRDefault="00556FCC" w:rsidP="00DA1FD4">
      <w:pPr>
        <w:pStyle w:val="KOMtext"/>
        <w:rPr>
          <w:color w:val="FF0000"/>
        </w:rPr>
      </w:pPr>
      <w:r w:rsidRPr="00666E01">
        <w:lastRenderedPageBreak/>
        <w:t xml:space="preserve">V roce 2019 byly proplaceny finanční prostředky </w:t>
      </w:r>
      <w:r w:rsidRPr="00EF08A8">
        <w:t xml:space="preserve">na mzdové výdaje a ostatní osobní výdaje včetně příslušenství ve výši </w:t>
      </w:r>
      <w:r w:rsidRPr="00EF08A8">
        <w:rPr>
          <w:b/>
          <w:i/>
        </w:rPr>
        <w:t xml:space="preserve">3 547 tis. </w:t>
      </w:r>
      <w:r w:rsidRPr="00F97D85">
        <w:rPr>
          <w:b/>
          <w:i/>
        </w:rPr>
        <w:t xml:space="preserve">Kč </w:t>
      </w:r>
      <w:r>
        <w:t>(v tom EU podíl</w:t>
      </w:r>
      <w:r w:rsidRPr="00F97D85">
        <w:t xml:space="preserve"> 3 015 tis. Kč a </w:t>
      </w:r>
      <w:r>
        <w:t>SR podíl</w:t>
      </w:r>
      <w:r w:rsidRPr="00F97D85">
        <w:t xml:space="preserve"> </w:t>
      </w:r>
      <w:r w:rsidRPr="00F97D85">
        <w:br/>
        <w:t>532 tis. Kč</w:t>
      </w:r>
      <w:r w:rsidRPr="003E7B79">
        <w:t xml:space="preserve">) a cestovné a pohoštění ve výši </w:t>
      </w:r>
      <w:r w:rsidRPr="003E7B79">
        <w:rPr>
          <w:b/>
          <w:i/>
        </w:rPr>
        <w:t>164 tis. Kč</w:t>
      </w:r>
      <w:r>
        <w:t xml:space="preserve"> (v tom EU podíl</w:t>
      </w:r>
      <w:r w:rsidRPr="003E7B79">
        <w:t xml:space="preserve"> 140</w:t>
      </w:r>
      <w:r>
        <w:t xml:space="preserve"> tis. Kč a SR podíl</w:t>
      </w:r>
      <w:r w:rsidRPr="003E7B79">
        <w:t xml:space="preserve"> 24</w:t>
      </w:r>
      <w:r>
        <w:t xml:space="preserve"> tis. Kč) a na technické zhodnocení webových stránek v projektu C - Roads CZ</w:t>
      </w:r>
      <w:r w:rsidRPr="0074604B">
        <w:t xml:space="preserve"> </w:t>
      </w:r>
      <w:r w:rsidRPr="001953AC">
        <w:rPr>
          <w:b/>
          <w:i/>
        </w:rPr>
        <w:t>92 tis. Kč</w:t>
      </w:r>
      <w:r>
        <w:t xml:space="preserve"> </w:t>
      </w:r>
      <w:r>
        <w:br/>
        <w:t xml:space="preserve">(v tom EU podíl 78 tis. Kč a SR podíl 14 tis. Kč). </w:t>
      </w:r>
      <w:r w:rsidRPr="005C4761">
        <w:t xml:space="preserve">Finanční prostředky byly dále poskytnuty ve </w:t>
      </w:r>
      <w:r w:rsidRPr="004F2E04">
        <w:t xml:space="preserve">výši </w:t>
      </w:r>
      <w:r w:rsidRPr="004F2E04">
        <w:rPr>
          <w:b/>
          <w:i/>
        </w:rPr>
        <w:t>40 285 Kč</w:t>
      </w:r>
      <w:r w:rsidRPr="004F2E04">
        <w:t xml:space="preserve"> tis. Kč EU podílu:</w:t>
      </w:r>
    </w:p>
    <w:p w14:paraId="1206B6F0" w14:textId="77777777" w:rsidR="00556FCC" w:rsidRPr="00E83DC3" w:rsidRDefault="00556FCC" w:rsidP="00275CE2">
      <w:pPr>
        <w:pStyle w:val="Odstavecseseznamem"/>
        <w:numPr>
          <w:ilvl w:val="0"/>
          <w:numId w:val="60"/>
        </w:numPr>
        <w:spacing w:before="120" w:after="60"/>
        <w:ind w:left="714" w:hanging="430"/>
        <w:contextualSpacing w:val="0"/>
        <w:jc w:val="both"/>
      </w:pPr>
      <w:r w:rsidRPr="00E83DC3">
        <w:t xml:space="preserve">podnikatelským subjektům ve výši </w:t>
      </w:r>
      <w:r w:rsidRPr="00E83DC3">
        <w:rPr>
          <w:b/>
          <w:i/>
        </w:rPr>
        <w:t xml:space="preserve">34 306 tis. Kč </w:t>
      </w:r>
      <w:r w:rsidRPr="00E83DC3">
        <w:rPr>
          <w:i/>
        </w:rPr>
        <w:t>(z toho RF 32 285 tis. Kč)</w:t>
      </w:r>
      <w:r w:rsidRPr="00E83DC3">
        <w:t xml:space="preserve">; </w:t>
      </w:r>
    </w:p>
    <w:p w14:paraId="26A4CA17" w14:textId="77777777" w:rsidR="00556FCC" w:rsidRPr="00E83DC3" w:rsidRDefault="00556FCC" w:rsidP="00275CE2">
      <w:pPr>
        <w:pStyle w:val="Odstavecseseznamem"/>
        <w:numPr>
          <w:ilvl w:val="0"/>
          <w:numId w:val="60"/>
        </w:numPr>
        <w:spacing w:before="60" w:after="60"/>
        <w:ind w:left="714" w:hanging="430"/>
        <w:contextualSpacing w:val="0"/>
        <w:jc w:val="both"/>
      </w:pPr>
      <w:r w:rsidRPr="00E83DC3">
        <w:t xml:space="preserve">vysoké škole ve výši </w:t>
      </w:r>
      <w:r w:rsidRPr="00E83DC3">
        <w:rPr>
          <w:b/>
          <w:i/>
        </w:rPr>
        <w:t xml:space="preserve">5 254 tis. Kč </w:t>
      </w:r>
      <w:r w:rsidRPr="00E83DC3">
        <w:rPr>
          <w:i/>
        </w:rPr>
        <w:t>(</w:t>
      </w:r>
      <w:r>
        <w:rPr>
          <w:i/>
        </w:rPr>
        <w:t xml:space="preserve">z toho </w:t>
      </w:r>
      <w:r w:rsidRPr="00E83DC3">
        <w:rPr>
          <w:i/>
        </w:rPr>
        <w:t>RF</w:t>
      </w:r>
      <w:r>
        <w:rPr>
          <w:i/>
        </w:rPr>
        <w:t xml:space="preserve"> 1</w:t>
      </w:r>
      <w:r w:rsidR="00DA1FD4">
        <w:rPr>
          <w:i/>
        </w:rPr>
        <w:t> </w:t>
      </w:r>
      <w:r>
        <w:rPr>
          <w:i/>
        </w:rPr>
        <w:t>788</w:t>
      </w:r>
      <w:r w:rsidR="00DA1FD4">
        <w:rPr>
          <w:i/>
        </w:rPr>
        <w:t xml:space="preserve"> tis. Kč</w:t>
      </w:r>
      <w:r w:rsidRPr="00E83DC3">
        <w:rPr>
          <w:i/>
        </w:rPr>
        <w:t>)</w:t>
      </w:r>
      <w:r w:rsidRPr="00E83DC3">
        <w:t xml:space="preserve">; </w:t>
      </w:r>
    </w:p>
    <w:p w14:paraId="1AE990FA" w14:textId="77777777" w:rsidR="00556FCC" w:rsidRPr="00E83DC3" w:rsidRDefault="00556FCC" w:rsidP="00275CE2">
      <w:pPr>
        <w:pStyle w:val="Odstavecseseznamem"/>
        <w:numPr>
          <w:ilvl w:val="0"/>
          <w:numId w:val="60"/>
        </w:numPr>
        <w:spacing w:before="60" w:after="120"/>
        <w:ind w:left="714" w:hanging="430"/>
        <w:contextualSpacing w:val="0"/>
        <w:jc w:val="both"/>
        <w:rPr>
          <w:b/>
          <w:i/>
        </w:rPr>
      </w:pPr>
      <w:r w:rsidRPr="00E83DC3">
        <w:t xml:space="preserve">Státnímu fondu dopravní infrastruktury ve výši </w:t>
      </w:r>
      <w:r w:rsidRPr="00E83DC3">
        <w:rPr>
          <w:b/>
          <w:i/>
        </w:rPr>
        <w:t xml:space="preserve">725 tis. Kč </w:t>
      </w:r>
      <w:r w:rsidRPr="00E83DC3">
        <w:rPr>
          <w:i/>
        </w:rPr>
        <w:t>(RF).</w:t>
      </w:r>
    </w:p>
    <w:p w14:paraId="0D6B7847" w14:textId="77777777" w:rsidR="00556FCC" w:rsidRPr="005C4761" w:rsidRDefault="00556FCC" w:rsidP="00556FCC">
      <w:pPr>
        <w:spacing w:before="120" w:after="80"/>
        <w:ind w:firstLine="709"/>
        <w:jc w:val="both"/>
      </w:pPr>
      <w:r w:rsidRPr="005C4761">
        <w:t xml:space="preserve">V roce 2019 nebyly refundovány do příjmů Ministerstva dopravy za projekt </w:t>
      </w:r>
      <w:r w:rsidRPr="005C4761">
        <w:br/>
      </w:r>
      <w:r w:rsidRPr="005C4761">
        <w:rPr>
          <w:b/>
        </w:rPr>
        <w:t>C Roads-CZ</w:t>
      </w:r>
      <w:r w:rsidRPr="005C4761">
        <w:t xml:space="preserve"> žádné finanční prostředky. </w:t>
      </w:r>
    </w:p>
    <w:p w14:paraId="6EF1EAC5" w14:textId="77777777" w:rsidR="00556FCC" w:rsidRPr="00C10CFB" w:rsidRDefault="00556FCC" w:rsidP="00556FCC">
      <w:pPr>
        <w:spacing w:before="240" w:after="120"/>
        <w:ind w:left="646"/>
        <w:rPr>
          <w:b/>
          <w:bCs/>
        </w:rPr>
      </w:pPr>
      <w:r w:rsidRPr="00C10CFB">
        <w:rPr>
          <w:b/>
        </w:rPr>
        <w:t>e) NÁSTROJ PRO PROPOJENÍ EVROPY</w:t>
      </w:r>
      <w:r w:rsidRPr="00C10CFB">
        <w:rPr>
          <w:b/>
          <w:bCs/>
        </w:rPr>
        <w:t xml:space="preserve"> – RIS COMEX</w:t>
      </w:r>
    </w:p>
    <w:p w14:paraId="51C8837F" w14:textId="77777777" w:rsidR="00556FCC" w:rsidRPr="00B53AEC" w:rsidRDefault="00556FCC" w:rsidP="00556FCC">
      <w:pPr>
        <w:tabs>
          <w:tab w:val="left" w:pos="4678"/>
          <w:tab w:val="left" w:pos="4820"/>
        </w:tabs>
        <w:spacing w:before="120" w:after="120"/>
        <w:jc w:val="both"/>
        <w:rPr>
          <w:vertAlign w:val="superscript"/>
        </w:rPr>
      </w:pPr>
      <w:r w:rsidRPr="00B53AEC">
        <w:rPr>
          <w:b/>
        </w:rPr>
        <w:t xml:space="preserve">Skutečné čerpání za rok 2019:                           </w:t>
      </w:r>
      <w:r>
        <w:rPr>
          <w:b/>
        </w:rPr>
        <w:t>15 502</w:t>
      </w:r>
      <w:r w:rsidRPr="00B53AEC">
        <w:rPr>
          <w:b/>
        </w:rPr>
        <w:t xml:space="preserve"> tis. Kč</w:t>
      </w:r>
    </w:p>
    <w:p w14:paraId="146989C3" w14:textId="77777777" w:rsidR="00556FCC" w:rsidRPr="002B2A0D" w:rsidRDefault="00556FCC" w:rsidP="00556FCC">
      <w:pPr>
        <w:spacing w:after="120"/>
        <w:jc w:val="both"/>
        <w:rPr>
          <w:vertAlign w:val="superscript"/>
        </w:rPr>
      </w:pPr>
      <w:r w:rsidRPr="002B2A0D">
        <w:rPr>
          <w:b/>
        </w:rPr>
        <w:t>v tom: krytí příjmem z rozpočtu EU:</w:t>
      </w:r>
      <w:r w:rsidRPr="002B2A0D">
        <w:rPr>
          <w:b/>
        </w:rPr>
        <w:tab/>
        <w:t xml:space="preserve">        15 </w:t>
      </w:r>
      <w:r>
        <w:rPr>
          <w:b/>
        </w:rPr>
        <w:t>302</w:t>
      </w:r>
      <w:r w:rsidRPr="002B2A0D">
        <w:rPr>
          <w:b/>
        </w:rPr>
        <w:t xml:space="preserve"> tis. Kč</w:t>
      </w:r>
    </w:p>
    <w:p w14:paraId="2FD6C386" w14:textId="77777777" w:rsidR="00556FCC" w:rsidRPr="002B2A0D" w:rsidRDefault="00556FCC" w:rsidP="00DA1FD4">
      <w:pPr>
        <w:keepLines/>
        <w:spacing w:before="120" w:after="120"/>
        <w:jc w:val="both"/>
        <w:rPr>
          <w:b/>
        </w:rPr>
      </w:pPr>
      <w:r w:rsidRPr="002B2A0D">
        <w:rPr>
          <w:b/>
        </w:rPr>
        <w:tab/>
        <w:t>spolufinancování ze SR:</w:t>
      </w:r>
      <w:r w:rsidRPr="002B2A0D">
        <w:rPr>
          <w:b/>
        </w:rPr>
        <w:tab/>
      </w:r>
      <w:r w:rsidRPr="002B2A0D">
        <w:rPr>
          <w:b/>
        </w:rPr>
        <w:tab/>
        <w:t xml:space="preserve">           </w:t>
      </w:r>
      <w:r>
        <w:rPr>
          <w:b/>
        </w:rPr>
        <w:t xml:space="preserve">  </w:t>
      </w:r>
      <w:r w:rsidRPr="002B2A0D">
        <w:rPr>
          <w:b/>
        </w:rPr>
        <w:t>200 tis. Kč</w:t>
      </w:r>
    </w:p>
    <w:p w14:paraId="5D17C2AC" w14:textId="064B6548" w:rsidR="00556FCC" w:rsidRDefault="00556FCC" w:rsidP="00DA1FD4">
      <w:pPr>
        <w:pStyle w:val="KOMtext"/>
      </w:pPr>
      <w:r w:rsidRPr="00EE4F01">
        <w:t>Mezinárodní komunitární projekt RIS COMEX je spolufinancován v rámci nástroje EU CEF, v případě ČR jako tzv. kohezního státu činí příspěvek až 85 % celkových způsobilých výdajů projektu. Cílem projektu je zejména další r</w:t>
      </w:r>
      <w:r w:rsidR="00A06E49">
        <w:t xml:space="preserve">ozvoj služeb RIS, a to v rámci </w:t>
      </w:r>
      <w:r w:rsidRPr="00EE4F01">
        <w:t>tzv. koridorového přístupu, jež přináší výrazné synergické efekty vzájemné spolupráce sousedících zemí v rámci jednotlivých evropských systémů vo</w:t>
      </w:r>
      <w:r w:rsidR="00A06E49">
        <w:t xml:space="preserve">dních cest. Česká republika je </w:t>
      </w:r>
      <w:r w:rsidRPr="00EE4F01">
        <w:t>v rámci projektu součástí tzv. Labsko - Wezerského koridoru RIS, v rámci implementačních prací tedy ČR mj. pokračuje v již úspěšně započaté intenzivní spolupráci se SRN.</w:t>
      </w:r>
    </w:p>
    <w:p w14:paraId="157922F2" w14:textId="46682A96" w:rsidR="00AA5192" w:rsidRDefault="00AA5192" w:rsidP="00DA1FD4">
      <w:pPr>
        <w:pStyle w:val="KOMtext"/>
      </w:pPr>
      <w:r w:rsidRPr="00EE4F01">
        <w:t xml:space="preserve">Během roku 2019 na rozdíl od let předchozích probíhaly práce na implementaci systémů RIS, navazující na schválení společných systémových specifikací v roce 2018. Na základě uskutečněných zadávacích řízení probíhala v plném rozsahu implementace upgradu technologie elektronických plavebních map na poslední platný standard, se zajištěním kompatibility </w:t>
      </w:r>
      <w:r>
        <w:br/>
      </w:r>
      <w:r w:rsidRPr="00EE4F01">
        <w:t xml:space="preserve">s koridorovými službami RIS a zavedením databáze provozních informací. Tato základní implementace byla v roce 2019 dokončena. Zároveň byla provedena základní definice referenční sítě pro VisuRIS COMEX. Dále bylo zprovozněno pilotní předávání zpráv vůdcům plavidel do systému VisuRIS COMEX. Na základě výběrového řízení proběhla dodávka </w:t>
      </w:r>
      <w:r>
        <w:br/>
      </w:r>
      <w:r w:rsidRPr="00EE4F01">
        <w:t>a instalace technologie rozšíření pobřežní sítě AIS včetně zvýšení její spolehlivosti, kdy na konci roku 2019 je zajištěno plné pokrytí 315 km vodních cest zařazených do RIS pobřežní sítí AIS.</w:t>
      </w:r>
      <w:r>
        <w:t xml:space="preserve"> </w:t>
      </w:r>
      <w:r w:rsidRPr="00EE4F01">
        <w:t>Zároveň byly zahájeny práce na upgrade centrálního serveru AIS, v jehož rámci byl zprovozněn export surových AIS dat na VisuRIS COMEX. Na dalších částech serveru zahrnující zejména práci s rozšířenými zprávami AIS se postupně pracuje. Součástí subaktivity 5.1 Bezpečnostní aspekty je referenční ověřování nových funkcionalit na palubě lodí na koridoru Labe – Vezera, pro které byly 3 služební lodě vybaveny novou technologií prohlížečů Inland ECDIS v navigačním módu včetně radarů.</w:t>
      </w:r>
      <w:r>
        <w:t xml:space="preserve"> </w:t>
      </w:r>
      <w:r w:rsidRPr="00EE4F01">
        <w:t xml:space="preserve">Další komponentou je vybavení </w:t>
      </w:r>
      <w:r>
        <w:br/>
      </w:r>
      <w:r w:rsidRPr="00EE4F01">
        <w:t xml:space="preserve">2 kyvadlových přívozů, jehož technologie </w:t>
      </w:r>
      <w:r>
        <w:t>byla</w:t>
      </w:r>
      <w:r w:rsidRPr="00EE4F01">
        <w:t xml:space="preserve"> dodána a v roce 2020 bude instalována.</w:t>
      </w:r>
    </w:p>
    <w:p w14:paraId="739415E6" w14:textId="1BCEFEAB" w:rsidR="00556FCC" w:rsidRPr="00EE4F01" w:rsidRDefault="00556FCC" w:rsidP="00DA1FD4">
      <w:pPr>
        <w:pStyle w:val="KOMtext"/>
      </w:pPr>
      <w:r w:rsidRPr="00EE4F01">
        <w:lastRenderedPageBreak/>
        <w:t>Pro referenční aplikaci bójí AtoN probíhaly v roce 2019 studijní práce analyzující dostupné technologie a jejich limity tak, aby v roce 2020 mohl být dokončen vývoj a proběhla referenční dodávka. Specifickým tématem bylo zahájení prací na nové jednotné ESB sběrnici RIS, kdy na základě činnosti expertních poradců zadaných ve výběrovém řízení byly zahájeny práce na definici technické specifikace sběrnice.</w:t>
      </w:r>
    </w:p>
    <w:p w14:paraId="13191B75" w14:textId="77777777" w:rsidR="00556FCC" w:rsidRDefault="00556FCC" w:rsidP="00DA1FD4">
      <w:pPr>
        <w:pStyle w:val="KOMtext"/>
      </w:pPr>
      <w:r w:rsidRPr="00EE4F01">
        <w:t>Díky zásadnímu pokroku v realizaci projektu byly v roce 2019 téměř vyčerpány rozpočtované prostředky. Rozhodnutím řídícího výboru projektu v září 2019 bude s ohledem na komplexnost problematiky prodlouženo řešení projektu do roku 2021, tudíž část prostředků rozpočtovaných v roce 2020 bude vynaložena až v roce 2021. V roce 2020 budou intenzivně pokračovat implementační práce v obdobném či mírně vyšším rozsahu jako v roce 2019.</w:t>
      </w:r>
    </w:p>
    <w:p w14:paraId="453F1791" w14:textId="77777777" w:rsidR="00556FCC" w:rsidRPr="00EE4F01" w:rsidRDefault="00556FCC" w:rsidP="00DA1FD4">
      <w:pPr>
        <w:pStyle w:val="KOMtext"/>
      </w:pPr>
      <w:r w:rsidRPr="00EE4F01">
        <w:t xml:space="preserve">Finanční prostředky byly poskytnuty Státnímu fondu dopravní infrastruktury pro konečného příjemce ŘVC ČR z rezervního fondu ve výši EU podílu </w:t>
      </w:r>
      <w:r w:rsidRPr="00524357">
        <w:rPr>
          <w:b/>
        </w:rPr>
        <w:t>14 171 tis. Kč</w:t>
      </w:r>
      <w:r w:rsidRPr="00EE4F01">
        <w:t xml:space="preserve"> (z toho 7</w:t>
      </w:r>
      <w:r>
        <w:t> </w:t>
      </w:r>
      <w:r w:rsidRPr="00EE4F01">
        <w:t>229</w:t>
      </w:r>
      <w:r>
        <w:t xml:space="preserve"> tis. Kč</w:t>
      </w:r>
      <w:r w:rsidRPr="00EE4F01">
        <w:t xml:space="preserve"> RF) a Státní plavební správě ve výši </w:t>
      </w:r>
      <w:r w:rsidRPr="00524357">
        <w:rPr>
          <w:b/>
        </w:rPr>
        <w:t>1 332 tis. Kč</w:t>
      </w:r>
      <w:r w:rsidRPr="00EE4F01">
        <w:t xml:space="preserve"> (EU ve výši</w:t>
      </w:r>
      <w:r w:rsidR="00DA1FD4">
        <w:t xml:space="preserve"> 1 132 tis. Kč a SR ve výši </w:t>
      </w:r>
      <w:r w:rsidR="00DA1FD4">
        <w:br/>
        <w:t>200</w:t>
      </w:r>
      <w:r w:rsidRPr="00EE4F01">
        <w:t xml:space="preserve"> tis. Kč) na mzd</w:t>
      </w:r>
      <w:r>
        <w:t xml:space="preserve">ové výdaje včetně příslušenství, výpočetní techniku </w:t>
      </w:r>
      <w:r w:rsidRPr="00EE4F01">
        <w:t>a na cestovné.</w:t>
      </w:r>
    </w:p>
    <w:p w14:paraId="2077FB22" w14:textId="77777777" w:rsidR="00556FCC" w:rsidRPr="00EE4F01" w:rsidRDefault="00556FCC" w:rsidP="00DA1FD4">
      <w:pPr>
        <w:pStyle w:val="KOMtext"/>
      </w:pPr>
      <w:r w:rsidRPr="00EE4F01">
        <w:t>V roce 2019 nebyly refundovány do příjmů M</w:t>
      </w:r>
      <w:r w:rsidR="004C576D">
        <w:t xml:space="preserve">inisterstva dopravy za projekt </w:t>
      </w:r>
      <w:r w:rsidRPr="00EE4F01">
        <w:rPr>
          <w:b/>
        </w:rPr>
        <w:t>RIS COMEX</w:t>
      </w:r>
      <w:r w:rsidRPr="00EE4F01">
        <w:t xml:space="preserve"> žádné finanční prostředky. </w:t>
      </w:r>
    </w:p>
    <w:p w14:paraId="00B32EF9" w14:textId="60BE8E2D" w:rsidR="00AA5192" w:rsidRPr="009B3038" w:rsidRDefault="00AA5192" w:rsidP="00AA5192">
      <w:pPr>
        <w:pStyle w:val="Titulek"/>
      </w:pPr>
      <w:bookmarkStart w:id="1129" w:name="_Toc34288688"/>
      <w:r w:rsidRPr="009B3038">
        <w:t xml:space="preserve">Graf č. </w:t>
      </w:r>
      <w:r w:rsidRPr="009B3038">
        <w:rPr>
          <w:noProof/>
        </w:rPr>
        <w:fldChar w:fldCharType="begin"/>
      </w:r>
      <w:r w:rsidRPr="009B3038">
        <w:rPr>
          <w:noProof/>
        </w:rPr>
        <w:instrText xml:space="preserve"> SEQ Graf_č. \* ARABIC </w:instrText>
      </w:r>
      <w:r w:rsidRPr="009B3038">
        <w:rPr>
          <w:noProof/>
        </w:rPr>
        <w:fldChar w:fldCharType="separate"/>
      </w:r>
      <w:r w:rsidR="00DF450F">
        <w:rPr>
          <w:noProof/>
        </w:rPr>
        <w:t>21</w:t>
      </w:r>
      <w:r w:rsidRPr="009B3038">
        <w:rPr>
          <w:noProof/>
        </w:rPr>
        <w:fldChar w:fldCharType="end"/>
      </w:r>
      <w:r w:rsidRPr="009B3038">
        <w:t>:  Přehled čerpání finančních prostředků fondů Evropské unie</w:t>
      </w:r>
      <w:bookmarkEnd w:id="1129"/>
    </w:p>
    <w:p w14:paraId="35E9F895" w14:textId="6AA001F1" w:rsidR="00556FCC" w:rsidRPr="004B11AC" w:rsidRDefault="00AA5192" w:rsidP="00556FCC">
      <w:pPr>
        <w:spacing w:before="120" w:after="80"/>
        <w:ind w:firstLine="709"/>
        <w:jc w:val="both"/>
        <w:rPr>
          <w:color w:val="FF0000"/>
        </w:rPr>
      </w:pPr>
      <w:r w:rsidRPr="004B11AC">
        <w:rPr>
          <w:noProof/>
          <w:color w:val="FF0000"/>
        </w:rPr>
        <w:drawing>
          <wp:inline distT="0" distB="0" distL="0" distR="0" wp14:anchorId="177762C7" wp14:editId="5A15392B">
            <wp:extent cx="4324350" cy="3429000"/>
            <wp:effectExtent l="0" t="0" r="0" b="0"/>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bookmarkEnd w:id="1059"/>
    <w:bookmarkEnd w:id="1060"/>
    <w:p w14:paraId="25EF0494" w14:textId="77777777" w:rsidR="00556FCC" w:rsidRPr="004B11AC" w:rsidRDefault="00556FCC" w:rsidP="00556FCC">
      <w:pPr>
        <w:rPr>
          <w:color w:val="FF0000"/>
        </w:rPr>
      </w:pPr>
    </w:p>
    <w:p w14:paraId="5D8F6E1E" w14:textId="77777777" w:rsidR="00185BC4" w:rsidRPr="004B11AC" w:rsidRDefault="00F4616B" w:rsidP="00275CE2">
      <w:pPr>
        <w:pStyle w:val="Nadpis10"/>
        <w:numPr>
          <w:ilvl w:val="0"/>
          <w:numId w:val="73"/>
        </w:numPr>
      </w:pPr>
      <w:bookmarkStart w:id="1130" w:name="_Toc32587626"/>
      <w:bookmarkStart w:id="1131" w:name="_Toc32587720"/>
      <w:bookmarkStart w:id="1132" w:name="_Toc255297662"/>
      <w:bookmarkStart w:id="1133" w:name="_Toc413413687"/>
      <w:bookmarkStart w:id="1134" w:name="_Toc508879939"/>
      <w:bookmarkStart w:id="1135" w:name="_Toc508880215"/>
      <w:bookmarkStart w:id="1136" w:name="_Toc1376868"/>
      <w:bookmarkStart w:id="1137" w:name="_Toc34286494"/>
      <w:bookmarkEnd w:id="1130"/>
      <w:bookmarkEnd w:id="1131"/>
      <w:r>
        <w:lastRenderedPageBreak/>
        <w:t>p</w:t>
      </w:r>
      <w:r w:rsidR="00185BC4" w:rsidRPr="004B11AC">
        <w:t>rostředky rezervních fondů</w:t>
      </w:r>
      <w:bookmarkEnd w:id="1132"/>
      <w:bookmarkEnd w:id="1133"/>
      <w:bookmarkEnd w:id="1134"/>
      <w:bookmarkEnd w:id="1135"/>
      <w:bookmarkEnd w:id="1136"/>
      <w:bookmarkEnd w:id="1137"/>
    </w:p>
    <w:p w14:paraId="62805242" w14:textId="77777777" w:rsidR="00F4616B" w:rsidRPr="001B7FDA" w:rsidRDefault="00F4616B" w:rsidP="00F4616B">
      <w:pPr>
        <w:pStyle w:val="KOMtext"/>
      </w:pPr>
      <w:bookmarkStart w:id="1138" w:name="_Toc255297663"/>
      <w:bookmarkStart w:id="1139" w:name="_Toc413413688"/>
      <w:r w:rsidRPr="001B7FDA">
        <w:t xml:space="preserve">V roce 2015 vzrostl význam rezervního fondu v souvislosti s úpravou metodiky financování komunitárních programů, ze kterých EU poskytuje finanční prostředky přímo organizačním složkám státu. Tyto prostředky obdržené z rozpočtu EU v běžném rozpočtovém roce a v tomto roce nepoužité může přijímat OSS na účet rezervního fondu a o jejich použití bude </w:t>
      </w:r>
      <w:r w:rsidRPr="001B7FDA">
        <w:br/>
        <w:t>v následujících letech překročen rozpočet výdajů. Jedná se zejména o zálohové platby.</w:t>
      </w:r>
    </w:p>
    <w:p w14:paraId="6FE09440" w14:textId="77777777" w:rsidR="00F4616B" w:rsidRPr="001B7FDA" w:rsidRDefault="00F4616B" w:rsidP="00F4616B">
      <w:pPr>
        <w:pStyle w:val="KOMtext"/>
      </w:pPr>
      <w:r w:rsidRPr="001B7FDA">
        <w:t xml:space="preserve">V souvislosti s novelou zákona č. 218/2000 Sb., o rozpočtových pravidlech, v platném znění, došlo v roce 2015 k legislativní úpravě, kdy se nově převádějí do rezervního fondu prostředky z Fondu zábrany škod. </w:t>
      </w:r>
    </w:p>
    <w:p w14:paraId="15A45922" w14:textId="77777777" w:rsidR="00F4616B" w:rsidRPr="001B7FDA" w:rsidRDefault="00F4616B" w:rsidP="00F4616B">
      <w:pPr>
        <w:pStyle w:val="KOMtext"/>
      </w:pPr>
      <w:r w:rsidRPr="001B7FDA">
        <w:t xml:space="preserve">Stav prostředků převedených v předchozích letech do rezervního fondu organizačních složek státu k 1. 1. 2019 a 30. 12. 2019 a příjmy rezervních fondů organizačních složek státu </w:t>
      </w:r>
      <w:r w:rsidRPr="001B7FDA">
        <w:br/>
        <w:t>k 31. 12. 2019 jsou uvedeny v následující tabulce:</w:t>
      </w:r>
    </w:p>
    <w:p w14:paraId="5CFC26D2" w14:textId="77777777" w:rsidR="00F4616B" w:rsidRPr="00124A20" w:rsidRDefault="00F4616B" w:rsidP="00DB2320">
      <w:pPr>
        <w:keepNext/>
        <w:ind w:left="357" w:right="1"/>
        <w:jc w:val="right"/>
        <w:rPr>
          <w:bCs/>
          <w:lang w:eastAsia="ar-SA"/>
        </w:rPr>
      </w:pPr>
      <w:r w:rsidRPr="00124A20">
        <w:rPr>
          <w:bCs/>
          <w:lang w:eastAsia="ar-SA"/>
        </w:rPr>
        <w:t xml:space="preserve">                                                                                                                            v tis. Kč</w:t>
      </w:r>
    </w:p>
    <w:tbl>
      <w:tblPr>
        <w:tblW w:w="8965" w:type="dxa"/>
        <w:tblInd w:w="102" w:type="dxa"/>
        <w:tblLayout w:type="fixed"/>
        <w:tblCellMar>
          <w:left w:w="70" w:type="dxa"/>
          <w:right w:w="70" w:type="dxa"/>
        </w:tblCellMar>
        <w:tblLook w:val="0000" w:firstRow="0" w:lastRow="0" w:firstColumn="0" w:lastColumn="0" w:noHBand="0" w:noVBand="0"/>
      </w:tblPr>
      <w:tblGrid>
        <w:gridCol w:w="4363"/>
        <w:gridCol w:w="1575"/>
        <w:gridCol w:w="1576"/>
        <w:gridCol w:w="1451"/>
      </w:tblGrid>
      <w:tr w:rsidR="00F4616B" w:rsidRPr="000D77C8" w14:paraId="401CC2A1" w14:textId="77777777" w:rsidTr="00CD1704">
        <w:tc>
          <w:tcPr>
            <w:tcW w:w="4363" w:type="dxa"/>
            <w:tcBorders>
              <w:top w:val="single" w:sz="4" w:space="0" w:color="auto"/>
              <w:left w:val="single" w:sz="4" w:space="0" w:color="auto"/>
              <w:bottom w:val="single" w:sz="4" w:space="0" w:color="auto"/>
              <w:right w:val="single" w:sz="4" w:space="0" w:color="auto"/>
            </w:tcBorders>
            <w:vAlign w:val="center"/>
          </w:tcPr>
          <w:p w14:paraId="506A2C57" w14:textId="77777777" w:rsidR="00F4616B" w:rsidRPr="00124A20" w:rsidRDefault="00F4616B" w:rsidP="00CD1704">
            <w:pPr>
              <w:snapToGrid w:val="0"/>
              <w:jc w:val="center"/>
              <w:rPr>
                <w:lang w:eastAsia="ar-SA"/>
              </w:rPr>
            </w:pPr>
            <w:r w:rsidRPr="00124A20">
              <w:rPr>
                <w:lang w:eastAsia="ar-SA"/>
              </w:rPr>
              <w:t>Rezervní fond</w:t>
            </w:r>
          </w:p>
        </w:tc>
        <w:tc>
          <w:tcPr>
            <w:tcW w:w="1575" w:type="dxa"/>
            <w:tcBorders>
              <w:top w:val="single" w:sz="4" w:space="0" w:color="auto"/>
              <w:left w:val="single" w:sz="4" w:space="0" w:color="auto"/>
              <w:bottom w:val="single" w:sz="4" w:space="0" w:color="auto"/>
              <w:right w:val="single" w:sz="4" w:space="0" w:color="auto"/>
            </w:tcBorders>
            <w:vAlign w:val="center"/>
          </w:tcPr>
          <w:p w14:paraId="1433EE95" w14:textId="77777777" w:rsidR="00F4616B" w:rsidRPr="00124A20" w:rsidRDefault="00F4616B" w:rsidP="00CD1704">
            <w:pPr>
              <w:snapToGrid w:val="0"/>
              <w:jc w:val="center"/>
              <w:rPr>
                <w:lang w:eastAsia="ar-SA"/>
              </w:rPr>
            </w:pPr>
            <w:r w:rsidRPr="00124A20">
              <w:rPr>
                <w:lang w:eastAsia="ar-SA"/>
              </w:rPr>
              <w:t>Stav rezervních fondů celkem</w:t>
            </w:r>
          </w:p>
          <w:p w14:paraId="27548FF7" w14:textId="77777777" w:rsidR="00F4616B" w:rsidRPr="00124A20" w:rsidRDefault="00F4616B" w:rsidP="00CD1704">
            <w:pPr>
              <w:jc w:val="center"/>
              <w:rPr>
                <w:lang w:eastAsia="ar-SA"/>
              </w:rPr>
            </w:pPr>
            <w:r w:rsidRPr="00124A20">
              <w:rPr>
                <w:lang w:eastAsia="ar-SA"/>
              </w:rPr>
              <w:t>k 1. 1. 2019</w:t>
            </w:r>
          </w:p>
        </w:tc>
        <w:tc>
          <w:tcPr>
            <w:tcW w:w="1576" w:type="dxa"/>
            <w:tcBorders>
              <w:top w:val="single" w:sz="4" w:space="0" w:color="auto"/>
              <w:left w:val="single" w:sz="4" w:space="0" w:color="auto"/>
              <w:bottom w:val="single" w:sz="4" w:space="0" w:color="auto"/>
              <w:right w:val="single" w:sz="4" w:space="0" w:color="auto"/>
            </w:tcBorders>
            <w:vAlign w:val="center"/>
          </w:tcPr>
          <w:p w14:paraId="7223B54B" w14:textId="77777777" w:rsidR="00F4616B" w:rsidRPr="00124A20" w:rsidRDefault="00F4616B" w:rsidP="00CD1704">
            <w:pPr>
              <w:snapToGrid w:val="0"/>
              <w:jc w:val="center"/>
              <w:rPr>
                <w:lang w:eastAsia="ar-SA"/>
              </w:rPr>
            </w:pPr>
            <w:r w:rsidRPr="00124A20">
              <w:rPr>
                <w:lang w:eastAsia="ar-SA"/>
              </w:rPr>
              <w:t>Stav rezervních fondů celkem</w:t>
            </w:r>
          </w:p>
          <w:p w14:paraId="5EEEF1C9" w14:textId="77777777" w:rsidR="00F4616B" w:rsidRPr="000D77C8" w:rsidRDefault="00F4616B" w:rsidP="00CD1704">
            <w:pPr>
              <w:jc w:val="center"/>
              <w:rPr>
                <w:color w:val="FF0000"/>
                <w:lang w:eastAsia="ar-SA"/>
              </w:rPr>
            </w:pPr>
            <w:r w:rsidRPr="00124A20">
              <w:rPr>
                <w:lang w:eastAsia="ar-SA"/>
              </w:rPr>
              <w:t>k 31. 12. 2019</w:t>
            </w:r>
          </w:p>
        </w:tc>
        <w:tc>
          <w:tcPr>
            <w:tcW w:w="1451" w:type="dxa"/>
            <w:tcBorders>
              <w:top w:val="single" w:sz="4" w:space="0" w:color="auto"/>
              <w:left w:val="single" w:sz="4" w:space="0" w:color="auto"/>
              <w:bottom w:val="single" w:sz="4" w:space="0" w:color="auto"/>
              <w:right w:val="single" w:sz="4" w:space="0" w:color="auto"/>
            </w:tcBorders>
            <w:vAlign w:val="center"/>
          </w:tcPr>
          <w:p w14:paraId="0FBE8975" w14:textId="77777777" w:rsidR="00F4616B" w:rsidRPr="00124A20" w:rsidRDefault="00F4616B" w:rsidP="00CD1704">
            <w:pPr>
              <w:snapToGrid w:val="0"/>
              <w:jc w:val="center"/>
              <w:rPr>
                <w:lang w:eastAsia="ar-SA"/>
              </w:rPr>
            </w:pPr>
            <w:r w:rsidRPr="00124A20">
              <w:rPr>
                <w:lang w:eastAsia="ar-SA"/>
              </w:rPr>
              <w:t xml:space="preserve">Příjem RF              </w:t>
            </w:r>
          </w:p>
          <w:p w14:paraId="1BAC1463" w14:textId="77777777" w:rsidR="00F4616B" w:rsidRPr="00124A20" w:rsidRDefault="00F4616B" w:rsidP="00CD1704">
            <w:pPr>
              <w:snapToGrid w:val="0"/>
              <w:jc w:val="center"/>
              <w:rPr>
                <w:lang w:eastAsia="ar-SA"/>
              </w:rPr>
            </w:pPr>
            <w:r w:rsidRPr="00124A20">
              <w:rPr>
                <w:lang w:eastAsia="ar-SA"/>
              </w:rPr>
              <w:t xml:space="preserve">k 31. 12. </w:t>
            </w:r>
          </w:p>
          <w:p w14:paraId="3396ED5C" w14:textId="77777777" w:rsidR="00F4616B" w:rsidRPr="000D77C8" w:rsidRDefault="00F4616B" w:rsidP="00CD1704">
            <w:pPr>
              <w:snapToGrid w:val="0"/>
              <w:rPr>
                <w:color w:val="FF0000"/>
                <w:lang w:eastAsia="ar-SA"/>
              </w:rPr>
            </w:pPr>
            <w:r w:rsidRPr="00124A20">
              <w:rPr>
                <w:lang w:eastAsia="ar-SA"/>
              </w:rPr>
              <w:t xml:space="preserve">       2019</w:t>
            </w:r>
          </w:p>
        </w:tc>
      </w:tr>
      <w:tr w:rsidR="00F4616B" w:rsidRPr="000D77C8" w14:paraId="54B5AA14" w14:textId="77777777" w:rsidTr="00CD1704">
        <w:trPr>
          <w:trHeight w:val="255"/>
        </w:trPr>
        <w:tc>
          <w:tcPr>
            <w:tcW w:w="4363" w:type="dxa"/>
            <w:tcBorders>
              <w:left w:val="single" w:sz="4" w:space="0" w:color="auto"/>
              <w:right w:val="single" w:sz="4" w:space="0" w:color="auto"/>
            </w:tcBorders>
            <w:vAlign w:val="bottom"/>
          </w:tcPr>
          <w:p w14:paraId="2A637D05" w14:textId="77777777" w:rsidR="00F4616B" w:rsidRPr="00124A20" w:rsidRDefault="00F4616B" w:rsidP="00CD1704">
            <w:pPr>
              <w:snapToGrid w:val="0"/>
              <w:rPr>
                <w:lang w:eastAsia="ar-SA"/>
              </w:rPr>
            </w:pPr>
            <w:r w:rsidRPr="00124A20">
              <w:rPr>
                <w:lang w:eastAsia="ar-SA"/>
              </w:rPr>
              <w:t>Ústřední orgán MD</w:t>
            </w:r>
          </w:p>
        </w:tc>
        <w:tc>
          <w:tcPr>
            <w:tcW w:w="1575" w:type="dxa"/>
            <w:tcBorders>
              <w:top w:val="single" w:sz="4" w:space="0" w:color="000000"/>
              <w:left w:val="single" w:sz="4" w:space="0" w:color="auto"/>
              <w:right w:val="single" w:sz="4" w:space="0" w:color="auto"/>
            </w:tcBorders>
            <w:vAlign w:val="bottom"/>
          </w:tcPr>
          <w:p w14:paraId="45BFFD30" w14:textId="77777777" w:rsidR="00F4616B" w:rsidRPr="00124A20" w:rsidRDefault="00F4616B" w:rsidP="00CD1704">
            <w:pPr>
              <w:snapToGrid w:val="0"/>
              <w:jc w:val="right"/>
              <w:rPr>
                <w:lang w:eastAsia="ar-SA"/>
              </w:rPr>
            </w:pPr>
            <w:r w:rsidRPr="00124A20">
              <w:rPr>
                <w:lang w:eastAsia="ar-SA"/>
              </w:rPr>
              <w:t>413 184</w:t>
            </w:r>
          </w:p>
        </w:tc>
        <w:tc>
          <w:tcPr>
            <w:tcW w:w="1576" w:type="dxa"/>
            <w:tcBorders>
              <w:top w:val="single" w:sz="4" w:space="0" w:color="000000"/>
              <w:left w:val="single" w:sz="4" w:space="0" w:color="auto"/>
              <w:right w:val="single" w:sz="4" w:space="0" w:color="auto"/>
            </w:tcBorders>
            <w:vAlign w:val="bottom"/>
          </w:tcPr>
          <w:p w14:paraId="7160E224" w14:textId="77777777" w:rsidR="00F4616B" w:rsidRPr="000D77C8" w:rsidRDefault="00F4616B" w:rsidP="00CD1704">
            <w:pPr>
              <w:snapToGrid w:val="0"/>
              <w:jc w:val="right"/>
              <w:rPr>
                <w:color w:val="FF0000"/>
                <w:lang w:eastAsia="ar-SA"/>
              </w:rPr>
            </w:pPr>
            <w:r w:rsidRPr="00A2151C">
              <w:rPr>
                <w:lang w:eastAsia="ar-SA"/>
              </w:rPr>
              <w:t>278 800</w:t>
            </w:r>
          </w:p>
        </w:tc>
        <w:tc>
          <w:tcPr>
            <w:tcW w:w="1451" w:type="dxa"/>
            <w:tcBorders>
              <w:top w:val="single" w:sz="4" w:space="0" w:color="000000"/>
              <w:left w:val="single" w:sz="4" w:space="0" w:color="auto"/>
              <w:right w:val="single" w:sz="4" w:space="0" w:color="auto"/>
            </w:tcBorders>
            <w:vAlign w:val="bottom"/>
          </w:tcPr>
          <w:p w14:paraId="2CD078C3" w14:textId="77777777" w:rsidR="00F4616B" w:rsidRPr="00A2151C" w:rsidRDefault="00F4616B" w:rsidP="00CD1704">
            <w:pPr>
              <w:snapToGrid w:val="0"/>
              <w:jc w:val="right"/>
              <w:rPr>
                <w:lang w:eastAsia="ar-SA"/>
              </w:rPr>
            </w:pPr>
            <w:r w:rsidRPr="00A2151C">
              <w:rPr>
                <w:lang w:eastAsia="ar-SA"/>
              </w:rPr>
              <w:t>6 802</w:t>
            </w:r>
          </w:p>
        </w:tc>
      </w:tr>
      <w:tr w:rsidR="00F4616B" w:rsidRPr="000D77C8" w14:paraId="1FF4A8D7" w14:textId="77777777" w:rsidTr="00CD1704">
        <w:trPr>
          <w:trHeight w:val="255"/>
        </w:trPr>
        <w:tc>
          <w:tcPr>
            <w:tcW w:w="4363" w:type="dxa"/>
            <w:tcBorders>
              <w:left w:val="single" w:sz="4" w:space="0" w:color="auto"/>
              <w:right w:val="single" w:sz="4" w:space="0" w:color="auto"/>
            </w:tcBorders>
            <w:vAlign w:val="bottom"/>
          </w:tcPr>
          <w:p w14:paraId="584AA7EB" w14:textId="77777777" w:rsidR="00F4616B" w:rsidRPr="00124A20" w:rsidRDefault="00F4616B" w:rsidP="00CD1704">
            <w:pPr>
              <w:snapToGrid w:val="0"/>
              <w:rPr>
                <w:lang w:eastAsia="ar-SA"/>
              </w:rPr>
            </w:pPr>
            <w:r w:rsidRPr="00124A20">
              <w:rPr>
                <w:lang w:eastAsia="ar-SA"/>
              </w:rPr>
              <w:t>v tom:</w:t>
            </w:r>
          </w:p>
        </w:tc>
        <w:tc>
          <w:tcPr>
            <w:tcW w:w="1575" w:type="dxa"/>
            <w:tcBorders>
              <w:left w:val="single" w:sz="4" w:space="0" w:color="auto"/>
              <w:right w:val="single" w:sz="4" w:space="0" w:color="auto"/>
            </w:tcBorders>
            <w:vAlign w:val="bottom"/>
          </w:tcPr>
          <w:p w14:paraId="4318B65E" w14:textId="77777777" w:rsidR="00F4616B" w:rsidRPr="00124A20" w:rsidRDefault="00F4616B" w:rsidP="00CD1704">
            <w:pPr>
              <w:snapToGrid w:val="0"/>
              <w:jc w:val="right"/>
              <w:rPr>
                <w:lang w:eastAsia="ar-SA"/>
              </w:rPr>
            </w:pPr>
          </w:p>
        </w:tc>
        <w:tc>
          <w:tcPr>
            <w:tcW w:w="1576" w:type="dxa"/>
            <w:tcBorders>
              <w:left w:val="single" w:sz="4" w:space="0" w:color="auto"/>
              <w:right w:val="single" w:sz="4" w:space="0" w:color="auto"/>
            </w:tcBorders>
            <w:vAlign w:val="bottom"/>
          </w:tcPr>
          <w:p w14:paraId="2618FF61" w14:textId="77777777" w:rsidR="00F4616B" w:rsidRPr="000D77C8" w:rsidRDefault="00F4616B" w:rsidP="00CD1704">
            <w:pPr>
              <w:snapToGrid w:val="0"/>
              <w:jc w:val="right"/>
              <w:rPr>
                <w:color w:val="FF0000"/>
                <w:lang w:eastAsia="ar-SA"/>
              </w:rPr>
            </w:pPr>
          </w:p>
        </w:tc>
        <w:tc>
          <w:tcPr>
            <w:tcW w:w="1451" w:type="dxa"/>
            <w:tcBorders>
              <w:left w:val="single" w:sz="4" w:space="0" w:color="auto"/>
              <w:right w:val="single" w:sz="4" w:space="0" w:color="auto"/>
            </w:tcBorders>
            <w:vAlign w:val="bottom"/>
          </w:tcPr>
          <w:p w14:paraId="2809EDCD" w14:textId="77777777" w:rsidR="00F4616B" w:rsidRPr="00A2151C" w:rsidRDefault="00F4616B" w:rsidP="00CD1704">
            <w:pPr>
              <w:snapToGrid w:val="0"/>
              <w:jc w:val="right"/>
              <w:rPr>
                <w:lang w:eastAsia="ar-SA"/>
              </w:rPr>
            </w:pPr>
          </w:p>
        </w:tc>
      </w:tr>
      <w:tr w:rsidR="00F4616B" w:rsidRPr="000D77C8" w14:paraId="0BDEAE28" w14:textId="77777777" w:rsidTr="00CD1704">
        <w:trPr>
          <w:trHeight w:val="270"/>
        </w:trPr>
        <w:tc>
          <w:tcPr>
            <w:tcW w:w="4363" w:type="dxa"/>
            <w:tcBorders>
              <w:left w:val="single" w:sz="4" w:space="0" w:color="auto"/>
              <w:bottom w:val="single" w:sz="4" w:space="0" w:color="auto"/>
              <w:right w:val="single" w:sz="4" w:space="0" w:color="auto"/>
            </w:tcBorders>
            <w:vAlign w:val="bottom"/>
          </w:tcPr>
          <w:p w14:paraId="07FE1201" w14:textId="77777777" w:rsidR="00F4616B" w:rsidRPr="00124A20" w:rsidRDefault="00F4616B" w:rsidP="00CD1704">
            <w:pPr>
              <w:snapToGrid w:val="0"/>
              <w:rPr>
                <w:lang w:eastAsia="ar-SA"/>
              </w:rPr>
            </w:pPr>
            <w:r w:rsidRPr="00124A20">
              <w:rPr>
                <w:lang w:eastAsia="ar-SA"/>
              </w:rPr>
              <w:t>Prostředky z Fondu zábrany škod České kanceláře pojistitelů</w:t>
            </w:r>
          </w:p>
        </w:tc>
        <w:tc>
          <w:tcPr>
            <w:tcW w:w="1575" w:type="dxa"/>
            <w:tcBorders>
              <w:left w:val="single" w:sz="4" w:space="0" w:color="auto"/>
              <w:bottom w:val="single" w:sz="4" w:space="0" w:color="auto"/>
              <w:right w:val="single" w:sz="4" w:space="0" w:color="auto"/>
            </w:tcBorders>
            <w:vAlign w:val="center"/>
          </w:tcPr>
          <w:p w14:paraId="3905784C" w14:textId="77777777" w:rsidR="00F4616B" w:rsidRPr="00124A20" w:rsidRDefault="00F4616B" w:rsidP="00CD1704">
            <w:pPr>
              <w:snapToGrid w:val="0"/>
              <w:jc w:val="right"/>
              <w:rPr>
                <w:lang w:eastAsia="ar-SA"/>
              </w:rPr>
            </w:pPr>
            <w:r w:rsidRPr="00124A20">
              <w:rPr>
                <w:lang w:eastAsia="ar-SA"/>
              </w:rPr>
              <w:t>18 500</w:t>
            </w:r>
          </w:p>
        </w:tc>
        <w:tc>
          <w:tcPr>
            <w:tcW w:w="1576" w:type="dxa"/>
            <w:tcBorders>
              <w:left w:val="single" w:sz="4" w:space="0" w:color="auto"/>
              <w:bottom w:val="single" w:sz="4" w:space="0" w:color="auto"/>
              <w:right w:val="single" w:sz="4" w:space="0" w:color="auto"/>
            </w:tcBorders>
            <w:vAlign w:val="center"/>
          </w:tcPr>
          <w:p w14:paraId="21E4BD79" w14:textId="77777777" w:rsidR="00F4616B" w:rsidRPr="000D77C8" w:rsidRDefault="00F4616B" w:rsidP="00CD1704">
            <w:pPr>
              <w:snapToGrid w:val="0"/>
              <w:jc w:val="right"/>
              <w:rPr>
                <w:color w:val="FF0000"/>
                <w:lang w:eastAsia="ar-SA"/>
              </w:rPr>
            </w:pPr>
            <w:r w:rsidRPr="00A2151C">
              <w:rPr>
                <w:lang w:eastAsia="ar-SA"/>
              </w:rPr>
              <w:t>19 533</w:t>
            </w:r>
          </w:p>
        </w:tc>
        <w:tc>
          <w:tcPr>
            <w:tcW w:w="1451" w:type="dxa"/>
            <w:tcBorders>
              <w:left w:val="single" w:sz="4" w:space="0" w:color="auto"/>
              <w:bottom w:val="single" w:sz="4" w:space="0" w:color="auto"/>
              <w:right w:val="single" w:sz="4" w:space="0" w:color="auto"/>
            </w:tcBorders>
            <w:vAlign w:val="center"/>
          </w:tcPr>
          <w:p w14:paraId="5F4597D5" w14:textId="77777777" w:rsidR="00F4616B" w:rsidRPr="00A2151C" w:rsidRDefault="00F4616B" w:rsidP="00CD1704">
            <w:pPr>
              <w:snapToGrid w:val="0"/>
              <w:jc w:val="right"/>
              <w:rPr>
                <w:lang w:eastAsia="ar-SA"/>
              </w:rPr>
            </w:pPr>
            <w:r w:rsidRPr="00A2151C">
              <w:rPr>
                <w:lang w:eastAsia="ar-SA"/>
              </w:rPr>
              <w:t>5 140</w:t>
            </w:r>
          </w:p>
        </w:tc>
      </w:tr>
      <w:tr w:rsidR="00F4616B" w:rsidRPr="000D77C8" w14:paraId="7EC26F55" w14:textId="77777777" w:rsidTr="00CD1704">
        <w:trPr>
          <w:trHeight w:val="270"/>
        </w:trPr>
        <w:tc>
          <w:tcPr>
            <w:tcW w:w="4363" w:type="dxa"/>
            <w:tcBorders>
              <w:top w:val="single" w:sz="4" w:space="0" w:color="auto"/>
              <w:left w:val="single" w:sz="4" w:space="0" w:color="auto"/>
              <w:bottom w:val="single" w:sz="4" w:space="0" w:color="auto"/>
              <w:right w:val="single" w:sz="4" w:space="0" w:color="auto"/>
            </w:tcBorders>
            <w:vAlign w:val="bottom"/>
          </w:tcPr>
          <w:p w14:paraId="78CBFDF5" w14:textId="77777777" w:rsidR="00F4616B" w:rsidRPr="00124A20" w:rsidRDefault="00F4616B" w:rsidP="00CD1704">
            <w:pPr>
              <w:snapToGrid w:val="0"/>
              <w:rPr>
                <w:lang w:eastAsia="ar-SA"/>
              </w:rPr>
            </w:pPr>
            <w:r w:rsidRPr="00124A20">
              <w:rPr>
                <w:lang w:eastAsia="ar-SA"/>
              </w:rPr>
              <w:t>Prostředky poskytnuté ze zahraničí na projekty CEF (Nástroj pro propojení Evropy)</w:t>
            </w:r>
          </w:p>
        </w:tc>
        <w:tc>
          <w:tcPr>
            <w:tcW w:w="1575" w:type="dxa"/>
            <w:tcBorders>
              <w:top w:val="single" w:sz="4" w:space="0" w:color="auto"/>
              <w:left w:val="single" w:sz="4" w:space="0" w:color="auto"/>
              <w:bottom w:val="single" w:sz="4" w:space="0" w:color="auto"/>
              <w:right w:val="single" w:sz="4" w:space="0" w:color="auto"/>
            </w:tcBorders>
            <w:vAlign w:val="center"/>
          </w:tcPr>
          <w:p w14:paraId="44DAA082" w14:textId="77777777" w:rsidR="00F4616B" w:rsidRPr="00124A20" w:rsidRDefault="00F4616B" w:rsidP="00CD1704">
            <w:pPr>
              <w:snapToGrid w:val="0"/>
              <w:jc w:val="right"/>
              <w:rPr>
                <w:lang w:eastAsia="ar-SA"/>
              </w:rPr>
            </w:pPr>
            <w:r w:rsidRPr="00124A20">
              <w:rPr>
                <w:lang w:eastAsia="ar-SA"/>
              </w:rPr>
              <w:t xml:space="preserve">394 684      </w:t>
            </w:r>
          </w:p>
        </w:tc>
        <w:tc>
          <w:tcPr>
            <w:tcW w:w="1576" w:type="dxa"/>
            <w:tcBorders>
              <w:top w:val="single" w:sz="4" w:space="0" w:color="auto"/>
              <w:left w:val="single" w:sz="4" w:space="0" w:color="auto"/>
              <w:bottom w:val="single" w:sz="4" w:space="0" w:color="auto"/>
              <w:right w:val="single" w:sz="4" w:space="0" w:color="auto"/>
            </w:tcBorders>
            <w:vAlign w:val="center"/>
          </w:tcPr>
          <w:p w14:paraId="124C627D" w14:textId="77777777" w:rsidR="00F4616B" w:rsidRPr="000D77C8" w:rsidRDefault="00F4616B" w:rsidP="00CD1704">
            <w:pPr>
              <w:snapToGrid w:val="0"/>
              <w:jc w:val="right"/>
              <w:rPr>
                <w:color w:val="FF0000"/>
                <w:lang w:eastAsia="ar-SA"/>
              </w:rPr>
            </w:pPr>
            <w:r w:rsidRPr="00A2151C">
              <w:rPr>
                <w:lang w:eastAsia="ar-SA"/>
              </w:rPr>
              <w:t xml:space="preserve">259 267      </w:t>
            </w:r>
          </w:p>
        </w:tc>
        <w:tc>
          <w:tcPr>
            <w:tcW w:w="1451" w:type="dxa"/>
            <w:tcBorders>
              <w:top w:val="single" w:sz="4" w:space="0" w:color="auto"/>
              <w:left w:val="single" w:sz="4" w:space="0" w:color="auto"/>
              <w:bottom w:val="single" w:sz="4" w:space="0" w:color="auto"/>
              <w:right w:val="single" w:sz="4" w:space="0" w:color="auto"/>
            </w:tcBorders>
            <w:vAlign w:val="center"/>
          </w:tcPr>
          <w:p w14:paraId="176AFEEC" w14:textId="77777777" w:rsidR="00F4616B" w:rsidRPr="00A2151C" w:rsidRDefault="00F4616B" w:rsidP="00CD1704">
            <w:pPr>
              <w:snapToGrid w:val="0"/>
              <w:jc w:val="right"/>
              <w:rPr>
                <w:lang w:eastAsia="ar-SA"/>
              </w:rPr>
            </w:pPr>
            <w:r w:rsidRPr="00A2151C">
              <w:rPr>
                <w:lang w:eastAsia="ar-SA"/>
              </w:rPr>
              <w:t>1 662</w:t>
            </w:r>
          </w:p>
        </w:tc>
      </w:tr>
      <w:tr w:rsidR="00F4616B" w:rsidRPr="000D77C8" w14:paraId="7CA681DE" w14:textId="77777777" w:rsidTr="00CD1704">
        <w:trPr>
          <w:trHeight w:val="270"/>
        </w:trPr>
        <w:tc>
          <w:tcPr>
            <w:tcW w:w="4363" w:type="dxa"/>
            <w:tcBorders>
              <w:top w:val="single" w:sz="4" w:space="0" w:color="auto"/>
              <w:left w:val="single" w:sz="4" w:space="0" w:color="auto"/>
              <w:bottom w:val="single" w:sz="4" w:space="0" w:color="auto"/>
              <w:right w:val="single" w:sz="4" w:space="0" w:color="auto"/>
            </w:tcBorders>
            <w:vAlign w:val="bottom"/>
          </w:tcPr>
          <w:p w14:paraId="04361AA6" w14:textId="77777777" w:rsidR="00F4616B" w:rsidRPr="00124A20" w:rsidRDefault="00F4616B" w:rsidP="00CD1704">
            <w:pPr>
              <w:snapToGrid w:val="0"/>
              <w:rPr>
                <w:lang w:eastAsia="ar-SA"/>
              </w:rPr>
            </w:pPr>
            <w:r w:rsidRPr="00124A20">
              <w:rPr>
                <w:b/>
                <w:lang w:eastAsia="ar-SA"/>
              </w:rPr>
              <w:t>CELKEM</w:t>
            </w:r>
          </w:p>
        </w:tc>
        <w:tc>
          <w:tcPr>
            <w:tcW w:w="1575" w:type="dxa"/>
            <w:tcBorders>
              <w:top w:val="single" w:sz="4" w:space="0" w:color="auto"/>
              <w:left w:val="single" w:sz="4" w:space="0" w:color="auto"/>
              <w:bottom w:val="single" w:sz="4" w:space="0" w:color="auto"/>
              <w:right w:val="single" w:sz="4" w:space="0" w:color="auto"/>
            </w:tcBorders>
            <w:vAlign w:val="bottom"/>
          </w:tcPr>
          <w:p w14:paraId="2AA91511" w14:textId="77777777" w:rsidR="00F4616B" w:rsidRPr="00124A20" w:rsidRDefault="00F4616B" w:rsidP="00CD1704">
            <w:pPr>
              <w:snapToGrid w:val="0"/>
              <w:jc w:val="right"/>
              <w:rPr>
                <w:b/>
                <w:lang w:eastAsia="ar-SA"/>
              </w:rPr>
            </w:pPr>
            <w:r w:rsidRPr="00124A20">
              <w:rPr>
                <w:b/>
                <w:lang w:eastAsia="ar-SA"/>
              </w:rPr>
              <w:t>413 184</w:t>
            </w:r>
          </w:p>
        </w:tc>
        <w:tc>
          <w:tcPr>
            <w:tcW w:w="1576" w:type="dxa"/>
            <w:tcBorders>
              <w:top w:val="single" w:sz="4" w:space="0" w:color="auto"/>
              <w:left w:val="single" w:sz="4" w:space="0" w:color="auto"/>
              <w:bottom w:val="single" w:sz="4" w:space="0" w:color="auto"/>
              <w:right w:val="single" w:sz="4" w:space="0" w:color="auto"/>
            </w:tcBorders>
            <w:vAlign w:val="bottom"/>
          </w:tcPr>
          <w:p w14:paraId="339A00F2" w14:textId="77777777" w:rsidR="00F4616B" w:rsidRPr="000D77C8" w:rsidRDefault="00F4616B" w:rsidP="00CD1704">
            <w:pPr>
              <w:snapToGrid w:val="0"/>
              <w:jc w:val="right"/>
              <w:rPr>
                <w:b/>
                <w:color w:val="FF0000"/>
                <w:lang w:eastAsia="ar-SA"/>
              </w:rPr>
            </w:pPr>
            <w:r w:rsidRPr="00A2151C">
              <w:rPr>
                <w:b/>
                <w:lang w:eastAsia="ar-SA"/>
              </w:rPr>
              <w:t>278 800</w:t>
            </w:r>
          </w:p>
        </w:tc>
        <w:tc>
          <w:tcPr>
            <w:tcW w:w="1451" w:type="dxa"/>
            <w:tcBorders>
              <w:top w:val="single" w:sz="4" w:space="0" w:color="auto"/>
              <w:left w:val="single" w:sz="4" w:space="0" w:color="auto"/>
              <w:bottom w:val="single" w:sz="4" w:space="0" w:color="auto"/>
              <w:right w:val="single" w:sz="4" w:space="0" w:color="auto"/>
            </w:tcBorders>
            <w:vAlign w:val="bottom"/>
          </w:tcPr>
          <w:p w14:paraId="3623209A" w14:textId="77777777" w:rsidR="00F4616B" w:rsidRPr="00A2151C" w:rsidRDefault="00F4616B" w:rsidP="00CD1704">
            <w:pPr>
              <w:snapToGrid w:val="0"/>
              <w:jc w:val="right"/>
              <w:rPr>
                <w:b/>
                <w:lang w:eastAsia="ar-SA"/>
              </w:rPr>
            </w:pPr>
            <w:r w:rsidRPr="00A2151C">
              <w:rPr>
                <w:b/>
                <w:lang w:eastAsia="ar-SA"/>
              </w:rPr>
              <w:t>6 802</w:t>
            </w:r>
          </w:p>
        </w:tc>
      </w:tr>
    </w:tbl>
    <w:p w14:paraId="1AD11E42" w14:textId="77777777" w:rsidR="00F4616B" w:rsidRPr="005A326F" w:rsidRDefault="00F4616B" w:rsidP="00F4616B">
      <w:pPr>
        <w:pStyle w:val="KOMtext"/>
      </w:pPr>
      <w:r w:rsidRPr="005A326F">
        <w:t xml:space="preserve">K 1. 1. 2019 byly v rezervních fondech organizačních složek státu v rámci kapitoly 327 Ministerstvo dopravy prostředky ve výši 413 184 tis. Kč. Jednalo se o prostředky poskytnuté ze zahraničí a prostředky Fondu zábrany škod. </w:t>
      </w:r>
    </w:p>
    <w:p w14:paraId="63828026" w14:textId="77777777" w:rsidR="00F4616B" w:rsidRPr="005A326F" w:rsidRDefault="004E1288" w:rsidP="00F4616B">
      <w:pPr>
        <w:pStyle w:val="KOMtext"/>
      </w:pPr>
      <w:r>
        <w:t>K 31. 12. 2019</w:t>
      </w:r>
      <w:r w:rsidR="00F4616B" w:rsidRPr="005A326F">
        <w:t xml:space="preserve"> byly do rezervního fondu převedeny finanční prostředky ve výši </w:t>
      </w:r>
      <w:r w:rsidR="00F4616B">
        <w:br/>
      </w:r>
      <w:r w:rsidR="00F4616B" w:rsidRPr="005A326F">
        <w:t xml:space="preserve">6 802 tis. Kč (Komunitární programy a BESIP). </w:t>
      </w:r>
    </w:p>
    <w:p w14:paraId="207B1829" w14:textId="77777777" w:rsidR="00F4616B" w:rsidRPr="005A326F" w:rsidRDefault="00F4616B" w:rsidP="00F4616B">
      <w:pPr>
        <w:pStyle w:val="KOMtext"/>
        <w:rPr>
          <w:color w:val="FF0000"/>
        </w:rPr>
      </w:pPr>
      <w:r w:rsidRPr="005A326F">
        <w:t>K 31. 12. 2019 byly vyvedeny z RF finanční prostředky ve výši 141 186 tis. Kč. Čerpáno bylo na projekty v rámci Nástroje pro propojení Evropy 2014+ a na projekt BESIP.</w:t>
      </w:r>
    </w:p>
    <w:p w14:paraId="2D5A9504" w14:textId="77777777" w:rsidR="00F4616B" w:rsidRPr="001F3233" w:rsidRDefault="00F4616B" w:rsidP="00F4616B">
      <w:pPr>
        <w:pStyle w:val="KOMtext"/>
      </w:pPr>
      <w:r w:rsidRPr="001F3233">
        <w:t>K 31. 12. 2019 nebyly vráceny z RF do Fondu zábrany škod žádné finanční prostředky.</w:t>
      </w:r>
    </w:p>
    <w:p w14:paraId="0713962B" w14:textId="77777777" w:rsidR="00F4616B" w:rsidRPr="001F3233" w:rsidRDefault="00F4616B" w:rsidP="00F4616B">
      <w:pPr>
        <w:pStyle w:val="KOMtext"/>
      </w:pPr>
      <w:r w:rsidRPr="001F3233">
        <w:t xml:space="preserve">K 31. 12. 2019 byly v rezervních fondech organizačních složek státu prostředky ve výši </w:t>
      </w:r>
      <w:r w:rsidRPr="001F3233">
        <w:br/>
        <w:t>278 800 tis. Kč.</w:t>
      </w:r>
    </w:p>
    <w:p w14:paraId="1574AFB0" w14:textId="77777777" w:rsidR="00CB332F" w:rsidRPr="004B11AC" w:rsidRDefault="00CB332F" w:rsidP="00F4616B">
      <w:pPr>
        <w:pStyle w:val="KOMtext"/>
        <w:rPr>
          <w:color w:val="FF0000"/>
        </w:rPr>
      </w:pPr>
    </w:p>
    <w:p w14:paraId="3884B207" w14:textId="77777777" w:rsidR="00CB332F" w:rsidRPr="004B11AC" w:rsidRDefault="00CB332F" w:rsidP="00EF629F">
      <w:pPr>
        <w:pStyle w:val="KOMtext"/>
        <w:rPr>
          <w:color w:val="FF0000"/>
        </w:rPr>
      </w:pPr>
    </w:p>
    <w:p w14:paraId="55AE8E22" w14:textId="77777777" w:rsidR="0083730F" w:rsidRPr="004B11AC" w:rsidRDefault="0083730F" w:rsidP="00EF629F">
      <w:pPr>
        <w:pStyle w:val="KOMtext"/>
        <w:rPr>
          <w:color w:val="FF0000"/>
        </w:rPr>
      </w:pPr>
    </w:p>
    <w:p w14:paraId="248F9528" w14:textId="77777777" w:rsidR="00185BC4" w:rsidRPr="00457D1B" w:rsidRDefault="00185BC4" w:rsidP="00275CE2">
      <w:pPr>
        <w:pStyle w:val="Znadpis1"/>
        <w:numPr>
          <w:ilvl w:val="0"/>
          <w:numId w:val="57"/>
        </w:numPr>
      </w:pPr>
      <w:bookmarkStart w:id="1140" w:name="_Toc508879940"/>
      <w:bookmarkStart w:id="1141" w:name="_Toc508880216"/>
      <w:bookmarkStart w:id="1142" w:name="_Toc1376869"/>
      <w:bookmarkStart w:id="1143" w:name="_Toc34286495"/>
      <w:r w:rsidRPr="00457D1B">
        <w:lastRenderedPageBreak/>
        <w:t>Nároky z nespotřebovaných výdajů O</w:t>
      </w:r>
      <w:bookmarkEnd w:id="1138"/>
      <w:r w:rsidR="00103A52" w:rsidRPr="00457D1B">
        <w:t>SS</w:t>
      </w:r>
      <w:bookmarkEnd w:id="1139"/>
      <w:bookmarkEnd w:id="1140"/>
      <w:bookmarkEnd w:id="1141"/>
      <w:bookmarkEnd w:id="1142"/>
      <w:bookmarkEnd w:id="1143"/>
    </w:p>
    <w:p w14:paraId="3359DB1A" w14:textId="77777777" w:rsidR="00457D1B" w:rsidRPr="007561AC" w:rsidRDefault="00457D1B" w:rsidP="00457D1B">
      <w:pPr>
        <w:pStyle w:val="KOMtext"/>
      </w:pPr>
      <w:r w:rsidRPr="007561AC">
        <w:t>V souladu s § 47 zákona č. 218/2000 Sb., o rozpočtových pravidlech, v platném znění, vznikají organizačním složkám státu nároky z nespotřebovaných výdajů minulých let (dále v textu „nároky“). Výše celkových nároků z nespotřebovaných výd</w:t>
      </w:r>
      <w:r>
        <w:t xml:space="preserve">ajů organizačních složek státu </w:t>
      </w:r>
      <w:r>
        <w:br/>
      </w:r>
      <w:r w:rsidRPr="007561AC">
        <w:t xml:space="preserve">v rámci kapitoly 327 Ministerstvo dopravy k 1.1.2019 činila 20 733 877 tis. Kč. </w:t>
      </w:r>
    </w:p>
    <w:p w14:paraId="1937376F" w14:textId="77777777" w:rsidR="00457D1B" w:rsidRPr="007561AC" w:rsidRDefault="00457D1B" w:rsidP="00457D1B">
      <w:pPr>
        <w:pStyle w:val="KOMtext"/>
        <w:rPr>
          <w:b/>
        </w:rPr>
      </w:pPr>
      <w:r w:rsidRPr="007561AC">
        <w:rPr>
          <w:b/>
        </w:rPr>
        <w:t xml:space="preserve">Čerpání nároků za období I. – IV. čtvrtletí roku 2019 bylo ve výši 14 259 882 tis. Kč. </w:t>
      </w:r>
    </w:p>
    <w:p w14:paraId="76565FA2" w14:textId="77777777" w:rsidR="00457D1B" w:rsidRPr="000D77C8" w:rsidRDefault="00457D1B" w:rsidP="00457D1B">
      <w:pPr>
        <w:pStyle w:val="KOMtext"/>
        <w:rPr>
          <w:b/>
          <w:color w:val="FF0000"/>
        </w:rPr>
      </w:pPr>
      <w:r w:rsidRPr="00704962">
        <w:rPr>
          <w:b/>
        </w:rPr>
        <w:t xml:space="preserve">Nároky vzniklé na straně profilujících výdajů byly čerpány v celkové výši </w:t>
      </w:r>
      <w:r w:rsidR="003B0827">
        <w:rPr>
          <w:b/>
          <w:color w:val="FF0000"/>
        </w:rPr>
        <w:br/>
      </w:r>
      <w:r w:rsidRPr="00704962">
        <w:rPr>
          <w:b/>
        </w:rPr>
        <w:t xml:space="preserve">11 134 408 tis. Kč. </w:t>
      </w:r>
    </w:p>
    <w:p w14:paraId="6A9FC089" w14:textId="77777777" w:rsidR="00457D1B" w:rsidRPr="00816EC3" w:rsidRDefault="00457D1B" w:rsidP="00457D1B">
      <w:pPr>
        <w:pStyle w:val="KOMtext"/>
      </w:pPr>
      <w:r w:rsidRPr="00816EC3">
        <w:t xml:space="preserve">Nároky na platy státních zaměstnanců se v 1. - 4. čtvrtletí roku 2019 čerpaly ve výši </w:t>
      </w:r>
      <w:r w:rsidRPr="00816EC3">
        <w:br/>
        <w:t>51 140 tis. Kč u ústředního orgánu MD, Úřadu pro civilní letectví</w:t>
      </w:r>
      <w:r>
        <w:t>,</w:t>
      </w:r>
      <w:r w:rsidRPr="00816EC3">
        <w:t xml:space="preserve"> Státní plavební správy </w:t>
      </w:r>
      <w:r w:rsidR="002E27A1">
        <w:br/>
      </w:r>
      <w:r w:rsidRPr="00816EC3">
        <w:t>a Drážního úřadu.</w:t>
      </w:r>
    </w:p>
    <w:p w14:paraId="0DAA3D30" w14:textId="77777777" w:rsidR="00457D1B" w:rsidRPr="00816EC3" w:rsidRDefault="00457D1B" w:rsidP="00457D1B">
      <w:pPr>
        <w:pStyle w:val="KOMtext"/>
      </w:pPr>
      <w:r w:rsidRPr="00816EC3">
        <w:t xml:space="preserve">Na platy a ostatní platby za provedenou práci kromě platů státních zaměstnanců </w:t>
      </w:r>
      <w:r w:rsidRPr="00816EC3">
        <w:br/>
        <w:t>se nároky v 1. - 4. čtvrtletí 2019 čerpaly ve výši 14 554 tis. Kč u ústředního orgánu MD, Úřadu pro civilní letectví, Drážního úřadu a Drážní inspekce.</w:t>
      </w:r>
    </w:p>
    <w:p w14:paraId="56F9FFC0" w14:textId="77777777" w:rsidR="00457D1B" w:rsidRPr="00053A33" w:rsidRDefault="00457D1B" w:rsidP="00457D1B">
      <w:pPr>
        <w:pStyle w:val="KOMtext"/>
      </w:pPr>
      <w:r w:rsidRPr="00053A33">
        <w:t>Na čerpání profilujících výdajů se nejvíce podílí výdaje z rozpočtu Evropské unie včetně národních podílů (bez platů a OON), a to ve výši 7 799 747 tis. Kč.</w:t>
      </w:r>
    </w:p>
    <w:p w14:paraId="4FD5541F" w14:textId="77777777" w:rsidR="00457D1B" w:rsidRPr="00880F31" w:rsidRDefault="00457D1B" w:rsidP="00457D1B">
      <w:pPr>
        <w:pStyle w:val="KOMtext"/>
        <w:rPr>
          <w:b/>
        </w:rPr>
      </w:pPr>
      <w:r w:rsidRPr="00880F31">
        <w:rPr>
          <w:b/>
        </w:rPr>
        <w:t>Jedná se o :</w:t>
      </w:r>
    </w:p>
    <w:p w14:paraId="46090E44" w14:textId="77777777" w:rsidR="00457D1B" w:rsidRPr="008C1871" w:rsidRDefault="00457D1B" w:rsidP="00275CE2">
      <w:pPr>
        <w:pStyle w:val="KOMtext"/>
        <w:keepLines w:val="0"/>
        <w:numPr>
          <w:ilvl w:val="0"/>
          <w:numId w:val="53"/>
        </w:numPr>
        <w:spacing w:after="200" w:line="240" w:lineRule="auto"/>
        <w:ind w:left="567" w:hanging="283"/>
      </w:pPr>
      <w:r w:rsidRPr="008C1871">
        <w:t>výdaje na Technickou pomoc Operačního programu Doprava (2014-2020) pro MD bez programu 127 03 (prostředky SR a EU) ve výši 19 359 tis. Kč,</w:t>
      </w:r>
    </w:p>
    <w:p w14:paraId="64751AD8" w14:textId="10C31D53" w:rsidR="00457D1B" w:rsidRPr="008C1871" w:rsidRDefault="00457D1B" w:rsidP="00275CE2">
      <w:pPr>
        <w:pStyle w:val="KOMtext"/>
        <w:keepLines w:val="0"/>
        <w:numPr>
          <w:ilvl w:val="0"/>
          <w:numId w:val="53"/>
        </w:numPr>
        <w:spacing w:after="200" w:line="240" w:lineRule="auto"/>
        <w:ind w:left="567" w:hanging="283"/>
      </w:pPr>
      <w:r w:rsidRPr="008C1871">
        <w:t xml:space="preserve"> Komunitární programy (2014 – 2020) neprogramové -  ústřední orgán MD, OSS Státní plavební správa, TP SFDI, V</w:t>
      </w:r>
      <w:r w:rsidR="00524357">
        <w:t>ysoké školy</w:t>
      </w:r>
      <w:r w:rsidRPr="008C1871">
        <w:t xml:space="preserve"> (prostředky SR a EU) ve výši 5 764 tis. Kč,</w:t>
      </w:r>
    </w:p>
    <w:p w14:paraId="7B93CFFE" w14:textId="77777777" w:rsidR="00457D1B" w:rsidRPr="008C1871" w:rsidRDefault="00457D1B" w:rsidP="00275CE2">
      <w:pPr>
        <w:pStyle w:val="KOMtext"/>
        <w:keepLines w:val="0"/>
        <w:numPr>
          <w:ilvl w:val="0"/>
          <w:numId w:val="53"/>
        </w:numPr>
        <w:spacing w:after="200" w:line="240" w:lineRule="auto"/>
        <w:ind w:left="567" w:hanging="283"/>
      </w:pPr>
      <w:r w:rsidRPr="008C1871">
        <w:t>Komunitární programy (2014 – 2020) - program 127 03 „Rozvoj a obnova MTZ systému řízení MD-OSS“ -  ústřední orgán MD (prostředky SR a EU) ve výši 92 tis. Kč,</w:t>
      </w:r>
    </w:p>
    <w:p w14:paraId="709F4951" w14:textId="77777777" w:rsidR="00457D1B" w:rsidRPr="008C1871" w:rsidRDefault="00457D1B" w:rsidP="00275CE2">
      <w:pPr>
        <w:pStyle w:val="KOMtext"/>
        <w:keepLines w:val="0"/>
        <w:numPr>
          <w:ilvl w:val="0"/>
          <w:numId w:val="53"/>
        </w:numPr>
        <w:spacing w:after="200" w:line="240" w:lineRule="auto"/>
        <w:ind w:left="567" w:hanging="283"/>
      </w:pPr>
      <w:r w:rsidRPr="008C1871">
        <w:t xml:space="preserve">Komunitární program (2014-2020)-dotace pro SFDI (prostředky EU) - program 127 77 „Podpora financování dopravy“ ve výši 3 026 900 tis. Kč, </w:t>
      </w:r>
    </w:p>
    <w:p w14:paraId="29CCA6FB" w14:textId="77777777" w:rsidR="00457D1B" w:rsidRPr="00F7059E" w:rsidRDefault="00457D1B" w:rsidP="00275CE2">
      <w:pPr>
        <w:pStyle w:val="KOMtext"/>
        <w:keepLines w:val="0"/>
        <w:numPr>
          <w:ilvl w:val="0"/>
          <w:numId w:val="53"/>
        </w:numPr>
        <w:spacing w:after="200" w:line="240" w:lineRule="auto"/>
        <w:ind w:left="567" w:hanging="283"/>
      </w:pPr>
      <w:r w:rsidRPr="00F7059E">
        <w:t>výdaje na Technickou pomoc Operačního programu Doprava (2014-2020) - dotace pro SFDI (běžné výdaje, prostředky EU) ve výši 49 039 tis. Kč,</w:t>
      </w:r>
    </w:p>
    <w:p w14:paraId="2B2EBD15" w14:textId="77777777" w:rsidR="00457D1B" w:rsidRPr="00944678" w:rsidRDefault="00457D1B" w:rsidP="00275CE2">
      <w:pPr>
        <w:pStyle w:val="KOMtext"/>
        <w:keepLines w:val="0"/>
        <w:numPr>
          <w:ilvl w:val="0"/>
          <w:numId w:val="53"/>
        </w:numPr>
        <w:spacing w:after="200" w:line="240" w:lineRule="auto"/>
        <w:ind w:left="567" w:hanging="283"/>
      </w:pPr>
      <w:r w:rsidRPr="00944678">
        <w:t xml:space="preserve">Operační program Doprava (2014-2020) - dotace pro SFDI - program </w:t>
      </w:r>
      <w:r w:rsidRPr="00944678">
        <w:br/>
        <w:t>127 77 „Podpora financování dopravy“ (prostředky</w:t>
      </w:r>
      <w:r>
        <w:t xml:space="preserve"> SR a EU) ve výši 4 697 490</w:t>
      </w:r>
      <w:r w:rsidRPr="00944678">
        <w:t xml:space="preserve"> tis. Kč,</w:t>
      </w:r>
    </w:p>
    <w:p w14:paraId="3B189690" w14:textId="77777777" w:rsidR="00457D1B" w:rsidRPr="00D44489" w:rsidRDefault="00457D1B" w:rsidP="00275CE2">
      <w:pPr>
        <w:pStyle w:val="KOMtext"/>
        <w:keepLines w:val="0"/>
        <w:numPr>
          <w:ilvl w:val="0"/>
          <w:numId w:val="53"/>
        </w:numPr>
        <w:spacing w:after="200" w:line="240" w:lineRule="auto"/>
        <w:ind w:left="567" w:hanging="283"/>
      </w:pPr>
      <w:r w:rsidRPr="00D44489">
        <w:t xml:space="preserve">Operační program Doprava (2014-2020) - dotace pro SFDI - program </w:t>
      </w:r>
      <w:r w:rsidRPr="00D44489">
        <w:br/>
        <w:t>127 06 „Rozvoj a obnova MTZ systému řízení MD-PO,SFDI“ (prostředky EU) ve výši  867 tis. Kč,</w:t>
      </w:r>
    </w:p>
    <w:p w14:paraId="3954D42D" w14:textId="77777777" w:rsidR="00457D1B" w:rsidRPr="008654E1" w:rsidRDefault="00457D1B" w:rsidP="00275CE2">
      <w:pPr>
        <w:pStyle w:val="KOMtext"/>
        <w:keepLines w:val="0"/>
        <w:numPr>
          <w:ilvl w:val="0"/>
          <w:numId w:val="53"/>
        </w:numPr>
        <w:spacing w:after="200" w:line="240" w:lineRule="auto"/>
        <w:ind w:left="567" w:hanging="283"/>
      </w:pPr>
      <w:r w:rsidRPr="008654E1">
        <w:t xml:space="preserve">Operační program zaměstnanost (2014–2020) - ústřední orgán MD (prostředky SR </w:t>
      </w:r>
      <w:r w:rsidRPr="008654E1">
        <w:br/>
        <w:t>a EU) ve výši 236 tis. Kč.</w:t>
      </w:r>
    </w:p>
    <w:p w14:paraId="065C8F3A" w14:textId="77777777" w:rsidR="00457D1B" w:rsidRPr="000D77C8" w:rsidRDefault="00457D1B" w:rsidP="00457D1B">
      <w:pPr>
        <w:pStyle w:val="KOMtext"/>
        <w:rPr>
          <w:b/>
          <w:color w:val="FF0000"/>
        </w:rPr>
      </w:pPr>
      <w:r w:rsidRPr="00F370CD">
        <w:t xml:space="preserve">Dále se na čerpání profilujících výdajů podílí programy podle § 13 odst. 3 zákona </w:t>
      </w:r>
      <w:r w:rsidRPr="00F370CD">
        <w:br/>
        <w:t xml:space="preserve">č. 218/2000 Sb., o rozpočtových </w:t>
      </w:r>
      <w:r w:rsidRPr="007D310D">
        <w:t>pravidlech a o změně některých souvisejících zákonů (rozpočtová pravidla), a to ve výši 3 268 954 tis. Kč.</w:t>
      </w:r>
      <w:r w:rsidRPr="007D310D">
        <w:rPr>
          <w:b/>
        </w:rPr>
        <w:t xml:space="preserve"> </w:t>
      </w:r>
    </w:p>
    <w:p w14:paraId="27EF657C" w14:textId="77777777" w:rsidR="00457D1B" w:rsidRPr="00F370CD" w:rsidRDefault="00457D1B" w:rsidP="00457D1B">
      <w:pPr>
        <w:pStyle w:val="KOMtext"/>
        <w:rPr>
          <w:b/>
        </w:rPr>
      </w:pPr>
      <w:r w:rsidRPr="00F370CD">
        <w:rPr>
          <w:b/>
        </w:rPr>
        <w:lastRenderedPageBreak/>
        <w:t xml:space="preserve">Jedná se o programy: </w:t>
      </w:r>
    </w:p>
    <w:p w14:paraId="26150F7A" w14:textId="77777777" w:rsidR="00457D1B" w:rsidRPr="00C70A6F" w:rsidRDefault="00457D1B" w:rsidP="00275CE2">
      <w:pPr>
        <w:pStyle w:val="KOMtext"/>
        <w:keepLines w:val="0"/>
        <w:numPr>
          <w:ilvl w:val="0"/>
          <w:numId w:val="54"/>
        </w:numPr>
        <w:spacing w:after="200" w:line="240" w:lineRule="auto"/>
        <w:ind w:left="567" w:hanging="283"/>
      </w:pPr>
      <w:r w:rsidRPr="00C70A6F">
        <w:t>program 127 01 „Rozvoj a obnova materiálně technické základny systému řízení MD – OSS“ ve výši 3 761 tis. Kč,</w:t>
      </w:r>
    </w:p>
    <w:p w14:paraId="10FF9576" w14:textId="77777777" w:rsidR="00457D1B" w:rsidRPr="00A23CA4" w:rsidRDefault="00457D1B" w:rsidP="00275CE2">
      <w:pPr>
        <w:pStyle w:val="KOMtext"/>
        <w:keepLines w:val="0"/>
        <w:numPr>
          <w:ilvl w:val="0"/>
          <w:numId w:val="54"/>
        </w:numPr>
        <w:spacing w:after="200" w:line="240" w:lineRule="auto"/>
        <w:ind w:left="567" w:hanging="283"/>
      </w:pPr>
      <w:r w:rsidRPr="00A23CA4">
        <w:t>program 127 03 „Rozvoj a obnova materiálně technické základny systému řízení MD – OSS“ ve výši 34 141 tis. Kč,</w:t>
      </w:r>
    </w:p>
    <w:p w14:paraId="3815970D" w14:textId="77777777" w:rsidR="00457D1B" w:rsidRPr="00B057CA" w:rsidRDefault="00457D1B" w:rsidP="00275CE2">
      <w:pPr>
        <w:pStyle w:val="KOMtext"/>
        <w:keepLines w:val="0"/>
        <w:numPr>
          <w:ilvl w:val="0"/>
          <w:numId w:val="54"/>
        </w:numPr>
        <w:spacing w:after="200" w:line="240" w:lineRule="auto"/>
        <w:ind w:left="567" w:hanging="283"/>
      </w:pPr>
      <w:r w:rsidRPr="00B057CA">
        <w:t xml:space="preserve">program 127 66 „Podpora obnovy historických železničních kolejových vozidel </w:t>
      </w:r>
      <w:r w:rsidRPr="00B057CA">
        <w:br/>
        <w:t>v období  2017 – 2020“ ve výši 617 tis. Kč,</w:t>
      </w:r>
    </w:p>
    <w:p w14:paraId="2F5096A1" w14:textId="77777777" w:rsidR="00457D1B" w:rsidRPr="00B057CA" w:rsidRDefault="00457D1B" w:rsidP="00275CE2">
      <w:pPr>
        <w:pStyle w:val="KOMtext"/>
        <w:keepLines w:val="0"/>
        <w:numPr>
          <w:ilvl w:val="0"/>
          <w:numId w:val="54"/>
        </w:numPr>
        <w:spacing w:after="200" w:line="240" w:lineRule="auto"/>
        <w:ind w:left="567" w:hanging="283"/>
      </w:pPr>
      <w:r w:rsidRPr="00B057CA">
        <w:t>program 127 77 „Podpora financování dopravy“ ve výši 3 230 435 tis. Kč.</w:t>
      </w:r>
    </w:p>
    <w:p w14:paraId="41AF6E36" w14:textId="77777777" w:rsidR="00457D1B" w:rsidRPr="008634DA" w:rsidRDefault="00457D1B" w:rsidP="00457D1B">
      <w:pPr>
        <w:spacing w:before="120" w:after="120"/>
        <w:jc w:val="both"/>
        <w:rPr>
          <w:b/>
          <w:szCs w:val="20"/>
        </w:rPr>
      </w:pPr>
      <w:r w:rsidRPr="008634DA">
        <w:rPr>
          <w:rStyle w:val="KOMtextChar"/>
        </w:rPr>
        <w:t>Výdaje na výzkum a vývoj se na čerpání profilujících výdajů podílí ve výši 13 tis. Kč</w:t>
      </w:r>
      <w:r w:rsidRPr="008634DA">
        <w:rPr>
          <w:szCs w:val="20"/>
        </w:rPr>
        <w:t>.</w:t>
      </w:r>
      <w:r w:rsidRPr="008634DA">
        <w:rPr>
          <w:b/>
          <w:szCs w:val="20"/>
        </w:rPr>
        <w:t xml:space="preserve"> </w:t>
      </w:r>
    </w:p>
    <w:p w14:paraId="0223F1A7" w14:textId="77777777" w:rsidR="00457D1B" w:rsidRPr="008634DA" w:rsidRDefault="00457D1B" w:rsidP="00457D1B">
      <w:pPr>
        <w:spacing w:before="120" w:after="120"/>
        <w:jc w:val="both"/>
        <w:rPr>
          <w:szCs w:val="20"/>
        </w:rPr>
      </w:pPr>
      <w:r w:rsidRPr="008634DA">
        <w:rPr>
          <w:rStyle w:val="KOMtextChar"/>
          <w:b/>
        </w:rPr>
        <w:t>Jedná se o tituly:</w:t>
      </w:r>
    </w:p>
    <w:p w14:paraId="37FA3397" w14:textId="77777777" w:rsidR="00457D1B" w:rsidRPr="008634DA" w:rsidRDefault="00457D1B" w:rsidP="00275CE2">
      <w:pPr>
        <w:pStyle w:val="KOMtext"/>
        <w:keepLines w:val="0"/>
        <w:numPr>
          <w:ilvl w:val="0"/>
          <w:numId w:val="55"/>
        </w:numPr>
        <w:spacing w:after="200" w:line="240" w:lineRule="auto"/>
        <w:ind w:left="567" w:hanging="284"/>
      </w:pPr>
      <w:r w:rsidRPr="008634DA">
        <w:t>výdaje na hodnocení poskytnuté institucionální podpory ve výši 13 tis. Kč.</w:t>
      </w:r>
    </w:p>
    <w:p w14:paraId="1499E9DF" w14:textId="77777777" w:rsidR="00457D1B" w:rsidRPr="00297A66" w:rsidRDefault="00457D1B" w:rsidP="00457D1B">
      <w:pPr>
        <w:pStyle w:val="KOMtext"/>
      </w:pPr>
      <w:r w:rsidRPr="00297A66">
        <w:rPr>
          <w:b/>
        </w:rPr>
        <w:t>Nároky vzniklé jako neprofilující výdaje byly čerpány v celkové výši 3 125 473 tis. Kč.</w:t>
      </w:r>
      <w:r w:rsidRPr="00297A66">
        <w:t xml:space="preserve"> Jedná se zejména o tituly: </w:t>
      </w:r>
    </w:p>
    <w:p w14:paraId="6FADDB76" w14:textId="77777777" w:rsidR="00457D1B" w:rsidRPr="000D77C8" w:rsidRDefault="00457D1B" w:rsidP="00BA24B3">
      <w:pPr>
        <w:pStyle w:val="KOMtext"/>
        <w:keepLines w:val="0"/>
        <w:numPr>
          <w:ilvl w:val="0"/>
          <w:numId w:val="55"/>
        </w:numPr>
        <w:spacing w:after="0" w:line="240" w:lineRule="auto"/>
        <w:ind w:left="568" w:hanging="284"/>
        <w:rPr>
          <w:color w:val="FF0000"/>
        </w:rPr>
      </w:pPr>
      <w:r w:rsidRPr="00AA2505">
        <w:t xml:space="preserve">dotace na vyrovnání deficitu rozpočtu SFDI ve výši 2 996 331 </w:t>
      </w:r>
      <w:r w:rsidRPr="00804863">
        <w:t>tis. Kč,</w:t>
      </w:r>
    </w:p>
    <w:p w14:paraId="7BC93AB2" w14:textId="77777777" w:rsidR="00457D1B" w:rsidRDefault="00457D1B" w:rsidP="00BA24B3">
      <w:pPr>
        <w:pStyle w:val="KOMtext"/>
        <w:keepLines w:val="0"/>
        <w:numPr>
          <w:ilvl w:val="0"/>
          <w:numId w:val="55"/>
        </w:numPr>
        <w:spacing w:after="0" w:line="240" w:lineRule="auto"/>
        <w:ind w:left="568" w:hanging="284"/>
      </w:pPr>
      <w:r w:rsidRPr="00804863">
        <w:t>prostředky poskytnuté na dopravní obslužnost ve výši 3 943 tis. Kč</w:t>
      </w:r>
      <w:r>
        <w:t>,</w:t>
      </w:r>
    </w:p>
    <w:p w14:paraId="71DDB02D" w14:textId="77777777" w:rsidR="00457D1B" w:rsidRDefault="00457D1B" w:rsidP="00BA24B3">
      <w:pPr>
        <w:pStyle w:val="KOMtext"/>
        <w:keepLines w:val="0"/>
        <w:numPr>
          <w:ilvl w:val="0"/>
          <w:numId w:val="55"/>
        </w:numPr>
        <w:spacing w:after="0" w:line="240" w:lineRule="auto"/>
        <w:ind w:left="568" w:hanging="284"/>
      </w:pPr>
      <w:r>
        <w:t>návratná finanční výpomoc CENDIS ve výši 10 650 tis. Kč,</w:t>
      </w:r>
    </w:p>
    <w:p w14:paraId="60BCB5BE" w14:textId="77777777" w:rsidR="00457D1B" w:rsidRDefault="00457D1B" w:rsidP="00BA24B3">
      <w:pPr>
        <w:pStyle w:val="KOMtext"/>
        <w:keepLines w:val="0"/>
        <w:numPr>
          <w:ilvl w:val="0"/>
          <w:numId w:val="55"/>
        </w:numPr>
        <w:spacing w:after="0" w:line="240" w:lineRule="auto"/>
        <w:ind w:left="568" w:hanging="284"/>
      </w:pPr>
      <w:r>
        <w:t xml:space="preserve">prostředky poskytnuté na zajištění výcviku řídících letového provozu AČR ve výši </w:t>
      </w:r>
      <w:r w:rsidR="00083570">
        <w:br/>
      </w:r>
      <w:r>
        <w:t>13 259 tis. Kč,</w:t>
      </w:r>
    </w:p>
    <w:p w14:paraId="42951C8E" w14:textId="77777777" w:rsidR="00457D1B" w:rsidRPr="00804863" w:rsidRDefault="00457D1B" w:rsidP="00BA24B3">
      <w:pPr>
        <w:pStyle w:val="KOMtext"/>
        <w:keepLines w:val="0"/>
        <w:numPr>
          <w:ilvl w:val="0"/>
          <w:numId w:val="55"/>
        </w:numPr>
        <w:spacing w:after="0" w:line="240" w:lineRule="auto"/>
        <w:ind w:left="568" w:hanging="284"/>
      </w:pPr>
      <w:r>
        <w:t>příslušenství k platům</w:t>
      </w:r>
      <w:r w:rsidRPr="00816EC3">
        <w:t xml:space="preserve"> a ostatní</w:t>
      </w:r>
      <w:r>
        <w:t>m platbám</w:t>
      </w:r>
      <w:r w:rsidRPr="00816EC3">
        <w:t xml:space="preserve"> za provedenou práci</w:t>
      </w:r>
      <w:r>
        <w:t xml:space="preserve"> ve výši 14 257 tis. Kč,</w:t>
      </w:r>
    </w:p>
    <w:p w14:paraId="6D7547F4" w14:textId="77777777" w:rsidR="00457D1B" w:rsidRDefault="00457D1B" w:rsidP="00BA24B3">
      <w:pPr>
        <w:pStyle w:val="KOMtext"/>
        <w:keepLines w:val="0"/>
        <w:numPr>
          <w:ilvl w:val="0"/>
          <w:numId w:val="55"/>
        </w:numPr>
        <w:spacing w:after="0" w:line="240" w:lineRule="auto"/>
        <w:ind w:left="568" w:hanging="284"/>
      </w:pPr>
      <w:r w:rsidRPr="00D61F01">
        <w:t xml:space="preserve">ostatní výdaje organizačních složek státu vč. ústředního orgánu MD ve výši </w:t>
      </w:r>
      <w:r w:rsidRPr="00D61F01">
        <w:br/>
        <w:t xml:space="preserve">87 033 tis. Kč. </w:t>
      </w:r>
    </w:p>
    <w:p w14:paraId="475649B6" w14:textId="77777777" w:rsidR="00457D1B" w:rsidRDefault="00457D1B" w:rsidP="00457D1B">
      <w:pPr>
        <w:pStyle w:val="KOMtext"/>
      </w:pPr>
      <w:r>
        <w:t xml:space="preserve">Stav nároků </w:t>
      </w:r>
      <w:r w:rsidRPr="00725759">
        <w:t>z nespotřebo</w:t>
      </w:r>
      <w:r>
        <w:t>vaných výdajů byl k 31. 12. 2019</w:t>
      </w:r>
      <w:r w:rsidRPr="00725759">
        <w:t xml:space="preserve"> snížen z důvodu ukončení podle </w:t>
      </w:r>
      <w:r w:rsidR="00083570">
        <w:br/>
      </w:r>
      <w:r w:rsidRPr="00725759">
        <w:t>§ 47 odst. 6 písm</w:t>
      </w:r>
      <w:r w:rsidR="00513541">
        <w:t>.</w:t>
      </w:r>
      <w:r w:rsidRPr="00725759">
        <w:t xml:space="preserve"> b) až e) zákona č. 218/2000 Sb., o rozpočtových pravidlech, v</w:t>
      </w:r>
      <w:r>
        <w:t xml:space="preserve"> platném znění, o částku 90 658</w:t>
      </w:r>
      <w:r w:rsidRPr="00725759">
        <w:t xml:space="preserve"> tis. Kč, v</w:t>
      </w:r>
      <w:r>
        <w:t> </w:t>
      </w:r>
      <w:r w:rsidRPr="00725759">
        <w:t>tom</w:t>
      </w:r>
      <w:r>
        <w:t xml:space="preserve"> zejména</w:t>
      </w:r>
      <w:r w:rsidRPr="00725759">
        <w:t>:</w:t>
      </w:r>
    </w:p>
    <w:p w14:paraId="54569E83" w14:textId="39DC947D" w:rsidR="00457D1B" w:rsidRDefault="00457D1B" w:rsidP="00BA24B3">
      <w:pPr>
        <w:pStyle w:val="Odstavecseseznamem"/>
        <w:numPr>
          <w:ilvl w:val="0"/>
          <w:numId w:val="62"/>
        </w:numPr>
        <w:spacing w:before="120" w:after="360"/>
        <w:ind w:left="568" w:hanging="284"/>
        <w:jc w:val="both"/>
        <w:rPr>
          <w:szCs w:val="20"/>
        </w:rPr>
      </w:pPr>
      <w:r w:rsidRPr="006F0DCA">
        <w:rPr>
          <w:szCs w:val="20"/>
        </w:rPr>
        <w:t xml:space="preserve">částky profilujících výdajů, u nichž pominul účel jejich narozpočtování ve výši  </w:t>
      </w:r>
      <w:r>
        <w:rPr>
          <w:szCs w:val="20"/>
        </w:rPr>
        <w:br/>
      </w:r>
      <w:r w:rsidRPr="006F0DCA">
        <w:rPr>
          <w:szCs w:val="20"/>
        </w:rPr>
        <w:t>465  tis. Kč, v tom:</w:t>
      </w:r>
    </w:p>
    <w:p w14:paraId="55C85FA4" w14:textId="4D1D51A8" w:rsidR="00457D1B" w:rsidRDefault="00457D1B" w:rsidP="00BA24B3">
      <w:pPr>
        <w:pStyle w:val="Odstavecseseznamem"/>
        <w:numPr>
          <w:ilvl w:val="0"/>
          <w:numId w:val="63"/>
        </w:numPr>
        <w:spacing w:before="240" w:after="120"/>
        <w:ind w:left="851" w:hanging="284"/>
        <w:jc w:val="both"/>
        <w:rPr>
          <w:szCs w:val="20"/>
        </w:rPr>
      </w:pPr>
      <w:r w:rsidRPr="006F0DCA">
        <w:rPr>
          <w:szCs w:val="20"/>
        </w:rPr>
        <w:t>účelové prostředky na platy kromě platů státních zaměstnanců včetně příslušenství ve výši 465 tis. Kč.</w:t>
      </w:r>
    </w:p>
    <w:p w14:paraId="78D2670E" w14:textId="77777777" w:rsidR="00BA24B3" w:rsidRPr="006F0DCA" w:rsidRDefault="00BA24B3" w:rsidP="00BA24B3">
      <w:pPr>
        <w:pStyle w:val="Odstavecseseznamem"/>
        <w:spacing w:before="240" w:after="120"/>
        <w:ind w:left="851"/>
        <w:jc w:val="both"/>
        <w:rPr>
          <w:szCs w:val="20"/>
        </w:rPr>
      </w:pPr>
    </w:p>
    <w:p w14:paraId="2E8733FC" w14:textId="77777777" w:rsidR="00457D1B" w:rsidRPr="006F0DCA" w:rsidRDefault="00457D1B" w:rsidP="00275CE2">
      <w:pPr>
        <w:pStyle w:val="Odstavecseseznamem"/>
        <w:numPr>
          <w:ilvl w:val="0"/>
          <w:numId w:val="62"/>
        </w:numPr>
        <w:spacing w:before="120"/>
        <w:ind w:left="567" w:hanging="283"/>
        <w:jc w:val="both"/>
        <w:rPr>
          <w:szCs w:val="20"/>
        </w:rPr>
      </w:pPr>
      <w:r w:rsidRPr="006F0DCA">
        <w:rPr>
          <w:szCs w:val="20"/>
        </w:rPr>
        <w:t xml:space="preserve">částky profilujících výdajů, u kterých OSS zjistila, že je již nepoužije  ve výši  </w:t>
      </w:r>
      <w:r>
        <w:rPr>
          <w:szCs w:val="20"/>
        </w:rPr>
        <w:br/>
      </w:r>
      <w:r w:rsidRPr="006F0DCA">
        <w:rPr>
          <w:szCs w:val="20"/>
        </w:rPr>
        <w:t>90 193  tis. Kč, v tom:</w:t>
      </w:r>
    </w:p>
    <w:p w14:paraId="64A0BDE4" w14:textId="77777777" w:rsidR="00457D1B" w:rsidRPr="006F0DCA" w:rsidRDefault="00457D1B" w:rsidP="00275CE2">
      <w:pPr>
        <w:pStyle w:val="Odstavecseseznamem"/>
        <w:numPr>
          <w:ilvl w:val="0"/>
          <w:numId w:val="63"/>
        </w:numPr>
        <w:spacing w:before="120"/>
        <w:ind w:left="851" w:hanging="283"/>
        <w:jc w:val="both"/>
        <w:rPr>
          <w:szCs w:val="20"/>
        </w:rPr>
      </w:pPr>
      <w:r w:rsidRPr="006F0DCA">
        <w:rPr>
          <w:szCs w:val="20"/>
        </w:rPr>
        <w:t>prostředky SR a EU – Operační program Doprava 2007–2013 – program 127 65 „Pořízení a modernizace železničních kolejových vozidel“ ve výši 90 193 tis. Kč</w:t>
      </w:r>
      <w:r>
        <w:rPr>
          <w:szCs w:val="20"/>
        </w:rPr>
        <w:t>.</w:t>
      </w:r>
    </w:p>
    <w:p w14:paraId="05A1B16B" w14:textId="77777777" w:rsidR="00457D1B" w:rsidRDefault="00457D1B" w:rsidP="00457D1B">
      <w:pPr>
        <w:spacing w:before="120"/>
        <w:ind w:left="720"/>
        <w:jc w:val="both"/>
        <w:rPr>
          <w:szCs w:val="20"/>
        </w:rPr>
      </w:pPr>
    </w:p>
    <w:p w14:paraId="27200454" w14:textId="77777777" w:rsidR="00457D1B" w:rsidRDefault="00457D1B" w:rsidP="00457D1B">
      <w:pPr>
        <w:spacing w:before="120"/>
        <w:ind w:left="720"/>
        <w:jc w:val="both"/>
        <w:rPr>
          <w:szCs w:val="20"/>
        </w:rPr>
      </w:pPr>
    </w:p>
    <w:p w14:paraId="1252D5AC" w14:textId="6C9D0C2A" w:rsidR="00457D1B" w:rsidRDefault="00457D1B" w:rsidP="00457D1B">
      <w:pPr>
        <w:spacing w:before="120"/>
        <w:ind w:left="720"/>
        <w:jc w:val="both"/>
        <w:rPr>
          <w:szCs w:val="20"/>
        </w:rPr>
      </w:pPr>
    </w:p>
    <w:p w14:paraId="5FE889F0" w14:textId="642E6359" w:rsidR="00BA24B3" w:rsidRDefault="00BA24B3" w:rsidP="00457D1B">
      <w:pPr>
        <w:spacing w:before="120"/>
        <w:ind w:left="720"/>
        <w:jc w:val="both"/>
        <w:rPr>
          <w:szCs w:val="20"/>
        </w:rPr>
      </w:pPr>
    </w:p>
    <w:p w14:paraId="62A632B5" w14:textId="6E9E965F" w:rsidR="00BA24B3" w:rsidRDefault="00BA24B3" w:rsidP="00457D1B">
      <w:pPr>
        <w:spacing w:before="120"/>
        <w:ind w:left="720"/>
        <w:jc w:val="both"/>
        <w:rPr>
          <w:szCs w:val="20"/>
        </w:rPr>
      </w:pPr>
    </w:p>
    <w:p w14:paraId="0EDBE215" w14:textId="77777777" w:rsidR="00457D1B" w:rsidRPr="004B11AC" w:rsidRDefault="00457D1B" w:rsidP="00457D1B">
      <w:pPr>
        <w:spacing w:before="120"/>
        <w:ind w:left="720"/>
        <w:jc w:val="both"/>
        <w:rPr>
          <w:b/>
          <w:color w:val="FF0000"/>
          <w:szCs w:val="20"/>
          <w:u w:val="single"/>
        </w:rPr>
      </w:pPr>
      <w:r w:rsidRPr="007A0EFA">
        <w:rPr>
          <w:b/>
          <w:szCs w:val="20"/>
          <w:u w:val="single"/>
        </w:rPr>
        <w:lastRenderedPageBreak/>
        <w:t>Stav a čerpání nároků z nespotřebovaných výdajů dle jednotlivých OSS</w:t>
      </w:r>
    </w:p>
    <w:p w14:paraId="247CF4C1" w14:textId="77777777" w:rsidR="00457D1B" w:rsidRPr="004B11AC" w:rsidRDefault="00457D1B" w:rsidP="00457D1B">
      <w:pPr>
        <w:spacing w:before="120"/>
        <w:ind w:left="720"/>
        <w:jc w:val="both"/>
        <w:rPr>
          <w:color w:val="FF000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559"/>
        <w:gridCol w:w="1985"/>
        <w:gridCol w:w="1559"/>
      </w:tblGrid>
      <w:tr w:rsidR="00457D1B" w:rsidRPr="004B11AC" w14:paraId="37B498F1" w14:textId="77777777" w:rsidTr="00DE0323">
        <w:tc>
          <w:tcPr>
            <w:tcW w:w="3652" w:type="dxa"/>
            <w:shd w:val="clear" w:color="auto" w:fill="auto"/>
          </w:tcPr>
          <w:p w14:paraId="68C661A2" w14:textId="77777777" w:rsidR="00457D1B" w:rsidRPr="00C61237" w:rsidRDefault="00457D1B" w:rsidP="00DE0323">
            <w:pPr>
              <w:spacing w:before="320"/>
              <w:jc w:val="center"/>
              <w:rPr>
                <w:b/>
                <w:szCs w:val="20"/>
              </w:rPr>
            </w:pPr>
            <w:r w:rsidRPr="00C61237">
              <w:rPr>
                <w:b/>
                <w:szCs w:val="20"/>
              </w:rPr>
              <w:t>Organizační složka státu</w:t>
            </w:r>
          </w:p>
        </w:tc>
        <w:tc>
          <w:tcPr>
            <w:tcW w:w="1559" w:type="dxa"/>
            <w:shd w:val="clear" w:color="auto" w:fill="auto"/>
          </w:tcPr>
          <w:p w14:paraId="1D9C75AC" w14:textId="77777777" w:rsidR="00457D1B" w:rsidRPr="004B11AC" w:rsidRDefault="00457D1B" w:rsidP="00DE0323">
            <w:pPr>
              <w:spacing w:before="120"/>
              <w:jc w:val="center"/>
              <w:rPr>
                <w:b/>
                <w:color w:val="FF0000"/>
                <w:szCs w:val="20"/>
              </w:rPr>
            </w:pPr>
            <w:r w:rsidRPr="00EB5D53">
              <w:rPr>
                <w:b/>
                <w:szCs w:val="20"/>
              </w:rPr>
              <w:t>Stav nároků k 1.1.2019 v tis. Kč</w:t>
            </w:r>
          </w:p>
        </w:tc>
        <w:tc>
          <w:tcPr>
            <w:tcW w:w="1985" w:type="dxa"/>
            <w:shd w:val="clear" w:color="auto" w:fill="auto"/>
          </w:tcPr>
          <w:p w14:paraId="165AF797" w14:textId="77777777" w:rsidR="00457D1B" w:rsidRPr="004B11AC" w:rsidRDefault="00457D1B" w:rsidP="00DE0323">
            <w:pPr>
              <w:spacing w:before="120"/>
              <w:jc w:val="center"/>
              <w:rPr>
                <w:b/>
                <w:color w:val="FF0000"/>
                <w:szCs w:val="20"/>
              </w:rPr>
            </w:pPr>
            <w:r w:rsidRPr="00EB5D53">
              <w:rPr>
                <w:b/>
                <w:szCs w:val="20"/>
              </w:rPr>
              <w:t>Čerpání nároků k 31.12.2019 v tis. Kč</w:t>
            </w:r>
          </w:p>
        </w:tc>
        <w:tc>
          <w:tcPr>
            <w:tcW w:w="1559" w:type="dxa"/>
            <w:shd w:val="clear" w:color="auto" w:fill="auto"/>
          </w:tcPr>
          <w:p w14:paraId="3AD926DC" w14:textId="77777777" w:rsidR="00457D1B" w:rsidRPr="004B11AC" w:rsidRDefault="00457D1B" w:rsidP="00DE0323">
            <w:pPr>
              <w:spacing w:before="120"/>
              <w:jc w:val="center"/>
              <w:rPr>
                <w:b/>
                <w:color w:val="FF0000"/>
                <w:szCs w:val="20"/>
              </w:rPr>
            </w:pPr>
            <w:r w:rsidRPr="00EB5D53">
              <w:rPr>
                <w:b/>
                <w:szCs w:val="20"/>
              </w:rPr>
              <w:t>Stav nároků k 1.1.2020 v tis. Kč</w:t>
            </w:r>
          </w:p>
        </w:tc>
      </w:tr>
      <w:tr w:rsidR="00457D1B" w:rsidRPr="004B11AC" w14:paraId="7217480B" w14:textId="77777777" w:rsidTr="00DE0323">
        <w:tc>
          <w:tcPr>
            <w:tcW w:w="3652" w:type="dxa"/>
            <w:shd w:val="clear" w:color="auto" w:fill="auto"/>
          </w:tcPr>
          <w:p w14:paraId="265C3948" w14:textId="77777777" w:rsidR="00457D1B" w:rsidRPr="00C61237" w:rsidRDefault="00457D1B" w:rsidP="00DE0323">
            <w:pPr>
              <w:spacing w:before="120"/>
              <w:rPr>
                <w:b/>
                <w:szCs w:val="20"/>
              </w:rPr>
            </w:pPr>
            <w:r w:rsidRPr="00C61237">
              <w:rPr>
                <w:b/>
                <w:szCs w:val="20"/>
              </w:rPr>
              <w:t>Ministerstvo dopravy – ústřední orgán</w:t>
            </w:r>
          </w:p>
        </w:tc>
        <w:tc>
          <w:tcPr>
            <w:tcW w:w="1559" w:type="dxa"/>
            <w:shd w:val="clear" w:color="auto" w:fill="auto"/>
          </w:tcPr>
          <w:p w14:paraId="3B0E4FEE" w14:textId="77777777" w:rsidR="00457D1B" w:rsidRPr="00D23AC6" w:rsidRDefault="00457D1B" w:rsidP="00DE0323">
            <w:pPr>
              <w:spacing w:before="120"/>
              <w:jc w:val="right"/>
              <w:rPr>
                <w:szCs w:val="20"/>
              </w:rPr>
            </w:pPr>
            <w:r w:rsidRPr="00D23AC6">
              <w:rPr>
                <w:szCs w:val="20"/>
              </w:rPr>
              <w:t>20 617 965</w:t>
            </w:r>
          </w:p>
        </w:tc>
        <w:tc>
          <w:tcPr>
            <w:tcW w:w="1985" w:type="dxa"/>
            <w:shd w:val="clear" w:color="auto" w:fill="auto"/>
          </w:tcPr>
          <w:p w14:paraId="2F1D2FF5" w14:textId="77777777" w:rsidR="00457D1B" w:rsidRPr="004B11AC" w:rsidRDefault="00457D1B" w:rsidP="00DE0323">
            <w:pPr>
              <w:spacing w:before="120"/>
              <w:jc w:val="right"/>
              <w:rPr>
                <w:color w:val="FF0000"/>
                <w:szCs w:val="20"/>
              </w:rPr>
            </w:pPr>
            <w:r w:rsidRPr="00172A02">
              <w:rPr>
                <w:szCs w:val="20"/>
              </w:rPr>
              <w:t>14 217 600</w:t>
            </w:r>
          </w:p>
        </w:tc>
        <w:tc>
          <w:tcPr>
            <w:tcW w:w="1559" w:type="dxa"/>
            <w:shd w:val="clear" w:color="auto" w:fill="auto"/>
          </w:tcPr>
          <w:p w14:paraId="0DC5A352" w14:textId="77777777" w:rsidR="00457D1B" w:rsidRPr="004B11AC" w:rsidRDefault="00457D1B" w:rsidP="00DE0323">
            <w:pPr>
              <w:spacing w:before="120"/>
              <w:jc w:val="right"/>
              <w:rPr>
                <w:color w:val="FF0000"/>
                <w:szCs w:val="20"/>
              </w:rPr>
            </w:pPr>
            <w:r w:rsidRPr="001154B6">
              <w:rPr>
                <w:szCs w:val="20"/>
              </w:rPr>
              <w:t>22 238 098</w:t>
            </w:r>
          </w:p>
        </w:tc>
      </w:tr>
      <w:tr w:rsidR="00457D1B" w:rsidRPr="004B11AC" w14:paraId="04F15FF7" w14:textId="77777777" w:rsidTr="00DE0323">
        <w:tc>
          <w:tcPr>
            <w:tcW w:w="3652" w:type="dxa"/>
            <w:shd w:val="clear" w:color="auto" w:fill="auto"/>
          </w:tcPr>
          <w:p w14:paraId="0233C43D" w14:textId="77777777" w:rsidR="00457D1B" w:rsidRPr="00C61237" w:rsidRDefault="00457D1B" w:rsidP="00DE0323">
            <w:pPr>
              <w:spacing w:before="120"/>
              <w:rPr>
                <w:b/>
                <w:szCs w:val="20"/>
              </w:rPr>
            </w:pPr>
            <w:r w:rsidRPr="00C61237">
              <w:rPr>
                <w:b/>
                <w:szCs w:val="20"/>
              </w:rPr>
              <w:t>Státní plavební správa</w:t>
            </w:r>
          </w:p>
        </w:tc>
        <w:tc>
          <w:tcPr>
            <w:tcW w:w="1559" w:type="dxa"/>
            <w:shd w:val="clear" w:color="auto" w:fill="auto"/>
          </w:tcPr>
          <w:p w14:paraId="16FBFD8D" w14:textId="77777777" w:rsidR="00457D1B" w:rsidRPr="00D23AC6" w:rsidRDefault="00457D1B" w:rsidP="00DE0323">
            <w:pPr>
              <w:spacing w:before="120"/>
              <w:jc w:val="right"/>
              <w:rPr>
                <w:szCs w:val="20"/>
              </w:rPr>
            </w:pPr>
            <w:r w:rsidRPr="00D23AC6">
              <w:rPr>
                <w:szCs w:val="20"/>
              </w:rPr>
              <w:t>11 387</w:t>
            </w:r>
          </w:p>
        </w:tc>
        <w:tc>
          <w:tcPr>
            <w:tcW w:w="1985" w:type="dxa"/>
            <w:shd w:val="clear" w:color="auto" w:fill="auto"/>
          </w:tcPr>
          <w:p w14:paraId="5C3AD633" w14:textId="77777777" w:rsidR="00457D1B" w:rsidRPr="004B11AC" w:rsidRDefault="00457D1B" w:rsidP="00DE0323">
            <w:pPr>
              <w:spacing w:before="120"/>
              <w:jc w:val="right"/>
              <w:rPr>
                <w:color w:val="FF0000"/>
                <w:szCs w:val="20"/>
              </w:rPr>
            </w:pPr>
            <w:r w:rsidRPr="00D130B8">
              <w:rPr>
                <w:szCs w:val="20"/>
              </w:rPr>
              <w:t>6 077</w:t>
            </w:r>
          </w:p>
        </w:tc>
        <w:tc>
          <w:tcPr>
            <w:tcW w:w="1559" w:type="dxa"/>
            <w:shd w:val="clear" w:color="auto" w:fill="auto"/>
          </w:tcPr>
          <w:p w14:paraId="58385A69" w14:textId="77777777" w:rsidR="00457D1B" w:rsidRPr="004B11AC" w:rsidRDefault="00457D1B" w:rsidP="00DE0323">
            <w:pPr>
              <w:spacing w:before="120"/>
              <w:jc w:val="right"/>
              <w:rPr>
                <w:color w:val="FF0000"/>
                <w:szCs w:val="20"/>
              </w:rPr>
            </w:pPr>
            <w:r w:rsidRPr="00CF6B86">
              <w:rPr>
                <w:color w:val="000000" w:themeColor="text1"/>
                <w:szCs w:val="20"/>
              </w:rPr>
              <w:t>10 879</w:t>
            </w:r>
          </w:p>
        </w:tc>
      </w:tr>
      <w:tr w:rsidR="00457D1B" w:rsidRPr="004B11AC" w14:paraId="0AB44B5E" w14:textId="77777777" w:rsidTr="00DE0323">
        <w:tc>
          <w:tcPr>
            <w:tcW w:w="3652" w:type="dxa"/>
            <w:shd w:val="clear" w:color="auto" w:fill="auto"/>
          </w:tcPr>
          <w:p w14:paraId="3AFB36D6" w14:textId="77777777" w:rsidR="00457D1B" w:rsidRPr="00C61237" w:rsidRDefault="00457D1B" w:rsidP="00DE0323">
            <w:pPr>
              <w:spacing w:before="120"/>
              <w:rPr>
                <w:b/>
                <w:szCs w:val="20"/>
              </w:rPr>
            </w:pPr>
            <w:r w:rsidRPr="00C61237">
              <w:rPr>
                <w:b/>
                <w:szCs w:val="20"/>
              </w:rPr>
              <w:t>Úřad pro civilní letectví</w:t>
            </w:r>
          </w:p>
        </w:tc>
        <w:tc>
          <w:tcPr>
            <w:tcW w:w="1559" w:type="dxa"/>
            <w:shd w:val="clear" w:color="auto" w:fill="auto"/>
          </w:tcPr>
          <w:p w14:paraId="52737ABF" w14:textId="77777777" w:rsidR="00457D1B" w:rsidRPr="00D23AC6" w:rsidRDefault="00457D1B" w:rsidP="00DE0323">
            <w:pPr>
              <w:spacing w:before="120"/>
              <w:jc w:val="right"/>
              <w:rPr>
                <w:szCs w:val="20"/>
              </w:rPr>
            </w:pPr>
            <w:r w:rsidRPr="00D23AC6">
              <w:rPr>
                <w:szCs w:val="20"/>
              </w:rPr>
              <w:t>70 095</w:t>
            </w:r>
          </w:p>
        </w:tc>
        <w:tc>
          <w:tcPr>
            <w:tcW w:w="1985" w:type="dxa"/>
            <w:shd w:val="clear" w:color="auto" w:fill="auto"/>
          </w:tcPr>
          <w:p w14:paraId="3338C469" w14:textId="77777777" w:rsidR="00457D1B" w:rsidRPr="004B11AC" w:rsidRDefault="00457D1B" w:rsidP="00DE0323">
            <w:pPr>
              <w:spacing w:before="120"/>
              <w:jc w:val="right"/>
              <w:rPr>
                <w:color w:val="FF0000"/>
                <w:szCs w:val="20"/>
              </w:rPr>
            </w:pPr>
            <w:r w:rsidRPr="005B535C">
              <w:rPr>
                <w:szCs w:val="20"/>
              </w:rPr>
              <w:t>22 368</w:t>
            </w:r>
          </w:p>
        </w:tc>
        <w:tc>
          <w:tcPr>
            <w:tcW w:w="1559" w:type="dxa"/>
            <w:shd w:val="clear" w:color="auto" w:fill="auto"/>
          </w:tcPr>
          <w:p w14:paraId="23D3AD83" w14:textId="77777777" w:rsidR="00457D1B" w:rsidRPr="00C433FC" w:rsidRDefault="00457D1B" w:rsidP="00DE0323">
            <w:pPr>
              <w:spacing w:before="120"/>
              <w:jc w:val="right"/>
              <w:rPr>
                <w:szCs w:val="20"/>
              </w:rPr>
            </w:pPr>
            <w:r w:rsidRPr="00C433FC">
              <w:rPr>
                <w:szCs w:val="20"/>
              </w:rPr>
              <w:t>76 817</w:t>
            </w:r>
          </w:p>
        </w:tc>
      </w:tr>
      <w:tr w:rsidR="00457D1B" w:rsidRPr="004B11AC" w14:paraId="4CBD4729" w14:textId="77777777" w:rsidTr="00DE0323">
        <w:tc>
          <w:tcPr>
            <w:tcW w:w="3652" w:type="dxa"/>
            <w:shd w:val="clear" w:color="auto" w:fill="auto"/>
          </w:tcPr>
          <w:p w14:paraId="41BC0148" w14:textId="77777777" w:rsidR="00457D1B" w:rsidRPr="00C61237" w:rsidRDefault="00457D1B" w:rsidP="00DE0323">
            <w:pPr>
              <w:spacing w:before="120"/>
              <w:rPr>
                <w:b/>
                <w:szCs w:val="20"/>
              </w:rPr>
            </w:pPr>
            <w:r w:rsidRPr="00C61237">
              <w:rPr>
                <w:b/>
                <w:szCs w:val="20"/>
              </w:rPr>
              <w:t>Drážní úřad</w:t>
            </w:r>
          </w:p>
        </w:tc>
        <w:tc>
          <w:tcPr>
            <w:tcW w:w="1559" w:type="dxa"/>
            <w:shd w:val="clear" w:color="auto" w:fill="auto"/>
          </w:tcPr>
          <w:p w14:paraId="648A0078" w14:textId="77777777" w:rsidR="00457D1B" w:rsidRPr="00D23AC6" w:rsidRDefault="00457D1B" w:rsidP="00DE0323">
            <w:pPr>
              <w:spacing w:before="120"/>
              <w:jc w:val="right"/>
              <w:rPr>
                <w:szCs w:val="20"/>
              </w:rPr>
            </w:pPr>
            <w:r w:rsidRPr="00D23AC6">
              <w:rPr>
                <w:szCs w:val="20"/>
              </w:rPr>
              <w:t>5 942</w:t>
            </w:r>
          </w:p>
        </w:tc>
        <w:tc>
          <w:tcPr>
            <w:tcW w:w="1985" w:type="dxa"/>
            <w:shd w:val="clear" w:color="auto" w:fill="auto"/>
          </w:tcPr>
          <w:p w14:paraId="1D40E937" w14:textId="77777777" w:rsidR="00457D1B" w:rsidRPr="004B11AC" w:rsidRDefault="00457D1B" w:rsidP="00DE0323">
            <w:pPr>
              <w:spacing w:before="120"/>
              <w:jc w:val="right"/>
              <w:rPr>
                <w:color w:val="FF0000"/>
                <w:szCs w:val="20"/>
              </w:rPr>
            </w:pPr>
            <w:r w:rsidRPr="008C2F2B">
              <w:rPr>
                <w:szCs w:val="20"/>
              </w:rPr>
              <w:t>3 459</w:t>
            </w:r>
          </w:p>
        </w:tc>
        <w:tc>
          <w:tcPr>
            <w:tcW w:w="1559" w:type="dxa"/>
            <w:shd w:val="clear" w:color="auto" w:fill="auto"/>
          </w:tcPr>
          <w:p w14:paraId="5E3FB2DA" w14:textId="77777777" w:rsidR="00457D1B" w:rsidRPr="004B11AC" w:rsidRDefault="00457D1B" w:rsidP="00DE0323">
            <w:pPr>
              <w:spacing w:before="120"/>
              <w:jc w:val="right"/>
              <w:rPr>
                <w:color w:val="FF0000"/>
                <w:szCs w:val="20"/>
              </w:rPr>
            </w:pPr>
            <w:r w:rsidRPr="0091209C">
              <w:rPr>
                <w:szCs w:val="20"/>
              </w:rPr>
              <w:t>6 462</w:t>
            </w:r>
          </w:p>
        </w:tc>
      </w:tr>
      <w:tr w:rsidR="00457D1B" w:rsidRPr="004B11AC" w14:paraId="28C9444A" w14:textId="77777777" w:rsidTr="00DE0323">
        <w:tc>
          <w:tcPr>
            <w:tcW w:w="3652" w:type="dxa"/>
            <w:shd w:val="clear" w:color="auto" w:fill="auto"/>
          </w:tcPr>
          <w:p w14:paraId="145FD44D" w14:textId="77777777" w:rsidR="00457D1B" w:rsidRPr="00C61237" w:rsidRDefault="00457D1B" w:rsidP="00DE0323">
            <w:pPr>
              <w:spacing w:before="120"/>
              <w:rPr>
                <w:b/>
                <w:szCs w:val="20"/>
              </w:rPr>
            </w:pPr>
            <w:r w:rsidRPr="00C61237">
              <w:rPr>
                <w:b/>
                <w:szCs w:val="20"/>
              </w:rPr>
              <w:t>Ředitelství vodních cest ČR</w:t>
            </w:r>
          </w:p>
        </w:tc>
        <w:tc>
          <w:tcPr>
            <w:tcW w:w="1559" w:type="dxa"/>
            <w:shd w:val="clear" w:color="auto" w:fill="auto"/>
          </w:tcPr>
          <w:p w14:paraId="3B6050BC" w14:textId="77777777" w:rsidR="00457D1B" w:rsidRPr="00D23AC6" w:rsidRDefault="00457D1B" w:rsidP="00DE0323">
            <w:pPr>
              <w:spacing w:before="120"/>
              <w:jc w:val="right"/>
              <w:rPr>
                <w:szCs w:val="20"/>
              </w:rPr>
            </w:pPr>
            <w:r w:rsidRPr="00D23AC6">
              <w:rPr>
                <w:szCs w:val="20"/>
              </w:rPr>
              <w:t>13 574</w:t>
            </w:r>
          </w:p>
        </w:tc>
        <w:tc>
          <w:tcPr>
            <w:tcW w:w="1985" w:type="dxa"/>
            <w:shd w:val="clear" w:color="auto" w:fill="auto"/>
          </w:tcPr>
          <w:p w14:paraId="79061010" w14:textId="77777777" w:rsidR="00457D1B" w:rsidRPr="004B11AC" w:rsidRDefault="00457D1B" w:rsidP="00DE0323">
            <w:pPr>
              <w:spacing w:before="120"/>
              <w:jc w:val="right"/>
              <w:rPr>
                <w:color w:val="FF0000"/>
                <w:szCs w:val="20"/>
              </w:rPr>
            </w:pPr>
            <w:r w:rsidRPr="007C6C8A">
              <w:rPr>
                <w:szCs w:val="20"/>
              </w:rPr>
              <w:t>6 793</w:t>
            </w:r>
          </w:p>
        </w:tc>
        <w:tc>
          <w:tcPr>
            <w:tcW w:w="1559" w:type="dxa"/>
            <w:shd w:val="clear" w:color="auto" w:fill="auto"/>
          </w:tcPr>
          <w:p w14:paraId="78A338DC" w14:textId="77777777" w:rsidR="00457D1B" w:rsidRPr="004B11AC" w:rsidRDefault="00457D1B" w:rsidP="00DE0323">
            <w:pPr>
              <w:spacing w:before="120"/>
              <w:jc w:val="right"/>
              <w:rPr>
                <w:color w:val="FF0000"/>
                <w:szCs w:val="20"/>
              </w:rPr>
            </w:pPr>
            <w:r w:rsidRPr="0078081B">
              <w:rPr>
                <w:szCs w:val="20"/>
              </w:rPr>
              <w:t>12 644</w:t>
            </w:r>
          </w:p>
        </w:tc>
      </w:tr>
      <w:tr w:rsidR="00457D1B" w:rsidRPr="004B11AC" w14:paraId="63D62EC7" w14:textId="77777777" w:rsidTr="00DE0323">
        <w:tc>
          <w:tcPr>
            <w:tcW w:w="3652" w:type="dxa"/>
            <w:shd w:val="clear" w:color="auto" w:fill="auto"/>
          </w:tcPr>
          <w:p w14:paraId="4C4D81CE" w14:textId="77777777" w:rsidR="00457D1B" w:rsidRPr="00C61237" w:rsidRDefault="00457D1B" w:rsidP="00DE0323">
            <w:pPr>
              <w:spacing w:before="120"/>
              <w:rPr>
                <w:b/>
                <w:szCs w:val="20"/>
              </w:rPr>
            </w:pPr>
            <w:r w:rsidRPr="00C61237">
              <w:rPr>
                <w:b/>
                <w:szCs w:val="20"/>
              </w:rPr>
              <w:t>Ústav pro odborné zjišťování příčin leteckých nehod</w:t>
            </w:r>
          </w:p>
        </w:tc>
        <w:tc>
          <w:tcPr>
            <w:tcW w:w="1559" w:type="dxa"/>
            <w:shd w:val="clear" w:color="auto" w:fill="auto"/>
          </w:tcPr>
          <w:p w14:paraId="54799B25" w14:textId="77777777" w:rsidR="00457D1B" w:rsidRPr="00D23AC6" w:rsidRDefault="00457D1B" w:rsidP="00DE0323">
            <w:pPr>
              <w:spacing w:before="120"/>
              <w:rPr>
                <w:szCs w:val="20"/>
              </w:rPr>
            </w:pPr>
            <w:r w:rsidRPr="00D23AC6">
              <w:rPr>
                <w:szCs w:val="20"/>
              </w:rPr>
              <w:t xml:space="preserve">             2 884</w:t>
            </w:r>
          </w:p>
        </w:tc>
        <w:tc>
          <w:tcPr>
            <w:tcW w:w="1985" w:type="dxa"/>
            <w:shd w:val="clear" w:color="auto" w:fill="auto"/>
          </w:tcPr>
          <w:p w14:paraId="5841B614" w14:textId="77777777" w:rsidR="00457D1B" w:rsidRPr="004B11AC" w:rsidRDefault="00457D1B" w:rsidP="00DE0323">
            <w:pPr>
              <w:spacing w:before="120"/>
              <w:jc w:val="right"/>
              <w:rPr>
                <w:color w:val="FF0000"/>
                <w:szCs w:val="20"/>
              </w:rPr>
            </w:pPr>
            <w:r w:rsidRPr="003C067A">
              <w:rPr>
                <w:szCs w:val="20"/>
              </w:rPr>
              <w:t>1 471</w:t>
            </w:r>
          </w:p>
        </w:tc>
        <w:tc>
          <w:tcPr>
            <w:tcW w:w="1559" w:type="dxa"/>
            <w:shd w:val="clear" w:color="auto" w:fill="auto"/>
          </w:tcPr>
          <w:p w14:paraId="6BF2FCB9" w14:textId="77777777" w:rsidR="00457D1B" w:rsidRPr="004B11AC" w:rsidRDefault="00457D1B" w:rsidP="00DE0323">
            <w:pPr>
              <w:spacing w:before="120"/>
              <w:rPr>
                <w:color w:val="FF0000"/>
                <w:szCs w:val="20"/>
              </w:rPr>
            </w:pPr>
            <w:r w:rsidRPr="002624C2">
              <w:rPr>
                <w:color w:val="000000" w:themeColor="text1"/>
                <w:szCs w:val="20"/>
              </w:rPr>
              <w:t xml:space="preserve">             4 000</w:t>
            </w:r>
          </w:p>
        </w:tc>
      </w:tr>
      <w:tr w:rsidR="00457D1B" w:rsidRPr="004B11AC" w14:paraId="1A0F3CD7" w14:textId="77777777" w:rsidTr="00DE0323">
        <w:tc>
          <w:tcPr>
            <w:tcW w:w="3652" w:type="dxa"/>
            <w:shd w:val="clear" w:color="auto" w:fill="auto"/>
          </w:tcPr>
          <w:p w14:paraId="2ACD85F3" w14:textId="77777777" w:rsidR="00457D1B" w:rsidRPr="00C61237" w:rsidRDefault="00457D1B" w:rsidP="00DE0323">
            <w:pPr>
              <w:spacing w:before="120"/>
              <w:rPr>
                <w:b/>
                <w:szCs w:val="20"/>
              </w:rPr>
            </w:pPr>
            <w:r w:rsidRPr="00C61237">
              <w:rPr>
                <w:b/>
                <w:szCs w:val="20"/>
              </w:rPr>
              <w:t>Drážní inspekce</w:t>
            </w:r>
          </w:p>
        </w:tc>
        <w:tc>
          <w:tcPr>
            <w:tcW w:w="1559" w:type="dxa"/>
            <w:shd w:val="clear" w:color="auto" w:fill="auto"/>
          </w:tcPr>
          <w:p w14:paraId="29988635" w14:textId="77777777" w:rsidR="00457D1B" w:rsidRPr="00D23AC6" w:rsidRDefault="00457D1B" w:rsidP="00DE0323">
            <w:pPr>
              <w:spacing w:before="120"/>
              <w:jc w:val="right"/>
              <w:rPr>
                <w:szCs w:val="20"/>
              </w:rPr>
            </w:pPr>
            <w:r w:rsidRPr="00D23AC6">
              <w:rPr>
                <w:szCs w:val="20"/>
              </w:rPr>
              <w:t>12 030</w:t>
            </w:r>
          </w:p>
        </w:tc>
        <w:tc>
          <w:tcPr>
            <w:tcW w:w="1985" w:type="dxa"/>
            <w:shd w:val="clear" w:color="auto" w:fill="auto"/>
          </w:tcPr>
          <w:p w14:paraId="5B616B4E" w14:textId="77777777" w:rsidR="00457D1B" w:rsidRPr="004B11AC" w:rsidRDefault="00457D1B" w:rsidP="00DE0323">
            <w:pPr>
              <w:spacing w:before="120"/>
              <w:jc w:val="right"/>
              <w:rPr>
                <w:color w:val="FF0000"/>
                <w:szCs w:val="20"/>
              </w:rPr>
            </w:pPr>
            <w:r w:rsidRPr="003C067A">
              <w:rPr>
                <w:szCs w:val="20"/>
              </w:rPr>
              <w:t>2 114</w:t>
            </w:r>
          </w:p>
        </w:tc>
        <w:tc>
          <w:tcPr>
            <w:tcW w:w="1559" w:type="dxa"/>
            <w:shd w:val="clear" w:color="auto" w:fill="auto"/>
          </w:tcPr>
          <w:p w14:paraId="435E7730" w14:textId="77777777" w:rsidR="00457D1B" w:rsidRPr="004B11AC" w:rsidRDefault="00457D1B" w:rsidP="00DE0323">
            <w:pPr>
              <w:spacing w:before="120"/>
              <w:jc w:val="right"/>
              <w:rPr>
                <w:color w:val="FF0000"/>
                <w:szCs w:val="20"/>
              </w:rPr>
            </w:pPr>
            <w:r w:rsidRPr="002B6369">
              <w:rPr>
                <w:color w:val="000000" w:themeColor="text1"/>
                <w:szCs w:val="20"/>
              </w:rPr>
              <w:t>15 540</w:t>
            </w:r>
          </w:p>
        </w:tc>
      </w:tr>
      <w:tr w:rsidR="00457D1B" w:rsidRPr="004B11AC" w14:paraId="5E093A86" w14:textId="77777777" w:rsidTr="00DE0323">
        <w:trPr>
          <w:trHeight w:val="495"/>
        </w:trPr>
        <w:tc>
          <w:tcPr>
            <w:tcW w:w="3652" w:type="dxa"/>
            <w:shd w:val="clear" w:color="auto" w:fill="auto"/>
          </w:tcPr>
          <w:p w14:paraId="559DB3C2" w14:textId="77777777" w:rsidR="00457D1B" w:rsidRPr="00C61237" w:rsidRDefault="00457D1B" w:rsidP="00DE0323">
            <w:pPr>
              <w:spacing w:before="120"/>
              <w:rPr>
                <w:b/>
                <w:szCs w:val="20"/>
              </w:rPr>
            </w:pPr>
            <w:r w:rsidRPr="00C61237">
              <w:rPr>
                <w:b/>
                <w:szCs w:val="20"/>
              </w:rPr>
              <w:t>Celkem</w:t>
            </w:r>
          </w:p>
        </w:tc>
        <w:tc>
          <w:tcPr>
            <w:tcW w:w="1559" w:type="dxa"/>
            <w:shd w:val="clear" w:color="auto" w:fill="auto"/>
          </w:tcPr>
          <w:p w14:paraId="1E060766" w14:textId="77777777" w:rsidR="00457D1B" w:rsidRPr="00D23AC6" w:rsidRDefault="00457D1B" w:rsidP="00DE0323">
            <w:pPr>
              <w:spacing w:before="120"/>
              <w:jc w:val="right"/>
              <w:rPr>
                <w:b/>
                <w:szCs w:val="20"/>
              </w:rPr>
            </w:pPr>
            <w:r w:rsidRPr="00D23AC6">
              <w:rPr>
                <w:szCs w:val="20"/>
              </w:rPr>
              <w:t xml:space="preserve"> </w:t>
            </w:r>
            <w:r w:rsidRPr="00D23AC6">
              <w:rPr>
                <w:b/>
                <w:szCs w:val="20"/>
              </w:rPr>
              <w:t>20 733 877</w:t>
            </w:r>
          </w:p>
        </w:tc>
        <w:tc>
          <w:tcPr>
            <w:tcW w:w="1985" w:type="dxa"/>
            <w:shd w:val="clear" w:color="auto" w:fill="auto"/>
          </w:tcPr>
          <w:p w14:paraId="68569970" w14:textId="77777777" w:rsidR="00457D1B" w:rsidRPr="004B11AC" w:rsidRDefault="00457D1B" w:rsidP="00DE0323">
            <w:pPr>
              <w:spacing w:before="120"/>
              <w:jc w:val="right"/>
              <w:rPr>
                <w:b/>
                <w:color w:val="FF0000"/>
                <w:szCs w:val="20"/>
              </w:rPr>
            </w:pPr>
            <w:r w:rsidRPr="005F0132">
              <w:rPr>
                <w:b/>
                <w:szCs w:val="20"/>
              </w:rPr>
              <w:t>14 259 882</w:t>
            </w:r>
          </w:p>
        </w:tc>
        <w:tc>
          <w:tcPr>
            <w:tcW w:w="1559" w:type="dxa"/>
            <w:shd w:val="clear" w:color="auto" w:fill="auto"/>
          </w:tcPr>
          <w:p w14:paraId="5D493F2B" w14:textId="77777777" w:rsidR="00457D1B" w:rsidRPr="004B11AC" w:rsidRDefault="00457D1B" w:rsidP="00DE0323">
            <w:pPr>
              <w:spacing w:before="120"/>
              <w:jc w:val="right"/>
              <w:rPr>
                <w:b/>
                <w:color w:val="FF0000"/>
                <w:szCs w:val="20"/>
              </w:rPr>
            </w:pPr>
            <w:r w:rsidRPr="0021261D">
              <w:rPr>
                <w:color w:val="000000" w:themeColor="text1"/>
                <w:szCs w:val="20"/>
              </w:rPr>
              <w:t xml:space="preserve"> </w:t>
            </w:r>
            <w:r w:rsidRPr="0021261D">
              <w:rPr>
                <w:b/>
                <w:color w:val="000000" w:themeColor="text1"/>
                <w:szCs w:val="20"/>
              </w:rPr>
              <w:t>22 364 441</w:t>
            </w:r>
          </w:p>
        </w:tc>
      </w:tr>
    </w:tbl>
    <w:p w14:paraId="231701B8" w14:textId="66672FC3" w:rsidR="00457D1B" w:rsidRPr="00795467" w:rsidRDefault="00457D1B" w:rsidP="00457D1B">
      <w:pPr>
        <w:pStyle w:val="Titulek"/>
      </w:pPr>
      <w:bookmarkStart w:id="1144" w:name="_Toc34288689"/>
      <w:r w:rsidRPr="00795467">
        <w:t xml:space="preserve">Graf č. </w:t>
      </w:r>
      <w:r w:rsidRPr="00795467">
        <w:rPr>
          <w:noProof/>
        </w:rPr>
        <w:fldChar w:fldCharType="begin"/>
      </w:r>
      <w:r w:rsidRPr="00795467">
        <w:rPr>
          <w:noProof/>
        </w:rPr>
        <w:instrText xml:space="preserve"> SEQ Graf_č. \* ARABIC </w:instrText>
      </w:r>
      <w:r w:rsidRPr="00795467">
        <w:rPr>
          <w:noProof/>
        </w:rPr>
        <w:fldChar w:fldCharType="separate"/>
      </w:r>
      <w:r w:rsidR="00DF450F">
        <w:rPr>
          <w:noProof/>
        </w:rPr>
        <w:t>22</w:t>
      </w:r>
      <w:r w:rsidRPr="00795467">
        <w:rPr>
          <w:noProof/>
        </w:rPr>
        <w:fldChar w:fldCharType="end"/>
      </w:r>
      <w:r w:rsidRPr="00795467">
        <w:t xml:space="preserve">:  Stav čerpání nároků z nespotřebovaných výdajů dle jednotlivých OSS </w:t>
      </w:r>
      <w:r w:rsidRPr="00795467">
        <w:br/>
      </w:r>
      <w:r w:rsidRPr="00795467">
        <w:rPr>
          <w:b w:val="0"/>
        </w:rPr>
        <w:t>(tis. Kč)</w:t>
      </w:r>
      <w:bookmarkEnd w:id="1144"/>
    </w:p>
    <w:p w14:paraId="44A9BDEB" w14:textId="77777777" w:rsidR="00457D1B" w:rsidRPr="004B11AC" w:rsidRDefault="00457D1B" w:rsidP="00457D1B">
      <w:pPr>
        <w:spacing w:before="120"/>
        <w:rPr>
          <w:color w:val="FF0000"/>
          <w:szCs w:val="20"/>
        </w:rPr>
      </w:pPr>
      <w:r w:rsidRPr="004B11AC">
        <w:rPr>
          <w:noProof/>
          <w:color w:val="FF0000"/>
          <w:szCs w:val="20"/>
        </w:rPr>
        <mc:AlternateContent>
          <mc:Choice Requires="wps">
            <w:drawing>
              <wp:anchor distT="0" distB="0" distL="114300" distR="114300" simplePos="0" relativeHeight="251663360" behindDoc="0" locked="0" layoutInCell="1" allowOverlap="1" wp14:anchorId="5C01A8B2" wp14:editId="46B19433">
                <wp:simplePos x="0" y="0"/>
                <wp:positionH relativeFrom="column">
                  <wp:posOffset>405130</wp:posOffset>
                </wp:positionH>
                <wp:positionV relativeFrom="paragraph">
                  <wp:posOffset>683260</wp:posOffset>
                </wp:positionV>
                <wp:extent cx="5029200" cy="9525"/>
                <wp:effectExtent l="19050" t="19050" r="0" b="28575"/>
                <wp:wrapNone/>
                <wp:docPr id="3" name="Přímá spojnice 3"/>
                <wp:cNvGraphicFramePr/>
                <a:graphic xmlns:a="http://schemas.openxmlformats.org/drawingml/2006/main">
                  <a:graphicData uri="http://schemas.microsoft.com/office/word/2010/wordprocessingShape">
                    <wps:wsp>
                      <wps:cNvCnPr/>
                      <wps:spPr>
                        <a:xfrm>
                          <a:off x="0" y="0"/>
                          <a:ext cx="5029200" cy="9525"/>
                        </a:xfrm>
                        <a:prstGeom prst="line">
                          <a:avLst/>
                        </a:prstGeom>
                        <a:ln w="28575" cap="flat" cmpd="sng" algn="ctr">
                          <a:solidFill>
                            <a:schemeClr val="tx1">
                              <a:lumMod val="85000"/>
                              <a:lumOff val="15000"/>
                            </a:schemeClr>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2D9D0C90" id="Přímá spojnice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1.9pt,53.8pt" to="427.9pt,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" strokecolor="#272727 [2749]" strokeweight="2.25pt">
                <v:stroke dashstyle="dash"/>
              </v:line>
            </w:pict>
          </mc:Fallback>
        </mc:AlternateContent>
      </w:r>
      <w:r w:rsidRPr="004B11AC">
        <w:rPr>
          <w:noProof/>
          <w:color w:val="FF0000"/>
          <w:szCs w:val="20"/>
        </w:rPr>
        <w:drawing>
          <wp:inline distT="0" distB="0" distL="0" distR="0" wp14:anchorId="258F32B5" wp14:editId="273161C3">
            <wp:extent cx="5589905" cy="2847975"/>
            <wp:effectExtent l="0" t="0" r="0" b="0"/>
            <wp:docPr id="30" name="Graf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3EE7C48D" w14:textId="77777777" w:rsidR="00457D1B" w:rsidRDefault="00457D1B" w:rsidP="002E27A1">
      <w:pPr>
        <w:pStyle w:val="Nadpis9"/>
      </w:pPr>
      <w:r w:rsidRPr="00C61237">
        <w:lastRenderedPageBreak/>
        <w:t>Čerpání nároků v kapitole 327 Ministerstvo dopravy v roce 2019 dle specifických ukazatelů výdajů</w:t>
      </w:r>
    </w:p>
    <w:tbl>
      <w:tblPr>
        <w:tblW w:w="7422" w:type="dxa"/>
        <w:tblInd w:w="1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20"/>
        <w:gridCol w:w="2302"/>
      </w:tblGrid>
      <w:tr w:rsidR="00457D1B" w:rsidRPr="000D77C8" w14:paraId="63D34AA2" w14:textId="77777777" w:rsidTr="002E27A1">
        <w:trPr>
          <w:tblHeader/>
        </w:trPr>
        <w:tc>
          <w:tcPr>
            <w:tcW w:w="5120" w:type="dxa"/>
            <w:vAlign w:val="center"/>
          </w:tcPr>
          <w:p w14:paraId="5C6C2971" w14:textId="77777777" w:rsidR="00457D1B" w:rsidRPr="000D77C8" w:rsidRDefault="00457D1B" w:rsidP="00DE0323">
            <w:pPr>
              <w:jc w:val="center"/>
              <w:rPr>
                <w:b/>
                <w:color w:val="FF0000"/>
                <w:sz w:val="23"/>
                <w:szCs w:val="23"/>
              </w:rPr>
            </w:pPr>
            <w:r w:rsidRPr="007D310D">
              <w:rPr>
                <w:b/>
                <w:sz w:val="23"/>
                <w:szCs w:val="23"/>
              </w:rPr>
              <w:t>Název ukazatele</w:t>
            </w:r>
          </w:p>
        </w:tc>
        <w:tc>
          <w:tcPr>
            <w:tcW w:w="2302" w:type="dxa"/>
            <w:vAlign w:val="center"/>
          </w:tcPr>
          <w:p w14:paraId="3C7EB42F" w14:textId="77777777" w:rsidR="00457D1B" w:rsidRPr="000D77C8" w:rsidRDefault="00457D1B" w:rsidP="00DE0323">
            <w:pPr>
              <w:jc w:val="center"/>
              <w:rPr>
                <w:b/>
                <w:color w:val="FF0000"/>
                <w:sz w:val="23"/>
                <w:szCs w:val="23"/>
              </w:rPr>
            </w:pPr>
            <w:r w:rsidRPr="007D310D">
              <w:rPr>
                <w:b/>
                <w:sz w:val="23"/>
                <w:szCs w:val="23"/>
              </w:rPr>
              <w:t>Čerpání nároků k 31. 12. 2019</w:t>
            </w:r>
          </w:p>
        </w:tc>
      </w:tr>
      <w:tr w:rsidR="00457D1B" w:rsidRPr="000D77C8" w14:paraId="36FDACD6" w14:textId="77777777" w:rsidTr="002E27A1">
        <w:trPr>
          <w:tblHeader/>
        </w:trPr>
        <w:tc>
          <w:tcPr>
            <w:tcW w:w="5120" w:type="dxa"/>
          </w:tcPr>
          <w:p w14:paraId="3BE327B5" w14:textId="77777777" w:rsidR="00457D1B" w:rsidRPr="007D310D" w:rsidRDefault="00457D1B" w:rsidP="00DE0323">
            <w:pPr>
              <w:rPr>
                <w:b/>
                <w:sz w:val="22"/>
                <w:szCs w:val="22"/>
              </w:rPr>
            </w:pPr>
            <w:r w:rsidRPr="007D310D">
              <w:rPr>
                <w:b/>
                <w:sz w:val="22"/>
                <w:szCs w:val="22"/>
              </w:rPr>
              <w:t>Drážní a kombinovaná doprava</w:t>
            </w:r>
          </w:p>
        </w:tc>
        <w:tc>
          <w:tcPr>
            <w:tcW w:w="2302" w:type="dxa"/>
            <w:vAlign w:val="center"/>
          </w:tcPr>
          <w:p w14:paraId="14771217" w14:textId="77777777" w:rsidR="00457D1B" w:rsidRPr="000D77C8" w:rsidRDefault="00457D1B" w:rsidP="00DE0323">
            <w:pPr>
              <w:ind w:left="-108"/>
              <w:jc w:val="right"/>
              <w:rPr>
                <w:b/>
                <w:color w:val="FF0000"/>
                <w:sz w:val="22"/>
                <w:szCs w:val="22"/>
              </w:rPr>
            </w:pPr>
            <w:r w:rsidRPr="00DF0B94">
              <w:rPr>
                <w:b/>
                <w:sz w:val="22"/>
                <w:szCs w:val="22"/>
              </w:rPr>
              <w:t>4 560 tis. Kč</w:t>
            </w:r>
          </w:p>
        </w:tc>
      </w:tr>
      <w:tr w:rsidR="00457D1B" w:rsidRPr="000D77C8" w14:paraId="7F228AA5" w14:textId="77777777" w:rsidTr="002E27A1">
        <w:trPr>
          <w:tblHeader/>
        </w:trPr>
        <w:tc>
          <w:tcPr>
            <w:tcW w:w="5120" w:type="dxa"/>
          </w:tcPr>
          <w:p w14:paraId="3CDC5539" w14:textId="77777777" w:rsidR="00457D1B" w:rsidRPr="007D310D" w:rsidRDefault="00457D1B" w:rsidP="00DE0323">
            <w:pPr>
              <w:rPr>
                <w:b/>
                <w:sz w:val="22"/>
                <w:szCs w:val="22"/>
              </w:rPr>
            </w:pPr>
            <w:r w:rsidRPr="007D310D">
              <w:rPr>
                <w:b/>
                <w:sz w:val="22"/>
                <w:szCs w:val="22"/>
              </w:rPr>
              <w:t>Pozemní komunikace</w:t>
            </w:r>
          </w:p>
        </w:tc>
        <w:tc>
          <w:tcPr>
            <w:tcW w:w="2302" w:type="dxa"/>
            <w:vAlign w:val="center"/>
          </w:tcPr>
          <w:p w14:paraId="6BBE507C" w14:textId="77777777" w:rsidR="00457D1B" w:rsidRPr="00DF0B94" w:rsidRDefault="00457D1B" w:rsidP="00DE0323">
            <w:pPr>
              <w:jc w:val="right"/>
              <w:rPr>
                <w:b/>
                <w:sz w:val="22"/>
                <w:szCs w:val="22"/>
              </w:rPr>
            </w:pPr>
            <w:r w:rsidRPr="00DF0B94">
              <w:rPr>
                <w:b/>
                <w:sz w:val="22"/>
                <w:szCs w:val="22"/>
              </w:rPr>
              <w:t>0 tis. Kč</w:t>
            </w:r>
          </w:p>
        </w:tc>
      </w:tr>
      <w:tr w:rsidR="00457D1B" w:rsidRPr="000D77C8" w14:paraId="03E41DD1" w14:textId="77777777" w:rsidTr="002E27A1">
        <w:trPr>
          <w:tblHeader/>
        </w:trPr>
        <w:tc>
          <w:tcPr>
            <w:tcW w:w="5120" w:type="dxa"/>
          </w:tcPr>
          <w:p w14:paraId="6B2DE7D5" w14:textId="77777777" w:rsidR="00457D1B" w:rsidRPr="007D310D" w:rsidRDefault="00457D1B" w:rsidP="00DE0323">
            <w:pPr>
              <w:rPr>
                <w:b/>
                <w:sz w:val="22"/>
                <w:szCs w:val="22"/>
              </w:rPr>
            </w:pPr>
            <w:r w:rsidRPr="007D310D">
              <w:rPr>
                <w:b/>
                <w:sz w:val="22"/>
                <w:szCs w:val="22"/>
              </w:rPr>
              <w:t>Dotace pro SFDI</w:t>
            </w:r>
          </w:p>
        </w:tc>
        <w:tc>
          <w:tcPr>
            <w:tcW w:w="2302" w:type="dxa"/>
            <w:vAlign w:val="center"/>
          </w:tcPr>
          <w:p w14:paraId="5B23B503" w14:textId="77777777" w:rsidR="00457D1B" w:rsidRPr="00DF0B94" w:rsidRDefault="00457D1B" w:rsidP="00DE0323">
            <w:pPr>
              <w:jc w:val="right"/>
              <w:rPr>
                <w:b/>
                <w:sz w:val="22"/>
                <w:szCs w:val="22"/>
              </w:rPr>
            </w:pPr>
            <w:r w:rsidRPr="00DF0B94">
              <w:rPr>
                <w:b/>
                <w:sz w:val="22"/>
                <w:szCs w:val="22"/>
              </w:rPr>
              <w:t>14 002 520 tis. Kč</w:t>
            </w:r>
          </w:p>
        </w:tc>
      </w:tr>
      <w:tr w:rsidR="00457D1B" w:rsidRPr="000D77C8" w14:paraId="72DFDC3B" w14:textId="77777777" w:rsidTr="002E27A1">
        <w:trPr>
          <w:tblHeader/>
        </w:trPr>
        <w:tc>
          <w:tcPr>
            <w:tcW w:w="5120" w:type="dxa"/>
          </w:tcPr>
          <w:p w14:paraId="615899B7" w14:textId="77777777" w:rsidR="00457D1B" w:rsidRPr="007D310D" w:rsidRDefault="00457D1B" w:rsidP="00DE0323">
            <w:pPr>
              <w:rPr>
                <w:sz w:val="20"/>
                <w:szCs w:val="20"/>
              </w:rPr>
            </w:pPr>
            <w:r w:rsidRPr="007D310D">
              <w:rPr>
                <w:sz w:val="20"/>
                <w:szCs w:val="20"/>
              </w:rPr>
              <w:t>v tom:   dotace pro spol. progr. EU a ČR</w:t>
            </w:r>
          </w:p>
        </w:tc>
        <w:tc>
          <w:tcPr>
            <w:tcW w:w="2302" w:type="dxa"/>
            <w:vAlign w:val="center"/>
          </w:tcPr>
          <w:p w14:paraId="1F0DE390" w14:textId="77777777" w:rsidR="00457D1B" w:rsidRPr="00DF0B94" w:rsidRDefault="00457D1B" w:rsidP="00DE0323">
            <w:pPr>
              <w:jc w:val="right"/>
              <w:rPr>
                <w:sz w:val="22"/>
                <w:szCs w:val="22"/>
              </w:rPr>
            </w:pPr>
            <w:r w:rsidRPr="00DF0B94">
              <w:rPr>
                <w:sz w:val="22"/>
                <w:szCs w:val="22"/>
              </w:rPr>
              <w:t>7 775 754 tis. Kč</w:t>
            </w:r>
          </w:p>
        </w:tc>
      </w:tr>
      <w:tr w:rsidR="00457D1B" w:rsidRPr="000D77C8" w14:paraId="2A41C51B" w14:textId="77777777" w:rsidTr="002E27A1">
        <w:trPr>
          <w:tblHeader/>
        </w:trPr>
        <w:tc>
          <w:tcPr>
            <w:tcW w:w="5120" w:type="dxa"/>
          </w:tcPr>
          <w:p w14:paraId="1110CA3C" w14:textId="77777777" w:rsidR="00457D1B" w:rsidRPr="007D310D" w:rsidRDefault="00457D1B" w:rsidP="00DE0323">
            <w:pPr>
              <w:ind w:left="720" w:hanging="360"/>
              <w:rPr>
                <w:sz w:val="20"/>
                <w:szCs w:val="20"/>
              </w:rPr>
            </w:pPr>
            <w:r w:rsidRPr="007D310D">
              <w:rPr>
                <w:sz w:val="20"/>
                <w:szCs w:val="20"/>
              </w:rPr>
              <w:t xml:space="preserve">      dotace na projekty spolufinanc. z EIB</w:t>
            </w:r>
          </w:p>
        </w:tc>
        <w:tc>
          <w:tcPr>
            <w:tcW w:w="2302" w:type="dxa"/>
            <w:vAlign w:val="center"/>
          </w:tcPr>
          <w:p w14:paraId="4C2B0A95" w14:textId="77777777" w:rsidR="00457D1B" w:rsidRPr="00DF0B94" w:rsidRDefault="00457D1B" w:rsidP="00DE0323">
            <w:pPr>
              <w:jc w:val="right"/>
              <w:rPr>
                <w:sz w:val="20"/>
                <w:szCs w:val="20"/>
              </w:rPr>
            </w:pPr>
            <w:r w:rsidRPr="00DF0B94">
              <w:rPr>
                <w:sz w:val="22"/>
                <w:szCs w:val="22"/>
              </w:rPr>
              <w:t>0 tis. Kč</w:t>
            </w:r>
          </w:p>
        </w:tc>
      </w:tr>
      <w:tr w:rsidR="00457D1B" w:rsidRPr="000D77C8" w14:paraId="3F1E9E0B" w14:textId="77777777" w:rsidTr="002E27A1">
        <w:trPr>
          <w:tblHeader/>
        </w:trPr>
        <w:tc>
          <w:tcPr>
            <w:tcW w:w="5120" w:type="dxa"/>
          </w:tcPr>
          <w:p w14:paraId="38336185" w14:textId="77777777" w:rsidR="00457D1B" w:rsidRPr="007D310D" w:rsidRDefault="00457D1B" w:rsidP="00DE0323">
            <w:pPr>
              <w:ind w:firstLine="360"/>
              <w:rPr>
                <w:sz w:val="20"/>
                <w:szCs w:val="20"/>
              </w:rPr>
            </w:pPr>
            <w:r w:rsidRPr="007D310D">
              <w:rPr>
                <w:sz w:val="20"/>
                <w:szCs w:val="20"/>
              </w:rPr>
              <w:t xml:space="preserve">      ostatní dotace pro SFDI</w:t>
            </w:r>
          </w:p>
        </w:tc>
        <w:tc>
          <w:tcPr>
            <w:tcW w:w="2302" w:type="dxa"/>
            <w:vAlign w:val="center"/>
          </w:tcPr>
          <w:p w14:paraId="2630F473" w14:textId="77777777" w:rsidR="00457D1B" w:rsidRPr="00DF0B94" w:rsidRDefault="00457D1B" w:rsidP="00DE0323">
            <w:pPr>
              <w:jc w:val="right"/>
              <w:rPr>
                <w:sz w:val="22"/>
                <w:szCs w:val="22"/>
              </w:rPr>
            </w:pPr>
            <w:r w:rsidRPr="00DF0B94">
              <w:rPr>
                <w:sz w:val="22"/>
                <w:szCs w:val="22"/>
              </w:rPr>
              <w:t>6 226 766 tis. Kč</w:t>
            </w:r>
          </w:p>
        </w:tc>
      </w:tr>
      <w:tr w:rsidR="00457D1B" w:rsidRPr="000D77C8" w14:paraId="3A510112" w14:textId="77777777" w:rsidTr="002E27A1">
        <w:trPr>
          <w:trHeight w:val="311"/>
          <w:tblHeader/>
        </w:trPr>
        <w:tc>
          <w:tcPr>
            <w:tcW w:w="5120" w:type="dxa"/>
          </w:tcPr>
          <w:p w14:paraId="14A1E3AA" w14:textId="77777777" w:rsidR="00457D1B" w:rsidRPr="007D310D" w:rsidRDefault="00457D1B" w:rsidP="00DE0323">
            <w:pPr>
              <w:rPr>
                <w:b/>
                <w:sz w:val="22"/>
                <w:szCs w:val="22"/>
              </w:rPr>
            </w:pPr>
            <w:r w:rsidRPr="007D310D">
              <w:rPr>
                <w:b/>
                <w:sz w:val="22"/>
                <w:szCs w:val="22"/>
              </w:rPr>
              <w:t xml:space="preserve">Ostatní výdaje spojené s dopravní politikou státu  </w:t>
            </w:r>
          </w:p>
        </w:tc>
        <w:tc>
          <w:tcPr>
            <w:tcW w:w="2302" w:type="dxa"/>
            <w:vAlign w:val="center"/>
          </w:tcPr>
          <w:p w14:paraId="21A7B82B" w14:textId="77777777" w:rsidR="00457D1B" w:rsidRPr="00DF0B94" w:rsidRDefault="00457D1B" w:rsidP="00DE0323">
            <w:pPr>
              <w:jc w:val="right"/>
              <w:rPr>
                <w:b/>
                <w:sz w:val="22"/>
                <w:szCs w:val="22"/>
              </w:rPr>
            </w:pPr>
            <w:r w:rsidRPr="00DF0B94">
              <w:rPr>
                <w:b/>
                <w:sz w:val="22"/>
                <w:szCs w:val="22"/>
              </w:rPr>
              <w:t>252 802 tis. Kč</w:t>
            </w:r>
          </w:p>
        </w:tc>
      </w:tr>
      <w:tr w:rsidR="00457D1B" w:rsidRPr="000D77C8" w14:paraId="35E54FD6" w14:textId="77777777" w:rsidTr="002E27A1">
        <w:trPr>
          <w:tblHeader/>
        </w:trPr>
        <w:tc>
          <w:tcPr>
            <w:tcW w:w="5120" w:type="dxa"/>
          </w:tcPr>
          <w:p w14:paraId="50A2D2E6" w14:textId="77777777" w:rsidR="00457D1B" w:rsidRPr="007D310D" w:rsidRDefault="00457D1B" w:rsidP="00DE0323">
            <w:pPr>
              <w:rPr>
                <w:b/>
                <w:sz w:val="22"/>
                <w:szCs w:val="22"/>
              </w:rPr>
            </w:pPr>
            <w:r w:rsidRPr="007D310D">
              <w:rPr>
                <w:b/>
                <w:sz w:val="22"/>
                <w:szCs w:val="22"/>
              </w:rPr>
              <w:t>Výdaje kapitoly MD 327 celkem</w:t>
            </w:r>
          </w:p>
        </w:tc>
        <w:tc>
          <w:tcPr>
            <w:tcW w:w="2302" w:type="dxa"/>
            <w:vAlign w:val="center"/>
          </w:tcPr>
          <w:p w14:paraId="1181A6B6" w14:textId="77777777" w:rsidR="00457D1B" w:rsidRPr="00DF0B94" w:rsidRDefault="00457D1B" w:rsidP="00DE0323">
            <w:pPr>
              <w:jc w:val="right"/>
              <w:rPr>
                <w:b/>
                <w:sz w:val="22"/>
                <w:szCs w:val="22"/>
              </w:rPr>
            </w:pPr>
            <w:r>
              <w:rPr>
                <w:b/>
                <w:sz w:val="22"/>
                <w:szCs w:val="22"/>
              </w:rPr>
              <w:t>14 259 882</w:t>
            </w:r>
            <w:r w:rsidRPr="00DF0B94">
              <w:rPr>
                <w:b/>
                <w:sz w:val="22"/>
                <w:szCs w:val="22"/>
              </w:rPr>
              <w:t xml:space="preserve"> tis. Kč</w:t>
            </w:r>
          </w:p>
        </w:tc>
      </w:tr>
    </w:tbl>
    <w:p w14:paraId="393495AA" w14:textId="763BCB50" w:rsidR="00457D1B" w:rsidRPr="00207C5C" w:rsidRDefault="00457D1B" w:rsidP="00457D1B">
      <w:pPr>
        <w:pStyle w:val="Titulek"/>
      </w:pPr>
      <w:bookmarkStart w:id="1145" w:name="_Toc34288690"/>
      <w:r w:rsidRPr="00207C5C">
        <w:t xml:space="preserve">Graf č. </w:t>
      </w:r>
      <w:r w:rsidRPr="00207C5C">
        <w:rPr>
          <w:noProof/>
        </w:rPr>
        <w:fldChar w:fldCharType="begin"/>
      </w:r>
      <w:r w:rsidRPr="00207C5C">
        <w:rPr>
          <w:noProof/>
        </w:rPr>
        <w:instrText xml:space="preserve"> SEQ Graf_č. \* ARABIC </w:instrText>
      </w:r>
      <w:r w:rsidRPr="00207C5C">
        <w:rPr>
          <w:noProof/>
        </w:rPr>
        <w:fldChar w:fldCharType="separate"/>
      </w:r>
      <w:r w:rsidR="00DF450F">
        <w:rPr>
          <w:noProof/>
        </w:rPr>
        <w:t>23</w:t>
      </w:r>
      <w:r w:rsidRPr="00207C5C">
        <w:rPr>
          <w:noProof/>
        </w:rPr>
        <w:fldChar w:fldCharType="end"/>
      </w:r>
      <w:r w:rsidRPr="00207C5C">
        <w:t>:  Čerpání nároků dle specifických ukazatelů</w:t>
      </w:r>
      <w:bookmarkEnd w:id="1145"/>
      <w:r w:rsidRPr="00207C5C">
        <w:t xml:space="preserve"> </w:t>
      </w:r>
    </w:p>
    <w:p w14:paraId="315E7B31" w14:textId="77777777" w:rsidR="00457D1B" w:rsidRPr="004B11AC" w:rsidRDefault="00457D1B" w:rsidP="00457D1B">
      <w:pPr>
        <w:spacing w:before="120"/>
        <w:jc w:val="center"/>
        <w:rPr>
          <w:b/>
          <w:color w:val="FF0000"/>
          <w:szCs w:val="20"/>
          <w:u w:val="single"/>
        </w:rPr>
      </w:pPr>
      <w:r w:rsidRPr="004B11AC">
        <w:rPr>
          <w:i/>
          <w:noProof/>
          <w:color w:val="FF0000"/>
        </w:rPr>
        <w:drawing>
          <wp:inline distT="0" distB="0" distL="0" distR="0" wp14:anchorId="69F49B87" wp14:editId="67FF7D0F">
            <wp:extent cx="4568611" cy="1620000"/>
            <wp:effectExtent l="0" t="0" r="3810" b="0"/>
            <wp:docPr id="33" name="objekt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10A8D7E0" w14:textId="77777777" w:rsidR="00457D1B" w:rsidRPr="00C61237" w:rsidRDefault="00457D1B" w:rsidP="00457D1B">
      <w:pPr>
        <w:spacing w:before="120"/>
        <w:jc w:val="both"/>
        <w:rPr>
          <w:b/>
          <w:szCs w:val="20"/>
          <w:u w:val="single"/>
        </w:rPr>
      </w:pPr>
      <w:r w:rsidRPr="00C61237">
        <w:rPr>
          <w:b/>
          <w:szCs w:val="20"/>
          <w:u w:val="single"/>
        </w:rPr>
        <w:t>Konečný rozpočet výdajů 2019</w:t>
      </w:r>
    </w:p>
    <w:p w14:paraId="386E7462" w14:textId="77777777" w:rsidR="00457D1B" w:rsidRPr="004B11AC" w:rsidRDefault="00457D1B" w:rsidP="00457D1B">
      <w:pPr>
        <w:pStyle w:val="KOMtext"/>
        <w:rPr>
          <w:color w:val="FF0000"/>
        </w:rPr>
      </w:pPr>
      <w:r w:rsidRPr="00C61237">
        <w:t xml:space="preserve">Čerpání nároků z nespotřebovaných výdajů minulých let představuje povolené překročení rozpočtu. Konečný rozpočet kapitoly 327 Ministerstvo dopravy byl k 31.12.2019 ve </w:t>
      </w:r>
      <w:r w:rsidRPr="00986596">
        <w:t>výši 92 662 830 tis. Kč, přičemž se do něj promítly:</w:t>
      </w:r>
    </w:p>
    <w:p w14:paraId="00739C70" w14:textId="77777777" w:rsidR="00457D1B" w:rsidRPr="00DC4496" w:rsidRDefault="00457D1B" w:rsidP="00275CE2">
      <w:pPr>
        <w:numPr>
          <w:ilvl w:val="0"/>
          <w:numId w:val="28"/>
        </w:numPr>
        <w:spacing w:before="120"/>
        <w:jc w:val="both"/>
        <w:rPr>
          <w:szCs w:val="20"/>
        </w:rPr>
      </w:pPr>
      <w:r w:rsidRPr="00DC4496">
        <w:rPr>
          <w:szCs w:val="20"/>
        </w:rPr>
        <w:t>provedená rozpočtová opatření, na základě kterých byl schválený rozpočet pro rok 2019 ve výši 72 555 425 tis. Kč upraven na částku 76 788 699 tis. Kč,</w:t>
      </w:r>
    </w:p>
    <w:p w14:paraId="6E451714" w14:textId="77777777" w:rsidR="00457D1B" w:rsidRPr="009477B3" w:rsidRDefault="00457D1B" w:rsidP="00275CE2">
      <w:pPr>
        <w:numPr>
          <w:ilvl w:val="0"/>
          <w:numId w:val="28"/>
        </w:numPr>
        <w:spacing w:before="120"/>
        <w:jc w:val="both"/>
        <w:rPr>
          <w:szCs w:val="20"/>
        </w:rPr>
      </w:pPr>
      <w:r w:rsidRPr="009477B3">
        <w:rPr>
          <w:szCs w:val="20"/>
        </w:rPr>
        <w:t>povolené překročení rozpočtu výdajů v důsledku zapojení nároků z nespotřebovaných výdajů minulých let ve výši 15 712 794 tis. Kč,</w:t>
      </w:r>
    </w:p>
    <w:p w14:paraId="6B93426A" w14:textId="77777777" w:rsidR="00457D1B" w:rsidRDefault="00457D1B" w:rsidP="00275CE2">
      <w:pPr>
        <w:numPr>
          <w:ilvl w:val="0"/>
          <w:numId w:val="28"/>
        </w:numPr>
        <w:spacing w:before="120"/>
        <w:jc w:val="both"/>
        <w:rPr>
          <w:szCs w:val="20"/>
        </w:rPr>
      </w:pPr>
      <w:r w:rsidRPr="009477B3">
        <w:rPr>
          <w:szCs w:val="20"/>
        </w:rPr>
        <w:t>povolené překročení rozpočtu výdajů o zapojení prostředků rezervního fondu ústředního orgánu Ministerstva dopravy ve výši 141 186 tis. Kč,</w:t>
      </w:r>
    </w:p>
    <w:p w14:paraId="0B67D452" w14:textId="77777777" w:rsidR="00457D1B" w:rsidRPr="009477B3" w:rsidRDefault="00457D1B" w:rsidP="00275CE2">
      <w:pPr>
        <w:numPr>
          <w:ilvl w:val="0"/>
          <w:numId w:val="28"/>
        </w:numPr>
        <w:spacing w:before="120"/>
        <w:jc w:val="both"/>
        <w:rPr>
          <w:szCs w:val="20"/>
        </w:rPr>
      </w:pPr>
      <w:r>
        <w:rPr>
          <w:szCs w:val="20"/>
        </w:rPr>
        <w:t>povolené překročení rozpočtu výdajů v důsledku zapojení  ostatních mimorozpočtových  prostředků ve výši 151 tis. Kč u OSS Úřad pro civilní letectví,</w:t>
      </w:r>
    </w:p>
    <w:p w14:paraId="2949125A" w14:textId="77777777" w:rsidR="00457D1B" w:rsidRPr="00F820D2" w:rsidRDefault="00457D1B" w:rsidP="00275CE2">
      <w:pPr>
        <w:numPr>
          <w:ilvl w:val="0"/>
          <w:numId w:val="28"/>
        </w:numPr>
        <w:spacing w:before="120"/>
        <w:jc w:val="both"/>
        <w:rPr>
          <w:szCs w:val="20"/>
        </w:rPr>
      </w:pPr>
      <w:r w:rsidRPr="00F820D2">
        <w:rPr>
          <w:szCs w:val="20"/>
        </w:rPr>
        <w:t xml:space="preserve">povolené překročení rozpočtu výdajů o převedené prostředky z fondu zakladatele státního podniku Řízení letového provozu ČR </w:t>
      </w:r>
      <w:r w:rsidRPr="008015FC">
        <w:rPr>
          <w:color w:val="000000" w:themeColor="text1"/>
          <w:szCs w:val="20"/>
        </w:rPr>
        <w:t xml:space="preserve">(UV č. 285/2019) </w:t>
      </w:r>
      <w:r w:rsidR="00083570">
        <w:rPr>
          <w:szCs w:val="20"/>
        </w:rPr>
        <w:t>ve výši</w:t>
      </w:r>
      <w:r w:rsidRPr="00F820D2">
        <w:rPr>
          <w:szCs w:val="20"/>
        </w:rPr>
        <w:t xml:space="preserve"> </w:t>
      </w:r>
      <w:r w:rsidR="00083570">
        <w:rPr>
          <w:szCs w:val="20"/>
        </w:rPr>
        <w:t xml:space="preserve">20 000 </w:t>
      </w:r>
      <w:r w:rsidRPr="00F820D2">
        <w:rPr>
          <w:szCs w:val="20"/>
        </w:rPr>
        <w:t>tis. Kč.</w:t>
      </w:r>
    </w:p>
    <w:p w14:paraId="7351C1E3" w14:textId="77777777" w:rsidR="00457D1B" w:rsidRPr="00C70A83" w:rsidRDefault="00457D1B" w:rsidP="00457D1B">
      <w:pPr>
        <w:spacing w:before="360"/>
        <w:ind w:firstLine="709"/>
        <w:jc w:val="both"/>
        <w:rPr>
          <w:b/>
          <w:szCs w:val="20"/>
          <w:u w:val="single"/>
        </w:rPr>
      </w:pPr>
      <w:r w:rsidRPr="00C70A83">
        <w:rPr>
          <w:b/>
          <w:szCs w:val="20"/>
          <w:u w:val="single"/>
        </w:rPr>
        <w:t>Nároky z nespotřebovaných výdajů vzniklé k 31.12.2019</w:t>
      </w:r>
    </w:p>
    <w:p w14:paraId="22880E56" w14:textId="77777777" w:rsidR="00457D1B" w:rsidRPr="000C7103" w:rsidRDefault="00457D1B" w:rsidP="00457D1B">
      <w:pPr>
        <w:pStyle w:val="KOMtext"/>
      </w:pPr>
      <w:r w:rsidRPr="00752747">
        <w:t>K </w:t>
      </w:r>
      <w:r w:rsidR="00513541" w:rsidRPr="00752747">
        <w:t>31. 12. 2019</w:t>
      </w:r>
      <w:r w:rsidRPr="00752747">
        <w:t xml:space="preserve"> vznikly nároky z nespotřebovaných výdajů za rok 2019</w:t>
      </w:r>
      <w:r>
        <w:t xml:space="preserve"> v</w:t>
      </w:r>
      <w:r w:rsidR="00083570">
        <w:t xml:space="preserve">e výši </w:t>
      </w:r>
      <w:r w:rsidR="00083570">
        <w:br/>
      </w:r>
      <w:r w:rsidRPr="001E6FE2">
        <w:rPr>
          <w:color w:val="000000" w:themeColor="text1"/>
        </w:rPr>
        <w:t>15 981 104</w:t>
      </w:r>
      <w:r w:rsidRPr="004B742E">
        <w:rPr>
          <w:color w:val="00B050"/>
        </w:rPr>
        <w:t xml:space="preserve"> </w:t>
      </w:r>
      <w:r w:rsidRPr="00344BCF">
        <w:t xml:space="preserve">tis. Kč. </w:t>
      </w:r>
      <w:r w:rsidRPr="00704F59">
        <w:t>Nároky z nespotřebovaných výdajů roku 2019 vznikly zejména nevyčerpáním:</w:t>
      </w:r>
    </w:p>
    <w:p w14:paraId="589AD03C" w14:textId="77777777" w:rsidR="00457D1B" w:rsidRDefault="00457D1B" w:rsidP="00275CE2">
      <w:pPr>
        <w:numPr>
          <w:ilvl w:val="0"/>
          <w:numId w:val="32"/>
        </w:numPr>
        <w:spacing w:before="120"/>
        <w:ind w:left="567" w:hanging="283"/>
        <w:jc w:val="both"/>
        <w:rPr>
          <w:szCs w:val="20"/>
        </w:rPr>
      </w:pPr>
      <w:r w:rsidRPr="003A7AE7">
        <w:rPr>
          <w:szCs w:val="20"/>
        </w:rPr>
        <w:lastRenderedPageBreak/>
        <w:t>dotace SFDI na vyrovnání deficitu</w:t>
      </w:r>
      <w:r w:rsidR="002E27A1">
        <w:rPr>
          <w:szCs w:val="20"/>
        </w:rPr>
        <w:t xml:space="preserve"> příjmů a výdajů rozpočtu SFDI </w:t>
      </w:r>
      <w:r w:rsidRPr="003A7AE7">
        <w:rPr>
          <w:szCs w:val="20"/>
        </w:rPr>
        <w:t>(program 127 77 „Podpora financování dopravy“) ve výši 4 945 082</w:t>
      </w:r>
      <w:r>
        <w:rPr>
          <w:szCs w:val="20"/>
        </w:rPr>
        <w:t> tis. Kč,</w:t>
      </w:r>
    </w:p>
    <w:p w14:paraId="46336337" w14:textId="77777777" w:rsidR="00457D1B" w:rsidRPr="003A7AE7" w:rsidRDefault="00457D1B" w:rsidP="00275CE2">
      <w:pPr>
        <w:numPr>
          <w:ilvl w:val="0"/>
          <w:numId w:val="32"/>
        </w:numPr>
        <w:spacing w:before="120"/>
        <w:ind w:left="567" w:hanging="283"/>
        <w:jc w:val="both"/>
        <w:rPr>
          <w:szCs w:val="20"/>
        </w:rPr>
      </w:pPr>
      <w:r>
        <w:rPr>
          <w:szCs w:val="20"/>
        </w:rPr>
        <w:t xml:space="preserve">dotace pro SFDI </w:t>
      </w:r>
      <w:r w:rsidRPr="00114AA3">
        <w:rPr>
          <w:szCs w:val="20"/>
        </w:rPr>
        <w:t>na financování silnic II. a III. tříd ve vlastnictví krajů a komunikací plnících funkci nevybudovaného silničního okruhu kolem Prahy</w:t>
      </w:r>
      <w:r>
        <w:rPr>
          <w:szCs w:val="20"/>
        </w:rPr>
        <w:t xml:space="preserve"> ve výši 84 085 tis. Kč,</w:t>
      </w:r>
    </w:p>
    <w:p w14:paraId="3C721184" w14:textId="77777777" w:rsidR="00457D1B" w:rsidRDefault="00457D1B" w:rsidP="00275CE2">
      <w:pPr>
        <w:numPr>
          <w:ilvl w:val="0"/>
          <w:numId w:val="32"/>
        </w:numPr>
        <w:spacing w:before="120"/>
        <w:ind w:left="567" w:hanging="283"/>
        <w:jc w:val="both"/>
        <w:rPr>
          <w:szCs w:val="20"/>
        </w:rPr>
      </w:pPr>
      <w:r w:rsidRPr="00603966">
        <w:rPr>
          <w:szCs w:val="20"/>
        </w:rPr>
        <w:t>příspěvku na dopravní cestu nehrazeného ze Státního fondu dopravní infrastruktury ve výši 241 500 tis. Kč</w:t>
      </w:r>
      <w:r>
        <w:rPr>
          <w:szCs w:val="20"/>
        </w:rPr>
        <w:t>,</w:t>
      </w:r>
    </w:p>
    <w:p w14:paraId="7F16DB4D" w14:textId="77777777" w:rsidR="00457D1B" w:rsidRPr="00603966" w:rsidRDefault="00457D1B" w:rsidP="00275CE2">
      <w:pPr>
        <w:numPr>
          <w:ilvl w:val="0"/>
          <w:numId w:val="32"/>
        </w:numPr>
        <w:spacing w:before="120"/>
        <w:ind w:left="567" w:hanging="283"/>
        <w:jc w:val="both"/>
        <w:rPr>
          <w:szCs w:val="20"/>
        </w:rPr>
      </w:pPr>
      <w:r>
        <w:rPr>
          <w:szCs w:val="20"/>
        </w:rPr>
        <w:t>finanční prostředky určené na  úhradu</w:t>
      </w:r>
      <w:r w:rsidRPr="00F35003">
        <w:rPr>
          <w:szCs w:val="20"/>
        </w:rPr>
        <w:t xml:space="preserve"> ztráty ze závazku veřejné služby ve veřejné drážní osobní dopravě</w:t>
      </w:r>
      <w:r>
        <w:rPr>
          <w:szCs w:val="20"/>
        </w:rPr>
        <w:t xml:space="preserve"> ve výši 353 786 tis. Kč,</w:t>
      </w:r>
    </w:p>
    <w:p w14:paraId="2AE81DD2" w14:textId="77777777" w:rsidR="00457D1B" w:rsidRDefault="00457D1B" w:rsidP="00275CE2">
      <w:pPr>
        <w:numPr>
          <w:ilvl w:val="0"/>
          <w:numId w:val="32"/>
        </w:numPr>
        <w:spacing w:before="120"/>
        <w:ind w:left="567" w:hanging="283"/>
        <w:jc w:val="both"/>
        <w:rPr>
          <w:szCs w:val="20"/>
        </w:rPr>
      </w:pPr>
      <w:r w:rsidRPr="00603966">
        <w:rPr>
          <w:szCs w:val="20"/>
        </w:rPr>
        <w:t xml:space="preserve">výdajů Ministerstva dopravy na  kompenzace ztráty vznikající dopravcům ve veřejné osobní dopravě přiznáváním státem nařízených slev z jízdného ve výši </w:t>
      </w:r>
      <w:r w:rsidRPr="00603966">
        <w:rPr>
          <w:szCs w:val="20"/>
        </w:rPr>
        <w:br/>
        <w:t>638 548</w:t>
      </w:r>
      <w:r>
        <w:rPr>
          <w:szCs w:val="20"/>
        </w:rPr>
        <w:t xml:space="preserve"> tis. Kč,</w:t>
      </w:r>
    </w:p>
    <w:p w14:paraId="25CCDD14" w14:textId="77777777" w:rsidR="00457D1B" w:rsidRPr="00114AA3" w:rsidRDefault="00457D1B" w:rsidP="00275CE2">
      <w:pPr>
        <w:numPr>
          <w:ilvl w:val="0"/>
          <w:numId w:val="32"/>
        </w:numPr>
        <w:spacing w:before="120"/>
        <w:ind w:left="567" w:hanging="283"/>
        <w:jc w:val="both"/>
        <w:rPr>
          <w:color w:val="000000" w:themeColor="text1"/>
          <w:szCs w:val="20"/>
        </w:rPr>
      </w:pPr>
      <w:r w:rsidRPr="00114AA3">
        <w:rPr>
          <w:color w:val="000000" w:themeColor="text1"/>
          <w:szCs w:val="20"/>
        </w:rPr>
        <w:t>neinvestičního příspěvku rozpočtovaného pro příspěvkovou organizaci Ředitelství silnic a dálnic ČR ve výši 147 369 tis. Kč,</w:t>
      </w:r>
    </w:p>
    <w:p w14:paraId="3F4A0F4C" w14:textId="77777777" w:rsidR="00457D1B" w:rsidRPr="00833DB7" w:rsidRDefault="00457D1B" w:rsidP="00275CE2">
      <w:pPr>
        <w:numPr>
          <w:ilvl w:val="0"/>
          <w:numId w:val="32"/>
        </w:numPr>
        <w:spacing w:before="120"/>
        <w:ind w:left="567" w:hanging="283"/>
        <w:jc w:val="both"/>
        <w:rPr>
          <w:color w:val="000000" w:themeColor="text1"/>
          <w:szCs w:val="20"/>
        </w:rPr>
      </w:pPr>
      <w:r w:rsidRPr="00833DB7">
        <w:rPr>
          <w:color w:val="000000" w:themeColor="text1"/>
          <w:szCs w:val="20"/>
        </w:rPr>
        <w:t xml:space="preserve">finančních prostředků z Nástroje pro propojení Evropy 2014+ (CEF) </w:t>
      </w:r>
      <w:r>
        <w:rPr>
          <w:color w:val="000000" w:themeColor="text1"/>
          <w:szCs w:val="20"/>
        </w:rPr>
        <w:t xml:space="preserve">včetně spolufinancování ze SR ve výši  </w:t>
      </w:r>
      <w:r w:rsidRPr="00833DB7">
        <w:rPr>
          <w:color w:val="000000" w:themeColor="text1"/>
          <w:szCs w:val="20"/>
        </w:rPr>
        <w:t xml:space="preserve"> 919 111 tis. Kč, zejména:</w:t>
      </w:r>
    </w:p>
    <w:p w14:paraId="1739B7F2" w14:textId="77777777" w:rsidR="00457D1B" w:rsidRPr="00833DB7" w:rsidRDefault="00457D1B" w:rsidP="00275CE2">
      <w:pPr>
        <w:numPr>
          <w:ilvl w:val="0"/>
          <w:numId w:val="36"/>
        </w:numPr>
        <w:spacing w:before="120"/>
        <w:ind w:left="851" w:hanging="283"/>
        <w:jc w:val="both"/>
        <w:rPr>
          <w:color w:val="000000" w:themeColor="text1"/>
          <w:szCs w:val="20"/>
        </w:rPr>
      </w:pPr>
      <w:r w:rsidRPr="00833DB7">
        <w:rPr>
          <w:color w:val="000000" w:themeColor="text1"/>
          <w:szCs w:val="20"/>
        </w:rPr>
        <w:t>program</w:t>
      </w:r>
      <w:r w:rsidRPr="00833DB7">
        <w:rPr>
          <w:color w:val="000000" w:themeColor="text1"/>
        </w:rPr>
        <w:t xml:space="preserve"> 127 77 „Podpora financování dopravy“</w:t>
      </w:r>
      <w:r w:rsidRPr="00833DB7">
        <w:rPr>
          <w:color w:val="000000" w:themeColor="text1"/>
          <w:szCs w:val="20"/>
        </w:rPr>
        <w:t xml:space="preserve"> ve výši   895 520 tis. Kč,</w:t>
      </w:r>
    </w:p>
    <w:p w14:paraId="1C527085" w14:textId="77777777" w:rsidR="00457D1B" w:rsidRPr="0012034E" w:rsidRDefault="00457D1B" w:rsidP="00275CE2">
      <w:pPr>
        <w:numPr>
          <w:ilvl w:val="0"/>
          <w:numId w:val="32"/>
        </w:numPr>
        <w:spacing w:before="120"/>
        <w:ind w:left="567" w:hanging="283"/>
        <w:jc w:val="both"/>
        <w:rPr>
          <w:color w:val="000000" w:themeColor="text1"/>
          <w:szCs w:val="20"/>
        </w:rPr>
      </w:pPr>
      <w:r w:rsidRPr="0012034E">
        <w:rPr>
          <w:color w:val="000000" w:themeColor="text1"/>
          <w:szCs w:val="20"/>
        </w:rPr>
        <w:t>finančních prostředků z Operačního programu Doprava 2014-2020 včetně spolufinancování ze SR v celkové výši 8 161 951 tis. Kč, zejména:</w:t>
      </w:r>
    </w:p>
    <w:p w14:paraId="21B35B3C" w14:textId="77777777" w:rsidR="00457D1B" w:rsidRPr="0012034E" w:rsidRDefault="00457D1B" w:rsidP="00275CE2">
      <w:pPr>
        <w:numPr>
          <w:ilvl w:val="0"/>
          <w:numId w:val="36"/>
        </w:numPr>
        <w:spacing w:before="120"/>
        <w:ind w:left="851" w:hanging="283"/>
        <w:jc w:val="both"/>
        <w:rPr>
          <w:color w:val="000000" w:themeColor="text1"/>
          <w:szCs w:val="20"/>
        </w:rPr>
      </w:pPr>
      <w:r w:rsidRPr="0012034E">
        <w:rPr>
          <w:color w:val="000000" w:themeColor="text1"/>
          <w:szCs w:val="20"/>
        </w:rPr>
        <w:t>program</w:t>
      </w:r>
      <w:r w:rsidRPr="0012034E">
        <w:rPr>
          <w:color w:val="000000" w:themeColor="text1"/>
        </w:rPr>
        <w:t xml:space="preserve"> 127 77 „Podpora financování dopravy“</w:t>
      </w:r>
      <w:r w:rsidRPr="0012034E">
        <w:rPr>
          <w:color w:val="000000" w:themeColor="text1"/>
          <w:szCs w:val="20"/>
        </w:rPr>
        <w:t xml:space="preserve"> ve výši 8 094 535 tis. Kč.</w:t>
      </w:r>
    </w:p>
    <w:p w14:paraId="78BFDA1F" w14:textId="10DD2EB0" w:rsidR="00457D1B" w:rsidRDefault="00457D1B" w:rsidP="002E27A1">
      <w:pPr>
        <w:pStyle w:val="KOMtext"/>
      </w:pPr>
      <w:r w:rsidRPr="00E82411">
        <w:t xml:space="preserve">Nižší čerpání prostředků OPD programového období 2014-2020 a programu CEF oproti předpokladu bylo způsobeno především zpožděním přípravy jednotlivých projektů. </w:t>
      </w:r>
    </w:p>
    <w:p w14:paraId="1054D003" w14:textId="7C5123FD" w:rsidR="004A6E44" w:rsidRPr="00E82411" w:rsidRDefault="004A6E44" w:rsidP="002E27A1">
      <w:pPr>
        <w:pStyle w:val="KOMtext"/>
      </w:pPr>
      <w:r>
        <w:t>Po dohodě s Ministerstvem financí nebyly čerpány prostředky na krytí deficitu SFDI ve výši 3 000 000 tis. Kč, které byly převedeny do kapitoly 327-MD až na konci roku 2019.</w:t>
      </w:r>
    </w:p>
    <w:p w14:paraId="731FC27B" w14:textId="632BDAA1" w:rsidR="00457D1B" w:rsidRPr="004B11AC" w:rsidRDefault="00457D1B" w:rsidP="00457D1B">
      <w:pPr>
        <w:pStyle w:val="KOMtext"/>
        <w:rPr>
          <w:color w:val="FF0000"/>
        </w:rPr>
      </w:pPr>
      <w:r w:rsidRPr="00E82411">
        <w:t>Zbylé nároky vznikly úsporami při čerpání prostředků státního rozpočtu</w:t>
      </w:r>
      <w:r w:rsidR="00782FBC">
        <w:t>.</w:t>
      </w:r>
    </w:p>
    <w:p w14:paraId="2474E631" w14:textId="77777777" w:rsidR="00B47A00" w:rsidRPr="004B11AC" w:rsidRDefault="00B47A00" w:rsidP="00B47A00">
      <w:pPr>
        <w:pStyle w:val="Znormal"/>
        <w:rPr>
          <w:color w:val="FF0000"/>
        </w:rPr>
      </w:pPr>
    </w:p>
    <w:p w14:paraId="33AFA2DE" w14:textId="77777777" w:rsidR="00CD2AEB" w:rsidRPr="004B11AC" w:rsidRDefault="00CD2AEB">
      <w:pPr>
        <w:rPr>
          <w:color w:val="FF0000"/>
        </w:rPr>
      </w:pPr>
    </w:p>
    <w:p w14:paraId="7407F9E9" w14:textId="77777777" w:rsidR="00CD2AEB" w:rsidRPr="004B11AC" w:rsidRDefault="00CD2AEB">
      <w:pPr>
        <w:rPr>
          <w:color w:val="FF0000"/>
        </w:rPr>
      </w:pPr>
    </w:p>
    <w:p w14:paraId="710B429F" w14:textId="77777777" w:rsidR="00CD2AEB" w:rsidRPr="004B11AC" w:rsidRDefault="00CD2AEB">
      <w:pPr>
        <w:rPr>
          <w:color w:val="FF0000"/>
        </w:rPr>
      </w:pPr>
    </w:p>
    <w:p w14:paraId="5807CC04" w14:textId="77777777" w:rsidR="0083730F" w:rsidRPr="004B11AC" w:rsidRDefault="0083730F">
      <w:pPr>
        <w:rPr>
          <w:color w:val="FF0000"/>
        </w:rPr>
      </w:pPr>
    </w:p>
    <w:p w14:paraId="3E2A91D7" w14:textId="77777777" w:rsidR="0083730F" w:rsidRPr="004B11AC" w:rsidRDefault="0083730F">
      <w:pPr>
        <w:rPr>
          <w:color w:val="FF0000"/>
        </w:rPr>
      </w:pPr>
    </w:p>
    <w:p w14:paraId="0229BD86" w14:textId="77777777" w:rsidR="0083730F" w:rsidRPr="004B11AC" w:rsidRDefault="0083730F">
      <w:pPr>
        <w:rPr>
          <w:color w:val="FF0000"/>
        </w:rPr>
      </w:pPr>
    </w:p>
    <w:p w14:paraId="16587E0C" w14:textId="77777777" w:rsidR="0083730F" w:rsidRPr="004B11AC" w:rsidRDefault="0083730F">
      <w:pPr>
        <w:rPr>
          <w:color w:val="FF0000"/>
        </w:rPr>
      </w:pPr>
    </w:p>
    <w:p w14:paraId="5BE846F6" w14:textId="77777777" w:rsidR="0083730F" w:rsidRPr="004B11AC" w:rsidRDefault="0083730F">
      <w:pPr>
        <w:rPr>
          <w:color w:val="FF0000"/>
        </w:rPr>
      </w:pPr>
    </w:p>
    <w:p w14:paraId="78F72979" w14:textId="77777777" w:rsidR="0083730F" w:rsidRPr="004B11AC" w:rsidRDefault="0083730F">
      <w:pPr>
        <w:rPr>
          <w:color w:val="FF0000"/>
        </w:rPr>
      </w:pPr>
    </w:p>
    <w:p w14:paraId="3CFF0C8E" w14:textId="77777777" w:rsidR="0083730F" w:rsidRPr="004B11AC" w:rsidRDefault="0083730F">
      <w:pPr>
        <w:rPr>
          <w:color w:val="FF0000"/>
        </w:rPr>
      </w:pPr>
    </w:p>
    <w:p w14:paraId="1F917855" w14:textId="77777777" w:rsidR="0083730F" w:rsidRPr="004B11AC" w:rsidRDefault="0083730F">
      <w:pPr>
        <w:rPr>
          <w:color w:val="FF0000"/>
        </w:rPr>
      </w:pPr>
    </w:p>
    <w:p w14:paraId="2AC21911" w14:textId="77777777" w:rsidR="0083730F" w:rsidRPr="004B11AC" w:rsidRDefault="0083730F">
      <w:pPr>
        <w:rPr>
          <w:color w:val="FF0000"/>
        </w:rPr>
      </w:pPr>
    </w:p>
    <w:p w14:paraId="73485FE3" w14:textId="77777777" w:rsidR="0083730F" w:rsidRPr="004B11AC" w:rsidRDefault="0083730F">
      <w:pPr>
        <w:rPr>
          <w:color w:val="FF0000"/>
        </w:rPr>
      </w:pPr>
    </w:p>
    <w:p w14:paraId="3A9388F1" w14:textId="77777777" w:rsidR="0083730F" w:rsidRPr="004B11AC" w:rsidRDefault="0083730F">
      <w:pPr>
        <w:rPr>
          <w:color w:val="FF0000"/>
        </w:rPr>
      </w:pPr>
    </w:p>
    <w:p w14:paraId="48F95A98" w14:textId="77777777" w:rsidR="0083730F" w:rsidRPr="004B11AC" w:rsidRDefault="0083730F">
      <w:pPr>
        <w:rPr>
          <w:color w:val="FF0000"/>
        </w:rPr>
      </w:pPr>
    </w:p>
    <w:p w14:paraId="21155947" w14:textId="77777777" w:rsidR="0083730F" w:rsidRPr="004B11AC" w:rsidRDefault="0083730F">
      <w:pPr>
        <w:rPr>
          <w:color w:val="FF0000"/>
        </w:rPr>
      </w:pPr>
    </w:p>
    <w:p w14:paraId="4B0ECD63" w14:textId="77777777" w:rsidR="0083730F" w:rsidRPr="004B11AC" w:rsidRDefault="0083730F">
      <w:pPr>
        <w:rPr>
          <w:color w:val="FF0000"/>
        </w:rPr>
      </w:pPr>
    </w:p>
    <w:p w14:paraId="11EA2B94" w14:textId="77777777" w:rsidR="0083730F" w:rsidRPr="004B11AC" w:rsidRDefault="0083730F">
      <w:pPr>
        <w:rPr>
          <w:color w:val="FF0000"/>
        </w:rPr>
      </w:pPr>
    </w:p>
    <w:p w14:paraId="3CE9A188" w14:textId="77777777" w:rsidR="00CD2AEB" w:rsidRPr="004B11AC" w:rsidRDefault="00CD2AEB" w:rsidP="00275CE2">
      <w:pPr>
        <w:pStyle w:val="Znadpis1"/>
        <w:numPr>
          <w:ilvl w:val="0"/>
          <w:numId w:val="57"/>
        </w:numPr>
      </w:pPr>
      <w:bookmarkStart w:id="1146" w:name="_Toc34286496"/>
      <w:r w:rsidRPr="004B11AC">
        <w:lastRenderedPageBreak/>
        <w:t>Povolené překročení výdajů</w:t>
      </w:r>
      <w:bookmarkEnd w:id="1146"/>
    </w:p>
    <w:p w14:paraId="69E6AF40" w14:textId="77777777" w:rsidR="00B47A00" w:rsidRPr="004B11AC" w:rsidRDefault="00350097" w:rsidP="002E27A1">
      <w:pPr>
        <w:pStyle w:val="KOMtext"/>
        <w:rPr>
          <w:color w:val="FF0000"/>
        </w:rPr>
      </w:pPr>
      <w:r w:rsidRPr="0057529C">
        <w:t xml:space="preserve">Dopisem č. j.: MF-12910/2019/1903-3 ze dne 30. května 2019 povolilo Ministerstvo financí překročení výdajů ve výši 20 000 tis. Kč v souladu s usnesením vlády č. 285 ze dne </w:t>
      </w:r>
      <w:r w:rsidRPr="0057529C">
        <w:br/>
        <w:t>29. dubna 2019, kterým vláda vydala předchozí souhlas podle ustanovení § 19 odst. 4 zákona č. 77/1997 Sb., o státním podniku ve znění pozdějších předpisů, k vydání rozhodnutí Ministerstva dopravy o převodu finančních prostředků fondu zakladatele státního podniku Řízení letového provozu.</w:t>
      </w:r>
      <w:r w:rsidRPr="004B11AC">
        <w:rPr>
          <w:color w:val="FF0000"/>
        </w:rPr>
        <w:t xml:space="preserve"> </w:t>
      </w:r>
      <w:r w:rsidRPr="00282DC0">
        <w:t>Finanční prostředky v roce 2019 byly čerpány ve výši 4 114 tis. Kč.</w:t>
      </w:r>
      <w:r w:rsidR="00B47A00" w:rsidRPr="004B11AC">
        <w:rPr>
          <w:color w:val="FF0000"/>
        </w:rPr>
        <w:br w:type="page"/>
      </w:r>
    </w:p>
    <w:p w14:paraId="51DE2A14" w14:textId="77777777" w:rsidR="00AC3865" w:rsidRPr="004B11AC" w:rsidRDefault="00AC3865" w:rsidP="00275CE2">
      <w:pPr>
        <w:pStyle w:val="Znadpis1"/>
        <w:numPr>
          <w:ilvl w:val="0"/>
          <w:numId w:val="61"/>
        </w:numPr>
      </w:pPr>
      <w:bookmarkStart w:id="1147" w:name="_Toc413413689"/>
      <w:bookmarkStart w:id="1148" w:name="_Toc508879941"/>
      <w:bookmarkStart w:id="1149" w:name="_Toc508880217"/>
      <w:bookmarkStart w:id="1150" w:name="_Toc1376870"/>
      <w:bookmarkStart w:id="1151" w:name="_Toc34286497"/>
      <w:r w:rsidRPr="004B11AC">
        <w:lastRenderedPageBreak/>
        <w:t xml:space="preserve">Výsledky </w:t>
      </w:r>
      <w:r w:rsidR="001331D1" w:rsidRPr="004B11AC">
        <w:t xml:space="preserve">auditů a </w:t>
      </w:r>
      <w:r w:rsidRPr="004B11AC">
        <w:t>kontrol</w:t>
      </w:r>
      <w:bookmarkEnd w:id="1147"/>
      <w:bookmarkEnd w:id="1148"/>
      <w:bookmarkEnd w:id="1149"/>
      <w:bookmarkEnd w:id="1150"/>
      <w:bookmarkEnd w:id="1151"/>
    </w:p>
    <w:p w14:paraId="53011675" w14:textId="77777777" w:rsidR="00F4616B" w:rsidRPr="008A39AA" w:rsidRDefault="00F4616B" w:rsidP="00F4616B">
      <w:pPr>
        <w:pStyle w:val="Nadpis2"/>
      </w:pPr>
      <w:bookmarkStart w:id="1152" w:name="_Toc474397355"/>
      <w:bookmarkStart w:id="1153" w:name="_Toc34286498"/>
      <w:r w:rsidRPr="008A39AA">
        <w:t>Kontroly provedené Nejvyšším kontrolním úřadem</w:t>
      </w:r>
      <w:bookmarkEnd w:id="1152"/>
      <w:bookmarkEnd w:id="1153"/>
    </w:p>
    <w:p w14:paraId="6BC7747F" w14:textId="77777777" w:rsidR="00F4616B" w:rsidRPr="00F4616B" w:rsidRDefault="00F4616B" w:rsidP="00275CE2">
      <w:pPr>
        <w:pStyle w:val="Odstavecseseznamem"/>
        <w:keepNext/>
        <w:numPr>
          <w:ilvl w:val="0"/>
          <w:numId w:val="43"/>
        </w:numPr>
        <w:overflowPunct w:val="0"/>
        <w:autoSpaceDE w:val="0"/>
        <w:autoSpaceDN w:val="0"/>
        <w:adjustRightInd w:val="0"/>
        <w:spacing w:before="240" w:after="120"/>
        <w:contextualSpacing w:val="0"/>
        <w:jc w:val="both"/>
        <w:textAlignment w:val="baseline"/>
        <w:outlineLvl w:val="2"/>
        <w:rPr>
          <w:b/>
          <w:vanish/>
          <w:szCs w:val="20"/>
        </w:rPr>
      </w:pPr>
      <w:bookmarkStart w:id="1154" w:name="_Toc32587632"/>
      <w:bookmarkStart w:id="1155" w:name="_Toc32587726"/>
      <w:bookmarkStart w:id="1156" w:name="_Toc32935752"/>
      <w:bookmarkStart w:id="1157" w:name="_Toc34204640"/>
      <w:bookmarkStart w:id="1158" w:name="_Toc34286432"/>
      <w:bookmarkStart w:id="1159" w:name="_Toc34286499"/>
      <w:bookmarkStart w:id="1160" w:name="_Toc474397356"/>
      <w:bookmarkEnd w:id="1154"/>
      <w:bookmarkEnd w:id="1155"/>
      <w:bookmarkEnd w:id="1156"/>
      <w:bookmarkEnd w:id="1157"/>
      <w:bookmarkEnd w:id="1158"/>
      <w:bookmarkEnd w:id="1159"/>
    </w:p>
    <w:p w14:paraId="5DCD1EDA" w14:textId="77777777" w:rsidR="00F4616B" w:rsidRPr="00F4616B" w:rsidRDefault="00F4616B" w:rsidP="00275CE2">
      <w:pPr>
        <w:pStyle w:val="Odstavecseseznamem"/>
        <w:keepNext/>
        <w:numPr>
          <w:ilvl w:val="0"/>
          <w:numId w:val="43"/>
        </w:numPr>
        <w:overflowPunct w:val="0"/>
        <w:autoSpaceDE w:val="0"/>
        <w:autoSpaceDN w:val="0"/>
        <w:adjustRightInd w:val="0"/>
        <w:spacing w:before="240" w:after="120"/>
        <w:contextualSpacing w:val="0"/>
        <w:jc w:val="both"/>
        <w:textAlignment w:val="baseline"/>
        <w:outlineLvl w:val="2"/>
        <w:rPr>
          <w:b/>
          <w:vanish/>
          <w:szCs w:val="20"/>
        </w:rPr>
      </w:pPr>
      <w:bookmarkStart w:id="1161" w:name="_Toc32587633"/>
      <w:bookmarkStart w:id="1162" w:name="_Toc32587727"/>
      <w:bookmarkStart w:id="1163" w:name="_Toc32935753"/>
      <w:bookmarkStart w:id="1164" w:name="_Toc34204641"/>
      <w:bookmarkStart w:id="1165" w:name="_Toc34286433"/>
      <w:bookmarkStart w:id="1166" w:name="_Toc34286500"/>
      <w:bookmarkEnd w:id="1161"/>
      <w:bookmarkEnd w:id="1162"/>
      <w:bookmarkEnd w:id="1163"/>
      <w:bookmarkEnd w:id="1164"/>
      <w:bookmarkEnd w:id="1165"/>
      <w:bookmarkEnd w:id="1166"/>
    </w:p>
    <w:p w14:paraId="21256EA2" w14:textId="77777777" w:rsidR="00F4616B" w:rsidRPr="00F4616B" w:rsidRDefault="00F4616B" w:rsidP="00275CE2">
      <w:pPr>
        <w:pStyle w:val="Odstavecseseznamem"/>
        <w:keepNext/>
        <w:numPr>
          <w:ilvl w:val="0"/>
          <w:numId w:val="43"/>
        </w:numPr>
        <w:overflowPunct w:val="0"/>
        <w:autoSpaceDE w:val="0"/>
        <w:autoSpaceDN w:val="0"/>
        <w:adjustRightInd w:val="0"/>
        <w:spacing w:before="240" w:after="120"/>
        <w:contextualSpacing w:val="0"/>
        <w:jc w:val="both"/>
        <w:textAlignment w:val="baseline"/>
        <w:outlineLvl w:val="2"/>
        <w:rPr>
          <w:b/>
          <w:vanish/>
          <w:szCs w:val="20"/>
        </w:rPr>
      </w:pPr>
      <w:bookmarkStart w:id="1167" w:name="_Toc32587634"/>
      <w:bookmarkStart w:id="1168" w:name="_Toc32587728"/>
      <w:bookmarkStart w:id="1169" w:name="_Toc32935754"/>
      <w:bookmarkStart w:id="1170" w:name="_Toc34204642"/>
      <w:bookmarkStart w:id="1171" w:name="_Toc34286434"/>
      <w:bookmarkStart w:id="1172" w:name="_Toc34286501"/>
      <w:bookmarkEnd w:id="1167"/>
      <w:bookmarkEnd w:id="1168"/>
      <w:bookmarkEnd w:id="1169"/>
      <w:bookmarkEnd w:id="1170"/>
      <w:bookmarkEnd w:id="1171"/>
      <w:bookmarkEnd w:id="1172"/>
    </w:p>
    <w:p w14:paraId="341203BC" w14:textId="77777777" w:rsidR="00F4616B" w:rsidRPr="00F4616B" w:rsidRDefault="00F4616B" w:rsidP="00275CE2">
      <w:pPr>
        <w:pStyle w:val="Odstavecseseznamem"/>
        <w:keepNext/>
        <w:numPr>
          <w:ilvl w:val="0"/>
          <w:numId w:val="43"/>
        </w:numPr>
        <w:overflowPunct w:val="0"/>
        <w:autoSpaceDE w:val="0"/>
        <w:autoSpaceDN w:val="0"/>
        <w:adjustRightInd w:val="0"/>
        <w:spacing w:before="240" w:after="120"/>
        <w:contextualSpacing w:val="0"/>
        <w:jc w:val="both"/>
        <w:textAlignment w:val="baseline"/>
        <w:outlineLvl w:val="2"/>
        <w:rPr>
          <w:b/>
          <w:vanish/>
          <w:szCs w:val="20"/>
        </w:rPr>
      </w:pPr>
      <w:bookmarkStart w:id="1173" w:name="_Toc32587635"/>
      <w:bookmarkStart w:id="1174" w:name="_Toc32587729"/>
      <w:bookmarkStart w:id="1175" w:name="_Toc32935755"/>
      <w:bookmarkStart w:id="1176" w:name="_Toc34204643"/>
      <w:bookmarkStart w:id="1177" w:name="_Toc34286435"/>
      <w:bookmarkStart w:id="1178" w:name="_Toc34286502"/>
      <w:bookmarkEnd w:id="1173"/>
      <w:bookmarkEnd w:id="1174"/>
      <w:bookmarkEnd w:id="1175"/>
      <w:bookmarkEnd w:id="1176"/>
      <w:bookmarkEnd w:id="1177"/>
      <w:bookmarkEnd w:id="1178"/>
    </w:p>
    <w:p w14:paraId="322616B1" w14:textId="77777777" w:rsidR="00F4616B" w:rsidRPr="00F4616B" w:rsidRDefault="00F4616B" w:rsidP="00275CE2">
      <w:pPr>
        <w:pStyle w:val="Odstavecseseznamem"/>
        <w:keepNext/>
        <w:numPr>
          <w:ilvl w:val="0"/>
          <w:numId w:val="43"/>
        </w:numPr>
        <w:overflowPunct w:val="0"/>
        <w:autoSpaceDE w:val="0"/>
        <w:autoSpaceDN w:val="0"/>
        <w:adjustRightInd w:val="0"/>
        <w:spacing w:before="240" w:after="120"/>
        <w:contextualSpacing w:val="0"/>
        <w:jc w:val="both"/>
        <w:textAlignment w:val="baseline"/>
        <w:outlineLvl w:val="2"/>
        <w:rPr>
          <w:b/>
          <w:vanish/>
          <w:szCs w:val="20"/>
        </w:rPr>
      </w:pPr>
      <w:bookmarkStart w:id="1179" w:name="_Toc32587636"/>
      <w:bookmarkStart w:id="1180" w:name="_Toc32587730"/>
      <w:bookmarkStart w:id="1181" w:name="_Toc32935756"/>
      <w:bookmarkStart w:id="1182" w:name="_Toc34204644"/>
      <w:bookmarkStart w:id="1183" w:name="_Toc34286436"/>
      <w:bookmarkStart w:id="1184" w:name="_Toc34286503"/>
      <w:bookmarkEnd w:id="1179"/>
      <w:bookmarkEnd w:id="1180"/>
      <w:bookmarkEnd w:id="1181"/>
      <w:bookmarkEnd w:id="1182"/>
      <w:bookmarkEnd w:id="1183"/>
      <w:bookmarkEnd w:id="1184"/>
    </w:p>
    <w:p w14:paraId="7A416481" w14:textId="77777777" w:rsidR="00F4616B" w:rsidRPr="00F4616B" w:rsidRDefault="00F4616B" w:rsidP="00275CE2">
      <w:pPr>
        <w:pStyle w:val="Odstavecseseznamem"/>
        <w:keepNext/>
        <w:numPr>
          <w:ilvl w:val="0"/>
          <w:numId w:val="43"/>
        </w:numPr>
        <w:overflowPunct w:val="0"/>
        <w:autoSpaceDE w:val="0"/>
        <w:autoSpaceDN w:val="0"/>
        <w:adjustRightInd w:val="0"/>
        <w:spacing w:before="240" w:after="120"/>
        <w:contextualSpacing w:val="0"/>
        <w:jc w:val="both"/>
        <w:textAlignment w:val="baseline"/>
        <w:outlineLvl w:val="2"/>
        <w:rPr>
          <w:b/>
          <w:vanish/>
          <w:szCs w:val="20"/>
        </w:rPr>
      </w:pPr>
      <w:bookmarkStart w:id="1185" w:name="_Toc32587637"/>
      <w:bookmarkStart w:id="1186" w:name="_Toc32587731"/>
      <w:bookmarkStart w:id="1187" w:name="_Toc32935757"/>
      <w:bookmarkStart w:id="1188" w:name="_Toc34204645"/>
      <w:bookmarkStart w:id="1189" w:name="_Toc34286437"/>
      <w:bookmarkStart w:id="1190" w:name="_Toc34286504"/>
      <w:bookmarkEnd w:id="1185"/>
      <w:bookmarkEnd w:id="1186"/>
      <w:bookmarkEnd w:id="1187"/>
      <w:bookmarkEnd w:id="1188"/>
      <w:bookmarkEnd w:id="1189"/>
      <w:bookmarkEnd w:id="1190"/>
    </w:p>
    <w:p w14:paraId="39B9B1C2" w14:textId="77777777" w:rsidR="00F4616B" w:rsidRPr="00F4616B" w:rsidRDefault="00F4616B" w:rsidP="00275CE2">
      <w:pPr>
        <w:pStyle w:val="Odstavecseseznamem"/>
        <w:keepNext/>
        <w:numPr>
          <w:ilvl w:val="1"/>
          <w:numId w:val="43"/>
        </w:numPr>
        <w:overflowPunct w:val="0"/>
        <w:autoSpaceDE w:val="0"/>
        <w:autoSpaceDN w:val="0"/>
        <w:adjustRightInd w:val="0"/>
        <w:spacing w:before="240" w:after="120"/>
        <w:contextualSpacing w:val="0"/>
        <w:jc w:val="both"/>
        <w:textAlignment w:val="baseline"/>
        <w:outlineLvl w:val="2"/>
        <w:rPr>
          <w:b/>
          <w:vanish/>
          <w:szCs w:val="20"/>
        </w:rPr>
      </w:pPr>
      <w:bookmarkStart w:id="1191" w:name="_Toc32587638"/>
      <w:bookmarkStart w:id="1192" w:name="_Toc32587732"/>
      <w:bookmarkStart w:id="1193" w:name="_Toc32935758"/>
      <w:bookmarkStart w:id="1194" w:name="_Toc34204646"/>
      <w:bookmarkStart w:id="1195" w:name="_Toc34286438"/>
      <w:bookmarkStart w:id="1196" w:name="_Toc34286505"/>
      <w:bookmarkEnd w:id="1191"/>
      <w:bookmarkEnd w:id="1192"/>
      <w:bookmarkEnd w:id="1193"/>
      <w:bookmarkEnd w:id="1194"/>
      <w:bookmarkEnd w:id="1195"/>
      <w:bookmarkEnd w:id="1196"/>
    </w:p>
    <w:p w14:paraId="23E533EC" w14:textId="77777777" w:rsidR="00F4616B" w:rsidRPr="008A39AA" w:rsidRDefault="00F4616B" w:rsidP="00804818">
      <w:pPr>
        <w:pStyle w:val="Nadpis3"/>
      </w:pPr>
      <w:bookmarkStart w:id="1197" w:name="_Toc34286506"/>
      <w:r w:rsidRPr="008A39AA">
        <w:t>Kontrolní akce NKÚ prováděné</w:t>
      </w:r>
      <w:r>
        <w:t xml:space="preserve"> v </w:t>
      </w:r>
      <w:r w:rsidRPr="008A39AA">
        <w:t>roce 201</w:t>
      </w:r>
      <w:r>
        <w:t>9</w:t>
      </w:r>
      <w:r w:rsidRPr="008A39AA">
        <w:t xml:space="preserve"> (neukončené schválením kontrolního závěru</w:t>
      </w:r>
      <w:r>
        <w:t xml:space="preserve"> a </w:t>
      </w:r>
      <w:r w:rsidRPr="008A39AA">
        <w:t>projednáním vládou ČR)</w:t>
      </w:r>
      <w:bookmarkEnd w:id="1160"/>
      <w:bookmarkEnd w:id="1197"/>
    </w:p>
    <w:p w14:paraId="2B05B369" w14:textId="77777777" w:rsidR="00F4616B" w:rsidRPr="00BE30F4" w:rsidRDefault="00F4616B" w:rsidP="002E27A1">
      <w:pPr>
        <w:pStyle w:val="KOMtext"/>
      </w:pPr>
      <w:r w:rsidRPr="00BE30F4">
        <w:t>V souladu</w:t>
      </w:r>
      <w:r>
        <w:t xml:space="preserve"> s p</w:t>
      </w:r>
      <w:r w:rsidRPr="00BE30F4">
        <w:t>lánem kontrolní činnosti NKÚ byly</w:t>
      </w:r>
      <w:r>
        <w:t xml:space="preserve"> v </w:t>
      </w:r>
      <w:r w:rsidRPr="00BE30F4">
        <w:t xml:space="preserve">roce </w:t>
      </w:r>
      <w:r>
        <w:t>2019 v </w:t>
      </w:r>
      <w:r w:rsidRPr="00BE30F4">
        <w:t xml:space="preserve">rezortu dopravy prováděny tyto kontrolní akce NKÚ </w:t>
      </w:r>
      <w:r>
        <w:t>(k </w:t>
      </w:r>
      <w:r w:rsidRPr="00BE30F4">
        <w:t>31. 12. 201</w:t>
      </w:r>
      <w:r>
        <w:t>9</w:t>
      </w:r>
      <w:r w:rsidRPr="00BE30F4">
        <w:t xml:space="preserve"> nebyly tyto kontroly uzavřeny schválením </w:t>
      </w:r>
      <w:r>
        <w:t>k</w:t>
      </w:r>
      <w:r w:rsidRPr="00BE30F4">
        <w:t>ontrolního závěru NKÚ</w:t>
      </w:r>
      <w:r>
        <w:t xml:space="preserve"> a </w:t>
      </w:r>
      <w:r w:rsidRPr="00BE30F4">
        <w:t xml:space="preserve">jeho projednáním spolu se </w:t>
      </w:r>
      <w:r>
        <w:t>s</w:t>
      </w:r>
      <w:r w:rsidRPr="00BE30F4">
        <w:t>tanoviskem MD vládou ČR):</w:t>
      </w:r>
    </w:p>
    <w:p w14:paraId="14C09259" w14:textId="77777777" w:rsidR="00F4616B" w:rsidRPr="002E27A1" w:rsidRDefault="00F4616B" w:rsidP="002E27A1">
      <w:pPr>
        <w:pStyle w:val="KOMtext"/>
        <w:rPr>
          <w:b/>
          <w:color w:val="000000"/>
          <w:u w:val="single"/>
        </w:rPr>
      </w:pPr>
      <w:r w:rsidRPr="002E27A1">
        <w:rPr>
          <w:color w:val="000000"/>
          <w:u w:val="single"/>
        </w:rPr>
        <w:t>Kontrolní akce č. 19/08 „</w:t>
      </w:r>
      <w:r w:rsidRPr="002E27A1">
        <w:rPr>
          <w:u w:val="single"/>
        </w:rPr>
        <w:t>Závěrečný účet kapitoly státního rozpočtu Ministerstvo dopravy za rok 2018, účetní závěrka Ministerstva dopravy za rok 2018 a údaje předkládané Ministerstvem dopravy pro hodnocení plnění státního rozpočtu za rok 2018</w:t>
      </w:r>
      <w:r w:rsidRPr="002E27A1">
        <w:rPr>
          <w:color w:val="000000"/>
          <w:u w:val="single"/>
        </w:rPr>
        <w:t>“</w:t>
      </w:r>
    </w:p>
    <w:p w14:paraId="3ABB1395" w14:textId="77777777" w:rsidR="00F4616B" w:rsidRDefault="00F4616B" w:rsidP="002E27A1">
      <w:pPr>
        <w:pStyle w:val="Nadpis6"/>
      </w:pPr>
      <w:r w:rsidRPr="00754062">
        <w:t xml:space="preserve">Kontrola byla </w:t>
      </w:r>
      <w:r>
        <w:t>prováděna u MD od května do listopadu 2019.</w:t>
      </w:r>
    </w:p>
    <w:p w14:paraId="35EB1E43" w14:textId="77777777" w:rsidR="00F4616B" w:rsidRPr="00515737" w:rsidRDefault="00F4616B" w:rsidP="002E27A1">
      <w:pPr>
        <w:pStyle w:val="KOMtext"/>
      </w:pPr>
      <w:r>
        <w:t>Cílem kontroly bylo</w:t>
      </w:r>
      <w:r w:rsidRPr="00515737">
        <w:t xml:space="preserve"> prověřit, zda Ministerstvo dopravy při sestavení závěrečného účtu</w:t>
      </w:r>
      <w:r>
        <w:t xml:space="preserve"> a </w:t>
      </w:r>
      <w:r w:rsidRPr="00515737">
        <w:t>při vedení účetnictví</w:t>
      </w:r>
      <w:r>
        <w:t xml:space="preserve"> a </w:t>
      </w:r>
      <w:r w:rsidRPr="00515737">
        <w:t>sestavení účetní závěrky</w:t>
      </w:r>
      <w:r>
        <w:t xml:space="preserve"> a </w:t>
      </w:r>
      <w:r w:rsidRPr="00515737">
        <w:t>předkládání údajů pro hodnocení plnění státního rozpočtu za rok 2018 postupovalo</w:t>
      </w:r>
      <w:r>
        <w:t xml:space="preserve"> v </w:t>
      </w:r>
      <w:r w:rsidRPr="00515737">
        <w:t>souladu</w:t>
      </w:r>
      <w:r>
        <w:t xml:space="preserve"> s </w:t>
      </w:r>
      <w:r w:rsidRPr="00515737">
        <w:t>příslušnými právními předpisy.</w:t>
      </w:r>
    </w:p>
    <w:p w14:paraId="17F4AFBB" w14:textId="77777777" w:rsidR="00F4616B" w:rsidRDefault="00F4616B" w:rsidP="002E27A1">
      <w:pPr>
        <w:pStyle w:val="KOMtext"/>
      </w:pPr>
      <w:r>
        <w:t>NKÚ v kontrolním protokolu shledal dílčí nedostatky klasifikačního charakteru v účetní závěrce a výkazu plnění státního rozpočtu (zatřídění na nesprávný účet, paragraf rozpočtové skladby).</w:t>
      </w:r>
    </w:p>
    <w:p w14:paraId="21066609" w14:textId="77777777" w:rsidR="00F4616B" w:rsidRPr="00515737" w:rsidRDefault="00F4616B" w:rsidP="002E27A1">
      <w:pPr>
        <w:pStyle w:val="KOMtext"/>
      </w:pPr>
      <w:r>
        <w:t>V době zpracování podkladů pro závěrečný účet nebyl schválen a publikován kontrolní závěr NKÚ, který bude následně spolu se stanoviskem MD projednán vládou.</w:t>
      </w:r>
    </w:p>
    <w:p w14:paraId="0D853D97" w14:textId="77777777" w:rsidR="00F4616B" w:rsidRPr="002E27A1" w:rsidRDefault="00F4616B" w:rsidP="002E27A1">
      <w:pPr>
        <w:pStyle w:val="Nadpis6"/>
      </w:pPr>
      <w:r w:rsidRPr="002E27A1">
        <w:t>Kontrolní akce č. 19/10 „Opravy a údržba silničních mostů“</w:t>
      </w:r>
    </w:p>
    <w:p w14:paraId="4B9886EC" w14:textId="77777777" w:rsidR="00F4616B" w:rsidRDefault="00F4616B" w:rsidP="002E27A1">
      <w:pPr>
        <w:pStyle w:val="KOMtext"/>
      </w:pPr>
      <w:r w:rsidRPr="00F25E3E">
        <w:t xml:space="preserve">Kontrola byla zahájena dne </w:t>
      </w:r>
      <w:r>
        <w:t>2. 5. 2019</w:t>
      </w:r>
      <w:r w:rsidRPr="00F25E3E">
        <w:t xml:space="preserve">. </w:t>
      </w:r>
      <w:r>
        <w:t>Kontrolovanými osobami jsou MD, SFDI, MMR, Centrum pro regionální rozvoj ČR a vybrané krajské organizace správy a údržby silnic.</w:t>
      </w:r>
    </w:p>
    <w:p w14:paraId="357CE6FF" w14:textId="77777777" w:rsidR="00F4616B" w:rsidRPr="00BE30F4" w:rsidRDefault="00F4616B" w:rsidP="002E27A1">
      <w:pPr>
        <w:pStyle w:val="KOMtext"/>
        <w:rPr>
          <w:highlight w:val="yellow"/>
        </w:rPr>
      </w:pPr>
      <w:r w:rsidRPr="00F25E3E">
        <w:t xml:space="preserve">Cílem kontroly je </w:t>
      </w:r>
      <w:r>
        <w:t>prověřit, zda jsou peněžní prostředky určené na opravy a údržbu mostů dostatečné k udržení jejich vyhovujícího stavu a jsou vynakládány efektivně, účelně a hospodárně.</w:t>
      </w:r>
    </w:p>
    <w:p w14:paraId="13B6A79F" w14:textId="77777777" w:rsidR="00F4616B" w:rsidRDefault="00F4616B" w:rsidP="002E27A1">
      <w:pPr>
        <w:pStyle w:val="KOMtext"/>
      </w:pPr>
      <w:r>
        <w:t>Časový plán kontroly je květen 2019</w:t>
      </w:r>
      <w:r w:rsidRPr="00F25E3E">
        <w:t xml:space="preserve"> – </w:t>
      </w:r>
      <w:r>
        <w:t>břez</w:t>
      </w:r>
      <w:r w:rsidRPr="00F762AE">
        <w:t>en 20</w:t>
      </w:r>
      <w:r>
        <w:t>20</w:t>
      </w:r>
      <w:r w:rsidRPr="00F25E3E">
        <w:t>.</w:t>
      </w:r>
      <w:r>
        <w:t xml:space="preserve"> V době zpracování podkladů pro závěrečný účet nebyl MD předán kontrolní protokol NKÚ.</w:t>
      </w:r>
    </w:p>
    <w:p w14:paraId="61493036" w14:textId="77777777" w:rsidR="00F4616B" w:rsidRPr="00F762AE" w:rsidRDefault="00F4616B" w:rsidP="002E27A1">
      <w:pPr>
        <w:pStyle w:val="Nadpis6"/>
      </w:pPr>
      <w:r>
        <w:lastRenderedPageBreak/>
        <w:t>Kontrolní akce č. 19/16</w:t>
      </w:r>
      <w:r w:rsidRPr="00F762AE">
        <w:t xml:space="preserve"> „</w:t>
      </w:r>
      <w:r w:rsidRPr="004B79D8">
        <w:t>Rekonstrukce</w:t>
      </w:r>
      <w:r>
        <w:t xml:space="preserve"> a </w:t>
      </w:r>
      <w:r w:rsidRPr="004B79D8">
        <w:t>revitalizace osobních nádraží</w:t>
      </w:r>
      <w:r w:rsidRPr="00F762AE">
        <w:t>“</w:t>
      </w:r>
    </w:p>
    <w:p w14:paraId="4FCB8353" w14:textId="77777777" w:rsidR="00F4616B" w:rsidRPr="00D63E58" w:rsidRDefault="00F4616B" w:rsidP="002E27A1">
      <w:pPr>
        <w:pStyle w:val="KOMtext"/>
        <w:rPr>
          <w:color w:val="1F2123"/>
        </w:rPr>
      </w:pPr>
      <w:r w:rsidRPr="00D63E58">
        <w:t>Kontrola byla zahájena dne 17. 7. 2019. Kontrolovanými osobami jsou Ministerstvo dopravy</w:t>
      </w:r>
      <w:r>
        <w:t xml:space="preserve"> a </w:t>
      </w:r>
      <w:r w:rsidRPr="00D63E58">
        <w:rPr>
          <w:color w:val="1F2123"/>
        </w:rPr>
        <w:t>Správa železniční dopravní cesty, státní organizace.</w:t>
      </w:r>
    </w:p>
    <w:p w14:paraId="4D79DCB8" w14:textId="77777777" w:rsidR="00F4616B" w:rsidRPr="00D63E58" w:rsidRDefault="00F4616B" w:rsidP="002E27A1">
      <w:pPr>
        <w:pStyle w:val="KOMtext"/>
      </w:pPr>
      <w:r w:rsidRPr="00D63E58">
        <w:t>Cílem kontroly je prověřit, zda systém poskytování peněžních prostředků určených na rekonstrukci</w:t>
      </w:r>
      <w:r>
        <w:t xml:space="preserve"> a </w:t>
      </w:r>
      <w:r w:rsidRPr="00D63E58">
        <w:t>revitalizaci osobních nádraží zajišťuje jejich účelné</w:t>
      </w:r>
      <w:r>
        <w:t xml:space="preserve"> a </w:t>
      </w:r>
      <w:r w:rsidRPr="00D63E58">
        <w:t>hospodárné využití</w:t>
      </w:r>
      <w:r>
        <w:t xml:space="preserve"> a </w:t>
      </w:r>
      <w:r w:rsidRPr="00D63E58">
        <w:t>naplňování stanovených cílů.</w:t>
      </w:r>
    </w:p>
    <w:p w14:paraId="57156951" w14:textId="77777777" w:rsidR="00F4616B" w:rsidRDefault="00F4616B" w:rsidP="002E27A1">
      <w:pPr>
        <w:pStyle w:val="KOMtext"/>
      </w:pPr>
      <w:r w:rsidRPr="00D63E58">
        <w:t>Časový plán kontroly je červenec 2019 – duben 2020.</w:t>
      </w:r>
      <w:r>
        <w:t xml:space="preserve"> V </w:t>
      </w:r>
      <w:r w:rsidRPr="00D63E58">
        <w:t xml:space="preserve">době zpracování podkladů pro závěrečný účet nebyl </w:t>
      </w:r>
      <w:r>
        <w:t>MD předán</w:t>
      </w:r>
      <w:r w:rsidRPr="00D63E58">
        <w:t xml:space="preserve"> kontrolní protokol NKÚ.</w:t>
      </w:r>
    </w:p>
    <w:p w14:paraId="6B762689" w14:textId="77777777" w:rsidR="00F4616B" w:rsidRPr="00D63E58" w:rsidRDefault="00F4616B" w:rsidP="00F4616B">
      <w:pPr>
        <w:pStyle w:val="TEXT3"/>
      </w:pPr>
    </w:p>
    <w:p w14:paraId="2EB13501" w14:textId="77777777" w:rsidR="00F4616B" w:rsidRPr="00E1603F" w:rsidRDefault="00F4616B" w:rsidP="00F4616B">
      <w:pPr>
        <w:pStyle w:val="Nadpis3"/>
      </w:pPr>
      <w:bookmarkStart w:id="1198" w:name="_Toc474397357"/>
      <w:bookmarkStart w:id="1199" w:name="_Toc34286507"/>
      <w:r w:rsidRPr="00E1603F">
        <w:t>Kontrolní akce NKÚ ukončené</w:t>
      </w:r>
      <w:r>
        <w:t xml:space="preserve"> v </w:t>
      </w:r>
      <w:r w:rsidRPr="00E1603F">
        <w:t>roce 201</w:t>
      </w:r>
      <w:r>
        <w:t>9</w:t>
      </w:r>
      <w:r w:rsidRPr="00E1603F">
        <w:t xml:space="preserve"> schválením kontrolního závěru</w:t>
      </w:r>
      <w:r>
        <w:t xml:space="preserve"> a </w:t>
      </w:r>
      <w:r w:rsidRPr="00E1603F">
        <w:t>projednáním vládou ČR</w:t>
      </w:r>
      <w:bookmarkEnd w:id="1198"/>
      <w:bookmarkEnd w:id="1199"/>
    </w:p>
    <w:p w14:paraId="5F4B3C1B" w14:textId="77777777" w:rsidR="00F4616B" w:rsidRPr="008A39AA" w:rsidRDefault="00F4616B" w:rsidP="002E27A1">
      <w:pPr>
        <w:pStyle w:val="Nadpis6"/>
      </w:pPr>
      <w:r>
        <w:t>Kontrolní akce č. 18/16</w:t>
      </w:r>
      <w:r w:rsidRPr="008A39AA">
        <w:t xml:space="preserve"> „</w:t>
      </w:r>
      <w:r>
        <w:t>Rozvoj vodních cest a podpora vodní dopravy</w:t>
      </w:r>
      <w:r w:rsidRPr="008A39AA">
        <w:t>“</w:t>
      </w:r>
    </w:p>
    <w:p w14:paraId="644DC25B" w14:textId="77777777" w:rsidR="00F4616B" w:rsidRPr="00D63E58" w:rsidRDefault="00F4616B" w:rsidP="002E27A1">
      <w:pPr>
        <w:pStyle w:val="KOMtext"/>
      </w:pPr>
      <w:r w:rsidRPr="00D63E58">
        <w:t xml:space="preserve">Kontrola byla </w:t>
      </w:r>
      <w:r>
        <w:t>prováděna od července 2018 do března 2019</w:t>
      </w:r>
      <w:r w:rsidRPr="00D63E58">
        <w:t>. Kontrolovanými osobami byly Ministerstvo dopravy</w:t>
      </w:r>
      <w:r>
        <w:t xml:space="preserve"> a </w:t>
      </w:r>
      <w:r w:rsidRPr="00D63E58">
        <w:t>Ředitelství vodních cest ČR.</w:t>
      </w:r>
    </w:p>
    <w:p w14:paraId="16260224" w14:textId="77777777" w:rsidR="00F4616B" w:rsidRPr="00D63E58" w:rsidRDefault="00F4616B" w:rsidP="002E27A1">
      <w:pPr>
        <w:pStyle w:val="KOMtext"/>
      </w:pPr>
      <w:r w:rsidRPr="00D63E58">
        <w:t>Cílem kontroly bylo prověřit, zda jsou peněžní prostředky určené na rozvoj vodních cest</w:t>
      </w:r>
      <w:r>
        <w:t xml:space="preserve"> a </w:t>
      </w:r>
      <w:r w:rsidRPr="00D63E58">
        <w:t>vodní dopravy poskytovány účelně</w:t>
      </w:r>
      <w:r>
        <w:t xml:space="preserve"> a </w:t>
      </w:r>
      <w:r w:rsidRPr="00D63E58">
        <w:t>efektivně tak, aby byly plněny cíle stanovené pro tuto oblast koncepčními</w:t>
      </w:r>
      <w:r>
        <w:t xml:space="preserve"> a </w:t>
      </w:r>
      <w:r w:rsidRPr="00D63E58">
        <w:t>na ně navazujícími dokumenty. Kontrolováno bylo období od roku 2014 do</w:t>
      </w:r>
      <w:r>
        <w:t xml:space="preserve"> doby ukončení kontroly</w:t>
      </w:r>
      <w:r w:rsidRPr="00D63E58">
        <w:t>.</w:t>
      </w:r>
    </w:p>
    <w:p w14:paraId="4B2CD3D4" w14:textId="77777777" w:rsidR="00F4616B" w:rsidRPr="00D63E58" w:rsidRDefault="00F4616B" w:rsidP="002E27A1">
      <w:pPr>
        <w:pStyle w:val="KOMtext"/>
      </w:pPr>
      <w:r w:rsidRPr="00D63E58">
        <w:t>Kontrolní závěr schválilo kolegium NKÚ na svém jednání, které se konalo dne 24. června 2019 usnesením</w:t>
      </w:r>
      <w:r>
        <w:t xml:space="preserve"> č. </w:t>
      </w:r>
      <w:r w:rsidRPr="00D63E58">
        <w:t>10/IX/2019.</w:t>
      </w:r>
    </w:p>
    <w:p w14:paraId="11C74110" w14:textId="77777777" w:rsidR="00F4616B" w:rsidRPr="00D63E58" w:rsidRDefault="00F4616B" w:rsidP="002E27A1">
      <w:pPr>
        <w:pStyle w:val="KOMtext"/>
      </w:pPr>
      <w:r w:rsidRPr="00D63E58">
        <w:t>Kontrolní závěr NKÚ</w:t>
      </w:r>
      <w:r>
        <w:t xml:space="preserve"> a </w:t>
      </w:r>
      <w:r w:rsidRPr="00D63E58">
        <w:t xml:space="preserve">Stanovisko MD bylo projednáno vládou ČR dne </w:t>
      </w:r>
      <w:r>
        <w:t>25</w:t>
      </w:r>
      <w:r w:rsidRPr="00D63E58">
        <w:t xml:space="preserve">. </w:t>
      </w:r>
      <w:r>
        <w:t>listopadu</w:t>
      </w:r>
      <w:r w:rsidRPr="00D63E58">
        <w:t xml:space="preserve"> 2019.</w:t>
      </w:r>
    </w:p>
    <w:p w14:paraId="2417BC82" w14:textId="77777777" w:rsidR="00F4616B" w:rsidRPr="00D63E58" w:rsidRDefault="00F4616B" w:rsidP="00F93D97">
      <w:pPr>
        <w:pStyle w:val="Nadpis6"/>
      </w:pPr>
      <w:r w:rsidRPr="00D63E58">
        <w:t>Kontrolní zjištění</w:t>
      </w:r>
    </w:p>
    <w:p w14:paraId="3DA79BD2" w14:textId="77777777" w:rsidR="00F4616B" w:rsidRPr="00D63E58" w:rsidRDefault="00F4616B" w:rsidP="00F93D97">
      <w:pPr>
        <w:pStyle w:val="KOMtext"/>
      </w:pPr>
      <w:r w:rsidRPr="00D63E58">
        <w:t>NKÚ</w:t>
      </w:r>
      <w:r>
        <w:t xml:space="preserve"> v </w:t>
      </w:r>
      <w:r w:rsidRPr="00D63E58">
        <w:t>Kontrolním závěru shrnuje, že:</w:t>
      </w:r>
    </w:p>
    <w:p w14:paraId="6211A3E6" w14:textId="77777777" w:rsidR="00F4616B" w:rsidRPr="00D63E58" w:rsidRDefault="00F4616B" w:rsidP="00275CE2">
      <w:pPr>
        <w:pStyle w:val="KOMtext"/>
        <w:numPr>
          <w:ilvl w:val="0"/>
          <w:numId w:val="32"/>
        </w:numPr>
        <w:ind w:left="567" w:hanging="283"/>
      </w:pPr>
      <w:r w:rsidRPr="0025522D">
        <w:t>NKÚ poukázal na přetrvávající rozpory</w:t>
      </w:r>
      <w:r>
        <w:t xml:space="preserve"> v </w:t>
      </w:r>
      <w:r w:rsidRPr="0025522D">
        <w:t>koncepčních dokumentech pro rozvoj vodních cest, neplnění stanovených cílů pro oblast vodní dopravy (nadále nízký podíl nákladní vodní dopravy)</w:t>
      </w:r>
      <w:r>
        <w:t xml:space="preserve"> a </w:t>
      </w:r>
      <w:r w:rsidRPr="0025522D">
        <w:t>nevyřešený proces posuzování vlivů projektu plavebního stupně</w:t>
      </w:r>
      <w:r>
        <w:t xml:space="preserve"> v </w:t>
      </w:r>
      <w:r w:rsidRPr="0025522D">
        <w:t>Děčíně na životní prostředí.</w:t>
      </w:r>
      <w:r>
        <w:t xml:space="preserve"> Z </w:t>
      </w:r>
      <w:r w:rsidRPr="0025522D">
        <w:t>těchto důvodů nepovažuje NKÚ peněžní prostředky poskytované na rozvoj vodních cest</w:t>
      </w:r>
      <w:r>
        <w:t xml:space="preserve"> a </w:t>
      </w:r>
      <w:r w:rsidRPr="0025522D">
        <w:t>podporu nákladní vodní dopravy ve vztahu ke stanoveným cílům za účelně</w:t>
      </w:r>
      <w:r>
        <w:t xml:space="preserve"> a </w:t>
      </w:r>
      <w:r w:rsidRPr="0025522D">
        <w:t>efektivně vynaložené.</w:t>
      </w:r>
    </w:p>
    <w:p w14:paraId="59C99BE0" w14:textId="77777777" w:rsidR="00F4616B" w:rsidRPr="00D63E58" w:rsidRDefault="00F4616B" w:rsidP="00275CE2">
      <w:pPr>
        <w:pStyle w:val="KOMtext"/>
        <w:numPr>
          <w:ilvl w:val="0"/>
          <w:numId w:val="32"/>
        </w:numPr>
        <w:ind w:left="567" w:hanging="283"/>
      </w:pPr>
      <w:r w:rsidRPr="0025522D">
        <w:t xml:space="preserve">Podle NKÚ ze studie zpracované MD vyplývá, že výstavba </w:t>
      </w:r>
      <w:r w:rsidRPr="0025522D">
        <w:rPr>
          <w:bCs/>
        </w:rPr>
        <w:t>vodního koridoru Dunaj-Odra-Labe</w:t>
      </w:r>
      <w:r>
        <w:rPr>
          <w:bCs/>
        </w:rPr>
        <w:t xml:space="preserve"> v </w:t>
      </w:r>
      <w:r w:rsidRPr="0025522D">
        <w:t>plné variantě by byla spojena</w:t>
      </w:r>
      <w:r>
        <w:t xml:space="preserve"> s </w:t>
      </w:r>
      <w:r w:rsidRPr="0025522D">
        <w:t>řadou rizik, která by mohla způsobit neúčelnost</w:t>
      </w:r>
      <w:r>
        <w:t xml:space="preserve"> a </w:t>
      </w:r>
      <w:r w:rsidRPr="0025522D">
        <w:t>neefektivnost vynakládání prostředků. Zároveň není dle NKÚ vytvořen předpoklad pro účelné pokračování přípravy projektu, neboť dosud</w:t>
      </w:r>
      <w:r>
        <w:t xml:space="preserve"> mj. </w:t>
      </w:r>
      <w:r w:rsidRPr="0025522D">
        <w:t>nebylo dosaženo jednoznačně vyjádřené</w:t>
      </w:r>
      <w:r>
        <w:t xml:space="preserve"> a </w:t>
      </w:r>
      <w:r w:rsidRPr="0025522D">
        <w:t>právně závazně potvrzené shody všech států, kterých se tento mezinárodní projekt přímo týká</w:t>
      </w:r>
      <w:r>
        <w:t>.</w:t>
      </w:r>
    </w:p>
    <w:p w14:paraId="266DBABE" w14:textId="77777777" w:rsidR="00F4616B" w:rsidRPr="00D63E58" w:rsidRDefault="00F4616B" w:rsidP="00275CE2">
      <w:pPr>
        <w:pStyle w:val="KOMtext"/>
        <w:numPr>
          <w:ilvl w:val="0"/>
          <w:numId w:val="32"/>
        </w:numPr>
        <w:ind w:left="567" w:hanging="283"/>
      </w:pPr>
      <w:r w:rsidRPr="0025522D">
        <w:lastRenderedPageBreak/>
        <w:t xml:space="preserve">Podle NKÚ bylo podporou modernizace plavidel nákladní říční dopravy ve výši </w:t>
      </w:r>
      <w:r w:rsidR="00327B34">
        <w:br/>
      </w:r>
      <w:r w:rsidRPr="0025522D">
        <w:t>53,4</w:t>
      </w:r>
      <w:r>
        <w:t> mil. Kč v </w:t>
      </w:r>
      <w:r w:rsidRPr="0025522D">
        <w:t>letech 2008–2015 dosaženo pouze dílčích cílů, přičemž není zajištěno významné zefektivnění provozu modernizovaných plavidel, ani jejich dlouhodobé využívání</w:t>
      </w:r>
      <w:r>
        <w:t xml:space="preserve"> s </w:t>
      </w:r>
      <w:r w:rsidRPr="0025522D">
        <w:t>přínosy ve prospěch ČR. NKÚ poukazuje na absenci systému indikátorů umožňujících měřit míru dosažení stanovených cílů, nekonkrétní nastavení některých podmínek pro využití modernizovaných plavidel, které tak neumožňují provést kontrolu jejich splnění</w:t>
      </w:r>
      <w:r>
        <w:t xml:space="preserve"> s </w:t>
      </w:r>
      <w:r w:rsidRPr="0025522D">
        <w:t>jednoznačným výsledkem,</w:t>
      </w:r>
      <w:r>
        <w:t xml:space="preserve"> a </w:t>
      </w:r>
      <w:r w:rsidRPr="0025522D">
        <w:t>neplnění povinností správce programu</w:t>
      </w:r>
      <w:r>
        <w:t xml:space="preserve"> a </w:t>
      </w:r>
      <w:r w:rsidRPr="0025522D">
        <w:t>řídícího orgánu OPD spočívající</w:t>
      </w:r>
      <w:r>
        <w:t xml:space="preserve"> v </w:t>
      </w:r>
      <w:r w:rsidRPr="0025522D">
        <w:t>nedostatečné kontrole</w:t>
      </w:r>
      <w:r>
        <w:t xml:space="preserve"> a </w:t>
      </w:r>
      <w:r w:rsidRPr="0025522D">
        <w:t>vyhodnocení plnění stanovených podmínek,</w:t>
      </w:r>
      <w:r>
        <w:t xml:space="preserve"> resp. </w:t>
      </w:r>
      <w:r w:rsidRPr="0025522D">
        <w:t>schválení monitorovacích zpráv obsahujících zásadní nedostatky</w:t>
      </w:r>
      <w:r>
        <w:t xml:space="preserve"> v </w:t>
      </w:r>
      <w:r w:rsidRPr="0025522D">
        <w:t>prokazování plnění stanovených podmínek.</w:t>
      </w:r>
      <w:r>
        <w:t xml:space="preserve"> Z </w:t>
      </w:r>
      <w:r w:rsidRPr="0025522D">
        <w:t>těchto důvodů nepovažuje NKÚ peněžní prostředky za dostatečně</w:t>
      </w:r>
      <w:r>
        <w:t xml:space="preserve"> účelně a efektivně vynaložené.</w:t>
      </w:r>
    </w:p>
    <w:p w14:paraId="5AA1C0BF" w14:textId="77777777" w:rsidR="00F4616B" w:rsidRPr="00D63E58" w:rsidRDefault="00F4616B" w:rsidP="00F93D97">
      <w:pPr>
        <w:pStyle w:val="Nadpis6"/>
      </w:pPr>
      <w:r w:rsidRPr="00D63E58">
        <w:t>Nápravná opatření</w:t>
      </w:r>
    </w:p>
    <w:p w14:paraId="0A6C424C" w14:textId="77777777" w:rsidR="00F4616B" w:rsidRPr="00D63E58" w:rsidRDefault="00F4616B" w:rsidP="00F93D97">
      <w:pPr>
        <w:pStyle w:val="KOMtext"/>
      </w:pPr>
      <w:r w:rsidRPr="00D63E58">
        <w:t>K uvedeným zjištěním byla uplatněna odborná stanoviska, vysvětlení</w:t>
      </w:r>
      <w:r>
        <w:t xml:space="preserve"> a </w:t>
      </w:r>
      <w:r w:rsidRPr="00D63E58">
        <w:t>popsána již realizovaná opatření.</w:t>
      </w:r>
      <w:r>
        <w:t xml:space="preserve"> V </w:t>
      </w:r>
      <w:r w:rsidRPr="00D63E58">
        <w:t xml:space="preserve">materiálu projednaném vládou byla </w:t>
      </w:r>
      <w:r>
        <w:t xml:space="preserve">dále </w:t>
      </w:r>
      <w:r w:rsidRPr="00D63E58">
        <w:t xml:space="preserve">formulována </w:t>
      </w:r>
      <w:r>
        <w:t>tato</w:t>
      </w:r>
      <w:r w:rsidRPr="00D63E58">
        <w:t xml:space="preserve"> nápravná opatření:</w:t>
      </w:r>
    </w:p>
    <w:p w14:paraId="76380817" w14:textId="77777777" w:rsidR="00F4616B" w:rsidRPr="00D63E58" w:rsidRDefault="00F4616B" w:rsidP="00275CE2">
      <w:pPr>
        <w:pStyle w:val="KOMtext"/>
        <w:numPr>
          <w:ilvl w:val="0"/>
          <w:numId w:val="80"/>
        </w:numPr>
      </w:pPr>
      <w:r>
        <w:t xml:space="preserve">MD </w:t>
      </w:r>
      <w:r w:rsidRPr="00D63E58">
        <w:t>zajistí jednotné</w:t>
      </w:r>
      <w:r>
        <w:t xml:space="preserve"> a </w:t>
      </w:r>
      <w:r w:rsidRPr="00D63E58">
        <w:t>konzistentní uvádění ekonomických údajů</w:t>
      </w:r>
      <w:r>
        <w:t xml:space="preserve"> v </w:t>
      </w:r>
      <w:r w:rsidRPr="00D63E58">
        <w:t>klíčových dokumentech</w:t>
      </w:r>
      <w:r>
        <w:t xml:space="preserve"> v </w:t>
      </w:r>
      <w:r w:rsidRPr="00D63E58">
        <w:t>jednotlivých fázích přípravy projektů;</w:t>
      </w:r>
    </w:p>
    <w:p w14:paraId="5E9B5A2E" w14:textId="77777777" w:rsidR="00F4616B" w:rsidRPr="00D63E58" w:rsidRDefault="00F4616B" w:rsidP="00275CE2">
      <w:pPr>
        <w:pStyle w:val="KOMtext"/>
        <w:numPr>
          <w:ilvl w:val="0"/>
          <w:numId w:val="80"/>
        </w:numPr>
      </w:pPr>
      <w:r>
        <w:t>V</w:t>
      </w:r>
      <w:r w:rsidRPr="00D63E58">
        <w:t xml:space="preserve"> projektu D-O-L bude </w:t>
      </w:r>
      <w:r>
        <w:t>MD v </w:t>
      </w:r>
      <w:r w:rsidRPr="00D63E58">
        <w:t>závislosti na výsledcích studií proveditelnosti</w:t>
      </w:r>
      <w:r>
        <w:t xml:space="preserve"> v </w:t>
      </w:r>
      <w:r w:rsidRPr="00D63E58">
        <w:t>Polsku</w:t>
      </w:r>
      <w:r>
        <w:t xml:space="preserve"> a </w:t>
      </w:r>
      <w:r w:rsidRPr="00D63E58">
        <w:t>na Slovensku činit kroky</w:t>
      </w:r>
      <w:r>
        <w:t xml:space="preserve"> k </w:t>
      </w:r>
      <w:r w:rsidRPr="00D63E58">
        <w:t>uzavření mezinárodní dohody</w:t>
      </w:r>
      <w:r>
        <w:t xml:space="preserve"> s </w:t>
      </w:r>
      <w:r w:rsidRPr="00D63E58">
        <w:t>těmito státy</w:t>
      </w:r>
      <w:r>
        <w:t xml:space="preserve"> o </w:t>
      </w:r>
      <w:r w:rsidRPr="00D63E58">
        <w:t>pohraničním přechodovém bodu</w:t>
      </w:r>
      <w:r>
        <w:t xml:space="preserve"> a </w:t>
      </w:r>
      <w:r w:rsidRPr="00D63E58">
        <w:t>mezinárodní smlouvy</w:t>
      </w:r>
      <w:r>
        <w:t xml:space="preserve"> o </w:t>
      </w:r>
      <w:r w:rsidRPr="00D63E58">
        <w:t>budoucí realizaci projektu;</w:t>
      </w:r>
    </w:p>
    <w:p w14:paraId="08DF926C" w14:textId="77777777" w:rsidR="00F4616B" w:rsidRDefault="00F4616B" w:rsidP="00275CE2">
      <w:pPr>
        <w:pStyle w:val="KOMtext"/>
        <w:numPr>
          <w:ilvl w:val="0"/>
          <w:numId w:val="80"/>
        </w:numPr>
      </w:pPr>
      <w:r>
        <w:t>P</w:t>
      </w:r>
      <w:r w:rsidRPr="00D63E58">
        <w:t>okud jde</w:t>
      </w:r>
      <w:r>
        <w:t xml:space="preserve"> o </w:t>
      </w:r>
      <w:r w:rsidRPr="00D63E58">
        <w:t>podporu modernizace plavidel poskytovanou</w:t>
      </w:r>
      <w:r>
        <w:t xml:space="preserve"> z </w:t>
      </w:r>
      <w:r w:rsidRPr="00D63E58">
        <w:t xml:space="preserve">Operačního programu doprava, </w:t>
      </w:r>
      <w:r>
        <w:t>z</w:t>
      </w:r>
      <w:r w:rsidRPr="00D63E58">
        <w:t xml:space="preserve">přesní </w:t>
      </w:r>
      <w:r>
        <w:t>MD</w:t>
      </w:r>
      <w:r w:rsidRPr="00D63E58">
        <w:t xml:space="preserve"> podmínky pro poskytnutí podpory</w:t>
      </w:r>
      <w:r>
        <w:t xml:space="preserve"> a </w:t>
      </w:r>
      <w:r w:rsidRPr="00D63E58">
        <w:t xml:space="preserve">zajistí jejich jednoznačný výklad. </w:t>
      </w:r>
      <w:r>
        <w:t>MD</w:t>
      </w:r>
      <w:r w:rsidRPr="00D63E58">
        <w:t xml:space="preserve"> již </w:t>
      </w:r>
      <w:r w:rsidRPr="00AD065A">
        <w:t>optimalizovalo</w:t>
      </w:r>
      <w:r>
        <w:t xml:space="preserve"> a </w:t>
      </w:r>
      <w:r w:rsidRPr="00AD065A">
        <w:t>zpřehlednilo výkazy pro prokaz</w:t>
      </w:r>
      <w:r>
        <w:t xml:space="preserve">ování splnění podmínek programu a provedlo školení s příjemci dotací a současně </w:t>
      </w:r>
      <w:r w:rsidRPr="00D63E58">
        <w:t>aktivně řeší nedostatky zjištěné</w:t>
      </w:r>
      <w:r>
        <w:t xml:space="preserve"> v </w:t>
      </w:r>
      <w:r w:rsidRPr="00D63E58">
        <w:t>následných monitorovacích zprávách</w:t>
      </w:r>
      <w:r>
        <w:t xml:space="preserve"> s </w:t>
      </w:r>
      <w:r w:rsidRPr="00D63E58">
        <w:t>příjemci dotace.</w:t>
      </w:r>
    </w:p>
    <w:p w14:paraId="0400E871" w14:textId="77777777" w:rsidR="00F4616B" w:rsidRPr="00D63E58" w:rsidRDefault="00F4616B" w:rsidP="00F93D97">
      <w:pPr>
        <w:pStyle w:val="KOMtext"/>
      </w:pPr>
      <w:r>
        <w:t>Plnění opatření bude vyhodnoceno a vláda ČR bude informována do 31. května 2020.</w:t>
      </w:r>
    </w:p>
    <w:p w14:paraId="31E1FB29" w14:textId="77777777" w:rsidR="00F4616B" w:rsidRPr="00F762AE" w:rsidRDefault="00F4616B" w:rsidP="00F93D97">
      <w:pPr>
        <w:pStyle w:val="Nadpis6"/>
      </w:pPr>
      <w:r>
        <w:t>Kontrolní akce č. 18/21</w:t>
      </w:r>
      <w:r w:rsidRPr="00F762AE">
        <w:t xml:space="preserve"> „</w:t>
      </w:r>
      <w:r>
        <w:t>Výstavba a modernizace silnic I. třídy</w:t>
      </w:r>
      <w:r w:rsidRPr="00F762AE">
        <w:t>“</w:t>
      </w:r>
    </w:p>
    <w:p w14:paraId="456D3201" w14:textId="77777777" w:rsidR="00F4616B" w:rsidRPr="00D63E58" w:rsidRDefault="00F4616B" w:rsidP="00F93D97">
      <w:pPr>
        <w:pStyle w:val="KOMtext"/>
      </w:pPr>
      <w:r w:rsidRPr="002B2EC8">
        <w:t>Kontrola byla prováděna od září 2018 do června 2019</w:t>
      </w:r>
      <w:r w:rsidRPr="00D63E58">
        <w:t xml:space="preserve">. Kontrolovanými osobami byly Ministerstvo dopravy, </w:t>
      </w:r>
      <w:r w:rsidRPr="00D63E58">
        <w:rPr>
          <w:color w:val="1F2123"/>
        </w:rPr>
        <w:t>Ředitelství silnic</w:t>
      </w:r>
      <w:r>
        <w:rPr>
          <w:color w:val="1F2123"/>
        </w:rPr>
        <w:t xml:space="preserve"> a </w:t>
      </w:r>
      <w:r w:rsidRPr="00D63E58">
        <w:rPr>
          <w:color w:val="1F2123"/>
        </w:rPr>
        <w:t>dálnic ČR</w:t>
      </w:r>
      <w:r>
        <w:rPr>
          <w:color w:val="1F2123"/>
        </w:rPr>
        <w:t xml:space="preserve"> a </w:t>
      </w:r>
      <w:r w:rsidRPr="00D63E58">
        <w:rPr>
          <w:color w:val="1F2123"/>
        </w:rPr>
        <w:t>Státní fond dopravní infrastruktury.</w:t>
      </w:r>
    </w:p>
    <w:p w14:paraId="09242F9A" w14:textId="77777777" w:rsidR="00F4616B" w:rsidRPr="00D63E58" w:rsidRDefault="00F4616B" w:rsidP="00F93D97">
      <w:pPr>
        <w:pStyle w:val="KOMtext"/>
      </w:pPr>
      <w:r w:rsidRPr="00D63E58">
        <w:t xml:space="preserve">Cílem kontroly </w:t>
      </w:r>
      <w:r>
        <w:t>bylo</w:t>
      </w:r>
      <w:r w:rsidRPr="00D63E58">
        <w:t xml:space="preserve"> prověřit, zda jsou plněny záměry výstavby silnic I. třídy, zda systém poskytování peněžních prostředků určených na výstavbu</w:t>
      </w:r>
      <w:r>
        <w:t xml:space="preserve"> a </w:t>
      </w:r>
      <w:r w:rsidRPr="00D63E58">
        <w:t>modernizaci silnic I. třídy zajišťuje účelné</w:t>
      </w:r>
      <w:r>
        <w:t xml:space="preserve"> a </w:t>
      </w:r>
      <w:r w:rsidRPr="00D63E58">
        <w:t>hospodárné využití těchto prostředků</w:t>
      </w:r>
      <w:r>
        <w:t xml:space="preserve"> a </w:t>
      </w:r>
      <w:r w:rsidRPr="00D63E58">
        <w:t>zda byly při realizaci staveb dosaženy stanovené cíle</w:t>
      </w:r>
      <w:r>
        <w:t xml:space="preserve"> s </w:t>
      </w:r>
      <w:r w:rsidRPr="00D63E58">
        <w:t>odpovídajícími náklady. Kontrolováno bylo o</w:t>
      </w:r>
      <w:r>
        <w:t>bdobí od roku 2013 do roku 2018</w:t>
      </w:r>
      <w:r w:rsidRPr="00D63E58">
        <w:t>.</w:t>
      </w:r>
    </w:p>
    <w:p w14:paraId="4C42D540" w14:textId="77777777" w:rsidR="00F4616B" w:rsidRPr="00D63E58" w:rsidRDefault="00F4616B" w:rsidP="00275CE2">
      <w:pPr>
        <w:pStyle w:val="KOMtext"/>
      </w:pPr>
      <w:r w:rsidRPr="00D63E58">
        <w:t>Kontrolní závěr schválilo kolegium NKÚ na svém XV. jednání, které se konalo dne 14. října 2019 usnesením</w:t>
      </w:r>
      <w:r>
        <w:t xml:space="preserve"> č. </w:t>
      </w:r>
      <w:r w:rsidRPr="00D63E58">
        <w:t>10/XV/2019.</w:t>
      </w:r>
    </w:p>
    <w:p w14:paraId="3AFBDBD5" w14:textId="77777777" w:rsidR="00F4616B" w:rsidRPr="00D63E58" w:rsidRDefault="00F4616B" w:rsidP="00275CE2">
      <w:pPr>
        <w:pStyle w:val="KOMtext"/>
      </w:pPr>
      <w:r w:rsidRPr="00D63E58">
        <w:t>Kontrolní závěr NKÚ</w:t>
      </w:r>
      <w:r>
        <w:t xml:space="preserve"> a </w:t>
      </w:r>
      <w:r w:rsidRPr="00D63E58">
        <w:t>Stanovisko MD doposud nebyly projednány vládou ČR.</w:t>
      </w:r>
      <w:r>
        <w:t xml:space="preserve"> V době zpracování podkladů pro závěrečný účet byl materiál pro jednání vlády v mezirezortním připomínkovém řízení.</w:t>
      </w:r>
    </w:p>
    <w:p w14:paraId="6B2D3D36" w14:textId="77777777" w:rsidR="00F4616B" w:rsidRPr="00D63E58" w:rsidRDefault="00F4616B" w:rsidP="00275CE2">
      <w:pPr>
        <w:pStyle w:val="Nadpis6"/>
      </w:pPr>
      <w:r w:rsidRPr="00D63E58">
        <w:lastRenderedPageBreak/>
        <w:t>Kontrolní zjištění</w:t>
      </w:r>
    </w:p>
    <w:p w14:paraId="419241B8" w14:textId="77777777" w:rsidR="00F4616B" w:rsidRPr="00D63E58" w:rsidRDefault="00F4616B" w:rsidP="00275CE2">
      <w:pPr>
        <w:pStyle w:val="KOMtext"/>
      </w:pPr>
      <w:r w:rsidRPr="00D63E58">
        <w:t>NKÚ</w:t>
      </w:r>
      <w:r>
        <w:t xml:space="preserve"> v </w:t>
      </w:r>
      <w:r w:rsidRPr="00D63E58">
        <w:t>Kontrolním závěru shrnuje, že:</w:t>
      </w:r>
    </w:p>
    <w:p w14:paraId="22F0087C" w14:textId="77777777" w:rsidR="00F4616B" w:rsidRPr="00D63E58" w:rsidRDefault="00F4616B" w:rsidP="00275CE2">
      <w:pPr>
        <w:pStyle w:val="KOMtext"/>
        <w:numPr>
          <w:ilvl w:val="0"/>
          <w:numId w:val="81"/>
        </w:numPr>
        <w:ind w:left="709" w:hanging="425"/>
      </w:pPr>
      <w:r w:rsidRPr="00D63E58">
        <w:t>Koncepční záměry výstavby</w:t>
      </w:r>
      <w:r>
        <w:t xml:space="preserve"> a </w:t>
      </w:r>
      <w:r w:rsidRPr="00D63E58">
        <w:t>modernizace silnic I. třídy nebyly plněny. Nebyly také přednostně realizovány prioritní stavby (stanovené na základě celospolečenské potřebnosti</w:t>
      </w:r>
      <w:r>
        <w:t xml:space="preserve"> a </w:t>
      </w:r>
      <w:r w:rsidRPr="00D63E58">
        <w:t>efektivnosti vynaložených prostředků), ale postupováno bylo dle investiční připravenos</w:t>
      </w:r>
      <w:r>
        <w:t>ti staveb k zahájení realizace.</w:t>
      </w:r>
    </w:p>
    <w:p w14:paraId="6D825250" w14:textId="77777777" w:rsidR="00F4616B" w:rsidRPr="00D63E58" w:rsidRDefault="00F4616B" w:rsidP="00275CE2">
      <w:pPr>
        <w:pStyle w:val="KOMtext"/>
        <w:numPr>
          <w:ilvl w:val="0"/>
          <w:numId w:val="81"/>
        </w:numPr>
        <w:ind w:left="709" w:hanging="425"/>
      </w:pPr>
      <w:r w:rsidRPr="00D63E58">
        <w:t xml:space="preserve">Příprava staveb silnic I. třídy </w:t>
      </w:r>
      <w:r>
        <w:t>(v </w:t>
      </w:r>
      <w:r w:rsidRPr="00D63E58">
        <w:t>období od vydání souhlasného závazného stanoviska</w:t>
      </w:r>
      <w:r>
        <w:t xml:space="preserve"> k </w:t>
      </w:r>
      <w:r w:rsidRPr="00D63E58">
        <w:t>posouzení vlivů provedení záměru na životní prostředí do získání pravomocného stavebního povolení) trvala</w:t>
      </w:r>
      <w:r>
        <w:t xml:space="preserve"> v </w:t>
      </w:r>
      <w:r w:rsidRPr="00D63E58">
        <w:t xml:space="preserve">průměru 12 let. Hlavní příčiny dlouhé doby přípravy staveb se nedařilo řešit, vliv přijatých legislativních změn se vzhledem ke krátké době jejich účinnosti </w:t>
      </w:r>
      <w:r>
        <w:t xml:space="preserve">ve větší míře dosud neprojevil. </w:t>
      </w:r>
      <w:r w:rsidRPr="00D63E58">
        <w:t>Jednalo se zejména</w:t>
      </w:r>
      <w:r>
        <w:t xml:space="preserve"> o </w:t>
      </w:r>
      <w:r w:rsidRPr="00D63E58">
        <w:t>problémy ŘSD spojené se získáváním územních rozhodnutí, majetkoprávním vypořádáním pozemků</w:t>
      </w:r>
      <w:r>
        <w:t xml:space="preserve"> a </w:t>
      </w:r>
      <w:r w:rsidRPr="00D63E58">
        <w:t>získáváním stavebních povolení.</w:t>
      </w:r>
      <w:r>
        <w:t xml:space="preserve"> V </w:t>
      </w:r>
      <w:r w:rsidRPr="00D63E58">
        <w:t>kontrolovaném období také doznívaly důsledky nedostatku finančních zdrojů</w:t>
      </w:r>
      <w:r>
        <w:t xml:space="preserve"> v </w:t>
      </w:r>
      <w:r w:rsidRPr="00D63E58">
        <w:t>období.</w:t>
      </w:r>
    </w:p>
    <w:p w14:paraId="3B9CBC07" w14:textId="77777777" w:rsidR="00F4616B" w:rsidRPr="00D63E58" w:rsidRDefault="00F4616B" w:rsidP="00275CE2">
      <w:pPr>
        <w:pStyle w:val="KOMtext"/>
        <w:numPr>
          <w:ilvl w:val="0"/>
          <w:numId w:val="81"/>
        </w:numPr>
        <w:ind w:left="709" w:hanging="425"/>
      </w:pPr>
      <w:r w:rsidRPr="00D63E58">
        <w:t>Parametry</w:t>
      </w:r>
      <w:r>
        <w:t xml:space="preserve"> a </w:t>
      </w:r>
      <w:r w:rsidRPr="00D63E58">
        <w:t>cíle kontrolovaných staveb silnic I. třídy byly dodrženy.</w:t>
      </w:r>
      <w:r>
        <w:t xml:space="preserve"> U </w:t>
      </w:r>
      <w:r w:rsidRPr="00D63E58">
        <w:t>staveb zadávaných</w:t>
      </w:r>
      <w:r>
        <w:t xml:space="preserve"> v </w:t>
      </w:r>
      <w:r w:rsidRPr="00D63E58">
        <w:t>kontrolovaném období byly stavební náklady</w:t>
      </w:r>
      <w:r>
        <w:t xml:space="preserve"> o </w:t>
      </w:r>
      <w:r w:rsidRPr="00D63E58">
        <w:t>30</w:t>
      </w:r>
      <w:r>
        <w:t xml:space="preserve"> % </w:t>
      </w:r>
      <w:r w:rsidRPr="00D63E58">
        <w:t>nižší oproti ŘSD předpokládané hodnotě</w:t>
      </w:r>
      <w:r>
        <w:t xml:space="preserve"> v </w:t>
      </w:r>
      <w:r w:rsidRPr="00D63E58">
        <w:t xml:space="preserve">zadávacích řízeních </w:t>
      </w:r>
      <w:r>
        <w:t>na dodavatele stavebních prací.</w:t>
      </w:r>
    </w:p>
    <w:p w14:paraId="06E620DA" w14:textId="77777777" w:rsidR="00F4616B" w:rsidRPr="00D63E58" w:rsidRDefault="00F4616B" w:rsidP="00275CE2">
      <w:pPr>
        <w:pStyle w:val="Nadpis6"/>
      </w:pPr>
      <w:r w:rsidRPr="00D63E58">
        <w:t>Nápravná opatření</w:t>
      </w:r>
    </w:p>
    <w:p w14:paraId="45870989" w14:textId="77777777" w:rsidR="00F4616B" w:rsidRPr="00D63E58" w:rsidRDefault="00F4616B" w:rsidP="00275CE2">
      <w:pPr>
        <w:pStyle w:val="KOMtext"/>
      </w:pPr>
      <w:r w:rsidRPr="00D63E58">
        <w:t>K uvedeným zjištěním byla uplatněna odborná stanoviska, vysvětlení</w:t>
      </w:r>
      <w:r>
        <w:t xml:space="preserve"> a </w:t>
      </w:r>
      <w:r w:rsidRPr="00D63E58">
        <w:t xml:space="preserve">popsána již </w:t>
      </w:r>
      <w:r>
        <w:t xml:space="preserve">realizovaná opatření. </w:t>
      </w:r>
      <w:r w:rsidRPr="00D63E58">
        <w:t>V</w:t>
      </w:r>
      <w:r>
        <w:t>e zpracovaném materiálu pro jednání vlády</w:t>
      </w:r>
      <w:r w:rsidRPr="00D63E58">
        <w:t xml:space="preserve"> </w:t>
      </w:r>
      <w:r>
        <w:t>MD</w:t>
      </w:r>
      <w:r w:rsidRPr="00D63E58">
        <w:t xml:space="preserve"> </w:t>
      </w:r>
      <w:r>
        <w:t>dále uvedlo, že v </w:t>
      </w:r>
      <w:r w:rsidRPr="00D63E58">
        <w:t>reakci na přetrvávající průtahy</w:t>
      </w:r>
      <w:r>
        <w:t xml:space="preserve"> v </w:t>
      </w:r>
      <w:r w:rsidRPr="00D63E58">
        <w:t xml:space="preserve">některých fázích povolovacích procesů </w:t>
      </w:r>
      <w:r>
        <w:t>připravilo</w:t>
      </w:r>
      <w:r w:rsidRPr="00D63E58">
        <w:t xml:space="preserve"> další významnou novelu zákona</w:t>
      </w:r>
      <w:r>
        <w:t xml:space="preserve"> o </w:t>
      </w:r>
      <w:r w:rsidRPr="00D63E58">
        <w:t>urychlení výstavby dopravní infrastruktury, která by měla zkrátit dobu přípravy dopravních staveb zhruba</w:t>
      </w:r>
      <w:r>
        <w:t xml:space="preserve"> o </w:t>
      </w:r>
      <w:r w:rsidRPr="00D63E58">
        <w:t>třetinu. Tato novela byla schválena vládou</w:t>
      </w:r>
      <w:r>
        <w:t xml:space="preserve"> v </w:t>
      </w:r>
      <w:r w:rsidRPr="00D63E58">
        <w:t>listopadu 2019</w:t>
      </w:r>
      <w:r>
        <w:t xml:space="preserve"> a v době zpracování podkladů pro závěrečný účet</w:t>
      </w:r>
      <w:r w:rsidRPr="00D63E58">
        <w:t xml:space="preserve"> je</w:t>
      </w:r>
      <w:r>
        <w:t xml:space="preserve"> v </w:t>
      </w:r>
      <w:r w:rsidRPr="00D63E58">
        <w:t>legislativním procesu</w:t>
      </w:r>
      <w:r>
        <w:t xml:space="preserve"> v </w:t>
      </w:r>
      <w:r w:rsidRPr="00D63E58">
        <w:t>poslanecké sněmovně.</w:t>
      </w:r>
    </w:p>
    <w:p w14:paraId="6885AB67" w14:textId="77777777" w:rsidR="00F4616B" w:rsidRPr="00F762AE" w:rsidRDefault="00F4616B" w:rsidP="00275CE2">
      <w:pPr>
        <w:pStyle w:val="KOMtext"/>
      </w:pPr>
      <w:r w:rsidRPr="00275CE2">
        <w:rPr>
          <w:rStyle w:val="Nadpis6Char"/>
        </w:rPr>
        <w:t>Kontrolní akce č. 18/22 „Podpora environmentální politiky v oblasti příjmů veřejných rozpočtů</w:t>
      </w:r>
      <w:r w:rsidRPr="00F762AE">
        <w:t>“</w:t>
      </w:r>
    </w:p>
    <w:p w14:paraId="6B0D7811" w14:textId="77777777" w:rsidR="00F4616B" w:rsidRPr="00D63E58" w:rsidRDefault="00F4616B" w:rsidP="00275CE2">
      <w:pPr>
        <w:pStyle w:val="KOMtext"/>
      </w:pPr>
      <w:r w:rsidRPr="002B2EC8">
        <w:t xml:space="preserve">Kontrola byla prováděna od </w:t>
      </w:r>
      <w:r>
        <w:t>října</w:t>
      </w:r>
      <w:r w:rsidRPr="002B2EC8">
        <w:t xml:space="preserve"> 2018 do </w:t>
      </w:r>
      <w:r>
        <w:t>června</w:t>
      </w:r>
      <w:r w:rsidRPr="002B2EC8">
        <w:t xml:space="preserve"> 2019</w:t>
      </w:r>
      <w:r w:rsidRPr="00D63E58">
        <w:t>. Kontrolovanými osobami byly Ministerstvo dopravy, Ministerstvo financí, Ministerstvo životního prostředí</w:t>
      </w:r>
      <w:r w:rsidRPr="00D63E58">
        <w:rPr>
          <w:color w:val="1F2123"/>
        </w:rPr>
        <w:t>.</w:t>
      </w:r>
    </w:p>
    <w:p w14:paraId="7EC4025B" w14:textId="77777777" w:rsidR="00F4616B" w:rsidRPr="00D63E58" w:rsidRDefault="00F4616B" w:rsidP="00275CE2">
      <w:pPr>
        <w:pStyle w:val="KOMtext"/>
      </w:pPr>
      <w:r w:rsidRPr="00D63E58">
        <w:t xml:space="preserve">Cílem kontroly </w:t>
      </w:r>
      <w:r>
        <w:t>bylo</w:t>
      </w:r>
      <w:r w:rsidRPr="00D63E58">
        <w:t xml:space="preserve"> prověřit, zda je podpora</w:t>
      </w:r>
      <w:r>
        <w:t xml:space="preserve"> v </w:t>
      </w:r>
      <w:r w:rsidRPr="00D63E58">
        <w:t>oblasti daní, poplatků, mýtného, cel</w:t>
      </w:r>
      <w:r>
        <w:t xml:space="preserve"> a </w:t>
      </w:r>
      <w:r w:rsidRPr="00D63E58">
        <w:t>dalších příjmů veřejných rozpočtů nastavena tak, aby účinně přispívala zejména</w:t>
      </w:r>
      <w:r>
        <w:t xml:space="preserve"> k </w:t>
      </w:r>
      <w:r w:rsidRPr="00D63E58">
        <w:t>naplnění cílů klimaticko-energetické politiky při zachování dlouhodobé udržitelnosti veřejných příjmů.  Kontrolováno bylo o</w:t>
      </w:r>
      <w:r>
        <w:t>bdobí od roku 2013 do roku 2018</w:t>
      </w:r>
      <w:r w:rsidRPr="00D63E58">
        <w:t>.</w:t>
      </w:r>
    </w:p>
    <w:p w14:paraId="409B69B3" w14:textId="77777777" w:rsidR="00F4616B" w:rsidRPr="00D63E58" w:rsidRDefault="00F4616B" w:rsidP="00275CE2">
      <w:pPr>
        <w:pStyle w:val="KOMtext"/>
      </w:pPr>
      <w:r w:rsidRPr="00D63E58">
        <w:t xml:space="preserve">Kontrolní závěr schválilo kolegium NKÚ na svém XV. jednání, které se konalo dne </w:t>
      </w:r>
      <w:r w:rsidR="00327B34">
        <w:br/>
      </w:r>
      <w:r w:rsidRPr="00D63E58">
        <w:t>14. října 2019</w:t>
      </w:r>
      <w:r>
        <w:t>,</w:t>
      </w:r>
      <w:r w:rsidRPr="00D63E58">
        <w:t xml:space="preserve"> usnesením</w:t>
      </w:r>
      <w:r>
        <w:t xml:space="preserve"> č. </w:t>
      </w:r>
      <w:r w:rsidRPr="00D63E58">
        <w:t>11/XV/2019.</w:t>
      </w:r>
    </w:p>
    <w:p w14:paraId="2532CF9F" w14:textId="77777777" w:rsidR="00F4616B" w:rsidRPr="00D63E58" w:rsidRDefault="00F4616B" w:rsidP="00275CE2">
      <w:pPr>
        <w:pStyle w:val="Nadpis6"/>
      </w:pPr>
      <w:r w:rsidRPr="00D63E58">
        <w:t>Kontrolní zjištění</w:t>
      </w:r>
    </w:p>
    <w:p w14:paraId="2953C734" w14:textId="77777777" w:rsidR="00F4616B" w:rsidRPr="00D63E58" w:rsidRDefault="00F4616B" w:rsidP="00275CE2">
      <w:pPr>
        <w:pStyle w:val="KOMtext"/>
      </w:pPr>
      <w:r w:rsidRPr="00D63E58">
        <w:t>NKÚ</w:t>
      </w:r>
      <w:r>
        <w:t xml:space="preserve"> v </w:t>
      </w:r>
      <w:r w:rsidRPr="00D63E58">
        <w:t>Kontrolním závěru shrnuje, že:</w:t>
      </w:r>
    </w:p>
    <w:p w14:paraId="0E0DD176" w14:textId="77777777" w:rsidR="00F4616B" w:rsidRPr="00D63E58" w:rsidRDefault="00F4616B" w:rsidP="00275CE2">
      <w:pPr>
        <w:pStyle w:val="KOMtext"/>
        <w:numPr>
          <w:ilvl w:val="0"/>
          <w:numId w:val="82"/>
        </w:numPr>
        <w:ind w:hanging="436"/>
        <w:rPr>
          <w:rFonts w:eastAsia="CIDFont+F2"/>
        </w:rPr>
      </w:pPr>
      <w:r w:rsidRPr="00D63E58">
        <w:rPr>
          <w:rFonts w:eastAsia="CIDFont+F2"/>
        </w:rPr>
        <w:lastRenderedPageBreak/>
        <w:t>NKÚ na základě analýzy právních předpisů, analýzy vývoje vybraných ukazatelů</w:t>
      </w:r>
      <w:r>
        <w:rPr>
          <w:rFonts w:eastAsia="CIDFont+F2"/>
        </w:rPr>
        <w:t xml:space="preserve"> a </w:t>
      </w:r>
      <w:r w:rsidRPr="00D63E58">
        <w:rPr>
          <w:rFonts w:eastAsia="CIDFont+F2"/>
        </w:rPr>
        <w:t>jejich porovnáním</w:t>
      </w:r>
      <w:r>
        <w:rPr>
          <w:rFonts w:eastAsia="CIDFont+F2"/>
        </w:rPr>
        <w:t xml:space="preserve"> s </w:t>
      </w:r>
      <w:r w:rsidRPr="00D63E58">
        <w:rPr>
          <w:rFonts w:eastAsia="CIDFont+F2"/>
        </w:rPr>
        <w:t>většinou států EU vyhodnotil, že kontrolovaná ministerstva nepřipravila účinná</w:t>
      </w:r>
      <w:r>
        <w:rPr>
          <w:rFonts w:eastAsia="CIDFont+F2"/>
        </w:rPr>
        <w:t xml:space="preserve"> a </w:t>
      </w:r>
      <w:r w:rsidRPr="00D63E58">
        <w:rPr>
          <w:rFonts w:eastAsia="CIDFont+F2"/>
        </w:rPr>
        <w:t>účelná daňová opatření významně p</w:t>
      </w:r>
      <w:r>
        <w:rPr>
          <w:rFonts w:eastAsia="CIDFont+F2"/>
        </w:rPr>
        <w:t xml:space="preserve">odporující naplňování cílů </w:t>
      </w:r>
      <w:r w:rsidRPr="00DA3BA4">
        <w:rPr>
          <w:rFonts w:eastAsia="CIDFont+F2"/>
        </w:rPr>
        <w:t>klimaticko-energetické politiky</w:t>
      </w:r>
      <w:r>
        <w:rPr>
          <w:rFonts w:eastAsia="CIDFont+F2"/>
        </w:rPr>
        <w:t>.</w:t>
      </w:r>
    </w:p>
    <w:p w14:paraId="43295EDA" w14:textId="77777777" w:rsidR="00F4616B" w:rsidRPr="00D63E58" w:rsidRDefault="00F4616B" w:rsidP="00275CE2">
      <w:pPr>
        <w:pStyle w:val="KOMtext"/>
        <w:numPr>
          <w:ilvl w:val="0"/>
          <w:numId w:val="82"/>
        </w:numPr>
        <w:ind w:hanging="436"/>
        <w:rPr>
          <w:rFonts w:eastAsia="CIDFont+F2"/>
        </w:rPr>
      </w:pPr>
      <w:r w:rsidRPr="00D63E58">
        <w:rPr>
          <w:rFonts w:eastAsia="CIDFont+F2"/>
        </w:rPr>
        <w:t>NKÚ zjistil, že motivace široké veřejnosti ke snižování spotřeby energie</w:t>
      </w:r>
      <w:r>
        <w:rPr>
          <w:rFonts w:eastAsia="CIDFont+F2"/>
        </w:rPr>
        <w:t xml:space="preserve"> a </w:t>
      </w:r>
      <w:r w:rsidRPr="00D63E58">
        <w:rPr>
          <w:rFonts w:eastAsia="CIDFont+F2"/>
        </w:rPr>
        <w:t>přechodu na ekologicky čistší zdroje energie</w:t>
      </w:r>
      <w:r>
        <w:rPr>
          <w:rFonts w:eastAsia="CIDFont+F2"/>
        </w:rPr>
        <w:t xml:space="preserve"> v </w:t>
      </w:r>
      <w:r w:rsidRPr="00D63E58">
        <w:rPr>
          <w:rFonts w:eastAsia="CIDFont+F2"/>
        </w:rPr>
        <w:t>oblasti daní je nízká. Dopadem je zaostávání sektoru automobilové dopravy</w:t>
      </w:r>
      <w:r>
        <w:rPr>
          <w:rFonts w:eastAsia="CIDFont+F2"/>
        </w:rPr>
        <w:t xml:space="preserve"> v </w:t>
      </w:r>
      <w:r w:rsidRPr="00D63E58">
        <w:rPr>
          <w:rFonts w:eastAsia="CIDFont+F2"/>
        </w:rPr>
        <w:t>jeho ekologizaci za většinou států EU</w:t>
      </w:r>
      <w:r>
        <w:rPr>
          <w:rFonts w:eastAsia="CIDFont+F2"/>
        </w:rPr>
        <w:t xml:space="preserve"> a </w:t>
      </w:r>
      <w:r w:rsidRPr="00D63E58">
        <w:rPr>
          <w:rFonts w:eastAsia="CIDFont+F2"/>
        </w:rPr>
        <w:t>závislost plnění cílů EU na biopalivech první generace.</w:t>
      </w:r>
    </w:p>
    <w:p w14:paraId="2528B9DF" w14:textId="77777777" w:rsidR="00F4616B" w:rsidRPr="00D63E58" w:rsidRDefault="00F4616B" w:rsidP="00275CE2">
      <w:pPr>
        <w:pStyle w:val="KOMtext"/>
        <w:numPr>
          <w:ilvl w:val="0"/>
          <w:numId w:val="82"/>
        </w:numPr>
        <w:ind w:hanging="436"/>
      </w:pPr>
      <w:r w:rsidRPr="00D63E58">
        <w:rPr>
          <w:rFonts w:eastAsia="CIDFont+F2"/>
        </w:rPr>
        <w:t>NKÚ zjistil, že zatímco ve většině států EU jsou finanční opatření</w:t>
      </w:r>
      <w:r>
        <w:rPr>
          <w:rFonts w:eastAsia="CIDFont+F2"/>
        </w:rPr>
        <w:t xml:space="preserve"> v </w:t>
      </w:r>
      <w:r w:rsidRPr="00D63E58">
        <w:rPr>
          <w:rFonts w:eastAsia="CIDFont+F2"/>
        </w:rPr>
        <w:t>podstatné výši aktivně prosazována,</w:t>
      </w:r>
      <w:r>
        <w:rPr>
          <w:rFonts w:eastAsia="CIDFont+F2"/>
        </w:rPr>
        <w:t xml:space="preserve"> v </w:t>
      </w:r>
      <w:r w:rsidRPr="00D63E58">
        <w:rPr>
          <w:rFonts w:eastAsia="CIDFont+F2"/>
        </w:rPr>
        <w:t>ČR je kontrolovaná ministerstva</w:t>
      </w:r>
      <w:r>
        <w:rPr>
          <w:rFonts w:eastAsia="CIDFont+F2"/>
        </w:rPr>
        <w:t xml:space="preserve"> v </w:t>
      </w:r>
      <w:r w:rsidRPr="00D63E58">
        <w:rPr>
          <w:rFonts w:eastAsia="CIDFont+F2"/>
        </w:rPr>
        <w:t>sektoru dopravy teprve zkoumají. NKÚ konstatuje, že</w:t>
      </w:r>
      <w:r>
        <w:rPr>
          <w:rFonts w:eastAsia="CIDFont+F2"/>
        </w:rPr>
        <w:t xml:space="preserve"> v </w:t>
      </w:r>
      <w:r w:rsidRPr="00D63E58">
        <w:rPr>
          <w:rFonts w:eastAsia="CIDFont+F2"/>
        </w:rPr>
        <w:t>sektoru dopravy MD, MŽP</w:t>
      </w:r>
      <w:r>
        <w:rPr>
          <w:rFonts w:eastAsia="CIDFont+F2"/>
        </w:rPr>
        <w:t xml:space="preserve"> a </w:t>
      </w:r>
      <w:r w:rsidRPr="00D63E58">
        <w:rPr>
          <w:rFonts w:eastAsia="CIDFont+F2"/>
        </w:rPr>
        <w:t>MF nenaplnily svou funkci spočívající</w:t>
      </w:r>
      <w:r>
        <w:rPr>
          <w:rFonts w:eastAsia="CIDFont+F2"/>
        </w:rPr>
        <w:t xml:space="preserve"> v </w:t>
      </w:r>
      <w:r w:rsidRPr="00D63E58">
        <w:rPr>
          <w:rFonts w:eastAsia="CIDFont+F2"/>
        </w:rPr>
        <w:t>péči</w:t>
      </w:r>
      <w:r>
        <w:rPr>
          <w:rFonts w:eastAsia="CIDFont+F2"/>
        </w:rPr>
        <w:t xml:space="preserve"> o </w:t>
      </w:r>
      <w:r w:rsidRPr="00D63E58">
        <w:rPr>
          <w:rFonts w:eastAsia="CIDFont+F2"/>
        </w:rPr>
        <w:t>náležitou právní úpravu</w:t>
      </w:r>
      <w:r>
        <w:rPr>
          <w:rFonts w:eastAsia="CIDFont+F2"/>
        </w:rPr>
        <w:t xml:space="preserve"> v </w:t>
      </w:r>
      <w:r w:rsidRPr="00D63E58">
        <w:rPr>
          <w:rFonts w:eastAsia="CIDFont+F2"/>
        </w:rPr>
        <w:t>oblasti daní</w:t>
      </w:r>
      <w:r>
        <w:rPr>
          <w:rFonts w:eastAsia="CIDFont+F2"/>
        </w:rPr>
        <w:t xml:space="preserve"> a </w:t>
      </w:r>
      <w:r w:rsidRPr="00D63E58">
        <w:rPr>
          <w:rFonts w:eastAsia="CIDFont+F2"/>
        </w:rPr>
        <w:t>poplatků, neboť nenavrhly novelizaci platných právních předpisů, přestože proto nastaly důvody.</w:t>
      </w:r>
    </w:p>
    <w:p w14:paraId="266F7056" w14:textId="77777777" w:rsidR="00F4616B" w:rsidRDefault="00F4616B" w:rsidP="00275CE2">
      <w:pPr>
        <w:pStyle w:val="KOMtext"/>
      </w:pPr>
      <w:r>
        <w:t>Konkrétně MD se týkají zejména zjištění NKÚ, že:</w:t>
      </w:r>
    </w:p>
    <w:p w14:paraId="1C35624B" w14:textId="77777777" w:rsidR="00F4616B" w:rsidRDefault="00F4616B" w:rsidP="00275CE2">
      <w:pPr>
        <w:pStyle w:val="KOMtext"/>
        <w:numPr>
          <w:ilvl w:val="0"/>
          <w:numId w:val="83"/>
        </w:numPr>
      </w:pPr>
      <w:r>
        <w:t>MD vhodně neuplatnilo principy EU směřující k ekologizaci dopravy a existující opatření k podpoře elektromobility v gesci MD (osvobození jednorázového poplatku 800 Kč za registraci elektrického vozidla a osvobození uživatelů elektrických vozidel od placení dálniční známky ve výši 1300) nejsou efektivní.</w:t>
      </w:r>
    </w:p>
    <w:p w14:paraId="4708A2EC" w14:textId="77777777" w:rsidR="00F4616B" w:rsidRDefault="00F4616B" w:rsidP="00275CE2">
      <w:pPr>
        <w:pStyle w:val="KOMtext"/>
        <w:numPr>
          <w:ilvl w:val="0"/>
          <w:numId w:val="83"/>
        </w:numPr>
      </w:pPr>
      <w:r>
        <w:t>Nastavení správního poplatku za registraci vozidla (vyjma elektromobilů) nikterak nezohledňuje ekologické parametry vozidla. Osvobození od registračního poplatku (vzhledem k jeho výši) neslouží jako motivační prvek pro pořízení elektromobilu.</w:t>
      </w:r>
    </w:p>
    <w:p w14:paraId="315F231C" w14:textId="77777777" w:rsidR="00F4616B" w:rsidRDefault="00F4616B" w:rsidP="00275CE2">
      <w:pPr>
        <w:pStyle w:val="KOMtext"/>
        <w:numPr>
          <w:ilvl w:val="0"/>
          <w:numId w:val="83"/>
        </w:numPr>
      </w:pPr>
      <w:r>
        <w:t>MD nepřipravilo efektivní a účinný systém sazeb poplatků vhodně respektující principy „uživatel platí“ a „znečišťovatel platí“.</w:t>
      </w:r>
    </w:p>
    <w:p w14:paraId="29D2A7D0" w14:textId="77777777" w:rsidR="00F4616B" w:rsidRDefault="00F4616B" w:rsidP="00275CE2">
      <w:pPr>
        <w:pStyle w:val="KOMtext"/>
      </w:pPr>
      <w:r w:rsidRPr="00D63E58">
        <w:rPr>
          <w:bCs/>
        </w:rPr>
        <w:t>Kontrolní závěr NKÚ</w:t>
      </w:r>
      <w:r>
        <w:rPr>
          <w:bCs/>
        </w:rPr>
        <w:t xml:space="preserve"> a stanoviska dotčených ministerstvem</w:t>
      </w:r>
      <w:r w:rsidRPr="00D63E58">
        <w:rPr>
          <w:bCs/>
        </w:rPr>
        <w:t xml:space="preserve"> doposud nebyly projednány vládou ČR.</w:t>
      </w:r>
      <w:r>
        <w:rPr>
          <w:bCs/>
        </w:rPr>
        <w:t xml:space="preserve"> </w:t>
      </w:r>
      <w:r>
        <w:t>K</w:t>
      </w:r>
      <w:r w:rsidRPr="00DA3BA4">
        <w:t>e zjištěním</w:t>
      </w:r>
      <w:r>
        <w:t xml:space="preserve"> a </w:t>
      </w:r>
      <w:r w:rsidRPr="00DA3BA4">
        <w:t>závěrům NKÚ, které se týkají působnosti MD</w:t>
      </w:r>
      <w:r>
        <w:t>,</w:t>
      </w:r>
      <w:r w:rsidRPr="00DA3BA4">
        <w:t xml:space="preserve"> </w:t>
      </w:r>
      <w:r>
        <w:t>zaslalo MD</w:t>
      </w:r>
      <w:r w:rsidRPr="00DA3BA4">
        <w:t xml:space="preserve"> dílčí stanovisko </w:t>
      </w:r>
      <w:r w:rsidRPr="00D63E58">
        <w:t>Ministerstvu financí</w:t>
      </w:r>
      <w:r>
        <w:t>, které bude předkládat souhrnný materiál pro jednání vlády</w:t>
      </w:r>
      <w:r w:rsidRPr="00D63E58">
        <w:t xml:space="preserve">. </w:t>
      </w:r>
      <w:r>
        <w:t>Žádná specifická</w:t>
      </w:r>
      <w:r w:rsidRPr="00D63E58">
        <w:t xml:space="preserve"> opatření neb</w:t>
      </w:r>
      <w:r>
        <w:t>yla navržena</w:t>
      </w:r>
      <w:r w:rsidRPr="00D63E58">
        <w:t>.</w:t>
      </w:r>
    </w:p>
    <w:p w14:paraId="117CAAB6" w14:textId="77777777" w:rsidR="00F4616B" w:rsidRPr="00F762AE" w:rsidRDefault="00F4616B" w:rsidP="00275CE2">
      <w:pPr>
        <w:pStyle w:val="Nadpis6"/>
      </w:pPr>
      <w:r w:rsidRPr="00F762AE">
        <w:t>Kontrolní akce</w:t>
      </w:r>
      <w:r>
        <w:t xml:space="preserve"> č. </w:t>
      </w:r>
      <w:r w:rsidRPr="00F762AE">
        <w:t>18/</w:t>
      </w:r>
      <w:r>
        <w:t>34</w:t>
      </w:r>
      <w:r w:rsidRPr="00F762AE">
        <w:t xml:space="preserve"> „</w:t>
      </w:r>
      <w:r w:rsidRPr="00EB0C2E">
        <w:t>Implementace inteligentních dopravních systémů (ITS)</w:t>
      </w:r>
      <w:r>
        <w:t xml:space="preserve"> v </w:t>
      </w:r>
      <w:r w:rsidRPr="00EB0C2E">
        <w:t>silniční infrastruktuře České republiky</w:t>
      </w:r>
      <w:r w:rsidRPr="00F762AE">
        <w:t>“</w:t>
      </w:r>
    </w:p>
    <w:p w14:paraId="76ADBAEA" w14:textId="77777777" w:rsidR="00F4616B" w:rsidRPr="00D63E58" w:rsidRDefault="00F4616B" w:rsidP="00275CE2">
      <w:pPr>
        <w:pStyle w:val="KOMtext"/>
      </w:pPr>
      <w:r w:rsidRPr="002B2EC8">
        <w:t>Kontrola byla prováděna od května do prosince 2018</w:t>
      </w:r>
      <w:r w:rsidRPr="00D63E58">
        <w:t>. Kontrolovanými osobami byly Ministerstvo dopravy</w:t>
      </w:r>
      <w:r>
        <w:t xml:space="preserve"> a </w:t>
      </w:r>
      <w:r w:rsidRPr="00D63E58">
        <w:t>Ředitelství silnic</w:t>
      </w:r>
      <w:r>
        <w:t xml:space="preserve"> a </w:t>
      </w:r>
      <w:r w:rsidRPr="00D63E58">
        <w:t>dálnic ČR.</w:t>
      </w:r>
    </w:p>
    <w:p w14:paraId="01E8A90F" w14:textId="77777777" w:rsidR="00F4616B" w:rsidRPr="00D63E58" w:rsidRDefault="00F4616B" w:rsidP="00275CE2">
      <w:pPr>
        <w:pStyle w:val="KOMtext"/>
        <w:rPr>
          <w:rFonts w:eastAsia="Calibri"/>
        </w:rPr>
      </w:pPr>
      <w:r w:rsidRPr="00D63E58">
        <w:t xml:space="preserve">Cílem kontroly </w:t>
      </w:r>
      <w:r>
        <w:t>bylo</w:t>
      </w:r>
      <w:r w:rsidRPr="00D63E58">
        <w:t xml:space="preserve"> prověřit, zda Ministerstvo dopravy řídí</w:t>
      </w:r>
      <w:r>
        <w:t xml:space="preserve"> a </w:t>
      </w:r>
      <w:r w:rsidRPr="00D63E58">
        <w:t>společně</w:t>
      </w:r>
      <w:r>
        <w:t xml:space="preserve"> s </w:t>
      </w:r>
      <w:r w:rsidRPr="00D63E58">
        <w:t>Ředitelstvím silnic</w:t>
      </w:r>
      <w:r>
        <w:t xml:space="preserve"> a </w:t>
      </w:r>
      <w:r w:rsidRPr="00D63E58">
        <w:t>dálnic ČR implementuje vybrané silniční ITS způsobem, který vede</w:t>
      </w:r>
      <w:r>
        <w:t xml:space="preserve"> k </w:t>
      </w:r>
      <w:r w:rsidRPr="00D63E58">
        <w:t>hospodárnému</w:t>
      </w:r>
      <w:r>
        <w:t xml:space="preserve"> a </w:t>
      </w:r>
      <w:r w:rsidRPr="00D63E58">
        <w:t>efektivnímu vynaložení peněžních prostředků na dosažení cílů dle Akčního plánu rozvoje inteligentních dopravních systémů</w:t>
      </w:r>
      <w:r>
        <w:t xml:space="preserve"> v </w:t>
      </w:r>
      <w:r w:rsidRPr="00D63E58">
        <w:t xml:space="preserve">ČR do roku 2020 </w:t>
      </w:r>
      <w:r>
        <w:t>(s </w:t>
      </w:r>
      <w:r w:rsidRPr="00D63E58">
        <w:t>výhledem do roku 2050)</w:t>
      </w:r>
      <w:r>
        <w:t xml:space="preserve"> a </w:t>
      </w:r>
      <w:r w:rsidRPr="00D63E58">
        <w:t xml:space="preserve">dalších strategických dokumentů. </w:t>
      </w:r>
      <w:r w:rsidRPr="00D63E58">
        <w:rPr>
          <w:rFonts w:eastAsia="Calibri"/>
        </w:rPr>
        <w:t>Kontrolováno bylo o</w:t>
      </w:r>
      <w:r>
        <w:rPr>
          <w:rFonts w:eastAsia="Calibri"/>
        </w:rPr>
        <w:t>bdobí od roku 2012 do roku 2018</w:t>
      </w:r>
      <w:r w:rsidRPr="00D63E58">
        <w:rPr>
          <w:rFonts w:eastAsia="Calibri"/>
        </w:rPr>
        <w:t>.</w:t>
      </w:r>
    </w:p>
    <w:p w14:paraId="55AA5647" w14:textId="77777777" w:rsidR="00F4616B" w:rsidRPr="00D63E58" w:rsidRDefault="00F4616B" w:rsidP="00275CE2">
      <w:pPr>
        <w:pStyle w:val="KOMtext"/>
      </w:pPr>
      <w:r w:rsidRPr="00D63E58">
        <w:t>Kontrolní závěr schválilo kolegium NKÚ na svém IV. jednání, které se konalo dne 25. března 2019</w:t>
      </w:r>
      <w:r>
        <w:t>,</w:t>
      </w:r>
      <w:r w:rsidRPr="00D63E58">
        <w:t xml:space="preserve"> usnesením</w:t>
      </w:r>
      <w:r>
        <w:t xml:space="preserve"> č. </w:t>
      </w:r>
      <w:r w:rsidRPr="00D63E58">
        <w:t>9/IV/2019.</w:t>
      </w:r>
    </w:p>
    <w:p w14:paraId="02BCB39F" w14:textId="0BE39F8E" w:rsidR="00F4616B" w:rsidRDefault="00F4616B" w:rsidP="00275CE2">
      <w:pPr>
        <w:pStyle w:val="KOMtext"/>
      </w:pPr>
      <w:r w:rsidRPr="00D63E58">
        <w:t>Kontrolní závěr NKÚ</w:t>
      </w:r>
      <w:r>
        <w:t xml:space="preserve"> a </w:t>
      </w:r>
      <w:r w:rsidRPr="00D63E58">
        <w:t>Stanovisko MD bylo projednáno vládou ČR dne 30. září 2019.</w:t>
      </w:r>
    </w:p>
    <w:p w14:paraId="366CB898" w14:textId="7552FEF4" w:rsidR="00BA24B3" w:rsidRDefault="00BA24B3" w:rsidP="00275CE2">
      <w:pPr>
        <w:pStyle w:val="KOMtext"/>
      </w:pPr>
    </w:p>
    <w:p w14:paraId="0C0BDDBD" w14:textId="4AD4A3AE" w:rsidR="00BA24B3" w:rsidRDefault="00BA24B3" w:rsidP="00275CE2">
      <w:pPr>
        <w:pStyle w:val="KOMtext"/>
      </w:pPr>
    </w:p>
    <w:p w14:paraId="5A981909" w14:textId="6C35608B" w:rsidR="00BA24B3" w:rsidRDefault="00BA24B3" w:rsidP="00275CE2">
      <w:pPr>
        <w:pStyle w:val="KOMtext"/>
      </w:pPr>
    </w:p>
    <w:p w14:paraId="56C59D78" w14:textId="72E546DC" w:rsidR="00BA24B3" w:rsidRDefault="00BA24B3" w:rsidP="00275CE2">
      <w:pPr>
        <w:pStyle w:val="KOMtext"/>
      </w:pPr>
    </w:p>
    <w:p w14:paraId="60DC5CD5" w14:textId="77777777" w:rsidR="00BA24B3" w:rsidRPr="00D63E58" w:rsidRDefault="00BA24B3" w:rsidP="00275CE2">
      <w:pPr>
        <w:pStyle w:val="KOMtext"/>
      </w:pPr>
    </w:p>
    <w:p w14:paraId="1C438C5E" w14:textId="77777777" w:rsidR="00F4616B" w:rsidRPr="00D63E58" w:rsidRDefault="00F4616B" w:rsidP="00275CE2">
      <w:pPr>
        <w:pStyle w:val="Nadpis6"/>
      </w:pPr>
      <w:r w:rsidRPr="00D63E58">
        <w:t>Kontrolní zjištění</w:t>
      </w:r>
    </w:p>
    <w:p w14:paraId="666CAF11" w14:textId="77777777" w:rsidR="00F4616B" w:rsidRPr="00D63E58" w:rsidRDefault="00F4616B" w:rsidP="00275CE2">
      <w:pPr>
        <w:pStyle w:val="KOMtext"/>
      </w:pPr>
      <w:r w:rsidRPr="00D63E58">
        <w:t>NKÚ</w:t>
      </w:r>
      <w:r>
        <w:t xml:space="preserve"> v </w:t>
      </w:r>
      <w:r w:rsidRPr="00D63E58">
        <w:t>Kontrolním závěru shrnuje, že:</w:t>
      </w:r>
    </w:p>
    <w:p w14:paraId="72850381" w14:textId="77777777" w:rsidR="00F4616B" w:rsidRPr="00D63E58" w:rsidRDefault="00F4616B" w:rsidP="00275CE2">
      <w:pPr>
        <w:pStyle w:val="KOMtext"/>
        <w:numPr>
          <w:ilvl w:val="0"/>
          <w:numId w:val="84"/>
        </w:numPr>
      </w:pPr>
      <w:r>
        <w:t>M</w:t>
      </w:r>
      <w:r w:rsidRPr="00D63E58">
        <w:t>ožnost monitorovat, řídit</w:t>
      </w:r>
      <w:r>
        <w:t xml:space="preserve"> a </w:t>
      </w:r>
      <w:r w:rsidRPr="00D63E58">
        <w:t>transparentně vyhodnotit účelnost, hospodárnost</w:t>
      </w:r>
      <w:r>
        <w:t xml:space="preserve"> a </w:t>
      </w:r>
      <w:r w:rsidRPr="00D63E58">
        <w:t>efektivnost silničních ITS budovaných</w:t>
      </w:r>
      <w:r>
        <w:t xml:space="preserve"> v </w:t>
      </w:r>
      <w:r w:rsidRPr="00D63E58">
        <w:t>rámci Akčního plánu ITS je výrazně omezena,</w:t>
      </w:r>
      <w:r>
        <w:t xml:space="preserve"> a </w:t>
      </w:r>
      <w:r w:rsidRPr="00D63E58">
        <w:t>to jak pro MD</w:t>
      </w:r>
      <w:r>
        <w:t xml:space="preserve"> a </w:t>
      </w:r>
      <w:r w:rsidRPr="00D63E58">
        <w:t>ŘSD, tak pro jiné hodnotitele. Cíle Akčního plánu ITS totiž MD stanovilo velmi obecně, „SMART“ hodnoticí ukazatele do doby ukončení kontroly nenastavilo vůbec. Možnost hodnotit účelnost, hospodárnost</w:t>
      </w:r>
      <w:r>
        <w:t xml:space="preserve"> a </w:t>
      </w:r>
      <w:r w:rsidRPr="00D63E58">
        <w:t>efektivnost realizace jednotlivých projektů ITS ze strany MD</w:t>
      </w:r>
      <w:r>
        <w:t xml:space="preserve"> a </w:t>
      </w:r>
      <w:r w:rsidRPr="00D63E58">
        <w:t>ŘSD také limituje dostupnost informací. Akční plán ITS</w:t>
      </w:r>
      <w:r>
        <w:t xml:space="preserve"> a </w:t>
      </w:r>
      <w:r w:rsidRPr="00D63E58">
        <w:t>navazující dokumenty nevytvářejí předpoklad pro projektové řízení. Ke kontrole vybrané ITS na silniční síti ve správě ŘSD plní účel,</w:t>
      </w:r>
      <w:r>
        <w:t xml:space="preserve"> k </w:t>
      </w:r>
      <w:r w:rsidRPr="00D63E58">
        <w:t>němuž byly zřízeny, avšak</w:t>
      </w:r>
      <w:r>
        <w:t xml:space="preserve"> s </w:t>
      </w:r>
      <w:r w:rsidRPr="00D63E58">
        <w:t>výjimkou vysokorychlostních vah, jejichž výstavba je opožděná</w:t>
      </w:r>
      <w:r>
        <w:t xml:space="preserve"> a </w:t>
      </w:r>
      <w:r w:rsidRPr="00D63E58">
        <w:t>které nebyly do doby ukončení kontroly vybudovány.</w:t>
      </w:r>
    </w:p>
    <w:p w14:paraId="73E44E04" w14:textId="77777777" w:rsidR="00F4616B" w:rsidRPr="00D63E58" w:rsidRDefault="00F4616B" w:rsidP="00275CE2">
      <w:pPr>
        <w:pStyle w:val="KOMtext"/>
        <w:numPr>
          <w:ilvl w:val="0"/>
          <w:numId w:val="84"/>
        </w:numPr>
      </w:pPr>
      <w:r w:rsidRPr="00D63E58">
        <w:t>MD nenastavilo Akční plán ITS tak, aby mohlo objektivně sledovat průběh naplňování jeho cílů</w:t>
      </w:r>
      <w:r>
        <w:t xml:space="preserve"> v </w:t>
      </w:r>
      <w:r w:rsidRPr="00D63E58">
        <w:t>čase, vyhodnotit, zda postupuje jeho implementace vytyčeným směrem, definovat adresná nápravná opatření</w:t>
      </w:r>
      <w:r>
        <w:t xml:space="preserve"> a </w:t>
      </w:r>
      <w:r w:rsidRPr="00D63E58">
        <w:t>vyhodnotit na konci jeho účinnosti, zda bylo dosaženo stanovených cílů,</w:t>
      </w:r>
      <w:r>
        <w:t xml:space="preserve"> resp. </w:t>
      </w:r>
      <w:r w:rsidRPr="00D63E58">
        <w:t>globálního cíle</w:t>
      </w:r>
      <w:r>
        <w:t xml:space="preserve"> v </w:t>
      </w:r>
      <w:r w:rsidRPr="00D63E58">
        <w:t>návaznosti na vynaložené peněžní prostředky.</w:t>
      </w:r>
    </w:p>
    <w:p w14:paraId="1891EDDC" w14:textId="77777777" w:rsidR="00F4616B" w:rsidRPr="00D63E58" w:rsidRDefault="00F4616B" w:rsidP="00275CE2">
      <w:pPr>
        <w:pStyle w:val="KOMtext"/>
        <w:numPr>
          <w:ilvl w:val="0"/>
          <w:numId w:val="84"/>
        </w:numPr>
      </w:pPr>
      <w:r w:rsidRPr="00D63E58">
        <w:t>MD</w:t>
      </w:r>
      <w:r>
        <w:t xml:space="preserve"> a </w:t>
      </w:r>
      <w:r w:rsidRPr="00D63E58">
        <w:t>ŘSD</w:t>
      </w:r>
      <w:r>
        <w:t xml:space="preserve"> v </w:t>
      </w:r>
      <w:r w:rsidRPr="00D63E58">
        <w:t xml:space="preserve">rámci naplňování Akčního plánu ITS neprováděly výkonová hodnocení silničních ITS implementovaných prostřednictvím </w:t>
      </w:r>
      <w:r>
        <w:t>projektů silničních ITS a průřezových</w:t>
      </w:r>
      <w:r w:rsidRPr="00D63E58">
        <w:t xml:space="preserve"> projektů Implementačního plánu ITS</w:t>
      </w:r>
      <w:r>
        <w:t>.</w:t>
      </w:r>
    </w:p>
    <w:p w14:paraId="315ED4E2" w14:textId="77777777" w:rsidR="00F4616B" w:rsidRPr="00D63E58" w:rsidRDefault="00F4616B" w:rsidP="00275CE2">
      <w:pPr>
        <w:pStyle w:val="KOMtext"/>
        <w:numPr>
          <w:ilvl w:val="0"/>
          <w:numId w:val="84"/>
        </w:numPr>
      </w:pPr>
      <w:r w:rsidRPr="00D63E58">
        <w:t>MD neprovádělo posouzení vhodnosti zařazení návrhů projektových záměrů SD</w:t>
      </w:r>
      <w:r>
        <w:t xml:space="preserve"> a </w:t>
      </w:r>
      <w:r w:rsidRPr="00D63E58">
        <w:t>PR projektů do Implementačního plánu ITS transparentním způsobem.</w:t>
      </w:r>
    </w:p>
    <w:p w14:paraId="1E19B247" w14:textId="77777777" w:rsidR="00F4616B" w:rsidRPr="00D63E58" w:rsidRDefault="00F4616B" w:rsidP="00275CE2">
      <w:pPr>
        <w:pStyle w:val="KOMtext"/>
        <w:numPr>
          <w:ilvl w:val="0"/>
          <w:numId w:val="84"/>
        </w:numPr>
      </w:pPr>
      <w:r w:rsidRPr="00D63E58">
        <w:t>ŘSD nemělo do doby ukončení kontroly přehled</w:t>
      </w:r>
      <w:r>
        <w:t xml:space="preserve"> o </w:t>
      </w:r>
      <w:r w:rsidRPr="00D63E58">
        <w:t>celkové výši peněžních prostředků vynakládaných na silniční ITS, neboť nesledovalo samostatně peněžní prostředky vynakládané na implementaci silničních ITS</w:t>
      </w:r>
      <w:r>
        <w:t xml:space="preserve"> v </w:t>
      </w:r>
      <w:r w:rsidRPr="00D63E58">
        <w:t>rámci silničních staveb.</w:t>
      </w:r>
    </w:p>
    <w:p w14:paraId="5AD90EE8" w14:textId="77777777" w:rsidR="00F4616B" w:rsidRDefault="00F4616B" w:rsidP="00275CE2">
      <w:pPr>
        <w:pStyle w:val="KOMtext"/>
        <w:numPr>
          <w:ilvl w:val="0"/>
          <w:numId w:val="84"/>
        </w:numPr>
      </w:pPr>
      <w:r w:rsidRPr="00D63E58">
        <w:t>MD neřídilo implementaci vah pro vysokorychlostní kontrol</w:t>
      </w:r>
      <w:r>
        <w:t>ní vážení na strategické úrovni.</w:t>
      </w:r>
    </w:p>
    <w:p w14:paraId="541DAE33" w14:textId="77777777" w:rsidR="00F4616B" w:rsidRPr="00D63E58" w:rsidRDefault="00F4616B" w:rsidP="00275CE2">
      <w:pPr>
        <w:pStyle w:val="KOMtext"/>
        <w:numPr>
          <w:ilvl w:val="0"/>
          <w:numId w:val="84"/>
        </w:numPr>
      </w:pPr>
      <w:r w:rsidRPr="00654761">
        <w:t>Jako účelnou</w:t>
      </w:r>
      <w:r>
        <w:t xml:space="preserve"> a </w:t>
      </w:r>
      <w:r w:rsidRPr="00654761">
        <w:t>efektivní hodnotil NKÚ činnost NDIC jako hlavního operačního pracoviště Jednotného systému dopravních informací pro ČR při předávání dopravních informací</w:t>
      </w:r>
      <w:r>
        <w:t>.</w:t>
      </w:r>
    </w:p>
    <w:p w14:paraId="11B0C527" w14:textId="77777777" w:rsidR="00F4616B" w:rsidRPr="00D63E58" w:rsidRDefault="00F4616B" w:rsidP="00275CE2">
      <w:pPr>
        <w:pStyle w:val="KOMtext"/>
        <w:numPr>
          <w:ilvl w:val="0"/>
          <w:numId w:val="84"/>
        </w:numPr>
      </w:pPr>
      <w:r w:rsidRPr="00D63E58">
        <w:t>ŘSD při budování</w:t>
      </w:r>
      <w:r>
        <w:t xml:space="preserve"> a </w:t>
      </w:r>
      <w:r w:rsidRPr="00D63E58">
        <w:t>využívání systému SOS hlásek postupovalo účelným způsobem.</w:t>
      </w:r>
    </w:p>
    <w:p w14:paraId="45882EDA" w14:textId="77777777" w:rsidR="00F4616B" w:rsidRPr="00D63E58" w:rsidRDefault="00F4616B" w:rsidP="00275CE2">
      <w:pPr>
        <w:pStyle w:val="KOMtext"/>
        <w:numPr>
          <w:ilvl w:val="0"/>
          <w:numId w:val="84"/>
        </w:numPr>
      </w:pPr>
      <w:r w:rsidRPr="00D63E58">
        <w:rPr>
          <w:bCs/>
        </w:rPr>
        <w:lastRenderedPageBreak/>
        <w:t>Na národní úrovni neexistuje pracoviště, které by zajišťovalo koordinaci jednotlivých uzavírek</w:t>
      </w:r>
      <w:r>
        <w:rPr>
          <w:bCs/>
        </w:rPr>
        <w:t xml:space="preserve"> a </w:t>
      </w:r>
      <w:r w:rsidRPr="00D63E58">
        <w:rPr>
          <w:bCs/>
        </w:rPr>
        <w:t>výluk dopravní sítě mezi jednotlivými institucemi provozujícími silniční síť.</w:t>
      </w:r>
    </w:p>
    <w:p w14:paraId="147A3831" w14:textId="5E9F7A87" w:rsidR="00F4616B" w:rsidRPr="00D63E58" w:rsidRDefault="00F4616B" w:rsidP="00275CE2">
      <w:pPr>
        <w:pStyle w:val="Nadpis6"/>
      </w:pPr>
      <w:r w:rsidRPr="00D63E58">
        <w:t>Nápravná opatření</w:t>
      </w:r>
    </w:p>
    <w:p w14:paraId="2FCA5EDB" w14:textId="77777777" w:rsidR="00F4616B" w:rsidRPr="00D63E58" w:rsidRDefault="00F4616B" w:rsidP="00275CE2">
      <w:pPr>
        <w:pStyle w:val="KOMtext"/>
      </w:pPr>
      <w:r w:rsidRPr="00D63E58">
        <w:t>K uvedeným zjištěním byla uplatněna odborná stanoviska, vysvětlení</w:t>
      </w:r>
      <w:r>
        <w:t xml:space="preserve"> a </w:t>
      </w:r>
      <w:r w:rsidRPr="00D63E58">
        <w:t>popsána již realizovaná opatření.</w:t>
      </w:r>
      <w:r>
        <w:t xml:space="preserve"> V </w:t>
      </w:r>
      <w:r w:rsidRPr="00D63E58">
        <w:t>ma</w:t>
      </w:r>
      <w:r>
        <w:t xml:space="preserve">teriálu projednaném vládou byla dále </w:t>
      </w:r>
      <w:r w:rsidRPr="00D63E58">
        <w:t xml:space="preserve">formulována </w:t>
      </w:r>
      <w:r>
        <w:t>tato</w:t>
      </w:r>
      <w:r w:rsidRPr="00D63E58">
        <w:t xml:space="preserve"> nápravná opatření:</w:t>
      </w:r>
    </w:p>
    <w:p w14:paraId="01A5D419" w14:textId="77777777" w:rsidR="00F4616B" w:rsidRPr="00803A12" w:rsidRDefault="00F4616B" w:rsidP="00275CE2">
      <w:pPr>
        <w:pStyle w:val="KOMtext"/>
        <w:numPr>
          <w:ilvl w:val="0"/>
          <w:numId w:val="85"/>
        </w:numPr>
        <w:rPr>
          <w:rFonts w:eastAsia="Calibri"/>
        </w:rPr>
      </w:pPr>
      <w:r>
        <w:rPr>
          <w:rFonts w:eastAsia="Calibri"/>
        </w:rPr>
        <w:t xml:space="preserve">MD </w:t>
      </w:r>
      <w:r w:rsidRPr="00803A12">
        <w:rPr>
          <w:rFonts w:eastAsia="Calibri"/>
        </w:rPr>
        <w:t>zajistí sledování dopadů zavedení systémů ITS/dopravní telematiky prostřednictvím indikátorů týkajících se změn</w:t>
      </w:r>
      <w:r>
        <w:rPr>
          <w:rFonts w:eastAsia="Calibri"/>
        </w:rPr>
        <w:t xml:space="preserve"> v </w:t>
      </w:r>
      <w:r w:rsidRPr="00803A12">
        <w:rPr>
          <w:rFonts w:eastAsia="Calibri"/>
        </w:rPr>
        <w:t>cestovním čase, změn nehodovosti</w:t>
      </w:r>
      <w:r>
        <w:rPr>
          <w:rFonts w:eastAsia="Calibri"/>
        </w:rPr>
        <w:t xml:space="preserve"> a </w:t>
      </w:r>
      <w:r w:rsidRPr="00803A12">
        <w:rPr>
          <w:rFonts w:eastAsia="Calibri"/>
        </w:rPr>
        <w:t>dopadů na životní p</w:t>
      </w:r>
      <w:r>
        <w:rPr>
          <w:rFonts w:eastAsia="Calibri"/>
        </w:rPr>
        <w:t>rostředí a zdraví obyvatelstva;</w:t>
      </w:r>
    </w:p>
    <w:p w14:paraId="51C68312" w14:textId="77777777" w:rsidR="00F4616B" w:rsidRPr="00803A12" w:rsidRDefault="00F4616B" w:rsidP="00275CE2">
      <w:pPr>
        <w:pStyle w:val="KOMtext"/>
        <w:numPr>
          <w:ilvl w:val="0"/>
          <w:numId w:val="85"/>
        </w:numPr>
        <w:rPr>
          <w:rFonts w:eastAsia="Calibri"/>
        </w:rPr>
      </w:pPr>
      <w:r>
        <w:rPr>
          <w:rFonts w:eastAsia="Calibri"/>
        </w:rPr>
        <w:t xml:space="preserve">MD </w:t>
      </w:r>
      <w:r w:rsidRPr="00803A12">
        <w:rPr>
          <w:rFonts w:eastAsia="Calibri"/>
        </w:rPr>
        <w:t>pro zvýšení transparentnosti při přípravě nového Akčního plánu ITS vytipuje problémové dopravní úseky na síti dálnic</w:t>
      </w:r>
      <w:r>
        <w:rPr>
          <w:rFonts w:eastAsia="Calibri"/>
        </w:rPr>
        <w:t xml:space="preserve"> a </w:t>
      </w:r>
      <w:r w:rsidRPr="00803A12">
        <w:rPr>
          <w:rFonts w:eastAsia="Calibri"/>
        </w:rPr>
        <w:t xml:space="preserve">silnic, na kterých by nasazení ITS mohlo přinést </w:t>
      </w:r>
      <w:r>
        <w:rPr>
          <w:rFonts w:eastAsia="Calibri"/>
        </w:rPr>
        <w:t>kladnou změnu v cestovním čase;</w:t>
      </w:r>
    </w:p>
    <w:p w14:paraId="479F2806" w14:textId="77777777" w:rsidR="00F4616B" w:rsidRPr="00803A12" w:rsidRDefault="00F4616B" w:rsidP="00275CE2">
      <w:pPr>
        <w:pStyle w:val="KOMtext"/>
        <w:numPr>
          <w:ilvl w:val="0"/>
          <w:numId w:val="85"/>
        </w:numPr>
        <w:rPr>
          <w:rFonts w:eastAsia="Calibri"/>
        </w:rPr>
      </w:pPr>
      <w:r>
        <w:rPr>
          <w:rFonts w:eastAsia="Calibri"/>
        </w:rPr>
        <w:t xml:space="preserve">MD ve </w:t>
      </w:r>
      <w:r w:rsidRPr="00803A12">
        <w:rPr>
          <w:rFonts w:eastAsia="Calibri"/>
        </w:rPr>
        <w:t>spolupráci</w:t>
      </w:r>
      <w:r>
        <w:rPr>
          <w:rFonts w:eastAsia="Calibri"/>
        </w:rPr>
        <w:t xml:space="preserve"> s </w:t>
      </w:r>
      <w:r w:rsidRPr="00803A12">
        <w:rPr>
          <w:rFonts w:eastAsia="Calibri"/>
        </w:rPr>
        <w:t>Ředitelstvím silnic</w:t>
      </w:r>
      <w:r>
        <w:rPr>
          <w:rFonts w:eastAsia="Calibri"/>
        </w:rPr>
        <w:t xml:space="preserve"> a </w:t>
      </w:r>
      <w:r w:rsidRPr="00803A12">
        <w:rPr>
          <w:rFonts w:eastAsia="Calibri"/>
        </w:rPr>
        <w:t>dálnic provede opatření, které nastaví systém sledování položek silničních ITS pro každý prvek nebo výrobek zařízení ITS</w:t>
      </w:r>
      <w:r>
        <w:rPr>
          <w:rFonts w:eastAsia="Calibri"/>
        </w:rPr>
        <w:t xml:space="preserve"> v </w:t>
      </w:r>
      <w:r w:rsidRPr="00803A12">
        <w:rPr>
          <w:rFonts w:eastAsia="Calibri"/>
        </w:rPr>
        <w:t>rozlišení položek příslušného oborového třídníku,</w:t>
      </w:r>
      <w:r>
        <w:rPr>
          <w:rFonts w:eastAsia="Calibri"/>
        </w:rPr>
        <w:t xml:space="preserve"> a </w:t>
      </w:r>
      <w:r w:rsidRPr="00803A12">
        <w:rPr>
          <w:rFonts w:eastAsia="Calibri"/>
        </w:rPr>
        <w:t>to zvlášť pro montáž, instalaci, údržbu, revizi</w:t>
      </w:r>
      <w:r>
        <w:rPr>
          <w:rFonts w:eastAsia="Calibri"/>
        </w:rPr>
        <w:t xml:space="preserve"> a </w:t>
      </w:r>
      <w:r w:rsidRPr="00803A12">
        <w:rPr>
          <w:rFonts w:eastAsia="Calibri"/>
        </w:rPr>
        <w:t>aktualizaci zařízení ITS</w:t>
      </w:r>
      <w:r>
        <w:rPr>
          <w:rFonts w:eastAsia="Calibri"/>
        </w:rPr>
        <w:t xml:space="preserve"> a </w:t>
      </w:r>
      <w:r w:rsidRPr="00803A12">
        <w:rPr>
          <w:rFonts w:eastAsia="Calibri"/>
        </w:rPr>
        <w:t>zvlášť pro sledování provozních nákladů jednotlivých s</w:t>
      </w:r>
      <w:r>
        <w:rPr>
          <w:rFonts w:eastAsia="Calibri"/>
        </w:rPr>
        <w:t>ystémů ITS/dopravní telematiky;</w:t>
      </w:r>
    </w:p>
    <w:p w14:paraId="3FCF555B" w14:textId="77777777" w:rsidR="00F4616B" w:rsidRDefault="00F4616B" w:rsidP="00275CE2">
      <w:pPr>
        <w:pStyle w:val="KOMtext"/>
        <w:numPr>
          <w:ilvl w:val="0"/>
          <w:numId w:val="85"/>
        </w:numPr>
        <w:rPr>
          <w:rFonts w:eastAsia="Calibri"/>
        </w:rPr>
      </w:pPr>
      <w:r>
        <w:rPr>
          <w:rFonts w:eastAsia="Calibri"/>
        </w:rPr>
        <w:t xml:space="preserve">MD </w:t>
      </w:r>
      <w:r w:rsidRPr="00803A12">
        <w:rPr>
          <w:rFonts w:eastAsia="Calibri"/>
        </w:rPr>
        <w:t>rozešle výzvy</w:t>
      </w:r>
      <w:r>
        <w:rPr>
          <w:rFonts w:eastAsia="Calibri"/>
        </w:rPr>
        <w:t xml:space="preserve"> k </w:t>
      </w:r>
      <w:r w:rsidRPr="00803A12">
        <w:rPr>
          <w:rFonts w:eastAsia="Calibri"/>
        </w:rPr>
        <w:t>součinnosti na jednotlivé kraje, coby vlastníky silnic II.</w:t>
      </w:r>
      <w:r>
        <w:rPr>
          <w:rFonts w:eastAsia="Calibri"/>
        </w:rPr>
        <w:t xml:space="preserve"> a </w:t>
      </w:r>
      <w:r w:rsidRPr="00803A12">
        <w:rPr>
          <w:rFonts w:eastAsia="Calibri"/>
        </w:rPr>
        <w:t>III. třídy, spočívající</w:t>
      </w:r>
      <w:r>
        <w:rPr>
          <w:rFonts w:eastAsia="Calibri"/>
        </w:rPr>
        <w:t xml:space="preserve"> v </w:t>
      </w:r>
      <w:r w:rsidRPr="00803A12">
        <w:rPr>
          <w:rFonts w:eastAsia="Calibri"/>
        </w:rPr>
        <w:t>požadavku na důsledné zadávání nezbytných údajů do Plánu uzavírek Geoportálu silniční</w:t>
      </w:r>
      <w:r>
        <w:rPr>
          <w:rFonts w:eastAsia="Calibri"/>
        </w:rPr>
        <w:t xml:space="preserve"> a </w:t>
      </w:r>
      <w:r w:rsidRPr="00803A12">
        <w:rPr>
          <w:rFonts w:eastAsia="Calibri"/>
        </w:rPr>
        <w:t>dálniční sítě ČR</w:t>
      </w:r>
      <w:r>
        <w:rPr>
          <w:rFonts w:eastAsia="Calibri"/>
        </w:rPr>
        <w:t xml:space="preserve"> s </w:t>
      </w:r>
      <w:r w:rsidRPr="00803A12">
        <w:rPr>
          <w:rFonts w:eastAsia="Calibri"/>
        </w:rPr>
        <w:t>cílem přispět</w:t>
      </w:r>
      <w:r>
        <w:rPr>
          <w:rFonts w:eastAsia="Calibri"/>
        </w:rPr>
        <w:t xml:space="preserve"> k </w:t>
      </w:r>
      <w:r w:rsidRPr="00803A12">
        <w:rPr>
          <w:rFonts w:eastAsia="Calibri"/>
        </w:rPr>
        <w:t>lepší ko</w:t>
      </w:r>
      <w:r>
        <w:rPr>
          <w:rFonts w:eastAsia="Calibri"/>
        </w:rPr>
        <w:t>ordinaci jednotlivých uzavírek.</w:t>
      </w:r>
    </w:p>
    <w:p w14:paraId="100A6279" w14:textId="77777777" w:rsidR="00F4616B" w:rsidRPr="00803A12" w:rsidRDefault="00F4616B" w:rsidP="00275CE2">
      <w:pPr>
        <w:pStyle w:val="KOMtext"/>
        <w:rPr>
          <w:rFonts w:eastAsia="Calibri"/>
        </w:rPr>
      </w:pPr>
      <w:r>
        <w:rPr>
          <w:rFonts w:eastAsia="Calibri"/>
        </w:rPr>
        <w:t>Přijatá opatření jsou průběžně plněna.</w:t>
      </w:r>
    </w:p>
    <w:p w14:paraId="79706A56" w14:textId="77777777" w:rsidR="00F4616B" w:rsidRPr="00C439B5" w:rsidRDefault="00F4616B" w:rsidP="00BA24B3">
      <w:pPr>
        <w:pStyle w:val="Nadpis2"/>
        <w:spacing w:before="360"/>
      </w:pPr>
      <w:bookmarkStart w:id="1200" w:name="_Toc34286508"/>
      <w:r w:rsidRPr="00C439B5">
        <w:t>Audity</w:t>
      </w:r>
      <w:r>
        <w:t xml:space="preserve"> a </w:t>
      </w:r>
      <w:r w:rsidRPr="00C439B5">
        <w:t xml:space="preserve">kontroly provedené Odborem </w:t>
      </w:r>
      <w:r>
        <w:t xml:space="preserve">interního </w:t>
      </w:r>
      <w:r w:rsidRPr="00C439B5">
        <w:t>auditu</w:t>
      </w:r>
      <w:r>
        <w:t xml:space="preserve"> a </w:t>
      </w:r>
      <w:r w:rsidRPr="00C439B5">
        <w:t>kontroly</w:t>
      </w:r>
      <w:r>
        <w:t xml:space="preserve"> </w:t>
      </w:r>
      <w:r w:rsidRPr="00C439B5">
        <w:t>MD</w:t>
      </w:r>
      <w:bookmarkEnd w:id="1200"/>
    </w:p>
    <w:p w14:paraId="68AC4FCA" w14:textId="77777777" w:rsidR="00D67153" w:rsidRPr="00D67153" w:rsidRDefault="00D67153" w:rsidP="00275CE2">
      <w:pPr>
        <w:pStyle w:val="Odstavecseseznamem"/>
        <w:keepNext/>
        <w:numPr>
          <w:ilvl w:val="1"/>
          <w:numId w:val="43"/>
        </w:numPr>
        <w:overflowPunct w:val="0"/>
        <w:autoSpaceDE w:val="0"/>
        <w:autoSpaceDN w:val="0"/>
        <w:adjustRightInd w:val="0"/>
        <w:spacing w:before="240" w:after="120"/>
        <w:contextualSpacing w:val="0"/>
        <w:jc w:val="both"/>
        <w:textAlignment w:val="baseline"/>
        <w:outlineLvl w:val="2"/>
        <w:rPr>
          <w:b/>
          <w:vanish/>
          <w:szCs w:val="20"/>
        </w:rPr>
      </w:pPr>
      <w:bookmarkStart w:id="1201" w:name="_Toc32587736"/>
      <w:bookmarkStart w:id="1202" w:name="_Toc32935762"/>
      <w:bookmarkStart w:id="1203" w:name="_Toc34204650"/>
      <w:bookmarkStart w:id="1204" w:name="_Toc34286442"/>
      <w:bookmarkStart w:id="1205" w:name="_Toc34286509"/>
      <w:bookmarkStart w:id="1206" w:name="_Toc474397359"/>
      <w:bookmarkEnd w:id="1201"/>
      <w:bookmarkEnd w:id="1202"/>
      <w:bookmarkEnd w:id="1203"/>
      <w:bookmarkEnd w:id="1204"/>
      <w:bookmarkEnd w:id="1205"/>
    </w:p>
    <w:p w14:paraId="357DDD9D" w14:textId="77777777" w:rsidR="00F4616B" w:rsidRPr="00C439B5" w:rsidRDefault="00F4616B" w:rsidP="00D67153">
      <w:pPr>
        <w:pStyle w:val="Nadpis3"/>
      </w:pPr>
      <w:bookmarkStart w:id="1207" w:name="_Toc34286510"/>
      <w:r w:rsidRPr="00C439B5">
        <w:t>Interní audity</w:t>
      </w:r>
      <w:bookmarkEnd w:id="1206"/>
      <w:bookmarkEnd w:id="1207"/>
    </w:p>
    <w:p w14:paraId="38AB92B9" w14:textId="77777777" w:rsidR="00F4616B" w:rsidRDefault="00F4616B" w:rsidP="00275CE2">
      <w:pPr>
        <w:pStyle w:val="KOMtext"/>
      </w:pPr>
      <w:r w:rsidRPr="00440407">
        <w:t xml:space="preserve">V roce </w:t>
      </w:r>
      <w:r>
        <w:t>2019</w:t>
      </w:r>
      <w:r w:rsidRPr="00440407">
        <w:t xml:space="preserve"> byl</w:t>
      </w:r>
      <w:r>
        <w:t>y</w:t>
      </w:r>
      <w:r w:rsidRPr="00440407">
        <w:t xml:space="preserve"> </w:t>
      </w:r>
      <w:r>
        <w:t>provedeny/dokončeny</w:t>
      </w:r>
      <w:r w:rsidRPr="00D32983">
        <w:rPr>
          <w:i/>
        </w:rPr>
        <w:t xml:space="preserve"> </w:t>
      </w:r>
      <w:r>
        <w:t>4</w:t>
      </w:r>
      <w:r w:rsidRPr="00B11C4D">
        <w:t xml:space="preserve"> interní audit</w:t>
      </w:r>
      <w:r>
        <w:t>y</w:t>
      </w:r>
      <w:r w:rsidRPr="00B11C4D">
        <w:t>:</w:t>
      </w:r>
    </w:p>
    <w:p w14:paraId="29289003" w14:textId="77777777" w:rsidR="00F4616B" w:rsidRPr="005776DF" w:rsidRDefault="00F4616B" w:rsidP="00275CE2">
      <w:pPr>
        <w:pStyle w:val="Nadpis6"/>
      </w:pPr>
      <w:r w:rsidRPr="001B0653">
        <w:t>Audit výkonu řídící, metodické</w:t>
      </w:r>
      <w:r>
        <w:t xml:space="preserve"> a </w:t>
      </w:r>
      <w:r w:rsidRPr="001B0653">
        <w:t>kontrolní činnosti</w:t>
      </w:r>
      <w:r>
        <w:t xml:space="preserve"> v </w:t>
      </w:r>
      <w:r w:rsidRPr="001B0653">
        <w:t>oblasti BESIP vůči podřízeným organizacím</w:t>
      </w:r>
    </w:p>
    <w:p w14:paraId="14297D89" w14:textId="77777777" w:rsidR="00F4616B" w:rsidRDefault="00F4616B" w:rsidP="00275CE2">
      <w:pPr>
        <w:pStyle w:val="KOMtext"/>
      </w:pPr>
      <w:r>
        <w:t>Cílem auditu bylo prověření nastaveného systému řízení, kontroly a metodického vedení v oblasti BESIP, kterou vykonává Samostatné oddělení BESIP vůči podřízeným organizacím.</w:t>
      </w:r>
    </w:p>
    <w:p w14:paraId="16C1BE53" w14:textId="77777777" w:rsidR="00F4616B" w:rsidRDefault="00F4616B" w:rsidP="00275CE2">
      <w:pPr>
        <w:pStyle w:val="KOMtext"/>
      </w:pPr>
      <w:r>
        <w:t>Auditem bylo identifikováno celkem 8 zjištění, z toho 4 s vysokou mírou významnosti, 3 se střední mírou významnosti a 1 s nízkou mírou významnosti. Celkově byla auditovaná oblast hodnocena stupněm 3 – s výhradou.</w:t>
      </w:r>
    </w:p>
    <w:p w14:paraId="21AF298E" w14:textId="77777777" w:rsidR="00F4616B" w:rsidRDefault="00F4616B" w:rsidP="00275CE2">
      <w:pPr>
        <w:pStyle w:val="KOMtext"/>
      </w:pPr>
      <w:r>
        <w:t>Auditem bylo zejména zjištěno:</w:t>
      </w:r>
    </w:p>
    <w:p w14:paraId="57D9F74A" w14:textId="77777777" w:rsidR="00F4616B" w:rsidRDefault="00F4616B" w:rsidP="00BA24B3">
      <w:pPr>
        <w:pStyle w:val="KOMtext"/>
        <w:numPr>
          <w:ilvl w:val="0"/>
          <w:numId w:val="86"/>
        </w:numPr>
        <w:spacing w:before="60" w:after="0"/>
        <w:ind w:left="714" w:hanging="357"/>
      </w:pPr>
      <w:r>
        <w:t>Nedostatečné a neprůkazné metodické a kontrolní vedení CSPSD.</w:t>
      </w:r>
    </w:p>
    <w:p w14:paraId="5FF0AF64" w14:textId="77777777" w:rsidR="00F4616B" w:rsidRDefault="00F4616B" w:rsidP="00BA24B3">
      <w:pPr>
        <w:pStyle w:val="KOMtext"/>
        <w:numPr>
          <w:ilvl w:val="0"/>
          <w:numId w:val="86"/>
        </w:numPr>
        <w:spacing w:before="60" w:after="0"/>
        <w:ind w:left="714" w:hanging="357"/>
      </w:pPr>
      <w:r>
        <w:t>Chybějící podklady k zajištění finanční kontroly.</w:t>
      </w:r>
    </w:p>
    <w:p w14:paraId="2F85838B" w14:textId="77777777" w:rsidR="00F4616B" w:rsidRDefault="00F4616B" w:rsidP="00BA24B3">
      <w:pPr>
        <w:pStyle w:val="KOMtext"/>
        <w:numPr>
          <w:ilvl w:val="0"/>
          <w:numId w:val="86"/>
        </w:numPr>
        <w:spacing w:before="60" w:after="0"/>
        <w:ind w:left="714" w:hanging="357"/>
      </w:pPr>
      <w:r>
        <w:t>Nevyužití získaných finančních prostředků.</w:t>
      </w:r>
    </w:p>
    <w:p w14:paraId="30143AC6" w14:textId="77777777" w:rsidR="00F4616B" w:rsidRDefault="00F4616B" w:rsidP="00BA24B3">
      <w:pPr>
        <w:pStyle w:val="KOMtext"/>
        <w:numPr>
          <w:ilvl w:val="0"/>
          <w:numId w:val="86"/>
        </w:numPr>
        <w:spacing w:before="60" w:after="0"/>
        <w:ind w:left="714" w:hanging="357"/>
      </w:pPr>
      <w:r>
        <w:lastRenderedPageBreak/>
        <w:t>Neplnění opatření stanovených v Akčním programu schválené Strategie.</w:t>
      </w:r>
    </w:p>
    <w:p w14:paraId="131F7827" w14:textId="77777777" w:rsidR="00F4616B" w:rsidRDefault="00F4616B" w:rsidP="00BA24B3">
      <w:pPr>
        <w:pStyle w:val="KOMtext"/>
        <w:numPr>
          <w:ilvl w:val="0"/>
          <w:numId w:val="86"/>
        </w:numPr>
        <w:spacing w:before="60" w:after="0"/>
        <w:ind w:left="714" w:hanging="357"/>
      </w:pPr>
      <w:r>
        <w:t>Absence dokumentace k rozhodnutí o realizaci kampaní.</w:t>
      </w:r>
    </w:p>
    <w:p w14:paraId="395128D1" w14:textId="77777777" w:rsidR="00F4616B" w:rsidRDefault="00F4616B" w:rsidP="00BA24B3">
      <w:pPr>
        <w:pStyle w:val="KOMtext"/>
        <w:numPr>
          <w:ilvl w:val="0"/>
          <w:numId w:val="86"/>
        </w:numPr>
        <w:spacing w:before="60" w:after="0"/>
        <w:ind w:left="714" w:hanging="357"/>
      </w:pPr>
      <w:r>
        <w:t>Nekoncepční hospodaření s majetkem státu – otočný simulátor.</w:t>
      </w:r>
    </w:p>
    <w:p w14:paraId="799799B0" w14:textId="0F3047E0" w:rsidR="00F4616B" w:rsidRDefault="00F4616B" w:rsidP="00BA24B3">
      <w:pPr>
        <w:pStyle w:val="KOMtext"/>
        <w:numPr>
          <w:ilvl w:val="0"/>
          <w:numId w:val="86"/>
        </w:numPr>
        <w:spacing w:before="60" w:after="0"/>
        <w:ind w:left="714" w:hanging="357"/>
      </w:pPr>
      <w:r>
        <w:t xml:space="preserve">Nedostatečná kapacita a využívání stávajících personálních zdrojů SO </w:t>
      </w:r>
      <w:r w:rsidR="00423363">
        <w:t>Besip</w:t>
      </w:r>
      <w:r>
        <w:t>.</w:t>
      </w:r>
    </w:p>
    <w:p w14:paraId="47EFE4E1" w14:textId="307AACCB" w:rsidR="00F4616B" w:rsidRDefault="00F4616B" w:rsidP="00BA24B3">
      <w:pPr>
        <w:pStyle w:val="KOMtext"/>
        <w:numPr>
          <w:ilvl w:val="0"/>
          <w:numId w:val="86"/>
        </w:numPr>
        <w:spacing w:before="60" w:after="0"/>
        <w:ind w:left="714" w:hanging="357"/>
      </w:pPr>
      <w:r>
        <w:t>Nevyužití potenciálu sociálních sítí.</w:t>
      </w:r>
    </w:p>
    <w:p w14:paraId="6D43ABA1" w14:textId="77777777" w:rsidR="00BA24B3" w:rsidRDefault="00BA24B3" w:rsidP="00BA24B3">
      <w:pPr>
        <w:pStyle w:val="KOMtext"/>
        <w:spacing w:before="60" w:after="0"/>
        <w:ind w:left="714"/>
      </w:pPr>
    </w:p>
    <w:p w14:paraId="592C73F6" w14:textId="77777777" w:rsidR="00F4616B" w:rsidRDefault="00F4616B" w:rsidP="00275CE2">
      <w:pPr>
        <w:pStyle w:val="KOMtext"/>
      </w:pPr>
      <w:r>
        <w:t>Na základě auditu byla přijata opatření směřující zejména k:</w:t>
      </w:r>
    </w:p>
    <w:p w14:paraId="1969979C" w14:textId="77777777" w:rsidR="00F4616B" w:rsidRDefault="00F4616B" w:rsidP="00BA24B3">
      <w:pPr>
        <w:pStyle w:val="KOMtext"/>
        <w:numPr>
          <w:ilvl w:val="0"/>
          <w:numId w:val="87"/>
        </w:numPr>
        <w:spacing w:before="60" w:after="0"/>
        <w:ind w:left="714" w:hanging="357"/>
      </w:pPr>
      <w:r>
        <w:t>Usměrnění / smluvnímu zakotvení činností</w:t>
      </w:r>
      <w:r w:rsidRPr="00903AF1">
        <w:t xml:space="preserve"> definující</w:t>
      </w:r>
      <w:r>
        <w:t>ch smluvní vztah mezi MD a </w:t>
      </w:r>
      <w:r w:rsidRPr="00903AF1">
        <w:t>CSPSD</w:t>
      </w:r>
      <w:r>
        <w:t xml:space="preserve"> v </w:t>
      </w:r>
      <w:r w:rsidRPr="00903AF1">
        <w:t>oblasti aktivit BESIP</w:t>
      </w:r>
      <w:r>
        <w:t>.</w:t>
      </w:r>
    </w:p>
    <w:p w14:paraId="02E9FD17" w14:textId="77777777" w:rsidR="00F4616B" w:rsidRDefault="00F4616B" w:rsidP="00BA24B3">
      <w:pPr>
        <w:pStyle w:val="KOMtext"/>
        <w:numPr>
          <w:ilvl w:val="0"/>
          <w:numId w:val="87"/>
        </w:numPr>
        <w:spacing w:before="60" w:after="0"/>
        <w:ind w:left="714" w:hanging="357"/>
      </w:pPr>
      <w:r>
        <w:t xml:space="preserve">Aktualizaci interních postupů MD </w:t>
      </w:r>
      <w:r w:rsidRPr="00903AF1">
        <w:t>při přípravě, schvalování</w:t>
      </w:r>
      <w:r>
        <w:t xml:space="preserve"> a </w:t>
      </w:r>
      <w:r w:rsidRPr="00903AF1">
        <w:t xml:space="preserve">realizaci </w:t>
      </w:r>
      <w:r>
        <w:t xml:space="preserve">projektů </w:t>
      </w:r>
      <w:r w:rsidRPr="00903AF1">
        <w:t>financovaných</w:t>
      </w:r>
      <w:r>
        <w:t xml:space="preserve"> z </w:t>
      </w:r>
      <w:r w:rsidRPr="00903AF1">
        <w:t xml:space="preserve">dotace poskytované na podporu rozvoje činnosti </w:t>
      </w:r>
      <w:r>
        <w:t>CDV</w:t>
      </w:r>
      <w:r w:rsidRPr="00903AF1">
        <w:t>, v.v.i.</w:t>
      </w:r>
    </w:p>
    <w:p w14:paraId="659EFE6C" w14:textId="77777777" w:rsidR="00F4616B" w:rsidRDefault="00F4616B" w:rsidP="00BA24B3">
      <w:pPr>
        <w:pStyle w:val="KOMtext"/>
        <w:numPr>
          <w:ilvl w:val="0"/>
          <w:numId w:val="87"/>
        </w:numPr>
        <w:spacing w:before="60" w:after="0"/>
        <w:ind w:left="714" w:hanging="357"/>
      </w:pPr>
      <w:r>
        <w:t>Nastavení postupů při plánování a vyhodnocování aktivit v oblasti BESIP.</w:t>
      </w:r>
    </w:p>
    <w:p w14:paraId="1F934F61" w14:textId="77777777" w:rsidR="00F4616B" w:rsidRDefault="00F4616B" w:rsidP="00275CE2">
      <w:pPr>
        <w:pStyle w:val="KOMtext"/>
      </w:pPr>
      <w:r>
        <w:t>Přijatá nápravná opatření jsou průběžně plněna.</w:t>
      </w:r>
    </w:p>
    <w:p w14:paraId="7158F40F" w14:textId="77777777" w:rsidR="00F4616B" w:rsidRPr="00E56832" w:rsidRDefault="00F4616B" w:rsidP="00275CE2">
      <w:pPr>
        <w:pStyle w:val="Nadpis6"/>
      </w:pPr>
      <w:r>
        <w:t>Audit prvků interní komunikace</w:t>
      </w:r>
    </w:p>
    <w:p w14:paraId="7C97C9A6" w14:textId="77777777" w:rsidR="00F4616B" w:rsidRDefault="00F4616B" w:rsidP="00275CE2">
      <w:pPr>
        <w:pStyle w:val="KOMtext"/>
      </w:pPr>
      <w:r>
        <w:t>Cílem auditu bylo prověření efektivnosti jednotlivých prvků interní komunikace v rámci MD.</w:t>
      </w:r>
    </w:p>
    <w:p w14:paraId="661FDC37" w14:textId="77777777" w:rsidR="00F4616B" w:rsidRDefault="00F4616B" w:rsidP="00275CE2">
      <w:pPr>
        <w:pStyle w:val="KOMtext"/>
      </w:pPr>
      <w:r>
        <w:t xml:space="preserve">V průběhu auditu bylo identifikováno celkem 6 zjištění, z toho 4 s vysokou mírou významnosti a 2 se střední mírou významnosti. Celkově byla auditovaná oblast hodnocena stupněm </w:t>
      </w:r>
      <w:r w:rsidR="00327B34">
        <w:br/>
      </w:r>
      <w:r>
        <w:t>3 – s výhradou.</w:t>
      </w:r>
    </w:p>
    <w:p w14:paraId="6F500E02" w14:textId="77777777" w:rsidR="00F4616B" w:rsidRDefault="00F4616B" w:rsidP="00275CE2">
      <w:pPr>
        <w:pStyle w:val="KOMtext"/>
      </w:pPr>
      <w:r>
        <w:t>Auditem bylo zejména zjištěno:</w:t>
      </w:r>
    </w:p>
    <w:p w14:paraId="6D364F5F" w14:textId="77777777" w:rsidR="00F4616B" w:rsidRDefault="00F4616B" w:rsidP="00BA24B3">
      <w:pPr>
        <w:pStyle w:val="KOMtext"/>
        <w:numPr>
          <w:ilvl w:val="0"/>
          <w:numId w:val="88"/>
        </w:numPr>
        <w:spacing w:before="60" w:after="0"/>
        <w:ind w:left="714" w:hanging="357"/>
      </w:pPr>
      <w:r>
        <w:t>Znepokojivé komunikační klima v MD a absence strategie interní komunikace MD.</w:t>
      </w:r>
    </w:p>
    <w:p w14:paraId="578FD809" w14:textId="77777777" w:rsidR="00F4616B" w:rsidRDefault="00F4616B" w:rsidP="00BA24B3">
      <w:pPr>
        <w:pStyle w:val="KOMtext"/>
        <w:numPr>
          <w:ilvl w:val="0"/>
          <w:numId w:val="88"/>
        </w:numPr>
        <w:spacing w:before="60" w:after="0"/>
        <w:ind w:left="714" w:hanging="357"/>
      </w:pPr>
      <w:r>
        <w:t>Neznalost záměrů a cílů MD.</w:t>
      </w:r>
    </w:p>
    <w:p w14:paraId="445FBA18" w14:textId="77777777" w:rsidR="00F4616B" w:rsidRDefault="00F4616B" w:rsidP="00BA24B3">
      <w:pPr>
        <w:pStyle w:val="KOMtext"/>
        <w:numPr>
          <w:ilvl w:val="0"/>
          <w:numId w:val="88"/>
        </w:numPr>
        <w:spacing w:before="60" w:after="0"/>
        <w:ind w:left="714" w:hanging="357"/>
      </w:pPr>
      <w:r>
        <w:t>Dvojí forma zpracovávání dokumentů v MD.</w:t>
      </w:r>
    </w:p>
    <w:p w14:paraId="277308FB" w14:textId="77777777" w:rsidR="00F4616B" w:rsidRDefault="00F4616B" w:rsidP="00BA24B3">
      <w:pPr>
        <w:pStyle w:val="KOMtext"/>
        <w:numPr>
          <w:ilvl w:val="0"/>
          <w:numId w:val="88"/>
        </w:numPr>
        <w:spacing w:before="60" w:after="0"/>
        <w:ind w:left="714" w:hanging="357"/>
      </w:pPr>
      <w:r>
        <w:t>Neplnohodnotné využívání možností intranetu.</w:t>
      </w:r>
    </w:p>
    <w:p w14:paraId="032C4BFF" w14:textId="77777777" w:rsidR="00F4616B" w:rsidRDefault="00F4616B" w:rsidP="00BA24B3">
      <w:pPr>
        <w:pStyle w:val="KOMtext"/>
        <w:numPr>
          <w:ilvl w:val="0"/>
          <w:numId w:val="88"/>
        </w:numPr>
        <w:spacing w:before="60" w:after="0"/>
        <w:ind w:left="714" w:hanging="357"/>
      </w:pPr>
      <w:r>
        <w:t>Komplikace v komunikačním procesu s Odborem personálním.</w:t>
      </w:r>
    </w:p>
    <w:p w14:paraId="556C1BB3" w14:textId="77777777" w:rsidR="00F4616B" w:rsidRDefault="00F4616B" w:rsidP="00BA24B3">
      <w:pPr>
        <w:pStyle w:val="KOMtext"/>
        <w:numPr>
          <w:ilvl w:val="0"/>
          <w:numId w:val="88"/>
        </w:numPr>
        <w:spacing w:before="60" w:after="0"/>
        <w:ind w:left="714" w:hanging="357"/>
      </w:pPr>
      <w:r>
        <w:t>Nevyužívání možnosti elektronické autorizace dokumentů.</w:t>
      </w:r>
    </w:p>
    <w:p w14:paraId="2F6F865C" w14:textId="77777777" w:rsidR="00F4616B" w:rsidRDefault="00F4616B" w:rsidP="00275CE2">
      <w:pPr>
        <w:pStyle w:val="KOMtext"/>
      </w:pPr>
      <w:r>
        <w:t>Na základě auditu byla přijata opatření směřující zejména k:</w:t>
      </w:r>
    </w:p>
    <w:p w14:paraId="64824A37" w14:textId="77777777" w:rsidR="00F4616B" w:rsidRDefault="00F4616B" w:rsidP="00BA24B3">
      <w:pPr>
        <w:pStyle w:val="KOMtext"/>
        <w:numPr>
          <w:ilvl w:val="0"/>
          <w:numId w:val="89"/>
        </w:numPr>
        <w:spacing w:before="60" w:after="0"/>
        <w:ind w:left="714" w:hanging="357"/>
      </w:pPr>
      <w:r>
        <w:t>Zahrnutí strategie interní komunikace do procesu zavádění řízení kvality v rámci úkolů uložených v souvislosti s analýzou ke kritériu „Strategie rozvoje služebního úřadu“.</w:t>
      </w:r>
    </w:p>
    <w:p w14:paraId="7566152A" w14:textId="77777777" w:rsidR="00F4616B" w:rsidRDefault="00F4616B" w:rsidP="00BA24B3">
      <w:pPr>
        <w:pStyle w:val="KOMtext"/>
        <w:numPr>
          <w:ilvl w:val="0"/>
          <w:numId w:val="89"/>
        </w:numPr>
        <w:spacing w:before="60" w:after="0"/>
        <w:ind w:left="714" w:hanging="357"/>
      </w:pPr>
      <w:r>
        <w:t>Zprovoznění nového Intranetu MD.</w:t>
      </w:r>
    </w:p>
    <w:p w14:paraId="6846EFC1" w14:textId="77777777" w:rsidR="00F4616B" w:rsidRDefault="00F4616B" w:rsidP="00BA24B3">
      <w:pPr>
        <w:pStyle w:val="KOMtext"/>
        <w:numPr>
          <w:ilvl w:val="0"/>
          <w:numId w:val="89"/>
        </w:numPr>
        <w:spacing w:before="60" w:after="0"/>
        <w:ind w:left="714" w:hanging="357"/>
      </w:pPr>
      <w:r>
        <w:t>Pořízení a implementace nového systému eSSL a vytvoření nového spisového řádu.</w:t>
      </w:r>
    </w:p>
    <w:p w14:paraId="0468B6ED" w14:textId="77777777" w:rsidR="00F4616B" w:rsidRDefault="00F4616B" w:rsidP="00BA24B3">
      <w:pPr>
        <w:pStyle w:val="KOMtext"/>
        <w:numPr>
          <w:ilvl w:val="0"/>
          <w:numId w:val="89"/>
        </w:numPr>
        <w:spacing w:before="60" w:after="0"/>
        <w:ind w:left="714" w:hanging="357"/>
      </w:pPr>
      <w:r>
        <w:t>Pořízení nového Informačního personálního systému.</w:t>
      </w:r>
    </w:p>
    <w:p w14:paraId="403E6695" w14:textId="77777777" w:rsidR="00F4616B" w:rsidRDefault="00F4616B" w:rsidP="00F4616B">
      <w:pPr>
        <w:pStyle w:val="TEXT3"/>
      </w:pPr>
      <w:r>
        <w:t>Přijatá nápravná opatření jsou průběžně plněna.</w:t>
      </w:r>
    </w:p>
    <w:p w14:paraId="34F23CB8" w14:textId="77777777" w:rsidR="00F4616B" w:rsidRPr="005776DF" w:rsidRDefault="00F4616B" w:rsidP="00275CE2">
      <w:pPr>
        <w:pStyle w:val="Nadpis6"/>
      </w:pPr>
      <w:r w:rsidRPr="00357BEB">
        <w:lastRenderedPageBreak/>
        <w:t>Audit implementace zákona</w:t>
      </w:r>
      <w:r>
        <w:t xml:space="preserve"> o </w:t>
      </w:r>
      <w:r w:rsidRPr="00357BEB">
        <w:t>státní službě</w:t>
      </w:r>
    </w:p>
    <w:p w14:paraId="4C102979" w14:textId="77777777" w:rsidR="00F4616B" w:rsidRDefault="00F4616B" w:rsidP="00275CE2">
      <w:pPr>
        <w:pStyle w:val="KOMtext"/>
      </w:pPr>
      <w:r>
        <w:t xml:space="preserve">Cílem auditu bylo prověření </w:t>
      </w:r>
      <w:r w:rsidRPr="00357BEB">
        <w:t>implementace zákona</w:t>
      </w:r>
      <w:r>
        <w:t xml:space="preserve"> o </w:t>
      </w:r>
      <w:r w:rsidRPr="00357BEB">
        <w:t>státní službě</w:t>
      </w:r>
      <w:r>
        <w:t xml:space="preserve"> a </w:t>
      </w:r>
      <w:r w:rsidRPr="00357BEB">
        <w:t>souvisejících provádějících předpisů</w:t>
      </w:r>
      <w:r>
        <w:t xml:space="preserve"> a </w:t>
      </w:r>
      <w:r w:rsidRPr="00357BEB">
        <w:t>metodických pokynů vydávaných Ministerstvem vnitra</w:t>
      </w:r>
      <w:r>
        <w:t xml:space="preserve"> v </w:t>
      </w:r>
      <w:r w:rsidRPr="00357BEB">
        <w:t>prostředí Ministerstva dopravy</w:t>
      </w:r>
      <w:r>
        <w:t>.</w:t>
      </w:r>
    </w:p>
    <w:p w14:paraId="2313DD80" w14:textId="77777777" w:rsidR="00F4616B" w:rsidRDefault="00F4616B" w:rsidP="00275CE2">
      <w:pPr>
        <w:pStyle w:val="KOMtext"/>
      </w:pPr>
      <w:r>
        <w:t>Auditem bylo identifikováno celkem 10 zjištění, z toho 4 s vysokou mírou významnosti, 5 se střední mírou významnosti a 1 s nízkou mírou významnosti. Celkově byla auditovaná oblast hodnocena stupněm 3 – s výhradou.</w:t>
      </w:r>
    </w:p>
    <w:p w14:paraId="68A46196" w14:textId="77777777" w:rsidR="00BA24B3" w:rsidRDefault="00BA24B3" w:rsidP="00275CE2">
      <w:pPr>
        <w:pStyle w:val="KOMtext"/>
      </w:pPr>
    </w:p>
    <w:p w14:paraId="0402ACA5" w14:textId="77777777" w:rsidR="00090DA5" w:rsidRDefault="00090DA5" w:rsidP="00275CE2">
      <w:pPr>
        <w:pStyle w:val="KOMtext"/>
      </w:pPr>
    </w:p>
    <w:p w14:paraId="4C254979" w14:textId="07C74DDC" w:rsidR="00F4616B" w:rsidRDefault="00F4616B" w:rsidP="00275CE2">
      <w:pPr>
        <w:pStyle w:val="KOMtext"/>
      </w:pPr>
      <w:r>
        <w:t>Auditem bylo zejména zjištěno:</w:t>
      </w:r>
    </w:p>
    <w:p w14:paraId="4D8075DB" w14:textId="77777777" w:rsidR="00F4616B" w:rsidRDefault="00F4616B" w:rsidP="00BA24B3">
      <w:pPr>
        <w:pStyle w:val="KOMtext"/>
        <w:numPr>
          <w:ilvl w:val="0"/>
          <w:numId w:val="90"/>
        </w:numPr>
        <w:spacing w:before="60" w:after="0"/>
        <w:ind w:left="714" w:hanging="357"/>
      </w:pPr>
      <w:r>
        <w:t>Absence služebního řádu.</w:t>
      </w:r>
    </w:p>
    <w:p w14:paraId="543636A9" w14:textId="77777777" w:rsidR="00F4616B" w:rsidRDefault="00F4616B" w:rsidP="00BA24B3">
      <w:pPr>
        <w:pStyle w:val="KOMtext"/>
        <w:numPr>
          <w:ilvl w:val="0"/>
          <w:numId w:val="90"/>
        </w:numPr>
        <w:spacing w:before="60" w:after="0"/>
        <w:ind w:left="714" w:hanging="357"/>
      </w:pPr>
      <w:r>
        <w:t>Pochybení ve správních spisech k výběrovým řízením.</w:t>
      </w:r>
    </w:p>
    <w:p w14:paraId="3EDBE502" w14:textId="77777777" w:rsidR="00F4616B" w:rsidRDefault="00F4616B" w:rsidP="00BA24B3">
      <w:pPr>
        <w:pStyle w:val="KOMtext"/>
        <w:numPr>
          <w:ilvl w:val="0"/>
          <w:numId w:val="90"/>
        </w:numPr>
        <w:spacing w:before="60" w:after="0"/>
        <w:ind w:left="714" w:hanging="357"/>
      </w:pPr>
      <w:r>
        <w:t>Absence systémového přístupu k administraci personálních formulářů.</w:t>
      </w:r>
    </w:p>
    <w:p w14:paraId="14ED61FC" w14:textId="77777777" w:rsidR="00F4616B" w:rsidRDefault="00F4616B" w:rsidP="00BA24B3">
      <w:pPr>
        <w:pStyle w:val="KOMtext"/>
        <w:numPr>
          <w:ilvl w:val="0"/>
          <w:numId w:val="90"/>
        </w:numPr>
        <w:spacing w:before="60" w:after="0"/>
        <w:ind w:left="714" w:hanging="357"/>
      </w:pPr>
      <w:r>
        <w:t>Nesystémové zabezpečení, koordinace a řízení vzdělávání a odborného rozvoje zaměstnanců.</w:t>
      </w:r>
    </w:p>
    <w:p w14:paraId="71D4B55E" w14:textId="77777777" w:rsidR="00F4616B" w:rsidRDefault="00F4616B" w:rsidP="00BA24B3">
      <w:pPr>
        <w:pStyle w:val="KOMtext"/>
        <w:numPr>
          <w:ilvl w:val="0"/>
          <w:numId w:val="90"/>
        </w:numPr>
        <w:spacing w:before="60" w:after="0"/>
        <w:ind w:left="714" w:hanging="357"/>
      </w:pPr>
      <w:r>
        <w:t>Absence formálního nastavení procesu k institutu výkon služby z jiného místa.</w:t>
      </w:r>
    </w:p>
    <w:p w14:paraId="083ED987" w14:textId="77777777" w:rsidR="00F4616B" w:rsidRDefault="00F4616B" w:rsidP="00BA24B3">
      <w:pPr>
        <w:pStyle w:val="KOMtext"/>
        <w:numPr>
          <w:ilvl w:val="0"/>
          <w:numId w:val="90"/>
        </w:numPr>
        <w:spacing w:before="60" w:after="0"/>
        <w:ind w:left="714" w:hanging="357"/>
      </w:pPr>
      <w:r>
        <w:t>Nesystémový přístup v rozhodování, absence nastavení formálního procesu přiznání osobního příplatku.</w:t>
      </w:r>
    </w:p>
    <w:p w14:paraId="6E2BC59D" w14:textId="77777777" w:rsidR="00F4616B" w:rsidRDefault="00F4616B" w:rsidP="00BA24B3">
      <w:pPr>
        <w:pStyle w:val="KOMtext"/>
        <w:numPr>
          <w:ilvl w:val="0"/>
          <w:numId w:val="90"/>
        </w:numPr>
        <w:spacing w:before="60" w:after="0"/>
        <w:ind w:left="714" w:hanging="357"/>
      </w:pPr>
      <w:r>
        <w:t>Porušení § 9 odst. 7 zákon o státní službě (neurčení stálých zástupců).</w:t>
      </w:r>
    </w:p>
    <w:p w14:paraId="2049135F" w14:textId="77777777" w:rsidR="00F4616B" w:rsidRDefault="00F4616B" w:rsidP="00BA24B3">
      <w:pPr>
        <w:pStyle w:val="KOMtext"/>
        <w:numPr>
          <w:ilvl w:val="0"/>
          <w:numId w:val="90"/>
        </w:numPr>
        <w:spacing w:before="60" w:after="0"/>
        <w:ind w:left="714" w:hanging="357"/>
      </w:pPr>
      <w:r>
        <w:t>Absence transparentních kritérií pro uzavírání dohod konaných mimo pracovní poměr.</w:t>
      </w:r>
    </w:p>
    <w:p w14:paraId="2E78D664" w14:textId="77777777" w:rsidR="00F4616B" w:rsidRDefault="00F4616B" w:rsidP="00BA24B3">
      <w:pPr>
        <w:pStyle w:val="KOMtext"/>
        <w:numPr>
          <w:ilvl w:val="0"/>
          <w:numId w:val="90"/>
        </w:numPr>
        <w:spacing w:before="60" w:after="0"/>
        <w:ind w:left="714" w:hanging="357"/>
      </w:pPr>
      <w:r>
        <w:t>Nesystémový přístup a absence metodického působení v oblasti praxí/stáží a adaptačního procesu.</w:t>
      </w:r>
    </w:p>
    <w:p w14:paraId="6CC57A9D" w14:textId="77777777" w:rsidR="00F4616B" w:rsidRDefault="00F4616B" w:rsidP="00275CE2">
      <w:pPr>
        <w:pStyle w:val="KOMtext"/>
      </w:pPr>
      <w:r>
        <w:t>Akční plán k odstranění nedostatků byl ministrem schválen 4. února 2020.</w:t>
      </w:r>
    </w:p>
    <w:p w14:paraId="6EFDD364" w14:textId="77777777" w:rsidR="00F4616B" w:rsidRPr="005776DF" w:rsidRDefault="00F4616B" w:rsidP="00275CE2">
      <w:pPr>
        <w:pStyle w:val="Nadpis6"/>
      </w:pPr>
      <w:r w:rsidRPr="00357BEB">
        <w:t xml:space="preserve">Audit </w:t>
      </w:r>
      <w:r>
        <w:t>kybernetické bezpečnosti</w:t>
      </w:r>
    </w:p>
    <w:p w14:paraId="1AA394FF" w14:textId="77777777" w:rsidR="00F4616B" w:rsidRDefault="00F4616B" w:rsidP="00275CE2">
      <w:pPr>
        <w:pStyle w:val="KOMtext"/>
      </w:pPr>
      <w:r>
        <w:t>Cílem auditu bylo o</w:t>
      </w:r>
      <w:r w:rsidRPr="005A2185">
        <w:t xml:space="preserve">věřit soulad nastavení </w:t>
      </w:r>
      <w:r>
        <w:t>systému řízení bezpečnosti informací</w:t>
      </w:r>
      <w:r w:rsidRPr="005A2185">
        <w:t xml:space="preserve"> MD</w:t>
      </w:r>
      <w:r>
        <w:t xml:space="preserve"> s </w:t>
      </w:r>
      <w:r w:rsidRPr="005A2185">
        <w:t xml:space="preserve">požadavky </w:t>
      </w:r>
      <w:r>
        <w:t>vyhlášky o kybernetické bezpečnosti</w:t>
      </w:r>
      <w:r w:rsidRPr="005A2185">
        <w:t>, ověřit splnění nápravných opatření</w:t>
      </w:r>
      <w:r>
        <w:t xml:space="preserve"> z </w:t>
      </w:r>
      <w:r w:rsidRPr="005A2185">
        <w:t xml:space="preserve">auditu kybernetické bezpečnosti </w:t>
      </w:r>
      <w:r>
        <w:t>provedeném v roce 2018</w:t>
      </w:r>
      <w:r w:rsidRPr="005A2185">
        <w:t>, zhodnotit zvládání kybernetických bezpečnostních událostí</w:t>
      </w:r>
      <w:r>
        <w:t xml:space="preserve"> a </w:t>
      </w:r>
      <w:r w:rsidRPr="005A2185">
        <w:t>incidentů, bezpečnost aplikací</w:t>
      </w:r>
      <w:r>
        <w:t xml:space="preserve"> a </w:t>
      </w:r>
      <w:r w:rsidRPr="005A2185">
        <w:t>bezpečnost provozu</w:t>
      </w:r>
      <w:r>
        <w:t xml:space="preserve"> a </w:t>
      </w:r>
      <w:r w:rsidRPr="005A2185">
        <w:t xml:space="preserve">komunikací </w:t>
      </w:r>
      <w:r>
        <w:t>(§ </w:t>
      </w:r>
      <w:r w:rsidRPr="005A2185">
        <w:t xml:space="preserve">10, 14, 18, 21, 23, 24, 25 </w:t>
      </w:r>
      <w:r>
        <w:t>vyhlášky</w:t>
      </w:r>
      <w:r w:rsidRPr="005A2185">
        <w:t>)</w:t>
      </w:r>
      <w:r>
        <w:t>.</w:t>
      </w:r>
    </w:p>
    <w:p w14:paraId="1097C33F" w14:textId="77777777" w:rsidR="00F4616B" w:rsidRDefault="00F4616B" w:rsidP="00275CE2">
      <w:pPr>
        <w:pStyle w:val="KOMtext"/>
      </w:pPr>
      <w:r>
        <w:t>Auditem bylo identifikováno celkem 7 zjištění, z toho 4 s vysokou mírou významnosti, 3 se střední mírou významnosti. Celkově byla auditovaná oblast hodnocena stupněm 3 – s výhradou. Auditovanými útvary MD byla přijata odpovídající opatření.</w:t>
      </w:r>
    </w:p>
    <w:p w14:paraId="2929FBBD" w14:textId="77777777" w:rsidR="00F4616B" w:rsidRPr="0042117D" w:rsidRDefault="00F4616B" w:rsidP="00BA24B3">
      <w:pPr>
        <w:pStyle w:val="Nadpis3"/>
      </w:pPr>
      <w:bookmarkStart w:id="1208" w:name="_Toc474397360"/>
      <w:bookmarkStart w:id="1209" w:name="_Toc34286511"/>
      <w:r w:rsidRPr="0042117D">
        <w:t>Veřejnosprávní kontroly</w:t>
      </w:r>
      <w:bookmarkEnd w:id="1208"/>
      <w:bookmarkEnd w:id="1209"/>
    </w:p>
    <w:p w14:paraId="4AAB4FCF" w14:textId="77777777" w:rsidR="00F4616B" w:rsidRDefault="00F4616B" w:rsidP="00275CE2">
      <w:pPr>
        <w:pStyle w:val="KOMtext"/>
      </w:pPr>
      <w:bookmarkStart w:id="1210" w:name="_Toc405446081"/>
      <w:bookmarkStart w:id="1211" w:name="_Toc410641283"/>
      <w:r>
        <w:t>V roce 2019 byla provedena</w:t>
      </w:r>
      <w:r w:rsidRPr="0042117D">
        <w:t xml:space="preserve"> </w:t>
      </w:r>
      <w:r>
        <w:t>1 veřejnosprávní kontrola u Ředitelství silnic a dálnic ČR</w:t>
      </w:r>
      <w:r w:rsidRPr="0042117D">
        <w:t>.</w:t>
      </w:r>
    </w:p>
    <w:p w14:paraId="2921A359" w14:textId="77777777" w:rsidR="00F4616B" w:rsidRPr="009E4C01" w:rsidRDefault="00F4616B" w:rsidP="00275CE2">
      <w:pPr>
        <w:pStyle w:val="Nadpis6"/>
      </w:pPr>
      <w:r w:rsidRPr="007D00F7">
        <w:lastRenderedPageBreak/>
        <w:t>Ředitelství silnic</w:t>
      </w:r>
      <w:r>
        <w:t xml:space="preserve"> a </w:t>
      </w:r>
      <w:r w:rsidRPr="007D00F7">
        <w:t>dálnic ČR</w:t>
      </w:r>
    </w:p>
    <w:p w14:paraId="0A845D6F" w14:textId="77777777" w:rsidR="00F4616B" w:rsidRPr="009E4C01" w:rsidRDefault="00F4616B" w:rsidP="00275CE2">
      <w:pPr>
        <w:pStyle w:val="KOMtext"/>
      </w:pPr>
      <w:r w:rsidRPr="009E4C01">
        <w:t>Předmětem veřejnosprávní kontroly (</w:t>
      </w:r>
      <w:r>
        <w:t>leden</w:t>
      </w:r>
      <w:r w:rsidRPr="00487BBD">
        <w:t xml:space="preserve"> – </w:t>
      </w:r>
      <w:r>
        <w:t>prosinec 2019</w:t>
      </w:r>
      <w:r w:rsidRPr="009E4C01">
        <w:t>) bylo</w:t>
      </w:r>
      <w:r w:rsidRPr="009E4C01">
        <w:rPr>
          <w:i/>
        </w:rPr>
        <w:t xml:space="preserve"> </w:t>
      </w:r>
      <w:r w:rsidRPr="009E4C01">
        <w:t>hospodaření</w:t>
      </w:r>
      <w:r>
        <w:t xml:space="preserve"> s </w:t>
      </w:r>
      <w:r w:rsidRPr="009E4C01">
        <w:t>veřejnými prostředky</w:t>
      </w:r>
      <w:r>
        <w:t xml:space="preserve"> a </w:t>
      </w:r>
      <w:r w:rsidRPr="009E4C01">
        <w:t>majetkem státu</w:t>
      </w:r>
      <w:r>
        <w:t xml:space="preserve"> a </w:t>
      </w:r>
      <w:r w:rsidRPr="009E4C01">
        <w:t>účinnost vnitřního kontrolního systému.</w:t>
      </w:r>
    </w:p>
    <w:p w14:paraId="13012579" w14:textId="77777777" w:rsidR="00F4616B" w:rsidRPr="007F3C3E" w:rsidRDefault="00F4616B" w:rsidP="00275CE2">
      <w:pPr>
        <w:pStyle w:val="Nadpis6"/>
      </w:pPr>
      <w:r w:rsidRPr="007F3C3E">
        <w:t>Kontrolní zjištění</w:t>
      </w:r>
    </w:p>
    <w:p w14:paraId="2E0744A3" w14:textId="77777777" w:rsidR="00F4616B" w:rsidRDefault="00F4616B" w:rsidP="00275CE2">
      <w:pPr>
        <w:pStyle w:val="KOMtext"/>
      </w:pPr>
      <w:r>
        <w:t>Veřejné zakázky:</w:t>
      </w:r>
    </w:p>
    <w:p w14:paraId="67E0E519" w14:textId="77777777" w:rsidR="00F4616B" w:rsidRDefault="00F4616B" w:rsidP="00275CE2">
      <w:pPr>
        <w:pStyle w:val="KOMtext"/>
        <w:numPr>
          <w:ilvl w:val="0"/>
          <w:numId w:val="91"/>
        </w:numPr>
      </w:pPr>
      <w:r>
        <w:t>ŘSD nevyužívá informační systém Symbasis v souladu s jeho účelem a s příslušnými vnitřními předpisy k řádnému uchovávání všech dokumentů k veřejným zakázkám (VZ). Informační systém v mnoha případech neobsahuje požadované dokumenty nebo dokumenty nejsou vkládány ve stanovené lhůtě a v požadovaném formátu. Tyto nedostatky přetrvávají i přes opakovaná doporučení interního auditu ŘSD k jejich odstranění.</w:t>
      </w:r>
    </w:p>
    <w:p w14:paraId="39C1DFA7" w14:textId="77777777" w:rsidR="00F4616B" w:rsidRDefault="00F4616B" w:rsidP="00275CE2">
      <w:pPr>
        <w:pStyle w:val="KOMtext"/>
        <w:numPr>
          <w:ilvl w:val="0"/>
          <w:numId w:val="91"/>
        </w:numPr>
      </w:pPr>
      <w:r>
        <w:t>Netransparentní a nesystémové zadávání veřejných zakázek malého rozsahu (VZMR) – ŘSD, v rozporu se zásadou transparentnosti podle ustanovení § 6 zákona o zadávání veřejných zakázek (ZZVZ) a v rozporu s povinností stanovenou vnitřním předpisem, předem nedefinovalo kritéria pro výběr a oslovení potenciálních dodavatelů. Kritéria a způsob výběru konkrétních dodavatelů ŘSD nijak nespecifikovalo ani v dokumentaci ke kontrolovaným VZMR. Ke stejným závěrům dospěl také SFDI již při kontrole v roce 2014 a opakovaně též interní audit ŘSD v mimořádných kontrolách v roce 2016. Protože ŘSD nebylo schopno zajistit požadovaný transparentní systém oslovování uchazečů ani do doby provedení této veřejnosprávní kontroly, je pro zajištění transparentního a nediskriminačního prostředí žádoucí zajistit otevřený přístup uchazečů o VZMR, nejlépe prostřednictvím elektronického nástroje.</w:t>
      </w:r>
    </w:p>
    <w:p w14:paraId="5DADCEE6" w14:textId="77777777" w:rsidR="00F4616B" w:rsidRDefault="00F4616B" w:rsidP="00275CE2">
      <w:pPr>
        <w:pStyle w:val="KOMtext"/>
        <w:numPr>
          <w:ilvl w:val="0"/>
          <w:numId w:val="91"/>
        </w:numPr>
      </w:pPr>
      <w:r>
        <w:t>Netransparentní stanovování předpokládané hodnoty u VZMR – ŘSD nestanovovalo transparentně a v souladu s příslušnými vnitřními předpisy předpokládanou hodnotu VZ. Předložená dokumentace u žádné z kontrolovaných VZ způsob stanovení předpokládané hodnoty neobsahovala a byla doložena až na vyžádání kontrolní skupiny. U 3 z kontrolovaných VZ doložený položkový rozpočet neodpovídal stanovené výši předpokládané hodnoty. U dalších 2 VZ nestanovilo ŘSD předpokládanou hodnotu k okamžiku zahájení zadávacího řízení v souladu s ustanovením § 16 odst. 5 ZZVZ, neboť použilo neaktuální ceníky OTSKP. U jedné VZ dokonce ŘSD porušilo ustanovení § 16 odst. 6 ZZVZ tím, že v rozporu s doloženým rozpočtem stanovilo přepokládanou hodnotu nižší, než je zákonný limit pro podlimitní VZ, a zadalo tuto VZ mimo režim zákona.</w:t>
      </w:r>
    </w:p>
    <w:p w14:paraId="6FE74776" w14:textId="77777777" w:rsidR="00F4616B" w:rsidRDefault="00F4616B" w:rsidP="00275CE2">
      <w:pPr>
        <w:pStyle w:val="KOMtext"/>
        <w:numPr>
          <w:ilvl w:val="0"/>
          <w:numId w:val="91"/>
        </w:numPr>
      </w:pPr>
      <w:r>
        <w:t>ŘSD u VZ na obnovu vodorovného dopravního značení podstatným způsobem prodloužilo dobu plnění a tím způsobilo podstatnou změnu povinností vyplývajících ze smlouvy, které by mohly při jejich stanovení v původním zadávacím řízení umožnit účast dalším dodavatelům, a porušilo tak ustanovení § 82 odst. 7 písm. b) ZVZ.</w:t>
      </w:r>
    </w:p>
    <w:p w14:paraId="16AD6804" w14:textId="77777777" w:rsidR="00F4616B" w:rsidRDefault="00F4616B" w:rsidP="00275CE2">
      <w:pPr>
        <w:pStyle w:val="KOMtext"/>
        <w:numPr>
          <w:ilvl w:val="0"/>
          <w:numId w:val="91"/>
        </w:numPr>
      </w:pPr>
      <w:r>
        <w:lastRenderedPageBreak/>
        <w:t>Nezákonný postup při realizaci VZMR na opravu svahu – ŘSD nedůvodně zadalo VZMR na opravu svahu a proplatilo práce, které nebyly provedeny, aniž by se domáhalo vydání tohoto bezdůvodného obohacení. Následně vedení ŘSD nezajistilo řádné a včasné přijetí opatření k nápravě, nerespektovalo závěry interního auditu ŘSD a namísto neprodleného posouzení neprovedených prací nechalo až se značným časovým prodlením znalcem posoudit údajné náhradní plnění, k jehož faktickému provedení neexistuje žádný průkazný doklad vyjma nevěrohodného znaleckého posudku. Přestože vedení ŘSD byla známa závažnost těchto pochybení, nevěnovalo jim náležitou pozornost a nevyvodilo odpovídající důsledky.</w:t>
      </w:r>
    </w:p>
    <w:p w14:paraId="157C1588" w14:textId="77777777" w:rsidR="00F4616B" w:rsidRDefault="00F4616B" w:rsidP="00275CE2">
      <w:pPr>
        <w:pStyle w:val="KOMtext"/>
        <w:numPr>
          <w:ilvl w:val="0"/>
          <w:numId w:val="91"/>
        </w:numPr>
      </w:pPr>
      <w:r>
        <w:t>Nesystémové a netransparentní zadávání VZ na obnovu protismykových vlastností vozovky – ŘSD postupovalo netransparentně a v rozporu se stanovenými interními opatřeními, když nezajistilo oslovování všech dostupných dodavatelů u VZMR. Při zadání dvou VZMR ŘSD v důsledku nesystémového přístupu zapříčinilo, že havarijní stav na dálnicích nebyl odstraněn ani rok po jeho zjištění a nadále tak hrozí zvýšené riziko vzniku dopravních nehod. ŘSD postupovalo netransparentně, když tyto VZMR nezadalo uchazeči, který podal nejnižší nabídkovou cenu a následně se zbytečným prodlením tyto VZMR zrušilo a zadalo je témuž uchazeči, ovšem v jiných parametrech. ŘSD v rozporu se ZZVZ vyloučilo uchazeče o podlimitní VZ, který podal nabídku s nejnižší nabídkovou cenou, aniž prokázalo, že nabídka byla v rozporu se zadávacími podmínkami.</w:t>
      </w:r>
    </w:p>
    <w:p w14:paraId="5452BF19" w14:textId="77777777" w:rsidR="00F4616B" w:rsidRDefault="00F4616B" w:rsidP="00275CE2">
      <w:pPr>
        <w:pStyle w:val="KOMtext"/>
      </w:pPr>
      <w:r>
        <w:t>Vnitřní kontrolní systém:</w:t>
      </w:r>
    </w:p>
    <w:p w14:paraId="057A00DF" w14:textId="77777777" w:rsidR="00F4616B" w:rsidRDefault="00F4616B" w:rsidP="00275CE2">
      <w:pPr>
        <w:pStyle w:val="KOMtext"/>
        <w:numPr>
          <w:ilvl w:val="0"/>
          <w:numId w:val="92"/>
        </w:numPr>
      </w:pPr>
      <w:r>
        <w:t>Způsob monitoringu zjištěných nedostatků nezajišťuje plně, že dojde k nápravě. Není možné sledovat, jakým způsobem dochází k plnění opatření a jak bylo plnění ověřeno.</w:t>
      </w:r>
    </w:p>
    <w:p w14:paraId="348015DF" w14:textId="77777777" w:rsidR="00F4616B" w:rsidRDefault="00F4616B" w:rsidP="00275CE2">
      <w:pPr>
        <w:pStyle w:val="KOMtext"/>
        <w:numPr>
          <w:ilvl w:val="0"/>
          <w:numId w:val="92"/>
        </w:numPr>
      </w:pPr>
      <w:r>
        <w:t>ŘSD porušuje ustanovení § 63 zákona odst. 1 a odst. 3 zákona o archivnictví a spisové službě tím, že nemá systém evidence řízení a kontroly pohybu písemností v organizaci, tzv. elektronický systém spisové služby. Z důvodu absence systému pro evidenci řízení a kontroly písemností v organizaci není uspokojivě zajištěno zaevidování došlé písemnosti, její přidělení, sledování jejího pohybu, vyřízení a následně její archivace. ŘSD rovněž nemá vytvořen vnitřní předpis, kterým by byla jednoznačně stanovena příslušnost útvarů k vyřízení stížností a postupy pro jejich vyřizování.</w:t>
      </w:r>
    </w:p>
    <w:p w14:paraId="30D3E1F5" w14:textId="77777777" w:rsidR="00F4616B" w:rsidRPr="007F3C3E" w:rsidRDefault="00F4616B" w:rsidP="00275CE2">
      <w:pPr>
        <w:pStyle w:val="Nadpis6"/>
      </w:pPr>
      <w:r w:rsidRPr="00F55E50">
        <w:t>N</w:t>
      </w:r>
      <w:r>
        <w:t>ápravná opatření</w:t>
      </w:r>
    </w:p>
    <w:p w14:paraId="4B903497" w14:textId="77777777" w:rsidR="00F4616B" w:rsidRDefault="00F4616B" w:rsidP="00275CE2">
      <w:pPr>
        <w:pStyle w:val="KOMtext"/>
      </w:pPr>
      <w:r>
        <w:t>V době přípravy podkladů pro závěrečný účet MD vypořádávalo námitky ŘSD proti kontrolnímu zjištění. Po vyřízení námitek bude ŘSD povinno přijmout opatření k nápravě a informovat o nich ve stanovené lhůtě MD.</w:t>
      </w:r>
    </w:p>
    <w:p w14:paraId="763E74B8" w14:textId="77777777" w:rsidR="00F4616B" w:rsidRPr="009969FD" w:rsidRDefault="00F4616B" w:rsidP="00F4616B">
      <w:pPr>
        <w:pStyle w:val="Nadpis3"/>
      </w:pPr>
      <w:bookmarkStart w:id="1212" w:name="_Toc405446089"/>
      <w:bookmarkStart w:id="1213" w:name="_Toc474397361"/>
      <w:bookmarkStart w:id="1214" w:name="_Toc34286512"/>
      <w:bookmarkEnd w:id="1210"/>
      <w:bookmarkEnd w:id="1211"/>
      <w:r w:rsidRPr="009969FD">
        <w:t>Kontroly výkonu státní správy</w:t>
      </w:r>
      <w:r>
        <w:t xml:space="preserve"> u </w:t>
      </w:r>
      <w:r w:rsidRPr="009969FD">
        <w:t>krajských úřadů</w:t>
      </w:r>
      <w:bookmarkEnd w:id="1212"/>
      <w:bookmarkEnd w:id="1213"/>
      <w:bookmarkEnd w:id="1214"/>
    </w:p>
    <w:p w14:paraId="5510BE50" w14:textId="77777777" w:rsidR="00F4616B" w:rsidRDefault="00F4616B" w:rsidP="00275CE2">
      <w:pPr>
        <w:pStyle w:val="KOMtext"/>
        <w:rPr>
          <w:i/>
        </w:rPr>
      </w:pPr>
      <w:bookmarkStart w:id="1215" w:name="_Toc474397365"/>
      <w:r>
        <w:t>V souladu se zákonem č. 129/2000 Sb., o krajích (krajské zřízení), a usnesením vlády České republiky ze dne 11. 9. 2013 č. 689 byly v roce 2019 na základě plánu sestaveného Ministerstvem vnitra provedeny ve spolupráci s odbornými útvary MD kontroly výkonu státní správy na úseku dopravy u následujících krajských úřadů:</w:t>
      </w:r>
    </w:p>
    <w:p w14:paraId="7E61EC7C" w14:textId="5BD1E575" w:rsidR="00F4616B" w:rsidRDefault="00BA24B3" w:rsidP="00BA24B3">
      <w:pPr>
        <w:pStyle w:val="KOMtext"/>
        <w:numPr>
          <w:ilvl w:val="0"/>
          <w:numId w:val="93"/>
        </w:numPr>
        <w:spacing w:before="60" w:after="0"/>
        <w:ind w:left="714" w:hanging="357"/>
      </w:pPr>
      <w:r>
        <w:t>Krajský úřad K</w:t>
      </w:r>
      <w:r w:rsidR="00F4616B">
        <w:t>raje Vysočina - únor 2019,</w:t>
      </w:r>
    </w:p>
    <w:p w14:paraId="0DBA40B2" w14:textId="77777777" w:rsidR="00F4616B" w:rsidRDefault="00F4616B" w:rsidP="00BA24B3">
      <w:pPr>
        <w:pStyle w:val="KOMtext"/>
        <w:numPr>
          <w:ilvl w:val="0"/>
          <w:numId w:val="93"/>
        </w:numPr>
        <w:spacing w:before="60" w:after="0"/>
        <w:ind w:left="714" w:hanging="357"/>
      </w:pPr>
      <w:r>
        <w:lastRenderedPageBreak/>
        <w:t>Krajský úřad Moravskoslezského kraje - březen 2019,</w:t>
      </w:r>
    </w:p>
    <w:p w14:paraId="3D5092A7" w14:textId="77777777" w:rsidR="00F4616B" w:rsidRDefault="00F4616B" w:rsidP="00BA24B3">
      <w:pPr>
        <w:pStyle w:val="KOMtext"/>
        <w:numPr>
          <w:ilvl w:val="0"/>
          <w:numId w:val="93"/>
        </w:numPr>
        <w:spacing w:before="60" w:after="0"/>
        <w:ind w:left="714" w:hanging="357"/>
      </w:pPr>
      <w:r>
        <w:t>Magistrát hlavního města Prahy - září 2019,</w:t>
      </w:r>
    </w:p>
    <w:p w14:paraId="5716EE07" w14:textId="77777777" w:rsidR="00F4616B" w:rsidRPr="004011C1" w:rsidRDefault="00F4616B" w:rsidP="00BA24B3">
      <w:pPr>
        <w:pStyle w:val="KOMtext"/>
        <w:numPr>
          <w:ilvl w:val="0"/>
          <w:numId w:val="93"/>
        </w:numPr>
        <w:spacing w:before="60" w:after="0"/>
        <w:ind w:left="714" w:hanging="357"/>
      </w:pPr>
      <w:r>
        <w:t>Krajský úřad Zlínského kraje - říjen 2019</w:t>
      </w:r>
      <w:r w:rsidRPr="004011C1">
        <w:t>.</w:t>
      </w:r>
    </w:p>
    <w:p w14:paraId="25B668D2" w14:textId="77777777" w:rsidR="00F4616B" w:rsidRDefault="00F4616B" w:rsidP="00275CE2">
      <w:pPr>
        <w:pStyle w:val="KOMtext"/>
      </w:pPr>
      <w:r>
        <w:t xml:space="preserve">Cílem kontrol bylo prověřit výkon státní správy na úseku dopravy, kterou v přenesené působnosti zajišťují krajské úřady a MHMP. Kontrolami byly zjištěny dílčí nedostatky, k jejichž </w:t>
      </w:r>
      <w:r w:rsidRPr="00097582">
        <w:t>odstranění</w:t>
      </w:r>
      <w:r>
        <w:t xml:space="preserve"> a </w:t>
      </w:r>
      <w:r w:rsidRPr="00097582">
        <w:t xml:space="preserve">prevenci byla kontrolní skupinou uložena </w:t>
      </w:r>
      <w:r>
        <w:t>adekvátní opatření k jejich odstranění a prevenci a další doporučení. O </w:t>
      </w:r>
      <w:r w:rsidRPr="00097582">
        <w:t xml:space="preserve">realizaci </w:t>
      </w:r>
      <w:r>
        <w:t xml:space="preserve">opatření </w:t>
      </w:r>
      <w:r w:rsidRPr="00097582">
        <w:t>krajsk</w:t>
      </w:r>
      <w:r>
        <w:t>é</w:t>
      </w:r>
      <w:r w:rsidRPr="00097582">
        <w:t xml:space="preserve"> úřad</w:t>
      </w:r>
      <w:r>
        <w:t>y</w:t>
      </w:r>
      <w:r w:rsidRPr="00097582">
        <w:t xml:space="preserve"> ve stanovené lhůtě </w:t>
      </w:r>
      <w:r>
        <w:t>MD informovaly.</w:t>
      </w:r>
    </w:p>
    <w:p w14:paraId="61E017CE" w14:textId="77777777" w:rsidR="00F4616B" w:rsidRPr="00BB70AC" w:rsidRDefault="00F4616B" w:rsidP="00BA24B3">
      <w:pPr>
        <w:pStyle w:val="Nadpis2"/>
        <w:spacing w:before="360" w:after="120"/>
      </w:pPr>
      <w:bookmarkStart w:id="1216" w:name="_Toc34286513"/>
      <w:r>
        <w:t>H</w:t>
      </w:r>
      <w:r w:rsidRPr="00BB70AC">
        <w:t>lášení nesrovnalostí</w:t>
      </w:r>
      <w:bookmarkEnd w:id="1215"/>
      <w:r>
        <w:t xml:space="preserve"> – kontaktní bod AFCOS</w:t>
      </w:r>
      <w:bookmarkEnd w:id="1216"/>
    </w:p>
    <w:p w14:paraId="6CFE19AB" w14:textId="77777777" w:rsidR="00F4616B" w:rsidRDefault="00F4616B" w:rsidP="00275CE2">
      <w:pPr>
        <w:pStyle w:val="KOMtext"/>
      </w:pPr>
      <w:r>
        <w:t>Odbor interního auditu a kontroly je lokálním kontaktním bodem AFCOS na MD (Centrální kontaktní bod AFCOS v ČR je na Ministerstvu financí, odbor 69 – Analýza a hlášení nesrovnalostí). Odbor interního auditu a kontroly zajišťuje úkoly spojené se šetřením případů, kterými byly dotčeny finanční nebo ekonomické zájmy EU, podává prostřednictvím Centrálního kontaktního bodu AFCOS v ČR Evropskému úřadu pro potírání podvodných jednání – OLAF (Office de Lutte Anti-Fraude) čtvrtletní hlášení nesrovnalostí (nad 10 000 €), která jsou zpracovávána na základě podkladů od Řídícího orgánu Operačního programu Doprava (Odbor fondů EU).</w:t>
      </w:r>
    </w:p>
    <w:p w14:paraId="6B2B9B2C" w14:textId="77777777" w:rsidR="00F4616B" w:rsidRPr="001605A3" w:rsidRDefault="00F4616B" w:rsidP="00275CE2">
      <w:pPr>
        <w:pStyle w:val="KOMtext"/>
      </w:pPr>
      <w:r>
        <w:t xml:space="preserve">V roce 2019 byla odeslána hlášení za 4. čtvrtletí 2018, kdy bylo hlášeno 8 nesrovnalostí, za </w:t>
      </w:r>
      <w:r w:rsidR="00275CE2">
        <w:br/>
      </w:r>
      <w:r>
        <w:t xml:space="preserve">1. čtvrtletí 2019 bylo hlášeno 10 nesrovnalostí, za 2. čtvrtletí 2019 bylo hlášeno </w:t>
      </w:r>
      <w:r w:rsidR="00327B34">
        <w:br/>
      </w:r>
      <w:r>
        <w:t>10 nesrovnalostí a za 3. čtvrtletí 2019 bylo hlášeno 10 nesrovnalostí. Hlášení za 4. čtvrtletí 2019, kdy bylo hlášeno 8 nesrovnalostí, odeslal Odbor interního auditu a kontroly Ministerstvu financí v lednu 2020.</w:t>
      </w:r>
    </w:p>
    <w:sectPr w:rsidR="00F4616B" w:rsidRPr="001605A3" w:rsidSect="007A071D">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880851" w14:textId="77777777" w:rsidR="00FC4296" w:rsidRDefault="00FC4296">
      <w:r>
        <w:separator/>
      </w:r>
    </w:p>
  </w:endnote>
  <w:endnote w:type="continuationSeparator" w:id="0">
    <w:p w14:paraId="6EB229F3" w14:textId="77777777" w:rsidR="00FC4296" w:rsidRDefault="00FC4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IDFont+F2">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DA06F" w14:textId="77777777" w:rsidR="00FC4296" w:rsidRDefault="00FC4296">
    <w:pPr>
      <w:pStyle w:val="Zpat"/>
      <w:jc w:val="center"/>
    </w:pPr>
  </w:p>
  <w:p w14:paraId="40D0B15E" w14:textId="77777777" w:rsidR="00FC4296" w:rsidRDefault="00FC42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73AE8" w14:textId="77777777" w:rsidR="00FC4296" w:rsidRDefault="00FC4296" w:rsidP="00C129B0">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8697017"/>
      <w:docPartObj>
        <w:docPartGallery w:val="Page Numbers (Bottom of Page)"/>
        <w:docPartUnique/>
      </w:docPartObj>
    </w:sdtPr>
    <w:sdtEndPr/>
    <w:sdtContent>
      <w:p w14:paraId="5786C87D" w14:textId="1E65A260" w:rsidR="00FC4296" w:rsidRDefault="00FC4296">
        <w:pPr>
          <w:pStyle w:val="Zpat"/>
          <w:jc w:val="center"/>
        </w:pPr>
        <w:r>
          <w:fldChar w:fldCharType="begin"/>
        </w:r>
        <w:r>
          <w:instrText>PAGE   \* MERGEFORMAT</w:instrText>
        </w:r>
        <w:r>
          <w:fldChar w:fldCharType="separate"/>
        </w:r>
        <w:r w:rsidR="004B12F9">
          <w:rPr>
            <w:noProof/>
          </w:rPr>
          <w:t>47</w:t>
        </w:r>
        <w:r>
          <w:fldChar w:fldCharType="end"/>
        </w:r>
      </w:p>
    </w:sdtContent>
  </w:sdt>
  <w:p w14:paraId="68C63647" w14:textId="77777777" w:rsidR="00FC4296" w:rsidRDefault="00FC429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E6C4B" w14:textId="03A6D889" w:rsidR="00FC4296" w:rsidRDefault="00FC4296">
    <w:pPr>
      <w:pStyle w:val="Zpat"/>
      <w:jc w:val="center"/>
    </w:pPr>
    <w:r>
      <w:fldChar w:fldCharType="begin"/>
    </w:r>
    <w:r>
      <w:instrText>PAGE   \* MERGEFORMAT</w:instrText>
    </w:r>
    <w:r>
      <w:fldChar w:fldCharType="separate"/>
    </w:r>
    <w:r w:rsidR="004B12F9">
      <w:rPr>
        <w:noProof/>
      </w:rPr>
      <w:t>84</w:t>
    </w:r>
    <w:r>
      <w:fldChar w:fldCharType="end"/>
    </w:r>
  </w:p>
  <w:p w14:paraId="0AED4AFF" w14:textId="77777777" w:rsidR="00FC4296" w:rsidRDefault="00FC4296" w:rsidP="0069327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2FA80" w14:textId="77777777" w:rsidR="00FC4296" w:rsidRDefault="00FC4296">
      <w:r>
        <w:separator/>
      </w:r>
    </w:p>
  </w:footnote>
  <w:footnote w:type="continuationSeparator" w:id="0">
    <w:p w14:paraId="56E36CA1" w14:textId="77777777" w:rsidR="00FC4296" w:rsidRDefault="00FC4296">
      <w:r>
        <w:continuationSeparator/>
      </w:r>
    </w:p>
  </w:footnote>
  <w:footnote w:id="1">
    <w:p w14:paraId="16BE6316" w14:textId="77777777" w:rsidR="00FC4296" w:rsidRPr="0016381E" w:rsidRDefault="00FC4296" w:rsidP="0016381E">
      <w:pPr>
        <w:pStyle w:val="KOMtext"/>
        <w:rPr>
          <w:sz w:val="20"/>
        </w:rPr>
      </w:pPr>
      <w:r>
        <w:rPr>
          <w:rStyle w:val="Znakapoznpodarou"/>
        </w:rPr>
        <w:footnoteRef/>
      </w:r>
      <w:r>
        <w:t xml:space="preserve"> </w:t>
      </w:r>
      <w:r w:rsidRPr="0016381E">
        <w:rPr>
          <w:sz w:val="20"/>
        </w:rPr>
        <w:t>Od 1.1.2020 byl změněn název s.o. Správa železniční dopravní cesty na nový název Správa železnic. V textu je použit původní termín Správa železniční dopravní cesty, s.o. (dále jen SŽDC, s.o.)</w:t>
      </w:r>
    </w:p>
    <w:p w14:paraId="01FD5EE3" w14:textId="2929E96D" w:rsidR="00FC4296" w:rsidRDefault="00FC4296">
      <w:pPr>
        <w:pStyle w:val="Textpoznpodarou"/>
      </w:pPr>
    </w:p>
  </w:footnote>
  <w:footnote w:id="2">
    <w:p w14:paraId="14A93522" w14:textId="6E80E6B5" w:rsidR="00FC4296" w:rsidRDefault="00FC4296">
      <w:pPr>
        <w:pStyle w:val="Textpoznpodarou"/>
      </w:pPr>
      <w:r>
        <w:rPr>
          <w:rStyle w:val="Znakapoznpodarou"/>
        </w:rPr>
        <w:footnoteRef/>
      </w:r>
      <w:r>
        <w:t xml:space="preserve"> </w:t>
      </w:r>
      <w:r w:rsidRPr="00F43E1B">
        <w:t xml:space="preserve">hradí se pouze na „komerčních“ spojích, jedná se zejména o kompenzaci za bezplatnou přepravu dětí do 6 let </w:t>
      </w:r>
      <w:r>
        <w:br/>
      </w:r>
      <w:r w:rsidRPr="00F43E1B">
        <w:t>a zlevněné jízdné pro zdravotně postižené, držitele průkazu ZTP a ZTP/P.</w:t>
      </w:r>
    </w:p>
  </w:footnote>
  <w:footnote w:id="3">
    <w:p w14:paraId="3A6821CF" w14:textId="1CF50C84" w:rsidR="00FC4296" w:rsidRDefault="00FC4296" w:rsidP="00EE0343">
      <w:pPr>
        <w:pStyle w:val="Textpoznpodarou"/>
        <w:jc w:val="both"/>
      </w:pPr>
      <w:r>
        <w:rPr>
          <w:rStyle w:val="Znakapoznpodarou"/>
        </w:rPr>
        <w:footnoteRef/>
      </w:r>
      <w:r>
        <w:t xml:space="preserve"> Částka byla upravena dodatkem č. 1 z původní částky 31 437 tis. Kč, kterým se mimo jiné doobjednává provedení propočtu hodnoty za peníze s cílem porovnat výhodnost realizace projektu formou PPP ve srovnání s formou tradičních veřejných zakázek tak, aby PSP ČR mohla přijmout v souladu s </w:t>
      </w:r>
      <w:r w:rsidRPr="001A5459">
        <w:t>§</w:t>
      </w:r>
      <w:r>
        <w:t xml:space="preserve"> 18c zákona č. 13/1997 Sb. k projektu informovanější rozhodnutí.</w:t>
      </w:r>
    </w:p>
  </w:footnote>
  <w:footnote w:id="4">
    <w:p w14:paraId="47E5CE7A" w14:textId="77777777" w:rsidR="00FC4296" w:rsidRPr="00351F1A" w:rsidRDefault="00FC4296" w:rsidP="00556FCC">
      <w:pPr>
        <w:pStyle w:val="Textpoznpodarou"/>
        <w:jc w:val="both"/>
      </w:pPr>
      <w:r w:rsidRPr="00351F1A">
        <w:rPr>
          <w:rStyle w:val="Znakapoznpodarou"/>
        </w:rPr>
        <w:footnoteRef/>
      </w:r>
      <w:r w:rsidRPr="00351F1A">
        <w:t xml:space="preserve"> </w:t>
      </w:r>
      <w:r w:rsidRPr="00351F1A">
        <w:rPr>
          <w:sz w:val="18"/>
          <w:szCs w:val="18"/>
        </w:rPr>
        <w:t>Nařízení Evropského parlamentu a Rady (EU) č. 1303/2013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w:t>
      </w:r>
    </w:p>
    <w:p w14:paraId="562EF4B6" w14:textId="77777777" w:rsidR="00FC4296" w:rsidRPr="00EF1415" w:rsidRDefault="00FC4296" w:rsidP="00556FCC">
      <w:pPr>
        <w:pStyle w:val="Textpoznpodarou"/>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3"/>
    <w:lvl w:ilvl="0">
      <w:start w:val="1"/>
      <w:numFmt w:val="bullet"/>
      <w:lvlText w:val=""/>
      <w:lvlJc w:val="left"/>
      <w:pPr>
        <w:tabs>
          <w:tab w:val="num" w:pos="1620"/>
        </w:tabs>
        <w:ind w:left="1620" w:hanging="360"/>
      </w:pPr>
      <w:rPr>
        <w:rFonts w:ascii="Symbol" w:hAnsi="Symbol"/>
        <w:color w:val="auto"/>
      </w:rPr>
    </w:lvl>
    <w:lvl w:ilvl="1">
      <w:start w:val="1"/>
      <w:numFmt w:val="bullet"/>
      <w:lvlText w:val=""/>
      <w:lvlJc w:val="left"/>
      <w:pPr>
        <w:tabs>
          <w:tab w:val="num" w:pos="1485"/>
        </w:tabs>
        <w:ind w:left="1485" w:hanging="360"/>
      </w:pPr>
      <w:rPr>
        <w:rFonts w:ascii="Wingdings" w:hAnsi="Wingdings"/>
        <w:color w:val="auto"/>
      </w:rPr>
    </w:lvl>
    <w:lvl w:ilvl="2">
      <w:start w:val="1"/>
      <w:numFmt w:val="bullet"/>
      <w:lvlText w:val=""/>
      <w:lvlJc w:val="left"/>
      <w:pPr>
        <w:tabs>
          <w:tab w:val="num" w:pos="2205"/>
        </w:tabs>
        <w:ind w:left="2205" w:hanging="360"/>
      </w:pPr>
      <w:rPr>
        <w:rFonts w:ascii="Symbol" w:hAnsi="Symbol"/>
        <w:color w:val="auto"/>
      </w:rPr>
    </w:lvl>
    <w:lvl w:ilvl="3">
      <w:start w:val="1"/>
      <w:numFmt w:val="bullet"/>
      <w:lvlText w:val=""/>
      <w:lvlJc w:val="left"/>
      <w:pPr>
        <w:tabs>
          <w:tab w:val="num" w:pos="2925"/>
        </w:tabs>
        <w:ind w:left="2925" w:hanging="360"/>
      </w:pPr>
      <w:rPr>
        <w:rFonts w:ascii="Symbol" w:hAnsi="Symbol"/>
      </w:rPr>
    </w:lvl>
    <w:lvl w:ilvl="4">
      <w:start w:val="1"/>
      <w:numFmt w:val="bullet"/>
      <w:lvlText w:val="o"/>
      <w:lvlJc w:val="left"/>
      <w:pPr>
        <w:tabs>
          <w:tab w:val="num" w:pos="3645"/>
        </w:tabs>
        <w:ind w:left="3645" w:hanging="360"/>
      </w:pPr>
      <w:rPr>
        <w:rFonts w:ascii="Courier New" w:hAnsi="Courier New" w:cs="Courier New"/>
      </w:rPr>
    </w:lvl>
    <w:lvl w:ilvl="5">
      <w:start w:val="1"/>
      <w:numFmt w:val="bullet"/>
      <w:lvlText w:val=""/>
      <w:lvlJc w:val="left"/>
      <w:pPr>
        <w:tabs>
          <w:tab w:val="num" w:pos="4365"/>
        </w:tabs>
        <w:ind w:left="4365" w:hanging="360"/>
      </w:pPr>
      <w:rPr>
        <w:rFonts w:ascii="Wingdings" w:hAnsi="Wingdings"/>
      </w:rPr>
    </w:lvl>
    <w:lvl w:ilvl="6">
      <w:start w:val="1"/>
      <w:numFmt w:val="bullet"/>
      <w:lvlText w:val=""/>
      <w:lvlJc w:val="left"/>
      <w:pPr>
        <w:tabs>
          <w:tab w:val="num" w:pos="5085"/>
        </w:tabs>
        <w:ind w:left="5085" w:hanging="360"/>
      </w:pPr>
      <w:rPr>
        <w:rFonts w:ascii="Symbol" w:hAnsi="Symbol"/>
      </w:rPr>
    </w:lvl>
    <w:lvl w:ilvl="7">
      <w:start w:val="1"/>
      <w:numFmt w:val="bullet"/>
      <w:lvlText w:val="o"/>
      <w:lvlJc w:val="left"/>
      <w:pPr>
        <w:tabs>
          <w:tab w:val="num" w:pos="5805"/>
        </w:tabs>
        <w:ind w:left="5805" w:hanging="360"/>
      </w:pPr>
      <w:rPr>
        <w:rFonts w:ascii="Courier New" w:hAnsi="Courier New" w:cs="Courier New"/>
      </w:rPr>
    </w:lvl>
    <w:lvl w:ilvl="8">
      <w:start w:val="1"/>
      <w:numFmt w:val="bullet"/>
      <w:lvlText w:val=""/>
      <w:lvlJc w:val="left"/>
      <w:pPr>
        <w:tabs>
          <w:tab w:val="num" w:pos="6525"/>
        </w:tabs>
        <w:ind w:left="6525" w:hanging="360"/>
      </w:pPr>
      <w:rPr>
        <w:rFonts w:ascii="Wingdings" w:hAnsi="Wingdings"/>
      </w:rPr>
    </w:lvl>
  </w:abstractNum>
  <w:abstractNum w:abstractNumId="1" w15:restartNumberingAfterBreak="0">
    <w:nsid w:val="00000002"/>
    <w:multiLevelType w:val="singleLevel"/>
    <w:tmpl w:val="00000002"/>
    <w:name w:val="WW8Num6"/>
    <w:lvl w:ilvl="0">
      <w:start w:val="1"/>
      <w:numFmt w:val="bullet"/>
      <w:lvlText w:val=""/>
      <w:lvlJc w:val="left"/>
      <w:pPr>
        <w:tabs>
          <w:tab w:val="num" w:pos="2785"/>
        </w:tabs>
        <w:ind w:left="2785" w:hanging="360"/>
      </w:pPr>
      <w:rPr>
        <w:rFonts w:ascii="Symbol" w:hAnsi="Symbol"/>
        <w:color w:val="auto"/>
      </w:rPr>
    </w:lvl>
  </w:abstractNum>
  <w:abstractNum w:abstractNumId="2" w15:restartNumberingAfterBreak="0">
    <w:nsid w:val="00000003"/>
    <w:multiLevelType w:val="singleLevel"/>
    <w:tmpl w:val="00000003"/>
    <w:name w:val="WW8Num7"/>
    <w:lvl w:ilvl="0">
      <w:start w:val="1"/>
      <w:numFmt w:val="bullet"/>
      <w:lvlText w:val=""/>
      <w:lvlJc w:val="left"/>
      <w:pPr>
        <w:tabs>
          <w:tab w:val="num" w:pos="1440"/>
        </w:tabs>
        <w:ind w:left="1440" w:hanging="360"/>
      </w:pPr>
      <w:rPr>
        <w:rFonts w:ascii="Wingdings" w:hAnsi="Wingdings"/>
      </w:rPr>
    </w:lvl>
  </w:abstractNum>
  <w:abstractNum w:abstractNumId="3" w15:restartNumberingAfterBreak="0">
    <w:nsid w:val="00000004"/>
    <w:multiLevelType w:val="multilevel"/>
    <w:tmpl w:val="00000004"/>
    <w:name w:val="WW8Num10"/>
    <w:lvl w:ilvl="0">
      <w:start w:val="1"/>
      <w:numFmt w:val="bullet"/>
      <w:lvlText w:val=""/>
      <w:lvlJc w:val="left"/>
      <w:pPr>
        <w:tabs>
          <w:tab w:val="num" w:pos="2160"/>
        </w:tabs>
        <w:ind w:left="2160" w:hanging="360"/>
      </w:pPr>
      <w:rPr>
        <w:rFonts w:ascii="Symbol" w:hAnsi="Symbol"/>
        <w:color w:val="auto"/>
      </w:rPr>
    </w:lvl>
    <w:lvl w:ilvl="1">
      <w:start w:val="1"/>
      <w:numFmt w:val="bullet"/>
      <w:lvlText w:val=""/>
      <w:lvlJc w:val="left"/>
      <w:pPr>
        <w:tabs>
          <w:tab w:val="num" w:pos="360"/>
        </w:tabs>
        <w:ind w:left="360" w:hanging="360"/>
      </w:pPr>
      <w:rPr>
        <w:rFonts w:ascii="Wingdings" w:hAnsi="Wingdings"/>
        <w:color w:val="auto"/>
      </w:rPr>
    </w:lvl>
    <w:lvl w:ilvl="2">
      <w:start w:val="1"/>
      <w:numFmt w:val="bullet"/>
      <w:lvlText w:val=""/>
      <w:lvlJc w:val="left"/>
      <w:pPr>
        <w:tabs>
          <w:tab w:val="num" w:pos="2160"/>
        </w:tabs>
        <w:ind w:left="2160" w:hanging="360"/>
      </w:pPr>
      <w:rPr>
        <w:rFonts w:ascii="Symbol" w:hAnsi="Symbol"/>
        <w:color w:val="auto"/>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12"/>
    <w:lvl w:ilvl="0">
      <w:start w:val="1"/>
      <w:numFmt w:val="bullet"/>
      <w:lvlText w:val=""/>
      <w:lvlJc w:val="left"/>
      <w:pPr>
        <w:tabs>
          <w:tab w:val="num" w:pos="2520"/>
        </w:tabs>
        <w:ind w:left="2520" w:hanging="360"/>
      </w:pPr>
      <w:rPr>
        <w:rFonts w:ascii="Wingdings" w:hAnsi="Wingdings"/>
      </w:rPr>
    </w:lvl>
    <w:lvl w:ilvl="1">
      <w:start w:val="1"/>
      <w:numFmt w:val="bullet"/>
      <w:lvlText w:val=""/>
      <w:lvlJc w:val="left"/>
      <w:pPr>
        <w:tabs>
          <w:tab w:val="num" w:pos="1485"/>
        </w:tabs>
        <w:ind w:left="1485" w:hanging="360"/>
      </w:pPr>
      <w:rPr>
        <w:rFonts w:ascii="Wingdings" w:hAnsi="Wingdings"/>
      </w:rPr>
    </w:lvl>
    <w:lvl w:ilvl="2">
      <w:start w:val="1"/>
      <w:numFmt w:val="bullet"/>
      <w:lvlText w:val=""/>
      <w:lvlJc w:val="left"/>
      <w:pPr>
        <w:tabs>
          <w:tab w:val="num" w:pos="2424"/>
        </w:tabs>
        <w:ind w:left="2424" w:hanging="360"/>
      </w:pPr>
      <w:rPr>
        <w:rFonts w:ascii="Wingdings" w:hAnsi="Wingdings"/>
      </w:rPr>
    </w:lvl>
    <w:lvl w:ilvl="3">
      <w:start w:val="1"/>
      <w:numFmt w:val="bullet"/>
      <w:lvlText w:val=""/>
      <w:lvlJc w:val="left"/>
      <w:pPr>
        <w:tabs>
          <w:tab w:val="num" w:pos="3144"/>
        </w:tabs>
        <w:ind w:left="3144" w:hanging="360"/>
      </w:pPr>
      <w:rPr>
        <w:rFonts w:ascii="Symbol" w:hAnsi="Symbol"/>
      </w:rPr>
    </w:lvl>
    <w:lvl w:ilvl="4">
      <w:start w:val="1"/>
      <w:numFmt w:val="bullet"/>
      <w:lvlText w:val="o"/>
      <w:lvlJc w:val="left"/>
      <w:pPr>
        <w:tabs>
          <w:tab w:val="num" w:pos="3864"/>
        </w:tabs>
        <w:ind w:left="3864" w:hanging="360"/>
      </w:pPr>
      <w:rPr>
        <w:rFonts w:ascii="Courier New" w:hAnsi="Courier New" w:cs="Courier New"/>
      </w:rPr>
    </w:lvl>
    <w:lvl w:ilvl="5">
      <w:start w:val="1"/>
      <w:numFmt w:val="bullet"/>
      <w:lvlText w:val=""/>
      <w:lvlJc w:val="left"/>
      <w:pPr>
        <w:tabs>
          <w:tab w:val="num" w:pos="4584"/>
        </w:tabs>
        <w:ind w:left="4584" w:hanging="360"/>
      </w:pPr>
      <w:rPr>
        <w:rFonts w:ascii="Wingdings" w:hAnsi="Wingdings"/>
      </w:rPr>
    </w:lvl>
    <w:lvl w:ilvl="6">
      <w:start w:val="1"/>
      <w:numFmt w:val="bullet"/>
      <w:lvlText w:val=""/>
      <w:lvlJc w:val="left"/>
      <w:pPr>
        <w:tabs>
          <w:tab w:val="num" w:pos="5304"/>
        </w:tabs>
        <w:ind w:left="5304" w:hanging="360"/>
      </w:pPr>
      <w:rPr>
        <w:rFonts w:ascii="Symbol" w:hAnsi="Symbol"/>
      </w:rPr>
    </w:lvl>
    <w:lvl w:ilvl="7">
      <w:start w:val="1"/>
      <w:numFmt w:val="bullet"/>
      <w:lvlText w:val="o"/>
      <w:lvlJc w:val="left"/>
      <w:pPr>
        <w:tabs>
          <w:tab w:val="num" w:pos="6024"/>
        </w:tabs>
        <w:ind w:left="6024" w:hanging="360"/>
      </w:pPr>
      <w:rPr>
        <w:rFonts w:ascii="Courier New" w:hAnsi="Courier New" w:cs="Courier New"/>
      </w:rPr>
    </w:lvl>
    <w:lvl w:ilvl="8">
      <w:start w:val="1"/>
      <w:numFmt w:val="bullet"/>
      <w:lvlText w:val=""/>
      <w:lvlJc w:val="left"/>
      <w:pPr>
        <w:tabs>
          <w:tab w:val="num" w:pos="6744"/>
        </w:tabs>
        <w:ind w:left="6744" w:hanging="360"/>
      </w:pPr>
      <w:rPr>
        <w:rFonts w:ascii="Wingdings" w:hAnsi="Wingdings"/>
      </w:rPr>
    </w:lvl>
  </w:abstractNum>
  <w:abstractNum w:abstractNumId="5" w15:restartNumberingAfterBreak="0">
    <w:nsid w:val="00000009"/>
    <w:multiLevelType w:val="singleLevel"/>
    <w:tmpl w:val="00000009"/>
    <w:name w:val="WW8Num16"/>
    <w:lvl w:ilvl="0">
      <w:start w:val="1"/>
      <w:numFmt w:val="bullet"/>
      <w:lvlText w:val=""/>
      <w:lvlJc w:val="left"/>
      <w:pPr>
        <w:tabs>
          <w:tab w:val="num" w:pos="2256"/>
        </w:tabs>
        <w:ind w:left="2256" w:hanging="360"/>
      </w:pPr>
      <w:rPr>
        <w:rFonts w:ascii="Wingdings" w:hAnsi="Wingdings"/>
        <w:color w:val="auto"/>
      </w:rPr>
    </w:lvl>
  </w:abstractNum>
  <w:abstractNum w:abstractNumId="6" w15:restartNumberingAfterBreak="0">
    <w:nsid w:val="0000000A"/>
    <w:multiLevelType w:val="singleLevel"/>
    <w:tmpl w:val="0000000A"/>
    <w:name w:val="WW8Num18"/>
    <w:lvl w:ilvl="0">
      <w:start w:val="1"/>
      <w:numFmt w:val="bullet"/>
      <w:lvlText w:val=""/>
      <w:lvlJc w:val="left"/>
      <w:pPr>
        <w:tabs>
          <w:tab w:val="num" w:pos="1440"/>
        </w:tabs>
        <w:ind w:left="1440" w:hanging="360"/>
      </w:pPr>
      <w:rPr>
        <w:rFonts w:ascii="Wingdings" w:hAnsi="Wingdings"/>
        <w:color w:val="auto"/>
      </w:rPr>
    </w:lvl>
  </w:abstractNum>
  <w:abstractNum w:abstractNumId="7" w15:restartNumberingAfterBreak="0">
    <w:nsid w:val="0000000B"/>
    <w:multiLevelType w:val="singleLevel"/>
    <w:tmpl w:val="0000000B"/>
    <w:name w:val="WW8Num19"/>
    <w:lvl w:ilvl="0">
      <w:start w:val="1"/>
      <w:numFmt w:val="bullet"/>
      <w:lvlText w:val=""/>
      <w:lvlJc w:val="left"/>
      <w:pPr>
        <w:tabs>
          <w:tab w:val="num" w:pos="1069"/>
        </w:tabs>
        <w:ind w:left="1069" w:hanging="360"/>
      </w:pPr>
      <w:rPr>
        <w:rFonts w:ascii="Wingdings" w:hAnsi="Wingdings"/>
      </w:rPr>
    </w:lvl>
  </w:abstractNum>
  <w:abstractNum w:abstractNumId="8" w15:restartNumberingAfterBreak="0">
    <w:nsid w:val="0000000D"/>
    <w:multiLevelType w:val="singleLevel"/>
    <w:tmpl w:val="0000000D"/>
    <w:name w:val="WW8Num21"/>
    <w:lvl w:ilvl="0">
      <w:start w:val="1"/>
      <w:numFmt w:val="bullet"/>
      <w:lvlText w:val=""/>
      <w:lvlJc w:val="left"/>
      <w:pPr>
        <w:tabs>
          <w:tab w:val="num" w:pos="2205"/>
        </w:tabs>
        <w:ind w:left="2205" w:hanging="360"/>
      </w:pPr>
      <w:rPr>
        <w:rFonts w:ascii="Symbol" w:hAnsi="Symbol" w:cs="Times New Roman"/>
      </w:rPr>
    </w:lvl>
  </w:abstractNum>
  <w:abstractNum w:abstractNumId="9" w15:restartNumberingAfterBreak="0">
    <w:nsid w:val="0000000F"/>
    <w:multiLevelType w:val="singleLevel"/>
    <w:tmpl w:val="0000000F"/>
    <w:name w:val="WW8Num15"/>
    <w:lvl w:ilvl="0">
      <w:start w:val="1"/>
      <w:numFmt w:val="bullet"/>
      <w:lvlText w:val=""/>
      <w:lvlJc w:val="left"/>
      <w:pPr>
        <w:tabs>
          <w:tab w:val="num" w:pos="2149"/>
        </w:tabs>
        <w:ind w:left="2149" w:hanging="360"/>
      </w:pPr>
      <w:rPr>
        <w:rFonts w:ascii="Symbol" w:hAnsi="Symbol"/>
      </w:rPr>
    </w:lvl>
  </w:abstractNum>
  <w:abstractNum w:abstractNumId="10" w15:restartNumberingAfterBreak="0">
    <w:nsid w:val="00000010"/>
    <w:multiLevelType w:val="singleLevel"/>
    <w:tmpl w:val="00000010"/>
    <w:name w:val="WW8Num24"/>
    <w:lvl w:ilvl="0">
      <w:start w:val="1"/>
      <w:numFmt w:val="bullet"/>
      <w:lvlText w:val=""/>
      <w:lvlJc w:val="left"/>
      <w:pPr>
        <w:tabs>
          <w:tab w:val="num" w:pos="2160"/>
        </w:tabs>
        <w:ind w:left="2160" w:hanging="360"/>
      </w:pPr>
      <w:rPr>
        <w:rFonts w:ascii="Symbol" w:hAnsi="Symbol"/>
      </w:rPr>
    </w:lvl>
  </w:abstractNum>
  <w:abstractNum w:abstractNumId="11" w15:restartNumberingAfterBreak="0">
    <w:nsid w:val="00000011"/>
    <w:multiLevelType w:val="singleLevel"/>
    <w:tmpl w:val="00000011"/>
    <w:name w:val="WW8Num17"/>
    <w:lvl w:ilvl="0">
      <w:start w:val="1"/>
      <w:numFmt w:val="bullet"/>
      <w:lvlText w:val=""/>
      <w:lvlJc w:val="left"/>
      <w:pPr>
        <w:tabs>
          <w:tab w:val="num" w:pos="1260"/>
        </w:tabs>
        <w:ind w:left="1260" w:hanging="360"/>
      </w:pPr>
      <w:rPr>
        <w:rFonts w:ascii="Symbol" w:hAnsi="Symbol"/>
        <w:color w:val="auto"/>
      </w:rPr>
    </w:lvl>
  </w:abstractNum>
  <w:abstractNum w:abstractNumId="12" w15:restartNumberingAfterBreak="0">
    <w:nsid w:val="00000012"/>
    <w:multiLevelType w:val="singleLevel"/>
    <w:tmpl w:val="00000012"/>
    <w:name w:val="WW8Num26"/>
    <w:lvl w:ilvl="0">
      <w:numFmt w:val="bullet"/>
      <w:lvlText w:val="-"/>
      <w:lvlJc w:val="left"/>
      <w:pPr>
        <w:tabs>
          <w:tab w:val="num" w:pos="720"/>
        </w:tabs>
        <w:ind w:left="720" w:hanging="360"/>
      </w:pPr>
      <w:rPr>
        <w:rFonts w:ascii="Times New Roman" w:hAnsi="Times New Roman"/>
        <w:sz w:val="24"/>
      </w:rPr>
    </w:lvl>
  </w:abstractNum>
  <w:abstractNum w:abstractNumId="13" w15:restartNumberingAfterBreak="0">
    <w:nsid w:val="00000015"/>
    <w:multiLevelType w:val="singleLevel"/>
    <w:tmpl w:val="00000015"/>
    <w:name w:val="WW8Num30"/>
    <w:lvl w:ilvl="0">
      <w:numFmt w:val="bullet"/>
      <w:lvlText w:val=""/>
      <w:lvlJc w:val="left"/>
      <w:pPr>
        <w:tabs>
          <w:tab w:val="num" w:pos="567"/>
        </w:tabs>
        <w:ind w:left="567" w:hanging="283"/>
      </w:pPr>
      <w:rPr>
        <w:rFonts w:ascii="Symbol" w:hAnsi="Symbol"/>
        <w:color w:val="auto"/>
        <w:position w:val="0"/>
        <w:sz w:val="24"/>
        <w:vertAlign w:val="baseline"/>
      </w:rPr>
    </w:lvl>
  </w:abstractNum>
  <w:abstractNum w:abstractNumId="14" w15:restartNumberingAfterBreak="0">
    <w:nsid w:val="00000016"/>
    <w:multiLevelType w:val="singleLevel"/>
    <w:tmpl w:val="04050001"/>
    <w:lvl w:ilvl="0">
      <w:start w:val="1"/>
      <w:numFmt w:val="bullet"/>
      <w:lvlText w:val=""/>
      <w:lvlJc w:val="left"/>
      <w:pPr>
        <w:ind w:left="720" w:hanging="360"/>
      </w:pPr>
      <w:rPr>
        <w:rFonts w:ascii="Symbol" w:hAnsi="Symbol" w:hint="default"/>
      </w:rPr>
    </w:lvl>
  </w:abstractNum>
  <w:abstractNum w:abstractNumId="15" w15:restartNumberingAfterBreak="0">
    <w:nsid w:val="0000001D"/>
    <w:multiLevelType w:val="singleLevel"/>
    <w:tmpl w:val="0000001D"/>
    <w:name w:val="WW8Num29"/>
    <w:lvl w:ilvl="0">
      <w:start w:val="1"/>
      <w:numFmt w:val="bullet"/>
      <w:lvlText w:val=""/>
      <w:lvlJc w:val="left"/>
      <w:pPr>
        <w:tabs>
          <w:tab w:val="num" w:pos="2205"/>
        </w:tabs>
        <w:ind w:left="2205" w:hanging="360"/>
      </w:pPr>
      <w:rPr>
        <w:rFonts w:ascii="Symbol" w:hAnsi="Symbol" w:cs="Times New Roman"/>
      </w:rPr>
    </w:lvl>
  </w:abstractNum>
  <w:abstractNum w:abstractNumId="16" w15:restartNumberingAfterBreak="0">
    <w:nsid w:val="00000020"/>
    <w:multiLevelType w:val="singleLevel"/>
    <w:tmpl w:val="00000020"/>
    <w:name w:val="WW8Num32"/>
    <w:lvl w:ilvl="0">
      <w:start w:val="1"/>
      <w:numFmt w:val="bullet"/>
      <w:lvlText w:val=""/>
      <w:lvlJc w:val="left"/>
      <w:pPr>
        <w:tabs>
          <w:tab w:val="num" w:pos="780"/>
        </w:tabs>
        <w:ind w:left="780" w:hanging="360"/>
      </w:pPr>
      <w:rPr>
        <w:rFonts w:ascii="Symbol" w:hAnsi="Symbol"/>
      </w:rPr>
    </w:lvl>
  </w:abstractNum>
  <w:abstractNum w:abstractNumId="17" w15:restartNumberingAfterBreak="0">
    <w:nsid w:val="00000023"/>
    <w:multiLevelType w:val="singleLevel"/>
    <w:tmpl w:val="00000023"/>
    <w:name w:val="WW8Num35"/>
    <w:lvl w:ilvl="0">
      <w:start w:val="1"/>
      <w:numFmt w:val="bullet"/>
      <w:lvlText w:val=""/>
      <w:lvlJc w:val="left"/>
      <w:pPr>
        <w:tabs>
          <w:tab w:val="num" w:pos="1440"/>
        </w:tabs>
        <w:ind w:left="1440" w:hanging="360"/>
      </w:pPr>
      <w:rPr>
        <w:rFonts w:ascii="Wingdings" w:hAnsi="Wingdings" w:cs="Times New Roman"/>
      </w:rPr>
    </w:lvl>
  </w:abstractNum>
  <w:abstractNum w:abstractNumId="18" w15:restartNumberingAfterBreak="0">
    <w:nsid w:val="00000027"/>
    <w:multiLevelType w:val="singleLevel"/>
    <w:tmpl w:val="00000027"/>
    <w:name w:val="WW8Num39"/>
    <w:lvl w:ilvl="0">
      <w:start w:val="1"/>
      <w:numFmt w:val="decimal"/>
      <w:lvlText w:val="%1)"/>
      <w:lvlJc w:val="left"/>
      <w:pPr>
        <w:tabs>
          <w:tab w:val="num" w:pos="360"/>
        </w:tabs>
        <w:ind w:left="360" w:hanging="360"/>
      </w:pPr>
    </w:lvl>
  </w:abstractNum>
  <w:abstractNum w:abstractNumId="19" w15:restartNumberingAfterBreak="0">
    <w:nsid w:val="0000002B"/>
    <w:multiLevelType w:val="singleLevel"/>
    <w:tmpl w:val="0000002B"/>
    <w:name w:val="WW8Num43"/>
    <w:lvl w:ilvl="0">
      <w:start w:val="1"/>
      <w:numFmt w:val="bullet"/>
      <w:lvlText w:val=""/>
      <w:lvlJc w:val="left"/>
      <w:pPr>
        <w:tabs>
          <w:tab w:val="num" w:pos="2256"/>
        </w:tabs>
        <w:ind w:left="2256" w:hanging="360"/>
      </w:pPr>
      <w:rPr>
        <w:rFonts w:ascii="Wingdings" w:hAnsi="Wingdings"/>
        <w:color w:val="auto"/>
      </w:rPr>
    </w:lvl>
  </w:abstractNum>
  <w:abstractNum w:abstractNumId="20" w15:restartNumberingAfterBreak="0">
    <w:nsid w:val="0000002D"/>
    <w:multiLevelType w:val="singleLevel"/>
    <w:tmpl w:val="0000002D"/>
    <w:name w:val="WW8Num45"/>
    <w:lvl w:ilvl="0">
      <w:start w:val="1"/>
      <w:numFmt w:val="bullet"/>
      <w:lvlText w:val=""/>
      <w:lvlJc w:val="left"/>
      <w:pPr>
        <w:tabs>
          <w:tab w:val="num" w:pos="1440"/>
        </w:tabs>
        <w:ind w:left="1440" w:hanging="360"/>
      </w:pPr>
      <w:rPr>
        <w:rFonts w:ascii="Wingdings" w:hAnsi="Wingdings"/>
        <w:color w:val="auto"/>
      </w:rPr>
    </w:lvl>
  </w:abstractNum>
  <w:abstractNum w:abstractNumId="21" w15:restartNumberingAfterBreak="0">
    <w:nsid w:val="0000002E"/>
    <w:multiLevelType w:val="singleLevel"/>
    <w:tmpl w:val="0000002E"/>
    <w:name w:val="WW8Num46"/>
    <w:lvl w:ilvl="0">
      <w:start w:val="1"/>
      <w:numFmt w:val="bullet"/>
      <w:lvlText w:val=""/>
      <w:lvlJc w:val="left"/>
      <w:pPr>
        <w:tabs>
          <w:tab w:val="num" w:pos="1440"/>
        </w:tabs>
        <w:ind w:left="1440" w:hanging="360"/>
      </w:pPr>
      <w:rPr>
        <w:rFonts w:ascii="Wingdings" w:hAnsi="Wingdings"/>
        <w:color w:val="auto"/>
      </w:rPr>
    </w:lvl>
  </w:abstractNum>
  <w:abstractNum w:abstractNumId="22" w15:restartNumberingAfterBreak="0">
    <w:nsid w:val="00000032"/>
    <w:multiLevelType w:val="singleLevel"/>
    <w:tmpl w:val="00000032"/>
    <w:name w:val="WW8Num50"/>
    <w:lvl w:ilvl="0">
      <w:start w:val="1"/>
      <w:numFmt w:val="bullet"/>
      <w:lvlText w:val=""/>
      <w:lvlJc w:val="left"/>
      <w:pPr>
        <w:tabs>
          <w:tab w:val="num" w:pos="1069"/>
        </w:tabs>
        <w:ind w:left="1069" w:hanging="360"/>
      </w:pPr>
      <w:rPr>
        <w:rFonts w:ascii="Wingdings" w:hAnsi="Wingdings"/>
      </w:rPr>
    </w:lvl>
  </w:abstractNum>
  <w:abstractNum w:abstractNumId="23" w15:restartNumberingAfterBreak="0">
    <w:nsid w:val="00000034"/>
    <w:multiLevelType w:val="singleLevel"/>
    <w:tmpl w:val="00000034"/>
    <w:name w:val="WW8Num78"/>
    <w:lvl w:ilvl="0">
      <w:start w:val="1"/>
      <w:numFmt w:val="bullet"/>
      <w:lvlText w:val=""/>
      <w:lvlJc w:val="left"/>
      <w:pPr>
        <w:tabs>
          <w:tab w:val="num" w:pos="511"/>
        </w:tabs>
        <w:ind w:left="511" w:hanging="227"/>
      </w:pPr>
      <w:rPr>
        <w:rFonts w:ascii="Wingdings" w:hAnsi="Wingdings"/>
      </w:rPr>
    </w:lvl>
  </w:abstractNum>
  <w:abstractNum w:abstractNumId="24" w15:restartNumberingAfterBreak="0">
    <w:nsid w:val="00000041"/>
    <w:multiLevelType w:val="singleLevel"/>
    <w:tmpl w:val="00000041"/>
    <w:name w:val="WW8Num65"/>
    <w:lvl w:ilvl="0">
      <w:start w:val="1"/>
      <w:numFmt w:val="bullet"/>
      <w:lvlText w:val=""/>
      <w:lvlJc w:val="left"/>
      <w:pPr>
        <w:tabs>
          <w:tab w:val="num" w:pos="1440"/>
        </w:tabs>
        <w:ind w:left="1440" w:hanging="360"/>
      </w:pPr>
      <w:rPr>
        <w:rFonts w:ascii="Wingdings" w:hAnsi="Wingdings"/>
        <w:color w:val="auto"/>
      </w:rPr>
    </w:lvl>
  </w:abstractNum>
  <w:abstractNum w:abstractNumId="25" w15:restartNumberingAfterBreak="0">
    <w:nsid w:val="00000044"/>
    <w:multiLevelType w:val="singleLevel"/>
    <w:tmpl w:val="00000044"/>
    <w:name w:val="WW8Num68"/>
    <w:lvl w:ilvl="0">
      <w:start w:val="1"/>
      <w:numFmt w:val="bullet"/>
      <w:lvlText w:val=""/>
      <w:lvlJc w:val="left"/>
      <w:pPr>
        <w:tabs>
          <w:tab w:val="num" w:pos="2205"/>
        </w:tabs>
        <w:ind w:left="2205" w:hanging="360"/>
      </w:pPr>
      <w:rPr>
        <w:rFonts w:ascii="Symbol" w:hAnsi="Symbol" w:cs="Times New Roman"/>
      </w:rPr>
    </w:lvl>
  </w:abstractNum>
  <w:abstractNum w:abstractNumId="26" w15:restartNumberingAfterBreak="0">
    <w:nsid w:val="00000047"/>
    <w:multiLevelType w:val="singleLevel"/>
    <w:tmpl w:val="00000047"/>
    <w:name w:val="WW8Num71"/>
    <w:lvl w:ilvl="0">
      <w:start w:val="1"/>
      <w:numFmt w:val="bullet"/>
      <w:lvlText w:val=""/>
      <w:lvlJc w:val="left"/>
      <w:pPr>
        <w:tabs>
          <w:tab w:val="num" w:pos="1440"/>
        </w:tabs>
        <w:ind w:left="1440" w:hanging="360"/>
      </w:pPr>
      <w:rPr>
        <w:rFonts w:ascii="Wingdings" w:hAnsi="Wingdings"/>
      </w:rPr>
    </w:lvl>
  </w:abstractNum>
  <w:abstractNum w:abstractNumId="27" w15:restartNumberingAfterBreak="0">
    <w:nsid w:val="0000004D"/>
    <w:multiLevelType w:val="singleLevel"/>
    <w:tmpl w:val="0000004D"/>
    <w:name w:val="WW8Num77"/>
    <w:lvl w:ilvl="0">
      <w:start w:val="1"/>
      <w:numFmt w:val="bullet"/>
      <w:lvlText w:val=""/>
      <w:lvlJc w:val="left"/>
      <w:pPr>
        <w:tabs>
          <w:tab w:val="num" w:pos="1069"/>
        </w:tabs>
        <w:ind w:left="1069" w:hanging="360"/>
      </w:pPr>
      <w:rPr>
        <w:rFonts w:ascii="Wingdings" w:hAnsi="Wingdings"/>
        <w:color w:val="auto"/>
      </w:rPr>
    </w:lvl>
  </w:abstractNum>
  <w:abstractNum w:abstractNumId="28" w15:restartNumberingAfterBreak="0">
    <w:nsid w:val="0000004F"/>
    <w:multiLevelType w:val="singleLevel"/>
    <w:tmpl w:val="0000004F"/>
    <w:name w:val="WW8Num115"/>
    <w:lvl w:ilvl="0">
      <w:start w:val="1"/>
      <w:numFmt w:val="bullet"/>
      <w:lvlText w:val=""/>
      <w:lvlJc w:val="left"/>
      <w:pPr>
        <w:tabs>
          <w:tab w:val="num" w:pos="2205"/>
        </w:tabs>
        <w:ind w:left="2205" w:hanging="360"/>
      </w:pPr>
      <w:rPr>
        <w:rFonts w:ascii="Symbol" w:hAnsi="Symbol"/>
      </w:rPr>
    </w:lvl>
  </w:abstractNum>
  <w:abstractNum w:abstractNumId="29" w15:restartNumberingAfterBreak="0">
    <w:nsid w:val="00000050"/>
    <w:multiLevelType w:val="singleLevel"/>
    <w:tmpl w:val="00000050"/>
    <w:name w:val="WW8Num80"/>
    <w:lvl w:ilvl="0">
      <w:start w:val="1"/>
      <w:numFmt w:val="bullet"/>
      <w:lvlText w:val=""/>
      <w:lvlJc w:val="left"/>
      <w:pPr>
        <w:tabs>
          <w:tab w:val="num" w:pos="2160"/>
        </w:tabs>
        <w:ind w:left="2160" w:hanging="360"/>
      </w:pPr>
      <w:rPr>
        <w:rFonts w:ascii="Symbol" w:hAnsi="Symbol"/>
      </w:rPr>
    </w:lvl>
  </w:abstractNum>
  <w:abstractNum w:abstractNumId="30" w15:restartNumberingAfterBreak="0">
    <w:nsid w:val="00000053"/>
    <w:multiLevelType w:val="singleLevel"/>
    <w:tmpl w:val="00000053"/>
    <w:name w:val="WW8Num83"/>
    <w:lvl w:ilvl="0">
      <w:start w:val="1"/>
      <w:numFmt w:val="bullet"/>
      <w:lvlText w:val=""/>
      <w:lvlJc w:val="left"/>
      <w:pPr>
        <w:tabs>
          <w:tab w:val="num" w:pos="720"/>
        </w:tabs>
        <w:ind w:left="720" w:hanging="360"/>
      </w:pPr>
      <w:rPr>
        <w:rFonts w:ascii="Symbol" w:hAnsi="Symbol"/>
        <w:color w:val="auto"/>
      </w:rPr>
    </w:lvl>
  </w:abstractNum>
  <w:abstractNum w:abstractNumId="31" w15:restartNumberingAfterBreak="0">
    <w:nsid w:val="00000059"/>
    <w:multiLevelType w:val="singleLevel"/>
    <w:tmpl w:val="00000059"/>
    <w:name w:val="WW8Num89"/>
    <w:lvl w:ilvl="0">
      <w:numFmt w:val="bullet"/>
      <w:lvlText w:val="-"/>
      <w:lvlJc w:val="left"/>
      <w:pPr>
        <w:tabs>
          <w:tab w:val="num" w:pos="720"/>
        </w:tabs>
        <w:ind w:left="720" w:hanging="360"/>
      </w:pPr>
      <w:rPr>
        <w:rFonts w:ascii="Times New Roman" w:hAnsi="Times New Roman"/>
        <w:sz w:val="24"/>
      </w:rPr>
    </w:lvl>
  </w:abstractNum>
  <w:abstractNum w:abstractNumId="32" w15:restartNumberingAfterBreak="0">
    <w:nsid w:val="0000005A"/>
    <w:multiLevelType w:val="singleLevel"/>
    <w:tmpl w:val="0000005A"/>
    <w:name w:val="WW8Num90"/>
    <w:lvl w:ilvl="0">
      <w:start w:val="1"/>
      <w:numFmt w:val="bullet"/>
      <w:lvlText w:val=""/>
      <w:lvlJc w:val="left"/>
      <w:pPr>
        <w:tabs>
          <w:tab w:val="num" w:pos="794"/>
        </w:tabs>
        <w:ind w:left="794" w:hanging="227"/>
      </w:pPr>
      <w:rPr>
        <w:rFonts w:ascii="Wingdings" w:hAnsi="Wingdings" w:cs="Times New Roman"/>
      </w:rPr>
    </w:lvl>
  </w:abstractNum>
  <w:abstractNum w:abstractNumId="33" w15:restartNumberingAfterBreak="0">
    <w:nsid w:val="0000005D"/>
    <w:multiLevelType w:val="singleLevel"/>
    <w:tmpl w:val="0000005D"/>
    <w:name w:val="WW8Num93"/>
    <w:lvl w:ilvl="0">
      <w:start w:val="1"/>
      <w:numFmt w:val="bullet"/>
      <w:lvlText w:val=""/>
      <w:lvlJc w:val="left"/>
      <w:pPr>
        <w:tabs>
          <w:tab w:val="num" w:pos="720"/>
        </w:tabs>
        <w:ind w:left="720" w:hanging="360"/>
      </w:pPr>
      <w:rPr>
        <w:rFonts w:ascii="Wingdings" w:hAnsi="Wingdings"/>
      </w:rPr>
    </w:lvl>
  </w:abstractNum>
  <w:abstractNum w:abstractNumId="34" w15:restartNumberingAfterBreak="0">
    <w:nsid w:val="00000060"/>
    <w:multiLevelType w:val="singleLevel"/>
    <w:tmpl w:val="00000060"/>
    <w:name w:val="WW8Num96"/>
    <w:lvl w:ilvl="0">
      <w:start w:val="1"/>
      <w:numFmt w:val="bullet"/>
      <w:lvlText w:val=""/>
      <w:lvlJc w:val="left"/>
      <w:pPr>
        <w:tabs>
          <w:tab w:val="num" w:pos="2160"/>
        </w:tabs>
        <w:ind w:left="2160" w:hanging="360"/>
      </w:pPr>
      <w:rPr>
        <w:rFonts w:ascii="Symbol" w:hAnsi="Symbol"/>
        <w:color w:val="auto"/>
      </w:rPr>
    </w:lvl>
  </w:abstractNum>
  <w:abstractNum w:abstractNumId="35" w15:restartNumberingAfterBreak="0">
    <w:nsid w:val="00000062"/>
    <w:multiLevelType w:val="singleLevel"/>
    <w:tmpl w:val="10A86810"/>
    <w:name w:val="WW8Num98"/>
    <w:lvl w:ilvl="0">
      <w:numFmt w:val="bullet"/>
      <w:lvlText w:val=""/>
      <w:lvlJc w:val="left"/>
      <w:pPr>
        <w:tabs>
          <w:tab w:val="num" w:pos="567"/>
        </w:tabs>
        <w:ind w:left="567" w:hanging="283"/>
      </w:pPr>
      <w:rPr>
        <w:rFonts w:ascii="Symbol" w:hAnsi="Symbol"/>
        <w:color w:val="auto"/>
        <w:vertAlign w:val="baseline"/>
      </w:rPr>
    </w:lvl>
  </w:abstractNum>
  <w:abstractNum w:abstractNumId="36" w15:restartNumberingAfterBreak="0">
    <w:nsid w:val="00000063"/>
    <w:multiLevelType w:val="singleLevel"/>
    <w:tmpl w:val="00000063"/>
    <w:name w:val="WW8Num99"/>
    <w:lvl w:ilvl="0">
      <w:numFmt w:val="bullet"/>
      <w:lvlText w:val=""/>
      <w:lvlJc w:val="left"/>
      <w:pPr>
        <w:tabs>
          <w:tab w:val="num" w:pos="567"/>
        </w:tabs>
        <w:ind w:left="567" w:hanging="283"/>
      </w:pPr>
      <w:rPr>
        <w:rFonts w:ascii="Symbol" w:hAnsi="Symbol"/>
      </w:rPr>
    </w:lvl>
  </w:abstractNum>
  <w:abstractNum w:abstractNumId="37" w15:restartNumberingAfterBreak="0">
    <w:nsid w:val="00347EF1"/>
    <w:multiLevelType w:val="hybridMultilevel"/>
    <w:tmpl w:val="6A083B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00EB77EA"/>
    <w:multiLevelType w:val="hybridMultilevel"/>
    <w:tmpl w:val="9F2A76FA"/>
    <w:lvl w:ilvl="0" w:tplc="368ABE34">
      <w:start w:val="1"/>
      <w:numFmt w:val="bullet"/>
      <w:lvlText w:val=""/>
      <w:lvlJc w:val="left"/>
      <w:pPr>
        <w:ind w:left="1854" w:hanging="360"/>
      </w:pPr>
      <w:rPr>
        <w:rFonts w:ascii="Wingdings" w:hAnsi="Wingdings" w:hint="default"/>
        <w:color w:val="auto"/>
      </w:rPr>
    </w:lvl>
    <w:lvl w:ilvl="1" w:tplc="B0F422CE">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9" w15:restartNumberingAfterBreak="0">
    <w:nsid w:val="01C33BA8"/>
    <w:multiLevelType w:val="hybridMultilevel"/>
    <w:tmpl w:val="BF74437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02924B0D"/>
    <w:multiLevelType w:val="hybridMultilevel"/>
    <w:tmpl w:val="D5861142"/>
    <w:lvl w:ilvl="0" w:tplc="E0EC67F2">
      <w:start w:val="1"/>
      <w:numFmt w:val="bullet"/>
      <w:lvlText w:val=""/>
      <w:lvlJc w:val="left"/>
      <w:pPr>
        <w:tabs>
          <w:tab w:val="num" w:pos="1429"/>
        </w:tabs>
        <w:ind w:left="1429" w:hanging="360"/>
      </w:pPr>
      <w:rPr>
        <w:rFonts w:ascii="Wingdings" w:hAnsi="Wingdings" w:hint="default"/>
      </w:rPr>
    </w:lvl>
    <w:lvl w:ilvl="1" w:tplc="4926CC4C">
      <w:start w:val="1"/>
      <w:numFmt w:val="decimal"/>
      <w:lvlText w:val="%2."/>
      <w:lvlJc w:val="left"/>
      <w:pPr>
        <w:tabs>
          <w:tab w:val="num" w:pos="1440"/>
        </w:tabs>
        <w:ind w:left="1440" w:hanging="360"/>
      </w:pPr>
    </w:lvl>
    <w:lvl w:ilvl="2" w:tplc="F998FD02">
      <w:start w:val="1"/>
      <w:numFmt w:val="decimal"/>
      <w:lvlText w:val="%3."/>
      <w:lvlJc w:val="left"/>
      <w:pPr>
        <w:tabs>
          <w:tab w:val="num" w:pos="2160"/>
        </w:tabs>
        <w:ind w:left="2160" w:hanging="360"/>
      </w:pPr>
    </w:lvl>
    <w:lvl w:ilvl="3" w:tplc="E43E9A72">
      <w:start w:val="1"/>
      <w:numFmt w:val="decimal"/>
      <w:lvlText w:val="%4."/>
      <w:lvlJc w:val="left"/>
      <w:pPr>
        <w:tabs>
          <w:tab w:val="num" w:pos="2880"/>
        </w:tabs>
        <w:ind w:left="2880" w:hanging="360"/>
      </w:pPr>
    </w:lvl>
    <w:lvl w:ilvl="4" w:tplc="9F749028">
      <w:start w:val="1"/>
      <w:numFmt w:val="decimal"/>
      <w:lvlText w:val="%5."/>
      <w:lvlJc w:val="left"/>
      <w:pPr>
        <w:tabs>
          <w:tab w:val="num" w:pos="3600"/>
        </w:tabs>
        <w:ind w:left="3600" w:hanging="360"/>
      </w:pPr>
    </w:lvl>
    <w:lvl w:ilvl="5" w:tplc="EBD293A8">
      <w:start w:val="1"/>
      <w:numFmt w:val="decimal"/>
      <w:lvlText w:val="%6."/>
      <w:lvlJc w:val="left"/>
      <w:pPr>
        <w:tabs>
          <w:tab w:val="num" w:pos="4320"/>
        </w:tabs>
        <w:ind w:left="4320" w:hanging="360"/>
      </w:pPr>
    </w:lvl>
    <w:lvl w:ilvl="6" w:tplc="35403E1E">
      <w:start w:val="1"/>
      <w:numFmt w:val="decimal"/>
      <w:lvlText w:val="%7."/>
      <w:lvlJc w:val="left"/>
      <w:pPr>
        <w:tabs>
          <w:tab w:val="num" w:pos="5040"/>
        </w:tabs>
        <w:ind w:left="5040" w:hanging="360"/>
      </w:pPr>
    </w:lvl>
    <w:lvl w:ilvl="7" w:tplc="814E3070">
      <w:start w:val="1"/>
      <w:numFmt w:val="decimal"/>
      <w:lvlText w:val="%8."/>
      <w:lvlJc w:val="left"/>
      <w:pPr>
        <w:tabs>
          <w:tab w:val="num" w:pos="5760"/>
        </w:tabs>
        <w:ind w:left="5760" w:hanging="360"/>
      </w:pPr>
    </w:lvl>
    <w:lvl w:ilvl="8" w:tplc="C93A5504">
      <w:start w:val="1"/>
      <w:numFmt w:val="decimal"/>
      <w:lvlText w:val="%9."/>
      <w:lvlJc w:val="left"/>
      <w:pPr>
        <w:tabs>
          <w:tab w:val="num" w:pos="6480"/>
        </w:tabs>
        <w:ind w:left="6480" w:hanging="360"/>
      </w:pPr>
    </w:lvl>
  </w:abstractNum>
  <w:abstractNum w:abstractNumId="41" w15:restartNumberingAfterBreak="0">
    <w:nsid w:val="04BB1D9E"/>
    <w:multiLevelType w:val="hybridMultilevel"/>
    <w:tmpl w:val="DECCF97E"/>
    <w:name w:val="WW8Num1"/>
    <w:lvl w:ilvl="0" w:tplc="FFFFFFFF">
      <w:start w:val="1"/>
      <w:numFmt w:val="bullet"/>
      <w:lvlText w:val=""/>
      <w:lvlJc w:val="left"/>
      <w:pPr>
        <w:tabs>
          <w:tab w:val="num" w:pos="1451"/>
        </w:tabs>
        <w:ind w:left="1451" w:hanging="360"/>
      </w:pPr>
      <w:rPr>
        <w:rFonts w:ascii="Symbol" w:hAnsi="Symbol" w:hint="default"/>
      </w:rPr>
    </w:lvl>
    <w:lvl w:ilvl="1" w:tplc="FFFFFFFF" w:tentative="1">
      <w:start w:val="1"/>
      <w:numFmt w:val="bullet"/>
      <w:lvlText w:val="o"/>
      <w:lvlJc w:val="left"/>
      <w:pPr>
        <w:tabs>
          <w:tab w:val="num" w:pos="2171"/>
        </w:tabs>
        <w:ind w:left="2171" w:hanging="360"/>
      </w:pPr>
      <w:rPr>
        <w:rFonts w:ascii="Courier New" w:hAnsi="Courier New" w:cs="Courier New" w:hint="default"/>
      </w:rPr>
    </w:lvl>
    <w:lvl w:ilvl="2" w:tplc="FFFFFFFF" w:tentative="1">
      <w:start w:val="1"/>
      <w:numFmt w:val="bullet"/>
      <w:lvlText w:val=""/>
      <w:lvlJc w:val="left"/>
      <w:pPr>
        <w:tabs>
          <w:tab w:val="num" w:pos="2891"/>
        </w:tabs>
        <w:ind w:left="2891" w:hanging="360"/>
      </w:pPr>
      <w:rPr>
        <w:rFonts w:ascii="Wingdings" w:hAnsi="Wingdings" w:hint="default"/>
      </w:rPr>
    </w:lvl>
    <w:lvl w:ilvl="3" w:tplc="FFFFFFFF" w:tentative="1">
      <w:start w:val="1"/>
      <w:numFmt w:val="bullet"/>
      <w:lvlText w:val=""/>
      <w:lvlJc w:val="left"/>
      <w:pPr>
        <w:tabs>
          <w:tab w:val="num" w:pos="3611"/>
        </w:tabs>
        <w:ind w:left="3611" w:hanging="360"/>
      </w:pPr>
      <w:rPr>
        <w:rFonts w:ascii="Symbol" w:hAnsi="Symbol" w:hint="default"/>
      </w:rPr>
    </w:lvl>
    <w:lvl w:ilvl="4" w:tplc="FFFFFFFF" w:tentative="1">
      <w:start w:val="1"/>
      <w:numFmt w:val="bullet"/>
      <w:lvlText w:val="o"/>
      <w:lvlJc w:val="left"/>
      <w:pPr>
        <w:tabs>
          <w:tab w:val="num" w:pos="4331"/>
        </w:tabs>
        <w:ind w:left="4331" w:hanging="360"/>
      </w:pPr>
      <w:rPr>
        <w:rFonts w:ascii="Courier New" w:hAnsi="Courier New" w:cs="Courier New" w:hint="default"/>
      </w:rPr>
    </w:lvl>
    <w:lvl w:ilvl="5" w:tplc="FFFFFFFF" w:tentative="1">
      <w:start w:val="1"/>
      <w:numFmt w:val="bullet"/>
      <w:lvlText w:val=""/>
      <w:lvlJc w:val="left"/>
      <w:pPr>
        <w:tabs>
          <w:tab w:val="num" w:pos="5051"/>
        </w:tabs>
        <w:ind w:left="5051" w:hanging="360"/>
      </w:pPr>
      <w:rPr>
        <w:rFonts w:ascii="Wingdings" w:hAnsi="Wingdings" w:hint="default"/>
      </w:rPr>
    </w:lvl>
    <w:lvl w:ilvl="6" w:tplc="FFFFFFFF" w:tentative="1">
      <w:start w:val="1"/>
      <w:numFmt w:val="bullet"/>
      <w:lvlText w:val=""/>
      <w:lvlJc w:val="left"/>
      <w:pPr>
        <w:tabs>
          <w:tab w:val="num" w:pos="5771"/>
        </w:tabs>
        <w:ind w:left="5771" w:hanging="360"/>
      </w:pPr>
      <w:rPr>
        <w:rFonts w:ascii="Symbol" w:hAnsi="Symbol" w:hint="default"/>
      </w:rPr>
    </w:lvl>
    <w:lvl w:ilvl="7" w:tplc="FFFFFFFF" w:tentative="1">
      <w:start w:val="1"/>
      <w:numFmt w:val="bullet"/>
      <w:lvlText w:val="o"/>
      <w:lvlJc w:val="left"/>
      <w:pPr>
        <w:tabs>
          <w:tab w:val="num" w:pos="6491"/>
        </w:tabs>
        <w:ind w:left="6491" w:hanging="360"/>
      </w:pPr>
      <w:rPr>
        <w:rFonts w:ascii="Courier New" w:hAnsi="Courier New" w:cs="Courier New" w:hint="default"/>
      </w:rPr>
    </w:lvl>
    <w:lvl w:ilvl="8" w:tplc="FFFFFFFF" w:tentative="1">
      <w:start w:val="1"/>
      <w:numFmt w:val="bullet"/>
      <w:lvlText w:val=""/>
      <w:lvlJc w:val="left"/>
      <w:pPr>
        <w:tabs>
          <w:tab w:val="num" w:pos="7211"/>
        </w:tabs>
        <w:ind w:left="7211" w:hanging="360"/>
      </w:pPr>
      <w:rPr>
        <w:rFonts w:ascii="Wingdings" w:hAnsi="Wingdings" w:hint="default"/>
      </w:rPr>
    </w:lvl>
  </w:abstractNum>
  <w:abstractNum w:abstractNumId="42" w15:restartNumberingAfterBreak="0">
    <w:nsid w:val="04D93710"/>
    <w:multiLevelType w:val="hybridMultilevel"/>
    <w:tmpl w:val="3A3EB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068C50A7"/>
    <w:multiLevelType w:val="multilevel"/>
    <w:tmpl w:val="7E6EE6B4"/>
    <w:lvl w:ilvl="0">
      <w:start w:val="1"/>
      <w:numFmt w:val="decimal"/>
      <w:lvlText w:val="%1"/>
      <w:lvlJc w:val="left"/>
      <w:pPr>
        <w:tabs>
          <w:tab w:val="num" w:pos="340"/>
        </w:tabs>
        <w:ind w:left="340" w:hanging="340"/>
      </w:pPr>
      <w:rPr>
        <w:rFonts w:hint="default"/>
      </w:rPr>
    </w:lvl>
    <w:lvl w:ilvl="1">
      <w:start w:val="1"/>
      <w:numFmt w:val="decimal"/>
      <w:pStyle w:val="StylNadpis213bTunnenkapitlky3"/>
      <w:lvlText w:val="%1.%2"/>
      <w:lvlJc w:val="left"/>
      <w:pPr>
        <w:tabs>
          <w:tab w:val="num" w:pos="454"/>
        </w:tabs>
        <w:ind w:left="454" w:hanging="454"/>
      </w:pPr>
      <w:rPr>
        <w:rFonts w:hint="default"/>
      </w:rPr>
    </w:lvl>
    <w:lvl w:ilvl="2">
      <w:start w:val="1"/>
      <w:numFmt w:val="decimal"/>
      <w:lvlText w:val="8.%2.%3."/>
      <w:lvlJc w:val="left"/>
      <w:pPr>
        <w:tabs>
          <w:tab w:val="num" w:pos="1287"/>
        </w:tabs>
        <w:ind w:left="128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44" w15:restartNumberingAfterBreak="0">
    <w:nsid w:val="077C53DF"/>
    <w:multiLevelType w:val="hybridMultilevel"/>
    <w:tmpl w:val="8CB8EE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09E957E2"/>
    <w:multiLevelType w:val="hybridMultilevel"/>
    <w:tmpl w:val="9B8AAAEE"/>
    <w:lvl w:ilvl="0" w:tplc="504E149A">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09F76F02"/>
    <w:multiLevelType w:val="hybridMultilevel"/>
    <w:tmpl w:val="8F7898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0C374ABD"/>
    <w:multiLevelType w:val="hybridMultilevel"/>
    <w:tmpl w:val="01FED6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0F253673"/>
    <w:multiLevelType w:val="hybridMultilevel"/>
    <w:tmpl w:val="4DA8A3DC"/>
    <w:lvl w:ilvl="0" w:tplc="F056CB7C">
      <w:numFmt w:val="bullet"/>
      <w:lvlText w:val="-"/>
      <w:lvlJc w:val="left"/>
      <w:pPr>
        <w:ind w:left="1428"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0F2E053A"/>
    <w:multiLevelType w:val="multilevel"/>
    <w:tmpl w:val="14126C94"/>
    <w:styleLink w:val="Styl4"/>
    <w:lvl w:ilvl="0">
      <w:start w:val="1"/>
      <w:numFmt w:val="none"/>
      <w:lvlText w:val="3"/>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1616117D"/>
    <w:multiLevelType w:val="hybridMultilevel"/>
    <w:tmpl w:val="5416568A"/>
    <w:lvl w:ilvl="0" w:tplc="55787378">
      <w:start w:val="877"/>
      <w:numFmt w:val="bullet"/>
      <w:lvlText w:val="-"/>
      <w:lvlJc w:val="left"/>
      <w:pPr>
        <w:ind w:left="1776" w:hanging="360"/>
      </w:pPr>
      <w:rPr>
        <w:rFonts w:ascii="Times New Roman" w:eastAsia="Times New Roman" w:hAnsi="Times New Roman" w:cs="Times New Roman" w:hint="default"/>
        <w:color w:val="auto"/>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51" w15:restartNumberingAfterBreak="0">
    <w:nsid w:val="17C924B4"/>
    <w:multiLevelType w:val="hybridMultilevel"/>
    <w:tmpl w:val="7116BE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18E77C3E"/>
    <w:multiLevelType w:val="hybridMultilevel"/>
    <w:tmpl w:val="310050E4"/>
    <w:lvl w:ilvl="0" w:tplc="04050017">
      <w:start w:val="1"/>
      <w:numFmt w:val="bullet"/>
      <w:pStyle w:val="odrky"/>
      <w:lvlText w:val="-"/>
      <w:lvlJc w:val="left"/>
      <w:pPr>
        <w:tabs>
          <w:tab w:val="num" w:pos="357"/>
        </w:tabs>
        <w:ind w:left="357" w:hanging="357"/>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A41624D"/>
    <w:multiLevelType w:val="singleLevel"/>
    <w:tmpl w:val="8C4E3622"/>
    <w:lvl w:ilvl="0">
      <w:start w:val="1"/>
      <w:numFmt w:val="decimal"/>
      <w:pStyle w:val="Zkladntext21"/>
      <w:lvlText w:val="%1."/>
      <w:lvlJc w:val="left"/>
      <w:pPr>
        <w:tabs>
          <w:tab w:val="num" w:pos="360"/>
        </w:tabs>
        <w:ind w:left="360" w:hanging="360"/>
      </w:pPr>
    </w:lvl>
  </w:abstractNum>
  <w:abstractNum w:abstractNumId="54" w15:restartNumberingAfterBreak="0">
    <w:nsid w:val="1B221763"/>
    <w:multiLevelType w:val="hybridMultilevel"/>
    <w:tmpl w:val="C8C23302"/>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5" w15:restartNumberingAfterBreak="0">
    <w:nsid w:val="1CB759AE"/>
    <w:multiLevelType w:val="hybridMultilevel"/>
    <w:tmpl w:val="5BDED648"/>
    <w:name w:val="WW8Num982"/>
    <w:lvl w:ilvl="0" w:tplc="5E08C6FC">
      <w:start w:val="1"/>
      <w:numFmt w:val="lowerLetter"/>
      <w:lvlText w:val="%1)"/>
      <w:lvlJc w:val="left"/>
      <w:pPr>
        <w:tabs>
          <w:tab w:val="num" w:pos="1069"/>
        </w:tabs>
        <w:ind w:left="1069" w:hanging="360"/>
      </w:pPr>
      <w:rPr>
        <w:rFonts w:hint="default"/>
      </w:rPr>
    </w:lvl>
    <w:lvl w:ilvl="1" w:tplc="04050001"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EDE74C6"/>
    <w:multiLevelType w:val="hybridMultilevel"/>
    <w:tmpl w:val="B47EDE94"/>
    <w:lvl w:ilvl="0" w:tplc="84A09768">
      <w:start w:val="1"/>
      <w:numFmt w:val="bullet"/>
      <w:lvlText w:val=""/>
      <w:lvlJc w:val="left"/>
      <w:pPr>
        <w:ind w:left="2214" w:hanging="360"/>
      </w:pPr>
      <w:rPr>
        <w:rFonts w:ascii="Symbol" w:hAnsi="Symbol" w:hint="default"/>
        <w:color w:val="auto"/>
      </w:rPr>
    </w:lvl>
    <w:lvl w:ilvl="1" w:tplc="04050003" w:tentative="1">
      <w:start w:val="1"/>
      <w:numFmt w:val="bullet"/>
      <w:lvlText w:val="o"/>
      <w:lvlJc w:val="left"/>
      <w:pPr>
        <w:ind w:left="2934" w:hanging="360"/>
      </w:pPr>
      <w:rPr>
        <w:rFonts w:ascii="Courier New" w:hAnsi="Courier New" w:cs="Courier New" w:hint="default"/>
      </w:rPr>
    </w:lvl>
    <w:lvl w:ilvl="2" w:tplc="04050005" w:tentative="1">
      <w:start w:val="1"/>
      <w:numFmt w:val="bullet"/>
      <w:lvlText w:val=""/>
      <w:lvlJc w:val="left"/>
      <w:pPr>
        <w:ind w:left="3654" w:hanging="360"/>
      </w:pPr>
      <w:rPr>
        <w:rFonts w:ascii="Wingdings" w:hAnsi="Wingdings" w:hint="default"/>
      </w:rPr>
    </w:lvl>
    <w:lvl w:ilvl="3" w:tplc="04050001" w:tentative="1">
      <w:start w:val="1"/>
      <w:numFmt w:val="bullet"/>
      <w:lvlText w:val=""/>
      <w:lvlJc w:val="left"/>
      <w:pPr>
        <w:ind w:left="4374" w:hanging="360"/>
      </w:pPr>
      <w:rPr>
        <w:rFonts w:ascii="Symbol" w:hAnsi="Symbol" w:hint="default"/>
      </w:rPr>
    </w:lvl>
    <w:lvl w:ilvl="4" w:tplc="04050003" w:tentative="1">
      <w:start w:val="1"/>
      <w:numFmt w:val="bullet"/>
      <w:lvlText w:val="o"/>
      <w:lvlJc w:val="left"/>
      <w:pPr>
        <w:ind w:left="5094" w:hanging="360"/>
      </w:pPr>
      <w:rPr>
        <w:rFonts w:ascii="Courier New" w:hAnsi="Courier New" w:cs="Courier New" w:hint="default"/>
      </w:rPr>
    </w:lvl>
    <w:lvl w:ilvl="5" w:tplc="04050005" w:tentative="1">
      <w:start w:val="1"/>
      <w:numFmt w:val="bullet"/>
      <w:lvlText w:val=""/>
      <w:lvlJc w:val="left"/>
      <w:pPr>
        <w:ind w:left="5814" w:hanging="360"/>
      </w:pPr>
      <w:rPr>
        <w:rFonts w:ascii="Wingdings" w:hAnsi="Wingdings" w:hint="default"/>
      </w:rPr>
    </w:lvl>
    <w:lvl w:ilvl="6" w:tplc="04050001" w:tentative="1">
      <w:start w:val="1"/>
      <w:numFmt w:val="bullet"/>
      <w:lvlText w:val=""/>
      <w:lvlJc w:val="left"/>
      <w:pPr>
        <w:ind w:left="6534" w:hanging="360"/>
      </w:pPr>
      <w:rPr>
        <w:rFonts w:ascii="Symbol" w:hAnsi="Symbol" w:hint="default"/>
      </w:rPr>
    </w:lvl>
    <w:lvl w:ilvl="7" w:tplc="04050003" w:tentative="1">
      <w:start w:val="1"/>
      <w:numFmt w:val="bullet"/>
      <w:lvlText w:val="o"/>
      <w:lvlJc w:val="left"/>
      <w:pPr>
        <w:ind w:left="7254" w:hanging="360"/>
      </w:pPr>
      <w:rPr>
        <w:rFonts w:ascii="Courier New" w:hAnsi="Courier New" w:cs="Courier New" w:hint="default"/>
      </w:rPr>
    </w:lvl>
    <w:lvl w:ilvl="8" w:tplc="04050005" w:tentative="1">
      <w:start w:val="1"/>
      <w:numFmt w:val="bullet"/>
      <w:lvlText w:val=""/>
      <w:lvlJc w:val="left"/>
      <w:pPr>
        <w:ind w:left="7974" w:hanging="360"/>
      </w:pPr>
      <w:rPr>
        <w:rFonts w:ascii="Wingdings" w:hAnsi="Wingdings" w:hint="default"/>
      </w:rPr>
    </w:lvl>
  </w:abstractNum>
  <w:abstractNum w:abstractNumId="57" w15:restartNumberingAfterBreak="0">
    <w:nsid w:val="1F176CB3"/>
    <w:multiLevelType w:val="hybridMultilevel"/>
    <w:tmpl w:val="CDBC4DFE"/>
    <w:lvl w:ilvl="0" w:tplc="368ABE34">
      <w:start w:val="1"/>
      <w:numFmt w:val="bullet"/>
      <w:lvlText w:val=""/>
      <w:lvlJc w:val="left"/>
      <w:pPr>
        <w:ind w:left="1287"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20905D13"/>
    <w:multiLevelType w:val="hybridMultilevel"/>
    <w:tmpl w:val="FDC050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20CE2C0C"/>
    <w:multiLevelType w:val="hybridMultilevel"/>
    <w:tmpl w:val="0F0ED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20F20AEB"/>
    <w:multiLevelType w:val="hybridMultilevel"/>
    <w:tmpl w:val="0A723558"/>
    <w:name w:val="WW8Num62"/>
    <w:lvl w:ilvl="0" w:tplc="5E08C6FC">
      <w:start w:val="1"/>
      <w:numFmt w:val="lowerLetter"/>
      <w:lvlText w:val="%1)"/>
      <w:lvlJc w:val="left"/>
      <w:pPr>
        <w:tabs>
          <w:tab w:val="num" w:pos="1429"/>
        </w:tabs>
        <w:ind w:left="1429" w:hanging="360"/>
      </w:pPr>
    </w:lvl>
    <w:lvl w:ilvl="1" w:tplc="04050003" w:tentative="1">
      <w:start w:val="1"/>
      <w:numFmt w:val="lowerLetter"/>
      <w:lvlText w:val="%2."/>
      <w:lvlJc w:val="left"/>
      <w:pPr>
        <w:tabs>
          <w:tab w:val="num" w:pos="2149"/>
        </w:tabs>
        <w:ind w:left="2149" w:hanging="360"/>
      </w:pPr>
    </w:lvl>
    <w:lvl w:ilvl="2" w:tplc="04050005" w:tentative="1">
      <w:start w:val="1"/>
      <w:numFmt w:val="lowerRoman"/>
      <w:lvlText w:val="%3."/>
      <w:lvlJc w:val="right"/>
      <w:pPr>
        <w:tabs>
          <w:tab w:val="num" w:pos="2869"/>
        </w:tabs>
        <w:ind w:left="2869" w:hanging="180"/>
      </w:pPr>
    </w:lvl>
    <w:lvl w:ilvl="3" w:tplc="04050001" w:tentative="1">
      <w:start w:val="1"/>
      <w:numFmt w:val="decimal"/>
      <w:lvlText w:val="%4."/>
      <w:lvlJc w:val="left"/>
      <w:pPr>
        <w:tabs>
          <w:tab w:val="num" w:pos="3589"/>
        </w:tabs>
        <w:ind w:left="3589" w:hanging="360"/>
      </w:pPr>
    </w:lvl>
    <w:lvl w:ilvl="4" w:tplc="04050003" w:tentative="1">
      <w:start w:val="1"/>
      <w:numFmt w:val="lowerLetter"/>
      <w:lvlText w:val="%5."/>
      <w:lvlJc w:val="left"/>
      <w:pPr>
        <w:tabs>
          <w:tab w:val="num" w:pos="4309"/>
        </w:tabs>
        <w:ind w:left="4309" w:hanging="360"/>
      </w:pPr>
    </w:lvl>
    <w:lvl w:ilvl="5" w:tplc="04050005" w:tentative="1">
      <w:start w:val="1"/>
      <w:numFmt w:val="lowerRoman"/>
      <w:lvlText w:val="%6."/>
      <w:lvlJc w:val="right"/>
      <w:pPr>
        <w:tabs>
          <w:tab w:val="num" w:pos="5029"/>
        </w:tabs>
        <w:ind w:left="5029" w:hanging="180"/>
      </w:pPr>
    </w:lvl>
    <w:lvl w:ilvl="6" w:tplc="04050001" w:tentative="1">
      <w:start w:val="1"/>
      <w:numFmt w:val="decimal"/>
      <w:lvlText w:val="%7."/>
      <w:lvlJc w:val="left"/>
      <w:pPr>
        <w:tabs>
          <w:tab w:val="num" w:pos="5749"/>
        </w:tabs>
        <w:ind w:left="5749" w:hanging="360"/>
      </w:pPr>
    </w:lvl>
    <w:lvl w:ilvl="7" w:tplc="04050003" w:tentative="1">
      <w:start w:val="1"/>
      <w:numFmt w:val="lowerLetter"/>
      <w:lvlText w:val="%8."/>
      <w:lvlJc w:val="left"/>
      <w:pPr>
        <w:tabs>
          <w:tab w:val="num" w:pos="6469"/>
        </w:tabs>
        <w:ind w:left="6469" w:hanging="360"/>
      </w:pPr>
    </w:lvl>
    <w:lvl w:ilvl="8" w:tplc="04050005" w:tentative="1">
      <w:start w:val="1"/>
      <w:numFmt w:val="lowerRoman"/>
      <w:lvlText w:val="%9."/>
      <w:lvlJc w:val="right"/>
      <w:pPr>
        <w:tabs>
          <w:tab w:val="num" w:pos="7189"/>
        </w:tabs>
        <w:ind w:left="7189" w:hanging="180"/>
      </w:pPr>
    </w:lvl>
  </w:abstractNum>
  <w:abstractNum w:abstractNumId="61" w15:restartNumberingAfterBreak="0">
    <w:nsid w:val="215E45BB"/>
    <w:multiLevelType w:val="hybridMultilevel"/>
    <w:tmpl w:val="7BC6BCD2"/>
    <w:lvl w:ilvl="0" w:tplc="04050017">
      <w:start w:val="1"/>
      <w:numFmt w:val="bullet"/>
      <w:lvlText w:val=""/>
      <w:lvlJc w:val="left"/>
      <w:pPr>
        <w:tabs>
          <w:tab w:val="num" w:pos="2160"/>
        </w:tabs>
        <w:ind w:left="2160" w:hanging="360"/>
      </w:pPr>
      <w:rPr>
        <w:rFonts w:ascii="Symbol" w:hAnsi="Symbol" w:hint="default"/>
        <w:color w:val="auto"/>
        <w:sz w:val="24"/>
      </w:rPr>
    </w:lvl>
    <w:lvl w:ilvl="1" w:tplc="04050001">
      <w:start w:val="1"/>
      <w:numFmt w:val="bullet"/>
      <w:lvlText w:val=""/>
      <w:lvlJc w:val="left"/>
      <w:pPr>
        <w:tabs>
          <w:tab w:val="num" w:pos="1440"/>
        </w:tabs>
        <w:ind w:left="1440" w:hanging="360"/>
      </w:pPr>
      <w:rPr>
        <w:rFonts w:ascii="Symbol" w:hAnsi="Symbol" w:hint="default"/>
        <w:color w:val="auto"/>
        <w:sz w:val="24"/>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21C41E5F"/>
    <w:multiLevelType w:val="hybridMultilevel"/>
    <w:tmpl w:val="7A965882"/>
    <w:lvl w:ilvl="0" w:tplc="04050001">
      <w:start w:val="1"/>
      <w:numFmt w:val="bullet"/>
      <w:lvlText w:val=""/>
      <w:lvlJc w:val="left"/>
      <w:pPr>
        <w:tabs>
          <w:tab w:val="num" w:pos="794"/>
        </w:tabs>
        <w:ind w:left="794" w:hanging="227"/>
      </w:pPr>
      <w:rPr>
        <w:rFonts w:ascii="Symbol" w:hAnsi="Symbol" w:hint="default"/>
        <w:color w:val="auto"/>
      </w:rPr>
    </w:lvl>
    <w:lvl w:ilvl="1" w:tplc="21842CB2">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222219A9"/>
    <w:multiLevelType w:val="hybridMultilevel"/>
    <w:tmpl w:val="5206030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22B8202B"/>
    <w:multiLevelType w:val="hybridMultilevel"/>
    <w:tmpl w:val="BBEA7DD6"/>
    <w:lvl w:ilvl="0" w:tplc="F056CB7C">
      <w:numFmt w:val="bullet"/>
      <w:lvlText w:val="-"/>
      <w:lvlJc w:val="left"/>
      <w:pPr>
        <w:ind w:left="1428" w:hanging="360"/>
      </w:pPr>
      <w:rPr>
        <w:rFonts w:ascii="Times New Roman" w:eastAsia="Times New Roman" w:hAnsi="Times New Roman" w:cs="Times New Roman"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5" w15:restartNumberingAfterBreak="0">
    <w:nsid w:val="259D308E"/>
    <w:multiLevelType w:val="hybridMultilevel"/>
    <w:tmpl w:val="6FD4B868"/>
    <w:lvl w:ilvl="0" w:tplc="23083038">
      <w:start w:val="1"/>
      <w:numFmt w:val="lowerLetter"/>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25BC4BC7"/>
    <w:multiLevelType w:val="hybridMultilevel"/>
    <w:tmpl w:val="8D1014E4"/>
    <w:name w:val="WW8Num9823"/>
    <w:lvl w:ilvl="0" w:tplc="04050001">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7" w15:restartNumberingAfterBreak="0">
    <w:nsid w:val="25E61D7D"/>
    <w:multiLevelType w:val="multilevel"/>
    <w:tmpl w:val="7B2EFE2A"/>
    <w:lvl w:ilvl="0">
      <w:start w:val="2"/>
      <w:numFmt w:val="decimal"/>
      <w:lvlText w:val="%1"/>
      <w:lvlJc w:val="left"/>
      <w:pPr>
        <w:tabs>
          <w:tab w:val="num" w:pos="340"/>
        </w:tabs>
        <w:ind w:left="340" w:hanging="340"/>
      </w:pPr>
      <w:rPr>
        <w:rFonts w:hint="default"/>
        <w:color w:val="auto"/>
      </w:rPr>
    </w:lvl>
    <w:lvl w:ilvl="1">
      <w:start w:val="1"/>
      <w:numFmt w:val="decimal"/>
      <w:pStyle w:val="Nadpis2"/>
      <w:lvlText w:val="%1.%2"/>
      <w:lvlJc w:val="left"/>
      <w:pPr>
        <w:tabs>
          <w:tab w:val="num" w:pos="2310"/>
        </w:tabs>
        <w:ind w:left="2310" w:hanging="51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ordinal"/>
      <w:lvlText w:val="3.%3."/>
      <w:lvlJc w:val="left"/>
      <w:pPr>
        <w:tabs>
          <w:tab w:val="num" w:pos="1050"/>
        </w:tabs>
        <w:ind w:left="1220" w:hanging="680"/>
      </w:pPr>
      <w:rPr>
        <w:rFonts w:hint="default"/>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68" w15:restartNumberingAfterBreak="0">
    <w:nsid w:val="27A809F1"/>
    <w:multiLevelType w:val="hybridMultilevel"/>
    <w:tmpl w:val="C0F2B8A2"/>
    <w:lvl w:ilvl="0" w:tplc="67242D32">
      <w:start w:val="1"/>
      <w:numFmt w:val="bullet"/>
      <w:pStyle w:val="KOMpos"/>
      <w:lvlText w:val=""/>
      <w:lvlJc w:val="left"/>
      <w:pPr>
        <w:tabs>
          <w:tab w:val="num" w:pos="767"/>
        </w:tabs>
        <w:ind w:left="-27" w:firstLine="567"/>
      </w:pPr>
      <w:rPr>
        <w:rFonts w:ascii="Symbol" w:hAnsi="Symbol" w:hint="default"/>
        <w:color w:val="auto"/>
      </w:rPr>
    </w:lvl>
    <w:lvl w:ilvl="1" w:tplc="04050011"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2891068C"/>
    <w:multiLevelType w:val="hybridMultilevel"/>
    <w:tmpl w:val="C6505EFE"/>
    <w:name w:val="WW8Num9822"/>
    <w:lvl w:ilvl="0" w:tplc="5E08C6FC">
      <w:start w:val="1"/>
      <w:numFmt w:val="decimal"/>
      <w:lvlText w:val="%1."/>
      <w:lvlJc w:val="left"/>
      <w:pPr>
        <w:tabs>
          <w:tab w:val="num" w:pos="720"/>
        </w:tabs>
        <w:ind w:left="72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70" w15:restartNumberingAfterBreak="0">
    <w:nsid w:val="28CF561F"/>
    <w:multiLevelType w:val="hybridMultilevel"/>
    <w:tmpl w:val="910A9A96"/>
    <w:lvl w:ilvl="0" w:tplc="04050001">
      <w:start w:val="1"/>
      <w:numFmt w:val="bullet"/>
      <w:pStyle w:val="nadpis1"/>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1" w15:restartNumberingAfterBreak="0">
    <w:nsid w:val="29B376AB"/>
    <w:multiLevelType w:val="hybridMultilevel"/>
    <w:tmpl w:val="A886AB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2A9B308C"/>
    <w:multiLevelType w:val="hybridMultilevel"/>
    <w:tmpl w:val="395CE506"/>
    <w:lvl w:ilvl="0" w:tplc="368ABE34">
      <w:start w:val="1"/>
      <w:numFmt w:val="bullet"/>
      <w:lvlText w:val=""/>
      <w:lvlJc w:val="left"/>
      <w:pPr>
        <w:ind w:left="1287"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3" w15:restartNumberingAfterBreak="0">
    <w:nsid w:val="2DA70D88"/>
    <w:multiLevelType w:val="hybridMultilevel"/>
    <w:tmpl w:val="8A546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2E553FE9"/>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5" w15:restartNumberingAfterBreak="0">
    <w:nsid w:val="2F1B651B"/>
    <w:multiLevelType w:val="hybridMultilevel"/>
    <w:tmpl w:val="03927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302711E8"/>
    <w:multiLevelType w:val="hybridMultilevel"/>
    <w:tmpl w:val="40D213DE"/>
    <w:lvl w:ilvl="0" w:tplc="04050017">
      <w:start w:val="1"/>
      <w:numFmt w:val="bullet"/>
      <w:lvlText w:val=""/>
      <w:lvlJc w:val="left"/>
      <w:pPr>
        <w:tabs>
          <w:tab w:val="num" w:pos="1428"/>
        </w:tabs>
        <w:ind w:left="1428"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7" w15:restartNumberingAfterBreak="0">
    <w:nsid w:val="309C1B77"/>
    <w:multiLevelType w:val="hybridMultilevel"/>
    <w:tmpl w:val="2934F66A"/>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8" w15:restartNumberingAfterBreak="0">
    <w:nsid w:val="330050ED"/>
    <w:multiLevelType w:val="hybridMultilevel"/>
    <w:tmpl w:val="C070088A"/>
    <w:lvl w:ilvl="0" w:tplc="04050017">
      <w:start w:val="1"/>
      <w:numFmt w:val="bullet"/>
      <w:pStyle w:val="ODRKYBEZMEZER062"/>
      <w:lvlText w:val="-"/>
      <w:lvlJc w:val="left"/>
      <w:pPr>
        <w:tabs>
          <w:tab w:val="num" w:pos="1066"/>
        </w:tabs>
        <w:ind w:left="1066" w:hanging="357"/>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34473F25"/>
    <w:multiLevelType w:val="hybridMultilevel"/>
    <w:tmpl w:val="D1D6A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3488137B"/>
    <w:multiLevelType w:val="hybridMultilevel"/>
    <w:tmpl w:val="3718DB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34E72E06"/>
    <w:multiLevelType w:val="hybridMultilevel"/>
    <w:tmpl w:val="A48401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35750DDF"/>
    <w:multiLevelType w:val="hybridMultilevel"/>
    <w:tmpl w:val="99888440"/>
    <w:lvl w:ilvl="0" w:tplc="04050001">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83" w15:restartNumberingAfterBreak="0">
    <w:nsid w:val="361862F6"/>
    <w:multiLevelType w:val="hybridMultilevel"/>
    <w:tmpl w:val="7284D2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36A77186"/>
    <w:multiLevelType w:val="hybridMultilevel"/>
    <w:tmpl w:val="5A30606E"/>
    <w:lvl w:ilvl="0" w:tplc="04050001">
      <w:start w:val="1"/>
      <w:numFmt w:val="bullet"/>
      <w:lvlText w:val=""/>
      <w:lvlJc w:val="left"/>
      <w:pPr>
        <w:ind w:left="1080" w:hanging="360"/>
      </w:pPr>
      <w:rPr>
        <w:rFonts w:ascii="Symbol" w:hAnsi="Symbol"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5" w15:restartNumberingAfterBreak="0">
    <w:nsid w:val="37C300DC"/>
    <w:multiLevelType w:val="multilevel"/>
    <w:tmpl w:val="0405001F"/>
    <w:styleLink w:val="Styl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3F916E56"/>
    <w:multiLevelType w:val="hybridMultilevel"/>
    <w:tmpl w:val="E20A2D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40A0796D"/>
    <w:multiLevelType w:val="hybridMultilevel"/>
    <w:tmpl w:val="44B2AFDE"/>
    <w:lvl w:ilvl="0" w:tplc="0405000B">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8" w15:restartNumberingAfterBreak="0">
    <w:nsid w:val="41186829"/>
    <w:multiLevelType w:val="hybridMultilevel"/>
    <w:tmpl w:val="F5A42930"/>
    <w:lvl w:ilvl="0" w:tplc="FFFFFFFF">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89" w15:restartNumberingAfterBreak="0">
    <w:nsid w:val="4331773B"/>
    <w:multiLevelType w:val="hybridMultilevel"/>
    <w:tmpl w:val="E06E7978"/>
    <w:lvl w:ilvl="0" w:tplc="2C5C3EFC">
      <w:start w:val="1"/>
      <w:numFmt w:val="bullet"/>
      <w:lvlText w:val=""/>
      <w:lvlJc w:val="left"/>
      <w:pPr>
        <w:tabs>
          <w:tab w:val="num" w:pos="1634"/>
        </w:tabs>
        <w:ind w:left="1634" w:hanging="851"/>
      </w:pPr>
      <w:rPr>
        <w:rFonts w:ascii="Wingdings" w:hAnsi="Wingdings" w:hint="default"/>
      </w:rPr>
    </w:lvl>
    <w:lvl w:ilvl="1" w:tplc="04050003" w:tentative="1">
      <w:start w:val="1"/>
      <w:numFmt w:val="bullet"/>
      <w:lvlText w:val="o"/>
      <w:lvlJc w:val="left"/>
      <w:pPr>
        <w:tabs>
          <w:tab w:val="num" w:pos="2223"/>
        </w:tabs>
        <w:ind w:left="2223" w:hanging="360"/>
      </w:pPr>
      <w:rPr>
        <w:rFonts w:ascii="Courier New" w:hAnsi="Courier New" w:cs="Courier New" w:hint="default"/>
      </w:rPr>
    </w:lvl>
    <w:lvl w:ilvl="2" w:tplc="04050005" w:tentative="1">
      <w:start w:val="1"/>
      <w:numFmt w:val="bullet"/>
      <w:lvlText w:val=""/>
      <w:lvlJc w:val="left"/>
      <w:pPr>
        <w:tabs>
          <w:tab w:val="num" w:pos="2943"/>
        </w:tabs>
        <w:ind w:left="2943" w:hanging="360"/>
      </w:pPr>
      <w:rPr>
        <w:rFonts w:ascii="Wingdings" w:hAnsi="Wingdings" w:hint="default"/>
      </w:rPr>
    </w:lvl>
    <w:lvl w:ilvl="3" w:tplc="04050001" w:tentative="1">
      <w:start w:val="1"/>
      <w:numFmt w:val="bullet"/>
      <w:lvlText w:val=""/>
      <w:lvlJc w:val="left"/>
      <w:pPr>
        <w:tabs>
          <w:tab w:val="num" w:pos="3663"/>
        </w:tabs>
        <w:ind w:left="3663" w:hanging="360"/>
      </w:pPr>
      <w:rPr>
        <w:rFonts w:ascii="Symbol" w:hAnsi="Symbol" w:hint="default"/>
      </w:rPr>
    </w:lvl>
    <w:lvl w:ilvl="4" w:tplc="04050003" w:tentative="1">
      <w:start w:val="1"/>
      <w:numFmt w:val="bullet"/>
      <w:lvlText w:val="o"/>
      <w:lvlJc w:val="left"/>
      <w:pPr>
        <w:tabs>
          <w:tab w:val="num" w:pos="4383"/>
        </w:tabs>
        <w:ind w:left="4383" w:hanging="360"/>
      </w:pPr>
      <w:rPr>
        <w:rFonts w:ascii="Courier New" w:hAnsi="Courier New" w:cs="Courier New" w:hint="default"/>
      </w:rPr>
    </w:lvl>
    <w:lvl w:ilvl="5" w:tplc="04050005" w:tentative="1">
      <w:start w:val="1"/>
      <w:numFmt w:val="bullet"/>
      <w:lvlText w:val=""/>
      <w:lvlJc w:val="left"/>
      <w:pPr>
        <w:tabs>
          <w:tab w:val="num" w:pos="5103"/>
        </w:tabs>
        <w:ind w:left="5103" w:hanging="360"/>
      </w:pPr>
      <w:rPr>
        <w:rFonts w:ascii="Wingdings" w:hAnsi="Wingdings" w:hint="default"/>
      </w:rPr>
    </w:lvl>
    <w:lvl w:ilvl="6" w:tplc="04050001" w:tentative="1">
      <w:start w:val="1"/>
      <w:numFmt w:val="bullet"/>
      <w:lvlText w:val=""/>
      <w:lvlJc w:val="left"/>
      <w:pPr>
        <w:tabs>
          <w:tab w:val="num" w:pos="5823"/>
        </w:tabs>
        <w:ind w:left="5823" w:hanging="360"/>
      </w:pPr>
      <w:rPr>
        <w:rFonts w:ascii="Symbol" w:hAnsi="Symbol" w:hint="default"/>
      </w:rPr>
    </w:lvl>
    <w:lvl w:ilvl="7" w:tplc="04050003" w:tentative="1">
      <w:start w:val="1"/>
      <w:numFmt w:val="bullet"/>
      <w:lvlText w:val="o"/>
      <w:lvlJc w:val="left"/>
      <w:pPr>
        <w:tabs>
          <w:tab w:val="num" w:pos="6543"/>
        </w:tabs>
        <w:ind w:left="6543" w:hanging="360"/>
      </w:pPr>
      <w:rPr>
        <w:rFonts w:ascii="Courier New" w:hAnsi="Courier New" w:cs="Courier New" w:hint="default"/>
      </w:rPr>
    </w:lvl>
    <w:lvl w:ilvl="8" w:tplc="04050005" w:tentative="1">
      <w:start w:val="1"/>
      <w:numFmt w:val="bullet"/>
      <w:lvlText w:val=""/>
      <w:lvlJc w:val="left"/>
      <w:pPr>
        <w:tabs>
          <w:tab w:val="num" w:pos="7263"/>
        </w:tabs>
        <w:ind w:left="7263" w:hanging="360"/>
      </w:pPr>
      <w:rPr>
        <w:rFonts w:ascii="Wingdings" w:hAnsi="Wingdings" w:hint="default"/>
      </w:rPr>
    </w:lvl>
  </w:abstractNum>
  <w:abstractNum w:abstractNumId="90" w15:restartNumberingAfterBreak="0">
    <w:nsid w:val="452D1C03"/>
    <w:multiLevelType w:val="hybridMultilevel"/>
    <w:tmpl w:val="CFFA4D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463C34E8"/>
    <w:multiLevelType w:val="hybridMultilevel"/>
    <w:tmpl w:val="E6B43246"/>
    <w:lvl w:ilvl="0" w:tplc="81E01108">
      <w:numFmt w:val="bullet"/>
      <w:lvlText w:val="-"/>
      <w:lvlJc w:val="left"/>
      <w:pPr>
        <w:ind w:left="1080" w:hanging="360"/>
      </w:pPr>
      <w:rPr>
        <w:rFonts w:ascii="Times New Roman" w:eastAsia="Times New Roman" w:hAnsi="Times New Roman" w:cs="Times New Roman"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2" w15:restartNumberingAfterBreak="0">
    <w:nsid w:val="46E030BE"/>
    <w:multiLevelType w:val="hybridMultilevel"/>
    <w:tmpl w:val="9C46CFA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3" w15:restartNumberingAfterBreak="0">
    <w:nsid w:val="47513FC4"/>
    <w:multiLevelType w:val="hybridMultilevel"/>
    <w:tmpl w:val="F314F360"/>
    <w:lvl w:ilvl="0" w:tplc="413627C4">
      <w:numFmt w:val="bullet"/>
      <w:lvlText w:val="-"/>
      <w:lvlJc w:val="left"/>
      <w:pPr>
        <w:ind w:left="1800" w:hanging="360"/>
      </w:pPr>
      <w:rPr>
        <w:rFonts w:ascii="Times New Roman" w:eastAsia="Times New Roman" w:hAnsi="Times New Roman" w:cs="Times New Roman"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4" w15:restartNumberingAfterBreak="0">
    <w:nsid w:val="4BE730DA"/>
    <w:multiLevelType w:val="multilevel"/>
    <w:tmpl w:val="69123E18"/>
    <w:styleLink w:val="Sty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ordinal"/>
      <w:lvlText w:val="3.%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5" w15:restartNumberingAfterBreak="0">
    <w:nsid w:val="4DBA281D"/>
    <w:multiLevelType w:val="hybridMultilevel"/>
    <w:tmpl w:val="C30C271C"/>
    <w:lvl w:ilvl="0" w:tplc="19A4E6CA">
      <w:start w:val="1"/>
      <w:numFmt w:val="bullet"/>
      <w:pStyle w:val="ODRKY062"/>
      <w:lvlText w:val=""/>
      <w:lvlJc w:val="left"/>
      <w:pPr>
        <w:tabs>
          <w:tab w:val="num" w:pos="357"/>
        </w:tabs>
        <w:ind w:left="357" w:hanging="357"/>
      </w:pPr>
      <w:rPr>
        <w:rFonts w:ascii="Symbol" w:hAnsi="Symbol" w:cs="Times New Roman" w:hint="default"/>
      </w:rPr>
    </w:lvl>
    <w:lvl w:ilvl="1" w:tplc="62D87CC8" w:tentative="1">
      <w:start w:val="1"/>
      <w:numFmt w:val="bullet"/>
      <w:lvlText w:val="o"/>
      <w:lvlJc w:val="left"/>
      <w:pPr>
        <w:tabs>
          <w:tab w:val="num" w:pos="1440"/>
        </w:tabs>
        <w:ind w:left="1440" w:hanging="360"/>
      </w:pPr>
      <w:rPr>
        <w:rFonts w:ascii="Courier New" w:hAnsi="Courier New" w:cs="Courier New" w:hint="default"/>
      </w:rPr>
    </w:lvl>
    <w:lvl w:ilvl="2" w:tplc="64884A2C" w:tentative="1">
      <w:start w:val="1"/>
      <w:numFmt w:val="bullet"/>
      <w:lvlText w:val=""/>
      <w:lvlJc w:val="left"/>
      <w:pPr>
        <w:tabs>
          <w:tab w:val="num" w:pos="2160"/>
        </w:tabs>
        <w:ind w:left="2160" w:hanging="360"/>
      </w:pPr>
      <w:rPr>
        <w:rFonts w:ascii="Wingdings" w:hAnsi="Wingdings" w:hint="default"/>
      </w:rPr>
    </w:lvl>
    <w:lvl w:ilvl="3" w:tplc="E6A62AAA" w:tentative="1">
      <w:start w:val="1"/>
      <w:numFmt w:val="bullet"/>
      <w:lvlText w:val=""/>
      <w:lvlJc w:val="left"/>
      <w:pPr>
        <w:tabs>
          <w:tab w:val="num" w:pos="2880"/>
        </w:tabs>
        <w:ind w:left="2880" w:hanging="360"/>
      </w:pPr>
      <w:rPr>
        <w:rFonts w:ascii="Symbol" w:hAnsi="Symbol" w:hint="default"/>
      </w:rPr>
    </w:lvl>
    <w:lvl w:ilvl="4" w:tplc="478052AA" w:tentative="1">
      <w:start w:val="1"/>
      <w:numFmt w:val="bullet"/>
      <w:lvlText w:val="o"/>
      <w:lvlJc w:val="left"/>
      <w:pPr>
        <w:tabs>
          <w:tab w:val="num" w:pos="3600"/>
        </w:tabs>
        <w:ind w:left="3600" w:hanging="360"/>
      </w:pPr>
      <w:rPr>
        <w:rFonts w:ascii="Courier New" w:hAnsi="Courier New" w:cs="Courier New" w:hint="default"/>
      </w:rPr>
    </w:lvl>
    <w:lvl w:ilvl="5" w:tplc="C3C4AA4E" w:tentative="1">
      <w:start w:val="1"/>
      <w:numFmt w:val="bullet"/>
      <w:lvlText w:val=""/>
      <w:lvlJc w:val="left"/>
      <w:pPr>
        <w:tabs>
          <w:tab w:val="num" w:pos="4320"/>
        </w:tabs>
        <w:ind w:left="4320" w:hanging="360"/>
      </w:pPr>
      <w:rPr>
        <w:rFonts w:ascii="Wingdings" w:hAnsi="Wingdings" w:hint="default"/>
      </w:rPr>
    </w:lvl>
    <w:lvl w:ilvl="6" w:tplc="1F88F248" w:tentative="1">
      <w:start w:val="1"/>
      <w:numFmt w:val="bullet"/>
      <w:lvlText w:val=""/>
      <w:lvlJc w:val="left"/>
      <w:pPr>
        <w:tabs>
          <w:tab w:val="num" w:pos="5040"/>
        </w:tabs>
        <w:ind w:left="5040" w:hanging="360"/>
      </w:pPr>
      <w:rPr>
        <w:rFonts w:ascii="Symbol" w:hAnsi="Symbol" w:hint="default"/>
      </w:rPr>
    </w:lvl>
    <w:lvl w:ilvl="7" w:tplc="3764445C" w:tentative="1">
      <w:start w:val="1"/>
      <w:numFmt w:val="bullet"/>
      <w:lvlText w:val="o"/>
      <w:lvlJc w:val="left"/>
      <w:pPr>
        <w:tabs>
          <w:tab w:val="num" w:pos="5760"/>
        </w:tabs>
        <w:ind w:left="5760" w:hanging="360"/>
      </w:pPr>
      <w:rPr>
        <w:rFonts w:ascii="Courier New" w:hAnsi="Courier New" w:cs="Courier New" w:hint="default"/>
      </w:rPr>
    </w:lvl>
    <w:lvl w:ilvl="8" w:tplc="0792AFA2"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4F5821DB"/>
    <w:multiLevelType w:val="hybridMultilevel"/>
    <w:tmpl w:val="EBDE4554"/>
    <w:name w:val="WW8Num152"/>
    <w:lvl w:ilvl="0" w:tplc="8FA415F4">
      <w:start w:val="1"/>
      <w:numFmt w:val="lowerLetter"/>
      <w:lvlText w:val="%1)"/>
      <w:lvlJc w:val="left"/>
      <w:pPr>
        <w:tabs>
          <w:tab w:val="num" w:pos="1069"/>
        </w:tabs>
        <w:ind w:left="1069"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4FB80A4D"/>
    <w:multiLevelType w:val="multilevel"/>
    <w:tmpl w:val="EEC6A9A4"/>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8" w15:restartNumberingAfterBreak="0">
    <w:nsid w:val="51E57AB6"/>
    <w:multiLevelType w:val="hybridMultilevel"/>
    <w:tmpl w:val="D1A07FF8"/>
    <w:lvl w:ilvl="0" w:tplc="81E01108">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53DB3A6E"/>
    <w:multiLevelType w:val="hybridMultilevel"/>
    <w:tmpl w:val="994EBA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54D06CE6"/>
    <w:multiLevelType w:val="hybridMultilevel"/>
    <w:tmpl w:val="F2CAF5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57C90599"/>
    <w:multiLevelType w:val="hybridMultilevel"/>
    <w:tmpl w:val="D916B4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57FC1A21"/>
    <w:multiLevelType w:val="hybridMultilevel"/>
    <w:tmpl w:val="2090C0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58423127"/>
    <w:multiLevelType w:val="hybridMultilevel"/>
    <w:tmpl w:val="D542E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5B227428"/>
    <w:multiLevelType w:val="hybridMultilevel"/>
    <w:tmpl w:val="873ED2D6"/>
    <w:lvl w:ilvl="0" w:tplc="81E01108">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5C28360A"/>
    <w:multiLevelType w:val="hybridMultilevel"/>
    <w:tmpl w:val="DBF84E8A"/>
    <w:lvl w:ilvl="0" w:tplc="ECD69330">
      <w:start w:val="1"/>
      <w:numFmt w:val="bullet"/>
      <w:pStyle w:val="ODRKY0"/>
      <w:lvlText w:val="-"/>
      <w:lvlJc w:val="left"/>
      <w:pPr>
        <w:tabs>
          <w:tab w:val="num" w:pos="1066"/>
        </w:tabs>
        <w:ind w:left="1066" w:hanging="357"/>
      </w:pPr>
      <w:rPr>
        <w:rFonts w:ascii="Times New Roman" w:hAnsi="Times New Roman" w:cs="Times New Roman"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5C644386"/>
    <w:multiLevelType w:val="hybridMultilevel"/>
    <w:tmpl w:val="7AA6A8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15:restartNumberingAfterBreak="0">
    <w:nsid w:val="5CE223F2"/>
    <w:multiLevelType w:val="hybridMultilevel"/>
    <w:tmpl w:val="04B0580C"/>
    <w:lvl w:ilvl="0" w:tplc="688406A4">
      <w:start w:val="1"/>
      <w:numFmt w:val="lowerLetter"/>
      <w:lvlText w:val="%1)"/>
      <w:lvlJc w:val="left"/>
      <w:pPr>
        <w:ind w:left="284" w:firstLine="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8" w15:restartNumberingAfterBreak="0">
    <w:nsid w:val="5DB53381"/>
    <w:multiLevelType w:val="multilevel"/>
    <w:tmpl w:val="833ACA8C"/>
    <w:lvl w:ilvl="0">
      <w:start w:val="1"/>
      <w:numFmt w:val="decimal"/>
      <w:pStyle w:val="KOMNadp1"/>
      <w:suff w:val="space"/>
      <w:lvlText w:val="%1."/>
      <w:lvlJc w:val="left"/>
      <w:pPr>
        <w:ind w:left="360" w:hanging="360"/>
      </w:pPr>
      <w:rPr>
        <w:rFonts w:hint="default"/>
        <w:color w:val="auto"/>
      </w:rPr>
    </w:lvl>
    <w:lvl w:ilvl="1">
      <w:start w:val="1"/>
      <w:numFmt w:val="decimal"/>
      <w:pStyle w:val="KOMnadp2"/>
      <w:suff w:val="space"/>
      <w:lvlText w:val="%1.%2."/>
      <w:lvlJc w:val="left"/>
      <w:pPr>
        <w:ind w:left="454" w:hanging="454"/>
      </w:pPr>
      <w:rPr>
        <w:rFonts w:hint="default"/>
      </w:rPr>
    </w:lvl>
    <w:lvl w:ilvl="2">
      <w:start w:val="1"/>
      <w:numFmt w:val="decimal"/>
      <w:pStyle w:val="KOMnadp3"/>
      <w:suff w:val="space"/>
      <w:lvlText w:val="%1.%2.%3."/>
      <w:lvlJc w:val="left"/>
      <w:pPr>
        <w:ind w:left="57" w:hanging="57"/>
      </w:pPr>
      <w:rPr>
        <w:rFonts w:hint="default"/>
      </w:rPr>
    </w:lvl>
    <w:lvl w:ilvl="3">
      <w:start w:val="1"/>
      <w:numFmt w:val="decimal"/>
      <w:pStyle w:val="komnadp4"/>
      <w:suff w:val="space"/>
      <w:lvlText w:val="%1.%2.%3.%4."/>
      <w:lvlJc w:val="left"/>
      <w:pPr>
        <w:ind w:left="57" w:hanging="5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9" w15:restartNumberingAfterBreak="0">
    <w:nsid w:val="603E0610"/>
    <w:multiLevelType w:val="hybridMultilevel"/>
    <w:tmpl w:val="1878046C"/>
    <w:lvl w:ilvl="0" w:tplc="81E01108">
      <w:start w:val="1"/>
      <w:numFmt w:val="bullet"/>
      <w:lvlText w:val=""/>
      <w:lvlJc w:val="left"/>
      <w:pPr>
        <w:ind w:left="1803" w:hanging="360"/>
      </w:pPr>
      <w:rPr>
        <w:rFonts w:ascii="Wingdings" w:hAnsi="Wingdings" w:hint="default"/>
        <w:color w:val="auto"/>
      </w:rPr>
    </w:lvl>
    <w:lvl w:ilvl="1" w:tplc="04050003" w:tentative="1">
      <w:start w:val="1"/>
      <w:numFmt w:val="bullet"/>
      <w:lvlText w:val="o"/>
      <w:lvlJc w:val="left"/>
      <w:pPr>
        <w:ind w:left="2523" w:hanging="360"/>
      </w:pPr>
      <w:rPr>
        <w:rFonts w:ascii="Courier New" w:hAnsi="Courier New" w:cs="Courier New" w:hint="default"/>
      </w:rPr>
    </w:lvl>
    <w:lvl w:ilvl="2" w:tplc="04050005" w:tentative="1">
      <w:start w:val="1"/>
      <w:numFmt w:val="bullet"/>
      <w:lvlText w:val=""/>
      <w:lvlJc w:val="left"/>
      <w:pPr>
        <w:ind w:left="3243" w:hanging="360"/>
      </w:pPr>
      <w:rPr>
        <w:rFonts w:ascii="Wingdings" w:hAnsi="Wingdings" w:hint="default"/>
      </w:rPr>
    </w:lvl>
    <w:lvl w:ilvl="3" w:tplc="04050001" w:tentative="1">
      <w:start w:val="1"/>
      <w:numFmt w:val="bullet"/>
      <w:lvlText w:val=""/>
      <w:lvlJc w:val="left"/>
      <w:pPr>
        <w:ind w:left="3963" w:hanging="360"/>
      </w:pPr>
      <w:rPr>
        <w:rFonts w:ascii="Symbol" w:hAnsi="Symbol" w:hint="default"/>
      </w:rPr>
    </w:lvl>
    <w:lvl w:ilvl="4" w:tplc="04050003" w:tentative="1">
      <w:start w:val="1"/>
      <w:numFmt w:val="bullet"/>
      <w:lvlText w:val="o"/>
      <w:lvlJc w:val="left"/>
      <w:pPr>
        <w:ind w:left="4683" w:hanging="360"/>
      </w:pPr>
      <w:rPr>
        <w:rFonts w:ascii="Courier New" w:hAnsi="Courier New" w:cs="Courier New" w:hint="default"/>
      </w:rPr>
    </w:lvl>
    <w:lvl w:ilvl="5" w:tplc="04050005" w:tentative="1">
      <w:start w:val="1"/>
      <w:numFmt w:val="bullet"/>
      <w:lvlText w:val=""/>
      <w:lvlJc w:val="left"/>
      <w:pPr>
        <w:ind w:left="5403" w:hanging="360"/>
      </w:pPr>
      <w:rPr>
        <w:rFonts w:ascii="Wingdings" w:hAnsi="Wingdings" w:hint="default"/>
      </w:rPr>
    </w:lvl>
    <w:lvl w:ilvl="6" w:tplc="04050001" w:tentative="1">
      <w:start w:val="1"/>
      <w:numFmt w:val="bullet"/>
      <w:lvlText w:val=""/>
      <w:lvlJc w:val="left"/>
      <w:pPr>
        <w:ind w:left="6123" w:hanging="360"/>
      </w:pPr>
      <w:rPr>
        <w:rFonts w:ascii="Symbol" w:hAnsi="Symbol" w:hint="default"/>
      </w:rPr>
    </w:lvl>
    <w:lvl w:ilvl="7" w:tplc="04050003" w:tentative="1">
      <w:start w:val="1"/>
      <w:numFmt w:val="bullet"/>
      <w:lvlText w:val="o"/>
      <w:lvlJc w:val="left"/>
      <w:pPr>
        <w:ind w:left="6843" w:hanging="360"/>
      </w:pPr>
      <w:rPr>
        <w:rFonts w:ascii="Courier New" w:hAnsi="Courier New" w:cs="Courier New" w:hint="default"/>
      </w:rPr>
    </w:lvl>
    <w:lvl w:ilvl="8" w:tplc="04050005" w:tentative="1">
      <w:start w:val="1"/>
      <w:numFmt w:val="bullet"/>
      <w:lvlText w:val=""/>
      <w:lvlJc w:val="left"/>
      <w:pPr>
        <w:ind w:left="7563" w:hanging="360"/>
      </w:pPr>
      <w:rPr>
        <w:rFonts w:ascii="Wingdings" w:hAnsi="Wingdings" w:hint="default"/>
      </w:rPr>
    </w:lvl>
  </w:abstractNum>
  <w:abstractNum w:abstractNumId="110" w15:restartNumberingAfterBreak="0">
    <w:nsid w:val="61276E05"/>
    <w:multiLevelType w:val="multilevel"/>
    <w:tmpl w:val="C0982D08"/>
    <w:numStyleLink w:val="Styl2"/>
  </w:abstractNum>
  <w:abstractNum w:abstractNumId="111" w15:restartNumberingAfterBreak="0">
    <w:nsid w:val="616F38EB"/>
    <w:multiLevelType w:val="hybridMultilevel"/>
    <w:tmpl w:val="BD2E2BBE"/>
    <w:lvl w:ilvl="0" w:tplc="E5245304">
      <w:start w:val="1"/>
      <w:numFmt w:val="bullet"/>
      <w:lvlText w:val=""/>
      <w:lvlJc w:val="left"/>
      <w:pPr>
        <w:tabs>
          <w:tab w:val="num" w:pos="720"/>
        </w:tabs>
        <w:ind w:left="720" w:hanging="360"/>
      </w:pPr>
      <w:rPr>
        <w:rFonts w:ascii="Symbol" w:hAnsi="Symbol" w:hint="default"/>
      </w:rPr>
    </w:lvl>
    <w:lvl w:ilvl="1" w:tplc="36107BA0" w:tentative="1">
      <w:start w:val="1"/>
      <w:numFmt w:val="bullet"/>
      <w:lvlText w:val="o"/>
      <w:lvlJc w:val="left"/>
      <w:pPr>
        <w:tabs>
          <w:tab w:val="num" w:pos="1440"/>
        </w:tabs>
        <w:ind w:left="1440" w:hanging="360"/>
      </w:pPr>
      <w:rPr>
        <w:rFonts w:ascii="Courier New" w:hAnsi="Courier New" w:cs="Courier New" w:hint="default"/>
      </w:rPr>
    </w:lvl>
    <w:lvl w:ilvl="2" w:tplc="2D60228E" w:tentative="1">
      <w:start w:val="1"/>
      <w:numFmt w:val="bullet"/>
      <w:lvlText w:val=""/>
      <w:lvlJc w:val="left"/>
      <w:pPr>
        <w:tabs>
          <w:tab w:val="num" w:pos="2160"/>
        </w:tabs>
        <w:ind w:left="2160" w:hanging="360"/>
      </w:pPr>
      <w:rPr>
        <w:rFonts w:ascii="Wingdings" w:hAnsi="Wingdings" w:hint="default"/>
      </w:rPr>
    </w:lvl>
    <w:lvl w:ilvl="3" w:tplc="08B422B8" w:tentative="1">
      <w:start w:val="1"/>
      <w:numFmt w:val="bullet"/>
      <w:lvlText w:val=""/>
      <w:lvlJc w:val="left"/>
      <w:pPr>
        <w:tabs>
          <w:tab w:val="num" w:pos="2880"/>
        </w:tabs>
        <w:ind w:left="2880" w:hanging="360"/>
      </w:pPr>
      <w:rPr>
        <w:rFonts w:ascii="Symbol" w:hAnsi="Symbol" w:hint="default"/>
      </w:rPr>
    </w:lvl>
    <w:lvl w:ilvl="4" w:tplc="46AA784E" w:tentative="1">
      <w:start w:val="1"/>
      <w:numFmt w:val="bullet"/>
      <w:lvlText w:val="o"/>
      <w:lvlJc w:val="left"/>
      <w:pPr>
        <w:tabs>
          <w:tab w:val="num" w:pos="3600"/>
        </w:tabs>
        <w:ind w:left="3600" w:hanging="360"/>
      </w:pPr>
      <w:rPr>
        <w:rFonts w:ascii="Courier New" w:hAnsi="Courier New" w:cs="Courier New" w:hint="default"/>
      </w:rPr>
    </w:lvl>
    <w:lvl w:ilvl="5" w:tplc="D11A6AC6" w:tentative="1">
      <w:start w:val="1"/>
      <w:numFmt w:val="bullet"/>
      <w:lvlText w:val=""/>
      <w:lvlJc w:val="left"/>
      <w:pPr>
        <w:tabs>
          <w:tab w:val="num" w:pos="4320"/>
        </w:tabs>
        <w:ind w:left="4320" w:hanging="360"/>
      </w:pPr>
      <w:rPr>
        <w:rFonts w:ascii="Wingdings" w:hAnsi="Wingdings" w:hint="default"/>
      </w:rPr>
    </w:lvl>
    <w:lvl w:ilvl="6" w:tplc="BC00C0FC" w:tentative="1">
      <w:start w:val="1"/>
      <w:numFmt w:val="bullet"/>
      <w:lvlText w:val=""/>
      <w:lvlJc w:val="left"/>
      <w:pPr>
        <w:tabs>
          <w:tab w:val="num" w:pos="5040"/>
        </w:tabs>
        <w:ind w:left="5040" w:hanging="360"/>
      </w:pPr>
      <w:rPr>
        <w:rFonts w:ascii="Symbol" w:hAnsi="Symbol" w:hint="default"/>
      </w:rPr>
    </w:lvl>
    <w:lvl w:ilvl="7" w:tplc="3F342CA6" w:tentative="1">
      <w:start w:val="1"/>
      <w:numFmt w:val="bullet"/>
      <w:lvlText w:val="o"/>
      <w:lvlJc w:val="left"/>
      <w:pPr>
        <w:tabs>
          <w:tab w:val="num" w:pos="5760"/>
        </w:tabs>
        <w:ind w:left="5760" w:hanging="360"/>
      </w:pPr>
      <w:rPr>
        <w:rFonts w:ascii="Courier New" w:hAnsi="Courier New" w:cs="Courier New" w:hint="default"/>
      </w:rPr>
    </w:lvl>
    <w:lvl w:ilvl="8" w:tplc="65E8D9A4"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1710145"/>
    <w:multiLevelType w:val="hybridMultilevel"/>
    <w:tmpl w:val="AF724C2C"/>
    <w:lvl w:ilvl="0" w:tplc="04050001">
      <w:start w:val="1"/>
      <w:numFmt w:val="bullet"/>
      <w:lvlText w:val=""/>
      <w:lvlJc w:val="left"/>
      <w:pPr>
        <w:tabs>
          <w:tab w:val="num" w:pos="1077"/>
        </w:tabs>
        <w:ind w:left="1077" w:hanging="360"/>
      </w:pPr>
      <w:rPr>
        <w:rFonts w:ascii="Symbol" w:hAnsi="Symbol" w:hint="default"/>
        <w:color w:val="auto"/>
      </w:rPr>
    </w:lvl>
    <w:lvl w:ilvl="1" w:tplc="04050003" w:tentative="1">
      <w:start w:val="1"/>
      <w:numFmt w:val="bullet"/>
      <w:lvlText w:val="o"/>
      <w:lvlJc w:val="left"/>
      <w:pPr>
        <w:tabs>
          <w:tab w:val="num" w:pos="1797"/>
        </w:tabs>
        <w:ind w:left="1797" w:hanging="360"/>
      </w:pPr>
      <w:rPr>
        <w:rFonts w:ascii="Courier New" w:hAnsi="Courier New" w:cs="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cs="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cs="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113" w15:restartNumberingAfterBreak="0">
    <w:nsid w:val="6290729D"/>
    <w:multiLevelType w:val="hybridMultilevel"/>
    <w:tmpl w:val="E886DF22"/>
    <w:lvl w:ilvl="0" w:tplc="BC0459FA">
      <w:start w:val="1"/>
      <w:numFmt w:val="bullet"/>
      <w:lvlText w:val=""/>
      <w:lvlJc w:val="left"/>
      <w:pPr>
        <w:ind w:left="1080" w:hanging="360"/>
      </w:pPr>
      <w:rPr>
        <w:rFonts w:ascii="Symbol" w:hAnsi="Symbol"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4" w15:restartNumberingAfterBreak="0">
    <w:nsid w:val="643F1437"/>
    <w:multiLevelType w:val="hybridMultilevel"/>
    <w:tmpl w:val="676647F4"/>
    <w:name w:val="WW8Num63"/>
    <w:lvl w:ilvl="0" w:tplc="04050017">
      <w:start w:val="1"/>
      <w:numFmt w:val="bullet"/>
      <w:lvlText w:val=""/>
      <w:lvlJc w:val="left"/>
      <w:pPr>
        <w:tabs>
          <w:tab w:val="num" w:pos="720"/>
        </w:tabs>
        <w:ind w:left="720" w:hanging="360"/>
      </w:pPr>
      <w:rPr>
        <w:rFonts w:ascii="Symbol" w:hAnsi="Symbol" w:hint="default"/>
        <w:color w:val="auto"/>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5F95577"/>
    <w:multiLevelType w:val="hybridMultilevel"/>
    <w:tmpl w:val="D97034E2"/>
    <w:lvl w:ilvl="0" w:tplc="04050003">
      <w:start w:val="1"/>
      <w:numFmt w:val="bullet"/>
      <w:lvlText w:val="o"/>
      <w:lvlJc w:val="left"/>
      <w:pPr>
        <w:ind w:left="1429" w:hanging="360"/>
      </w:pPr>
      <w:rPr>
        <w:rFonts w:ascii="Courier New" w:hAnsi="Courier New" w:cs="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6" w15:restartNumberingAfterBreak="0">
    <w:nsid w:val="672A144D"/>
    <w:multiLevelType w:val="hybridMultilevel"/>
    <w:tmpl w:val="2600497E"/>
    <w:lvl w:ilvl="0" w:tplc="81E01108">
      <w:start w:val="1"/>
      <w:numFmt w:val="bullet"/>
      <w:lvlText w:val=""/>
      <w:lvlJc w:val="left"/>
      <w:pPr>
        <w:tabs>
          <w:tab w:val="num" w:pos="794"/>
        </w:tabs>
        <w:ind w:left="794" w:hanging="227"/>
      </w:pPr>
      <w:rPr>
        <w:rFonts w:ascii="Symbol" w:hAnsi="Symbol" w:hint="default"/>
        <w:color w:val="auto"/>
      </w:rPr>
    </w:lvl>
    <w:lvl w:ilvl="1" w:tplc="04050003">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698E2C83"/>
    <w:multiLevelType w:val="hybridMultilevel"/>
    <w:tmpl w:val="3A787BA2"/>
    <w:lvl w:ilvl="0" w:tplc="504E149A">
      <w:start w:val="1"/>
      <w:numFmt w:val="bullet"/>
      <w:pStyle w:val="Seznamsodrkami1"/>
      <w:lvlText w:val=""/>
      <w:lvlJc w:val="left"/>
      <w:pPr>
        <w:tabs>
          <w:tab w:val="num" w:pos="2160"/>
        </w:tabs>
        <w:ind w:left="21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69BD413B"/>
    <w:multiLevelType w:val="multilevel"/>
    <w:tmpl w:val="C0982D08"/>
    <w:styleLink w:val="Styl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9" w15:restartNumberingAfterBreak="0">
    <w:nsid w:val="6B835EBC"/>
    <w:multiLevelType w:val="hybridMultilevel"/>
    <w:tmpl w:val="5628D3B6"/>
    <w:lvl w:ilvl="0" w:tplc="368ABE34">
      <w:start w:val="1"/>
      <w:numFmt w:val="bullet"/>
      <w:lvlText w:val=""/>
      <w:lvlJc w:val="left"/>
      <w:pPr>
        <w:ind w:left="1854"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0" w15:restartNumberingAfterBreak="0">
    <w:nsid w:val="6D3B4987"/>
    <w:multiLevelType w:val="hybridMultilevel"/>
    <w:tmpl w:val="FF82B2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1" w15:restartNumberingAfterBreak="0">
    <w:nsid w:val="6D4073EE"/>
    <w:multiLevelType w:val="hybridMultilevel"/>
    <w:tmpl w:val="979EFCE4"/>
    <w:lvl w:ilvl="0" w:tplc="DB5607D2">
      <w:start w:val="1"/>
      <w:numFmt w:val="bullet"/>
      <w:lvlText w:val=""/>
      <w:lvlJc w:val="left"/>
      <w:pPr>
        <w:tabs>
          <w:tab w:val="num" w:pos="1080"/>
        </w:tabs>
        <w:ind w:left="1080" w:hanging="360"/>
      </w:pPr>
      <w:rPr>
        <w:rFonts w:ascii="Wingdings" w:hAnsi="Wingdings" w:hint="default"/>
      </w:rPr>
    </w:lvl>
    <w:lvl w:ilvl="1" w:tplc="4A96AC7C" w:tentative="1">
      <w:start w:val="1"/>
      <w:numFmt w:val="bullet"/>
      <w:lvlText w:val="o"/>
      <w:lvlJc w:val="left"/>
      <w:pPr>
        <w:tabs>
          <w:tab w:val="num" w:pos="1800"/>
        </w:tabs>
        <w:ind w:left="1800" w:hanging="360"/>
      </w:pPr>
      <w:rPr>
        <w:rFonts w:ascii="Courier New" w:hAnsi="Courier New" w:cs="Courier New" w:hint="default"/>
      </w:rPr>
    </w:lvl>
    <w:lvl w:ilvl="2" w:tplc="9CA877E8" w:tentative="1">
      <w:start w:val="1"/>
      <w:numFmt w:val="bullet"/>
      <w:lvlText w:val=""/>
      <w:lvlJc w:val="left"/>
      <w:pPr>
        <w:tabs>
          <w:tab w:val="num" w:pos="2520"/>
        </w:tabs>
        <w:ind w:left="2520" w:hanging="360"/>
      </w:pPr>
      <w:rPr>
        <w:rFonts w:ascii="Wingdings" w:hAnsi="Wingdings" w:hint="default"/>
      </w:rPr>
    </w:lvl>
    <w:lvl w:ilvl="3" w:tplc="811C8F00" w:tentative="1">
      <w:start w:val="1"/>
      <w:numFmt w:val="bullet"/>
      <w:lvlText w:val=""/>
      <w:lvlJc w:val="left"/>
      <w:pPr>
        <w:tabs>
          <w:tab w:val="num" w:pos="3240"/>
        </w:tabs>
        <w:ind w:left="3240" w:hanging="360"/>
      </w:pPr>
      <w:rPr>
        <w:rFonts w:ascii="Symbol" w:hAnsi="Symbol" w:hint="default"/>
      </w:rPr>
    </w:lvl>
    <w:lvl w:ilvl="4" w:tplc="93188CF0" w:tentative="1">
      <w:start w:val="1"/>
      <w:numFmt w:val="bullet"/>
      <w:lvlText w:val="o"/>
      <w:lvlJc w:val="left"/>
      <w:pPr>
        <w:tabs>
          <w:tab w:val="num" w:pos="3960"/>
        </w:tabs>
        <w:ind w:left="3960" w:hanging="360"/>
      </w:pPr>
      <w:rPr>
        <w:rFonts w:ascii="Courier New" w:hAnsi="Courier New" w:cs="Courier New" w:hint="default"/>
      </w:rPr>
    </w:lvl>
    <w:lvl w:ilvl="5" w:tplc="6EE82092" w:tentative="1">
      <w:start w:val="1"/>
      <w:numFmt w:val="bullet"/>
      <w:lvlText w:val=""/>
      <w:lvlJc w:val="left"/>
      <w:pPr>
        <w:tabs>
          <w:tab w:val="num" w:pos="4680"/>
        </w:tabs>
        <w:ind w:left="4680" w:hanging="360"/>
      </w:pPr>
      <w:rPr>
        <w:rFonts w:ascii="Wingdings" w:hAnsi="Wingdings" w:hint="default"/>
      </w:rPr>
    </w:lvl>
    <w:lvl w:ilvl="6" w:tplc="DE16953A" w:tentative="1">
      <w:start w:val="1"/>
      <w:numFmt w:val="bullet"/>
      <w:lvlText w:val=""/>
      <w:lvlJc w:val="left"/>
      <w:pPr>
        <w:tabs>
          <w:tab w:val="num" w:pos="5400"/>
        </w:tabs>
        <w:ind w:left="5400" w:hanging="360"/>
      </w:pPr>
      <w:rPr>
        <w:rFonts w:ascii="Symbol" w:hAnsi="Symbol" w:hint="default"/>
      </w:rPr>
    </w:lvl>
    <w:lvl w:ilvl="7" w:tplc="472AA3FA" w:tentative="1">
      <w:start w:val="1"/>
      <w:numFmt w:val="bullet"/>
      <w:lvlText w:val="o"/>
      <w:lvlJc w:val="left"/>
      <w:pPr>
        <w:tabs>
          <w:tab w:val="num" w:pos="6120"/>
        </w:tabs>
        <w:ind w:left="6120" w:hanging="360"/>
      </w:pPr>
      <w:rPr>
        <w:rFonts w:ascii="Courier New" w:hAnsi="Courier New" w:cs="Courier New" w:hint="default"/>
      </w:rPr>
    </w:lvl>
    <w:lvl w:ilvl="8" w:tplc="5282D85A" w:tentative="1">
      <w:start w:val="1"/>
      <w:numFmt w:val="bullet"/>
      <w:lvlText w:val=""/>
      <w:lvlJc w:val="left"/>
      <w:pPr>
        <w:tabs>
          <w:tab w:val="num" w:pos="6840"/>
        </w:tabs>
        <w:ind w:left="6840" w:hanging="360"/>
      </w:pPr>
      <w:rPr>
        <w:rFonts w:ascii="Wingdings" w:hAnsi="Wingdings" w:hint="default"/>
      </w:rPr>
    </w:lvl>
  </w:abstractNum>
  <w:abstractNum w:abstractNumId="122" w15:restartNumberingAfterBreak="0">
    <w:nsid w:val="700A7CC0"/>
    <w:multiLevelType w:val="hybridMultilevel"/>
    <w:tmpl w:val="5FD8556E"/>
    <w:name w:val="WW8Num452"/>
    <w:lvl w:ilvl="0" w:tplc="504E149A">
      <w:start w:val="1"/>
      <w:numFmt w:val="lowerLetter"/>
      <w:lvlText w:val="%1)"/>
      <w:lvlJc w:val="left"/>
      <w:pPr>
        <w:tabs>
          <w:tab w:val="num" w:pos="1429"/>
        </w:tabs>
        <w:ind w:left="1429"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739A2226"/>
    <w:multiLevelType w:val="hybridMultilevel"/>
    <w:tmpl w:val="0332F5A0"/>
    <w:lvl w:ilvl="0" w:tplc="0405000B">
      <w:start w:val="1"/>
      <w:numFmt w:val="bullet"/>
      <w:lvlText w:val=""/>
      <w:lvlJc w:val="left"/>
      <w:pPr>
        <w:ind w:left="1803" w:hanging="360"/>
      </w:pPr>
      <w:rPr>
        <w:rFonts w:ascii="Wingdings" w:hAnsi="Wingdings" w:hint="default"/>
      </w:rPr>
    </w:lvl>
    <w:lvl w:ilvl="1" w:tplc="04050003" w:tentative="1">
      <w:start w:val="1"/>
      <w:numFmt w:val="bullet"/>
      <w:lvlText w:val="o"/>
      <w:lvlJc w:val="left"/>
      <w:pPr>
        <w:ind w:left="2523" w:hanging="360"/>
      </w:pPr>
      <w:rPr>
        <w:rFonts w:ascii="Courier New" w:hAnsi="Courier New" w:cs="Courier New" w:hint="default"/>
      </w:rPr>
    </w:lvl>
    <w:lvl w:ilvl="2" w:tplc="04050005" w:tentative="1">
      <w:start w:val="1"/>
      <w:numFmt w:val="bullet"/>
      <w:lvlText w:val=""/>
      <w:lvlJc w:val="left"/>
      <w:pPr>
        <w:ind w:left="3243" w:hanging="360"/>
      </w:pPr>
      <w:rPr>
        <w:rFonts w:ascii="Wingdings" w:hAnsi="Wingdings" w:hint="default"/>
      </w:rPr>
    </w:lvl>
    <w:lvl w:ilvl="3" w:tplc="04050001" w:tentative="1">
      <w:start w:val="1"/>
      <w:numFmt w:val="bullet"/>
      <w:lvlText w:val=""/>
      <w:lvlJc w:val="left"/>
      <w:pPr>
        <w:ind w:left="3963" w:hanging="360"/>
      </w:pPr>
      <w:rPr>
        <w:rFonts w:ascii="Symbol" w:hAnsi="Symbol" w:hint="default"/>
      </w:rPr>
    </w:lvl>
    <w:lvl w:ilvl="4" w:tplc="04050003" w:tentative="1">
      <w:start w:val="1"/>
      <w:numFmt w:val="bullet"/>
      <w:lvlText w:val="o"/>
      <w:lvlJc w:val="left"/>
      <w:pPr>
        <w:ind w:left="4683" w:hanging="360"/>
      </w:pPr>
      <w:rPr>
        <w:rFonts w:ascii="Courier New" w:hAnsi="Courier New" w:cs="Courier New" w:hint="default"/>
      </w:rPr>
    </w:lvl>
    <w:lvl w:ilvl="5" w:tplc="04050005" w:tentative="1">
      <w:start w:val="1"/>
      <w:numFmt w:val="bullet"/>
      <w:lvlText w:val=""/>
      <w:lvlJc w:val="left"/>
      <w:pPr>
        <w:ind w:left="5403" w:hanging="360"/>
      </w:pPr>
      <w:rPr>
        <w:rFonts w:ascii="Wingdings" w:hAnsi="Wingdings" w:hint="default"/>
      </w:rPr>
    </w:lvl>
    <w:lvl w:ilvl="6" w:tplc="04050001" w:tentative="1">
      <w:start w:val="1"/>
      <w:numFmt w:val="bullet"/>
      <w:lvlText w:val=""/>
      <w:lvlJc w:val="left"/>
      <w:pPr>
        <w:ind w:left="6123" w:hanging="360"/>
      </w:pPr>
      <w:rPr>
        <w:rFonts w:ascii="Symbol" w:hAnsi="Symbol" w:hint="default"/>
      </w:rPr>
    </w:lvl>
    <w:lvl w:ilvl="7" w:tplc="04050003" w:tentative="1">
      <w:start w:val="1"/>
      <w:numFmt w:val="bullet"/>
      <w:lvlText w:val="o"/>
      <w:lvlJc w:val="left"/>
      <w:pPr>
        <w:ind w:left="6843" w:hanging="360"/>
      </w:pPr>
      <w:rPr>
        <w:rFonts w:ascii="Courier New" w:hAnsi="Courier New" w:cs="Courier New" w:hint="default"/>
      </w:rPr>
    </w:lvl>
    <w:lvl w:ilvl="8" w:tplc="04050005" w:tentative="1">
      <w:start w:val="1"/>
      <w:numFmt w:val="bullet"/>
      <w:lvlText w:val=""/>
      <w:lvlJc w:val="left"/>
      <w:pPr>
        <w:ind w:left="7563" w:hanging="360"/>
      </w:pPr>
      <w:rPr>
        <w:rFonts w:ascii="Wingdings" w:hAnsi="Wingdings" w:hint="default"/>
      </w:rPr>
    </w:lvl>
  </w:abstractNum>
  <w:abstractNum w:abstractNumId="124" w15:restartNumberingAfterBreak="0">
    <w:nsid w:val="73E73D56"/>
    <w:multiLevelType w:val="multilevel"/>
    <w:tmpl w:val="D584DECE"/>
    <w:lvl w:ilvl="0">
      <w:start w:val="1"/>
      <w:numFmt w:val="decimal"/>
      <w:pStyle w:val="Nadpis10"/>
      <w:lvlText w:val="%1"/>
      <w:lvlJc w:val="left"/>
      <w:pPr>
        <w:ind w:left="432" w:hanging="432"/>
      </w:pPr>
      <w:rPr>
        <w:rFonts w:hint="default"/>
        <w:color w:val="auto"/>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5" w15:restartNumberingAfterBreak="0">
    <w:nsid w:val="754B0699"/>
    <w:multiLevelType w:val="hybridMultilevel"/>
    <w:tmpl w:val="8E0E3280"/>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26" w15:restartNumberingAfterBreak="0">
    <w:nsid w:val="757439ED"/>
    <w:multiLevelType w:val="hybridMultilevel"/>
    <w:tmpl w:val="1478B98E"/>
    <w:lvl w:ilvl="0" w:tplc="368ABE34">
      <w:start w:val="1"/>
      <w:numFmt w:val="bullet"/>
      <w:lvlText w:val=""/>
      <w:lvlJc w:val="left"/>
      <w:pPr>
        <w:ind w:left="1854"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7" w15:restartNumberingAfterBreak="0">
    <w:nsid w:val="76457F6C"/>
    <w:multiLevelType w:val="hybridMultilevel"/>
    <w:tmpl w:val="621E9DDC"/>
    <w:lvl w:ilvl="0" w:tplc="FFFFFFFF">
      <w:numFmt w:val="bullet"/>
      <w:pStyle w:val="Odstavec"/>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59BE5886"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790E6CFB"/>
    <w:multiLevelType w:val="hybridMultilevel"/>
    <w:tmpl w:val="5A62D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9" w15:restartNumberingAfterBreak="0">
    <w:nsid w:val="7BA7116C"/>
    <w:multiLevelType w:val="hybridMultilevel"/>
    <w:tmpl w:val="58120D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0" w15:restartNumberingAfterBreak="0">
    <w:nsid w:val="7C3C6B1D"/>
    <w:multiLevelType w:val="multilevel"/>
    <w:tmpl w:val="24DEC494"/>
    <w:lvl w:ilvl="0">
      <w:start w:val="4"/>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1" w15:restartNumberingAfterBreak="0">
    <w:nsid w:val="7C940AAA"/>
    <w:multiLevelType w:val="hybridMultilevel"/>
    <w:tmpl w:val="4064CBD8"/>
    <w:lvl w:ilvl="0" w:tplc="C730F552">
      <w:start w:val="1"/>
      <w:numFmt w:val="lowerLetter"/>
      <w:pStyle w:val="Nadpis7"/>
      <w:lvlText w:val="%1)"/>
      <w:lvlJc w:val="left"/>
      <w:pPr>
        <w:tabs>
          <w:tab w:val="num" w:pos="720"/>
        </w:tabs>
        <w:ind w:left="720" w:hanging="360"/>
      </w:pPr>
      <w:rPr>
        <w:rFonts w:hint="default"/>
        <w:b w:val="0"/>
        <w:u w:val="none"/>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32" w15:restartNumberingAfterBreak="0">
    <w:nsid w:val="7D7379DC"/>
    <w:multiLevelType w:val="hybridMultilevel"/>
    <w:tmpl w:val="A1C0B7DE"/>
    <w:lvl w:ilvl="0" w:tplc="6AFE21E2">
      <w:start w:val="1"/>
      <w:numFmt w:val="bullet"/>
      <w:pStyle w:val="ODRKYBEZMEZER"/>
      <w:lvlText w:val="-"/>
      <w:lvlJc w:val="left"/>
      <w:pPr>
        <w:tabs>
          <w:tab w:val="num" w:pos="1066"/>
        </w:tabs>
        <w:ind w:left="1066" w:hanging="357"/>
      </w:pPr>
      <w:rPr>
        <w:rFonts w:ascii="Times New Roman" w:hAnsi="Times New Roman" w:cs="Times New Roman"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7F930A33"/>
    <w:multiLevelType w:val="hybridMultilevel"/>
    <w:tmpl w:val="09A680AC"/>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4" w15:restartNumberingAfterBreak="0">
    <w:nsid w:val="7FB50F10"/>
    <w:multiLevelType w:val="hybridMultilevel"/>
    <w:tmpl w:val="29088EB0"/>
    <w:lvl w:ilvl="0" w:tplc="04050017">
      <w:start w:val="1"/>
      <w:numFmt w:val="bullet"/>
      <w:lvlText w:val=""/>
      <w:lvlJc w:val="left"/>
      <w:pPr>
        <w:tabs>
          <w:tab w:val="num" w:pos="794"/>
        </w:tabs>
        <w:ind w:left="794" w:hanging="227"/>
      </w:pPr>
      <w:rPr>
        <w:rFonts w:ascii="Symbol" w:hAnsi="Symbol" w:hint="default"/>
        <w:color w:val="auto"/>
      </w:rPr>
    </w:lvl>
    <w:lvl w:ilvl="1" w:tplc="04050019">
      <w:start w:val="1"/>
      <w:numFmt w:val="bullet"/>
      <w:lvlText w:val=""/>
      <w:lvlJc w:val="left"/>
      <w:pPr>
        <w:tabs>
          <w:tab w:val="num" w:pos="1440"/>
        </w:tabs>
        <w:ind w:left="1440" w:hanging="360"/>
      </w:pPr>
      <w:rPr>
        <w:rFonts w:ascii="Symbol" w:hAnsi="Symbol" w:hint="default"/>
        <w:color w:val="auto"/>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num w:numId="1">
    <w:abstractNumId w:val="66"/>
  </w:num>
  <w:num w:numId="2">
    <w:abstractNumId w:val="104"/>
  </w:num>
  <w:num w:numId="3">
    <w:abstractNumId w:val="89"/>
  </w:num>
  <w:num w:numId="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3"/>
  </w:num>
  <w:num w:numId="7">
    <w:abstractNumId w:val="127"/>
  </w:num>
  <w:num w:numId="8">
    <w:abstractNumId w:val="117"/>
  </w:num>
  <w:num w:numId="9">
    <w:abstractNumId w:val="43"/>
  </w:num>
  <w:num w:numId="10">
    <w:abstractNumId w:val="108"/>
  </w:num>
  <w:num w:numId="11">
    <w:abstractNumId w:val="67"/>
  </w:num>
  <w:num w:numId="12">
    <w:abstractNumId w:val="68"/>
  </w:num>
  <w:num w:numId="13">
    <w:abstractNumId w:val="27"/>
  </w:num>
  <w:num w:numId="14">
    <w:abstractNumId w:val="35"/>
  </w:num>
  <w:num w:numId="15">
    <w:abstractNumId w:val="52"/>
  </w:num>
  <w:num w:numId="16">
    <w:abstractNumId w:val="105"/>
  </w:num>
  <w:num w:numId="17">
    <w:abstractNumId w:val="132"/>
  </w:num>
  <w:num w:numId="18">
    <w:abstractNumId w:val="95"/>
  </w:num>
  <w:num w:numId="19">
    <w:abstractNumId w:val="78"/>
  </w:num>
  <w:num w:numId="20">
    <w:abstractNumId w:val="45"/>
  </w:num>
  <w:num w:numId="21">
    <w:abstractNumId w:val="70"/>
  </w:num>
  <w:num w:numId="22">
    <w:abstractNumId w:val="111"/>
  </w:num>
  <w:num w:numId="23">
    <w:abstractNumId w:val="131"/>
  </w:num>
  <w:num w:numId="24">
    <w:abstractNumId w:val="88"/>
  </w:num>
  <w:num w:numId="25">
    <w:abstractNumId w:val="74"/>
  </w:num>
  <w:num w:numId="26">
    <w:abstractNumId w:val="121"/>
  </w:num>
  <w:num w:numId="27">
    <w:abstractNumId w:val="39"/>
  </w:num>
  <w:num w:numId="28">
    <w:abstractNumId w:val="42"/>
  </w:num>
  <w:num w:numId="29">
    <w:abstractNumId w:val="87"/>
  </w:num>
  <w:num w:numId="30">
    <w:abstractNumId w:val="62"/>
  </w:num>
  <w:num w:numId="31">
    <w:abstractNumId w:val="81"/>
  </w:num>
  <w:num w:numId="32">
    <w:abstractNumId w:val="92"/>
  </w:num>
  <w:num w:numId="33">
    <w:abstractNumId w:val="98"/>
  </w:num>
  <w:num w:numId="34">
    <w:abstractNumId w:val="113"/>
  </w:num>
  <w:num w:numId="35">
    <w:abstractNumId w:val="64"/>
  </w:num>
  <w:num w:numId="36">
    <w:abstractNumId w:val="93"/>
  </w:num>
  <w:num w:numId="37">
    <w:abstractNumId w:val="14"/>
  </w:num>
  <w:num w:numId="38">
    <w:abstractNumId w:val="134"/>
  </w:num>
  <w:num w:numId="39">
    <w:abstractNumId w:val="116"/>
  </w:num>
  <w:num w:numId="40">
    <w:abstractNumId w:val="109"/>
  </w:num>
  <w:num w:numId="41">
    <w:abstractNumId w:val="123"/>
  </w:num>
  <w:num w:numId="42">
    <w:abstractNumId w:val="124"/>
  </w:num>
  <w:num w:numId="43">
    <w:abstractNumId w:val="110"/>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576" w:hanging="576"/>
        </w:pPr>
        <w:rPr>
          <w:rFonts w:hint="default"/>
        </w:rPr>
      </w:lvl>
    </w:lvlOverride>
    <w:lvlOverride w:ilvl="2">
      <w:lvl w:ilvl="2">
        <w:start w:val="1"/>
        <w:numFmt w:val="decimal"/>
        <w:pStyle w:val="Nadpis3"/>
        <w:lvlText w:val="%1.%2.%3"/>
        <w:lvlJc w:val="left"/>
        <w:pPr>
          <w:ind w:left="720" w:hanging="720"/>
        </w:pPr>
        <w:rPr>
          <w:rFonts w:hint="default"/>
          <w:color w:val="auto"/>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4">
    <w:abstractNumId w:val="13"/>
  </w:num>
  <w:num w:numId="45">
    <w:abstractNumId w:val="94"/>
  </w:num>
  <w:num w:numId="46">
    <w:abstractNumId w:val="118"/>
  </w:num>
  <w:num w:numId="47">
    <w:abstractNumId w:val="129"/>
  </w:num>
  <w:num w:numId="48">
    <w:abstractNumId w:val="85"/>
  </w:num>
  <w:num w:numId="49">
    <w:abstractNumId w:val="49"/>
  </w:num>
  <w:num w:numId="50">
    <w:abstractNumId w:val="50"/>
  </w:num>
  <w:num w:numId="51">
    <w:abstractNumId w:val="130"/>
  </w:num>
  <w:num w:numId="52">
    <w:abstractNumId w:val="72"/>
  </w:num>
  <w:num w:numId="53">
    <w:abstractNumId w:val="126"/>
  </w:num>
  <w:num w:numId="54">
    <w:abstractNumId w:val="119"/>
  </w:num>
  <w:num w:numId="55">
    <w:abstractNumId w:val="38"/>
  </w:num>
  <w:num w:numId="56">
    <w:abstractNumId w:val="61"/>
  </w:num>
  <w:num w:numId="57">
    <w:abstractNumId w:val="97"/>
  </w:num>
  <w:num w:numId="58">
    <w:abstractNumId w:val="133"/>
  </w:num>
  <w:num w:numId="59">
    <w:abstractNumId w:val="54"/>
  </w:num>
  <w:num w:numId="60">
    <w:abstractNumId w:val="65"/>
  </w:num>
  <w:num w:numId="61">
    <w:abstractNumId w:val="6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4"/>
  </w:num>
  <w:num w:numId="63">
    <w:abstractNumId w:val="91"/>
  </w:num>
  <w:num w:numId="64">
    <w:abstractNumId w:val="63"/>
  </w:num>
  <w:num w:numId="65">
    <w:abstractNumId w:val="107"/>
  </w:num>
  <w:num w:numId="66">
    <w:abstractNumId w:val="131"/>
    <w:lvlOverride w:ilvl="0">
      <w:startOverride w:val="1"/>
    </w:lvlOverride>
  </w:num>
  <w:num w:numId="67">
    <w:abstractNumId w:val="131"/>
    <w:lvlOverride w:ilvl="0">
      <w:startOverride w:val="1"/>
    </w:lvlOverride>
  </w:num>
  <w:num w:numId="68">
    <w:abstractNumId w:val="46"/>
  </w:num>
  <w:num w:numId="69">
    <w:abstractNumId w:val="86"/>
  </w:num>
  <w:num w:numId="70">
    <w:abstractNumId w:val="100"/>
  </w:num>
  <w:num w:numId="71">
    <w:abstractNumId w:val="57"/>
  </w:num>
  <w:num w:numId="72">
    <w:abstractNumId w:val="48"/>
  </w:num>
  <w:num w:numId="73">
    <w:abstractNumId w:val="1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1"/>
  </w:num>
  <w:num w:numId="75">
    <w:abstractNumId w:val="71"/>
  </w:num>
  <w:num w:numId="76">
    <w:abstractNumId w:val="59"/>
  </w:num>
  <w:num w:numId="77">
    <w:abstractNumId w:val="73"/>
  </w:num>
  <w:num w:numId="78">
    <w:abstractNumId w:val="79"/>
  </w:num>
  <w:num w:numId="79">
    <w:abstractNumId w:val="77"/>
  </w:num>
  <w:num w:numId="80">
    <w:abstractNumId w:val="101"/>
  </w:num>
  <w:num w:numId="81">
    <w:abstractNumId w:val="58"/>
  </w:num>
  <w:num w:numId="82">
    <w:abstractNumId w:val="103"/>
  </w:num>
  <w:num w:numId="83">
    <w:abstractNumId w:val="83"/>
  </w:num>
  <w:num w:numId="84">
    <w:abstractNumId w:val="37"/>
  </w:num>
  <w:num w:numId="85">
    <w:abstractNumId w:val="106"/>
  </w:num>
  <w:num w:numId="86">
    <w:abstractNumId w:val="99"/>
  </w:num>
  <w:num w:numId="87">
    <w:abstractNumId w:val="120"/>
  </w:num>
  <w:num w:numId="88">
    <w:abstractNumId w:val="47"/>
  </w:num>
  <w:num w:numId="89">
    <w:abstractNumId w:val="90"/>
  </w:num>
  <w:num w:numId="90">
    <w:abstractNumId w:val="44"/>
  </w:num>
  <w:num w:numId="91">
    <w:abstractNumId w:val="102"/>
  </w:num>
  <w:num w:numId="92">
    <w:abstractNumId w:val="80"/>
  </w:num>
  <w:num w:numId="93">
    <w:abstractNumId w:val="128"/>
  </w:num>
  <w:num w:numId="94">
    <w:abstractNumId w:val="75"/>
  </w:num>
  <w:num w:numId="95">
    <w:abstractNumId w:val="82"/>
  </w:num>
  <w:num w:numId="96">
    <w:abstractNumId w:val="131"/>
    <w:lvlOverride w:ilvl="0">
      <w:startOverride w:val="1"/>
    </w:lvlOverride>
  </w:num>
  <w:num w:numId="97">
    <w:abstractNumId w:val="115"/>
  </w:num>
  <w:num w:numId="98">
    <w:abstractNumId w:val="112"/>
  </w:num>
  <w:num w:numId="99">
    <w:abstractNumId w:val="125"/>
  </w:num>
  <w:num w:numId="100">
    <w:abstractNumId w:val="56"/>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cs-CZ" w:vendorID="7" w:dllVersion="514"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noPunctuationKerning/>
  <w:characterSpacingControl w:val="doNotCompress"/>
  <w:hdrShapeDefaults>
    <o:shapedefaults v:ext="edit" spidmax="122881" fillcolor="white" stroke="f">
      <v:fill color="white"/>
      <v:stroke weight=".55pt"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BC4"/>
    <w:rsid w:val="00000DB7"/>
    <w:rsid w:val="00000FD2"/>
    <w:rsid w:val="0000138F"/>
    <w:rsid w:val="000013AE"/>
    <w:rsid w:val="00001488"/>
    <w:rsid w:val="00001671"/>
    <w:rsid w:val="000019B5"/>
    <w:rsid w:val="00002512"/>
    <w:rsid w:val="0000251C"/>
    <w:rsid w:val="0000353C"/>
    <w:rsid w:val="00003876"/>
    <w:rsid w:val="00003DB7"/>
    <w:rsid w:val="00003E8A"/>
    <w:rsid w:val="0000456C"/>
    <w:rsid w:val="00004842"/>
    <w:rsid w:val="0000577E"/>
    <w:rsid w:val="00005EEC"/>
    <w:rsid w:val="000061E1"/>
    <w:rsid w:val="000067F7"/>
    <w:rsid w:val="00006C67"/>
    <w:rsid w:val="00007786"/>
    <w:rsid w:val="000079F9"/>
    <w:rsid w:val="000079FE"/>
    <w:rsid w:val="00007AD4"/>
    <w:rsid w:val="000100ED"/>
    <w:rsid w:val="00012005"/>
    <w:rsid w:val="0001214E"/>
    <w:rsid w:val="00012974"/>
    <w:rsid w:val="00012DA4"/>
    <w:rsid w:val="00012FC9"/>
    <w:rsid w:val="00013054"/>
    <w:rsid w:val="0001379C"/>
    <w:rsid w:val="00013B60"/>
    <w:rsid w:val="00014DAD"/>
    <w:rsid w:val="00014E56"/>
    <w:rsid w:val="00015438"/>
    <w:rsid w:val="00015657"/>
    <w:rsid w:val="000159C6"/>
    <w:rsid w:val="00015CD4"/>
    <w:rsid w:val="00015CF1"/>
    <w:rsid w:val="00015D6B"/>
    <w:rsid w:val="00015D71"/>
    <w:rsid w:val="00015FF5"/>
    <w:rsid w:val="00016A1A"/>
    <w:rsid w:val="00016CDB"/>
    <w:rsid w:val="0001731F"/>
    <w:rsid w:val="00017B58"/>
    <w:rsid w:val="00017E5E"/>
    <w:rsid w:val="00017F37"/>
    <w:rsid w:val="000204AA"/>
    <w:rsid w:val="00021259"/>
    <w:rsid w:val="00021280"/>
    <w:rsid w:val="00021A9E"/>
    <w:rsid w:val="00021B9B"/>
    <w:rsid w:val="00021C48"/>
    <w:rsid w:val="00021C8F"/>
    <w:rsid w:val="00021D78"/>
    <w:rsid w:val="00022BEE"/>
    <w:rsid w:val="0002387B"/>
    <w:rsid w:val="00023C8A"/>
    <w:rsid w:val="00024972"/>
    <w:rsid w:val="000252F8"/>
    <w:rsid w:val="00025A30"/>
    <w:rsid w:val="00026D50"/>
    <w:rsid w:val="00027423"/>
    <w:rsid w:val="00027D60"/>
    <w:rsid w:val="00027F4E"/>
    <w:rsid w:val="000301F7"/>
    <w:rsid w:val="00030B1D"/>
    <w:rsid w:val="00031494"/>
    <w:rsid w:val="000318B1"/>
    <w:rsid w:val="00031DD7"/>
    <w:rsid w:val="000321AD"/>
    <w:rsid w:val="00032630"/>
    <w:rsid w:val="00032694"/>
    <w:rsid w:val="000327AD"/>
    <w:rsid w:val="00034826"/>
    <w:rsid w:val="00034C88"/>
    <w:rsid w:val="00034D83"/>
    <w:rsid w:val="00034F79"/>
    <w:rsid w:val="00034FA6"/>
    <w:rsid w:val="00035CA4"/>
    <w:rsid w:val="00035F6C"/>
    <w:rsid w:val="00036077"/>
    <w:rsid w:val="0003628F"/>
    <w:rsid w:val="00036E26"/>
    <w:rsid w:val="00037470"/>
    <w:rsid w:val="00040495"/>
    <w:rsid w:val="00040A0F"/>
    <w:rsid w:val="00040FA4"/>
    <w:rsid w:val="00041101"/>
    <w:rsid w:val="0004172F"/>
    <w:rsid w:val="00042078"/>
    <w:rsid w:val="0004293D"/>
    <w:rsid w:val="00042B75"/>
    <w:rsid w:val="00043432"/>
    <w:rsid w:val="000436A2"/>
    <w:rsid w:val="00043D5F"/>
    <w:rsid w:val="00043F1A"/>
    <w:rsid w:val="000441FD"/>
    <w:rsid w:val="00044D7B"/>
    <w:rsid w:val="00044DBF"/>
    <w:rsid w:val="00044E13"/>
    <w:rsid w:val="00045AF7"/>
    <w:rsid w:val="0004703D"/>
    <w:rsid w:val="0004711A"/>
    <w:rsid w:val="000474A4"/>
    <w:rsid w:val="000506D6"/>
    <w:rsid w:val="000507D4"/>
    <w:rsid w:val="00051106"/>
    <w:rsid w:val="00051372"/>
    <w:rsid w:val="00051D37"/>
    <w:rsid w:val="00051E19"/>
    <w:rsid w:val="00051F8F"/>
    <w:rsid w:val="00052522"/>
    <w:rsid w:val="00052685"/>
    <w:rsid w:val="00052861"/>
    <w:rsid w:val="00052947"/>
    <w:rsid w:val="00053B02"/>
    <w:rsid w:val="000543F6"/>
    <w:rsid w:val="0005445F"/>
    <w:rsid w:val="0005478E"/>
    <w:rsid w:val="00054F51"/>
    <w:rsid w:val="00055347"/>
    <w:rsid w:val="000556CD"/>
    <w:rsid w:val="00056D40"/>
    <w:rsid w:val="000570F3"/>
    <w:rsid w:val="000571A7"/>
    <w:rsid w:val="00057567"/>
    <w:rsid w:val="00057CF4"/>
    <w:rsid w:val="00057E51"/>
    <w:rsid w:val="00057ED4"/>
    <w:rsid w:val="00060565"/>
    <w:rsid w:val="000617D1"/>
    <w:rsid w:val="00061B02"/>
    <w:rsid w:val="000621BB"/>
    <w:rsid w:val="000622EB"/>
    <w:rsid w:val="00062733"/>
    <w:rsid w:val="00063F18"/>
    <w:rsid w:val="00063F82"/>
    <w:rsid w:val="000643F3"/>
    <w:rsid w:val="000647B4"/>
    <w:rsid w:val="00064A52"/>
    <w:rsid w:val="0006557A"/>
    <w:rsid w:val="0006560D"/>
    <w:rsid w:val="00065D98"/>
    <w:rsid w:val="000661D4"/>
    <w:rsid w:val="000665CB"/>
    <w:rsid w:val="00067254"/>
    <w:rsid w:val="0006747E"/>
    <w:rsid w:val="000675FA"/>
    <w:rsid w:val="00067E4E"/>
    <w:rsid w:val="0007099A"/>
    <w:rsid w:val="00070A9D"/>
    <w:rsid w:val="00070D2B"/>
    <w:rsid w:val="00071A5A"/>
    <w:rsid w:val="00071CD2"/>
    <w:rsid w:val="000741B3"/>
    <w:rsid w:val="00074AF9"/>
    <w:rsid w:val="00075734"/>
    <w:rsid w:val="000758F6"/>
    <w:rsid w:val="000763AD"/>
    <w:rsid w:val="00076E06"/>
    <w:rsid w:val="00077A40"/>
    <w:rsid w:val="00080457"/>
    <w:rsid w:val="000808DE"/>
    <w:rsid w:val="000810DE"/>
    <w:rsid w:val="00081109"/>
    <w:rsid w:val="00081267"/>
    <w:rsid w:val="0008163D"/>
    <w:rsid w:val="00082257"/>
    <w:rsid w:val="00082B2E"/>
    <w:rsid w:val="00083059"/>
    <w:rsid w:val="00083570"/>
    <w:rsid w:val="00083707"/>
    <w:rsid w:val="00083E39"/>
    <w:rsid w:val="00084134"/>
    <w:rsid w:val="00084199"/>
    <w:rsid w:val="00084940"/>
    <w:rsid w:val="000849AD"/>
    <w:rsid w:val="00084EA6"/>
    <w:rsid w:val="0008535C"/>
    <w:rsid w:val="0008574A"/>
    <w:rsid w:val="00085DCE"/>
    <w:rsid w:val="0008666A"/>
    <w:rsid w:val="000868DA"/>
    <w:rsid w:val="00086A29"/>
    <w:rsid w:val="00086DE8"/>
    <w:rsid w:val="00086E07"/>
    <w:rsid w:val="00090188"/>
    <w:rsid w:val="000901C9"/>
    <w:rsid w:val="000905D0"/>
    <w:rsid w:val="00090C14"/>
    <w:rsid w:val="00090DA5"/>
    <w:rsid w:val="00090DE3"/>
    <w:rsid w:val="00091332"/>
    <w:rsid w:val="00091E77"/>
    <w:rsid w:val="0009249C"/>
    <w:rsid w:val="00092DFE"/>
    <w:rsid w:val="00092FCB"/>
    <w:rsid w:val="00093066"/>
    <w:rsid w:val="0009346E"/>
    <w:rsid w:val="00093B06"/>
    <w:rsid w:val="00094139"/>
    <w:rsid w:val="0009415E"/>
    <w:rsid w:val="0009476A"/>
    <w:rsid w:val="00095071"/>
    <w:rsid w:val="00095940"/>
    <w:rsid w:val="000961E4"/>
    <w:rsid w:val="000971FF"/>
    <w:rsid w:val="0009779D"/>
    <w:rsid w:val="0009786D"/>
    <w:rsid w:val="00097B56"/>
    <w:rsid w:val="000A090A"/>
    <w:rsid w:val="000A0C5B"/>
    <w:rsid w:val="000A0F5E"/>
    <w:rsid w:val="000A12A6"/>
    <w:rsid w:val="000A12F6"/>
    <w:rsid w:val="000A2828"/>
    <w:rsid w:val="000A3084"/>
    <w:rsid w:val="000A3141"/>
    <w:rsid w:val="000A327C"/>
    <w:rsid w:val="000A340B"/>
    <w:rsid w:val="000A3904"/>
    <w:rsid w:val="000A482F"/>
    <w:rsid w:val="000A4D10"/>
    <w:rsid w:val="000A4D7C"/>
    <w:rsid w:val="000A5676"/>
    <w:rsid w:val="000A6300"/>
    <w:rsid w:val="000A652E"/>
    <w:rsid w:val="000A665E"/>
    <w:rsid w:val="000A6D37"/>
    <w:rsid w:val="000A743D"/>
    <w:rsid w:val="000A7562"/>
    <w:rsid w:val="000A7945"/>
    <w:rsid w:val="000A7B08"/>
    <w:rsid w:val="000B0149"/>
    <w:rsid w:val="000B02C5"/>
    <w:rsid w:val="000B0483"/>
    <w:rsid w:val="000B0610"/>
    <w:rsid w:val="000B07AF"/>
    <w:rsid w:val="000B0FFC"/>
    <w:rsid w:val="000B11F8"/>
    <w:rsid w:val="000B14E7"/>
    <w:rsid w:val="000B2DD5"/>
    <w:rsid w:val="000B329D"/>
    <w:rsid w:val="000B334B"/>
    <w:rsid w:val="000B3733"/>
    <w:rsid w:val="000B396A"/>
    <w:rsid w:val="000B3B03"/>
    <w:rsid w:val="000B406C"/>
    <w:rsid w:val="000B44F1"/>
    <w:rsid w:val="000B4E61"/>
    <w:rsid w:val="000B5814"/>
    <w:rsid w:val="000B595D"/>
    <w:rsid w:val="000B6181"/>
    <w:rsid w:val="000B675C"/>
    <w:rsid w:val="000B69EC"/>
    <w:rsid w:val="000B72C5"/>
    <w:rsid w:val="000B7366"/>
    <w:rsid w:val="000B7B50"/>
    <w:rsid w:val="000C0027"/>
    <w:rsid w:val="000C0653"/>
    <w:rsid w:val="000C0D8A"/>
    <w:rsid w:val="000C136E"/>
    <w:rsid w:val="000C1E4B"/>
    <w:rsid w:val="000C2057"/>
    <w:rsid w:val="000C2256"/>
    <w:rsid w:val="000C2478"/>
    <w:rsid w:val="000C2A70"/>
    <w:rsid w:val="000C2BD2"/>
    <w:rsid w:val="000C321D"/>
    <w:rsid w:val="000C35E9"/>
    <w:rsid w:val="000C37E9"/>
    <w:rsid w:val="000C48DB"/>
    <w:rsid w:val="000C4E20"/>
    <w:rsid w:val="000C4E5E"/>
    <w:rsid w:val="000C56CF"/>
    <w:rsid w:val="000C61C2"/>
    <w:rsid w:val="000C6716"/>
    <w:rsid w:val="000C6EE4"/>
    <w:rsid w:val="000C6FED"/>
    <w:rsid w:val="000C732D"/>
    <w:rsid w:val="000C746D"/>
    <w:rsid w:val="000D0931"/>
    <w:rsid w:val="000D1151"/>
    <w:rsid w:val="000D1849"/>
    <w:rsid w:val="000D1989"/>
    <w:rsid w:val="000D1B50"/>
    <w:rsid w:val="000D2143"/>
    <w:rsid w:val="000D2EEC"/>
    <w:rsid w:val="000D4D68"/>
    <w:rsid w:val="000D4FA5"/>
    <w:rsid w:val="000D5188"/>
    <w:rsid w:val="000D52B8"/>
    <w:rsid w:val="000D58DF"/>
    <w:rsid w:val="000D5A14"/>
    <w:rsid w:val="000D5F2E"/>
    <w:rsid w:val="000D6719"/>
    <w:rsid w:val="000D6C89"/>
    <w:rsid w:val="000D6EAC"/>
    <w:rsid w:val="000D72BC"/>
    <w:rsid w:val="000D7369"/>
    <w:rsid w:val="000D782F"/>
    <w:rsid w:val="000D7EC9"/>
    <w:rsid w:val="000E04B4"/>
    <w:rsid w:val="000E0B7D"/>
    <w:rsid w:val="000E0D60"/>
    <w:rsid w:val="000E12E3"/>
    <w:rsid w:val="000E1F94"/>
    <w:rsid w:val="000E2E13"/>
    <w:rsid w:val="000E2E25"/>
    <w:rsid w:val="000E3796"/>
    <w:rsid w:val="000E38FF"/>
    <w:rsid w:val="000E3A16"/>
    <w:rsid w:val="000E413B"/>
    <w:rsid w:val="000E53D6"/>
    <w:rsid w:val="000E5407"/>
    <w:rsid w:val="000E55DD"/>
    <w:rsid w:val="000E5659"/>
    <w:rsid w:val="000E568D"/>
    <w:rsid w:val="000E5ACC"/>
    <w:rsid w:val="000E5BD8"/>
    <w:rsid w:val="000E600E"/>
    <w:rsid w:val="000E60D3"/>
    <w:rsid w:val="000E6CE0"/>
    <w:rsid w:val="000E6FD9"/>
    <w:rsid w:val="000E7701"/>
    <w:rsid w:val="000F0253"/>
    <w:rsid w:val="000F08DB"/>
    <w:rsid w:val="000F0957"/>
    <w:rsid w:val="000F10C4"/>
    <w:rsid w:val="000F148E"/>
    <w:rsid w:val="000F1680"/>
    <w:rsid w:val="000F24EF"/>
    <w:rsid w:val="000F2EF7"/>
    <w:rsid w:val="000F414D"/>
    <w:rsid w:val="000F4508"/>
    <w:rsid w:val="000F4D82"/>
    <w:rsid w:val="000F5861"/>
    <w:rsid w:val="000F6078"/>
    <w:rsid w:val="000F66A1"/>
    <w:rsid w:val="000F6D03"/>
    <w:rsid w:val="000F7564"/>
    <w:rsid w:val="000F7693"/>
    <w:rsid w:val="000F7B88"/>
    <w:rsid w:val="00100431"/>
    <w:rsid w:val="001006B3"/>
    <w:rsid w:val="00100B81"/>
    <w:rsid w:val="00100B89"/>
    <w:rsid w:val="001010F0"/>
    <w:rsid w:val="001011EB"/>
    <w:rsid w:val="0010129B"/>
    <w:rsid w:val="00101310"/>
    <w:rsid w:val="00101D73"/>
    <w:rsid w:val="00101EF6"/>
    <w:rsid w:val="00101F57"/>
    <w:rsid w:val="00102293"/>
    <w:rsid w:val="001027B1"/>
    <w:rsid w:val="00102966"/>
    <w:rsid w:val="00102A93"/>
    <w:rsid w:val="00102F5E"/>
    <w:rsid w:val="00102FC0"/>
    <w:rsid w:val="00103658"/>
    <w:rsid w:val="00103A52"/>
    <w:rsid w:val="00103B67"/>
    <w:rsid w:val="00103C4F"/>
    <w:rsid w:val="00104281"/>
    <w:rsid w:val="00104E43"/>
    <w:rsid w:val="00105085"/>
    <w:rsid w:val="00105541"/>
    <w:rsid w:val="00105D68"/>
    <w:rsid w:val="00106480"/>
    <w:rsid w:val="001064A9"/>
    <w:rsid w:val="00107DB6"/>
    <w:rsid w:val="00110169"/>
    <w:rsid w:val="00110F04"/>
    <w:rsid w:val="00111359"/>
    <w:rsid w:val="00112469"/>
    <w:rsid w:val="00112B00"/>
    <w:rsid w:val="00113F9B"/>
    <w:rsid w:val="00114153"/>
    <w:rsid w:val="001142C5"/>
    <w:rsid w:val="00114A3A"/>
    <w:rsid w:val="001173E8"/>
    <w:rsid w:val="0011758E"/>
    <w:rsid w:val="00120044"/>
    <w:rsid w:val="0012056F"/>
    <w:rsid w:val="00120738"/>
    <w:rsid w:val="00120B13"/>
    <w:rsid w:val="001213E8"/>
    <w:rsid w:val="001218FD"/>
    <w:rsid w:val="00121BA0"/>
    <w:rsid w:val="00121F6C"/>
    <w:rsid w:val="00122242"/>
    <w:rsid w:val="00122801"/>
    <w:rsid w:val="00122D85"/>
    <w:rsid w:val="001237EE"/>
    <w:rsid w:val="00123D93"/>
    <w:rsid w:val="00124465"/>
    <w:rsid w:val="0012477B"/>
    <w:rsid w:val="00124E3C"/>
    <w:rsid w:val="0012564E"/>
    <w:rsid w:val="00126A75"/>
    <w:rsid w:val="00126AFA"/>
    <w:rsid w:val="00127752"/>
    <w:rsid w:val="00127DB3"/>
    <w:rsid w:val="00130119"/>
    <w:rsid w:val="0013037B"/>
    <w:rsid w:val="00130923"/>
    <w:rsid w:val="00130C02"/>
    <w:rsid w:val="00131528"/>
    <w:rsid w:val="00132137"/>
    <w:rsid w:val="00132227"/>
    <w:rsid w:val="001323A4"/>
    <w:rsid w:val="001331D1"/>
    <w:rsid w:val="00133F99"/>
    <w:rsid w:val="00134B52"/>
    <w:rsid w:val="00135BA9"/>
    <w:rsid w:val="00135EA4"/>
    <w:rsid w:val="001365F0"/>
    <w:rsid w:val="001369C2"/>
    <w:rsid w:val="00137145"/>
    <w:rsid w:val="0013779C"/>
    <w:rsid w:val="001402B0"/>
    <w:rsid w:val="001403B9"/>
    <w:rsid w:val="0014056E"/>
    <w:rsid w:val="0014058E"/>
    <w:rsid w:val="0014060E"/>
    <w:rsid w:val="00141C9A"/>
    <w:rsid w:val="001423F0"/>
    <w:rsid w:val="00142A1C"/>
    <w:rsid w:val="00142D27"/>
    <w:rsid w:val="00142DBA"/>
    <w:rsid w:val="00142DF5"/>
    <w:rsid w:val="00142FBB"/>
    <w:rsid w:val="001431E4"/>
    <w:rsid w:val="001435A3"/>
    <w:rsid w:val="00143688"/>
    <w:rsid w:val="00143AAF"/>
    <w:rsid w:val="00144C47"/>
    <w:rsid w:val="00145106"/>
    <w:rsid w:val="00145639"/>
    <w:rsid w:val="0014669E"/>
    <w:rsid w:val="0014681B"/>
    <w:rsid w:val="00146854"/>
    <w:rsid w:val="00147349"/>
    <w:rsid w:val="00147941"/>
    <w:rsid w:val="0014795A"/>
    <w:rsid w:val="00150AFB"/>
    <w:rsid w:val="00151158"/>
    <w:rsid w:val="00151E35"/>
    <w:rsid w:val="0015214D"/>
    <w:rsid w:val="00152642"/>
    <w:rsid w:val="00152DDF"/>
    <w:rsid w:val="00152F51"/>
    <w:rsid w:val="00153480"/>
    <w:rsid w:val="0015382D"/>
    <w:rsid w:val="001538DA"/>
    <w:rsid w:val="00153B96"/>
    <w:rsid w:val="00153EC8"/>
    <w:rsid w:val="00154108"/>
    <w:rsid w:val="00155668"/>
    <w:rsid w:val="00156C5C"/>
    <w:rsid w:val="001574C9"/>
    <w:rsid w:val="00162C02"/>
    <w:rsid w:val="00162DCA"/>
    <w:rsid w:val="0016333D"/>
    <w:rsid w:val="00163541"/>
    <w:rsid w:val="0016381E"/>
    <w:rsid w:val="00163F9E"/>
    <w:rsid w:val="0016409A"/>
    <w:rsid w:val="00164183"/>
    <w:rsid w:val="001641BB"/>
    <w:rsid w:val="00164358"/>
    <w:rsid w:val="001644C9"/>
    <w:rsid w:val="00164D33"/>
    <w:rsid w:val="00165091"/>
    <w:rsid w:val="001650DE"/>
    <w:rsid w:val="00165D7E"/>
    <w:rsid w:val="0016647D"/>
    <w:rsid w:val="00166802"/>
    <w:rsid w:val="00166A6C"/>
    <w:rsid w:val="001676D7"/>
    <w:rsid w:val="00170A87"/>
    <w:rsid w:val="00170DB8"/>
    <w:rsid w:val="00171258"/>
    <w:rsid w:val="001716B8"/>
    <w:rsid w:val="00171809"/>
    <w:rsid w:val="00171D35"/>
    <w:rsid w:val="0017294B"/>
    <w:rsid w:val="001730A1"/>
    <w:rsid w:val="00173A77"/>
    <w:rsid w:val="001744F3"/>
    <w:rsid w:val="001745EA"/>
    <w:rsid w:val="00174A96"/>
    <w:rsid w:val="00174EF4"/>
    <w:rsid w:val="00175AD0"/>
    <w:rsid w:val="00175B63"/>
    <w:rsid w:val="0017614F"/>
    <w:rsid w:val="0017625E"/>
    <w:rsid w:val="00176450"/>
    <w:rsid w:val="001768E6"/>
    <w:rsid w:val="0018067C"/>
    <w:rsid w:val="00180699"/>
    <w:rsid w:val="001811CF"/>
    <w:rsid w:val="0018151B"/>
    <w:rsid w:val="0018177F"/>
    <w:rsid w:val="00181F5A"/>
    <w:rsid w:val="0018217A"/>
    <w:rsid w:val="001832EA"/>
    <w:rsid w:val="00183D51"/>
    <w:rsid w:val="001840E8"/>
    <w:rsid w:val="001844BE"/>
    <w:rsid w:val="001848B2"/>
    <w:rsid w:val="00184A2B"/>
    <w:rsid w:val="00184ACB"/>
    <w:rsid w:val="00184B80"/>
    <w:rsid w:val="00184C88"/>
    <w:rsid w:val="00184E0C"/>
    <w:rsid w:val="0018525D"/>
    <w:rsid w:val="0018552D"/>
    <w:rsid w:val="00185BC4"/>
    <w:rsid w:val="00186041"/>
    <w:rsid w:val="001869D5"/>
    <w:rsid w:val="00186F21"/>
    <w:rsid w:val="00187CE5"/>
    <w:rsid w:val="00190268"/>
    <w:rsid w:val="0019037B"/>
    <w:rsid w:val="001909FD"/>
    <w:rsid w:val="00190D6A"/>
    <w:rsid w:val="001914F2"/>
    <w:rsid w:val="001916D5"/>
    <w:rsid w:val="001916E6"/>
    <w:rsid w:val="0019175B"/>
    <w:rsid w:val="00191DBA"/>
    <w:rsid w:val="001932B7"/>
    <w:rsid w:val="00193DBF"/>
    <w:rsid w:val="00193ED4"/>
    <w:rsid w:val="0019427C"/>
    <w:rsid w:val="0019435C"/>
    <w:rsid w:val="0019454E"/>
    <w:rsid w:val="00194736"/>
    <w:rsid w:val="00194750"/>
    <w:rsid w:val="00194C56"/>
    <w:rsid w:val="00195179"/>
    <w:rsid w:val="00195271"/>
    <w:rsid w:val="00195456"/>
    <w:rsid w:val="00195B74"/>
    <w:rsid w:val="00195CFA"/>
    <w:rsid w:val="00195DF8"/>
    <w:rsid w:val="00195FA5"/>
    <w:rsid w:val="00196053"/>
    <w:rsid w:val="0019653B"/>
    <w:rsid w:val="0019771B"/>
    <w:rsid w:val="00197751"/>
    <w:rsid w:val="001979FB"/>
    <w:rsid w:val="00197C74"/>
    <w:rsid w:val="001A0026"/>
    <w:rsid w:val="001A0506"/>
    <w:rsid w:val="001A143F"/>
    <w:rsid w:val="001A1B70"/>
    <w:rsid w:val="001A2533"/>
    <w:rsid w:val="001A272A"/>
    <w:rsid w:val="001A2DD4"/>
    <w:rsid w:val="001A35A8"/>
    <w:rsid w:val="001A3C00"/>
    <w:rsid w:val="001A4138"/>
    <w:rsid w:val="001A477C"/>
    <w:rsid w:val="001A4A39"/>
    <w:rsid w:val="001A4DCC"/>
    <w:rsid w:val="001A5790"/>
    <w:rsid w:val="001A5D70"/>
    <w:rsid w:val="001A5EE1"/>
    <w:rsid w:val="001A6AB5"/>
    <w:rsid w:val="001A733F"/>
    <w:rsid w:val="001A765A"/>
    <w:rsid w:val="001A7964"/>
    <w:rsid w:val="001A7BA0"/>
    <w:rsid w:val="001A7DBE"/>
    <w:rsid w:val="001B032D"/>
    <w:rsid w:val="001B093C"/>
    <w:rsid w:val="001B0ACF"/>
    <w:rsid w:val="001B19B5"/>
    <w:rsid w:val="001B1BA3"/>
    <w:rsid w:val="001B1FD2"/>
    <w:rsid w:val="001B202E"/>
    <w:rsid w:val="001B2432"/>
    <w:rsid w:val="001B2CB0"/>
    <w:rsid w:val="001B329C"/>
    <w:rsid w:val="001B3D97"/>
    <w:rsid w:val="001B3FA1"/>
    <w:rsid w:val="001B41FD"/>
    <w:rsid w:val="001B4551"/>
    <w:rsid w:val="001B4E99"/>
    <w:rsid w:val="001B52D2"/>
    <w:rsid w:val="001B5501"/>
    <w:rsid w:val="001B55D5"/>
    <w:rsid w:val="001B5F85"/>
    <w:rsid w:val="001B615D"/>
    <w:rsid w:val="001B61C8"/>
    <w:rsid w:val="001B635E"/>
    <w:rsid w:val="001B6396"/>
    <w:rsid w:val="001B682F"/>
    <w:rsid w:val="001B6B75"/>
    <w:rsid w:val="001B7430"/>
    <w:rsid w:val="001B7526"/>
    <w:rsid w:val="001B75D8"/>
    <w:rsid w:val="001B76AC"/>
    <w:rsid w:val="001B7795"/>
    <w:rsid w:val="001C01A1"/>
    <w:rsid w:val="001C0245"/>
    <w:rsid w:val="001C24C7"/>
    <w:rsid w:val="001C2640"/>
    <w:rsid w:val="001C2F3B"/>
    <w:rsid w:val="001C31C0"/>
    <w:rsid w:val="001C3523"/>
    <w:rsid w:val="001C3675"/>
    <w:rsid w:val="001C3824"/>
    <w:rsid w:val="001C3D56"/>
    <w:rsid w:val="001C50E8"/>
    <w:rsid w:val="001C64D4"/>
    <w:rsid w:val="001C66B0"/>
    <w:rsid w:val="001C6784"/>
    <w:rsid w:val="001C7BDD"/>
    <w:rsid w:val="001D02E0"/>
    <w:rsid w:val="001D1091"/>
    <w:rsid w:val="001D1315"/>
    <w:rsid w:val="001D15A5"/>
    <w:rsid w:val="001D2E78"/>
    <w:rsid w:val="001D352D"/>
    <w:rsid w:val="001D38D8"/>
    <w:rsid w:val="001D3BD5"/>
    <w:rsid w:val="001D3F6F"/>
    <w:rsid w:val="001D4105"/>
    <w:rsid w:val="001D4E91"/>
    <w:rsid w:val="001D5020"/>
    <w:rsid w:val="001D50CC"/>
    <w:rsid w:val="001D5698"/>
    <w:rsid w:val="001D5B3B"/>
    <w:rsid w:val="001D5BE2"/>
    <w:rsid w:val="001D61F3"/>
    <w:rsid w:val="001D6709"/>
    <w:rsid w:val="001D673F"/>
    <w:rsid w:val="001D6768"/>
    <w:rsid w:val="001D69E9"/>
    <w:rsid w:val="001D6B97"/>
    <w:rsid w:val="001D6F8E"/>
    <w:rsid w:val="001D730B"/>
    <w:rsid w:val="001D78A3"/>
    <w:rsid w:val="001E00B8"/>
    <w:rsid w:val="001E09A4"/>
    <w:rsid w:val="001E0F1F"/>
    <w:rsid w:val="001E125C"/>
    <w:rsid w:val="001E1D32"/>
    <w:rsid w:val="001E2764"/>
    <w:rsid w:val="001E2970"/>
    <w:rsid w:val="001E2C8A"/>
    <w:rsid w:val="001E2E38"/>
    <w:rsid w:val="001E2F07"/>
    <w:rsid w:val="001E3595"/>
    <w:rsid w:val="001E37B7"/>
    <w:rsid w:val="001E3CA0"/>
    <w:rsid w:val="001E4137"/>
    <w:rsid w:val="001E4521"/>
    <w:rsid w:val="001E4EF9"/>
    <w:rsid w:val="001E5288"/>
    <w:rsid w:val="001E6AB1"/>
    <w:rsid w:val="001E7116"/>
    <w:rsid w:val="001E7411"/>
    <w:rsid w:val="001E7B97"/>
    <w:rsid w:val="001F027B"/>
    <w:rsid w:val="001F1467"/>
    <w:rsid w:val="001F1695"/>
    <w:rsid w:val="001F1922"/>
    <w:rsid w:val="001F277E"/>
    <w:rsid w:val="001F2ABD"/>
    <w:rsid w:val="001F2B5B"/>
    <w:rsid w:val="001F2E7C"/>
    <w:rsid w:val="001F30E8"/>
    <w:rsid w:val="001F31AB"/>
    <w:rsid w:val="001F332E"/>
    <w:rsid w:val="001F33FE"/>
    <w:rsid w:val="001F4228"/>
    <w:rsid w:val="001F42A3"/>
    <w:rsid w:val="001F48B3"/>
    <w:rsid w:val="001F4CE1"/>
    <w:rsid w:val="001F4DFA"/>
    <w:rsid w:val="001F4F65"/>
    <w:rsid w:val="001F4FD7"/>
    <w:rsid w:val="001F53C6"/>
    <w:rsid w:val="001F547D"/>
    <w:rsid w:val="001F5B5E"/>
    <w:rsid w:val="001F5D4C"/>
    <w:rsid w:val="001F6D80"/>
    <w:rsid w:val="001F7487"/>
    <w:rsid w:val="00200423"/>
    <w:rsid w:val="00200CEE"/>
    <w:rsid w:val="00200FAD"/>
    <w:rsid w:val="0020117E"/>
    <w:rsid w:val="002012A5"/>
    <w:rsid w:val="002013E1"/>
    <w:rsid w:val="002015F0"/>
    <w:rsid w:val="002021A6"/>
    <w:rsid w:val="00202D61"/>
    <w:rsid w:val="0020303A"/>
    <w:rsid w:val="002032F2"/>
    <w:rsid w:val="00203AAA"/>
    <w:rsid w:val="00203C89"/>
    <w:rsid w:val="0020401E"/>
    <w:rsid w:val="002045F5"/>
    <w:rsid w:val="00204DB7"/>
    <w:rsid w:val="00205039"/>
    <w:rsid w:val="002052B5"/>
    <w:rsid w:val="00205A70"/>
    <w:rsid w:val="00205B3C"/>
    <w:rsid w:val="0020677C"/>
    <w:rsid w:val="002068A6"/>
    <w:rsid w:val="00206A55"/>
    <w:rsid w:val="00206B79"/>
    <w:rsid w:val="00206E7B"/>
    <w:rsid w:val="00207124"/>
    <w:rsid w:val="002074B2"/>
    <w:rsid w:val="00207683"/>
    <w:rsid w:val="00207851"/>
    <w:rsid w:val="00207929"/>
    <w:rsid w:val="00207971"/>
    <w:rsid w:val="00207AB9"/>
    <w:rsid w:val="00207C5C"/>
    <w:rsid w:val="00210C13"/>
    <w:rsid w:val="00211248"/>
    <w:rsid w:val="00211FE8"/>
    <w:rsid w:val="002120E7"/>
    <w:rsid w:val="0021222A"/>
    <w:rsid w:val="00212873"/>
    <w:rsid w:val="00212BE5"/>
    <w:rsid w:val="00213751"/>
    <w:rsid w:val="0021395E"/>
    <w:rsid w:val="00213D35"/>
    <w:rsid w:val="00214598"/>
    <w:rsid w:val="00214928"/>
    <w:rsid w:val="00214BBD"/>
    <w:rsid w:val="00214E84"/>
    <w:rsid w:val="00215739"/>
    <w:rsid w:val="00215D44"/>
    <w:rsid w:val="00215D71"/>
    <w:rsid w:val="00215E09"/>
    <w:rsid w:val="002161AD"/>
    <w:rsid w:val="0021681E"/>
    <w:rsid w:val="002177CB"/>
    <w:rsid w:val="002179AB"/>
    <w:rsid w:val="00217D08"/>
    <w:rsid w:val="00217EBE"/>
    <w:rsid w:val="00220078"/>
    <w:rsid w:val="0022049F"/>
    <w:rsid w:val="0022073E"/>
    <w:rsid w:val="00220D53"/>
    <w:rsid w:val="00220D70"/>
    <w:rsid w:val="00220E54"/>
    <w:rsid w:val="002212D4"/>
    <w:rsid w:val="0022197E"/>
    <w:rsid w:val="002232B1"/>
    <w:rsid w:val="00223459"/>
    <w:rsid w:val="002235BE"/>
    <w:rsid w:val="00223AE2"/>
    <w:rsid w:val="00224996"/>
    <w:rsid w:val="00224B05"/>
    <w:rsid w:val="002250B2"/>
    <w:rsid w:val="002251EC"/>
    <w:rsid w:val="0022548C"/>
    <w:rsid w:val="002254B4"/>
    <w:rsid w:val="00225D02"/>
    <w:rsid w:val="00226D15"/>
    <w:rsid w:val="00226E7C"/>
    <w:rsid w:val="002272F5"/>
    <w:rsid w:val="0022739A"/>
    <w:rsid w:val="002274ED"/>
    <w:rsid w:val="00227D90"/>
    <w:rsid w:val="00230175"/>
    <w:rsid w:val="002301BF"/>
    <w:rsid w:val="002314B3"/>
    <w:rsid w:val="00231A00"/>
    <w:rsid w:val="00231E22"/>
    <w:rsid w:val="00233438"/>
    <w:rsid w:val="00233CE8"/>
    <w:rsid w:val="002347A5"/>
    <w:rsid w:val="002347C5"/>
    <w:rsid w:val="00234B58"/>
    <w:rsid w:val="00234D7F"/>
    <w:rsid w:val="002355BB"/>
    <w:rsid w:val="0023577C"/>
    <w:rsid w:val="00235E96"/>
    <w:rsid w:val="0023608B"/>
    <w:rsid w:val="00237724"/>
    <w:rsid w:val="00237BB8"/>
    <w:rsid w:val="0024017A"/>
    <w:rsid w:val="0024058C"/>
    <w:rsid w:val="00241068"/>
    <w:rsid w:val="00241550"/>
    <w:rsid w:val="0024170A"/>
    <w:rsid w:val="002418C6"/>
    <w:rsid w:val="00241999"/>
    <w:rsid w:val="00241AFC"/>
    <w:rsid w:val="002422E0"/>
    <w:rsid w:val="0024250E"/>
    <w:rsid w:val="00242D3A"/>
    <w:rsid w:val="002432BF"/>
    <w:rsid w:val="002435E1"/>
    <w:rsid w:val="00243719"/>
    <w:rsid w:val="0024401C"/>
    <w:rsid w:val="00244079"/>
    <w:rsid w:val="002443C1"/>
    <w:rsid w:val="00244B29"/>
    <w:rsid w:val="00245393"/>
    <w:rsid w:val="002458EA"/>
    <w:rsid w:val="00245F46"/>
    <w:rsid w:val="00246971"/>
    <w:rsid w:val="00246D75"/>
    <w:rsid w:val="00246E31"/>
    <w:rsid w:val="002470D8"/>
    <w:rsid w:val="00247405"/>
    <w:rsid w:val="00247738"/>
    <w:rsid w:val="00247D32"/>
    <w:rsid w:val="0025005F"/>
    <w:rsid w:val="002503AF"/>
    <w:rsid w:val="00250ABD"/>
    <w:rsid w:val="002514F5"/>
    <w:rsid w:val="002516BE"/>
    <w:rsid w:val="00251B76"/>
    <w:rsid w:val="00252112"/>
    <w:rsid w:val="00253099"/>
    <w:rsid w:val="002533DC"/>
    <w:rsid w:val="00253A81"/>
    <w:rsid w:val="00254218"/>
    <w:rsid w:val="002544B4"/>
    <w:rsid w:val="00254A2D"/>
    <w:rsid w:val="00254AA6"/>
    <w:rsid w:val="002554EB"/>
    <w:rsid w:val="00255506"/>
    <w:rsid w:val="002559A7"/>
    <w:rsid w:val="00255C8B"/>
    <w:rsid w:val="00255E15"/>
    <w:rsid w:val="00256014"/>
    <w:rsid w:val="00256CE8"/>
    <w:rsid w:val="002601FC"/>
    <w:rsid w:val="00260539"/>
    <w:rsid w:val="0026078D"/>
    <w:rsid w:val="00260B96"/>
    <w:rsid w:val="00260FF5"/>
    <w:rsid w:val="0026105F"/>
    <w:rsid w:val="00261AD6"/>
    <w:rsid w:val="00261AF0"/>
    <w:rsid w:val="00262185"/>
    <w:rsid w:val="00262718"/>
    <w:rsid w:val="002639CC"/>
    <w:rsid w:val="00263F4E"/>
    <w:rsid w:val="002640C0"/>
    <w:rsid w:val="00264473"/>
    <w:rsid w:val="00264579"/>
    <w:rsid w:val="002657C9"/>
    <w:rsid w:val="0026612A"/>
    <w:rsid w:val="002661CE"/>
    <w:rsid w:val="00266691"/>
    <w:rsid w:val="002667CB"/>
    <w:rsid w:val="00266F8F"/>
    <w:rsid w:val="002675C6"/>
    <w:rsid w:val="00267699"/>
    <w:rsid w:val="002701B1"/>
    <w:rsid w:val="0027073D"/>
    <w:rsid w:val="00270EB4"/>
    <w:rsid w:val="002712C4"/>
    <w:rsid w:val="00271857"/>
    <w:rsid w:val="00271E47"/>
    <w:rsid w:val="00271E8A"/>
    <w:rsid w:val="0027201D"/>
    <w:rsid w:val="002721BE"/>
    <w:rsid w:val="00272BBA"/>
    <w:rsid w:val="00273E17"/>
    <w:rsid w:val="00273ECF"/>
    <w:rsid w:val="00273FE5"/>
    <w:rsid w:val="00274184"/>
    <w:rsid w:val="002742A5"/>
    <w:rsid w:val="0027445A"/>
    <w:rsid w:val="00274A85"/>
    <w:rsid w:val="00274B6C"/>
    <w:rsid w:val="00274C1D"/>
    <w:rsid w:val="00274CB5"/>
    <w:rsid w:val="002753CD"/>
    <w:rsid w:val="00275CE2"/>
    <w:rsid w:val="0027657F"/>
    <w:rsid w:val="002765E6"/>
    <w:rsid w:val="0027714B"/>
    <w:rsid w:val="002771C8"/>
    <w:rsid w:val="00277221"/>
    <w:rsid w:val="00277258"/>
    <w:rsid w:val="002779EF"/>
    <w:rsid w:val="00277A62"/>
    <w:rsid w:val="00277C59"/>
    <w:rsid w:val="00280043"/>
    <w:rsid w:val="0028080C"/>
    <w:rsid w:val="002808CB"/>
    <w:rsid w:val="00281635"/>
    <w:rsid w:val="002817BF"/>
    <w:rsid w:val="00281F9B"/>
    <w:rsid w:val="0028275E"/>
    <w:rsid w:val="00282AF2"/>
    <w:rsid w:val="00283005"/>
    <w:rsid w:val="002835AE"/>
    <w:rsid w:val="002835F3"/>
    <w:rsid w:val="002843FA"/>
    <w:rsid w:val="002855D5"/>
    <w:rsid w:val="00286231"/>
    <w:rsid w:val="002863B4"/>
    <w:rsid w:val="00286AA9"/>
    <w:rsid w:val="0028777C"/>
    <w:rsid w:val="00287BC2"/>
    <w:rsid w:val="00290678"/>
    <w:rsid w:val="002906B5"/>
    <w:rsid w:val="00290F07"/>
    <w:rsid w:val="0029106E"/>
    <w:rsid w:val="002913E5"/>
    <w:rsid w:val="00291C0C"/>
    <w:rsid w:val="00292434"/>
    <w:rsid w:val="002928AC"/>
    <w:rsid w:val="00292D8A"/>
    <w:rsid w:val="0029372F"/>
    <w:rsid w:val="00293A76"/>
    <w:rsid w:val="00293EBE"/>
    <w:rsid w:val="002943B3"/>
    <w:rsid w:val="00294F69"/>
    <w:rsid w:val="0029525B"/>
    <w:rsid w:val="00295380"/>
    <w:rsid w:val="0029573B"/>
    <w:rsid w:val="0029576C"/>
    <w:rsid w:val="00295C9A"/>
    <w:rsid w:val="00295E2A"/>
    <w:rsid w:val="00295ED9"/>
    <w:rsid w:val="00295EDD"/>
    <w:rsid w:val="002968FD"/>
    <w:rsid w:val="00296D97"/>
    <w:rsid w:val="002974A5"/>
    <w:rsid w:val="002977DC"/>
    <w:rsid w:val="00297BE6"/>
    <w:rsid w:val="002A0A53"/>
    <w:rsid w:val="002A1301"/>
    <w:rsid w:val="002A1B39"/>
    <w:rsid w:val="002A1B6B"/>
    <w:rsid w:val="002A1F21"/>
    <w:rsid w:val="002A24E0"/>
    <w:rsid w:val="002A3812"/>
    <w:rsid w:val="002A3A89"/>
    <w:rsid w:val="002A3ED5"/>
    <w:rsid w:val="002A4706"/>
    <w:rsid w:val="002A4B79"/>
    <w:rsid w:val="002A4D95"/>
    <w:rsid w:val="002A5247"/>
    <w:rsid w:val="002A58F5"/>
    <w:rsid w:val="002A59AC"/>
    <w:rsid w:val="002A5E2B"/>
    <w:rsid w:val="002A643F"/>
    <w:rsid w:val="002A6BB8"/>
    <w:rsid w:val="002A6E60"/>
    <w:rsid w:val="002A7A40"/>
    <w:rsid w:val="002B022D"/>
    <w:rsid w:val="002B078D"/>
    <w:rsid w:val="002B1266"/>
    <w:rsid w:val="002B15A3"/>
    <w:rsid w:val="002B171C"/>
    <w:rsid w:val="002B2786"/>
    <w:rsid w:val="002B37DA"/>
    <w:rsid w:val="002B3A49"/>
    <w:rsid w:val="002B49E3"/>
    <w:rsid w:val="002B5058"/>
    <w:rsid w:val="002B5356"/>
    <w:rsid w:val="002B573B"/>
    <w:rsid w:val="002B5875"/>
    <w:rsid w:val="002B58B9"/>
    <w:rsid w:val="002B6FFA"/>
    <w:rsid w:val="002B70FF"/>
    <w:rsid w:val="002B73BE"/>
    <w:rsid w:val="002B744B"/>
    <w:rsid w:val="002B7FC8"/>
    <w:rsid w:val="002C033A"/>
    <w:rsid w:val="002C03CF"/>
    <w:rsid w:val="002C10F8"/>
    <w:rsid w:val="002C11B6"/>
    <w:rsid w:val="002C1972"/>
    <w:rsid w:val="002C1F41"/>
    <w:rsid w:val="002C2A6B"/>
    <w:rsid w:val="002C2B42"/>
    <w:rsid w:val="002C2F62"/>
    <w:rsid w:val="002C31BD"/>
    <w:rsid w:val="002C3648"/>
    <w:rsid w:val="002C3C0A"/>
    <w:rsid w:val="002C3EC6"/>
    <w:rsid w:val="002C40B2"/>
    <w:rsid w:val="002C42EE"/>
    <w:rsid w:val="002C4C8A"/>
    <w:rsid w:val="002C4D11"/>
    <w:rsid w:val="002C4E63"/>
    <w:rsid w:val="002C4E9D"/>
    <w:rsid w:val="002C522A"/>
    <w:rsid w:val="002C561A"/>
    <w:rsid w:val="002C5935"/>
    <w:rsid w:val="002C5BF8"/>
    <w:rsid w:val="002C5E38"/>
    <w:rsid w:val="002C6705"/>
    <w:rsid w:val="002C680D"/>
    <w:rsid w:val="002C6938"/>
    <w:rsid w:val="002C6B9E"/>
    <w:rsid w:val="002C6FBA"/>
    <w:rsid w:val="002C7223"/>
    <w:rsid w:val="002C733E"/>
    <w:rsid w:val="002C747D"/>
    <w:rsid w:val="002C75A1"/>
    <w:rsid w:val="002C7B85"/>
    <w:rsid w:val="002C7CCA"/>
    <w:rsid w:val="002C7EC4"/>
    <w:rsid w:val="002D078A"/>
    <w:rsid w:val="002D09F7"/>
    <w:rsid w:val="002D0B9C"/>
    <w:rsid w:val="002D0E93"/>
    <w:rsid w:val="002D0F0F"/>
    <w:rsid w:val="002D185F"/>
    <w:rsid w:val="002D23C0"/>
    <w:rsid w:val="002D24CC"/>
    <w:rsid w:val="002D3754"/>
    <w:rsid w:val="002D3BB8"/>
    <w:rsid w:val="002D4278"/>
    <w:rsid w:val="002D489F"/>
    <w:rsid w:val="002D4B96"/>
    <w:rsid w:val="002D4D68"/>
    <w:rsid w:val="002D4E24"/>
    <w:rsid w:val="002D4E9B"/>
    <w:rsid w:val="002D5454"/>
    <w:rsid w:val="002D55D4"/>
    <w:rsid w:val="002D5AD2"/>
    <w:rsid w:val="002D5E87"/>
    <w:rsid w:val="002D5F52"/>
    <w:rsid w:val="002D6182"/>
    <w:rsid w:val="002D672B"/>
    <w:rsid w:val="002D731D"/>
    <w:rsid w:val="002D74EE"/>
    <w:rsid w:val="002E0046"/>
    <w:rsid w:val="002E032B"/>
    <w:rsid w:val="002E12C8"/>
    <w:rsid w:val="002E1583"/>
    <w:rsid w:val="002E2267"/>
    <w:rsid w:val="002E24AE"/>
    <w:rsid w:val="002E261B"/>
    <w:rsid w:val="002E27A1"/>
    <w:rsid w:val="002E2828"/>
    <w:rsid w:val="002E2876"/>
    <w:rsid w:val="002E2C31"/>
    <w:rsid w:val="002E3763"/>
    <w:rsid w:val="002E3951"/>
    <w:rsid w:val="002E3B37"/>
    <w:rsid w:val="002E408E"/>
    <w:rsid w:val="002E46F4"/>
    <w:rsid w:val="002E5226"/>
    <w:rsid w:val="002E58AE"/>
    <w:rsid w:val="002E5E56"/>
    <w:rsid w:val="002E6127"/>
    <w:rsid w:val="002E7145"/>
    <w:rsid w:val="002E75D0"/>
    <w:rsid w:val="002E7900"/>
    <w:rsid w:val="002F0552"/>
    <w:rsid w:val="002F05E1"/>
    <w:rsid w:val="002F1512"/>
    <w:rsid w:val="002F171B"/>
    <w:rsid w:val="002F172E"/>
    <w:rsid w:val="002F1B8D"/>
    <w:rsid w:val="002F1C99"/>
    <w:rsid w:val="002F201D"/>
    <w:rsid w:val="002F2273"/>
    <w:rsid w:val="002F23F3"/>
    <w:rsid w:val="002F272A"/>
    <w:rsid w:val="002F2872"/>
    <w:rsid w:val="002F2D89"/>
    <w:rsid w:val="002F380F"/>
    <w:rsid w:val="002F3BB7"/>
    <w:rsid w:val="002F3C54"/>
    <w:rsid w:val="002F49B6"/>
    <w:rsid w:val="002F51DC"/>
    <w:rsid w:val="002F594E"/>
    <w:rsid w:val="002F59C4"/>
    <w:rsid w:val="002F6442"/>
    <w:rsid w:val="002F706F"/>
    <w:rsid w:val="002F7477"/>
    <w:rsid w:val="002F74E3"/>
    <w:rsid w:val="002F7732"/>
    <w:rsid w:val="002F7B9A"/>
    <w:rsid w:val="00300FDF"/>
    <w:rsid w:val="00301892"/>
    <w:rsid w:val="00301928"/>
    <w:rsid w:val="00302789"/>
    <w:rsid w:val="0030278B"/>
    <w:rsid w:val="0030289C"/>
    <w:rsid w:val="00303060"/>
    <w:rsid w:val="0030360F"/>
    <w:rsid w:val="0030365F"/>
    <w:rsid w:val="0030378E"/>
    <w:rsid w:val="00303A8E"/>
    <w:rsid w:val="00304508"/>
    <w:rsid w:val="00304EB0"/>
    <w:rsid w:val="00305E9C"/>
    <w:rsid w:val="003061D2"/>
    <w:rsid w:val="003064EC"/>
    <w:rsid w:val="0030667F"/>
    <w:rsid w:val="00306C09"/>
    <w:rsid w:val="00307001"/>
    <w:rsid w:val="00307C7E"/>
    <w:rsid w:val="00310E17"/>
    <w:rsid w:val="003110A5"/>
    <w:rsid w:val="00311221"/>
    <w:rsid w:val="003113D8"/>
    <w:rsid w:val="00311543"/>
    <w:rsid w:val="00311549"/>
    <w:rsid w:val="003116F9"/>
    <w:rsid w:val="00311B9A"/>
    <w:rsid w:val="00311D70"/>
    <w:rsid w:val="00312023"/>
    <w:rsid w:val="003123A1"/>
    <w:rsid w:val="00312ACD"/>
    <w:rsid w:val="00313065"/>
    <w:rsid w:val="00314382"/>
    <w:rsid w:val="00314AF1"/>
    <w:rsid w:val="003150C8"/>
    <w:rsid w:val="003155E7"/>
    <w:rsid w:val="00315ECE"/>
    <w:rsid w:val="00316CFA"/>
    <w:rsid w:val="00316D1B"/>
    <w:rsid w:val="003171DB"/>
    <w:rsid w:val="00317453"/>
    <w:rsid w:val="00317A75"/>
    <w:rsid w:val="00317DA9"/>
    <w:rsid w:val="00317FD1"/>
    <w:rsid w:val="0032109C"/>
    <w:rsid w:val="003212AA"/>
    <w:rsid w:val="0032142A"/>
    <w:rsid w:val="0032147D"/>
    <w:rsid w:val="00321CC2"/>
    <w:rsid w:val="0032228F"/>
    <w:rsid w:val="00322431"/>
    <w:rsid w:val="00322507"/>
    <w:rsid w:val="00322B5C"/>
    <w:rsid w:val="00323319"/>
    <w:rsid w:val="003234B5"/>
    <w:rsid w:val="0032360C"/>
    <w:rsid w:val="00323B59"/>
    <w:rsid w:val="00323D2D"/>
    <w:rsid w:val="00324120"/>
    <w:rsid w:val="00324207"/>
    <w:rsid w:val="00324381"/>
    <w:rsid w:val="00324636"/>
    <w:rsid w:val="0032479E"/>
    <w:rsid w:val="003248F9"/>
    <w:rsid w:val="00324B18"/>
    <w:rsid w:val="00324F6F"/>
    <w:rsid w:val="00324FBF"/>
    <w:rsid w:val="00325999"/>
    <w:rsid w:val="00325ECC"/>
    <w:rsid w:val="003261CD"/>
    <w:rsid w:val="00326307"/>
    <w:rsid w:val="003264A0"/>
    <w:rsid w:val="0032670D"/>
    <w:rsid w:val="00326997"/>
    <w:rsid w:val="00326C3B"/>
    <w:rsid w:val="00327356"/>
    <w:rsid w:val="00327425"/>
    <w:rsid w:val="0032770D"/>
    <w:rsid w:val="0032792F"/>
    <w:rsid w:val="00327A67"/>
    <w:rsid w:val="00327B34"/>
    <w:rsid w:val="00327D18"/>
    <w:rsid w:val="00330684"/>
    <w:rsid w:val="003308D9"/>
    <w:rsid w:val="00330B88"/>
    <w:rsid w:val="00330CEE"/>
    <w:rsid w:val="00331054"/>
    <w:rsid w:val="00331805"/>
    <w:rsid w:val="0033187D"/>
    <w:rsid w:val="00332DAA"/>
    <w:rsid w:val="00333DC1"/>
    <w:rsid w:val="00334065"/>
    <w:rsid w:val="00334207"/>
    <w:rsid w:val="003342B7"/>
    <w:rsid w:val="0033453B"/>
    <w:rsid w:val="00334897"/>
    <w:rsid w:val="00334A2D"/>
    <w:rsid w:val="003355A9"/>
    <w:rsid w:val="003368F9"/>
    <w:rsid w:val="00336C4F"/>
    <w:rsid w:val="003377D1"/>
    <w:rsid w:val="00337A55"/>
    <w:rsid w:val="003400DE"/>
    <w:rsid w:val="00340E08"/>
    <w:rsid w:val="00341442"/>
    <w:rsid w:val="00341F4D"/>
    <w:rsid w:val="00341F4E"/>
    <w:rsid w:val="00342088"/>
    <w:rsid w:val="00342A81"/>
    <w:rsid w:val="00342F53"/>
    <w:rsid w:val="00343553"/>
    <w:rsid w:val="00343813"/>
    <w:rsid w:val="0034388B"/>
    <w:rsid w:val="003439A5"/>
    <w:rsid w:val="00344285"/>
    <w:rsid w:val="003447D2"/>
    <w:rsid w:val="00344A46"/>
    <w:rsid w:val="00344BA2"/>
    <w:rsid w:val="00344D03"/>
    <w:rsid w:val="00344E3C"/>
    <w:rsid w:val="00345701"/>
    <w:rsid w:val="00345C67"/>
    <w:rsid w:val="00346B6F"/>
    <w:rsid w:val="00346C77"/>
    <w:rsid w:val="003473DE"/>
    <w:rsid w:val="00347786"/>
    <w:rsid w:val="00347E47"/>
    <w:rsid w:val="00350030"/>
    <w:rsid w:val="00350097"/>
    <w:rsid w:val="0035057A"/>
    <w:rsid w:val="00350669"/>
    <w:rsid w:val="00350C4C"/>
    <w:rsid w:val="00350D3F"/>
    <w:rsid w:val="00351619"/>
    <w:rsid w:val="00351F1A"/>
    <w:rsid w:val="00352263"/>
    <w:rsid w:val="00352748"/>
    <w:rsid w:val="00353281"/>
    <w:rsid w:val="00353CFC"/>
    <w:rsid w:val="00353FB9"/>
    <w:rsid w:val="00354E79"/>
    <w:rsid w:val="00355487"/>
    <w:rsid w:val="0035567C"/>
    <w:rsid w:val="00356075"/>
    <w:rsid w:val="0035634D"/>
    <w:rsid w:val="00357675"/>
    <w:rsid w:val="003576C0"/>
    <w:rsid w:val="0035773C"/>
    <w:rsid w:val="00357A01"/>
    <w:rsid w:val="0036017B"/>
    <w:rsid w:val="0036036B"/>
    <w:rsid w:val="003605F9"/>
    <w:rsid w:val="00360737"/>
    <w:rsid w:val="00361198"/>
    <w:rsid w:val="00362142"/>
    <w:rsid w:val="00362169"/>
    <w:rsid w:val="003625B2"/>
    <w:rsid w:val="003626D7"/>
    <w:rsid w:val="00362CCE"/>
    <w:rsid w:val="0036341A"/>
    <w:rsid w:val="00363434"/>
    <w:rsid w:val="00363CE1"/>
    <w:rsid w:val="00363F62"/>
    <w:rsid w:val="0036516E"/>
    <w:rsid w:val="00365482"/>
    <w:rsid w:val="00366398"/>
    <w:rsid w:val="003665FA"/>
    <w:rsid w:val="00366793"/>
    <w:rsid w:val="00366B11"/>
    <w:rsid w:val="00366B6B"/>
    <w:rsid w:val="003670F3"/>
    <w:rsid w:val="003673AA"/>
    <w:rsid w:val="003675A0"/>
    <w:rsid w:val="00367F78"/>
    <w:rsid w:val="003705D8"/>
    <w:rsid w:val="00370AF4"/>
    <w:rsid w:val="00370C88"/>
    <w:rsid w:val="00371565"/>
    <w:rsid w:val="00371798"/>
    <w:rsid w:val="00371956"/>
    <w:rsid w:val="00371E91"/>
    <w:rsid w:val="003720FD"/>
    <w:rsid w:val="0037291C"/>
    <w:rsid w:val="00373DB8"/>
    <w:rsid w:val="0037408E"/>
    <w:rsid w:val="00374D6F"/>
    <w:rsid w:val="0037541D"/>
    <w:rsid w:val="00376054"/>
    <w:rsid w:val="0037624A"/>
    <w:rsid w:val="00376F5A"/>
    <w:rsid w:val="00377865"/>
    <w:rsid w:val="00377C0E"/>
    <w:rsid w:val="00380C22"/>
    <w:rsid w:val="00381CEE"/>
    <w:rsid w:val="00382084"/>
    <w:rsid w:val="0038216C"/>
    <w:rsid w:val="00382DA7"/>
    <w:rsid w:val="003831C9"/>
    <w:rsid w:val="00384978"/>
    <w:rsid w:val="00384D65"/>
    <w:rsid w:val="00384DC4"/>
    <w:rsid w:val="00385240"/>
    <w:rsid w:val="00385808"/>
    <w:rsid w:val="00385BB9"/>
    <w:rsid w:val="00385EC0"/>
    <w:rsid w:val="00385EF2"/>
    <w:rsid w:val="00386610"/>
    <w:rsid w:val="00387689"/>
    <w:rsid w:val="00387B39"/>
    <w:rsid w:val="0039041B"/>
    <w:rsid w:val="0039167D"/>
    <w:rsid w:val="00391717"/>
    <w:rsid w:val="00391AB2"/>
    <w:rsid w:val="00391ADC"/>
    <w:rsid w:val="00392D5E"/>
    <w:rsid w:val="00392E31"/>
    <w:rsid w:val="003935B8"/>
    <w:rsid w:val="00393674"/>
    <w:rsid w:val="00393B4D"/>
    <w:rsid w:val="00394128"/>
    <w:rsid w:val="0039416C"/>
    <w:rsid w:val="0039422A"/>
    <w:rsid w:val="003947C8"/>
    <w:rsid w:val="003949E2"/>
    <w:rsid w:val="00395348"/>
    <w:rsid w:val="00395AF6"/>
    <w:rsid w:val="003963EF"/>
    <w:rsid w:val="0039685C"/>
    <w:rsid w:val="00396B46"/>
    <w:rsid w:val="00396BDE"/>
    <w:rsid w:val="00397831"/>
    <w:rsid w:val="00397AF1"/>
    <w:rsid w:val="003A13B1"/>
    <w:rsid w:val="003A19CE"/>
    <w:rsid w:val="003A1F06"/>
    <w:rsid w:val="003A1F3F"/>
    <w:rsid w:val="003A2450"/>
    <w:rsid w:val="003A25F4"/>
    <w:rsid w:val="003A3359"/>
    <w:rsid w:val="003A44E1"/>
    <w:rsid w:val="003A4609"/>
    <w:rsid w:val="003A4972"/>
    <w:rsid w:val="003A58FF"/>
    <w:rsid w:val="003A593A"/>
    <w:rsid w:val="003A5AA8"/>
    <w:rsid w:val="003A6164"/>
    <w:rsid w:val="003A64E1"/>
    <w:rsid w:val="003A6BDB"/>
    <w:rsid w:val="003B0365"/>
    <w:rsid w:val="003B0827"/>
    <w:rsid w:val="003B0A20"/>
    <w:rsid w:val="003B128E"/>
    <w:rsid w:val="003B1DFD"/>
    <w:rsid w:val="003B236A"/>
    <w:rsid w:val="003B2605"/>
    <w:rsid w:val="003B27BF"/>
    <w:rsid w:val="003B28B9"/>
    <w:rsid w:val="003B2CE5"/>
    <w:rsid w:val="003B3D18"/>
    <w:rsid w:val="003B4F37"/>
    <w:rsid w:val="003B584E"/>
    <w:rsid w:val="003B5873"/>
    <w:rsid w:val="003B5D45"/>
    <w:rsid w:val="003B63B2"/>
    <w:rsid w:val="003B6532"/>
    <w:rsid w:val="003B6739"/>
    <w:rsid w:val="003B6833"/>
    <w:rsid w:val="003B7316"/>
    <w:rsid w:val="003B7636"/>
    <w:rsid w:val="003B7A94"/>
    <w:rsid w:val="003C034F"/>
    <w:rsid w:val="003C0927"/>
    <w:rsid w:val="003C0ACF"/>
    <w:rsid w:val="003C15EA"/>
    <w:rsid w:val="003C254E"/>
    <w:rsid w:val="003C2B32"/>
    <w:rsid w:val="003C2C08"/>
    <w:rsid w:val="003C3180"/>
    <w:rsid w:val="003C3636"/>
    <w:rsid w:val="003C37FA"/>
    <w:rsid w:val="003C3896"/>
    <w:rsid w:val="003C399B"/>
    <w:rsid w:val="003C4081"/>
    <w:rsid w:val="003C4095"/>
    <w:rsid w:val="003C40F7"/>
    <w:rsid w:val="003C4289"/>
    <w:rsid w:val="003C4591"/>
    <w:rsid w:val="003C48F9"/>
    <w:rsid w:val="003C5AD2"/>
    <w:rsid w:val="003C5D0F"/>
    <w:rsid w:val="003C61B7"/>
    <w:rsid w:val="003C6270"/>
    <w:rsid w:val="003C6C51"/>
    <w:rsid w:val="003C747B"/>
    <w:rsid w:val="003C7EAC"/>
    <w:rsid w:val="003D0210"/>
    <w:rsid w:val="003D091C"/>
    <w:rsid w:val="003D128A"/>
    <w:rsid w:val="003D19B1"/>
    <w:rsid w:val="003D1D3B"/>
    <w:rsid w:val="003D22CF"/>
    <w:rsid w:val="003D2B8F"/>
    <w:rsid w:val="003D2ECD"/>
    <w:rsid w:val="003D2FF4"/>
    <w:rsid w:val="003D43F4"/>
    <w:rsid w:val="003D4508"/>
    <w:rsid w:val="003D563A"/>
    <w:rsid w:val="003D5C2E"/>
    <w:rsid w:val="003D6253"/>
    <w:rsid w:val="003D6A3D"/>
    <w:rsid w:val="003D78B8"/>
    <w:rsid w:val="003E0017"/>
    <w:rsid w:val="003E016E"/>
    <w:rsid w:val="003E0993"/>
    <w:rsid w:val="003E0EC1"/>
    <w:rsid w:val="003E146E"/>
    <w:rsid w:val="003E1C6A"/>
    <w:rsid w:val="003E21DB"/>
    <w:rsid w:val="003E2C2C"/>
    <w:rsid w:val="003E2C32"/>
    <w:rsid w:val="003E2C8C"/>
    <w:rsid w:val="003E30A8"/>
    <w:rsid w:val="003E3B01"/>
    <w:rsid w:val="003E46B3"/>
    <w:rsid w:val="003E4B16"/>
    <w:rsid w:val="003E4F2A"/>
    <w:rsid w:val="003E4FA7"/>
    <w:rsid w:val="003E530B"/>
    <w:rsid w:val="003E5351"/>
    <w:rsid w:val="003E5AD3"/>
    <w:rsid w:val="003E5B69"/>
    <w:rsid w:val="003E5CD5"/>
    <w:rsid w:val="003E5D5D"/>
    <w:rsid w:val="003E62CB"/>
    <w:rsid w:val="003E68BC"/>
    <w:rsid w:val="003E74B5"/>
    <w:rsid w:val="003E79B0"/>
    <w:rsid w:val="003E7AED"/>
    <w:rsid w:val="003E7E08"/>
    <w:rsid w:val="003F0048"/>
    <w:rsid w:val="003F0360"/>
    <w:rsid w:val="003F0670"/>
    <w:rsid w:val="003F0E40"/>
    <w:rsid w:val="003F0FE6"/>
    <w:rsid w:val="003F1602"/>
    <w:rsid w:val="003F1AD2"/>
    <w:rsid w:val="003F1D22"/>
    <w:rsid w:val="003F1E6A"/>
    <w:rsid w:val="003F2275"/>
    <w:rsid w:val="003F3157"/>
    <w:rsid w:val="003F397A"/>
    <w:rsid w:val="003F3A1D"/>
    <w:rsid w:val="003F3D41"/>
    <w:rsid w:val="003F3D9A"/>
    <w:rsid w:val="003F42DD"/>
    <w:rsid w:val="003F4930"/>
    <w:rsid w:val="003F49C8"/>
    <w:rsid w:val="003F49D5"/>
    <w:rsid w:val="003F4A68"/>
    <w:rsid w:val="003F4E3A"/>
    <w:rsid w:val="003F5268"/>
    <w:rsid w:val="003F5F19"/>
    <w:rsid w:val="003F60D7"/>
    <w:rsid w:val="003F6C0D"/>
    <w:rsid w:val="003F77CC"/>
    <w:rsid w:val="003F7EEE"/>
    <w:rsid w:val="00400B22"/>
    <w:rsid w:val="004010C1"/>
    <w:rsid w:val="00402DF3"/>
    <w:rsid w:val="00403ACC"/>
    <w:rsid w:val="00403BC1"/>
    <w:rsid w:val="00404119"/>
    <w:rsid w:val="004043AC"/>
    <w:rsid w:val="00404DE6"/>
    <w:rsid w:val="0040527F"/>
    <w:rsid w:val="00405547"/>
    <w:rsid w:val="0040574D"/>
    <w:rsid w:val="00405D6B"/>
    <w:rsid w:val="0040689F"/>
    <w:rsid w:val="00407CFB"/>
    <w:rsid w:val="004101D0"/>
    <w:rsid w:val="00410281"/>
    <w:rsid w:val="004108A4"/>
    <w:rsid w:val="00410A75"/>
    <w:rsid w:val="00411041"/>
    <w:rsid w:val="004111F0"/>
    <w:rsid w:val="0041186C"/>
    <w:rsid w:val="0041295E"/>
    <w:rsid w:val="00413165"/>
    <w:rsid w:val="0041388D"/>
    <w:rsid w:val="00413FBA"/>
    <w:rsid w:val="004142A9"/>
    <w:rsid w:val="004144D3"/>
    <w:rsid w:val="0041481B"/>
    <w:rsid w:val="00415C6A"/>
    <w:rsid w:val="004167E2"/>
    <w:rsid w:val="00416B7C"/>
    <w:rsid w:val="00416D45"/>
    <w:rsid w:val="00417299"/>
    <w:rsid w:val="00417761"/>
    <w:rsid w:val="0041791E"/>
    <w:rsid w:val="004179DA"/>
    <w:rsid w:val="004204EC"/>
    <w:rsid w:val="00420C0C"/>
    <w:rsid w:val="00420FD4"/>
    <w:rsid w:val="0042238B"/>
    <w:rsid w:val="00422EDC"/>
    <w:rsid w:val="00423363"/>
    <w:rsid w:val="0042345B"/>
    <w:rsid w:val="0042349C"/>
    <w:rsid w:val="004235BD"/>
    <w:rsid w:val="00423A8A"/>
    <w:rsid w:val="00423C5F"/>
    <w:rsid w:val="00423D72"/>
    <w:rsid w:val="00423EB8"/>
    <w:rsid w:val="00424092"/>
    <w:rsid w:val="00424322"/>
    <w:rsid w:val="004246F4"/>
    <w:rsid w:val="00424D6A"/>
    <w:rsid w:val="004255D9"/>
    <w:rsid w:val="00426CB6"/>
    <w:rsid w:val="0042704F"/>
    <w:rsid w:val="004304FD"/>
    <w:rsid w:val="00431248"/>
    <w:rsid w:val="0043186E"/>
    <w:rsid w:val="00431972"/>
    <w:rsid w:val="00432661"/>
    <w:rsid w:val="00432783"/>
    <w:rsid w:val="004329D0"/>
    <w:rsid w:val="004342B8"/>
    <w:rsid w:val="0043512D"/>
    <w:rsid w:val="004358E9"/>
    <w:rsid w:val="004359C1"/>
    <w:rsid w:val="00435D9B"/>
    <w:rsid w:val="00435E9D"/>
    <w:rsid w:val="00437327"/>
    <w:rsid w:val="0043740C"/>
    <w:rsid w:val="00437450"/>
    <w:rsid w:val="004402D1"/>
    <w:rsid w:val="00441781"/>
    <w:rsid w:val="00442473"/>
    <w:rsid w:val="00442577"/>
    <w:rsid w:val="004425F0"/>
    <w:rsid w:val="004432B6"/>
    <w:rsid w:val="00443853"/>
    <w:rsid w:val="0044386D"/>
    <w:rsid w:val="00443A57"/>
    <w:rsid w:val="0044407A"/>
    <w:rsid w:val="004440BE"/>
    <w:rsid w:val="0044432F"/>
    <w:rsid w:val="00444784"/>
    <w:rsid w:val="004453BB"/>
    <w:rsid w:val="004455CC"/>
    <w:rsid w:val="00445A1B"/>
    <w:rsid w:val="00446BEE"/>
    <w:rsid w:val="00446F98"/>
    <w:rsid w:val="004474F6"/>
    <w:rsid w:val="00447D47"/>
    <w:rsid w:val="004501C8"/>
    <w:rsid w:val="00450619"/>
    <w:rsid w:val="00450833"/>
    <w:rsid w:val="00450959"/>
    <w:rsid w:val="00450E36"/>
    <w:rsid w:val="004517F1"/>
    <w:rsid w:val="004521A1"/>
    <w:rsid w:val="004525B5"/>
    <w:rsid w:val="00452E3F"/>
    <w:rsid w:val="004539DA"/>
    <w:rsid w:val="00453D99"/>
    <w:rsid w:val="00454144"/>
    <w:rsid w:val="0045452B"/>
    <w:rsid w:val="004554E1"/>
    <w:rsid w:val="00455A05"/>
    <w:rsid w:val="00455ED4"/>
    <w:rsid w:val="00456C33"/>
    <w:rsid w:val="00456CF0"/>
    <w:rsid w:val="00457399"/>
    <w:rsid w:val="00457AAE"/>
    <w:rsid w:val="00457D1B"/>
    <w:rsid w:val="00460076"/>
    <w:rsid w:val="00460894"/>
    <w:rsid w:val="0046138D"/>
    <w:rsid w:val="004615AA"/>
    <w:rsid w:val="0046169F"/>
    <w:rsid w:val="004618E5"/>
    <w:rsid w:val="0046312C"/>
    <w:rsid w:val="00463681"/>
    <w:rsid w:val="0046387C"/>
    <w:rsid w:val="00463881"/>
    <w:rsid w:val="004640EB"/>
    <w:rsid w:val="004646BA"/>
    <w:rsid w:val="00465250"/>
    <w:rsid w:val="004658C7"/>
    <w:rsid w:val="00465AED"/>
    <w:rsid w:val="00466897"/>
    <w:rsid w:val="0046695B"/>
    <w:rsid w:val="00466F53"/>
    <w:rsid w:val="00467296"/>
    <w:rsid w:val="00467429"/>
    <w:rsid w:val="00467F70"/>
    <w:rsid w:val="004703F1"/>
    <w:rsid w:val="004710EF"/>
    <w:rsid w:val="00471BAC"/>
    <w:rsid w:val="00471D43"/>
    <w:rsid w:val="00472087"/>
    <w:rsid w:val="0047224A"/>
    <w:rsid w:val="0047235F"/>
    <w:rsid w:val="0047242D"/>
    <w:rsid w:val="0047278D"/>
    <w:rsid w:val="004728C1"/>
    <w:rsid w:val="00472DB7"/>
    <w:rsid w:val="00472E22"/>
    <w:rsid w:val="004736A2"/>
    <w:rsid w:val="00473A9F"/>
    <w:rsid w:val="00473CCD"/>
    <w:rsid w:val="00473DE2"/>
    <w:rsid w:val="00473F20"/>
    <w:rsid w:val="00474774"/>
    <w:rsid w:val="0047545E"/>
    <w:rsid w:val="00475665"/>
    <w:rsid w:val="004758F4"/>
    <w:rsid w:val="00475FD3"/>
    <w:rsid w:val="004764A8"/>
    <w:rsid w:val="0047705D"/>
    <w:rsid w:val="0047766B"/>
    <w:rsid w:val="00477DAC"/>
    <w:rsid w:val="00481094"/>
    <w:rsid w:val="00481389"/>
    <w:rsid w:val="00481F0D"/>
    <w:rsid w:val="0048226E"/>
    <w:rsid w:val="00482752"/>
    <w:rsid w:val="00482815"/>
    <w:rsid w:val="0048282E"/>
    <w:rsid w:val="004835E8"/>
    <w:rsid w:val="00483DDB"/>
    <w:rsid w:val="004851DA"/>
    <w:rsid w:val="00485DBA"/>
    <w:rsid w:val="0048600B"/>
    <w:rsid w:val="00486255"/>
    <w:rsid w:val="00486932"/>
    <w:rsid w:val="00486C0A"/>
    <w:rsid w:val="004874E7"/>
    <w:rsid w:val="004876EB"/>
    <w:rsid w:val="00487A84"/>
    <w:rsid w:val="00490FAC"/>
    <w:rsid w:val="00491170"/>
    <w:rsid w:val="00491D65"/>
    <w:rsid w:val="00491E3D"/>
    <w:rsid w:val="00491E62"/>
    <w:rsid w:val="00491EE3"/>
    <w:rsid w:val="004923AA"/>
    <w:rsid w:val="00493724"/>
    <w:rsid w:val="00493CD6"/>
    <w:rsid w:val="004945DB"/>
    <w:rsid w:val="0049519C"/>
    <w:rsid w:val="004954B4"/>
    <w:rsid w:val="00495B91"/>
    <w:rsid w:val="00495D0C"/>
    <w:rsid w:val="00496579"/>
    <w:rsid w:val="004967D4"/>
    <w:rsid w:val="004969AD"/>
    <w:rsid w:val="00496EED"/>
    <w:rsid w:val="004970B4"/>
    <w:rsid w:val="00497365"/>
    <w:rsid w:val="00497479"/>
    <w:rsid w:val="00497F05"/>
    <w:rsid w:val="00497FC0"/>
    <w:rsid w:val="004A00AB"/>
    <w:rsid w:val="004A019D"/>
    <w:rsid w:val="004A06DD"/>
    <w:rsid w:val="004A08AC"/>
    <w:rsid w:val="004A0AE4"/>
    <w:rsid w:val="004A0B61"/>
    <w:rsid w:val="004A0F13"/>
    <w:rsid w:val="004A18D8"/>
    <w:rsid w:val="004A2A27"/>
    <w:rsid w:val="004A3255"/>
    <w:rsid w:val="004A36B9"/>
    <w:rsid w:val="004A3DE5"/>
    <w:rsid w:val="004A410B"/>
    <w:rsid w:val="004A451D"/>
    <w:rsid w:val="004A49A2"/>
    <w:rsid w:val="004A54AA"/>
    <w:rsid w:val="004A618B"/>
    <w:rsid w:val="004A63D0"/>
    <w:rsid w:val="004A6BB3"/>
    <w:rsid w:val="004A6E44"/>
    <w:rsid w:val="004A735E"/>
    <w:rsid w:val="004A7418"/>
    <w:rsid w:val="004B03B0"/>
    <w:rsid w:val="004B09B0"/>
    <w:rsid w:val="004B11AC"/>
    <w:rsid w:val="004B12F9"/>
    <w:rsid w:val="004B39B3"/>
    <w:rsid w:val="004B3B21"/>
    <w:rsid w:val="004B3CD9"/>
    <w:rsid w:val="004B47EB"/>
    <w:rsid w:val="004B4957"/>
    <w:rsid w:val="004B4EE7"/>
    <w:rsid w:val="004B5D59"/>
    <w:rsid w:val="004B67D9"/>
    <w:rsid w:val="004B6A9A"/>
    <w:rsid w:val="004B6AC7"/>
    <w:rsid w:val="004B7EF5"/>
    <w:rsid w:val="004C07B9"/>
    <w:rsid w:val="004C1121"/>
    <w:rsid w:val="004C1130"/>
    <w:rsid w:val="004C14BC"/>
    <w:rsid w:val="004C1A6D"/>
    <w:rsid w:val="004C1BF9"/>
    <w:rsid w:val="004C1E4D"/>
    <w:rsid w:val="004C1F40"/>
    <w:rsid w:val="004C2F6D"/>
    <w:rsid w:val="004C3642"/>
    <w:rsid w:val="004C3CDC"/>
    <w:rsid w:val="004C3EF0"/>
    <w:rsid w:val="004C437D"/>
    <w:rsid w:val="004C531E"/>
    <w:rsid w:val="004C576D"/>
    <w:rsid w:val="004C5CF7"/>
    <w:rsid w:val="004C611A"/>
    <w:rsid w:val="004C6142"/>
    <w:rsid w:val="004C6929"/>
    <w:rsid w:val="004C6A58"/>
    <w:rsid w:val="004C6D6E"/>
    <w:rsid w:val="004C714F"/>
    <w:rsid w:val="004C765D"/>
    <w:rsid w:val="004C772A"/>
    <w:rsid w:val="004C77B7"/>
    <w:rsid w:val="004C7A45"/>
    <w:rsid w:val="004D018A"/>
    <w:rsid w:val="004D0460"/>
    <w:rsid w:val="004D0D2E"/>
    <w:rsid w:val="004D1244"/>
    <w:rsid w:val="004D1CA6"/>
    <w:rsid w:val="004D21CE"/>
    <w:rsid w:val="004D25B6"/>
    <w:rsid w:val="004D270E"/>
    <w:rsid w:val="004D2BEA"/>
    <w:rsid w:val="004D2D44"/>
    <w:rsid w:val="004D37E8"/>
    <w:rsid w:val="004D3BAC"/>
    <w:rsid w:val="004D3CC9"/>
    <w:rsid w:val="004D47D0"/>
    <w:rsid w:val="004D4876"/>
    <w:rsid w:val="004D594B"/>
    <w:rsid w:val="004D5993"/>
    <w:rsid w:val="004D5C79"/>
    <w:rsid w:val="004D6443"/>
    <w:rsid w:val="004D68FC"/>
    <w:rsid w:val="004D7085"/>
    <w:rsid w:val="004D71CD"/>
    <w:rsid w:val="004D7724"/>
    <w:rsid w:val="004D79EC"/>
    <w:rsid w:val="004D7BC1"/>
    <w:rsid w:val="004D7D79"/>
    <w:rsid w:val="004E0296"/>
    <w:rsid w:val="004E0557"/>
    <w:rsid w:val="004E0639"/>
    <w:rsid w:val="004E081C"/>
    <w:rsid w:val="004E08F5"/>
    <w:rsid w:val="004E0E67"/>
    <w:rsid w:val="004E1288"/>
    <w:rsid w:val="004E1A2E"/>
    <w:rsid w:val="004E277C"/>
    <w:rsid w:val="004E2AB4"/>
    <w:rsid w:val="004E2CD9"/>
    <w:rsid w:val="004E32BA"/>
    <w:rsid w:val="004E468B"/>
    <w:rsid w:val="004E4725"/>
    <w:rsid w:val="004E477C"/>
    <w:rsid w:val="004E47FB"/>
    <w:rsid w:val="004E49D0"/>
    <w:rsid w:val="004E4C5F"/>
    <w:rsid w:val="004E5C4B"/>
    <w:rsid w:val="004E74CB"/>
    <w:rsid w:val="004F0184"/>
    <w:rsid w:val="004F0489"/>
    <w:rsid w:val="004F0AC5"/>
    <w:rsid w:val="004F11EF"/>
    <w:rsid w:val="004F2453"/>
    <w:rsid w:val="004F2C78"/>
    <w:rsid w:val="004F3F5D"/>
    <w:rsid w:val="004F3F89"/>
    <w:rsid w:val="004F4478"/>
    <w:rsid w:val="004F472D"/>
    <w:rsid w:val="004F47A8"/>
    <w:rsid w:val="004F495A"/>
    <w:rsid w:val="004F4C0C"/>
    <w:rsid w:val="004F5093"/>
    <w:rsid w:val="004F569E"/>
    <w:rsid w:val="004F6298"/>
    <w:rsid w:val="004F667C"/>
    <w:rsid w:val="004F69D6"/>
    <w:rsid w:val="004F6CC2"/>
    <w:rsid w:val="004F6EC2"/>
    <w:rsid w:val="004F7B9B"/>
    <w:rsid w:val="004F7BA0"/>
    <w:rsid w:val="004F7C44"/>
    <w:rsid w:val="00500EAE"/>
    <w:rsid w:val="00500F45"/>
    <w:rsid w:val="005011DD"/>
    <w:rsid w:val="005018F8"/>
    <w:rsid w:val="00502ED8"/>
    <w:rsid w:val="005032F0"/>
    <w:rsid w:val="00503CF0"/>
    <w:rsid w:val="005055AE"/>
    <w:rsid w:val="00505744"/>
    <w:rsid w:val="005058F2"/>
    <w:rsid w:val="0050597B"/>
    <w:rsid w:val="00505BCA"/>
    <w:rsid w:val="005061AD"/>
    <w:rsid w:val="00507092"/>
    <w:rsid w:val="005076C2"/>
    <w:rsid w:val="00507F4F"/>
    <w:rsid w:val="0051051A"/>
    <w:rsid w:val="00510DC1"/>
    <w:rsid w:val="005115BF"/>
    <w:rsid w:val="00511B59"/>
    <w:rsid w:val="0051210E"/>
    <w:rsid w:val="0051229E"/>
    <w:rsid w:val="00512AC0"/>
    <w:rsid w:val="00512C95"/>
    <w:rsid w:val="00512D07"/>
    <w:rsid w:val="00513541"/>
    <w:rsid w:val="005145E8"/>
    <w:rsid w:val="00514C2C"/>
    <w:rsid w:val="00514D4A"/>
    <w:rsid w:val="00515076"/>
    <w:rsid w:val="0051551C"/>
    <w:rsid w:val="0051583E"/>
    <w:rsid w:val="00515CD1"/>
    <w:rsid w:val="00515D8D"/>
    <w:rsid w:val="00515E05"/>
    <w:rsid w:val="00516049"/>
    <w:rsid w:val="005168B1"/>
    <w:rsid w:val="00516B32"/>
    <w:rsid w:val="0051762D"/>
    <w:rsid w:val="00517868"/>
    <w:rsid w:val="005209E0"/>
    <w:rsid w:val="00520DF7"/>
    <w:rsid w:val="00521074"/>
    <w:rsid w:val="005215C3"/>
    <w:rsid w:val="00521780"/>
    <w:rsid w:val="005221D3"/>
    <w:rsid w:val="00522C0A"/>
    <w:rsid w:val="00523124"/>
    <w:rsid w:val="00523CFD"/>
    <w:rsid w:val="00523D2D"/>
    <w:rsid w:val="00523DDB"/>
    <w:rsid w:val="00524137"/>
    <w:rsid w:val="00524357"/>
    <w:rsid w:val="0052582B"/>
    <w:rsid w:val="00525ADB"/>
    <w:rsid w:val="00525B06"/>
    <w:rsid w:val="00526141"/>
    <w:rsid w:val="00526592"/>
    <w:rsid w:val="005266A2"/>
    <w:rsid w:val="00526BCF"/>
    <w:rsid w:val="005274EB"/>
    <w:rsid w:val="00527920"/>
    <w:rsid w:val="00527E1F"/>
    <w:rsid w:val="0053020C"/>
    <w:rsid w:val="00531EAD"/>
    <w:rsid w:val="00532331"/>
    <w:rsid w:val="0053271D"/>
    <w:rsid w:val="00532DB4"/>
    <w:rsid w:val="00532EBF"/>
    <w:rsid w:val="00533E65"/>
    <w:rsid w:val="00534640"/>
    <w:rsid w:val="005348BF"/>
    <w:rsid w:val="005349C7"/>
    <w:rsid w:val="00534AD5"/>
    <w:rsid w:val="00534C76"/>
    <w:rsid w:val="005350A9"/>
    <w:rsid w:val="005356FD"/>
    <w:rsid w:val="00535B7F"/>
    <w:rsid w:val="005366D8"/>
    <w:rsid w:val="00536E44"/>
    <w:rsid w:val="00537589"/>
    <w:rsid w:val="00537C57"/>
    <w:rsid w:val="00537D3D"/>
    <w:rsid w:val="00540196"/>
    <w:rsid w:val="00541486"/>
    <w:rsid w:val="005414CA"/>
    <w:rsid w:val="00541505"/>
    <w:rsid w:val="005424CF"/>
    <w:rsid w:val="005439C8"/>
    <w:rsid w:val="00543B8F"/>
    <w:rsid w:val="00543E3C"/>
    <w:rsid w:val="00544C51"/>
    <w:rsid w:val="00544CAE"/>
    <w:rsid w:val="00544CDE"/>
    <w:rsid w:val="00544DB0"/>
    <w:rsid w:val="00545F5F"/>
    <w:rsid w:val="00546984"/>
    <w:rsid w:val="00546996"/>
    <w:rsid w:val="00546FB7"/>
    <w:rsid w:val="0054709F"/>
    <w:rsid w:val="005475F2"/>
    <w:rsid w:val="00547D63"/>
    <w:rsid w:val="00550605"/>
    <w:rsid w:val="00550626"/>
    <w:rsid w:val="00550AF5"/>
    <w:rsid w:val="00550AF6"/>
    <w:rsid w:val="00550E98"/>
    <w:rsid w:val="00550FE6"/>
    <w:rsid w:val="00551808"/>
    <w:rsid w:val="00551959"/>
    <w:rsid w:val="00551A31"/>
    <w:rsid w:val="005525DB"/>
    <w:rsid w:val="00552EC0"/>
    <w:rsid w:val="00552F5A"/>
    <w:rsid w:val="0055346B"/>
    <w:rsid w:val="005534C6"/>
    <w:rsid w:val="00554C01"/>
    <w:rsid w:val="00554C5C"/>
    <w:rsid w:val="00554CFB"/>
    <w:rsid w:val="00554E92"/>
    <w:rsid w:val="00555A1A"/>
    <w:rsid w:val="005562A0"/>
    <w:rsid w:val="00556F55"/>
    <w:rsid w:val="00556FCC"/>
    <w:rsid w:val="005577AA"/>
    <w:rsid w:val="005578DE"/>
    <w:rsid w:val="00557A14"/>
    <w:rsid w:val="00557FAD"/>
    <w:rsid w:val="00560CC7"/>
    <w:rsid w:val="0056105A"/>
    <w:rsid w:val="00561412"/>
    <w:rsid w:val="005614CB"/>
    <w:rsid w:val="005625E3"/>
    <w:rsid w:val="00562807"/>
    <w:rsid w:val="00563072"/>
    <w:rsid w:val="00563AC6"/>
    <w:rsid w:val="00563B53"/>
    <w:rsid w:val="005646A7"/>
    <w:rsid w:val="00565159"/>
    <w:rsid w:val="005651A2"/>
    <w:rsid w:val="00565631"/>
    <w:rsid w:val="00566054"/>
    <w:rsid w:val="00566065"/>
    <w:rsid w:val="0056709F"/>
    <w:rsid w:val="005715F2"/>
    <w:rsid w:val="00571697"/>
    <w:rsid w:val="00572D70"/>
    <w:rsid w:val="00573AB0"/>
    <w:rsid w:val="00573BC3"/>
    <w:rsid w:val="00574011"/>
    <w:rsid w:val="00574206"/>
    <w:rsid w:val="00574795"/>
    <w:rsid w:val="0057499A"/>
    <w:rsid w:val="00574D0E"/>
    <w:rsid w:val="00575763"/>
    <w:rsid w:val="00575A23"/>
    <w:rsid w:val="00575D76"/>
    <w:rsid w:val="00575FB8"/>
    <w:rsid w:val="00576A9A"/>
    <w:rsid w:val="00576DAA"/>
    <w:rsid w:val="005774FE"/>
    <w:rsid w:val="00577B13"/>
    <w:rsid w:val="00577C2E"/>
    <w:rsid w:val="00577D1D"/>
    <w:rsid w:val="0058038D"/>
    <w:rsid w:val="00580FDA"/>
    <w:rsid w:val="00581383"/>
    <w:rsid w:val="005813B3"/>
    <w:rsid w:val="00582655"/>
    <w:rsid w:val="00582A9A"/>
    <w:rsid w:val="00583E14"/>
    <w:rsid w:val="00583E52"/>
    <w:rsid w:val="0058437E"/>
    <w:rsid w:val="00584C0C"/>
    <w:rsid w:val="00584C73"/>
    <w:rsid w:val="00584D2C"/>
    <w:rsid w:val="0058544A"/>
    <w:rsid w:val="00585F50"/>
    <w:rsid w:val="00586B7E"/>
    <w:rsid w:val="00590B9D"/>
    <w:rsid w:val="00590FBF"/>
    <w:rsid w:val="00592216"/>
    <w:rsid w:val="00592562"/>
    <w:rsid w:val="00592718"/>
    <w:rsid w:val="00593A70"/>
    <w:rsid w:val="00593E97"/>
    <w:rsid w:val="00593EA4"/>
    <w:rsid w:val="00594345"/>
    <w:rsid w:val="0059475E"/>
    <w:rsid w:val="00594E96"/>
    <w:rsid w:val="005958C3"/>
    <w:rsid w:val="00595A04"/>
    <w:rsid w:val="00595AF3"/>
    <w:rsid w:val="00596084"/>
    <w:rsid w:val="005963BC"/>
    <w:rsid w:val="0059686F"/>
    <w:rsid w:val="00596C1E"/>
    <w:rsid w:val="005A0193"/>
    <w:rsid w:val="005A074E"/>
    <w:rsid w:val="005A08C4"/>
    <w:rsid w:val="005A129E"/>
    <w:rsid w:val="005A1837"/>
    <w:rsid w:val="005A1B24"/>
    <w:rsid w:val="005A1DF4"/>
    <w:rsid w:val="005A1EF3"/>
    <w:rsid w:val="005A22AC"/>
    <w:rsid w:val="005A2603"/>
    <w:rsid w:val="005A2881"/>
    <w:rsid w:val="005A3656"/>
    <w:rsid w:val="005A38C6"/>
    <w:rsid w:val="005A476C"/>
    <w:rsid w:val="005A4EDB"/>
    <w:rsid w:val="005A65EC"/>
    <w:rsid w:val="005A687D"/>
    <w:rsid w:val="005A6F16"/>
    <w:rsid w:val="005A74E3"/>
    <w:rsid w:val="005A766B"/>
    <w:rsid w:val="005A76EE"/>
    <w:rsid w:val="005A7B67"/>
    <w:rsid w:val="005A7C2C"/>
    <w:rsid w:val="005B19B9"/>
    <w:rsid w:val="005B1A84"/>
    <w:rsid w:val="005B1C88"/>
    <w:rsid w:val="005B20B7"/>
    <w:rsid w:val="005B3682"/>
    <w:rsid w:val="005B3BCD"/>
    <w:rsid w:val="005B450C"/>
    <w:rsid w:val="005B5A81"/>
    <w:rsid w:val="005B60D9"/>
    <w:rsid w:val="005B6328"/>
    <w:rsid w:val="005B6728"/>
    <w:rsid w:val="005B6D8E"/>
    <w:rsid w:val="005B6EF7"/>
    <w:rsid w:val="005B7325"/>
    <w:rsid w:val="005C0FF9"/>
    <w:rsid w:val="005C14CE"/>
    <w:rsid w:val="005C163B"/>
    <w:rsid w:val="005C16C2"/>
    <w:rsid w:val="005C1943"/>
    <w:rsid w:val="005C195C"/>
    <w:rsid w:val="005C1961"/>
    <w:rsid w:val="005C1D8B"/>
    <w:rsid w:val="005C2099"/>
    <w:rsid w:val="005C20E8"/>
    <w:rsid w:val="005C2237"/>
    <w:rsid w:val="005C25B6"/>
    <w:rsid w:val="005C292E"/>
    <w:rsid w:val="005C3DA9"/>
    <w:rsid w:val="005C573C"/>
    <w:rsid w:val="005C5857"/>
    <w:rsid w:val="005C636E"/>
    <w:rsid w:val="005C682B"/>
    <w:rsid w:val="005C6D14"/>
    <w:rsid w:val="005C7018"/>
    <w:rsid w:val="005C7574"/>
    <w:rsid w:val="005C7B5E"/>
    <w:rsid w:val="005D0D4B"/>
    <w:rsid w:val="005D0DC7"/>
    <w:rsid w:val="005D13F5"/>
    <w:rsid w:val="005D16C6"/>
    <w:rsid w:val="005D2F48"/>
    <w:rsid w:val="005D2FFB"/>
    <w:rsid w:val="005D362D"/>
    <w:rsid w:val="005D364D"/>
    <w:rsid w:val="005D3B18"/>
    <w:rsid w:val="005D446D"/>
    <w:rsid w:val="005D4EED"/>
    <w:rsid w:val="005D53F2"/>
    <w:rsid w:val="005D5E9E"/>
    <w:rsid w:val="005D6133"/>
    <w:rsid w:val="005D67C3"/>
    <w:rsid w:val="005D6999"/>
    <w:rsid w:val="005D7026"/>
    <w:rsid w:val="005D7BFD"/>
    <w:rsid w:val="005E0700"/>
    <w:rsid w:val="005E0BD2"/>
    <w:rsid w:val="005E1302"/>
    <w:rsid w:val="005E1AFF"/>
    <w:rsid w:val="005E1C76"/>
    <w:rsid w:val="005E1F1E"/>
    <w:rsid w:val="005E2588"/>
    <w:rsid w:val="005E2A8E"/>
    <w:rsid w:val="005E2C5A"/>
    <w:rsid w:val="005E3071"/>
    <w:rsid w:val="005E3207"/>
    <w:rsid w:val="005E3434"/>
    <w:rsid w:val="005E3FD6"/>
    <w:rsid w:val="005E43E1"/>
    <w:rsid w:val="005E4525"/>
    <w:rsid w:val="005E4CFD"/>
    <w:rsid w:val="005E62E8"/>
    <w:rsid w:val="005E6550"/>
    <w:rsid w:val="005E6D1C"/>
    <w:rsid w:val="005E722E"/>
    <w:rsid w:val="005E7341"/>
    <w:rsid w:val="005F0286"/>
    <w:rsid w:val="005F1340"/>
    <w:rsid w:val="005F1442"/>
    <w:rsid w:val="005F17B0"/>
    <w:rsid w:val="005F18D1"/>
    <w:rsid w:val="005F2347"/>
    <w:rsid w:val="005F2B0E"/>
    <w:rsid w:val="005F3586"/>
    <w:rsid w:val="005F366C"/>
    <w:rsid w:val="005F3847"/>
    <w:rsid w:val="005F3F3F"/>
    <w:rsid w:val="005F48F9"/>
    <w:rsid w:val="005F4B09"/>
    <w:rsid w:val="005F4EFB"/>
    <w:rsid w:val="005F505D"/>
    <w:rsid w:val="005F5BDF"/>
    <w:rsid w:val="005F5FB9"/>
    <w:rsid w:val="005F7434"/>
    <w:rsid w:val="00602316"/>
    <w:rsid w:val="00602716"/>
    <w:rsid w:val="00602F0B"/>
    <w:rsid w:val="00604334"/>
    <w:rsid w:val="006045DF"/>
    <w:rsid w:val="00604621"/>
    <w:rsid w:val="00604970"/>
    <w:rsid w:val="00604AC2"/>
    <w:rsid w:val="00605302"/>
    <w:rsid w:val="0060539E"/>
    <w:rsid w:val="0060544A"/>
    <w:rsid w:val="00605EA1"/>
    <w:rsid w:val="006070C5"/>
    <w:rsid w:val="00607139"/>
    <w:rsid w:val="00607288"/>
    <w:rsid w:val="00607760"/>
    <w:rsid w:val="00607AC9"/>
    <w:rsid w:val="00607BF5"/>
    <w:rsid w:val="006100E9"/>
    <w:rsid w:val="006103DE"/>
    <w:rsid w:val="00610871"/>
    <w:rsid w:val="006118DC"/>
    <w:rsid w:val="006125B1"/>
    <w:rsid w:val="0061299C"/>
    <w:rsid w:val="00612C41"/>
    <w:rsid w:val="00612D77"/>
    <w:rsid w:val="00612FFE"/>
    <w:rsid w:val="00613B92"/>
    <w:rsid w:val="00613BF9"/>
    <w:rsid w:val="00613E42"/>
    <w:rsid w:val="006140F5"/>
    <w:rsid w:val="00615039"/>
    <w:rsid w:val="00615613"/>
    <w:rsid w:val="0061688C"/>
    <w:rsid w:val="00616916"/>
    <w:rsid w:val="00616BB9"/>
    <w:rsid w:val="006177BE"/>
    <w:rsid w:val="006207C2"/>
    <w:rsid w:val="00620CF4"/>
    <w:rsid w:val="00620E59"/>
    <w:rsid w:val="006215DC"/>
    <w:rsid w:val="0062174A"/>
    <w:rsid w:val="0062207D"/>
    <w:rsid w:val="006220AA"/>
    <w:rsid w:val="006222FE"/>
    <w:rsid w:val="006232FE"/>
    <w:rsid w:val="00623576"/>
    <w:rsid w:val="00623645"/>
    <w:rsid w:val="006236A6"/>
    <w:rsid w:val="0062371A"/>
    <w:rsid w:val="00623E31"/>
    <w:rsid w:val="00624194"/>
    <w:rsid w:val="00624BCA"/>
    <w:rsid w:val="00625E42"/>
    <w:rsid w:val="00625E73"/>
    <w:rsid w:val="00625F2B"/>
    <w:rsid w:val="006300AF"/>
    <w:rsid w:val="00630B33"/>
    <w:rsid w:val="00630BA7"/>
    <w:rsid w:val="00630E27"/>
    <w:rsid w:val="006311C1"/>
    <w:rsid w:val="00631208"/>
    <w:rsid w:val="0063152D"/>
    <w:rsid w:val="00631835"/>
    <w:rsid w:val="00631CE0"/>
    <w:rsid w:val="00631E9C"/>
    <w:rsid w:val="00631FDC"/>
    <w:rsid w:val="006328CF"/>
    <w:rsid w:val="00632C05"/>
    <w:rsid w:val="00632D06"/>
    <w:rsid w:val="00632E62"/>
    <w:rsid w:val="00633088"/>
    <w:rsid w:val="00633932"/>
    <w:rsid w:val="00633A82"/>
    <w:rsid w:val="00634BD2"/>
    <w:rsid w:val="00634FD3"/>
    <w:rsid w:val="00635201"/>
    <w:rsid w:val="006353D8"/>
    <w:rsid w:val="00635730"/>
    <w:rsid w:val="00635B9F"/>
    <w:rsid w:val="00635E4B"/>
    <w:rsid w:val="0063623F"/>
    <w:rsid w:val="00636A67"/>
    <w:rsid w:val="0063719C"/>
    <w:rsid w:val="006379EC"/>
    <w:rsid w:val="006379FC"/>
    <w:rsid w:val="00637BF6"/>
    <w:rsid w:val="00640DB2"/>
    <w:rsid w:val="00640DF0"/>
    <w:rsid w:val="00641378"/>
    <w:rsid w:val="0064143C"/>
    <w:rsid w:val="00641A07"/>
    <w:rsid w:val="00641A94"/>
    <w:rsid w:val="00641B3A"/>
    <w:rsid w:val="006420FE"/>
    <w:rsid w:val="00642462"/>
    <w:rsid w:val="00642899"/>
    <w:rsid w:val="00642ABF"/>
    <w:rsid w:val="00642B16"/>
    <w:rsid w:val="00643107"/>
    <w:rsid w:val="0064454F"/>
    <w:rsid w:val="00644A35"/>
    <w:rsid w:val="00644AF1"/>
    <w:rsid w:val="00645594"/>
    <w:rsid w:val="00645617"/>
    <w:rsid w:val="00646AB1"/>
    <w:rsid w:val="006472BA"/>
    <w:rsid w:val="00650423"/>
    <w:rsid w:val="00651611"/>
    <w:rsid w:val="00652169"/>
    <w:rsid w:val="0065218F"/>
    <w:rsid w:val="006522A0"/>
    <w:rsid w:val="00652DBF"/>
    <w:rsid w:val="00652EDF"/>
    <w:rsid w:val="006543F1"/>
    <w:rsid w:val="0065482C"/>
    <w:rsid w:val="00654F54"/>
    <w:rsid w:val="006553B4"/>
    <w:rsid w:val="00655F06"/>
    <w:rsid w:val="0065654D"/>
    <w:rsid w:val="0065658F"/>
    <w:rsid w:val="0065683E"/>
    <w:rsid w:val="00656B15"/>
    <w:rsid w:val="00656FD3"/>
    <w:rsid w:val="006573DC"/>
    <w:rsid w:val="0065774C"/>
    <w:rsid w:val="00657B51"/>
    <w:rsid w:val="00657F93"/>
    <w:rsid w:val="006606FB"/>
    <w:rsid w:val="00660B8E"/>
    <w:rsid w:val="00660CFE"/>
    <w:rsid w:val="0066161B"/>
    <w:rsid w:val="00661A89"/>
    <w:rsid w:val="006622C8"/>
    <w:rsid w:val="0066306C"/>
    <w:rsid w:val="006652D7"/>
    <w:rsid w:val="0066581D"/>
    <w:rsid w:val="006663A7"/>
    <w:rsid w:val="00666D54"/>
    <w:rsid w:val="00667312"/>
    <w:rsid w:val="00667456"/>
    <w:rsid w:val="0066788C"/>
    <w:rsid w:val="00667BA5"/>
    <w:rsid w:val="0067000A"/>
    <w:rsid w:val="006707D3"/>
    <w:rsid w:val="0067164E"/>
    <w:rsid w:val="00671872"/>
    <w:rsid w:val="00671FB5"/>
    <w:rsid w:val="0067212D"/>
    <w:rsid w:val="00672598"/>
    <w:rsid w:val="0067269B"/>
    <w:rsid w:val="006727BB"/>
    <w:rsid w:val="0067282E"/>
    <w:rsid w:val="00672F0A"/>
    <w:rsid w:val="006730B4"/>
    <w:rsid w:val="0067324E"/>
    <w:rsid w:val="0067373D"/>
    <w:rsid w:val="00673B09"/>
    <w:rsid w:val="00673B4F"/>
    <w:rsid w:val="00673C83"/>
    <w:rsid w:val="00673C89"/>
    <w:rsid w:val="006753DE"/>
    <w:rsid w:val="006758B8"/>
    <w:rsid w:val="00675A75"/>
    <w:rsid w:val="00675C21"/>
    <w:rsid w:val="006763ED"/>
    <w:rsid w:val="0067745C"/>
    <w:rsid w:val="00677A49"/>
    <w:rsid w:val="00677C56"/>
    <w:rsid w:val="006800F5"/>
    <w:rsid w:val="00680160"/>
    <w:rsid w:val="00680530"/>
    <w:rsid w:val="006806BD"/>
    <w:rsid w:val="00680C01"/>
    <w:rsid w:val="00680FE3"/>
    <w:rsid w:val="00681313"/>
    <w:rsid w:val="006820EA"/>
    <w:rsid w:val="006821DC"/>
    <w:rsid w:val="0068224A"/>
    <w:rsid w:val="00682B58"/>
    <w:rsid w:val="00682B73"/>
    <w:rsid w:val="00683572"/>
    <w:rsid w:val="006839FB"/>
    <w:rsid w:val="00684180"/>
    <w:rsid w:val="0068439F"/>
    <w:rsid w:val="00685799"/>
    <w:rsid w:val="00685A21"/>
    <w:rsid w:val="00685BA3"/>
    <w:rsid w:val="00685D5F"/>
    <w:rsid w:val="006864BE"/>
    <w:rsid w:val="00687A30"/>
    <w:rsid w:val="006908E3"/>
    <w:rsid w:val="0069154F"/>
    <w:rsid w:val="0069171D"/>
    <w:rsid w:val="00691F7F"/>
    <w:rsid w:val="00692626"/>
    <w:rsid w:val="00692F90"/>
    <w:rsid w:val="0069327C"/>
    <w:rsid w:val="00693D0F"/>
    <w:rsid w:val="006940FC"/>
    <w:rsid w:val="006944AB"/>
    <w:rsid w:val="006948E5"/>
    <w:rsid w:val="00694B6E"/>
    <w:rsid w:val="006959A8"/>
    <w:rsid w:val="00696844"/>
    <w:rsid w:val="00696C6A"/>
    <w:rsid w:val="00696DD9"/>
    <w:rsid w:val="00696E00"/>
    <w:rsid w:val="006A02CE"/>
    <w:rsid w:val="006A06A4"/>
    <w:rsid w:val="006A086F"/>
    <w:rsid w:val="006A0A74"/>
    <w:rsid w:val="006A111F"/>
    <w:rsid w:val="006A11A2"/>
    <w:rsid w:val="006A1793"/>
    <w:rsid w:val="006A1CA8"/>
    <w:rsid w:val="006A21C4"/>
    <w:rsid w:val="006A2C52"/>
    <w:rsid w:val="006A31E2"/>
    <w:rsid w:val="006A3310"/>
    <w:rsid w:val="006A36E3"/>
    <w:rsid w:val="006A3E84"/>
    <w:rsid w:val="006A46CA"/>
    <w:rsid w:val="006A4781"/>
    <w:rsid w:val="006A4AC2"/>
    <w:rsid w:val="006A5112"/>
    <w:rsid w:val="006A54B9"/>
    <w:rsid w:val="006A6062"/>
    <w:rsid w:val="006A653D"/>
    <w:rsid w:val="006A6595"/>
    <w:rsid w:val="006A6707"/>
    <w:rsid w:val="006A6917"/>
    <w:rsid w:val="006A69A2"/>
    <w:rsid w:val="006A6D23"/>
    <w:rsid w:val="006A76E5"/>
    <w:rsid w:val="006B013F"/>
    <w:rsid w:val="006B1419"/>
    <w:rsid w:val="006B16AE"/>
    <w:rsid w:val="006B1AF6"/>
    <w:rsid w:val="006B1DCB"/>
    <w:rsid w:val="006B22BE"/>
    <w:rsid w:val="006B2850"/>
    <w:rsid w:val="006B2D3E"/>
    <w:rsid w:val="006B2FE4"/>
    <w:rsid w:val="006B3BBE"/>
    <w:rsid w:val="006B3C38"/>
    <w:rsid w:val="006B4331"/>
    <w:rsid w:val="006B438B"/>
    <w:rsid w:val="006B4750"/>
    <w:rsid w:val="006B4960"/>
    <w:rsid w:val="006B4C71"/>
    <w:rsid w:val="006B4F62"/>
    <w:rsid w:val="006B5A69"/>
    <w:rsid w:val="006B683D"/>
    <w:rsid w:val="006B69C0"/>
    <w:rsid w:val="006B7781"/>
    <w:rsid w:val="006B7F53"/>
    <w:rsid w:val="006C0BC6"/>
    <w:rsid w:val="006C0C3A"/>
    <w:rsid w:val="006C1035"/>
    <w:rsid w:val="006C128E"/>
    <w:rsid w:val="006C2470"/>
    <w:rsid w:val="006C27A7"/>
    <w:rsid w:val="006C36EC"/>
    <w:rsid w:val="006C38CD"/>
    <w:rsid w:val="006C3FBA"/>
    <w:rsid w:val="006C401A"/>
    <w:rsid w:val="006C4DC5"/>
    <w:rsid w:val="006C5C30"/>
    <w:rsid w:val="006C6600"/>
    <w:rsid w:val="006C66E7"/>
    <w:rsid w:val="006C6FDD"/>
    <w:rsid w:val="006C7B69"/>
    <w:rsid w:val="006C7CA2"/>
    <w:rsid w:val="006D0519"/>
    <w:rsid w:val="006D0D88"/>
    <w:rsid w:val="006D11B7"/>
    <w:rsid w:val="006D1263"/>
    <w:rsid w:val="006D156C"/>
    <w:rsid w:val="006D17DA"/>
    <w:rsid w:val="006D18F6"/>
    <w:rsid w:val="006D1914"/>
    <w:rsid w:val="006D1F6A"/>
    <w:rsid w:val="006D29F7"/>
    <w:rsid w:val="006D2ED8"/>
    <w:rsid w:val="006D34C1"/>
    <w:rsid w:val="006D3FA0"/>
    <w:rsid w:val="006D41D3"/>
    <w:rsid w:val="006D4639"/>
    <w:rsid w:val="006D47FB"/>
    <w:rsid w:val="006D59BC"/>
    <w:rsid w:val="006D5B19"/>
    <w:rsid w:val="006D698D"/>
    <w:rsid w:val="006D6D0E"/>
    <w:rsid w:val="006D6D5B"/>
    <w:rsid w:val="006D7014"/>
    <w:rsid w:val="006D7793"/>
    <w:rsid w:val="006D7F48"/>
    <w:rsid w:val="006E0075"/>
    <w:rsid w:val="006E028B"/>
    <w:rsid w:val="006E031D"/>
    <w:rsid w:val="006E0410"/>
    <w:rsid w:val="006E0470"/>
    <w:rsid w:val="006E0561"/>
    <w:rsid w:val="006E0942"/>
    <w:rsid w:val="006E0F9A"/>
    <w:rsid w:val="006E27E0"/>
    <w:rsid w:val="006E2804"/>
    <w:rsid w:val="006E2EC9"/>
    <w:rsid w:val="006E3A48"/>
    <w:rsid w:val="006E4602"/>
    <w:rsid w:val="006E4C6A"/>
    <w:rsid w:val="006E6A5F"/>
    <w:rsid w:val="006E725B"/>
    <w:rsid w:val="006E7C0D"/>
    <w:rsid w:val="006F0638"/>
    <w:rsid w:val="006F0794"/>
    <w:rsid w:val="006F11D9"/>
    <w:rsid w:val="006F1A40"/>
    <w:rsid w:val="006F2102"/>
    <w:rsid w:val="006F2173"/>
    <w:rsid w:val="006F25FB"/>
    <w:rsid w:val="006F2907"/>
    <w:rsid w:val="006F2E0A"/>
    <w:rsid w:val="006F32BB"/>
    <w:rsid w:val="006F33B3"/>
    <w:rsid w:val="006F33F8"/>
    <w:rsid w:val="006F391D"/>
    <w:rsid w:val="006F3A6B"/>
    <w:rsid w:val="006F4518"/>
    <w:rsid w:val="006F4901"/>
    <w:rsid w:val="006F4CAA"/>
    <w:rsid w:val="006F4E0E"/>
    <w:rsid w:val="006F56D1"/>
    <w:rsid w:val="006F56ED"/>
    <w:rsid w:val="006F57F6"/>
    <w:rsid w:val="006F588E"/>
    <w:rsid w:val="006F5A3F"/>
    <w:rsid w:val="006F5C52"/>
    <w:rsid w:val="006F5CD3"/>
    <w:rsid w:val="006F5D8D"/>
    <w:rsid w:val="006F61F7"/>
    <w:rsid w:val="006F6413"/>
    <w:rsid w:val="006F65D1"/>
    <w:rsid w:val="006F664E"/>
    <w:rsid w:val="006F668E"/>
    <w:rsid w:val="006F6B93"/>
    <w:rsid w:val="006F6ED9"/>
    <w:rsid w:val="006F7604"/>
    <w:rsid w:val="007001C4"/>
    <w:rsid w:val="00700814"/>
    <w:rsid w:val="007009CB"/>
    <w:rsid w:val="00701303"/>
    <w:rsid w:val="007013F5"/>
    <w:rsid w:val="0070154C"/>
    <w:rsid w:val="00701E15"/>
    <w:rsid w:val="007029AB"/>
    <w:rsid w:val="00702E1E"/>
    <w:rsid w:val="0070306E"/>
    <w:rsid w:val="007035CE"/>
    <w:rsid w:val="007037E7"/>
    <w:rsid w:val="00703C7C"/>
    <w:rsid w:val="00704350"/>
    <w:rsid w:val="007045F7"/>
    <w:rsid w:val="0070465B"/>
    <w:rsid w:val="0070467D"/>
    <w:rsid w:val="007048CD"/>
    <w:rsid w:val="007049E1"/>
    <w:rsid w:val="00704AE6"/>
    <w:rsid w:val="007050DA"/>
    <w:rsid w:val="00705676"/>
    <w:rsid w:val="00705CB7"/>
    <w:rsid w:val="00706B4D"/>
    <w:rsid w:val="00706E88"/>
    <w:rsid w:val="00706F1E"/>
    <w:rsid w:val="00707F1D"/>
    <w:rsid w:val="00707F5F"/>
    <w:rsid w:val="00711058"/>
    <w:rsid w:val="007118EA"/>
    <w:rsid w:val="00711F7B"/>
    <w:rsid w:val="007121A1"/>
    <w:rsid w:val="0071266A"/>
    <w:rsid w:val="007126E9"/>
    <w:rsid w:val="00712849"/>
    <w:rsid w:val="00712992"/>
    <w:rsid w:val="00712E11"/>
    <w:rsid w:val="00713AC6"/>
    <w:rsid w:val="00713DA4"/>
    <w:rsid w:val="00713F5E"/>
    <w:rsid w:val="007147DD"/>
    <w:rsid w:val="007152A1"/>
    <w:rsid w:val="007156CC"/>
    <w:rsid w:val="00715C67"/>
    <w:rsid w:val="00715FFC"/>
    <w:rsid w:val="00716DFA"/>
    <w:rsid w:val="007176A0"/>
    <w:rsid w:val="007177BC"/>
    <w:rsid w:val="00720038"/>
    <w:rsid w:val="0072062A"/>
    <w:rsid w:val="00720763"/>
    <w:rsid w:val="00721771"/>
    <w:rsid w:val="007220FA"/>
    <w:rsid w:val="007226CB"/>
    <w:rsid w:val="007228A5"/>
    <w:rsid w:val="00722A79"/>
    <w:rsid w:val="00722A80"/>
    <w:rsid w:val="00722D3C"/>
    <w:rsid w:val="0072310E"/>
    <w:rsid w:val="007233D9"/>
    <w:rsid w:val="0072370F"/>
    <w:rsid w:val="007237B6"/>
    <w:rsid w:val="00723844"/>
    <w:rsid w:val="0072480F"/>
    <w:rsid w:val="00724941"/>
    <w:rsid w:val="00724B0A"/>
    <w:rsid w:val="00724FD4"/>
    <w:rsid w:val="007254AD"/>
    <w:rsid w:val="00725B34"/>
    <w:rsid w:val="00726176"/>
    <w:rsid w:val="0072622F"/>
    <w:rsid w:val="0072638D"/>
    <w:rsid w:val="00726B11"/>
    <w:rsid w:val="00726B7D"/>
    <w:rsid w:val="00726BF8"/>
    <w:rsid w:val="00726DC2"/>
    <w:rsid w:val="00726E3F"/>
    <w:rsid w:val="0072759D"/>
    <w:rsid w:val="00727A0A"/>
    <w:rsid w:val="00727E1B"/>
    <w:rsid w:val="00727F42"/>
    <w:rsid w:val="007309B7"/>
    <w:rsid w:val="007313C6"/>
    <w:rsid w:val="007314FC"/>
    <w:rsid w:val="007318CA"/>
    <w:rsid w:val="0073238A"/>
    <w:rsid w:val="007333D2"/>
    <w:rsid w:val="00733B71"/>
    <w:rsid w:val="0073400E"/>
    <w:rsid w:val="007346FB"/>
    <w:rsid w:val="00734B08"/>
    <w:rsid w:val="00735462"/>
    <w:rsid w:val="00735C78"/>
    <w:rsid w:val="0073615A"/>
    <w:rsid w:val="00736299"/>
    <w:rsid w:val="007364DC"/>
    <w:rsid w:val="0073674C"/>
    <w:rsid w:val="00736BBA"/>
    <w:rsid w:val="00737039"/>
    <w:rsid w:val="00737101"/>
    <w:rsid w:val="0073718A"/>
    <w:rsid w:val="00737C92"/>
    <w:rsid w:val="00737EA7"/>
    <w:rsid w:val="00737F68"/>
    <w:rsid w:val="00740945"/>
    <w:rsid w:val="00740FDF"/>
    <w:rsid w:val="00741651"/>
    <w:rsid w:val="007420F1"/>
    <w:rsid w:val="0074229A"/>
    <w:rsid w:val="00742907"/>
    <w:rsid w:val="00742943"/>
    <w:rsid w:val="00743563"/>
    <w:rsid w:val="007436D7"/>
    <w:rsid w:val="00743866"/>
    <w:rsid w:val="00744250"/>
    <w:rsid w:val="00744DFF"/>
    <w:rsid w:val="00745168"/>
    <w:rsid w:val="007455CE"/>
    <w:rsid w:val="00745B8F"/>
    <w:rsid w:val="007474EC"/>
    <w:rsid w:val="00750853"/>
    <w:rsid w:val="00750A1F"/>
    <w:rsid w:val="00750D6F"/>
    <w:rsid w:val="00750DCE"/>
    <w:rsid w:val="00750E50"/>
    <w:rsid w:val="00750E8D"/>
    <w:rsid w:val="0075118C"/>
    <w:rsid w:val="00751620"/>
    <w:rsid w:val="00751DB4"/>
    <w:rsid w:val="00752744"/>
    <w:rsid w:val="00753225"/>
    <w:rsid w:val="00753278"/>
    <w:rsid w:val="00753312"/>
    <w:rsid w:val="00753A0D"/>
    <w:rsid w:val="00753B75"/>
    <w:rsid w:val="00753EE8"/>
    <w:rsid w:val="00754675"/>
    <w:rsid w:val="007553AB"/>
    <w:rsid w:val="00755D3B"/>
    <w:rsid w:val="00756897"/>
    <w:rsid w:val="00756926"/>
    <w:rsid w:val="00756CFD"/>
    <w:rsid w:val="007573CC"/>
    <w:rsid w:val="00757862"/>
    <w:rsid w:val="007603EF"/>
    <w:rsid w:val="00760824"/>
    <w:rsid w:val="00760A06"/>
    <w:rsid w:val="00760AB2"/>
    <w:rsid w:val="00760C53"/>
    <w:rsid w:val="00761600"/>
    <w:rsid w:val="007618FA"/>
    <w:rsid w:val="00761E12"/>
    <w:rsid w:val="00761EDD"/>
    <w:rsid w:val="007620D5"/>
    <w:rsid w:val="00762AFE"/>
    <w:rsid w:val="0076312E"/>
    <w:rsid w:val="00763269"/>
    <w:rsid w:val="0076517E"/>
    <w:rsid w:val="007657C7"/>
    <w:rsid w:val="00765F1A"/>
    <w:rsid w:val="00765F3C"/>
    <w:rsid w:val="0076600E"/>
    <w:rsid w:val="00766018"/>
    <w:rsid w:val="00766218"/>
    <w:rsid w:val="00766456"/>
    <w:rsid w:val="00766C14"/>
    <w:rsid w:val="00766F17"/>
    <w:rsid w:val="00767AC7"/>
    <w:rsid w:val="00770952"/>
    <w:rsid w:val="00770BD5"/>
    <w:rsid w:val="00770CE3"/>
    <w:rsid w:val="007715E1"/>
    <w:rsid w:val="00771AB2"/>
    <w:rsid w:val="00771B21"/>
    <w:rsid w:val="00771FD5"/>
    <w:rsid w:val="007726A8"/>
    <w:rsid w:val="00772B4F"/>
    <w:rsid w:val="00772F35"/>
    <w:rsid w:val="0077339B"/>
    <w:rsid w:val="00773AB8"/>
    <w:rsid w:val="00773B81"/>
    <w:rsid w:val="00774226"/>
    <w:rsid w:val="0077445D"/>
    <w:rsid w:val="00774463"/>
    <w:rsid w:val="00774777"/>
    <w:rsid w:val="00774790"/>
    <w:rsid w:val="00774CF6"/>
    <w:rsid w:val="00774E1B"/>
    <w:rsid w:val="0077513A"/>
    <w:rsid w:val="00775383"/>
    <w:rsid w:val="00776D38"/>
    <w:rsid w:val="00776FD3"/>
    <w:rsid w:val="007772A4"/>
    <w:rsid w:val="007773AF"/>
    <w:rsid w:val="00777C1F"/>
    <w:rsid w:val="00777FF6"/>
    <w:rsid w:val="007804A9"/>
    <w:rsid w:val="00780516"/>
    <w:rsid w:val="00780E42"/>
    <w:rsid w:val="00780FE8"/>
    <w:rsid w:val="0078111B"/>
    <w:rsid w:val="0078205F"/>
    <w:rsid w:val="007821EF"/>
    <w:rsid w:val="007822C1"/>
    <w:rsid w:val="0078240E"/>
    <w:rsid w:val="00782901"/>
    <w:rsid w:val="00782FBC"/>
    <w:rsid w:val="00783575"/>
    <w:rsid w:val="007836F4"/>
    <w:rsid w:val="00783DB1"/>
    <w:rsid w:val="00783F25"/>
    <w:rsid w:val="007847DF"/>
    <w:rsid w:val="00784A44"/>
    <w:rsid w:val="00784C94"/>
    <w:rsid w:val="00785D02"/>
    <w:rsid w:val="007862C1"/>
    <w:rsid w:val="00786FC0"/>
    <w:rsid w:val="00787097"/>
    <w:rsid w:val="0078751D"/>
    <w:rsid w:val="007875BB"/>
    <w:rsid w:val="00787B8D"/>
    <w:rsid w:val="00787B95"/>
    <w:rsid w:val="00787FAA"/>
    <w:rsid w:val="007902A6"/>
    <w:rsid w:val="00790745"/>
    <w:rsid w:val="007910E3"/>
    <w:rsid w:val="0079175C"/>
    <w:rsid w:val="00791790"/>
    <w:rsid w:val="007918CF"/>
    <w:rsid w:val="00792041"/>
    <w:rsid w:val="007921FF"/>
    <w:rsid w:val="00792370"/>
    <w:rsid w:val="00792A28"/>
    <w:rsid w:val="00792D67"/>
    <w:rsid w:val="00792DEC"/>
    <w:rsid w:val="00793526"/>
    <w:rsid w:val="007942F1"/>
    <w:rsid w:val="00794969"/>
    <w:rsid w:val="00794D78"/>
    <w:rsid w:val="00795467"/>
    <w:rsid w:val="00796712"/>
    <w:rsid w:val="00796938"/>
    <w:rsid w:val="007975FE"/>
    <w:rsid w:val="007A071D"/>
    <w:rsid w:val="007A09AB"/>
    <w:rsid w:val="007A0A4C"/>
    <w:rsid w:val="007A133D"/>
    <w:rsid w:val="007A1599"/>
    <w:rsid w:val="007A188E"/>
    <w:rsid w:val="007A1AB2"/>
    <w:rsid w:val="007A1ECF"/>
    <w:rsid w:val="007A250B"/>
    <w:rsid w:val="007A251E"/>
    <w:rsid w:val="007A2E5A"/>
    <w:rsid w:val="007A3F2B"/>
    <w:rsid w:val="007A40CD"/>
    <w:rsid w:val="007A4BCF"/>
    <w:rsid w:val="007A4DBE"/>
    <w:rsid w:val="007A5F72"/>
    <w:rsid w:val="007A634A"/>
    <w:rsid w:val="007A64D2"/>
    <w:rsid w:val="007A6D6C"/>
    <w:rsid w:val="007A7824"/>
    <w:rsid w:val="007A78A6"/>
    <w:rsid w:val="007A7CDB"/>
    <w:rsid w:val="007B0DC1"/>
    <w:rsid w:val="007B17C2"/>
    <w:rsid w:val="007B1F67"/>
    <w:rsid w:val="007B23E6"/>
    <w:rsid w:val="007B3061"/>
    <w:rsid w:val="007B3240"/>
    <w:rsid w:val="007B3503"/>
    <w:rsid w:val="007B379D"/>
    <w:rsid w:val="007B3CFC"/>
    <w:rsid w:val="007B3F4B"/>
    <w:rsid w:val="007B4017"/>
    <w:rsid w:val="007B4880"/>
    <w:rsid w:val="007B4BFC"/>
    <w:rsid w:val="007B4CD8"/>
    <w:rsid w:val="007B514F"/>
    <w:rsid w:val="007B5930"/>
    <w:rsid w:val="007B6559"/>
    <w:rsid w:val="007B6640"/>
    <w:rsid w:val="007B6C1D"/>
    <w:rsid w:val="007B720C"/>
    <w:rsid w:val="007C0A1F"/>
    <w:rsid w:val="007C1012"/>
    <w:rsid w:val="007C17A9"/>
    <w:rsid w:val="007C2185"/>
    <w:rsid w:val="007C30DF"/>
    <w:rsid w:val="007C3408"/>
    <w:rsid w:val="007C3490"/>
    <w:rsid w:val="007C4A00"/>
    <w:rsid w:val="007C5667"/>
    <w:rsid w:val="007C5C45"/>
    <w:rsid w:val="007C6967"/>
    <w:rsid w:val="007C7342"/>
    <w:rsid w:val="007C7415"/>
    <w:rsid w:val="007C7528"/>
    <w:rsid w:val="007C763B"/>
    <w:rsid w:val="007C78E8"/>
    <w:rsid w:val="007C7A41"/>
    <w:rsid w:val="007C7C5E"/>
    <w:rsid w:val="007C7E31"/>
    <w:rsid w:val="007D06EB"/>
    <w:rsid w:val="007D1145"/>
    <w:rsid w:val="007D1844"/>
    <w:rsid w:val="007D1BF7"/>
    <w:rsid w:val="007D322D"/>
    <w:rsid w:val="007D3654"/>
    <w:rsid w:val="007D39D1"/>
    <w:rsid w:val="007D3C75"/>
    <w:rsid w:val="007D3D5C"/>
    <w:rsid w:val="007D3E6A"/>
    <w:rsid w:val="007D4079"/>
    <w:rsid w:val="007D4438"/>
    <w:rsid w:val="007D45E5"/>
    <w:rsid w:val="007D4826"/>
    <w:rsid w:val="007D5177"/>
    <w:rsid w:val="007D5D2F"/>
    <w:rsid w:val="007D5FC9"/>
    <w:rsid w:val="007D6597"/>
    <w:rsid w:val="007D68D2"/>
    <w:rsid w:val="007D6DF6"/>
    <w:rsid w:val="007D6EDD"/>
    <w:rsid w:val="007D70D9"/>
    <w:rsid w:val="007D7365"/>
    <w:rsid w:val="007D75B8"/>
    <w:rsid w:val="007D7AE2"/>
    <w:rsid w:val="007E014E"/>
    <w:rsid w:val="007E14E6"/>
    <w:rsid w:val="007E1541"/>
    <w:rsid w:val="007E182F"/>
    <w:rsid w:val="007E1D40"/>
    <w:rsid w:val="007E1DB3"/>
    <w:rsid w:val="007E2029"/>
    <w:rsid w:val="007E26A1"/>
    <w:rsid w:val="007E2870"/>
    <w:rsid w:val="007E2CC9"/>
    <w:rsid w:val="007E3A35"/>
    <w:rsid w:val="007E3FB7"/>
    <w:rsid w:val="007E5488"/>
    <w:rsid w:val="007E58E8"/>
    <w:rsid w:val="007E6DD3"/>
    <w:rsid w:val="007E79F4"/>
    <w:rsid w:val="007E7BC8"/>
    <w:rsid w:val="007E7DB2"/>
    <w:rsid w:val="007E7F95"/>
    <w:rsid w:val="007F05F9"/>
    <w:rsid w:val="007F08DA"/>
    <w:rsid w:val="007F0FBB"/>
    <w:rsid w:val="007F114B"/>
    <w:rsid w:val="007F148C"/>
    <w:rsid w:val="007F1836"/>
    <w:rsid w:val="007F1B21"/>
    <w:rsid w:val="007F228B"/>
    <w:rsid w:val="007F2633"/>
    <w:rsid w:val="007F32F4"/>
    <w:rsid w:val="007F3522"/>
    <w:rsid w:val="007F35DE"/>
    <w:rsid w:val="007F3B18"/>
    <w:rsid w:val="007F3B5F"/>
    <w:rsid w:val="007F49C2"/>
    <w:rsid w:val="007F4D2C"/>
    <w:rsid w:val="007F5761"/>
    <w:rsid w:val="007F59BF"/>
    <w:rsid w:val="007F615B"/>
    <w:rsid w:val="007F680F"/>
    <w:rsid w:val="007F6D8B"/>
    <w:rsid w:val="007F6F1C"/>
    <w:rsid w:val="007F7DC3"/>
    <w:rsid w:val="008000EF"/>
    <w:rsid w:val="00800348"/>
    <w:rsid w:val="00800B08"/>
    <w:rsid w:val="00800B21"/>
    <w:rsid w:val="00800F3F"/>
    <w:rsid w:val="00801772"/>
    <w:rsid w:val="00801C55"/>
    <w:rsid w:val="00801FB4"/>
    <w:rsid w:val="00802034"/>
    <w:rsid w:val="008025D7"/>
    <w:rsid w:val="00802C72"/>
    <w:rsid w:val="00802D68"/>
    <w:rsid w:val="00802E79"/>
    <w:rsid w:val="008037CE"/>
    <w:rsid w:val="00803AC3"/>
    <w:rsid w:val="00803C5C"/>
    <w:rsid w:val="00803D2A"/>
    <w:rsid w:val="008041DC"/>
    <w:rsid w:val="00804818"/>
    <w:rsid w:val="0080642D"/>
    <w:rsid w:val="00806495"/>
    <w:rsid w:val="0080670B"/>
    <w:rsid w:val="008068FE"/>
    <w:rsid w:val="00806943"/>
    <w:rsid w:val="008069A8"/>
    <w:rsid w:val="00806AC5"/>
    <w:rsid w:val="008073EA"/>
    <w:rsid w:val="008109AE"/>
    <w:rsid w:val="00810F43"/>
    <w:rsid w:val="0081116A"/>
    <w:rsid w:val="00811266"/>
    <w:rsid w:val="008115CE"/>
    <w:rsid w:val="00811D51"/>
    <w:rsid w:val="00811F4E"/>
    <w:rsid w:val="0081244D"/>
    <w:rsid w:val="0081252C"/>
    <w:rsid w:val="008127D2"/>
    <w:rsid w:val="00812D86"/>
    <w:rsid w:val="008133F8"/>
    <w:rsid w:val="008136AE"/>
    <w:rsid w:val="00814DF9"/>
    <w:rsid w:val="00814EE1"/>
    <w:rsid w:val="00815356"/>
    <w:rsid w:val="00815A04"/>
    <w:rsid w:val="00815C2F"/>
    <w:rsid w:val="00815EEB"/>
    <w:rsid w:val="00815F69"/>
    <w:rsid w:val="00815FAE"/>
    <w:rsid w:val="008163B1"/>
    <w:rsid w:val="00816536"/>
    <w:rsid w:val="00816D6D"/>
    <w:rsid w:val="00816FF5"/>
    <w:rsid w:val="00817092"/>
    <w:rsid w:val="00817A4A"/>
    <w:rsid w:val="008201C9"/>
    <w:rsid w:val="008205EC"/>
    <w:rsid w:val="00821B65"/>
    <w:rsid w:val="00821D5F"/>
    <w:rsid w:val="00822236"/>
    <w:rsid w:val="008223DC"/>
    <w:rsid w:val="00822417"/>
    <w:rsid w:val="00822C41"/>
    <w:rsid w:val="00823A4A"/>
    <w:rsid w:val="00823C51"/>
    <w:rsid w:val="00823E53"/>
    <w:rsid w:val="008247CC"/>
    <w:rsid w:val="008249EB"/>
    <w:rsid w:val="00824DE7"/>
    <w:rsid w:val="00824DFB"/>
    <w:rsid w:val="00825FD2"/>
    <w:rsid w:val="0082689A"/>
    <w:rsid w:val="00827181"/>
    <w:rsid w:val="00827AF0"/>
    <w:rsid w:val="00827D3E"/>
    <w:rsid w:val="00827EAA"/>
    <w:rsid w:val="0083011A"/>
    <w:rsid w:val="008302B6"/>
    <w:rsid w:val="00830C99"/>
    <w:rsid w:val="008319D4"/>
    <w:rsid w:val="00831A53"/>
    <w:rsid w:val="00831AEC"/>
    <w:rsid w:val="00831C7E"/>
    <w:rsid w:val="008326B8"/>
    <w:rsid w:val="00832C6E"/>
    <w:rsid w:val="00833735"/>
    <w:rsid w:val="0083598D"/>
    <w:rsid w:val="00835A0C"/>
    <w:rsid w:val="00835F5D"/>
    <w:rsid w:val="0083679A"/>
    <w:rsid w:val="00836B10"/>
    <w:rsid w:val="008372B5"/>
    <w:rsid w:val="0083730F"/>
    <w:rsid w:val="00837A1A"/>
    <w:rsid w:val="008406B9"/>
    <w:rsid w:val="00840CD5"/>
    <w:rsid w:val="0084106C"/>
    <w:rsid w:val="00841317"/>
    <w:rsid w:val="00841568"/>
    <w:rsid w:val="008428D8"/>
    <w:rsid w:val="00842F3F"/>
    <w:rsid w:val="008437D1"/>
    <w:rsid w:val="008438A5"/>
    <w:rsid w:val="0084411C"/>
    <w:rsid w:val="008443D2"/>
    <w:rsid w:val="00844588"/>
    <w:rsid w:val="00844D57"/>
    <w:rsid w:val="0084515C"/>
    <w:rsid w:val="0084554B"/>
    <w:rsid w:val="008456C2"/>
    <w:rsid w:val="00845F57"/>
    <w:rsid w:val="00846D10"/>
    <w:rsid w:val="00846FFA"/>
    <w:rsid w:val="00847234"/>
    <w:rsid w:val="008473FC"/>
    <w:rsid w:val="008502CA"/>
    <w:rsid w:val="00850ADC"/>
    <w:rsid w:val="00850CA0"/>
    <w:rsid w:val="008518F7"/>
    <w:rsid w:val="00851910"/>
    <w:rsid w:val="008521C0"/>
    <w:rsid w:val="00852857"/>
    <w:rsid w:val="00852AA9"/>
    <w:rsid w:val="00853727"/>
    <w:rsid w:val="008537DD"/>
    <w:rsid w:val="008539AC"/>
    <w:rsid w:val="00854583"/>
    <w:rsid w:val="008545A2"/>
    <w:rsid w:val="00854BEF"/>
    <w:rsid w:val="00855039"/>
    <w:rsid w:val="0085543C"/>
    <w:rsid w:val="00855BEA"/>
    <w:rsid w:val="00855F9B"/>
    <w:rsid w:val="008561FC"/>
    <w:rsid w:val="00856AE4"/>
    <w:rsid w:val="00856D4D"/>
    <w:rsid w:val="00857326"/>
    <w:rsid w:val="00857EBF"/>
    <w:rsid w:val="00861521"/>
    <w:rsid w:val="008623E0"/>
    <w:rsid w:val="008629DE"/>
    <w:rsid w:val="008632BD"/>
    <w:rsid w:val="00863389"/>
    <w:rsid w:val="00863EA9"/>
    <w:rsid w:val="008645F0"/>
    <w:rsid w:val="0086592B"/>
    <w:rsid w:val="008659CC"/>
    <w:rsid w:val="00865A7C"/>
    <w:rsid w:val="00866215"/>
    <w:rsid w:val="00866223"/>
    <w:rsid w:val="008664F6"/>
    <w:rsid w:val="008668D4"/>
    <w:rsid w:val="00866BB7"/>
    <w:rsid w:val="00866D45"/>
    <w:rsid w:val="008671A2"/>
    <w:rsid w:val="008675D3"/>
    <w:rsid w:val="008676DA"/>
    <w:rsid w:val="00870442"/>
    <w:rsid w:val="00871DCC"/>
    <w:rsid w:val="008720A0"/>
    <w:rsid w:val="0087280C"/>
    <w:rsid w:val="008729C0"/>
    <w:rsid w:val="00872A2B"/>
    <w:rsid w:val="00872D53"/>
    <w:rsid w:val="0087349A"/>
    <w:rsid w:val="00873EA8"/>
    <w:rsid w:val="00874166"/>
    <w:rsid w:val="00874343"/>
    <w:rsid w:val="0087450A"/>
    <w:rsid w:val="008746C5"/>
    <w:rsid w:val="00874A2A"/>
    <w:rsid w:val="00874D54"/>
    <w:rsid w:val="00875AA1"/>
    <w:rsid w:val="008762B3"/>
    <w:rsid w:val="00876B70"/>
    <w:rsid w:val="00877573"/>
    <w:rsid w:val="00877A47"/>
    <w:rsid w:val="00877F48"/>
    <w:rsid w:val="00880133"/>
    <w:rsid w:val="00880509"/>
    <w:rsid w:val="008808FA"/>
    <w:rsid w:val="00880913"/>
    <w:rsid w:val="00880AC9"/>
    <w:rsid w:val="008810EB"/>
    <w:rsid w:val="00881605"/>
    <w:rsid w:val="00881619"/>
    <w:rsid w:val="008816D4"/>
    <w:rsid w:val="00881E07"/>
    <w:rsid w:val="00882805"/>
    <w:rsid w:val="0088364C"/>
    <w:rsid w:val="00883896"/>
    <w:rsid w:val="00883E71"/>
    <w:rsid w:val="0088469F"/>
    <w:rsid w:val="008849DE"/>
    <w:rsid w:val="0088527C"/>
    <w:rsid w:val="008857FD"/>
    <w:rsid w:val="00885E58"/>
    <w:rsid w:val="00885EB4"/>
    <w:rsid w:val="00885F11"/>
    <w:rsid w:val="0088682B"/>
    <w:rsid w:val="00886C82"/>
    <w:rsid w:val="00886E07"/>
    <w:rsid w:val="0088775F"/>
    <w:rsid w:val="00887A7C"/>
    <w:rsid w:val="00890037"/>
    <w:rsid w:val="00890487"/>
    <w:rsid w:val="00890889"/>
    <w:rsid w:val="00890B96"/>
    <w:rsid w:val="00890C01"/>
    <w:rsid w:val="0089129E"/>
    <w:rsid w:val="008916A2"/>
    <w:rsid w:val="00891744"/>
    <w:rsid w:val="008917EE"/>
    <w:rsid w:val="00891A4D"/>
    <w:rsid w:val="008926BD"/>
    <w:rsid w:val="00893DAC"/>
    <w:rsid w:val="00894099"/>
    <w:rsid w:val="0089454A"/>
    <w:rsid w:val="00895488"/>
    <w:rsid w:val="00896063"/>
    <w:rsid w:val="00896441"/>
    <w:rsid w:val="008964B0"/>
    <w:rsid w:val="0089658D"/>
    <w:rsid w:val="008966C3"/>
    <w:rsid w:val="008967EB"/>
    <w:rsid w:val="008970C2"/>
    <w:rsid w:val="008A0269"/>
    <w:rsid w:val="008A07C6"/>
    <w:rsid w:val="008A0833"/>
    <w:rsid w:val="008A0991"/>
    <w:rsid w:val="008A0AA9"/>
    <w:rsid w:val="008A1CD8"/>
    <w:rsid w:val="008A262F"/>
    <w:rsid w:val="008A2C00"/>
    <w:rsid w:val="008A4442"/>
    <w:rsid w:val="008A458D"/>
    <w:rsid w:val="008A4654"/>
    <w:rsid w:val="008A5857"/>
    <w:rsid w:val="008A5C58"/>
    <w:rsid w:val="008A5DCF"/>
    <w:rsid w:val="008A6513"/>
    <w:rsid w:val="008A66CE"/>
    <w:rsid w:val="008A6D1B"/>
    <w:rsid w:val="008A7975"/>
    <w:rsid w:val="008A7ACB"/>
    <w:rsid w:val="008B051B"/>
    <w:rsid w:val="008B0522"/>
    <w:rsid w:val="008B0D0B"/>
    <w:rsid w:val="008B0D69"/>
    <w:rsid w:val="008B0E40"/>
    <w:rsid w:val="008B15BA"/>
    <w:rsid w:val="008B1B02"/>
    <w:rsid w:val="008B1B80"/>
    <w:rsid w:val="008B26C9"/>
    <w:rsid w:val="008B297D"/>
    <w:rsid w:val="008B29C5"/>
    <w:rsid w:val="008B2CB4"/>
    <w:rsid w:val="008B3650"/>
    <w:rsid w:val="008B3D13"/>
    <w:rsid w:val="008B4857"/>
    <w:rsid w:val="008B4B81"/>
    <w:rsid w:val="008B4B9D"/>
    <w:rsid w:val="008B4BE9"/>
    <w:rsid w:val="008B4F09"/>
    <w:rsid w:val="008B5EDC"/>
    <w:rsid w:val="008B63DD"/>
    <w:rsid w:val="008B6916"/>
    <w:rsid w:val="008B6A80"/>
    <w:rsid w:val="008B6BB4"/>
    <w:rsid w:val="008B76D8"/>
    <w:rsid w:val="008B782B"/>
    <w:rsid w:val="008C0343"/>
    <w:rsid w:val="008C0C81"/>
    <w:rsid w:val="008C0F64"/>
    <w:rsid w:val="008C14BB"/>
    <w:rsid w:val="008C24F6"/>
    <w:rsid w:val="008C2579"/>
    <w:rsid w:val="008C27EC"/>
    <w:rsid w:val="008C3081"/>
    <w:rsid w:val="008C35E1"/>
    <w:rsid w:val="008C543F"/>
    <w:rsid w:val="008C54D6"/>
    <w:rsid w:val="008C593C"/>
    <w:rsid w:val="008C643F"/>
    <w:rsid w:val="008C64E7"/>
    <w:rsid w:val="008C7B07"/>
    <w:rsid w:val="008D06D2"/>
    <w:rsid w:val="008D0B0E"/>
    <w:rsid w:val="008D0C5A"/>
    <w:rsid w:val="008D15B7"/>
    <w:rsid w:val="008D174E"/>
    <w:rsid w:val="008D27C1"/>
    <w:rsid w:val="008D2861"/>
    <w:rsid w:val="008D297C"/>
    <w:rsid w:val="008D3146"/>
    <w:rsid w:val="008D34A7"/>
    <w:rsid w:val="008D371D"/>
    <w:rsid w:val="008D3904"/>
    <w:rsid w:val="008D39F2"/>
    <w:rsid w:val="008D3BBC"/>
    <w:rsid w:val="008D4345"/>
    <w:rsid w:val="008D45A9"/>
    <w:rsid w:val="008D465F"/>
    <w:rsid w:val="008D4C75"/>
    <w:rsid w:val="008D5336"/>
    <w:rsid w:val="008D5781"/>
    <w:rsid w:val="008D6445"/>
    <w:rsid w:val="008D6B70"/>
    <w:rsid w:val="008D6FE4"/>
    <w:rsid w:val="008D7168"/>
    <w:rsid w:val="008D7963"/>
    <w:rsid w:val="008D7B8C"/>
    <w:rsid w:val="008E018B"/>
    <w:rsid w:val="008E075D"/>
    <w:rsid w:val="008E0C0C"/>
    <w:rsid w:val="008E1658"/>
    <w:rsid w:val="008E3BC8"/>
    <w:rsid w:val="008E3FDF"/>
    <w:rsid w:val="008E4377"/>
    <w:rsid w:val="008E47B7"/>
    <w:rsid w:val="008E4D8D"/>
    <w:rsid w:val="008E523E"/>
    <w:rsid w:val="008E614D"/>
    <w:rsid w:val="008E6C7A"/>
    <w:rsid w:val="008E754A"/>
    <w:rsid w:val="008E79ED"/>
    <w:rsid w:val="008F066B"/>
    <w:rsid w:val="008F0C95"/>
    <w:rsid w:val="008F1D4F"/>
    <w:rsid w:val="008F20BA"/>
    <w:rsid w:val="008F272B"/>
    <w:rsid w:val="008F37E1"/>
    <w:rsid w:val="008F3976"/>
    <w:rsid w:val="008F4047"/>
    <w:rsid w:val="008F40D2"/>
    <w:rsid w:val="008F4236"/>
    <w:rsid w:val="008F46D2"/>
    <w:rsid w:val="008F47E4"/>
    <w:rsid w:val="008F4B40"/>
    <w:rsid w:val="008F5399"/>
    <w:rsid w:val="008F546F"/>
    <w:rsid w:val="008F57EF"/>
    <w:rsid w:val="008F588B"/>
    <w:rsid w:val="008F5A0A"/>
    <w:rsid w:val="008F5AF3"/>
    <w:rsid w:val="008F6581"/>
    <w:rsid w:val="008F67DC"/>
    <w:rsid w:val="008F6CAA"/>
    <w:rsid w:val="008F6CE7"/>
    <w:rsid w:val="008F6EE1"/>
    <w:rsid w:val="008F7389"/>
    <w:rsid w:val="008F7E01"/>
    <w:rsid w:val="00900196"/>
    <w:rsid w:val="00900502"/>
    <w:rsid w:val="00900730"/>
    <w:rsid w:val="00900834"/>
    <w:rsid w:val="009008C4"/>
    <w:rsid w:val="00900D12"/>
    <w:rsid w:val="00901656"/>
    <w:rsid w:val="00901A8D"/>
    <w:rsid w:val="00901F36"/>
    <w:rsid w:val="00902032"/>
    <w:rsid w:val="00902495"/>
    <w:rsid w:val="0090252E"/>
    <w:rsid w:val="00902F53"/>
    <w:rsid w:val="009036EA"/>
    <w:rsid w:val="00903CB3"/>
    <w:rsid w:val="009051BE"/>
    <w:rsid w:val="009055A6"/>
    <w:rsid w:val="00905B39"/>
    <w:rsid w:val="00905F74"/>
    <w:rsid w:val="00906435"/>
    <w:rsid w:val="00906858"/>
    <w:rsid w:val="0090689F"/>
    <w:rsid w:val="0090778E"/>
    <w:rsid w:val="00907DB4"/>
    <w:rsid w:val="00910CCE"/>
    <w:rsid w:val="00911E71"/>
    <w:rsid w:val="009128B9"/>
    <w:rsid w:val="00912E8A"/>
    <w:rsid w:val="00912F43"/>
    <w:rsid w:val="00913624"/>
    <w:rsid w:val="00913D33"/>
    <w:rsid w:val="0091424B"/>
    <w:rsid w:val="00914776"/>
    <w:rsid w:val="00914831"/>
    <w:rsid w:val="00914D34"/>
    <w:rsid w:val="00915926"/>
    <w:rsid w:val="0091599C"/>
    <w:rsid w:val="00915C2F"/>
    <w:rsid w:val="00915F98"/>
    <w:rsid w:val="00916959"/>
    <w:rsid w:val="00916C09"/>
    <w:rsid w:val="00916CD4"/>
    <w:rsid w:val="009172DE"/>
    <w:rsid w:val="00917D04"/>
    <w:rsid w:val="00917ED8"/>
    <w:rsid w:val="00917FE2"/>
    <w:rsid w:val="009204AB"/>
    <w:rsid w:val="0092082D"/>
    <w:rsid w:val="00920A23"/>
    <w:rsid w:val="00921177"/>
    <w:rsid w:val="009211F5"/>
    <w:rsid w:val="0092128C"/>
    <w:rsid w:val="009219DF"/>
    <w:rsid w:val="00921CE5"/>
    <w:rsid w:val="00922332"/>
    <w:rsid w:val="00922919"/>
    <w:rsid w:val="00922BA1"/>
    <w:rsid w:val="00924BD4"/>
    <w:rsid w:val="00924CCF"/>
    <w:rsid w:val="0092571C"/>
    <w:rsid w:val="00925F98"/>
    <w:rsid w:val="0092633A"/>
    <w:rsid w:val="00926407"/>
    <w:rsid w:val="009265C4"/>
    <w:rsid w:val="009265F4"/>
    <w:rsid w:val="009268A6"/>
    <w:rsid w:val="009270C2"/>
    <w:rsid w:val="0093037B"/>
    <w:rsid w:val="00930550"/>
    <w:rsid w:val="0093078D"/>
    <w:rsid w:val="00930821"/>
    <w:rsid w:val="009308DF"/>
    <w:rsid w:val="009319A4"/>
    <w:rsid w:val="009319F1"/>
    <w:rsid w:val="00931A91"/>
    <w:rsid w:val="0093218B"/>
    <w:rsid w:val="00934299"/>
    <w:rsid w:val="009356AE"/>
    <w:rsid w:val="0093576D"/>
    <w:rsid w:val="00935804"/>
    <w:rsid w:val="00935D3E"/>
    <w:rsid w:val="00936422"/>
    <w:rsid w:val="00936562"/>
    <w:rsid w:val="00937387"/>
    <w:rsid w:val="009379D5"/>
    <w:rsid w:val="00937CF8"/>
    <w:rsid w:val="00941063"/>
    <w:rsid w:val="00941963"/>
    <w:rsid w:val="00941BC5"/>
    <w:rsid w:val="00942040"/>
    <w:rsid w:val="009423AC"/>
    <w:rsid w:val="00942F9A"/>
    <w:rsid w:val="00943800"/>
    <w:rsid w:val="00943944"/>
    <w:rsid w:val="009441DF"/>
    <w:rsid w:val="009448E0"/>
    <w:rsid w:val="009449AF"/>
    <w:rsid w:val="00946408"/>
    <w:rsid w:val="009464F6"/>
    <w:rsid w:val="00946A98"/>
    <w:rsid w:val="00947421"/>
    <w:rsid w:val="00947BB1"/>
    <w:rsid w:val="00950640"/>
    <w:rsid w:val="00950A71"/>
    <w:rsid w:val="00950E65"/>
    <w:rsid w:val="00950F58"/>
    <w:rsid w:val="0095132F"/>
    <w:rsid w:val="009519AC"/>
    <w:rsid w:val="00951ADA"/>
    <w:rsid w:val="00951D3A"/>
    <w:rsid w:val="00951DF2"/>
    <w:rsid w:val="009527A8"/>
    <w:rsid w:val="00952C9C"/>
    <w:rsid w:val="00952D04"/>
    <w:rsid w:val="00952E2D"/>
    <w:rsid w:val="00952E4C"/>
    <w:rsid w:val="00953BF3"/>
    <w:rsid w:val="00955528"/>
    <w:rsid w:val="00955638"/>
    <w:rsid w:val="00955F36"/>
    <w:rsid w:val="00956398"/>
    <w:rsid w:val="00957618"/>
    <w:rsid w:val="0096018B"/>
    <w:rsid w:val="009609B4"/>
    <w:rsid w:val="00961722"/>
    <w:rsid w:val="00961911"/>
    <w:rsid w:val="00962D51"/>
    <w:rsid w:val="00964E82"/>
    <w:rsid w:val="00964F48"/>
    <w:rsid w:val="00965179"/>
    <w:rsid w:val="00965443"/>
    <w:rsid w:val="009658BF"/>
    <w:rsid w:val="00965A8A"/>
    <w:rsid w:val="00965C6A"/>
    <w:rsid w:val="009663E0"/>
    <w:rsid w:val="0096697D"/>
    <w:rsid w:val="00967CD1"/>
    <w:rsid w:val="00967F5C"/>
    <w:rsid w:val="0097026A"/>
    <w:rsid w:val="0097122C"/>
    <w:rsid w:val="00971647"/>
    <w:rsid w:val="00971D46"/>
    <w:rsid w:val="00971D75"/>
    <w:rsid w:val="00972405"/>
    <w:rsid w:val="00972F31"/>
    <w:rsid w:val="00973160"/>
    <w:rsid w:val="00973407"/>
    <w:rsid w:val="00973572"/>
    <w:rsid w:val="00973F42"/>
    <w:rsid w:val="00974347"/>
    <w:rsid w:val="0097499D"/>
    <w:rsid w:val="00974B3F"/>
    <w:rsid w:val="00974EF6"/>
    <w:rsid w:val="00975811"/>
    <w:rsid w:val="00976730"/>
    <w:rsid w:val="009768CA"/>
    <w:rsid w:val="009769B6"/>
    <w:rsid w:val="00976F68"/>
    <w:rsid w:val="00977B62"/>
    <w:rsid w:val="0098051A"/>
    <w:rsid w:val="009813C5"/>
    <w:rsid w:val="009816B5"/>
    <w:rsid w:val="00981AF2"/>
    <w:rsid w:val="00981BBA"/>
    <w:rsid w:val="00981D57"/>
    <w:rsid w:val="009820C1"/>
    <w:rsid w:val="0098250F"/>
    <w:rsid w:val="009834ED"/>
    <w:rsid w:val="00983F9A"/>
    <w:rsid w:val="0098421C"/>
    <w:rsid w:val="00984970"/>
    <w:rsid w:val="00984D29"/>
    <w:rsid w:val="00984F28"/>
    <w:rsid w:val="00985295"/>
    <w:rsid w:val="00985E3B"/>
    <w:rsid w:val="00986335"/>
    <w:rsid w:val="00986DE5"/>
    <w:rsid w:val="009873E7"/>
    <w:rsid w:val="00987895"/>
    <w:rsid w:val="00987B03"/>
    <w:rsid w:val="00990DA1"/>
    <w:rsid w:val="00991B69"/>
    <w:rsid w:val="00991CCA"/>
    <w:rsid w:val="0099236E"/>
    <w:rsid w:val="00992CD3"/>
    <w:rsid w:val="00992D44"/>
    <w:rsid w:val="00993C0D"/>
    <w:rsid w:val="0099480E"/>
    <w:rsid w:val="009948AA"/>
    <w:rsid w:val="00994DED"/>
    <w:rsid w:val="0099504B"/>
    <w:rsid w:val="00995243"/>
    <w:rsid w:val="00995482"/>
    <w:rsid w:val="0099551E"/>
    <w:rsid w:val="00995589"/>
    <w:rsid w:val="0099609C"/>
    <w:rsid w:val="0099677D"/>
    <w:rsid w:val="00996795"/>
    <w:rsid w:val="00996F96"/>
    <w:rsid w:val="0099764A"/>
    <w:rsid w:val="009978B2"/>
    <w:rsid w:val="00997E0A"/>
    <w:rsid w:val="009A0297"/>
    <w:rsid w:val="009A02B6"/>
    <w:rsid w:val="009A05E4"/>
    <w:rsid w:val="009A062F"/>
    <w:rsid w:val="009A0906"/>
    <w:rsid w:val="009A0E97"/>
    <w:rsid w:val="009A190A"/>
    <w:rsid w:val="009A2868"/>
    <w:rsid w:val="009A409F"/>
    <w:rsid w:val="009A448B"/>
    <w:rsid w:val="009A4C98"/>
    <w:rsid w:val="009A4DE2"/>
    <w:rsid w:val="009A5848"/>
    <w:rsid w:val="009A5A00"/>
    <w:rsid w:val="009A5AAA"/>
    <w:rsid w:val="009A5B01"/>
    <w:rsid w:val="009A60DD"/>
    <w:rsid w:val="009A6265"/>
    <w:rsid w:val="009A6D0C"/>
    <w:rsid w:val="009A6DC7"/>
    <w:rsid w:val="009A77A7"/>
    <w:rsid w:val="009A7EAE"/>
    <w:rsid w:val="009B022B"/>
    <w:rsid w:val="009B029D"/>
    <w:rsid w:val="009B05B4"/>
    <w:rsid w:val="009B0638"/>
    <w:rsid w:val="009B08ED"/>
    <w:rsid w:val="009B0A25"/>
    <w:rsid w:val="009B0D35"/>
    <w:rsid w:val="009B24C7"/>
    <w:rsid w:val="009B2ABD"/>
    <w:rsid w:val="009B3024"/>
    <w:rsid w:val="009B3B69"/>
    <w:rsid w:val="009B3FF2"/>
    <w:rsid w:val="009B4768"/>
    <w:rsid w:val="009B485F"/>
    <w:rsid w:val="009B66C5"/>
    <w:rsid w:val="009B7CC8"/>
    <w:rsid w:val="009C0664"/>
    <w:rsid w:val="009C0B98"/>
    <w:rsid w:val="009C0BB7"/>
    <w:rsid w:val="009C144A"/>
    <w:rsid w:val="009C1DC5"/>
    <w:rsid w:val="009C20EB"/>
    <w:rsid w:val="009C29E0"/>
    <w:rsid w:val="009C2A24"/>
    <w:rsid w:val="009C2EF4"/>
    <w:rsid w:val="009C50FE"/>
    <w:rsid w:val="009C5621"/>
    <w:rsid w:val="009C5707"/>
    <w:rsid w:val="009C57AE"/>
    <w:rsid w:val="009C5A2F"/>
    <w:rsid w:val="009C5D19"/>
    <w:rsid w:val="009C62A9"/>
    <w:rsid w:val="009C65EF"/>
    <w:rsid w:val="009C6897"/>
    <w:rsid w:val="009C6A3A"/>
    <w:rsid w:val="009C6EA5"/>
    <w:rsid w:val="009C7168"/>
    <w:rsid w:val="009D01E9"/>
    <w:rsid w:val="009D1D40"/>
    <w:rsid w:val="009D2442"/>
    <w:rsid w:val="009D25C2"/>
    <w:rsid w:val="009D2848"/>
    <w:rsid w:val="009D288B"/>
    <w:rsid w:val="009D29A1"/>
    <w:rsid w:val="009D3C90"/>
    <w:rsid w:val="009D3C9B"/>
    <w:rsid w:val="009D4D08"/>
    <w:rsid w:val="009D51F1"/>
    <w:rsid w:val="009D5491"/>
    <w:rsid w:val="009D554D"/>
    <w:rsid w:val="009D5DE8"/>
    <w:rsid w:val="009D5E6C"/>
    <w:rsid w:val="009D6AAA"/>
    <w:rsid w:val="009D77C5"/>
    <w:rsid w:val="009D7A58"/>
    <w:rsid w:val="009D7C2B"/>
    <w:rsid w:val="009E0181"/>
    <w:rsid w:val="009E01EB"/>
    <w:rsid w:val="009E0FE2"/>
    <w:rsid w:val="009E108D"/>
    <w:rsid w:val="009E1123"/>
    <w:rsid w:val="009E1B3C"/>
    <w:rsid w:val="009E2428"/>
    <w:rsid w:val="009E2567"/>
    <w:rsid w:val="009E256A"/>
    <w:rsid w:val="009E271B"/>
    <w:rsid w:val="009E2983"/>
    <w:rsid w:val="009E2A75"/>
    <w:rsid w:val="009E33BF"/>
    <w:rsid w:val="009E375F"/>
    <w:rsid w:val="009E3AAB"/>
    <w:rsid w:val="009E3B50"/>
    <w:rsid w:val="009E3CEC"/>
    <w:rsid w:val="009E3FBB"/>
    <w:rsid w:val="009E4118"/>
    <w:rsid w:val="009E41EA"/>
    <w:rsid w:val="009E42D8"/>
    <w:rsid w:val="009E4CB9"/>
    <w:rsid w:val="009E597D"/>
    <w:rsid w:val="009E5B8C"/>
    <w:rsid w:val="009E5E24"/>
    <w:rsid w:val="009E5E64"/>
    <w:rsid w:val="009E629B"/>
    <w:rsid w:val="009E6754"/>
    <w:rsid w:val="009E69F4"/>
    <w:rsid w:val="009E6DDD"/>
    <w:rsid w:val="009E708F"/>
    <w:rsid w:val="009E7747"/>
    <w:rsid w:val="009E7BEF"/>
    <w:rsid w:val="009E7E9F"/>
    <w:rsid w:val="009F0137"/>
    <w:rsid w:val="009F0497"/>
    <w:rsid w:val="009F0EB5"/>
    <w:rsid w:val="009F1496"/>
    <w:rsid w:val="009F16BC"/>
    <w:rsid w:val="009F25D5"/>
    <w:rsid w:val="009F2AF4"/>
    <w:rsid w:val="009F2D82"/>
    <w:rsid w:val="009F3628"/>
    <w:rsid w:val="009F3DCD"/>
    <w:rsid w:val="009F4606"/>
    <w:rsid w:val="009F4802"/>
    <w:rsid w:val="009F48ED"/>
    <w:rsid w:val="009F4B99"/>
    <w:rsid w:val="009F4BAC"/>
    <w:rsid w:val="009F4C1A"/>
    <w:rsid w:val="009F4D80"/>
    <w:rsid w:val="009F51C3"/>
    <w:rsid w:val="009F6A87"/>
    <w:rsid w:val="009F6E16"/>
    <w:rsid w:val="009F7587"/>
    <w:rsid w:val="009F767B"/>
    <w:rsid w:val="009F7E27"/>
    <w:rsid w:val="00A00E84"/>
    <w:rsid w:val="00A010DD"/>
    <w:rsid w:val="00A01789"/>
    <w:rsid w:val="00A018E3"/>
    <w:rsid w:val="00A019A2"/>
    <w:rsid w:val="00A01E8F"/>
    <w:rsid w:val="00A01F83"/>
    <w:rsid w:val="00A02B4E"/>
    <w:rsid w:val="00A03339"/>
    <w:rsid w:val="00A0336D"/>
    <w:rsid w:val="00A035C8"/>
    <w:rsid w:val="00A03604"/>
    <w:rsid w:val="00A03CAD"/>
    <w:rsid w:val="00A03F80"/>
    <w:rsid w:val="00A042B8"/>
    <w:rsid w:val="00A0479B"/>
    <w:rsid w:val="00A05177"/>
    <w:rsid w:val="00A05510"/>
    <w:rsid w:val="00A05C82"/>
    <w:rsid w:val="00A0643D"/>
    <w:rsid w:val="00A06E49"/>
    <w:rsid w:val="00A07710"/>
    <w:rsid w:val="00A0787F"/>
    <w:rsid w:val="00A07CE8"/>
    <w:rsid w:val="00A10ADD"/>
    <w:rsid w:val="00A10E87"/>
    <w:rsid w:val="00A115F9"/>
    <w:rsid w:val="00A1163D"/>
    <w:rsid w:val="00A1188C"/>
    <w:rsid w:val="00A1255B"/>
    <w:rsid w:val="00A12806"/>
    <w:rsid w:val="00A12C2C"/>
    <w:rsid w:val="00A1306C"/>
    <w:rsid w:val="00A13177"/>
    <w:rsid w:val="00A147DB"/>
    <w:rsid w:val="00A14B9E"/>
    <w:rsid w:val="00A14EA7"/>
    <w:rsid w:val="00A156D0"/>
    <w:rsid w:val="00A16048"/>
    <w:rsid w:val="00A163B4"/>
    <w:rsid w:val="00A16611"/>
    <w:rsid w:val="00A16D78"/>
    <w:rsid w:val="00A171A2"/>
    <w:rsid w:val="00A172D9"/>
    <w:rsid w:val="00A1771B"/>
    <w:rsid w:val="00A17834"/>
    <w:rsid w:val="00A20B8B"/>
    <w:rsid w:val="00A20FBB"/>
    <w:rsid w:val="00A2161F"/>
    <w:rsid w:val="00A21AA7"/>
    <w:rsid w:val="00A21D76"/>
    <w:rsid w:val="00A21F9D"/>
    <w:rsid w:val="00A22096"/>
    <w:rsid w:val="00A22DA1"/>
    <w:rsid w:val="00A23B4C"/>
    <w:rsid w:val="00A24AA7"/>
    <w:rsid w:val="00A2514D"/>
    <w:rsid w:val="00A25227"/>
    <w:rsid w:val="00A25C94"/>
    <w:rsid w:val="00A25DD5"/>
    <w:rsid w:val="00A26D6D"/>
    <w:rsid w:val="00A26E1E"/>
    <w:rsid w:val="00A271AE"/>
    <w:rsid w:val="00A27FF0"/>
    <w:rsid w:val="00A30370"/>
    <w:rsid w:val="00A303D1"/>
    <w:rsid w:val="00A30A74"/>
    <w:rsid w:val="00A32120"/>
    <w:rsid w:val="00A323DF"/>
    <w:rsid w:val="00A32AD7"/>
    <w:rsid w:val="00A32DE5"/>
    <w:rsid w:val="00A332EB"/>
    <w:rsid w:val="00A33CD9"/>
    <w:rsid w:val="00A34747"/>
    <w:rsid w:val="00A34857"/>
    <w:rsid w:val="00A350E0"/>
    <w:rsid w:val="00A353E5"/>
    <w:rsid w:val="00A355DD"/>
    <w:rsid w:val="00A3586B"/>
    <w:rsid w:val="00A358F6"/>
    <w:rsid w:val="00A35A74"/>
    <w:rsid w:val="00A360E2"/>
    <w:rsid w:val="00A362CA"/>
    <w:rsid w:val="00A36BBD"/>
    <w:rsid w:val="00A379D0"/>
    <w:rsid w:val="00A37A80"/>
    <w:rsid w:val="00A40328"/>
    <w:rsid w:val="00A403AE"/>
    <w:rsid w:val="00A406CA"/>
    <w:rsid w:val="00A406EC"/>
    <w:rsid w:val="00A41493"/>
    <w:rsid w:val="00A41923"/>
    <w:rsid w:val="00A41B41"/>
    <w:rsid w:val="00A42317"/>
    <w:rsid w:val="00A427D1"/>
    <w:rsid w:val="00A42942"/>
    <w:rsid w:val="00A42AE8"/>
    <w:rsid w:val="00A42D36"/>
    <w:rsid w:val="00A43B8E"/>
    <w:rsid w:val="00A43BAD"/>
    <w:rsid w:val="00A44361"/>
    <w:rsid w:val="00A44507"/>
    <w:rsid w:val="00A44540"/>
    <w:rsid w:val="00A44E51"/>
    <w:rsid w:val="00A453DA"/>
    <w:rsid w:val="00A45440"/>
    <w:rsid w:val="00A46333"/>
    <w:rsid w:val="00A470ED"/>
    <w:rsid w:val="00A472B0"/>
    <w:rsid w:val="00A47339"/>
    <w:rsid w:val="00A476CA"/>
    <w:rsid w:val="00A47767"/>
    <w:rsid w:val="00A50801"/>
    <w:rsid w:val="00A50B2F"/>
    <w:rsid w:val="00A50DFF"/>
    <w:rsid w:val="00A50E3C"/>
    <w:rsid w:val="00A51373"/>
    <w:rsid w:val="00A51D7C"/>
    <w:rsid w:val="00A529CD"/>
    <w:rsid w:val="00A52B5F"/>
    <w:rsid w:val="00A52D9C"/>
    <w:rsid w:val="00A53349"/>
    <w:rsid w:val="00A533E8"/>
    <w:rsid w:val="00A537F1"/>
    <w:rsid w:val="00A5383B"/>
    <w:rsid w:val="00A53A9B"/>
    <w:rsid w:val="00A54079"/>
    <w:rsid w:val="00A54364"/>
    <w:rsid w:val="00A5443E"/>
    <w:rsid w:val="00A54E73"/>
    <w:rsid w:val="00A55B60"/>
    <w:rsid w:val="00A56374"/>
    <w:rsid w:val="00A566D6"/>
    <w:rsid w:val="00A5677E"/>
    <w:rsid w:val="00A57AE0"/>
    <w:rsid w:val="00A60E51"/>
    <w:rsid w:val="00A60E75"/>
    <w:rsid w:val="00A61A7A"/>
    <w:rsid w:val="00A62C63"/>
    <w:rsid w:val="00A633C2"/>
    <w:rsid w:val="00A634EC"/>
    <w:rsid w:val="00A63E4C"/>
    <w:rsid w:val="00A63EA2"/>
    <w:rsid w:val="00A64541"/>
    <w:rsid w:val="00A649C5"/>
    <w:rsid w:val="00A65941"/>
    <w:rsid w:val="00A65D33"/>
    <w:rsid w:val="00A65E4F"/>
    <w:rsid w:val="00A6628C"/>
    <w:rsid w:val="00A666E4"/>
    <w:rsid w:val="00A668AF"/>
    <w:rsid w:val="00A66FCB"/>
    <w:rsid w:val="00A67F0B"/>
    <w:rsid w:val="00A67FB1"/>
    <w:rsid w:val="00A7054C"/>
    <w:rsid w:val="00A70C39"/>
    <w:rsid w:val="00A712EC"/>
    <w:rsid w:val="00A71338"/>
    <w:rsid w:val="00A713E6"/>
    <w:rsid w:val="00A71FDF"/>
    <w:rsid w:val="00A7210F"/>
    <w:rsid w:val="00A72A27"/>
    <w:rsid w:val="00A72CE6"/>
    <w:rsid w:val="00A737D3"/>
    <w:rsid w:val="00A73C8A"/>
    <w:rsid w:val="00A73DCC"/>
    <w:rsid w:val="00A74B56"/>
    <w:rsid w:val="00A74DB2"/>
    <w:rsid w:val="00A750C5"/>
    <w:rsid w:val="00A755C9"/>
    <w:rsid w:val="00A75B53"/>
    <w:rsid w:val="00A75D67"/>
    <w:rsid w:val="00A75E43"/>
    <w:rsid w:val="00A763B8"/>
    <w:rsid w:val="00A7656B"/>
    <w:rsid w:val="00A76EFC"/>
    <w:rsid w:val="00A76FF3"/>
    <w:rsid w:val="00A773BC"/>
    <w:rsid w:val="00A77C43"/>
    <w:rsid w:val="00A77D41"/>
    <w:rsid w:val="00A77D91"/>
    <w:rsid w:val="00A77FF4"/>
    <w:rsid w:val="00A817AD"/>
    <w:rsid w:val="00A81AAA"/>
    <w:rsid w:val="00A81DC3"/>
    <w:rsid w:val="00A82841"/>
    <w:rsid w:val="00A8453D"/>
    <w:rsid w:val="00A84605"/>
    <w:rsid w:val="00A8473F"/>
    <w:rsid w:val="00A8480A"/>
    <w:rsid w:val="00A850B0"/>
    <w:rsid w:val="00A86259"/>
    <w:rsid w:val="00A86351"/>
    <w:rsid w:val="00A8639E"/>
    <w:rsid w:val="00A866DF"/>
    <w:rsid w:val="00A868C9"/>
    <w:rsid w:val="00A868CA"/>
    <w:rsid w:val="00A86C7E"/>
    <w:rsid w:val="00A86F7D"/>
    <w:rsid w:val="00A87297"/>
    <w:rsid w:val="00A873FD"/>
    <w:rsid w:val="00A87836"/>
    <w:rsid w:val="00A87917"/>
    <w:rsid w:val="00A87B8A"/>
    <w:rsid w:val="00A87FA9"/>
    <w:rsid w:val="00A90055"/>
    <w:rsid w:val="00A90965"/>
    <w:rsid w:val="00A90C50"/>
    <w:rsid w:val="00A9168E"/>
    <w:rsid w:val="00A91BDC"/>
    <w:rsid w:val="00A92114"/>
    <w:rsid w:val="00A92CB9"/>
    <w:rsid w:val="00A92D51"/>
    <w:rsid w:val="00A93243"/>
    <w:rsid w:val="00A932F6"/>
    <w:rsid w:val="00A936AE"/>
    <w:rsid w:val="00A936F4"/>
    <w:rsid w:val="00A95B40"/>
    <w:rsid w:val="00A97505"/>
    <w:rsid w:val="00A97D3E"/>
    <w:rsid w:val="00A97F51"/>
    <w:rsid w:val="00AA10B9"/>
    <w:rsid w:val="00AA155F"/>
    <w:rsid w:val="00AA2EBF"/>
    <w:rsid w:val="00AA3C6E"/>
    <w:rsid w:val="00AA3DEE"/>
    <w:rsid w:val="00AA4903"/>
    <w:rsid w:val="00AA4EED"/>
    <w:rsid w:val="00AA5192"/>
    <w:rsid w:val="00AA5218"/>
    <w:rsid w:val="00AA529F"/>
    <w:rsid w:val="00AA5378"/>
    <w:rsid w:val="00AA584E"/>
    <w:rsid w:val="00AA58A8"/>
    <w:rsid w:val="00AA6647"/>
    <w:rsid w:val="00AA6B5D"/>
    <w:rsid w:val="00AA7208"/>
    <w:rsid w:val="00AA7B12"/>
    <w:rsid w:val="00AA7BC8"/>
    <w:rsid w:val="00AB0B43"/>
    <w:rsid w:val="00AB0CB8"/>
    <w:rsid w:val="00AB12FE"/>
    <w:rsid w:val="00AB3146"/>
    <w:rsid w:val="00AB3C98"/>
    <w:rsid w:val="00AB402A"/>
    <w:rsid w:val="00AB410F"/>
    <w:rsid w:val="00AB4BD6"/>
    <w:rsid w:val="00AB5424"/>
    <w:rsid w:val="00AB5461"/>
    <w:rsid w:val="00AB5BC4"/>
    <w:rsid w:val="00AB5D91"/>
    <w:rsid w:val="00AB66F1"/>
    <w:rsid w:val="00AB673A"/>
    <w:rsid w:val="00AB67A8"/>
    <w:rsid w:val="00AB6F44"/>
    <w:rsid w:val="00AC03EA"/>
    <w:rsid w:val="00AC0BAC"/>
    <w:rsid w:val="00AC0DEF"/>
    <w:rsid w:val="00AC1002"/>
    <w:rsid w:val="00AC1283"/>
    <w:rsid w:val="00AC16D4"/>
    <w:rsid w:val="00AC175C"/>
    <w:rsid w:val="00AC27B1"/>
    <w:rsid w:val="00AC30E2"/>
    <w:rsid w:val="00AC3865"/>
    <w:rsid w:val="00AC397C"/>
    <w:rsid w:val="00AC3D55"/>
    <w:rsid w:val="00AC4264"/>
    <w:rsid w:val="00AC4C57"/>
    <w:rsid w:val="00AC4CA9"/>
    <w:rsid w:val="00AC4F82"/>
    <w:rsid w:val="00AC5099"/>
    <w:rsid w:val="00AC5623"/>
    <w:rsid w:val="00AC5B20"/>
    <w:rsid w:val="00AC6502"/>
    <w:rsid w:val="00AC6671"/>
    <w:rsid w:val="00AC69AA"/>
    <w:rsid w:val="00AC7009"/>
    <w:rsid w:val="00AC7066"/>
    <w:rsid w:val="00AC7B23"/>
    <w:rsid w:val="00AC7DFE"/>
    <w:rsid w:val="00AD0353"/>
    <w:rsid w:val="00AD04E0"/>
    <w:rsid w:val="00AD058F"/>
    <w:rsid w:val="00AD0926"/>
    <w:rsid w:val="00AD0C52"/>
    <w:rsid w:val="00AD1936"/>
    <w:rsid w:val="00AD1966"/>
    <w:rsid w:val="00AD201B"/>
    <w:rsid w:val="00AD22EA"/>
    <w:rsid w:val="00AD24F5"/>
    <w:rsid w:val="00AD269A"/>
    <w:rsid w:val="00AD2A93"/>
    <w:rsid w:val="00AD2B94"/>
    <w:rsid w:val="00AD2DAA"/>
    <w:rsid w:val="00AD3303"/>
    <w:rsid w:val="00AD3951"/>
    <w:rsid w:val="00AD45C3"/>
    <w:rsid w:val="00AD4704"/>
    <w:rsid w:val="00AD4E40"/>
    <w:rsid w:val="00AD51B4"/>
    <w:rsid w:val="00AD52AD"/>
    <w:rsid w:val="00AD5C10"/>
    <w:rsid w:val="00AD624F"/>
    <w:rsid w:val="00AD64A3"/>
    <w:rsid w:val="00AD690D"/>
    <w:rsid w:val="00AE007A"/>
    <w:rsid w:val="00AE0090"/>
    <w:rsid w:val="00AE0253"/>
    <w:rsid w:val="00AE09D4"/>
    <w:rsid w:val="00AE0AB8"/>
    <w:rsid w:val="00AE1829"/>
    <w:rsid w:val="00AE1A23"/>
    <w:rsid w:val="00AE20AB"/>
    <w:rsid w:val="00AE216A"/>
    <w:rsid w:val="00AE234B"/>
    <w:rsid w:val="00AE2BFE"/>
    <w:rsid w:val="00AE2D7A"/>
    <w:rsid w:val="00AE2F32"/>
    <w:rsid w:val="00AE30C4"/>
    <w:rsid w:val="00AE353C"/>
    <w:rsid w:val="00AE396F"/>
    <w:rsid w:val="00AE49FE"/>
    <w:rsid w:val="00AE4E79"/>
    <w:rsid w:val="00AE563E"/>
    <w:rsid w:val="00AE693B"/>
    <w:rsid w:val="00AE6AE1"/>
    <w:rsid w:val="00AE6BEA"/>
    <w:rsid w:val="00AE6F1F"/>
    <w:rsid w:val="00AE6F4E"/>
    <w:rsid w:val="00AE7408"/>
    <w:rsid w:val="00AE758C"/>
    <w:rsid w:val="00AE7DE9"/>
    <w:rsid w:val="00AF21E6"/>
    <w:rsid w:val="00AF22A7"/>
    <w:rsid w:val="00AF23B1"/>
    <w:rsid w:val="00AF257A"/>
    <w:rsid w:val="00AF2A04"/>
    <w:rsid w:val="00AF2AE3"/>
    <w:rsid w:val="00AF2B9C"/>
    <w:rsid w:val="00AF3634"/>
    <w:rsid w:val="00AF4243"/>
    <w:rsid w:val="00AF4E09"/>
    <w:rsid w:val="00AF4EC7"/>
    <w:rsid w:val="00AF5607"/>
    <w:rsid w:val="00AF6575"/>
    <w:rsid w:val="00AF66D9"/>
    <w:rsid w:val="00AF7068"/>
    <w:rsid w:val="00AF72B1"/>
    <w:rsid w:val="00AF75C4"/>
    <w:rsid w:val="00AF7D43"/>
    <w:rsid w:val="00B00101"/>
    <w:rsid w:val="00B00167"/>
    <w:rsid w:val="00B0038A"/>
    <w:rsid w:val="00B0097E"/>
    <w:rsid w:val="00B00B78"/>
    <w:rsid w:val="00B00BD2"/>
    <w:rsid w:val="00B00BF1"/>
    <w:rsid w:val="00B01063"/>
    <w:rsid w:val="00B01966"/>
    <w:rsid w:val="00B01B44"/>
    <w:rsid w:val="00B01E46"/>
    <w:rsid w:val="00B0210E"/>
    <w:rsid w:val="00B02CB5"/>
    <w:rsid w:val="00B02E1C"/>
    <w:rsid w:val="00B0302A"/>
    <w:rsid w:val="00B049F1"/>
    <w:rsid w:val="00B05028"/>
    <w:rsid w:val="00B05052"/>
    <w:rsid w:val="00B05325"/>
    <w:rsid w:val="00B05D29"/>
    <w:rsid w:val="00B06DF6"/>
    <w:rsid w:val="00B07A04"/>
    <w:rsid w:val="00B104FB"/>
    <w:rsid w:val="00B107FC"/>
    <w:rsid w:val="00B10800"/>
    <w:rsid w:val="00B10F12"/>
    <w:rsid w:val="00B11F17"/>
    <w:rsid w:val="00B12258"/>
    <w:rsid w:val="00B12AFC"/>
    <w:rsid w:val="00B1305B"/>
    <w:rsid w:val="00B1383E"/>
    <w:rsid w:val="00B13D98"/>
    <w:rsid w:val="00B13F1F"/>
    <w:rsid w:val="00B14E51"/>
    <w:rsid w:val="00B14F02"/>
    <w:rsid w:val="00B15159"/>
    <w:rsid w:val="00B153F3"/>
    <w:rsid w:val="00B157F1"/>
    <w:rsid w:val="00B15BF4"/>
    <w:rsid w:val="00B162E0"/>
    <w:rsid w:val="00B16860"/>
    <w:rsid w:val="00B16C87"/>
    <w:rsid w:val="00B16D53"/>
    <w:rsid w:val="00B16E7F"/>
    <w:rsid w:val="00B173BA"/>
    <w:rsid w:val="00B1776B"/>
    <w:rsid w:val="00B1781F"/>
    <w:rsid w:val="00B17AE9"/>
    <w:rsid w:val="00B200B9"/>
    <w:rsid w:val="00B20406"/>
    <w:rsid w:val="00B21202"/>
    <w:rsid w:val="00B2150D"/>
    <w:rsid w:val="00B21807"/>
    <w:rsid w:val="00B2201E"/>
    <w:rsid w:val="00B22842"/>
    <w:rsid w:val="00B235BA"/>
    <w:rsid w:val="00B23766"/>
    <w:rsid w:val="00B237B4"/>
    <w:rsid w:val="00B23924"/>
    <w:rsid w:val="00B23B05"/>
    <w:rsid w:val="00B24B79"/>
    <w:rsid w:val="00B24E63"/>
    <w:rsid w:val="00B25010"/>
    <w:rsid w:val="00B257E0"/>
    <w:rsid w:val="00B25CE2"/>
    <w:rsid w:val="00B26BA7"/>
    <w:rsid w:val="00B26BAD"/>
    <w:rsid w:val="00B27040"/>
    <w:rsid w:val="00B27331"/>
    <w:rsid w:val="00B276D7"/>
    <w:rsid w:val="00B27A47"/>
    <w:rsid w:val="00B27EB0"/>
    <w:rsid w:val="00B30258"/>
    <w:rsid w:val="00B30436"/>
    <w:rsid w:val="00B30BAF"/>
    <w:rsid w:val="00B30EC7"/>
    <w:rsid w:val="00B319ED"/>
    <w:rsid w:val="00B31C86"/>
    <w:rsid w:val="00B32134"/>
    <w:rsid w:val="00B3224D"/>
    <w:rsid w:val="00B326A9"/>
    <w:rsid w:val="00B328E0"/>
    <w:rsid w:val="00B32A0E"/>
    <w:rsid w:val="00B33727"/>
    <w:rsid w:val="00B35118"/>
    <w:rsid w:val="00B351CF"/>
    <w:rsid w:val="00B35473"/>
    <w:rsid w:val="00B3597E"/>
    <w:rsid w:val="00B35A20"/>
    <w:rsid w:val="00B35FD8"/>
    <w:rsid w:val="00B36B3C"/>
    <w:rsid w:val="00B36B59"/>
    <w:rsid w:val="00B37EC6"/>
    <w:rsid w:val="00B40AE4"/>
    <w:rsid w:val="00B4278C"/>
    <w:rsid w:val="00B42E23"/>
    <w:rsid w:val="00B431B3"/>
    <w:rsid w:val="00B43502"/>
    <w:rsid w:val="00B44418"/>
    <w:rsid w:val="00B44B17"/>
    <w:rsid w:val="00B45422"/>
    <w:rsid w:val="00B457DE"/>
    <w:rsid w:val="00B4596B"/>
    <w:rsid w:val="00B460BF"/>
    <w:rsid w:val="00B46719"/>
    <w:rsid w:val="00B46BD3"/>
    <w:rsid w:val="00B47A00"/>
    <w:rsid w:val="00B47AC6"/>
    <w:rsid w:val="00B47B96"/>
    <w:rsid w:val="00B47E63"/>
    <w:rsid w:val="00B50322"/>
    <w:rsid w:val="00B50338"/>
    <w:rsid w:val="00B50378"/>
    <w:rsid w:val="00B5041D"/>
    <w:rsid w:val="00B50694"/>
    <w:rsid w:val="00B50748"/>
    <w:rsid w:val="00B5134D"/>
    <w:rsid w:val="00B5147E"/>
    <w:rsid w:val="00B5163A"/>
    <w:rsid w:val="00B51722"/>
    <w:rsid w:val="00B52574"/>
    <w:rsid w:val="00B526FD"/>
    <w:rsid w:val="00B52CDA"/>
    <w:rsid w:val="00B52E4B"/>
    <w:rsid w:val="00B52F36"/>
    <w:rsid w:val="00B52F85"/>
    <w:rsid w:val="00B533F0"/>
    <w:rsid w:val="00B53A38"/>
    <w:rsid w:val="00B541E9"/>
    <w:rsid w:val="00B55FD5"/>
    <w:rsid w:val="00B564EE"/>
    <w:rsid w:val="00B56834"/>
    <w:rsid w:val="00B56FB6"/>
    <w:rsid w:val="00B602A4"/>
    <w:rsid w:val="00B614F4"/>
    <w:rsid w:val="00B61DCA"/>
    <w:rsid w:val="00B61EF6"/>
    <w:rsid w:val="00B6295C"/>
    <w:rsid w:val="00B62D6C"/>
    <w:rsid w:val="00B632E8"/>
    <w:rsid w:val="00B6386F"/>
    <w:rsid w:val="00B63E18"/>
    <w:rsid w:val="00B64062"/>
    <w:rsid w:val="00B642A2"/>
    <w:rsid w:val="00B643E1"/>
    <w:rsid w:val="00B6460A"/>
    <w:rsid w:val="00B65413"/>
    <w:rsid w:val="00B658A6"/>
    <w:rsid w:val="00B65C04"/>
    <w:rsid w:val="00B660E8"/>
    <w:rsid w:val="00B661B2"/>
    <w:rsid w:val="00B66322"/>
    <w:rsid w:val="00B66D6B"/>
    <w:rsid w:val="00B677DE"/>
    <w:rsid w:val="00B679D4"/>
    <w:rsid w:val="00B70A0E"/>
    <w:rsid w:val="00B70A83"/>
    <w:rsid w:val="00B70CAC"/>
    <w:rsid w:val="00B71D63"/>
    <w:rsid w:val="00B72167"/>
    <w:rsid w:val="00B725DC"/>
    <w:rsid w:val="00B72896"/>
    <w:rsid w:val="00B72B41"/>
    <w:rsid w:val="00B72CB9"/>
    <w:rsid w:val="00B72E47"/>
    <w:rsid w:val="00B73A01"/>
    <w:rsid w:val="00B73B98"/>
    <w:rsid w:val="00B740C9"/>
    <w:rsid w:val="00B74438"/>
    <w:rsid w:val="00B74B6F"/>
    <w:rsid w:val="00B75470"/>
    <w:rsid w:val="00B75D93"/>
    <w:rsid w:val="00B7632A"/>
    <w:rsid w:val="00B7751D"/>
    <w:rsid w:val="00B779D0"/>
    <w:rsid w:val="00B77C59"/>
    <w:rsid w:val="00B815DA"/>
    <w:rsid w:val="00B81849"/>
    <w:rsid w:val="00B81EB3"/>
    <w:rsid w:val="00B81F97"/>
    <w:rsid w:val="00B82617"/>
    <w:rsid w:val="00B828BC"/>
    <w:rsid w:val="00B82B26"/>
    <w:rsid w:val="00B82B50"/>
    <w:rsid w:val="00B82BE3"/>
    <w:rsid w:val="00B83821"/>
    <w:rsid w:val="00B84606"/>
    <w:rsid w:val="00B84735"/>
    <w:rsid w:val="00B849F9"/>
    <w:rsid w:val="00B84CE4"/>
    <w:rsid w:val="00B84F03"/>
    <w:rsid w:val="00B85BF2"/>
    <w:rsid w:val="00B86288"/>
    <w:rsid w:val="00B86B44"/>
    <w:rsid w:val="00B87292"/>
    <w:rsid w:val="00B876FC"/>
    <w:rsid w:val="00B87DB0"/>
    <w:rsid w:val="00B90272"/>
    <w:rsid w:val="00B903B8"/>
    <w:rsid w:val="00B90919"/>
    <w:rsid w:val="00B909A2"/>
    <w:rsid w:val="00B90E03"/>
    <w:rsid w:val="00B9108F"/>
    <w:rsid w:val="00B91E7E"/>
    <w:rsid w:val="00B91F77"/>
    <w:rsid w:val="00B92381"/>
    <w:rsid w:val="00B92A7A"/>
    <w:rsid w:val="00B92CF3"/>
    <w:rsid w:val="00B93256"/>
    <w:rsid w:val="00B9327D"/>
    <w:rsid w:val="00B93745"/>
    <w:rsid w:val="00B93957"/>
    <w:rsid w:val="00B93C2D"/>
    <w:rsid w:val="00B93CD2"/>
    <w:rsid w:val="00B94300"/>
    <w:rsid w:val="00B946F9"/>
    <w:rsid w:val="00B94815"/>
    <w:rsid w:val="00B953E6"/>
    <w:rsid w:val="00B95654"/>
    <w:rsid w:val="00B95F0D"/>
    <w:rsid w:val="00B95FEC"/>
    <w:rsid w:val="00B961C1"/>
    <w:rsid w:val="00B96274"/>
    <w:rsid w:val="00B96330"/>
    <w:rsid w:val="00B963F5"/>
    <w:rsid w:val="00B968EC"/>
    <w:rsid w:val="00B9718C"/>
    <w:rsid w:val="00B9747A"/>
    <w:rsid w:val="00B975AF"/>
    <w:rsid w:val="00B97B05"/>
    <w:rsid w:val="00B97B1C"/>
    <w:rsid w:val="00BA1004"/>
    <w:rsid w:val="00BA1504"/>
    <w:rsid w:val="00BA1636"/>
    <w:rsid w:val="00BA1F65"/>
    <w:rsid w:val="00BA24B3"/>
    <w:rsid w:val="00BA290D"/>
    <w:rsid w:val="00BA2F97"/>
    <w:rsid w:val="00BA31AF"/>
    <w:rsid w:val="00BA3946"/>
    <w:rsid w:val="00BA3C7E"/>
    <w:rsid w:val="00BA405A"/>
    <w:rsid w:val="00BA4326"/>
    <w:rsid w:val="00BA4721"/>
    <w:rsid w:val="00BA4AD8"/>
    <w:rsid w:val="00BA4E2E"/>
    <w:rsid w:val="00BA5D20"/>
    <w:rsid w:val="00BA69B8"/>
    <w:rsid w:val="00BA6C97"/>
    <w:rsid w:val="00BA6D9C"/>
    <w:rsid w:val="00BA71AD"/>
    <w:rsid w:val="00BA7536"/>
    <w:rsid w:val="00BB0345"/>
    <w:rsid w:val="00BB079A"/>
    <w:rsid w:val="00BB0C9A"/>
    <w:rsid w:val="00BB11CD"/>
    <w:rsid w:val="00BB2CF8"/>
    <w:rsid w:val="00BB2D5E"/>
    <w:rsid w:val="00BB3F17"/>
    <w:rsid w:val="00BB4714"/>
    <w:rsid w:val="00BB47D9"/>
    <w:rsid w:val="00BB4B60"/>
    <w:rsid w:val="00BB4E69"/>
    <w:rsid w:val="00BB5B31"/>
    <w:rsid w:val="00BB5EE1"/>
    <w:rsid w:val="00BB61B8"/>
    <w:rsid w:val="00BB64C4"/>
    <w:rsid w:val="00BB6A09"/>
    <w:rsid w:val="00BB75D1"/>
    <w:rsid w:val="00BC031F"/>
    <w:rsid w:val="00BC0847"/>
    <w:rsid w:val="00BC08CF"/>
    <w:rsid w:val="00BC08F9"/>
    <w:rsid w:val="00BC112F"/>
    <w:rsid w:val="00BC1160"/>
    <w:rsid w:val="00BC1805"/>
    <w:rsid w:val="00BC199C"/>
    <w:rsid w:val="00BC1A3D"/>
    <w:rsid w:val="00BC1BCC"/>
    <w:rsid w:val="00BC1F2B"/>
    <w:rsid w:val="00BC2334"/>
    <w:rsid w:val="00BC2726"/>
    <w:rsid w:val="00BC2F2C"/>
    <w:rsid w:val="00BC2F7D"/>
    <w:rsid w:val="00BC312A"/>
    <w:rsid w:val="00BC41E5"/>
    <w:rsid w:val="00BC4AB2"/>
    <w:rsid w:val="00BC4FB1"/>
    <w:rsid w:val="00BC5B4D"/>
    <w:rsid w:val="00BC6418"/>
    <w:rsid w:val="00BC691A"/>
    <w:rsid w:val="00BC6960"/>
    <w:rsid w:val="00BC6C3A"/>
    <w:rsid w:val="00BC714F"/>
    <w:rsid w:val="00BC73F7"/>
    <w:rsid w:val="00BC75D2"/>
    <w:rsid w:val="00BD0021"/>
    <w:rsid w:val="00BD0380"/>
    <w:rsid w:val="00BD0954"/>
    <w:rsid w:val="00BD0D2F"/>
    <w:rsid w:val="00BD1354"/>
    <w:rsid w:val="00BD1575"/>
    <w:rsid w:val="00BD1E0C"/>
    <w:rsid w:val="00BD20D1"/>
    <w:rsid w:val="00BD3AE7"/>
    <w:rsid w:val="00BD3B2B"/>
    <w:rsid w:val="00BD3FB1"/>
    <w:rsid w:val="00BD5516"/>
    <w:rsid w:val="00BD5588"/>
    <w:rsid w:val="00BD56F3"/>
    <w:rsid w:val="00BD5DBA"/>
    <w:rsid w:val="00BD600D"/>
    <w:rsid w:val="00BD6B34"/>
    <w:rsid w:val="00BD6FEE"/>
    <w:rsid w:val="00BD783D"/>
    <w:rsid w:val="00BD78D0"/>
    <w:rsid w:val="00BE0240"/>
    <w:rsid w:val="00BE0A30"/>
    <w:rsid w:val="00BE169F"/>
    <w:rsid w:val="00BE1E44"/>
    <w:rsid w:val="00BE1FF1"/>
    <w:rsid w:val="00BE2915"/>
    <w:rsid w:val="00BE29FA"/>
    <w:rsid w:val="00BE32E7"/>
    <w:rsid w:val="00BE3B8C"/>
    <w:rsid w:val="00BE4755"/>
    <w:rsid w:val="00BE4D2C"/>
    <w:rsid w:val="00BE5051"/>
    <w:rsid w:val="00BE5A0C"/>
    <w:rsid w:val="00BE5A27"/>
    <w:rsid w:val="00BE5D5B"/>
    <w:rsid w:val="00BE6A28"/>
    <w:rsid w:val="00BE6C4A"/>
    <w:rsid w:val="00BE6C64"/>
    <w:rsid w:val="00BE769E"/>
    <w:rsid w:val="00BE76E7"/>
    <w:rsid w:val="00BE7751"/>
    <w:rsid w:val="00BE7982"/>
    <w:rsid w:val="00BF0234"/>
    <w:rsid w:val="00BF03CC"/>
    <w:rsid w:val="00BF0B92"/>
    <w:rsid w:val="00BF0FD7"/>
    <w:rsid w:val="00BF1330"/>
    <w:rsid w:val="00BF1962"/>
    <w:rsid w:val="00BF280F"/>
    <w:rsid w:val="00BF359F"/>
    <w:rsid w:val="00BF37F9"/>
    <w:rsid w:val="00BF3A34"/>
    <w:rsid w:val="00BF3C3A"/>
    <w:rsid w:val="00BF4D48"/>
    <w:rsid w:val="00BF59AA"/>
    <w:rsid w:val="00BF6E68"/>
    <w:rsid w:val="00BF6EF1"/>
    <w:rsid w:val="00BF70BC"/>
    <w:rsid w:val="00BF7E32"/>
    <w:rsid w:val="00C003A8"/>
    <w:rsid w:val="00C006AD"/>
    <w:rsid w:val="00C006E3"/>
    <w:rsid w:val="00C00F72"/>
    <w:rsid w:val="00C02BEF"/>
    <w:rsid w:val="00C03BC1"/>
    <w:rsid w:val="00C0463D"/>
    <w:rsid w:val="00C048A1"/>
    <w:rsid w:val="00C04923"/>
    <w:rsid w:val="00C04D30"/>
    <w:rsid w:val="00C053EF"/>
    <w:rsid w:val="00C0566A"/>
    <w:rsid w:val="00C06183"/>
    <w:rsid w:val="00C0693E"/>
    <w:rsid w:val="00C06DD5"/>
    <w:rsid w:val="00C073FF"/>
    <w:rsid w:val="00C074C7"/>
    <w:rsid w:val="00C07E53"/>
    <w:rsid w:val="00C100DC"/>
    <w:rsid w:val="00C10FB8"/>
    <w:rsid w:val="00C1175C"/>
    <w:rsid w:val="00C1177A"/>
    <w:rsid w:val="00C11787"/>
    <w:rsid w:val="00C11E4D"/>
    <w:rsid w:val="00C11E5A"/>
    <w:rsid w:val="00C11EFA"/>
    <w:rsid w:val="00C11FE1"/>
    <w:rsid w:val="00C12043"/>
    <w:rsid w:val="00C126AA"/>
    <w:rsid w:val="00C129B0"/>
    <w:rsid w:val="00C12BF8"/>
    <w:rsid w:val="00C131DB"/>
    <w:rsid w:val="00C13BD8"/>
    <w:rsid w:val="00C14136"/>
    <w:rsid w:val="00C141D4"/>
    <w:rsid w:val="00C14461"/>
    <w:rsid w:val="00C146A7"/>
    <w:rsid w:val="00C14821"/>
    <w:rsid w:val="00C14AB7"/>
    <w:rsid w:val="00C15C9A"/>
    <w:rsid w:val="00C164B6"/>
    <w:rsid w:val="00C16BC5"/>
    <w:rsid w:val="00C17B1D"/>
    <w:rsid w:val="00C20605"/>
    <w:rsid w:val="00C207F4"/>
    <w:rsid w:val="00C20877"/>
    <w:rsid w:val="00C20B3C"/>
    <w:rsid w:val="00C21524"/>
    <w:rsid w:val="00C2175E"/>
    <w:rsid w:val="00C2239A"/>
    <w:rsid w:val="00C2244A"/>
    <w:rsid w:val="00C224BE"/>
    <w:rsid w:val="00C227EF"/>
    <w:rsid w:val="00C231B5"/>
    <w:rsid w:val="00C232A6"/>
    <w:rsid w:val="00C23D63"/>
    <w:rsid w:val="00C240C1"/>
    <w:rsid w:val="00C25D56"/>
    <w:rsid w:val="00C26548"/>
    <w:rsid w:val="00C26B90"/>
    <w:rsid w:val="00C27C36"/>
    <w:rsid w:val="00C30317"/>
    <w:rsid w:val="00C30E02"/>
    <w:rsid w:val="00C31757"/>
    <w:rsid w:val="00C31964"/>
    <w:rsid w:val="00C33B0E"/>
    <w:rsid w:val="00C33FDE"/>
    <w:rsid w:val="00C3444A"/>
    <w:rsid w:val="00C34672"/>
    <w:rsid w:val="00C34929"/>
    <w:rsid w:val="00C34ADE"/>
    <w:rsid w:val="00C3500A"/>
    <w:rsid w:val="00C354F7"/>
    <w:rsid w:val="00C3597A"/>
    <w:rsid w:val="00C35A0B"/>
    <w:rsid w:val="00C36997"/>
    <w:rsid w:val="00C36CF1"/>
    <w:rsid w:val="00C36D28"/>
    <w:rsid w:val="00C37A65"/>
    <w:rsid w:val="00C37C79"/>
    <w:rsid w:val="00C40CF3"/>
    <w:rsid w:val="00C4100C"/>
    <w:rsid w:val="00C41127"/>
    <w:rsid w:val="00C41195"/>
    <w:rsid w:val="00C41407"/>
    <w:rsid w:val="00C414A9"/>
    <w:rsid w:val="00C41A28"/>
    <w:rsid w:val="00C423DB"/>
    <w:rsid w:val="00C42CE9"/>
    <w:rsid w:val="00C42F42"/>
    <w:rsid w:val="00C43499"/>
    <w:rsid w:val="00C437CC"/>
    <w:rsid w:val="00C43B49"/>
    <w:rsid w:val="00C44607"/>
    <w:rsid w:val="00C44AD3"/>
    <w:rsid w:val="00C4544B"/>
    <w:rsid w:val="00C45825"/>
    <w:rsid w:val="00C45EE8"/>
    <w:rsid w:val="00C479D2"/>
    <w:rsid w:val="00C47E2E"/>
    <w:rsid w:val="00C50CC1"/>
    <w:rsid w:val="00C51725"/>
    <w:rsid w:val="00C52A85"/>
    <w:rsid w:val="00C53BA8"/>
    <w:rsid w:val="00C53CDA"/>
    <w:rsid w:val="00C54C77"/>
    <w:rsid w:val="00C55539"/>
    <w:rsid w:val="00C55C1B"/>
    <w:rsid w:val="00C55EFA"/>
    <w:rsid w:val="00C5609C"/>
    <w:rsid w:val="00C562D3"/>
    <w:rsid w:val="00C56976"/>
    <w:rsid w:val="00C56A9C"/>
    <w:rsid w:val="00C571D1"/>
    <w:rsid w:val="00C57BFE"/>
    <w:rsid w:val="00C602D9"/>
    <w:rsid w:val="00C63606"/>
    <w:rsid w:val="00C6366F"/>
    <w:rsid w:val="00C636DA"/>
    <w:rsid w:val="00C63D67"/>
    <w:rsid w:val="00C63E19"/>
    <w:rsid w:val="00C64110"/>
    <w:rsid w:val="00C64B14"/>
    <w:rsid w:val="00C64CD1"/>
    <w:rsid w:val="00C65020"/>
    <w:rsid w:val="00C65F52"/>
    <w:rsid w:val="00C664E4"/>
    <w:rsid w:val="00C666DA"/>
    <w:rsid w:val="00C6713C"/>
    <w:rsid w:val="00C673A3"/>
    <w:rsid w:val="00C67943"/>
    <w:rsid w:val="00C67B13"/>
    <w:rsid w:val="00C70007"/>
    <w:rsid w:val="00C707C2"/>
    <w:rsid w:val="00C7087C"/>
    <w:rsid w:val="00C7091B"/>
    <w:rsid w:val="00C70E84"/>
    <w:rsid w:val="00C71A5C"/>
    <w:rsid w:val="00C71D05"/>
    <w:rsid w:val="00C7262E"/>
    <w:rsid w:val="00C72F37"/>
    <w:rsid w:val="00C73AB1"/>
    <w:rsid w:val="00C74556"/>
    <w:rsid w:val="00C749D7"/>
    <w:rsid w:val="00C74D15"/>
    <w:rsid w:val="00C74FA2"/>
    <w:rsid w:val="00C751E9"/>
    <w:rsid w:val="00C754B6"/>
    <w:rsid w:val="00C754C9"/>
    <w:rsid w:val="00C76E30"/>
    <w:rsid w:val="00C77337"/>
    <w:rsid w:val="00C7743C"/>
    <w:rsid w:val="00C80E25"/>
    <w:rsid w:val="00C8129C"/>
    <w:rsid w:val="00C8171E"/>
    <w:rsid w:val="00C817D7"/>
    <w:rsid w:val="00C81B86"/>
    <w:rsid w:val="00C82533"/>
    <w:rsid w:val="00C82E36"/>
    <w:rsid w:val="00C82FB4"/>
    <w:rsid w:val="00C83273"/>
    <w:rsid w:val="00C83B11"/>
    <w:rsid w:val="00C83BCE"/>
    <w:rsid w:val="00C84365"/>
    <w:rsid w:val="00C844F5"/>
    <w:rsid w:val="00C845A2"/>
    <w:rsid w:val="00C848F3"/>
    <w:rsid w:val="00C84A4D"/>
    <w:rsid w:val="00C84F38"/>
    <w:rsid w:val="00C85BB6"/>
    <w:rsid w:val="00C85DCE"/>
    <w:rsid w:val="00C863FF"/>
    <w:rsid w:val="00C875AC"/>
    <w:rsid w:val="00C875C1"/>
    <w:rsid w:val="00C877BF"/>
    <w:rsid w:val="00C87864"/>
    <w:rsid w:val="00C90B3F"/>
    <w:rsid w:val="00C90FF8"/>
    <w:rsid w:val="00C913E6"/>
    <w:rsid w:val="00C91D77"/>
    <w:rsid w:val="00C92441"/>
    <w:rsid w:val="00C92871"/>
    <w:rsid w:val="00C92912"/>
    <w:rsid w:val="00C92F30"/>
    <w:rsid w:val="00C93234"/>
    <w:rsid w:val="00C932A8"/>
    <w:rsid w:val="00C934B0"/>
    <w:rsid w:val="00C93B5F"/>
    <w:rsid w:val="00C93B9D"/>
    <w:rsid w:val="00C93F9F"/>
    <w:rsid w:val="00C94554"/>
    <w:rsid w:val="00C94FF0"/>
    <w:rsid w:val="00C95930"/>
    <w:rsid w:val="00C9645D"/>
    <w:rsid w:val="00C96504"/>
    <w:rsid w:val="00C97006"/>
    <w:rsid w:val="00C971A1"/>
    <w:rsid w:val="00C97826"/>
    <w:rsid w:val="00C97A15"/>
    <w:rsid w:val="00C97B7E"/>
    <w:rsid w:val="00CA06EE"/>
    <w:rsid w:val="00CA105A"/>
    <w:rsid w:val="00CA14C6"/>
    <w:rsid w:val="00CA1CA0"/>
    <w:rsid w:val="00CA1D02"/>
    <w:rsid w:val="00CA24E2"/>
    <w:rsid w:val="00CA254D"/>
    <w:rsid w:val="00CA2DFE"/>
    <w:rsid w:val="00CA3351"/>
    <w:rsid w:val="00CA39F4"/>
    <w:rsid w:val="00CA4019"/>
    <w:rsid w:val="00CA45F2"/>
    <w:rsid w:val="00CA4796"/>
    <w:rsid w:val="00CA4A21"/>
    <w:rsid w:val="00CA4BA5"/>
    <w:rsid w:val="00CA4DE5"/>
    <w:rsid w:val="00CA510B"/>
    <w:rsid w:val="00CA534F"/>
    <w:rsid w:val="00CA5885"/>
    <w:rsid w:val="00CA5DD3"/>
    <w:rsid w:val="00CA5E9E"/>
    <w:rsid w:val="00CA6542"/>
    <w:rsid w:val="00CA6C9A"/>
    <w:rsid w:val="00CA6CEC"/>
    <w:rsid w:val="00CA6F13"/>
    <w:rsid w:val="00CA74C1"/>
    <w:rsid w:val="00CB0887"/>
    <w:rsid w:val="00CB0B78"/>
    <w:rsid w:val="00CB1576"/>
    <w:rsid w:val="00CB1771"/>
    <w:rsid w:val="00CB197D"/>
    <w:rsid w:val="00CB1AE9"/>
    <w:rsid w:val="00CB2201"/>
    <w:rsid w:val="00CB266F"/>
    <w:rsid w:val="00CB2773"/>
    <w:rsid w:val="00CB2BC5"/>
    <w:rsid w:val="00CB3252"/>
    <w:rsid w:val="00CB332F"/>
    <w:rsid w:val="00CB3EFB"/>
    <w:rsid w:val="00CB3F8E"/>
    <w:rsid w:val="00CB4164"/>
    <w:rsid w:val="00CB494E"/>
    <w:rsid w:val="00CB49C6"/>
    <w:rsid w:val="00CB4BC3"/>
    <w:rsid w:val="00CB5303"/>
    <w:rsid w:val="00CB53C7"/>
    <w:rsid w:val="00CB5878"/>
    <w:rsid w:val="00CB5918"/>
    <w:rsid w:val="00CB5A52"/>
    <w:rsid w:val="00CB5B7F"/>
    <w:rsid w:val="00CB604E"/>
    <w:rsid w:val="00CB6333"/>
    <w:rsid w:val="00CB6AF8"/>
    <w:rsid w:val="00CB6BF6"/>
    <w:rsid w:val="00CB6F4A"/>
    <w:rsid w:val="00CB738D"/>
    <w:rsid w:val="00CB7AC8"/>
    <w:rsid w:val="00CB7D4C"/>
    <w:rsid w:val="00CB7FE8"/>
    <w:rsid w:val="00CC2842"/>
    <w:rsid w:val="00CC393E"/>
    <w:rsid w:val="00CC4135"/>
    <w:rsid w:val="00CC4D17"/>
    <w:rsid w:val="00CC51FC"/>
    <w:rsid w:val="00CC5D62"/>
    <w:rsid w:val="00CC5F2F"/>
    <w:rsid w:val="00CC5F6C"/>
    <w:rsid w:val="00CC6F16"/>
    <w:rsid w:val="00CC7EED"/>
    <w:rsid w:val="00CD16E1"/>
    <w:rsid w:val="00CD1704"/>
    <w:rsid w:val="00CD1CF9"/>
    <w:rsid w:val="00CD2669"/>
    <w:rsid w:val="00CD2AEB"/>
    <w:rsid w:val="00CD32B5"/>
    <w:rsid w:val="00CD34FF"/>
    <w:rsid w:val="00CD364F"/>
    <w:rsid w:val="00CD3DB0"/>
    <w:rsid w:val="00CD4A9D"/>
    <w:rsid w:val="00CD5032"/>
    <w:rsid w:val="00CD5050"/>
    <w:rsid w:val="00CD5096"/>
    <w:rsid w:val="00CD6020"/>
    <w:rsid w:val="00CD74D8"/>
    <w:rsid w:val="00CD7810"/>
    <w:rsid w:val="00CD78CD"/>
    <w:rsid w:val="00CD7A6C"/>
    <w:rsid w:val="00CE0C82"/>
    <w:rsid w:val="00CE0CF2"/>
    <w:rsid w:val="00CE0F39"/>
    <w:rsid w:val="00CE1196"/>
    <w:rsid w:val="00CE1288"/>
    <w:rsid w:val="00CE1AA4"/>
    <w:rsid w:val="00CE26B7"/>
    <w:rsid w:val="00CE3575"/>
    <w:rsid w:val="00CE3601"/>
    <w:rsid w:val="00CE36C4"/>
    <w:rsid w:val="00CE3A85"/>
    <w:rsid w:val="00CE4148"/>
    <w:rsid w:val="00CE51F8"/>
    <w:rsid w:val="00CE52CB"/>
    <w:rsid w:val="00CE5593"/>
    <w:rsid w:val="00CE576A"/>
    <w:rsid w:val="00CE58EF"/>
    <w:rsid w:val="00CE5B70"/>
    <w:rsid w:val="00CE5C5C"/>
    <w:rsid w:val="00CE5F1C"/>
    <w:rsid w:val="00CE6655"/>
    <w:rsid w:val="00CE76FD"/>
    <w:rsid w:val="00CE79C4"/>
    <w:rsid w:val="00CE7AC3"/>
    <w:rsid w:val="00CE7D68"/>
    <w:rsid w:val="00CE7FCF"/>
    <w:rsid w:val="00CF0350"/>
    <w:rsid w:val="00CF04DB"/>
    <w:rsid w:val="00CF07DD"/>
    <w:rsid w:val="00CF0A45"/>
    <w:rsid w:val="00CF100A"/>
    <w:rsid w:val="00CF1364"/>
    <w:rsid w:val="00CF1F50"/>
    <w:rsid w:val="00CF296D"/>
    <w:rsid w:val="00CF2BB1"/>
    <w:rsid w:val="00CF2BE5"/>
    <w:rsid w:val="00CF32A1"/>
    <w:rsid w:val="00CF39A4"/>
    <w:rsid w:val="00CF3B4A"/>
    <w:rsid w:val="00CF470A"/>
    <w:rsid w:val="00CF48C5"/>
    <w:rsid w:val="00CF4C29"/>
    <w:rsid w:val="00CF5365"/>
    <w:rsid w:val="00CF5D4E"/>
    <w:rsid w:val="00CF6AC6"/>
    <w:rsid w:val="00CF6D4B"/>
    <w:rsid w:val="00CF6EC7"/>
    <w:rsid w:val="00CF6EF6"/>
    <w:rsid w:val="00CF7677"/>
    <w:rsid w:val="00CF7A3E"/>
    <w:rsid w:val="00D00113"/>
    <w:rsid w:val="00D009A3"/>
    <w:rsid w:val="00D00B22"/>
    <w:rsid w:val="00D0107A"/>
    <w:rsid w:val="00D0159A"/>
    <w:rsid w:val="00D0246A"/>
    <w:rsid w:val="00D02632"/>
    <w:rsid w:val="00D02B44"/>
    <w:rsid w:val="00D02E4D"/>
    <w:rsid w:val="00D02F61"/>
    <w:rsid w:val="00D031BE"/>
    <w:rsid w:val="00D0382D"/>
    <w:rsid w:val="00D04519"/>
    <w:rsid w:val="00D045FA"/>
    <w:rsid w:val="00D051E3"/>
    <w:rsid w:val="00D0522A"/>
    <w:rsid w:val="00D054BD"/>
    <w:rsid w:val="00D05AC7"/>
    <w:rsid w:val="00D05CDE"/>
    <w:rsid w:val="00D05DC6"/>
    <w:rsid w:val="00D05ED4"/>
    <w:rsid w:val="00D06689"/>
    <w:rsid w:val="00D06D0E"/>
    <w:rsid w:val="00D072E9"/>
    <w:rsid w:val="00D07647"/>
    <w:rsid w:val="00D07B4A"/>
    <w:rsid w:val="00D10AB9"/>
    <w:rsid w:val="00D115E7"/>
    <w:rsid w:val="00D1161C"/>
    <w:rsid w:val="00D116F2"/>
    <w:rsid w:val="00D12054"/>
    <w:rsid w:val="00D120D5"/>
    <w:rsid w:val="00D12775"/>
    <w:rsid w:val="00D1290C"/>
    <w:rsid w:val="00D12994"/>
    <w:rsid w:val="00D12CCA"/>
    <w:rsid w:val="00D13327"/>
    <w:rsid w:val="00D134DC"/>
    <w:rsid w:val="00D136D0"/>
    <w:rsid w:val="00D13FFA"/>
    <w:rsid w:val="00D1437A"/>
    <w:rsid w:val="00D144EA"/>
    <w:rsid w:val="00D1484C"/>
    <w:rsid w:val="00D14B24"/>
    <w:rsid w:val="00D152D6"/>
    <w:rsid w:val="00D15910"/>
    <w:rsid w:val="00D16675"/>
    <w:rsid w:val="00D16704"/>
    <w:rsid w:val="00D16737"/>
    <w:rsid w:val="00D1681F"/>
    <w:rsid w:val="00D1690C"/>
    <w:rsid w:val="00D16BB5"/>
    <w:rsid w:val="00D16DBF"/>
    <w:rsid w:val="00D17F77"/>
    <w:rsid w:val="00D20864"/>
    <w:rsid w:val="00D209BA"/>
    <w:rsid w:val="00D20D57"/>
    <w:rsid w:val="00D2137A"/>
    <w:rsid w:val="00D2172D"/>
    <w:rsid w:val="00D2174C"/>
    <w:rsid w:val="00D21C16"/>
    <w:rsid w:val="00D22C59"/>
    <w:rsid w:val="00D2357E"/>
    <w:rsid w:val="00D23F49"/>
    <w:rsid w:val="00D2470A"/>
    <w:rsid w:val="00D24979"/>
    <w:rsid w:val="00D249DA"/>
    <w:rsid w:val="00D24EF6"/>
    <w:rsid w:val="00D24F60"/>
    <w:rsid w:val="00D2507D"/>
    <w:rsid w:val="00D252F9"/>
    <w:rsid w:val="00D25E15"/>
    <w:rsid w:val="00D25EC1"/>
    <w:rsid w:val="00D26554"/>
    <w:rsid w:val="00D26FF6"/>
    <w:rsid w:val="00D27BC8"/>
    <w:rsid w:val="00D30F25"/>
    <w:rsid w:val="00D3113A"/>
    <w:rsid w:val="00D327C2"/>
    <w:rsid w:val="00D32A52"/>
    <w:rsid w:val="00D33559"/>
    <w:rsid w:val="00D339A4"/>
    <w:rsid w:val="00D33F09"/>
    <w:rsid w:val="00D341DD"/>
    <w:rsid w:val="00D341FC"/>
    <w:rsid w:val="00D34462"/>
    <w:rsid w:val="00D34A20"/>
    <w:rsid w:val="00D34F94"/>
    <w:rsid w:val="00D35307"/>
    <w:rsid w:val="00D359BF"/>
    <w:rsid w:val="00D363E0"/>
    <w:rsid w:val="00D36746"/>
    <w:rsid w:val="00D36A3C"/>
    <w:rsid w:val="00D36B79"/>
    <w:rsid w:val="00D37DF3"/>
    <w:rsid w:val="00D403FF"/>
    <w:rsid w:val="00D404EC"/>
    <w:rsid w:val="00D405A1"/>
    <w:rsid w:val="00D405A3"/>
    <w:rsid w:val="00D40E66"/>
    <w:rsid w:val="00D41E58"/>
    <w:rsid w:val="00D42250"/>
    <w:rsid w:val="00D42305"/>
    <w:rsid w:val="00D42C73"/>
    <w:rsid w:val="00D43453"/>
    <w:rsid w:val="00D437FB"/>
    <w:rsid w:val="00D43EE7"/>
    <w:rsid w:val="00D44106"/>
    <w:rsid w:val="00D442EE"/>
    <w:rsid w:val="00D44304"/>
    <w:rsid w:val="00D44589"/>
    <w:rsid w:val="00D446F3"/>
    <w:rsid w:val="00D448CC"/>
    <w:rsid w:val="00D44B1C"/>
    <w:rsid w:val="00D44E41"/>
    <w:rsid w:val="00D45591"/>
    <w:rsid w:val="00D45807"/>
    <w:rsid w:val="00D4637A"/>
    <w:rsid w:val="00D466BF"/>
    <w:rsid w:val="00D46A35"/>
    <w:rsid w:val="00D47517"/>
    <w:rsid w:val="00D47867"/>
    <w:rsid w:val="00D5064A"/>
    <w:rsid w:val="00D5083D"/>
    <w:rsid w:val="00D50B3F"/>
    <w:rsid w:val="00D510ED"/>
    <w:rsid w:val="00D51B8E"/>
    <w:rsid w:val="00D52A00"/>
    <w:rsid w:val="00D52D0E"/>
    <w:rsid w:val="00D52DC3"/>
    <w:rsid w:val="00D53ED5"/>
    <w:rsid w:val="00D56504"/>
    <w:rsid w:val="00D565CB"/>
    <w:rsid w:val="00D5678C"/>
    <w:rsid w:val="00D569EB"/>
    <w:rsid w:val="00D57D36"/>
    <w:rsid w:val="00D61083"/>
    <w:rsid w:val="00D61A06"/>
    <w:rsid w:val="00D622D4"/>
    <w:rsid w:val="00D633F2"/>
    <w:rsid w:val="00D637EC"/>
    <w:rsid w:val="00D6384D"/>
    <w:rsid w:val="00D6463A"/>
    <w:rsid w:val="00D64910"/>
    <w:rsid w:val="00D64971"/>
    <w:rsid w:val="00D64D81"/>
    <w:rsid w:val="00D65531"/>
    <w:rsid w:val="00D6662E"/>
    <w:rsid w:val="00D66BA3"/>
    <w:rsid w:val="00D66DD4"/>
    <w:rsid w:val="00D670A2"/>
    <w:rsid w:val="00D67153"/>
    <w:rsid w:val="00D67E0E"/>
    <w:rsid w:val="00D67E31"/>
    <w:rsid w:val="00D70210"/>
    <w:rsid w:val="00D7157A"/>
    <w:rsid w:val="00D71675"/>
    <w:rsid w:val="00D7196E"/>
    <w:rsid w:val="00D71C7F"/>
    <w:rsid w:val="00D72594"/>
    <w:rsid w:val="00D73210"/>
    <w:rsid w:val="00D73D91"/>
    <w:rsid w:val="00D74437"/>
    <w:rsid w:val="00D75AF2"/>
    <w:rsid w:val="00D75CF5"/>
    <w:rsid w:val="00D77896"/>
    <w:rsid w:val="00D77DFD"/>
    <w:rsid w:val="00D77E26"/>
    <w:rsid w:val="00D806F6"/>
    <w:rsid w:val="00D80AC9"/>
    <w:rsid w:val="00D817C6"/>
    <w:rsid w:val="00D81818"/>
    <w:rsid w:val="00D823CA"/>
    <w:rsid w:val="00D826B1"/>
    <w:rsid w:val="00D82C85"/>
    <w:rsid w:val="00D83148"/>
    <w:rsid w:val="00D83BEA"/>
    <w:rsid w:val="00D83E1B"/>
    <w:rsid w:val="00D84012"/>
    <w:rsid w:val="00D8449D"/>
    <w:rsid w:val="00D84872"/>
    <w:rsid w:val="00D84A6D"/>
    <w:rsid w:val="00D85514"/>
    <w:rsid w:val="00D85750"/>
    <w:rsid w:val="00D85DF2"/>
    <w:rsid w:val="00D85E1F"/>
    <w:rsid w:val="00D86EB7"/>
    <w:rsid w:val="00D871BA"/>
    <w:rsid w:val="00D87338"/>
    <w:rsid w:val="00D87E1B"/>
    <w:rsid w:val="00D901F4"/>
    <w:rsid w:val="00D9063C"/>
    <w:rsid w:val="00D90C9A"/>
    <w:rsid w:val="00D912D6"/>
    <w:rsid w:val="00D915CF"/>
    <w:rsid w:val="00D91ACF"/>
    <w:rsid w:val="00D93148"/>
    <w:rsid w:val="00D932A7"/>
    <w:rsid w:val="00D93548"/>
    <w:rsid w:val="00D9420A"/>
    <w:rsid w:val="00D94261"/>
    <w:rsid w:val="00D947AD"/>
    <w:rsid w:val="00D94BD2"/>
    <w:rsid w:val="00D954EB"/>
    <w:rsid w:val="00D96B07"/>
    <w:rsid w:val="00D96B66"/>
    <w:rsid w:val="00D97112"/>
    <w:rsid w:val="00D9780C"/>
    <w:rsid w:val="00D97EA1"/>
    <w:rsid w:val="00DA03A6"/>
    <w:rsid w:val="00DA0BB2"/>
    <w:rsid w:val="00DA0C54"/>
    <w:rsid w:val="00DA0E55"/>
    <w:rsid w:val="00DA1039"/>
    <w:rsid w:val="00DA19B1"/>
    <w:rsid w:val="00DA1BCD"/>
    <w:rsid w:val="00DA1EB3"/>
    <w:rsid w:val="00DA1FD4"/>
    <w:rsid w:val="00DA20F6"/>
    <w:rsid w:val="00DA2428"/>
    <w:rsid w:val="00DA2786"/>
    <w:rsid w:val="00DA29A5"/>
    <w:rsid w:val="00DA2F24"/>
    <w:rsid w:val="00DA3113"/>
    <w:rsid w:val="00DA3260"/>
    <w:rsid w:val="00DA35FA"/>
    <w:rsid w:val="00DA36F8"/>
    <w:rsid w:val="00DA39BB"/>
    <w:rsid w:val="00DA3FE5"/>
    <w:rsid w:val="00DA4066"/>
    <w:rsid w:val="00DA4142"/>
    <w:rsid w:val="00DA44CF"/>
    <w:rsid w:val="00DA49A3"/>
    <w:rsid w:val="00DA4CF9"/>
    <w:rsid w:val="00DA5353"/>
    <w:rsid w:val="00DA5375"/>
    <w:rsid w:val="00DA538B"/>
    <w:rsid w:val="00DA5837"/>
    <w:rsid w:val="00DA5AEB"/>
    <w:rsid w:val="00DA5EA0"/>
    <w:rsid w:val="00DA5EE5"/>
    <w:rsid w:val="00DA610E"/>
    <w:rsid w:val="00DA617E"/>
    <w:rsid w:val="00DA63F9"/>
    <w:rsid w:val="00DA6DDF"/>
    <w:rsid w:val="00DB0ED3"/>
    <w:rsid w:val="00DB110D"/>
    <w:rsid w:val="00DB177F"/>
    <w:rsid w:val="00DB1B03"/>
    <w:rsid w:val="00DB1C5D"/>
    <w:rsid w:val="00DB1F1F"/>
    <w:rsid w:val="00DB2320"/>
    <w:rsid w:val="00DB2734"/>
    <w:rsid w:val="00DB277D"/>
    <w:rsid w:val="00DB34B7"/>
    <w:rsid w:val="00DB3575"/>
    <w:rsid w:val="00DB3BF5"/>
    <w:rsid w:val="00DB4272"/>
    <w:rsid w:val="00DB4486"/>
    <w:rsid w:val="00DB44A3"/>
    <w:rsid w:val="00DB474A"/>
    <w:rsid w:val="00DB5332"/>
    <w:rsid w:val="00DB5555"/>
    <w:rsid w:val="00DB5B1D"/>
    <w:rsid w:val="00DB5F37"/>
    <w:rsid w:val="00DB6BFF"/>
    <w:rsid w:val="00DB6C1F"/>
    <w:rsid w:val="00DB6D5D"/>
    <w:rsid w:val="00DB7A78"/>
    <w:rsid w:val="00DB7CC7"/>
    <w:rsid w:val="00DB7D89"/>
    <w:rsid w:val="00DC0174"/>
    <w:rsid w:val="00DC0BD9"/>
    <w:rsid w:val="00DC0C9F"/>
    <w:rsid w:val="00DC1306"/>
    <w:rsid w:val="00DC1662"/>
    <w:rsid w:val="00DC1AFE"/>
    <w:rsid w:val="00DC30A9"/>
    <w:rsid w:val="00DC31A9"/>
    <w:rsid w:val="00DC37E4"/>
    <w:rsid w:val="00DC3C8B"/>
    <w:rsid w:val="00DC3E49"/>
    <w:rsid w:val="00DC479D"/>
    <w:rsid w:val="00DC5B0D"/>
    <w:rsid w:val="00DC5BF2"/>
    <w:rsid w:val="00DC5EEE"/>
    <w:rsid w:val="00DC60B2"/>
    <w:rsid w:val="00DC612B"/>
    <w:rsid w:val="00DC6673"/>
    <w:rsid w:val="00DC681C"/>
    <w:rsid w:val="00DC6B51"/>
    <w:rsid w:val="00DC6D4F"/>
    <w:rsid w:val="00DC76E8"/>
    <w:rsid w:val="00DC7EF0"/>
    <w:rsid w:val="00DD03F4"/>
    <w:rsid w:val="00DD1218"/>
    <w:rsid w:val="00DD1A9E"/>
    <w:rsid w:val="00DD1B9D"/>
    <w:rsid w:val="00DD1CEC"/>
    <w:rsid w:val="00DD21C2"/>
    <w:rsid w:val="00DD2FAB"/>
    <w:rsid w:val="00DD3E17"/>
    <w:rsid w:val="00DD401C"/>
    <w:rsid w:val="00DD4CE2"/>
    <w:rsid w:val="00DD586A"/>
    <w:rsid w:val="00DD5DF2"/>
    <w:rsid w:val="00DD63DB"/>
    <w:rsid w:val="00DD6666"/>
    <w:rsid w:val="00DD6851"/>
    <w:rsid w:val="00DD6BFE"/>
    <w:rsid w:val="00DD70BC"/>
    <w:rsid w:val="00DD7279"/>
    <w:rsid w:val="00DD7485"/>
    <w:rsid w:val="00DD75E6"/>
    <w:rsid w:val="00DD775D"/>
    <w:rsid w:val="00DD7B1B"/>
    <w:rsid w:val="00DD7BF6"/>
    <w:rsid w:val="00DD7D95"/>
    <w:rsid w:val="00DE0323"/>
    <w:rsid w:val="00DE0730"/>
    <w:rsid w:val="00DE1341"/>
    <w:rsid w:val="00DE1379"/>
    <w:rsid w:val="00DE199E"/>
    <w:rsid w:val="00DE19AD"/>
    <w:rsid w:val="00DE1E79"/>
    <w:rsid w:val="00DE1ECB"/>
    <w:rsid w:val="00DE2347"/>
    <w:rsid w:val="00DE2492"/>
    <w:rsid w:val="00DE2BBD"/>
    <w:rsid w:val="00DE2C1A"/>
    <w:rsid w:val="00DE326D"/>
    <w:rsid w:val="00DE3A4C"/>
    <w:rsid w:val="00DE3F57"/>
    <w:rsid w:val="00DE4E9A"/>
    <w:rsid w:val="00DE5A09"/>
    <w:rsid w:val="00DE5F22"/>
    <w:rsid w:val="00DE63AF"/>
    <w:rsid w:val="00DE6ED0"/>
    <w:rsid w:val="00DE7073"/>
    <w:rsid w:val="00DE7472"/>
    <w:rsid w:val="00DE7CB1"/>
    <w:rsid w:val="00DF0842"/>
    <w:rsid w:val="00DF0B90"/>
    <w:rsid w:val="00DF1D8E"/>
    <w:rsid w:val="00DF23C3"/>
    <w:rsid w:val="00DF28B0"/>
    <w:rsid w:val="00DF450F"/>
    <w:rsid w:val="00DF462F"/>
    <w:rsid w:val="00DF58E8"/>
    <w:rsid w:val="00DF59D7"/>
    <w:rsid w:val="00DF5B54"/>
    <w:rsid w:val="00DF6511"/>
    <w:rsid w:val="00DF6605"/>
    <w:rsid w:val="00DF6FA0"/>
    <w:rsid w:val="00DF7640"/>
    <w:rsid w:val="00DF7F42"/>
    <w:rsid w:val="00E0067B"/>
    <w:rsid w:val="00E00796"/>
    <w:rsid w:val="00E00C16"/>
    <w:rsid w:val="00E0125A"/>
    <w:rsid w:val="00E0164A"/>
    <w:rsid w:val="00E0192A"/>
    <w:rsid w:val="00E01D6B"/>
    <w:rsid w:val="00E01E4E"/>
    <w:rsid w:val="00E020F2"/>
    <w:rsid w:val="00E02D13"/>
    <w:rsid w:val="00E03334"/>
    <w:rsid w:val="00E03A7A"/>
    <w:rsid w:val="00E03BDE"/>
    <w:rsid w:val="00E03DE4"/>
    <w:rsid w:val="00E047AB"/>
    <w:rsid w:val="00E04BA8"/>
    <w:rsid w:val="00E04EDA"/>
    <w:rsid w:val="00E05767"/>
    <w:rsid w:val="00E059F0"/>
    <w:rsid w:val="00E061E3"/>
    <w:rsid w:val="00E061ED"/>
    <w:rsid w:val="00E06839"/>
    <w:rsid w:val="00E06874"/>
    <w:rsid w:val="00E069C9"/>
    <w:rsid w:val="00E06E10"/>
    <w:rsid w:val="00E074DE"/>
    <w:rsid w:val="00E0782E"/>
    <w:rsid w:val="00E07F23"/>
    <w:rsid w:val="00E1009D"/>
    <w:rsid w:val="00E10A6C"/>
    <w:rsid w:val="00E11180"/>
    <w:rsid w:val="00E111A8"/>
    <w:rsid w:val="00E11562"/>
    <w:rsid w:val="00E1166A"/>
    <w:rsid w:val="00E11E25"/>
    <w:rsid w:val="00E1212A"/>
    <w:rsid w:val="00E12591"/>
    <w:rsid w:val="00E12A91"/>
    <w:rsid w:val="00E12B0E"/>
    <w:rsid w:val="00E146DC"/>
    <w:rsid w:val="00E14A8A"/>
    <w:rsid w:val="00E16CE1"/>
    <w:rsid w:val="00E1702E"/>
    <w:rsid w:val="00E17310"/>
    <w:rsid w:val="00E17B3F"/>
    <w:rsid w:val="00E2031D"/>
    <w:rsid w:val="00E2058E"/>
    <w:rsid w:val="00E20606"/>
    <w:rsid w:val="00E2116E"/>
    <w:rsid w:val="00E21455"/>
    <w:rsid w:val="00E21492"/>
    <w:rsid w:val="00E217AD"/>
    <w:rsid w:val="00E218A1"/>
    <w:rsid w:val="00E21B9A"/>
    <w:rsid w:val="00E221A9"/>
    <w:rsid w:val="00E238A5"/>
    <w:rsid w:val="00E23C3F"/>
    <w:rsid w:val="00E23D77"/>
    <w:rsid w:val="00E241BD"/>
    <w:rsid w:val="00E243CC"/>
    <w:rsid w:val="00E24499"/>
    <w:rsid w:val="00E246D9"/>
    <w:rsid w:val="00E25ABF"/>
    <w:rsid w:val="00E25DFD"/>
    <w:rsid w:val="00E2616F"/>
    <w:rsid w:val="00E26724"/>
    <w:rsid w:val="00E27280"/>
    <w:rsid w:val="00E30069"/>
    <w:rsid w:val="00E30142"/>
    <w:rsid w:val="00E301DC"/>
    <w:rsid w:val="00E30F5A"/>
    <w:rsid w:val="00E31545"/>
    <w:rsid w:val="00E3160A"/>
    <w:rsid w:val="00E316FE"/>
    <w:rsid w:val="00E31E08"/>
    <w:rsid w:val="00E31F09"/>
    <w:rsid w:val="00E31FE1"/>
    <w:rsid w:val="00E32C05"/>
    <w:rsid w:val="00E331AB"/>
    <w:rsid w:val="00E3461F"/>
    <w:rsid w:val="00E35025"/>
    <w:rsid w:val="00E35722"/>
    <w:rsid w:val="00E35C91"/>
    <w:rsid w:val="00E35CD2"/>
    <w:rsid w:val="00E36386"/>
    <w:rsid w:val="00E36504"/>
    <w:rsid w:val="00E368A6"/>
    <w:rsid w:val="00E36EE8"/>
    <w:rsid w:val="00E37388"/>
    <w:rsid w:val="00E377A7"/>
    <w:rsid w:val="00E37D06"/>
    <w:rsid w:val="00E40029"/>
    <w:rsid w:val="00E40098"/>
    <w:rsid w:val="00E405B3"/>
    <w:rsid w:val="00E40DC0"/>
    <w:rsid w:val="00E417EF"/>
    <w:rsid w:val="00E42290"/>
    <w:rsid w:val="00E42A12"/>
    <w:rsid w:val="00E42CCC"/>
    <w:rsid w:val="00E42DBF"/>
    <w:rsid w:val="00E4300B"/>
    <w:rsid w:val="00E43714"/>
    <w:rsid w:val="00E4488C"/>
    <w:rsid w:val="00E448E6"/>
    <w:rsid w:val="00E44939"/>
    <w:rsid w:val="00E44983"/>
    <w:rsid w:val="00E453B6"/>
    <w:rsid w:val="00E45779"/>
    <w:rsid w:val="00E459F1"/>
    <w:rsid w:val="00E46053"/>
    <w:rsid w:val="00E46525"/>
    <w:rsid w:val="00E46F21"/>
    <w:rsid w:val="00E47469"/>
    <w:rsid w:val="00E478DF"/>
    <w:rsid w:val="00E47FCC"/>
    <w:rsid w:val="00E509D9"/>
    <w:rsid w:val="00E50E80"/>
    <w:rsid w:val="00E51501"/>
    <w:rsid w:val="00E51CD4"/>
    <w:rsid w:val="00E521BE"/>
    <w:rsid w:val="00E52510"/>
    <w:rsid w:val="00E52623"/>
    <w:rsid w:val="00E5328F"/>
    <w:rsid w:val="00E535FC"/>
    <w:rsid w:val="00E53B2C"/>
    <w:rsid w:val="00E53C42"/>
    <w:rsid w:val="00E53EB9"/>
    <w:rsid w:val="00E53F45"/>
    <w:rsid w:val="00E541B4"/>
    <w:rsid w:val="00E54304"/>
    <w:rsid w:val="00E546D1"/>
    <w:rsid w:val="00E54B24"/>
    <w:rsid w:val="00E566D3"/>
    <w:rsid w:val="00E56D8C"/>
    <w:rsid w:val="00E57975"/>
    <w:rsid w:val="00E57C3D"/>
    <w:rsid w:val="00E6079F"/>
    <w:rsid w:val="00E60AF4"/>
    <w:rsid w:val="00E61129"/>
    <w:rsid w:val="00E6123C"/>
    <w:rsid w:val="00E612D5"/>
    <w:rsid w:val="00E62338"/>
    <w:rsid w:val="00E62714"/>
    <w:rsid w:val="00E62AFE"/>
    <w:rsid w:val="00E62B85"/>
    <w:rsid w:val="00E63B30"/>
    <w:rsid w:val="00E64298"/>
    <w:rsid w:val="00E648BD"/>
    <w:rsid w:val="00E64A2D"/>
    <w:rsid w:val="00E66BE8"/>
    <w:rsid w:val="00E7020F"/>
    <w:rsid w:val="00E7058F"/>
    <w:rsid w:val="00E7082B"/>
    <w:rsid w:val="00E7101E"/>
    <w:rsid w:val="00E7111B"/>
    <w:rsid w:val="00E711C7"/>
    <w:rsid w:val="00E71673"/>
    <w:rsid w:val="00E7167D"/>
    <w:rsid w:val="00E7390C"/>
    <w:rsid w:val="00E740DE"/>
    <w:rsid w:val="00E74D5D"/>
    <w:rsid w:val="00E75F8E"/>
    <w:rsid w:val="00E7669B"/>
    <w:rsid w:val="00E76AF1"/>
    <w:rsid w:val="00E76D61"/>
    <w:rsid w:val="00E7706E"/>
    <w:rsid w:val="00E77EC4"/>
    <w:rsid w:val="00E8009D"/>
    <w:rsid w:val="00E80947"/>
    <w:rsid w:val="00E82137"/>
    <w:rsid w:val="00E82620"/>
    <w:rsid w:val="00E82BE5"/>
    <w:rsid w:val="00E836DA"/>
    <w:rsid w:val="00E84F8B"/>
    <w:rsid w:val="00E8517D"/>
    <w:rsid w:val="00E85668"/>
    <w:rsid w:val="00E85DE8"/>
    <w:rsid w:val="00E8652A"/>
    <w:rsid w:val="00E86972"/>
    <w:rsid w:val="00E87383"/>
    <w:rsid w:val="00E873CF"/>
    <w:rsid w:val="00E875EF"/>
    <w:rsid w:val="00E87DAB"/>
    <w:rsid w:val="00E87DD3"/>
    <w:rsid w:val="00E9017B"/>
    <w:rsid w:val="00E901FA"/>
    <w:rsid w:val="00E907B3"/>
    <w:rsid w:val="00E91239"/>
    <w:rsid w:val="00E91B6D"/>
    <w:rsid w:val="00E91EE1"/>
    <w:rsid w:val="00E9221C"/>
    <w:rsid w:val="00E929EB"/>
    <w:rsid w:val="00E92BA1"/>
    <w:rsid w:val="00E93211"/>
    <w:rsid w:val="00E93A21"/>
    <w:rsid w:val="00E94853"/>
    <w:rsid w:val="00E953ED"/>
    <w:rsid w:val="00E95DBD"/>
    <w:rsid w:val="00E95F83"/>
    <w:rsid w:val="00E963E4"/>
    <w:rsid w:val="00E96691"/>
    <w:rsid w:val="00E966A9"/>
    <w:rsid w:val="00E96A72"/>
    <w:rsid w:val="00E96B36"/>
    <w:rsid w:val="00E971F3"/>
    <w:rsid w:val="00E97933"/>
    <w:rsid w:val="00EA022B"/>
    <w:rsid w:val="00EA048C"/>
    <w:rsid w:val="00EA098D"/>
    <w:rsid w:val="00EA0AA2"/>
    <w:rsid w:val="00EA0CA0"/>
    <w:rsid w:val="00EA0E7E"/>
    <w:rsid w:val="00EA115F"/>
    <w:rsid w:val="00EA13F7"/>
    <w:rsid w:val="00EA1501"/>
    <w:rsid w:val="00EA19AF"/>
    <w:rsid w:val="00EA2704"/>
    <w:rsid w:val="00EA3902"/>
    <w:rsid w:val="00EA39DC"/>
    <w:rsid w:val="00EA4322"/>
    <w:rsid w:val="00EA48AC"/>
    <w:rsid w:val="00EA4AE6"/>
    <w:rsid w:val="00EA4CD7"/>
    <w:rsid w:val="00EA4E85"/>
    <w:rsid w:val="00EA5007"/>
    <w:rsid w:val="00EA66D0"/>
    <w:rsid w:val="00EA68D3"/>
    <w:rsid w:val="00EA6A3A"/>
    <w:rsid w:val="00EA6B9F"/>
    <w:rsid w:val="00EA6E4A"/>
    <w:rsid w:val="00EA754B"/>
    <w:rsid w:val="00EA758A"/>
    <w:rsid w:val="00EB0C07"/>
    <w:rsid w:val="00EB0D3D"/>
    <w:rsid w:val="00EB179B"/>
    <w:rsid w:val="00EB1FD0"/>
    <w:rsid w:val="00EB23D7"/>
    <w:rsid w:val="00EB29A9"/>
    <w:rsid w:val="00EB2DC5"/>
    <w:rsid w:val="00EB3137"/>
    <w:rsid w:val="00EB3B98"/>
    <w:rsid w:val="00EB4041"/>
    <w:rsid w:val="00EB4B32"/>
    <w:rsid w:val="00EB4D9A"/>
    <w:rsid w:val="00EB4DA2"/>
    <w:rsid w:val="00EB4E0C"/>
    <w:rsid w:val="00EB559B"/>
    <w:rsid w:val="00EB578A"/>
    <w:rsid w:val="00EB5C40"/>
    <w:rsid w:val="00EB6EC7"/>
    <w:rsid w:val="00EB6FAF"/>
    <w:rsid w:val="00EB71E4"/>
    <w:rsid w:val="00EC0BFE"/>
    <w:rsid w:val="00EC19CE"/>
    <w:rsid w:val="00EC1E64"/>
    <w:rsid w:val="00EC1FE6"/>
    <w:rsid w:val="00EC2351"/>
    <w:rsid w:val="00EC2648"/>
    <w:rsid w:val="00EC272F"/>
    <w:rsid w:val="00EC287C"/>
    <w:rsid w:val="00EC35D6"/>
    <w:rsid w:val="00EC3E14"/>
    <w:rsid w:val="00EC3EC0"/>
    <w:rsid w:val="00EC4AFB"/>
    <w:rsid w:val="00EC50EA"/>
    <w:rsid w:val="00EC5745"/>
    <w:rsid w:val="00EC60B2"/>
    <w:rsid w:val="00EC6177"/>
    <w:rsid w:val="00EC6F1A"/>
    <w:rsid w:val="00EC7103"/>
    <w:rsid w:val="00EC7516"/>
    <w:rsid w:val="00ED1147"/>
    <w:rsid w:val="00ED1970"/>
    <w:rsid w:val="00ED19DF"/>
    <w:rsid w:val="00ED21FD"/>
    <w:rsid w:val="00ED2660"/>
    <w:rsid w:val="00ED27B1"/>
    <w:rsid w:val="00ED3387"/>
    <w:rsid w:val="00ED33E8"/>
    <w:rsid w:val="00ED3CCA"/>
    <w:rsid w:val="00ED458D"/>
    <w:rsid w:val="00ED4593"/>
    <w:rsid w:val="00ED4775"/>
    <w:rsid w:val="00ED4958"/>
    <w:rsid w:val="00ED4CEE"/>
    <w:rsid w:val="00ED5426"/>
    <w:rsid w:val="00ED5797"/>
    <w:rsid w:val="00ED5BC7"/>
    <w:rsid w:val="00ED5D07"/>
    <w:rsid w:val="00ED611E"/>
    <w:rsid w:val="00ED6BA4"/>
    <w:rsid w:val="00ED6EFE"/>
    <w:rsid w:val="00ED707D"/>
    <w:rsid w:val="00EE02AE"/>
    <w:rsid w:val="00EE031B"/>
    <w:rsid w:val="00EE0343"/>
    <w:rsid w:val="00EE13A1"/>
    <w:rsid w:val="00EE17E4"/>
    <w:rsid w:val="00EE198D"/>
    <w:rsid w:val="00EE1C90"/>
    <w:rsid w:val="00EE211C"/>
    <w:rsid w:val="00EE2900"/>
    <w:rsid w:val="00EE2FB3"/>
    <w:rsid w:val="00EE48B9"/>
    <w:rsid w:val="00EE4950"/>
    <w:rsid w:val="00EE4E87"/>
    <w:rsid w:val="00EE528D"/>
    <w:rsid w:val="00EE71F4"/>
    <w:rsid w:val="00EE766B"/>
    <w:rsid w:val="00EE772D"/>
    <w:rsid w:val="00EE7B8A"/>
    <w:rsid w:val="00EE7BC2"/>
    <w:rsid w:val="00EE7D47"/>
    <w:rsid w:val="00EF052A"/>
    <w:rsid w:val="00EF0FD8"/>
    <w:rsid w:val="00EF199B"/>
    <w:rsid w:val="00EF2285"/>
    <w:rsid w:val="00EF2629"/>
    <w:rsid w:val="00EF2732"/>
    <w:rsid w:val="00EF279C"/>
    <w:rsid w:val="00EF2E31"/>
    <w:rsid w:val="00EF2F1D"/>
    <w:rsid w:val="00EF2FBC"/>
    <w:rsid w:val="00EF3113"/>
    <w:rsid w:val="00EF3684"/>
    <w:rsid w:val="00EF3A86"/>
    <w:rsid w:val="00EF3C32"/>
    <w:rsid w:val="00EF3E58"/>
    <w:rsid w:val="00EF3F85"/>
    <w:rsid w:val="00EF3FA4"/>
    <w:rsid w:val="00EF4995"/>
    <w:rsid w:val="00EF4A7D"/>
    <w:rsid w:val="00EF51B0"/>
    <w:rsid w:val="00EF5A0F"/>
    <w:rsid w:val="00EF5CE2"/>
    <w:rsid w:val="00EF629F"/>
    <w:rsid w:val="00EF6A7C"/>
    <w:rsid w:val="00EF77A4"/>
    <w:rsid w:val="00EF7BE0"/>
    <w:rsid w:val="00F0055E"/>
    <w:rsid w:val="00F0093C"/>
    <w:rsid w:val="00F0102F"/>
    <w:rsid w:val="00F010CD"/>
    <w:rsid w:val="00F02996"/>
    <w:rsid w:val="00F02DFF"/>
    <w:rsid w:val="00F0322D"/>
    <w:rsid w:val="00F03712"/>
    <w:rsid w:val="00F0417B"/>
    <w:rsid w:val="00F042D8"/>
    <w:rsid w:val="00F045EF"/>
    <w:rsid w:val="00F04678"/>
    <w:rsid w:val="00F04C76"/>
    <w:rsid w:val="00F04C95"/>
    <w:rsid w:val="00F055CC"/>
    <w:rsid w:val="00F05A11"/>
    <w:rsid w:val="00F0635C"/>
    <w:rsid w:val="00F06FE2"/>
    <w:rsid w:val="00F1068C"/>
    <w:rsid w:val="00F11FD6"/>
    <w:rsid w:val="00F1237B"/>
    <w:rsid w:val="00F123FD"/>
    <w:rsid w:val="00F1252C"/>
    <w:rsid w:val="00F126AC"/>
    <w:rsid w:val="00F13154"/>
    <w:rsid w:val="00F14D27"/>
    <w:rsid w:val="00F14E5B"/>
    <w:rsid w:val="00F15138"/>
    <w:rsid w:val="00F1596B"/>
    <w:rsid w:val="00F166DD"/>
    <w:rsid w:val="00F16E46"/>
    <w:rsid w:val="00F179AC"/>
    <w:rsid w:val="00F17B16"/>
    <w:rsid w:val="00F204E1"/>
    <w:rsid w:val="00F207B9"/>
    <w:rsid w:val="00F20C18"/>
    <w:rsid w:val="00F21431"/>
    <w:rsid w:val="00F217E2"/>
    <w:rsid w:val="00F2188A"/>
    <w:rsid w:val="00F21921"/>
    <w:rsid w:val="00F21ADA"/>
    <w:rsid w:val="00F21CBE"/>
    <w:rsid w:val="00F21CEE"/>
    <w:rsid w:val="00F21D55"/>
    <w:rsid w:val="00F22129"/>
    <w:rsid w:val="00F221A0"/>
    <w:rsid w:val="00F2317B"/>
    <w:rsid w:val="00F2378E"/>
    <w:rsid w:val="00F238ED"/>
    <w:rsid w:val="00F2394C"/>
    <w:rsid w:val="00F24100"/>
    <w:rsid w:val="00F24A0C"/>
    <w:rsid w:val="00F24A70"/>
    <w:rsid w:val="00F25239"/>
    <w:rsid w:val="00F2573A"/>
    <w:rsid w:val="00F25EEE"/>
    <w:rsid w:val="00F26B69"/>
    <w:rsid w:val="00F27429"/>
    <w:rsid w:val="00F277C4"/>
    <w:rsid w:val="00F27826"/>
    <w:rsid w:val="00F27B90"/>
    <w:rsid w:val="00F27F81"/>
    <w:rsid w:val="00F3080E"/>
    <w:rsid w:val="00F31826"/>
    <w:rsid w:val="00F31A40"/>
    <w:rsid w:val="00F31D7A"/>
    <w:rsid w:val="00F31D92"/>
    <w:rsid w:val="00F322C4"/>
    <w:rsid w:val="00F322FF"/>
    <w:rsid w:val="00F3250E"/>
    <w:rsid w:val="00F32541"/>
    <w:rsid w:val="00F32E06"/>
    <w:rsid w:val="00F349E8"/>
    <w:rsid w:val="00F34EF1"/>
    <w:rsid w:val="00F3506E"/>
    <w:rsid w:val="00F3532F"/>
    <w:rsid w:val="00F355DC"/>
    <w:rsid w:val="00F35A2B"/>
    <w:rsid w:val="00F35C34"/>
    <w:rsid w:val="00F35DAD"/>
    <w:rsid w:val="00F35E73"/>
    <w:rsid w:val="00F3627B"/>
    <w:rsid w:val="00F362FD"/>
    <w:rsid w:val="00F379C5"/>
    <w:rsid w:val="00F37B31"/>
    <w:rsid w:val="00F37C33"/>
    <w:rsid w:val="00F408CE"/>
    <w:rsid w:val="00F4135C"/>
    <w:rsid w:val="00F419EF"/>
    <w:rsid w:val="00F41E44"/>
    <w:rsid w:val="00F42658"/>
    <w:rsid w:val="00F426F0"/>
    <w:rsid w:val="00F42ADA"/>
    <w:rsid w:val="00F42C42"/>
    <w:rsid w:val="00F42F85"/>
    <w:rsid w:val="00F435B5"/>
    <w:rsid w:val="00F443F1"/>
    <w:rsid w:val="00F445C3"/>
    <w:rsid w:val="00F448C8"/>
    <w:rsid w:val="00F44EAC"/>
    <w:rsid w:val="00F4528F"/>
    <w:rsid w:val="00F45F89"/>
    <w:rsid w:val="00F4616B"/>
    <w:rsid w:val="00F4697B"/>
    <w:rsid w:val="00F46C10"/>
    <w:rsid w:val="00F476C0"/>
    <w:rsid w:val="00F5113C"/>
    <w:rsid w:val="00F514F7"/>
    <w:rsid w:val="00F519B7"/>
    <w:rsid w:val="00F51B9E"/>
    <w:rsid w:val="00F5242C"/>
    <w:rsid w:val="00F5254B"/>
    <w:rsid w:val="00F527A1"/>
    <w:rsid w:val="00F527B7"/>
    <w:rsid w:val="00F53055"/>
    <w:rsid w:val="00F5426B"/>
    <w:rsid w:val="00F54607"/>
    <w:rsid w:val="00F54AAA"/>
    <w:rsid w:val="00F54AF2"/>
    <w:rsid w:val="00F54B00"/>
    <w:rsid w:val="00F5513C"/>
    <w:rsid w:val="00F5613D"/>
    <w:rsid w:val="00F56367"/>
    <w:rsid w:val="00F5692E"/>
    <w:rsid w:val="00F5695E"/>
    <w:rsid w:val="00F571E9"/>
    <w:rsid w:val="00F579D7"/>
    <w:rsid w:val="00F57BF1"/>
    <w:rsid w:val="00F60135"/>
    <w:rsid w:val="00F61A44"/>
    <w:rsid w:val="00F61FFD"/>
    <w:rsid w:val="00F62DE4"/>
    <w:rsid w:val="00F62E19"/>
    <w:rsid w:val="00F63684"/>
    <w:rsid w:val="00F63F11"/>
    <w:rsid w:val="00F65120"/>
    <w:rsid w:val="00F65A14"/>
    <w:rsid w:val="00F65D99"/>
    <w:rsid w:val="00F6628D"/>
    <w:rsid w:val="00F67372"/>
    <w:rsid w:val="00F67C47"/>
    <w:rsid w:val="00F67EE4"/>
    <w:rsid w:val="00F67F96"/>
    <w:rsid w:val="00F7008F"/>
    <w:rsid w:val="00F704CE"/>
    <w:rsid w:val="00F706FE"/>
    <w:rsid w:val="00F70DDD"/>
    <w:rsid w:val="00F7143A"/>
    <w:rsid w:val="00F71C7E"/>
    <w:rsid w:val="00F71DA3"/>
    <w:rsid w:val="00F71E82"/>
    <w:rsid w:val="00F720DB"/>
    <w:rsid w:val="00F721D7"/>
    <w:rsid w:val="00F724D5"/>
    <w:rsid w:val="00F7282B"/>
    <w:rsid w:val="00F72D8D"/>
    <w:rsid w:val="00F72EE9"/>
    <w:rsid w:val="00F7324B"/>
    <w:rsid w:val="00F74470"/>
    <w:rsid w:val="00F74950"/>
    <w:rsid w:val="00F74D2C"/>
    <w:rsid w:val="00F74F41"/>
    <w:rsid w:val="00F75675"/>
    <w:rsid w:val="00F758A5"/>
    <w:rsid w:val="00F75E0A"/>
    <w:rsid w:val="00F76134"/>
    <w:rsid w:val="00F76F7C"/>
    <w:rsid w:val="00F776E3"/>
    <w:rsid w:val="00F77A1B"/>
    <w:rsid w:val="00F77F28"/>
    <w:rsid w:val="00F800EC"/>
    <w:rsid w:val="00F805A5"/>
    <w:rsid w:val="00F80B74"/>
    <w:rsid w:val="00F815C1"/>
    <w:rsid w:val="00F81DA4"/>
    <w:rsid w:val="00F81EB8"/>
    <w:rsid w:val="00F823EB"/>
    <w:rsid w:val="00F8258A"/>
    <w:rsid w:val="00F8275E"/>
    <w:rsid w:val="00F82B2F"/>
    <w:rsid w:val="00F83CA2"/>
    <w:rsid w:val="00F83DF8"/>
    <w:rsid w:val="00F84076"/>
    <w:rsid w:val="00F84785"/>
    <w:rsid w:val="00F8544A"/>
    <w:rsid w:val="00F858EA"/>
    <w:rsid w:val="00F85E59"/>
    <w:rsid w:val="00F8657F"/>
    <w:rsid w:val="00F879AC"/>
    <w:rsid w:val="00F87B1E"/>
    <w:rsid w:val="00F87D0A"/>
    <w:rsid w:val="00F903D4"/>
    <w:rsid w:val="00F90B80"/>
    <w:rsid w:val="00F90FA9"/>
    <w:rsid w:val="00F915B5"/>
    <w:rsid w:val="00F915F4"/>
    <w:rsid w:val="00F91C16"/>
    <w:rsid w:val="00F939E0"/>
    <w:rsid w:val="00F93D64"/>
    <w:rsid w:val="00F93D97"/>
    <w:rsid w:val="00F943FC"/>
    <w:rsid w:val="00F949C9"/>
    <w:rsid w:val="00F94C3D"/>
    <w:rsid w:val="00F94C7F"/>
    <w:rsid w:val="00F9500B"/>
    <w:rsid w:val="00F95585"/>
    <w:rsid w:val="00F962B6"/>
    <w:rsid w:val="00F9630C"/>
    <w:rsid w:val="00F9645C"/>
    <w:rsid w:val="00F9705A"/>
    <w:rsid w:val="00F973E3"/>
    <w:rsid w:val="00F97B5E"/>
    <w:rsid w:val="00FA0035"/>
    <w:rsid w:val="00FA0860"/>
    <w:rsid w:val="00FA0A7C"/>
    <w:rsid w:val="00FA0A95"/>
    <w:rsid w:val="00FA0AAF"/>
    <w:rsid w:val="00FA0BE9"/>
    <w:rsid w:val="00FA0F98"/>
    <w:rsid w:val="00FA16AE"/>
    <w:rsid w:val="00FA1AD4"/>
    <w:rsid w:val="00FA1B63"/>
    <w:rsid w:val="00FA1F56"/>
    <w:rsid w:val="00FA22E2"/>
    <w:rsid w:val="00FA242C"/>
    <w:rsid w:val="00FA256C"/>
    <w:rsid w:val="00FA2D50"/>
    <w:rsid w:val="00FA356B"/>
    <w:rsid w:val="00FA3AE2"/>
    <w:rsid w:val="00FA51F5"/>
    <w:rsid w:val="00FA5E0D"/>
    <w:rsid w:val="00FA63BA"/>
    <w:rsid w:val="00FA6620"/>
    <w:rsid w:val="00FA6D19"/>
    <w:rsid w:val="00FA6DA5"/>
    <w:rsid w:val="00FA7045"/>
    <w:rsid w:val="00FA75AF"/>
    <w:rsid w:val="00FA7B5E"/>
    <w:rsid w:val="00FA7E1E"/>
    <w:rsid w:val="00FB016B"/>
    <w:rsid w:val="00FB01DD"/>
    <w:rsid w:val="00FB045A"/>
    <w:rsid w:val="00FB0CFA"/>
    <w:rsid w:val="00FB0E85"/>
    <w:rsid w:val="00FB1704"/>
    <w:rsid w:val="00FB176F"/>
    <w:rsid w:val="00FB1AA7"/>
    <w:rsid w:val="00FB1C16"/>
    <w:rsid w:val="00FB1F69"/>
    <w:rsid w:val="00FB2486"/>
    <w:rsid w:val="00FB253C"/>
    <w:rsid w:val="00FB2552"/>
    <w:rsid w:val="00FB2FED"/>
    <w:rsid w:val="00FB33A3"/>
    <w:rsid w:val="00FB34F6"/>
    <w:rsid w:val="00FB3552"/>
    <w:rsid w:val="00FB40E0"/>
    <w:rsid w:val="00FB605F"/>
    <w:rsid w:val="00FB63B6"/>
    <w:rsid w:val="00FB64E9"/>
    <w:rsid w:val="00FB6864"/>
    <w:rsid w:val="00FB74E5"/>
    <w:rsid w:val="00FB7512"/>
    <w:rsid w:val="00FC0525"/>
    <w:rsid w:val="00FC0CFD"/>
    <w:rsid w:val="00FC0DDF"/>
    <w:rsid w:val="00FC0E8D"/>
    <w:rsid w:val="00FC2049"/>
    <w:rsid w:val="00FC240F"/>
    <w:rsid w:val="00FC39D9"/>
    <w:rsid w:val="00FC3D37"/>
    <w:rsid w:val="00FC406A"/>
    <w:rsid w:val="00FC4296"/>
    <w:rsid w:val="00FC46B4"/>
    <w:rsid w:val="00FC4AF1"/>
    <w:rsid w:val="00FC5D69"/>
    <w:rsid w:val="00FC6152"/>
    <w:rsid w:val="00FC6321"/>
    <w:rsid w:val="00FC63A0"/>
    <w:rsid w:val="00FC6507"/>
    <w:rsid w:val="00FC65C8"/>
    <w:rsid w:val="00FC6CC0"/>
    <w:rsid w:val="00FC74D8"/>
    <w:rsid w:val="00FC7562"/>
    <w:rsid w:val="00FC7720"/>
    <w:rsid w:val="00FD066E"/>
    <w:rsid w:val="00FD0694"/>
    <w:rsid w:val="00FD0794"/>
    <w:rsid w:val="00FD12B6"/>
    <w:rsid w:val="00FD1572"/>
    <w:rsid w:val="00FD1879"/>
    <w:rsid w:val="00FD1A9D"/>
    <w:rsid w:val="00FD1CA0"/>
    <w:rsid w:val="00FD22E4"/>
    <w:rsid w:val="00FD2598"/>
    <w:rsid w:val="00FD2CB9"/>
    <w:rsid w:val="00FD35A4"/>
    <w:rsid w:val="00FD3779"/>
    <w:rsid w:val="00FD3B79"/>
    <w:rsid w:val="00FD3B86"/>
    <w:rsid w:val="00FD7070"/>
    <w:rsid w:val="00FD737D"/>
    <w:rsid w:val="00FD7ABA"/>
    <w:rsid w:val="00FE005A"/>
    <w:rsid w:val="00FE0295"/>
    <w:rsid w:val="00FE06EE"/>
    <w:rsid w:val="00FE10EF"/>
    <w:rsid w:val="00FE1321"/>
    <w:rsid w:val="00FE1374"/>
    <w:rsid w:val="00FE14BD"/>
    <w:rsid w:val="00FE1C39"/>
    <w:rsid w:val="00FE1E8C"/>
    <w:rsid w:val="00FE1EB5"/>
    <w:rsid w:val="00FE211D"/>
    <w:rsid w:val="00FE28BB"/>
    <w:rsid w:val="00FE33F2"/>
    <w:rsid w:val="00FE346B"/>
    <w:rsid w:val="00FE4097"/>
    <w:rsid w:val="00FE4AD9"/>
    <w:rsid w:val="00FE55A1"/>
    <w:rsid w:val="00FE566C"/>
    <w:rsid w:val="00FE62C4"/>
    <w:rsid w:val="00FE681C"/>
    <w:rsid w:val="00FE6C5F"/>
    <w:rsid w:val="00FE6FB0"/>
    <w:rsid w:val="00FE713B"/>
    <w:rsid w:val="00FE7D90"/>
    <w:rsid w:val="00FF0049"/>
    <w:rsid w:val="00FF044A"/>
    <w:rsid w:val="00FF080B"/>
    <w:rsid w:val="00FF094E"/>
    <w:rsid w:val="00FF1BD2"/>
    <w:rsid w:val="00FF2294"/>
    <w:rsid w:val="00FF2788"/>
    <w:rsid w:val="00FF2B76"/>
    <w:rsid w:val="00FF38BB"/>
    <w:rsid w:val="00FF38FA"/>
    <w:rsid w:val="00FF3AC7"/>
    <w:rsid w:val="00FF3D05"/>
    <w:rsid w:val="00FF3D55"/>
    <w:rsid w:val="00FF4C4C"/>
    <w:rsid w:val="00FF4F5A"/>
    <w:rsid w:val="00FF5632"/>
    <w:rsid w:val="00FF5862"/>
    <w:rsid w:val="00FF670E"/>
    <w:rsid w:val="00FF7A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22881" fillcolor="white" stroke="f">
      <v:fill color="white"/>
      <v:stroke weight=".55pt" on="f"/>
    </o:shapedefaults>
    <o:shapelayout v:ext="edit">
      <o:idmap v:ext="edit" data="1"/>
    </o:shapelayout>
  </w:shapeDefaults>
  <w:decimalSymbol w:val=","/>
  <w:listSeparator w:val=";"/>
  <w14:docId w14:val="065DD433"/>
  <w15:chartTrackingRefBased/>
  <w15:docId w15:val="{AEC1AA71-1AC1-402F-B45A-BE1CEC5B4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E5C5C"/>
    <w:rPr>
      <w:sz w:val="24"/>
      <w:szCs w:val="24"/>
    </w:rPr>
  </w:style>
  <w:style w:type="paragraph" w:styleId="Nadpis10">
    <w:name w:val="heading 1"/>
    <w:basedOn w:val="Normln"/>
    <w:next w:val="Normln"/>
    <w:link w:val="Nadpis1Char"/>
    <w:qFormat/>
    <w:rsid w:val="004359C1"/>
    <w:pPr>
      <w:keepNext/>
      <w:pageBreakBefore/>
      <w:numPr>
        <w:numId w:val="42"/>
      </w:numPr>
      <w:spacing w:after="100" w:afterAutospacing="1"/>
      <w:jc w:val="both"/>
      <w:outlineLvl w:val="0"/>
    </w:pPr>
    <w:rPr>
      <w:b/>
      <w:bCs/>
      <w:smallCaps/>
      <w:sz w:val="32"/>
    </w:rPr>
  </w:style>
  <w:style w:type="paragraph" w:styleId="Nadpis2">
    <w:name w:val="heading 2"/>
    <w:basedOn w:val="Normln"/>
    <w:next w:val="Normln"/>
    <w:link w:val="Nadpis2Char"/>
    <w:qFormat/>
    <w:rsid w:val="00BB64C4"/>
    <w:pPr>
      <w:keepNext/>
      <w:numPr>
        <w:ilvl w:val="1"/>
        <w:numId w:val="11"/>
      </w:numPr>
      <w:tabs>
        <w:tab w:val="clear" w:pos="2310"/>
      </w:tabs>
      <w:spacing w:before="120" w:after="160"/>
      <w:ind w:left="567" w:hanging="567"/>
      <w:jc w:val="both"/>
      <w:outlineLvl w:val="1"/>
    </w:pPr>
    <w:rPr>
      <w:b/>
      <w:sz w:val="26"/>
    </w:rPr>
  </w:style>
  <w:style w:type="paragraph" w:styleId="Nadpis3">
    <w:name w:val="heading 3"/>
    <w:basedOn w:val="Normln"/>
    <w:next w:val="Normln"/>
    <w:link w:val="Nadpis3Char"/>
    <w:qFormat/>
    <w:rsid w:val="00C0463D"/>
    <w:pPr>
      <w:keepNext/>
      <w:numPr>
        <w:ilvl w:val="2"/>
        <w:numId w:val="43"/>
      </w:numPr>
      <w:overflowPunct w:val="0"/>
      <w:autoSpaceDE w:val="0"/>
      <w:autoSpaceDN w:val="0"/>
      <w:adjustRightInd w:val="0"/>
      <w:spacing w:before="240" w:after="120"/>
      <w:jc w:val="both"/>
      <w:textAlignment w:val="baseline"/>
      <w:outlineLvl w:val="2"/>
    </w:pPr>
    <w:rPr>
      <w:b/>
      <w:szCs w:val="20"/>
    </w:rPr>
  </w:style>
  <w:style w:type="paragraph" w:styleId="Nadpis4">
    <w:name w:val="heading 4"/>
    <w:basedOn w:val="Normln"/>
    <w:next w:val="Normln"/>
    <w:link w:val="Nadpis4Char"/>
    <w:qFormat/>
    <w:rsid w:val="00185BC4"/>
    <w:pPr>
      <w:keepNext/>
      <w:overflowPunct w:val="0"/>
      <w:autoSpaceDE w:val="0"/>
      <w:autoSpaceDN w:val="0"/>
      <w:adjustRightInd w:val="0"/>
      <w:jc w:val="right"/>
      <w:textAlignment w:val="baseline"/>
      <w:outlineLvl w:val="3"/>
    </w:pPr>
    <w:rPr>
      <w:szCs w:val="20"/>
    </w:rPr>
  </w:style>
  <w:style w:type="paragraph" w:styleId="Nadpis5">
    <w:name w:val="heading 5"/>
    <w:basedOn w:val="Normln"/>
    <w:next w:val="Normln"/>
    <w:link w:val="Nadpis5Char"/>
    <w:qFormat/>
    <w:rsid w:val="00185BC4"/>
    <w:pPr>
      <w:keepNext/>
      <w:overflowPunct w:val="0"/>
      <w:autoSpaceDE w:val="0"/>
      <w:autoSpaceDN w:val="0"/>
      <w:adjustRightInd w:val="0"/>
      <w:textAlignment w:val="baseline"/>
      <w:outlineLvl w:val="4"/>
    </w:pPr>
    <w:rPr>
      <w:bCs/>
      <w:szCs w:val="20"/>
    </w:rPr>
  </w:style>
  <w:style w:type="paragraph" w:styleId="Nadpis6">
    <w:name w:val="heading 6"/>
    <w:basedOn w:val="Normln"/>
    <w:next w:val="Normln"/>
    <w:link w:val="Nadpis6Char"/>
    <w:qFormat/>
    <w:rsid w:val="002E27A1"/>
    <w:pPr>
      <w:keepNext/>
      <w:spacing w:before="200" w:after="120"/>
      <w:jc w:val="both"/>
      <w:outlineLvl w:val="5"/>
    </w:pPr>
    <w:rPr>
      <w:b/>
      <w:bCs/>
      <w:u w:val="single"/>
    </w:rPr>
  </w:style>
  <w:style w:type="paragraph" w:styleId="Nadpis7">
    <w:name w:val="heading 7"/>
    <w:basedOn w:val="Normln"/>
    <w:next w:val="Normln"/>
    <w:link w:val="Nadpis7Char"/>
    <w:qFormat/>
    <w:rsid w:val="00121BA0"/>
    <w:pPr>
      <w:keepNext/>
      <w:numPr>
        <w:numId w:val="23"/>
      </w:numPr>
      <w:spacing w:before="120" w:after="120"/>
      <w:ind w:left="641" w:hanging="357"/>
      <w:jc w:val="both"/>
      <w:outlineLvl w:val="6"/>
    </w:pPr>
    <w:rPr>
      <w:u w:val="single"/>
    </w:rPr>
  </w:style>
  <w:style w:type="paragraph" w:styleId="Nadpis8">
    <w:name w:val="heading 8"/>
    <w:basedOn w:val="Normln"/>
    <w:next w:val="Normln"/>
    <w:link w:val="Nadpis8Char"/>
    <w:qFormat/>
    <w:rsid w:val="00185BC4"/>
    <w:pPr>
      <w:keepNext/>
      <w:autoSpaceDE w:val="0"/>
      <w:autoSpaceDN w:val="0"/>
      <w:adjustRightInd w:val="0"/>
      <w:outlineLvl w:val="7"/>
    </w:pPr>
    <w:rPr>
      <w:sz w:val="28"/>
      <w:szCs w:val="28"/>
      <w:u w:val="single"/>
    </w:rPr>
  </w:style>
  <w:style w:type="paragraph" w:styleId="Nadpis9">
    <w:name w:val="heading 9"/>
    <w:basedOn w:val="KOModrky"/>
    <w:next w:val="Normln"/>
    <w:link w:val="Nadpis9Char"/>
    <w:qFormat/>
    <w:rsid w:val="004359C1"/>
    <w:pPr>
      <w:keepNext/>
      <w:spacing w:before="160" w:after="160"/>
      <w:jc w:val="center"/>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nadpis1">
    <w:name w:val="ZÚnadpis1"/>
    <w:basedOn w:val="Nadpis10"/>
    <w:link w:val="Znadpis1Char"/>
    <w:rsid w:val="00185BC4"/>
    <w:rPr>
      <w:smallCaps w:val="0"/>
    </w:rPr>
  </w:style>
  <w:style w:type="character" w:customStyle="1" w:styleId="Nadpis2Char">
    <w:name w:val="Nadpis 2 Char"/>
    <w:link w:val="Nadpis2"/>
    <w:rsid w:val="00BB64C4"/>
    <w:rPr>
      <w:b/>
      <w:sz w:val="26"/>
      <w:szCs w:val="24"/>
    </w:rPr>
  </w:style>
  <w:style w:type="paragraph" w:customStyle="1" w:styleId="MDSR">
    <w:name w:val="MDS ČR"/>
    <w:basedOn w:val="Normln"/>
    <w:rsid w:val="00185BC4"/>
    <w:pPr>
      <w:suppressAutoHyphens/>
      <w:overflowPunct w:val="0"/>
      <w:autoSpaceDE w:val="0"/>
      <w:autoSpaceDN w:val="0"/>
      <w:adjustRightInd w:val="0"/>
      <w:spacing w:before="120"/>
      <w:ind w:firstLine="567"/>
      <w:jc w:val="both"/>
      <w:textAlignment w:val="baseline"/>
    </w:pPr>
    <w:rPr>
      <w:szCs w:val="20"/>
    </w:rPr>
  </w:style>
  <w:style w:type="paragraph" w:styleId="Zkladntextodsazen">
    <w:name w:val="Body Text Indent"/>
    <w:basedOn w:val="Normln"/>
    <w:link w:val="ZkladntextodsazenChar"/>
    <w:rsid w:val="00185BC4"/>
    <w:pPr>
      <w:spacing w:after="240"/>
      <w:ind w:firstLine="709"/>
      <w:jc w:val="both"/>
    </w:pPr>
  </w:style>
  <w:style w:type="paragraph" w:styleId="Zkladntextodsazen2">
    <w:name w:val="Body Text Indent 2"/>
    <w:basedOn w:val="Normln"/>
    <w:link w:val="Zkladntextodsazen2Char"/>
    <w:rsid w:val="00185BC4"/>
    <w:pPr>
      <w:spacing w:after="120"/>
      <w:ind w:firstLine="720"/>
      <w:jc w:val="both"/>
    </w:pPr>
  </w:style>
  <w:style w:type="paragraph" w:styleId="Zkladntext">
    <w:name w:val="Body Text"/>
    <w:basedOn w:val="Normln"/>
    <w:link w:val="ZkladntextChar"/>
    <w:rsid w:val="00185BC4"/>
    <w:pPr>
      <w:spacing w:before="120"/>
      <w:jc w:val="both"/>
    </w:pPr>
  </w:style>
  <w:style w:type="paragraph" w:customStyle="1" w:styleId="BodyText21">
    <w:name w:val="Body Text 21"/>
    <w:basedOn w:val="Normln"/>
    <w:rsid w:val="00185BC4"/>
    <w:pPr>
      <w:overflowPunct w:val="0"/>
      <w:autoSpaceDE w:val="0"/>
      <w:autoSpaceDN w:val="0"/>
      <w:adjustRightInd w:val="0"/>
      <w:spacing w:after="120"/>
      <w:ind w:left="283"/>
      <w:textAlignment w:val="baseline"/>
    </w:pPr>
    <w:rPr>
      <w:szCs w:val="20"/>
    </w:rPr>
  </w:style>
  <w:style w:type="paragraph" w:styleId="Zkladntextodsazen3">
    <w:name w:val="Body Text Indent 3"/>
    <w:basedOn w:val="Normln"/>
    <w:link w:val="Zkladntextodsazen3Char"/>
    <w:rsid w:val="00185BC4"/>
    <w:pPr>
      <w:ind w:firstLine="708"/>
      <w:jc w:val="both"/>
    </w:pPr>
  </w:style>
  <w:style w:type="paragraph" w:styleId="Zkladntext2">
    <w:name w:val="Body Text 2"/>
    <w:basedOn w:val="Normln"/>
    <w:link w:val="Zkladntext2Char"/>
    <w:rsid w:val="00185BC4"/>
    <w:pPr>
      <w:overflowPunct w:val="0"/>
      <w:autoSpaceDE w:val="0"/>
      <w:autoSpaceDN w:val="0"/>
      <w:adjustRightInd w:val="0"/>
      <w:spacing w:before="120"/>
      <w:jc w:val="both"/>
      <w:textAlignment w:val="baseline"/>
    </w:pPr>
    <w:rPr>
      <w:szCs w:val="20"/>
    </w:rPr>
  </w:style>
  <w:style w:type="paragraph" w:styleId="Zpat">
    <w:name w:val="footer"/>
    <w:basedOn w:val="Normln"/>
    <w:link w:val="ZpatChar"/>
    <w:uiPriority w:val="99"/>
    <w:rsid w:val="00185BC4"/>
    <w:pPr>
      <w:tabs>
        <w:tab w:val="center" w:pos="4536"/>
        <w:tab w:val="right" w:pos="9072"/>
      </w:tabs>
    </w:pPr>
  </w:style>
  <w:style w:type="character" w:styleId="slostrnky">
    <w:name w:val="page number"/>
    <w:basedOn w:val="Standardnpsmoodstavce"/>
    <w:rsid w:val="00185BC4"/>
  </w:style>
  <w:style w:type="paragraph" w:styleId="Titulek">
    <w:name w:val="caption"/>
    <w:basedOn w:val="Normln"/>
    <w:next w:val="Normln"/>
    <w:qFormat/>
    <w:rsid w:val="0032479E"/>
    <w:pPr>
      <w:keepNext/>
      <w:spacing w:before="360" w:after="240"/>
      <w:jc w:val="both"/>
    </w:pPr>
    <w:rPr>
      <w:b/>
    </w:rPr>
  </w:style>
  <w:style w:type="paragraph" w:customStyle="1" w:styleId="MDSR0">
    <w:name w:val="MDS ÈR"/>
    <w:basedOn w:val="Normln"/>
    <w:rsid w:val="00185BC4"/>
    <w:pPr>
      <w:widowControl w:val="0"/>
      <w:suppressAutoHyphens/>
      <w:overflowPunct w:val="0"/>
      <w:autoSpaceDE w:val="0"/>
      <w:autoSpaceDN w:val="0"/>
      <w:adjustRightInd w:val="0"/>
      <w:spacing w:before="120"/>
      <w:ind w:firstLine="567"/>
      <w:jc w:val="both"/>
      <w:textAlignment w:val="baseline"/>
    </w:pPr>
    <w:rPr>
      <w:szCs w:val="20"/>
    </w:rPr>
  </w:style>
  <w:style w:type="paragraph" w:styleId="Nzev">
    <w:name w:val="Title"/>
    <w:basedOn w:val="Normln"/>
    <w:link w:val="NzevChar"/>
    <w:qFormat/>
    <w:rsid w:val="00185BC4"/>
    <w:pPr>
      <w:jc w:val="center"/>
    </w:pPr>
    <w:rPr>
      <w:b/>
      <w:bCs/>
      <w:u w:val="single"/>
    </w:rPr>
  </w:style>
  <w:style w:type="paragraph" w:customStyle="1" w:styleId="BodyTextIndent31">
    <w:name w:val="Body Text Indent 31"/>
    <w:basedOn w:val="Normln"/>
    <w:rsid w:val="00185BC4"/>
    <w:pPr>
      <w:overflowPunct w:val="0"/>
      <w:autoSpaceDE w:val="0"/>
      <w:autoSpaceDN w:val="0"/>
      <w:adjustRightInd w:val="0"/>
      <w:spacing w:after="120"/>
      <w:ind w:firstLine="708"/>
      <w:jc w:val="both"/>
    </w:pPr>
    <w:rPr>
      <w:color w:val="800080"/>
      <w:szCs w:val="20"/>
    </w:rPr>
  </w:style>
  <w:style w:type="paragraph" w:styleId="Zkladntext3">
    <w:name w:val="Body Text 3"/>
    <w:basedOn w:val="Normln"/>
    <w:link w:val="Zkladntext3Char"/>
    <w:rsid w:val="00185BC4"/>
    <w:pPr>
      <w:spacing w:before="240"/>
      <w:jc w:val="both"/>
    </w:pPr>
    <w:rPr>
      <w:b/>
    </w:rPr>
  </w:style>
  <w:style w:type="paragraph" w:customStyle="1" w:styleId="BodyTextIndent21">
    <w:name w:val="Body Text Indent 21"/>
    <w:basedOn w:val="Normln"/>
    <w:rsid w:val="00185BC4"/>
    <w:pPr>
      <w:overflowPunct w:val="0"/>
      <w:autoSpaceDE w:val="0"/>
      <w:autoSpaceDN w:val="0"/>
      <w:adjustRightInd w:val="0"/>
      <w:spacing w:after="120"/>
      <w:ind w:firstLine="709"/>
      <w:jc w:val="both"/>
      <w:textAlignment w:val="baseline"/>
    </w:pPr>
    <w:rPr>
      <w:szCs w:val="20"/>
    </w:rPr>
  </w:style>
  <w:style w:type="paragraph" w:styleId="Textpoznpodarou">
    <w:name w:val="footnote text"/>
    <w:basedOn w:val="Normln"/>
    <w:link w:val="TextpoznpodarouChar"/>
    <w:rsid w:val="00185BC4"/>
    <w:rPr>
      <w:sz w:val="20"/>
      <w:szCs w:val="20"/>
    </w:rPr>
  </w:style>
  <w:style w:type="paragraph" w:customStyle="1" w:styleId="TabInfozjednn">
    <w:name w:val="Tab Info z jednání"/>
    <w:rsid w:val="00185BC4"/>
    <w:rPr>
      <w:sz w:val="24"/>
    </w:rPr>
  </w:style>
  <w:style w:type="paragraph" w:customStyle="1" w:styleId="Odstavec">
    <w:name w:val="Odstavec"/>
    <w:basedOn w:val="Normln"/>
    <w:rsid w:val="00185BC4"/>
    <w:pPr>
      <w:numPr>
        <w:numId w:val="7"/>
      </w:numPr>
      <w:tabs>
        <w:tab w:val="clear" w:pos="720"/>
      </w:tabs>
      <w:overflowPunct w:val="0"/>
      <w:autoSpaceDE w:val="0"/>
      <w:autoSpaceDN w:val="0"/>
      <w:adjustRightInd w:val="0"/>
      <w:spacing w:before="60" w:after="60"/>
      <w:ind w:left="0" w:firstLine="0"/>
      <w:jc w:val="both"/>
      <w:textAlignment w:val="baseline"/>
    </w:pPr>
    <w:rPr>
      <w:rFonts w:ascii="Arial" w:hAnsi="Arial"/>
      <w:szCs w:val="20"/>
    </w:rPr>
  </w:style>
  <w:style w:type="paragraph" w:styleId="Zhlav">
    <w:name w:val="header"/>
    <w:basedOn w:val="Normln"/>
    <w:link w:val="ZhlavChar"/>
    <w:rsid w:val="00185BC4"/>
    <w:pPr>
      <w:tabs>
        <w:tab w:val="center" w:pos="4536"/>
        <w:tab w:val="right" w:pos="9072"/>
      </w:tabs>
    </w:pPr>
    <w:rPr>
      <w:sz w:val="20"/>
      <w:szCs w:val="20"/>
    </w:rPr>
  </w:style>
  <w:style w:type="paragraph" w:styleId="Seznamsodrkami">
    <w:name w:val="List Bullet"/>
    <w:basedOn w:val="Normln"/>
    <w:autoRedefine/>
    <w:rsid w:val="00185BC4"/>
    <w:pPr>
      <w:tabs>
        <w:tab w:val="num" w:pos="360"/>
      </w:tabs>
      <w:spacing w:before="120" w:after="120"/>
      <w:ind w:left="360" w:hanging="360"/>
      <w:jc w:val="both"/>
    </w:pPr>
  </w:style>
  <w:style w:type="paragraph" w:styleId="Seznam2">
    <w:name w:val="List 2"/>
    <w:basedOn w:val="Normln"/>
    <w:rsid w:val="00185BC4"/>
    <w:pPr>
      <w:ind w:left="566" w:hanging="283"/>
    </w:pPr>
  </w:style>
  <w:style w:type="table" w:styleId="Mkatabulky">
    <w:name w:val="Table Grid"/>
    <w:basedOn w:val="Normlntabulka"/>
    <w:rsid w:val="00185B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y">
    <w:name w:val="odrazky"/>
    <w:basedOn w:val="Normln"/>
    <w:rsid w:val="00185BC4"/>
    <w:pPr>
      <w:widowControl w:val="0"/>
      <w:autoSpaceDE w:val="0"/>
      <w:autoSpaceDN w:val="0"/>
      <w:spacing w:after="40"/>
      <w:ind w:left="357" w:hanging="357"/>
      <w:jc w:val="both"/>
    </w:pPr>
    <w:rPr>
      <w:rFonts w:ascii="Arial" w:hAnsi="Arial" w:cs="Arial"/>
      <w:sz w:val="22"/>
      <w:szCs w:val="22"/>
    </w:rPr>
  </w:style>
  <w:style w:type="paragraph" w:styleId="Textbubliny">
    <w:name w:val="Balloon Text"/>
    <w:basedOn w:val="Normln"/>
    <w:link w:val="TextbublinyChar"/>
    <w:semiHidden/>
    <w:rsid w:val="00185BC4"/>
    <w:rPr>
      <w:rFonts w:ascii="Tahoma" w:hAnsi="Tahoma" w:cs="Tahoma"/>
      <w:sz w:val="16"/>
      <w:szCs w:val="16"/>
    </w:rPr>
  </w:style>
  <w:style w:type="paragraph" w:customStyle="1" w:styleId="MDSER">
    <w:name w:val="MDS ER"/>
    <w:basedOn w:val="Normln"/>
    <w:rsid w:val="00185BC4"/>
    <w:pPr>
      <w:suppressAutoHyphens/>
      <w:overflowPunct w:val="0"/>
      <w:autoSpaceDE w:val="0"/>
      <w:autoSpaceDN w:val="0"/>
      <w:adjustRightInd w:val="0"/>
      <w:spacing w:before="120"/>
      <w:ind w:firstLine="567"/>
      <w:jc w:val="both"/>
      <w:textAlignment w:val="baseline"/>
    </w:pPr>
    <w:rPr>
      <w:szCs w:val="20"/>
    </w:rPr>
  </w:style>
  <w:style w:type="paragraph" w:styleId="Rozloendokumentu">
    <w:name w:val="Document Map"/>
    <w:basedOn w:val="Normln"/>
    <w:link w:val="RozloendokumentuChar"/>
    <w:semiHidden/>
    <w:rsid w:val="00185BC4"/>
    <w:pPr>
      <w:shd w:val="clear" w:color="auto" w:fill="000080"/>
    </w:pPr>
    <w:rPr>
      <w:rFonts w:ascii="Tahoma" w:hAnsi="Tahoma" w:cs="Tahoma"/>
      <w:sz w:val="20"/>
      <w:szCs w:val="20"/>
    </w:rPr>
  </w:style>
  <w:style w:type="paragraph" w:customStyle="1" w:styleId="Smpododstavec">
    <w:name w:val="Sm pododstavec"/>
    <w:basedOn w:val="Normlnodsazen"/>
    <w:rsid w:val="00185BC4"/>
    <w:pPr>
      <w:spacing w:after="120"/>
      <w:ind w:left="0"/>
      <w:jc w:val="both"/>
    </w:pPr>
  </w:style>
  <w:style w:type="paragraph" w:styleId="Normlnodsazen">
    <w:name w:val="Normal Indent"/>
    <w:basedOn w:val="Normln"/>
    <w:rsid w:val="00185BC4"/>
    <w:pPr>
      <w:ind w:left="708"/>
    </w:pPr>
  </w:style>
  <w:style w:type="paragraph" w:customStyle="1" w:styleId="Text">
    <w:name w:val="+Text"/>
    <w:basedOn w:val="Normln"/>
    <w:rsid w:val="00185BC4"/>
    <w:pPr>
      <w:spacing w:after="240"/>
      <w:jc w:val="both"/>
    </w:pPr>
    <w:rPr>
      <w:szCs w:val="20"/>
    </w:rPr>
  </w:style>
  <w:style w:type="paragraph" w:customStyle="1" w:styleId="Text1212">
    <w:name w:val="+Text 12+12"/>
    <w:basedOn w:val="Text"/>
    <w:rsid w:val="00185BC4"/>
    <w:pPr>
      <w:spacing w:before="240"/>
    </w:pPr>
  </w:style>
  <w:style w:type="paragraph" w:styleId="Pokraovnseznamu">
    <w:name w:val="List Continue"/>
    <w:basedOn w:val="Normln"/>
    <w:rsid w:val="00185BC4"/>
    <w:pPr>
      <w:spacing w:after="120"/>
      <w:ind w:left="283"/>
    </w:pPr>
    <w:rPr>
      <w:szCs w:val="20"/>
    </w:rPr>
  </w:style>
  <w:style w:type="paragraph" w:customStyle="1" w:styleId="NormlnLatinkaArial">
    <w:name w:val="Normální + (Latinka) Arial"/>
    <w:aliases w:val="11 b.,Zarovnat do bloku,Vlevo:  0,5 cm"/>
    <w:basedOn w:val="Normln"/>
    <w:rsid w:val="00185BC4"/>
    <w:pPr>
      <w:widowControl w:val="0"/>
      <w:suppressAutoHyphens/>
      <w:ind w:left="283"/>
      <w:jc w:val="both"/>
    </w:pPr>
    <w:rPr>
      <w:rFonts w:ascii="Arial" w:eastAsia="Andale Sans UI" w:hAnsi="Arial" w:cs="Arial"/>
      <w:b/>
      <w:sz w:val="20"/>
      <w:szCs w:val="20"/>
    </w:rPr>
  </w:style>
  <w:style w:type="paragraph" w:styleId="Normlnweb">
    <w:name w:val="Normal (Web)"/>
    <w:basedOn w:val="Normln"/>
    <w:rsid w:val="00185BC4"/>
    <w:pPr>
      <w:spacing w:before="120" w:after="120"/>
    </w:pPr>
  </w:style>
  <w:style w:type="character" w:customStyle="1" w:styleId="basearticleannotation">
    <w:name w:val="basearticleannotation"/>
    <w:basedOn w:val="Standardnpsmoodstavce"/>
    <w:rsid w:val="00185BC4"/>
  </w:style>
  <w:style w:type="paragraph" w:customStyle="1" w:styleId="Nvod">
    <w:name w:val="Návod"/>
    <w:basedOn w:val="Normln"/>
    <w:rsid w:val="00185BC4"/>
    <w:pPr>
      <w:overflowPunct w:val="0"/>
      <w:autoSpaceDE w:val="0"/>
      <w:autoSpaceDN w:val="0"/>
      <w:adjustRightInd w:val="0"/>
      <w:ind w:left="340" w:hanging="340"/>
    </w:pPr>
    <w:rPr>
      <w:szCs w:val="20"/>
    </w:rPr>
  </w:style>
  <w:style w:type="paragraph" w:customStyle="1" w:styleId="msonormalc1">
    <w:name w:val="msonormalc1"/>
    <w:basedOn w:val="Normln"/>
    <w:rsid w:val="00185BC4"/>
    <w:pPr>
      <w:spacing w:before="100" w:beforeAutospacing="1" w:after="100" w:afterAutospacing="1"/>
    </w:pPr>
    <w:rPr>
      <w:rFonts w:ascii="Arial Unicode MS" w:eastAsia="Arial Unicode MS" w:hAnsi="Arial Unicode MS" w:cs="Arial Unicode MS"/>
    </w:rPr>
  </w:style>
  <w:style w:type="paragraph" w:customStyle="1" w:styleId="text0">
    <w:name w:val="text"/>
    <w:basedOn w:val="Normln"/>
    <w:rsid w:val="00185BC4"/>
    <w:pPr>
      <w:ind w:firstLine="709"/>
      <w:jc w:val="both"/>
    </w:pPr>
    <w:rPr>
      <w:szCs w:val="20"/>
    </w:rPr>
  </w:style>
  <w:style w:type="paragraph" w:customStyle="1" w:styleId="Nadpis">
    <w:name w:val="Nadpis"/>
    <w:basedOn w:val="Normln"/>
    <w:rsid w:val="00185BC4"/>
    <w:pPr>
      <w:spacing w:before="240"/>
      <w:jc w:val="both"/>
    </w:pPr>
    <w:rPr>
      <w:i/>
    </w:rPr>
  </w:style>
  <w:style w:type="paragraph" w:customStyle="1" w:styleId="Zkladntext21">
    <w:name w:val="Základní text 21"/>
    <w:basedOn w:val="Normln"/>
    <w:rsid w:val="00185BC4"/>
    <w:pPr>
      <w:numPr>
        <w:numId w:val="6"/>
      </w:numPr>
      <w:tabs>
        <w:tab w:val="clear" w:pos="360"/>
      </w:tabs>
      <w:overflowPunct w:val="0"/>
      <w:autoSpaceDE w:val="0"/>
      <w:autoSpaceDN w:val="0"/>
      <w:adjustRightInd w:val="0"/>
      <w:spacing w:after="120"/>
      <w:ind w:left="283" w:firstLine="0"/>
      <w:textAlignment w:val="baseline"/>
    </w:pPr>
    <w:rPr>
      <w:szCs w:val="20"/>
    </w:rPr>
  </w:style>
  <w:style w:type="character" w:styleId="Siln">
    <w:name w:val="Strong"/>
    <w:qFormat/>
    <w:rsid w:val="00185BC4"/>
    <w:rPr>
      <w:b/>
      <w:bCs/>
    </w:rPr>
  </w:style>
  <w:style w:type="paragraph" w:customStyle="1" w:styleId="odrakyslalev">
    <w:name w:val="odražky čísla levé"/>
    <w:basedOn w:val="Normlnodsazen"/>
    <w:rsid w:val="00185BC4"/>
    <w:pPr>
      <w:tabs>
        <w:tab w:val="num" w:pos="360"/>
      </w:tabs>
      <w:spacing w:before="120" w:after="120"/>
      <w:ind w:left="360" w:hanging="360"/>
      <w:jc w:val="both"/>
    </w:pPr>
    <w:rPr>
      <w:szCs w:val="20"/>
    </w:rPr>
  </w:style>
  <w:style w:type="paragraph" w:customStyle="1" w:styleId="Zkladntextodsazen21">
    <w:name w:val="Základní text odsazený 21"/>
    <w:basedOn w:val="Normln"/>
    <w:rsid w:val="00185BC4"/>
    <w:pPr>
      <w:overflowPunct w:val="0"/>
      <w:autoSpaceDE w:val="0"/>
      <w:autoSpaceDN w:val="0"/>
      <w:adjustRightInd w:val="0"/>
      <w:spacing w:after="120"/>
      <w:ind w:firstLine="709"/>
      <w:jc w:val="both"/>
      <w:textAlignment w:val="baseline"/>
    </w:pPr>
    <w:rPr>
      <w:szCs w:val="20"/>
    </w:rPr>
  </w:style>
  <w:style w:type="paragraph" w:customStyle="1" w:styleId="text1">
    <w:name w:val="* text"/>
    <w:basedOn w:val="Normln"/>
    <w:link w:val="textChar"/>
    <w:rsid w:val="00185BC4"/>
    <w:pPr>
      <w:spacing w:before="120" w:after="120"/>
      <w:jc w:val="both"/>
    </w:pPr>
  </w:style>
  <w:style w:type="character" w:customStyle="1" w:styleId="textChar">
    <w:name w:val="* text Char"/>
    <w:link w:val="text1"/>
    <w:rsid w:val="00185BC4"/>
    <w:rPr>
      <w:sz w:val="24"/>
      <w:szCs w:val="24"/>
      <w:lang w:val="cs-CZ" w:eastAsia="cs-CZ" w:bidi="ar-SA"/>
    </w:rPr>
  </w:style>
  <w:style w:type="paragraph" w:customStyle="1" w:styleId="Nadpis20">
    <w:name w:val="Nadpis2"/>
    <w:basedOn w:val="Nadpis2"/>
    <w:link w:val="Nadpis2Char0"/>
    <w:rsid w:val="00185BC4"/>
    <w:pPr>
      <w:tabs>
        <w:tab w:val="num" w:pos="2310"/>
      </w:tabs>
      <w:ind w:left="2310" w:hanging="510"/>
    </w:pPr>
    <w:rPr>
      <w:b w:val="0"/>
      <w:smallCaps/>
    </w:rPr>
  </w:style>
  <w:style w:type="paragraph" w:customStyle="1" w:styleId="StylNadpis114bZa10b">
    <w:name w:val="Styl Nadpis 1 + 14 b. Za:  10 b."/>
    <w:basedOn w:val="Normln"/>
    <w:rsid w:val="00185BC4"/>
  </w:style>
  <w:style w:type="paragraph" w:customStyle="1" w:styleId="KOMNadp1">
    <w:name w:val="KOMNadp.1"/>
    <w:basedOn w:val="Normln"/>
    <w:link w:val="KOMNadp1CharChar"/>
    <w:rsid w:val="00185BC4"/>
    <w:pPr>
      <w:numPr>
        <w:numId w:val="10"/>
      </w:numPr>
      <w:tabs>
        <w:tab w:val="left" w:pos="284"/>
      </w:tabs>
      <w:spacing w:before="240" w:after="240"/>
      <w:jc w:val="both"/>
    </w:pPr>
    <w:rPr>
      <w:b/>
      <w:smallCaps/>
      <w:sz w:val="32"/>
    </w:rPr>
  </w:style>
  <w:style w:type="paragraph" w:customStyle="1" w:styleId="StylNadpis213bTunnenkapitlky3">
    <w:name w:val="Styl Nadpis 2 + 13 b. Tučné není kapitálky3"/>
    <w:basedOn w:val="Nadpis2"/>
    <w:rsid w:val="00185BC4"/>
    <w:pPr>
      <w:numPr>
        <w:numId w:val="9"/>
      </w:numPr>
    </w:pPr>
    <w:rPr>
      <w:b w:val="0"/>
      <w:bCs/>
      <w:smallCaps/>
    </w:rPr>
  </w:style>
  <w:style w:type="paragraph" w:customStyle="1" w:styleId="KOMtext">
    <w:name w:val="KOMtext"/>
    <w:basedOn w:val="Zkladntext"/>
    <w:link w:val="KOMtextChar"/>
    <w:qFormat/>
    <w:rsid w:val="00262718"/>
    <w:pPr>
      <w:keepLines/>
      <w:spacing w:after="120" w:line="276" w:lineRule="auto"/>
    </w:pPr>
    <w:rPr>
      <w:szCs w:val="20"/>
    </w:rPr>
  </w:style>
  <w:style w:type="character" w:customStyle="1" w:styleId="KOMtextChar">
    <w:name w:val="KOMtext Char"/>
    <w:link w:val="KOMtext"/>
    <w:rsid w:val="00262718"/>
    <w:rPr>
      <w:sz w:val="24"/>
    </w:rPr>
  </w:style>
  <w:style w:type="paragraph" w:customStyle="1" w:styleId="KOMnadp2">
    <w:name w:val="KOMnadp2"/>
    <w:basedOn w:val="KOMtext"/>
    <w:next w:val="KOMtext"/>
    <w:rsid w:val="00185BC4"/>
    <w:pPr>
      <w:numPr>
        <w:ilvl w:val="1"/>
        <w:numId w:val="10"/>
      </w:numPr>
      <w:tabs>
        <w:tab w:val="left" w:pos="170"/>
        <w:tab w:val="num" w:pos="1440"/>
      </w:tabs>
      <w:spacing w:before="240"/>
      <w:ind w:left="1440" w:hanging="360"/>
    </w:pPr>
    <w:rPr>
      <w:b/>
      <w:sz w:val="28"/>
    </w:rPr>
  </w:style>
  <w:style w:type="paragraph" w:customStyle="1" w:styleId="KOMnadp3">
    <w:name w:val="KOMnadp3"/>
    <w:basedOn w:val="KOMtext"/>
    <w:link w:val="KOMnadp3Char"/>
    <w:rsid w:val="00185BC4"/>
    <w:pPr>
      <w:numPr>
        <w:ilvl w:val="2"/>
        <w:numId w:val="10"/>
      </w:numPr>
      <w:tabs>
        <w:tab w:val="num" w:pos="360"/>
        <w:tab w:val="num" w:pos="2160"/>
      </w:tabs>
      <w:ind w:left="237" w:hanging="360"/>
    </w:pPr>
    <w:rPr>
      <w:b/>
      <w:sz w:val="26"/>
    </w:rPr>
  </w:style>
  <w:style w:type="character" w:customStyle="1" w:styleId="KOMnadp3Char">
    <w:name w:val="KOMnadp3 Char"/>
    <w:link w:val="KOMnadp3"/>
    <w:rsid w:val="00185BC4"/>
    <w:rPr>
      <w:b/>
      <w:sz w:val="26"/>
    </w:rPr>
  </w:style>
  <w:style w:type="paragraph" w:customStyle="1" w:styleId="komnadp4">
    <w:name w:val="komnadp4"/>
    <w:basedOn w:val="KOMnadp2"/>
    <w:qFormat/>
    <w:rsid w:val="00185BC4"/>
    <w:pPr>
      <w:numPr>
        <w:ilvl w:val="3"/>
      </w:numPr>
      <w:tabs>
        <w:tab w:val="num" w:pos="2880"/>
      </w:tabs>
      <w:ind w:left="2880" w:hanging="360"/>
    </w:pPr>
    <w:rPr>
      <w:sz w:val="24"/>
    </w:rPr>
  </w:style>
  <w:style w:type="paragraph" w:customStyle="1" w:styleId="Nadp3">
    <w:name w:val="Nadp3"/>
    <w:basedOn w:val="Nadpis3"/>
    <w:rsid w:val="006F2173"/>
    <w:pPr>
      <w:numPr>
        <w:ilvl w:val="0"/>
        <w:numId w:val="0"/>
      </w:numPr>
      <w:spacing w:before="100" w:beforeAutospacing="1"/>
    </w:pPr>
    <w:rPr>
      <w:b w:val="0"/>
    </w:rPr>
  </w:style>
  <w:style w:type="paragraph" w:customStyle="1" w:styleId="KOMpos">
    <w:name w:val="KOMpočís"/>
    <w:basedOn w:val="KOMtext"/>
    <w:link w:val="KOMposChar"/>
    <w:rsid w:val="00292D8A"/>
    <w:pPr>
      <w:numPr>
        <w:numId w:val="12"/>
      </w:numPr>
      <w:tabs>
        <w:tab w:val="left" w:pos="284"/>
        <w:tab w:val="left" w:pos="567"/>
      </w:tabs>
      <w:ind w:left="0" w:firstLine="284"/>
    </w:pPr>
  </w:style>
  <w:style w:type="character" w:customStyle="1" w:styleId="KOMposChar">
    <w:name w:val="KOMpočís Char"/>
    <w:basedOn w:val="KOMtextChar"/>
    <w:link w:val="KOMpos"/>
    <w:rsid w:val="00292D8A"/>
    <w:rPr>
      <w:sz w:val="24"/>
    </w:rPr>
  </w:style>
  <w:style w:type="paragraph" w:customStyle="1" w:styleId="KOModrky">
    <w:name w:val="KOModrážky"/>
    <w:basedOn w:val="Normln"/>
    <w:link w:val="KOModrkyChar"/>
    <w:qFormat/>
    <w:rsid w:val="00292D8A"/>
    <w:pPr>
      <w:spacing w:after="120"/>
      <w:jc w:val="both"/>
    </w:pPr>
  </w:style>
  <w:style w:type="character" w:customStyle="1" w:styleId="KOModrkyChar">
    <w:name w:val="KOModrážky Char"/>
    <w:link w:val="KOModrky"/>
    <w:rsid w:val="00292D8A"/>
    <w:rPr>
      <w:sz w:val="24"/>
      <w:szCs w:val="24"/>
    </w:rPr>
  </w:style>
  <w:style w:type="paragraph" w:customStyle="1" w:styleId="StylZa6b">
    <w:name w:val="Styl Za:  6 b."/>
    <w:basedOn w:val="Normln"/>
    <w:next w:val="KOMtext"/>
    <w:rsid w:val="00250ABD"/>
    <w:pPr>
      <w:spacing w:after="120"/>
    </w:pPr>
    <w:rPr>
      <w:szCs w:val="20"/>
    </w:rPr>
  </w:style>
  <w:style w:type="paragraph" w:customStyle="1" w:styleId="Zkladntextodsazen210">
    <w:name w:val="Základní text odsazený 21"/>
    <w:basedOn w:val="Normln"/>
    <w:rsid w:val="00301928"/>
    <w:pPr>
      <w:suppressAutoHyphens/>
      <w:spacing w:after="120"/>
      <w:ind w:firstLine="720"/>
      <w:jc w:val="both"/>
    </w:pPr>
    <w:rPr>
      <w:lang w:eastAsia="ar-SA"/>
    </w:rPr>
  </w:style>
  <w:style w:type="paragraph" w:customStyle="1" w:styleId="Zkladntext31">
    <w:name w:val="Základní text 31"/>
    <w:basedOn w:val="Normln"/>
    <w:rsid w:val="00301928"/>
    <w:pPr>
      <w:suppressAutoHyphens/>
      <w:spacing w:before="240"/>
      <w:jc w:val="both"/>
    </w:pPr>
    <w:rPr>
      <w:b/>
      <w:lang w:eastAsia="ar-SA"/>
    </w:rPr>
  </w:style>
  <w:style w:type="paragraph" w:customStyle="1" w:styleId="Seznamsodrkami1">
    <w:name w:val="Seznam s odrážkami1"/>
    <w:basedOn w:val="Normln"/>
    <w:rsid w:val="00301928"/>
    <w:pPr>
      <w:numPr>
        <w:numId w:val="8"/>
      </w:numPr>
      <w:tabs>
        <w:tab w:val="left" w:pos="360"/>
      </w:tabs>
      <w:suppressAutoHyphens/>
      <w:spacing w:before="120" w:after="120"/>
      <w:ind w:left="-720" w:firstLine="0"/>
      <w:jc w:val="both"/>
    </w:pPr>
    <w:rPr>
      <w:lang w:eastAsia="ar-SA"/>
    </w:rPr>
  </w:style>
  <w:style w:type="paragraph" w:customStyle="1" w:styleId="nadpis30">
    <w:name w:val="_nadpis3"/>
    <w:basedOn w:val="Normln"/>
    <w:rsid w:val="00DB3575"/>
    <w:pPr>
      <w:spacing w:before="240"/>
      <w:jc w:val="both"/>
    </w:pPr>
    <w:rPr>
      <w:u w:val="single"/>
    </w:rPr>
  </w:style>
  <w:style w:type="paragraph" w:customStyle="1" w:styleId="text2">
    <w:name w:val="_text"/>
    <w:basedOn w:val="Normln"/>
    <w:rsid w:val="00DB3575"/>
    <w:pPr>
      <w:spacing w:before="120"/>
      <w:jc w:val="both"/>
    </w:pPr>
  </w:style>
  <w:style w:type="paragraph" w:customStyle="1" w:styleId="odrky">
    <w:name w:val="_odrážky"/>
    <w:basedOn w:val="Normln"/>
    <w:rsid w:val="00DB3575"/>
    <w:pPr>
      <w:numPr>
        <w:numId w:val="15"/>
      </w:numPr>
      <w:jc w:val="both"/>
    </w:pPr>
  </w:style>
  <w:style w:type="paragraph" w:customStyle="1" w:styleId="nadpis40">
    <w:name w:val="_nadpis4"/>
    <w:basedOn w:val="Normln"/>
    <w:rsid w:val="00DB3575"/>
    <w:pPr>
      <w:spacing w:before="240"/>
      <w:jc w:val="both"/>
    </w:pPr>
    <w:rPr>
      <w:i/>
    </w:rPr>
  </w:style>
  <w:style w:type="paragraph" w:customStyle="1" w:styleId="nadpis21">
    <w:name w:val="_nadpis2"/>
    <w:basedOn w:val="Normln"/>
    <w:rsid w:val="00DB3575"/>
    <w:pPr>
      <w:spacing w:before="360"/>
      <w:jc w:val="both"/>
    </w:pPr>
    <w:rPr>
      <w:b/>
    </w:rPr>
  </w:style>
  <w:style w:type="paragraph" w:customStyle="1" w:styleId="NormlnZarovnatdobloku">
    <w:name w:val="Normální + Zarovnat do bloku"/>
    <w:aliases w:val="Před:  6 b."/>
    <w:basedOn w:val="Normln"/>
    <w:rsid w:val="005D446D"/>
    <w:pPr>
      <w:spacing w:before="120"/>
      <w:ind w:left="180" w:hanging="180"/>
      <w:jc w:val="both"/>
    </w:pPr>
  </w:style>
  <w:style w:type="paragraph" w:customStyle="1" w:styleId="Znormal">
    <w:name w:val="Zúnormal"/>
    <w:basedOn w:val="Normln"/>
    <w:link w:val="ZnormalChar"/>
    <w:rsid w:val="006E0075"/>
    <w:pPr>
      <w:spacing w:before="120"/>
      <w:ind w:firstLine="708"/>
      <w:jc w:val="both"/>
    </w:pPr>
    <w:rPr>
      <w:szCs w:val="20"/>
    </w:rPr>
  </w:style>
  <w:style w:type="character" w:customStyle="1" w:styleId="ZnormalChar">
    <w:name w:val="Zúnormal Char"/>
    <w:link w:val="Znormal"/>
    <w:rsid w:val="00DB177F"/>
    <w:rPr>
      <w:sz w:val="24"/>
      <w:lang w:val="cs-CZ" w:eastAsia="cs-CZ" w:bidi="ar-SA"/>
    </w:rPr>
  </w:style>
  <w:style w:type="character" w:customStyle="1" w:styleId="Nadpis1Char">
    <w:name w:val="Nadpis 1 Char"/>
    <w:link w:val="Nadpis10"/>
    <w:rsid w:val="004359C1"/>
    <w:rPr>
      <w:b/>
      <w:bCs/>
      <w:smallCaps/>
      <w:sz w:val="32"/>
      <w:szCs w:val="24"/>
    </w:rPr>
  </w:style>
  <w:style w:type="character" w:customStyle="1" w:styleId="Znadpis1Char">
    <w:name w:val="ZÚnadpis1 Char"/>
    <w:link w:val="Znadpis1"/>
    <w:rsid w:val="00915C2F"/>
    <w:rPr>
      <w:b/>
      <w:bCs/>
      <w:sz w:val="32"/>
      <w:szCs w:val="24"/>
    </w:rPr>
  </w:style>
  <w:style w:type="character" w:customStyle="1" w:styleId="Nadpis2Char0">
    <w:name w:val="Nadpis2 Char"/>
    <w:link w:val="Nadpis20"/>
    <w:rsid w:val="00D44304"/>
    <w:rPr>
      <w:smallCaps/>
      <w:sz w:val="26"/>
      <w:szCs w:val="24"/>
    </w:rPr>
  </w:style>
  <w:style w:type="paragraph" w:styleId="Obsah1">
    <w:name w:val="toc 1"/>
    <w:basedOn w:val="Normln"/>
    <w:next w:val="Normln"/>
    <w:autoRedefine/>
    <w:uiPriority w:val="39"/>
    <w:rsid w:val="0083730F"/>
    <w:pPr>
      <w:tabs>
        <w:tab w:val="left" w:pos="480"/>
        <w:tab w:val="right" w:leader="dot" w:pos="9070"/>
      </w:tabs>
      <w:jc w:val="both"/>
    </w:pPr>
    <w:rPr>
      <w:noProof/>
    </w:rPr>
  </w:style>
  <w:style w:type="paragraph" w:styleId="Obsah2">
    <w:name w:val="toc 2"/>
    <w:basedOn w:val="Normln"/>
    <w:next w:val="Normln"/>
    <w:autoRedefine/>
    <w:uiPriority w:val="39"/>
    <w:rsid w:val="008C27EC"/>
    <w:pPr>
      <w:tabs>
        <w:tab w:val="left" w:pos="426"/>
        <w:tab w:val="right" w:leader="dot" w:pos="9070"/>
      </w:tabs>
      <w:ind w:left="454" w:right="284" w:hanging="454"/>
      <w:jc w:val="both"/>
    </w:pPr>
    <w:rPr>
      <w:bCs/>
      <w:noProof/>
    </w:rPr>
  </w:style>
  <w:style w:type="paragraph" w:styleId="Obsah3">
    <w:name w:val="toc 3"/>
    <w:basedOn w:val="Normln"/>
    <w:next w:val="Normln"/>
    <w:autoRedefine/>
    <w:uiPriority w:val="39"/>
    <w:rsid w:val="0047545E"/>
    <w:pPr>
      <w:tabs>
        <w:tab w:val="left" w:pos="1440"/>
        <w:tab w:val="right" w:leader="dot" w:pos="9060"/>
      </w:tabs>
      <w:ind w:left="1418" w:hanging="938"/>
    </w:pPr>
    <w:rPr>
      <w:noProof/>
    </w:rPr>
  </w:style>
  <w:style w:type="character" w:styleId="Hypertextovodkaz">
    <w:name w:val="Hyperlink"/>
    <w:uiPriority w:val="99"/>
    <w:rsid w:val="009319A4"/>
    <w:rPr>
      <w:color w:val="0000FF"/>
      <w:u w:val="single"/>
    </w:rPr>
  </w:style>
  <w:style w:type="paragraph" w:styleId="Seznamobrzk">
    <w:name w:val="table of figures"/>
    <w:basedOn w:val="Normln"/>
    <w:next w:val="Normln"/>
    <w:uiPriority w:val="99"/>
    <w:rsid w:val="00EC1FE6"/>
  </w:style>
  <w:style w:type="paragraph" w:customStyle="1" w:styleId="NADPIS22">
    <w:name w:val="_NADPIS_2"/>
    <w:basedOn w:val="Normln"/>
    <w:rsid w:val="00806AC5"/>
    <w:pPr>
      <w:spacing w:before="360"/>
      <w:jc w:val="both"/>
    </w:pPr>
    <w:rPr>
      <w:b/>
    </w:rPr>
  </w:style>
  <w:style w:type="paragraph" w:customStyle="1" w:styleId="ODRKY0">
    <w:name w:val="_ODRÁŽKY"/>
    <w:basedOn w:val="Normln"/>
    <w:rsid w:val="00806AC5"/>
    <w:pPr>
      <w:numPr>
        <w:numId w:val="16"/>
      </w:numPr>
      <w:spacing w:before="120"/>
      <w:jc w:val="both"/>
    </w:pPr>
  </w:style>
  <w:style w:type="paragraph" w:customStyle="1" w:styleId="TEXT3">
    <w:name w:val="_TEXT"/>
    <w:basedOn w:val="Normln"/>
    <w:link w:val="TEXTChar0"/>
    <w:qFormat/>
    <w:rsid w:val="00806AC5"/>
    <w:pPr>
      <w:spacing w:before="120"/>
      <w:ind w:firstLine="709"/>
      <w:jc w:val="both"/>
    </w:pPr>
  </w:style>
  <w:style w:type="paragraph" w:customStyle="1" w:styleId="NADPIS41">
    <w:name w:val="_NADPIS_4"/>
    <w:basedOn w:val="Normln"/>
    <w:rsid w:val="00806AC5"/>
    <w:pPr>
      <w:spacing w:before="240"/>
      <w:ind w:left="709"/>
      <w:jc w:val="both"/>
    </w:pPr>
    <w:rPr>
      <w:u w:val="single"/>
    </w:rPr>
  </w:style>
  <w:style w:type="paragraph" w:customStyle="1" w:styleId="NADPIS50">
    <w:name w:val="_NADPIS_5"/>
    <w:basedOn w:val="Normln"/>
    <w:rsid w:val="00806AC5"/>
    <w:pPr>
      <w:spacing w:before="240"/>
      <w:ind w:left="709"/>
      <w:jc w:val="both"/>
    </w:pPr>
    <w:rPr>
      <w:i/>
    </w:rPr>
  </w:style>
  <w:style w:type="paragraph" w:customStyle="1" w:styleId="NADPIS11">
    <w:name w:val="_NADPIS_1"/>
    <w:basedOn w:val="Normln"/>
    <w:rsid w:val="00CB7FE8"/>
    <w:pPr>
      <w:jc w:val="both"/>
    </w:pPr>
    <w:rPr>
      <w:b/>
      <w:sz w:val="28"/>
    </w:rPr>
  </w:style>
  <w:style w:type="paragraph" w:customStyle="1" w:styleId="NADPIS31">
    <w:name w:val="_NADPIS_3"/>
    <w:basedOn w:val="Normln"/>
    <w:rsid w:val="00CB7FE8"/>
    <w:pPr>
      <w:spacing w:before="360"/>
      <w:jc w:val="both"/>
    </w:pPr>
    <w:rPr>
      <w:b/>
    </w:rPr>
  </w:style>
  <w:style w:type="paragraph" w:customStyle="1" w:styleId="ODRKYBEZMEZER">
    <w:name w:val="_ODRÁŽKY_BEZ_MEZER"/>
    <w:basedOn w:val="Normln"/>
    <w:rsid w:val="00CB7FE8"/>
    <w:pPr>
      <w:numPr>
        <w:numId w:val="17"/>
      </w:numPr>
      <w:jc w:val="both"/>
    </w:pPr>
  </w:style>
  <w:style w:type="paragraph" w:customStyle="1" w:styleId="ODRKY062">
    <w:name w:val="_ODRÁŽKY_0.62"/>
    <w:basedOn w:val="Normln"/>
    <w:rsid w:val="00CB7FE8"/>
    <w:pPr>
      <w:numPr>
        <w:numId w:val="18"/>
      </w:numPr>
      <w:spacing w:before="240"/>
      <w:jc w:val="both"/>
    </w:pPr>
  </w:style>
  <w:style w:type="paragraph" w:customStyle="1" w:styleId="ODRKYBEZMEZER062">
    <w:name w:val="_ODRÁŽKY_BEZ_MEZER_0.62"/>
    <w:basedOn w:val="Normln"/>
    <w:rsid w:val="00CB7FE8"/>
    <w:pPr>
      <w:numPr>
        <w:numId w:val="19"/>
      </w:numPr>
      <w:tabs>
        <w:tab w:val="clear" w:pos="1066"/>
        <w:tab w:val="left" w:pos="709"/>
      </w:tabs>
      <w:ind w:left="709"/>
      <w:jc w:val="both"/>
    </w:pPr>
  </w:style>
  <w:style w:type="character" w:styleId="Odkaznakoment">
    <w:name w:val="annotation reference"/>
    <w:semiHidden/>
    <w:rsid w:val="006F56ED"/>
    <w:rPr>
      <w:sz w:val="16"/>
      <w:szCs w:val="16"/>
    </w:rPr>
  </w:style>
  <w:style w:type="paragraph" w:styleId="Textkomente">
    <w:name w:val="annotation text"/>
    <w:basedOn w:val="Normln"/>
    <w:link w:val="TextkomenteChar"/>
    <w:semiHidden/>
    <w:rsid w:val="006F56ED"/>
    <w:rPr>
      <w:sz w:val="20"/>
      <w:szCs w:val="20"/>
    </w:rPr>
  </w:style>
  <w:style w:type="character" w:styleId="Znakapoznpodarou">
    <w:name w:val="footnote reference"/>
    <w:rsid w:val="00366B6B"/>
    <w:rPr>
      <w:vertAlign w:val="superscript"/>
    </w:rPr>
  </w:style>
  <w:style w:type="paragraph" w:styleId="Pedmtkomente">
    <w:name w:val="annotation subject"/>
    <w:basedOn w:val="Textkomente"/>
    <w:next w:val="Textkomente"/>
    <w:link w:val="PedmtkomenteChar"/>
    <w:semiHidden/>
    <w:rsid w:val="00366B6B"/>
    <w:rPr>
      <w:b/>
      <w:bCs/>
    </w:rPr>
  </w:style>
  <w:style w:type="paragraph" w:customStyle="1" w:styleId="msolistparagraph0">
    <w:name w:val="msolistparagraph"/>
    <w:basedOn w:val="Normln"/>
    <w:rsid w:val="001B61C8"/>
    <w:pPr>
      <w:ind w:left="720"/>
    </w:pPr>
  </w:style>
  <w:style w:type="paragraph" w:customStyle="1" w:styleId="obyctext">
    <w:name w:val="obyctext"/>
    <w:basedOn w:val="Normln"/>
    <w:link w:val="obyctextChar"/>
    <w:rsid w:val="00124465"/>
    <w:pPr>
      <w:spacing w:before="120" w:after="80"/>
      <w:ind w:firstLine="539"/>
      <w:jc w:val="both"/>
    </w:pPr>
  </w:style>
  <w:style w:type="character" w:customStyle="1" w:styleId="obyctextChar">
    <w:name w:val="obyctext Char"/>
    <w:link w:val="obyctext"/>
    <w:rsid w:val="00124465"/>
    <w:rPr>
      <w:sz w:val="24"/>
      <w:szCs w:val="24"/>
      <w:lang w:val="cs-CZ" w:eastAsia="cs-CZ" w:bidi="ar-SA"/>
    </w:rPr>
  </w:style>
  <w:style w:type="paragraph" w:customStyle="1" w:styleId="nadpis1">
    <w:name w:val="_nadpis1"/>
    <w:basedOn w:val="Normln"/>
    <w:rsid w:val="00BE4755"/>
    <w:pPr>
      <w:numPr>
        <w:numId w:val="21"/>
      </w:numPr>
      <w:tabs>
        <w:tab w:val="left" w:pos="567"/>
      </w:tabs>
      <w:spacing w:before="240"/>
      <w:jc w:val="both"/>
    </w:pPr>
    <w:rPr>
      <w:b/>
    </w:rPr>
  </w:style>
  <w:style w:type="character" w:styleId="Sledovanodkaz">
    <w:name w:val="FollowedHyperlink"/>
    <w:rsid w:val="00BE4755"/>
    <w:rPr>
      <w:color w:val="800080"/>
      <w:u w:val="single"/>
    </w:rPr>
  </w:style>
  <w:style w:type="paragraph" w:customStyle="1" w:styleId="StylStylTunZarovnatdoblokuZa6bDolevaVlevo-01">
    <w:name w:val="Styl Styl Tučné Zarovnat do bloku Za:  6 b. + Doleva Vlevo:  -01..."/>
    <w:basedOn w:val="Normln"/>
    <w:rsid w:val="009265F4"/>
    <w:pPr>
      <w:spacing w:after="120"/>
    </w:pPr>
    <w:rPr>
      <w:b/>
      <w:bCs/>
      <w:szCs w:val="20"/>
    </w:rPr>
  </w:style>
  <w:style w:type="character" w:customStyle="1" w:styleId="FontStyle22">
    <w:name w:val="Font Style22"/>
    <w:rsid w:val="00FC5D69"/>
    <w:rPr>
      <w:rFonts w:ascii="Times New Roman" w:hAnsi="Times New Roman" w:cs="Times New Roman"/>
      <w:b/>
      <w:bCs/>
      <w:sz w:val="22"/>
      <w:szCs w:val="22"/>
    </w:rPr>
  </w:style>
  <w:style w:type="paragraph" w:customStyle="1" w:styleId="Style2">
    <w:name w:val="Style2"/>
    <w:basedOn w:val="Normln"/>
    <w:rsid w:val="00FC5D69"/>
    <w:pPr>
      <w:widowControl w:val="0"/>
      <w:autoSpaceDE w:val="0"/>
      <w:autoSpaceDN w:val="0"/>
      <w:adjustRightInd w:val="0"/>
      <w:spacing w:line="278" w:lineRule="exact"/>
      <w:jc w:val="center"/>
    </w:pPr>
  </w:style>
  <w:style w:type="numbering" w:styleId="111111">
    <w:name w:val="Outline List 2"/>
    <w:basedOn w:val="Bezseznamu"/>
    <w:rsid w:val="00283005"/>
    <w:pPr>
      <w:numPr>
        <w:numId w:val="25"/>
      </w:numPr>
    </w:pPr>
  </w:style>
  <w:style w:type="character" w:customStyle="1" w:styleId="ms-profilevalue1">
    <w:name w:val="ms-profilevalue1"/>
    <w:rsid w:val="007048CD"/>
    <w:rPr>
      <w:color w:val="000000"/>
    </w:rPr>
  </w:style>
  <w:style w:type="character" w:customStyle="1" w:styleId="VZtextChar">
    <w:name w:val="VZ_text Char"/>
    <w:link w:val="VZtext"/>
    <w:locked/>
    <w:rsid w:val="003F49D5"/>
    <w:rPr>
      <w:lang w:val="cs-CZ" w:eastAsia="cs-CZ" w:bidi="ar-SA"/>
    </w:rPr>
  </w:style>
  <w:style w:type="paragraph" w:customStyle="1" w:styleId="VZtext">
    <w:name w:val="VZ_text"/>
    <w:basedOn w:val="Normln"/>
    <w:link w:val="VZtextChar"/>
    <w:rsid w:val="003F49D5"/>
    <w:pPr>
      <w:spacing w:before="240"/>
      <w:jc w:val="both"/>
    </w:pPr>
    <w:rPr>
      <w:sz w:val="20"/>
      <w:szCs w:val="20"/>
    </w:rPr>
  </w:style>
  <w:style w:type="character" w:customStyle="1" w:styleId="KOMNadp1CharChar">
    <w:name w:val="KOMNadp.1 Char Char"/>
    <w:link w:val="KOMNadp1"/>
    <w:rsid w:val="00DC37E4"/>
    <w:rPr>
      <w:b/>
      <w:smallCaps/>
      <w:sz w:val="32"/>
      <w:szCs w:val="24"/>
    </w:rPr>
  </w:style>
  <w:style w:type="character" w:customStyle="1" w:styleId="ZpatChar">
    <w:name w:val="Zápatí Char"/>
    <w:link w:val="Zpat"/>
    <w:uiPriority w:val="99"/>
    <w:rsid w:val="00790745"/>
    <w:rPr>
      <w:sz w:val="24"/>
      <w:szCs w:val="24"/>
    </w:rPr>
  </w:style>
  <w:style w:type="character" w:customStyle="1" w:styleId="ZkladntextChar">
    <w:name w:val="Základní text Char"/>
    <w:link w:val="Zkladntext"/>
    <w:rsid w:val="00765F1A"/>
    <w:rPr>
      <w:sz w:val="24"/>
      <w:szCs w:val="24"/>
    </w:rPr>
  </w:style>
  <w:style w:type="character" w:customStyle="1" w:styleId="TEXTChar0">
    <w:name w:val="_TEXT Char"/>
    <w:link w:val="TEXT3"/>
    <w:locked/>
    <w:rsid w:val="00AC3865"/>
    <w:rPr>
      <w:sz w:val="24"/>
      <w:szCs w:val="24"/>
    </w:rPr>
  </w:style>
  <w:style w:type="character" w:customStyle="1" w:styleId="TextpoznpodarouChar">
    <w:name w:val="Text pozn. pod čarou Char"/>
    <w:link w:val="Textpoznpodarou"/>
    <w:rsid w:val="00AC3865"/>
  </w:style>
  <w:style w:type="paragraph" w:styleId="Odstavecseseznamem">
    <w:name w:val="List Paragraph"/>
    <w:aliases w:val="Nad,Odstavec cíl se seznamem,Odstavec se seznamem5,Odstavec_muj,List Paragraph,_Odstavec se seznamem,Seznam - odrážky,Conclusion de partie,odrážky"/>
    <w:basedOn w:val="Normln"/>
    <w:link w:val="OdstavecseseznamemChar"/>
    <w:uiPriority w:val="34"/>
    <w:qFormat/>
    <w:rsid w:val="00C11E5A"/>
    <w:pPr>
      <w:ind w:left="720"/>
      <w:contextualSpacing/>
    </w:pPr>
  </w:style>
  <w:style w:type="paragraph" w:customStyle="1" w:styleId="TEXTKURZVA">
    <w:name w:val="_TEXT_KURZÍVA"/>
    <w:basedOn w:val="Normln"/>
    <w:rsid w:val="00E7669B"/>
    <w:pPr>
      <w:spacing w:before="120"/>
      <w:ind w:firstLine="709"/>
      <w:jc w:val="both"/>
    </w:pPr>
    <w:rPr>
      <w:i/>
    </w:rPr>
  </w:style>
  <w:style w:type="numbering" w:customStyle="1" w:styleId="Styl1">
    <w:name w:val="Styl1"/>
    <w:rsid w:val="00A63E4C"/>
    <w:pPr>
      <w:numPr>
        <w:numId w:val="45"/>
      </w:numPr>
    </w:pPr>
  </w:style>
  <w:style w:type="numbering" w:customStyle="1" w:styleId="Styl2">
    <w:name w:val="Styl2"/>
    <w:rsid w:val="00A63E4C"/>
    <w:pPr>
      <w:numPr>
        <w:numId w:val="46"/>
      </w:numPr>
    </w:pPr>
  </w:style>
  <w:style w:type="numbering" w:customStyle="1" w:styleId="Styl3">
    <w:name w:val="Styl3"/>
    <w:rsid w:val="00FF3AC7"/>
    <w:pPr>
      <w:numPr>
        <w:numId w:val="48"/>
      </w:numPr>
    </w:pPr>
  </w:style>
  <w:style w:type="numbering" w:customStyle="1" w:styleId="Styl4">
    <w:name w:val="Styl4"/>
    <w:rsid w:val="00780516"/>
    <w:pPr>
      <w:numPr>
        <w:numId w:val="49"/>
      </w:numPr>
    </w:pPr>
  </w:style>
  <w:style w:type="character" w:customStyle="1" w:styleId="OdstavecseseznamemChar">
    <w:name w:val="Odstavec se seznamem Char"/>
    <w:aliases w:val="Nad Char,Odstavec cíl se seznamem Char,Odstavec se seznamem5 Char,Odstavec_muj Char,List Paragraph Char,_Odstavec se seznamem Char,Seznam - odrážky Char,Conclusion de partie Char,odrážky Char"/>
    <w:link w:val="Odstavecseseznamem"/>
    <w:uiPriority w:val="34"/>
    <w:locked/>
    <w:rsid w:val="00CF6D4B"/>
    <w:rPr>
      <w:sz w:val="24"/>
      <w:szCs w:val="24"/>
    </w:rPr>
  </w:style>
  <w:style w:type="paragraph" w:customStyle="1" w:styleId="Default">
    <w:name w:val="Default"/>
    <w:rsid w:val="001D3BD5"/>
    <w:pPr>
      <w:autoSpaceDE w:val="0"/>
      <w:autoSpaceDN w:val="0"/>
      <w:adjustRightInd w:val="0"/>
    </w:pPr>
    <w:rPr>
      <w:rFonts w:ascii="Arial" w:hAnsi="Arial" w:cs="Arial"/>
      <w:color w:val="000000"/>
      <w:sz w:val="24"/>
      <w:szCs w:val="24"/>
    </w:rPr>
  </w:style>
  <w:style w:type="paragraph" w:styleId="Obsah4">
    <w:name w:val="toc 4"/>
    <w:basedOn w:val="Normln"/>
    <w:next w:val="Normln"/>
    <w:autoRedefine/>
    <w:uiPriority w:val="39"/>
    <w:unhideWhenUsed/>
    <w:rsid w:val="00366398"/>
    <w:pPr>
      <w:spacing w:after="100" w:line="259" w:lineRule="auto"/>
      <w:ind w:left="660"/>
    </w:pPr>
    <w:rPr>
      <w:rFonts w:ascii="Calibri" w:hAnsi="Calibri"/>
      <w:sz w:val="22"/>
      <w:szCs w:val="22"/>
    </w:rPr>
  </w:style>
  <w:style w:type="paragraph" w:styleId="Obsah5">
    <w:name w:val="toc 5"/>
    <w:basedOn w:val="Normln"/>
    <w:next w:val="Normln"/>
    <w:autoRedefine/>
    <w:uiPriority w:val="39"/>
    <w:unhideWhenUsed/>
    <w:rsid w:val="00366398"/>
    <w:pPr>
      <w:spacing w:after="100" w:line="259" w:lineRule="auto"/>
      <w:ind w:left="880"/>
    </w:pPr>
    <w:rPr>
      <w:rFonts w:ascii="Calibri" w:hAnsi="Calibri"/>
      <w:sz w:val="22"/>
      <w:szCs w:val="22"/>
    </w:rPr>
  </w:style>
  <w:style w:type="paragraph" w:styleId="Obsah6">
    <w:name w:val="toc 6"/>
    <w:basedOn w:val="Normln"/>
    <w:next w:val="Normln"/>
    <w:autoRedefine/>
    <w:uiPriority w:val="39"/>
    <w:unhideWhenUsed/>
    <w:rsid w:val="00366398"/>
    <w:pPr>
      <w:spacing w:after="100" w:line="259" w:lineRule="auto"/>
      <w:ind w:left="1100"/>
    </w:pPr>
    <w:rPr>
      <w:rFonts w:ascii="Calibri" w:hAnsi="Calibri"/>
      <w:sz w:val="22"/>
      <w:szCs w:val="22"/>
    </w:rPr>
  </w:style>
  <w:style w:type="paragraph" w:styleId="Obsah7">
    <w:name w:val="toc 7"/>
    <w:basedOn w:val="Normln"/>
    <w:next w:val="Normln"/>
    <w:autoRedefine/>
    <w:uiPriority w:val="39"/>
    <w:unhideWhenUsed/>
    <w:rsid w:val="00366398"/>
    <w:pPr>
      <w:spacing w:after="100" w:line="259" w:lineRule="auto"/>
      <w:ind w:left="1320"/>
    </w:pPr>
    <w:rPr>
      <w:rFonts w:ascii="Calibri" w:hAnsi="Calibri"/>
      <w:sz w:val="22"/>
      <w:szCs w:val="22"/>
    </w:rPr>
  </w:style>
  <w:style w:type="paragraph" w:styleId="Obsah8">
    <w:name w:val="toc 8"/>
    <w:basedOn w:val="Normln"/>
    <w:next w:val="Normln"/>
    <w:autoRedefine/>
    <w:uiPriority w:val="39"/>
    <w:unhideWhenUsed/>
    <w:rsid w:val="00366398"/>
    <w:pPr>
      <w:spacing w:after="100" w:line="259" w:lineRule="auto"/>
      <w:ind w:left="1540"/>
    </w:pPr>
    <w:rPr>
      <w:rFonts w:ascii="Calibri" w:hAnsi="Calibri"/>
      <w:sz w:val="22"/>
      <w:szCs w:val="22"/>
    </w:rPr>
  </w:style>
  <w:style w:type="paragraph" w:styleId="Obsah9">
    <w:name w:val="toc 9"/>
    <w:basedOn w:val="Normln"/>
    <w:next w:val="Normln"/>
    <w:autoRedefine/>
    <w:uiPriority w:val="39"/>
    <w:unhideWhenUsed/>
    <w:rsid w:val="00366398"/>
    <w:pPr>
      <w:spacing w:after="100" w:line="259" w:lineRule="auto"/>
      <w:ind w:left="1760"/>
    </w:pPr>
    <w:rPr>
      <w:rFonts w:ascii="Calibri" w:hAnsi="Calibri"/>
      <w:sz w:val="22"/>
      <w:szCs w:val="22"/>
    </w:rPr>
  </w:style>
  <w:style w:type="paragraph" w:customStyle="1" w:styleId="Styl5">
    <w:name w:val="Styl5"/>
    <w:basedOn w:val="Nadpis3"/>
    <w:link w:val="Styl5Char"/>
    <w:qFormat/>
    <w:rsid w:val="00DD6851"/>
    <w:pPr>
      <w:jc w:val="left"/>
    </w:pPr>
  </w:style>
  <w:style w:type="paragraph" w:customStyle="1" w:styleId="Styl6">
    <w:name w:val="Styl6"/>
    <w:basedOn w:val="Styl5"/>
    <w:link w:val="Styl6Char"/>
    <w:qFormat/>
    <w:rsid w:val="00DD6851"/>
    <w:pPr>
      <w:tabs>
        <w:tab w:val="num" w:pos="0"/>
      </w:tabs>
      <w:ind w:left="709" w:hanging="709"/>
    </w:pPr>
  </w:style>
  <w:style w:type="character" w:customStyle="1" w:styleId="Nadpis3Char">
    <w:name w:val="Nadpis 3 Char"/>
    <w:link w:val="Nadpis3"/>
    <w:rsid w:val="00C0463D"/>
    <w:rPr>
      <w:b/>
      <w:sz w:val="24"/>
    </w:rPr>
  </w:style>
  <w:style w:type="character" w:customStyle="1" w:styleId="Styl5Char">
    <w:name w:val="Styl5 Char"/>
    <w:basedOn w:val="Nadpis3Char"/>
    <w:link w:val="Styl5"/>
    <w:rsid w:val="00DD6851"/>
    <w:rPr>
      <w:b/>
      <w:sz w:val="24"/>
    </w:rPr>
  </w:style>
  <w:style w:type="character" w:customStyle="1" w:styleId="Styl6Char">
    <w:name w:val="Styl6 Char"/>
    <w:basedOn w:val="Styl5Char"/>
    <w:link w:val="Styl6"/>
    <w:rsid w:val="00DD6851"/>
    <w:rPr>
      <w:b/>
      <w:sz w:val="24"/>
    </w:rPr>
  </w:style>
  <w:style w:type="paragraph" w:customStyle="1" w:styleId="textovpole">
    <w:name w:val="textové pole"/>
    <w:basedOn w:val="TEXT3"/>
    <w:qFormat/>
    <w:rsid w:val="00DD7279"/>
    <w:pPr>
      <w:spacing w:after="120"/>
      <w:ind w:firstLine="720"/>
    </w:pPr>
  </w:style>
  <w:style w:type="paragraph" w:customStyle="1" w:styleId="ZZZEssTer12dobloku">
    <w:name w:val="ZZZEssTer12 + do bloku"/>
    <w:basedOn w:val="Normln"/>
    <w:rsid w:val="0018067C"/>
    <w:pPr>
      <w:jc w:val="both"/>
    </w:pPr>
    <w:rPr>
      <w:szCs w:val="20"/>
    </w:rPr>
  </w:style>
  <w:style w:type="paragraph" w:styleId="Textvysvtlivek">
    <w:name w:val="endnote text"/>
    <w:basedOn w:val="Normln"/>
    <w:link w:val="TextvysvtlivekChar"/>
    <w:rsid w:val="0018067C"/>
    <w:rPr>
      <w:sz w:val="20"/>
      <w:szCs w:val="20"/>
    </w:rPr>
  </w:style>
  <w:style w:type="character" w:customStyle="1" w:styleId="TextvysvtlivekChar">
    <w:name w:val="Text vysvětlivek Char"/>
    <w:basedOn w:val="Standardnpsmoodstavce"/>
    <w:link w:val="Textvysvtlivek"/>
    <w:rsid w:val="0018067C"/>
  </w:style>
  <w:style w:type="character" w:styleId="Odkaznavysvtlivky">
    <w:name w:val="endnote reference"/>
    <w:basedOn w:val="Standardnpsmoodstavce"/>
    <w:rsid w:val="0018067C"/>
    <w:rPr>
      <w:vertAlign w:val="superscript"/>
    </w:rPr>
  </w:style>
  <w:style w:type="paragraph" w:styleId="Nadpisobsahu">
    <w:name w:val="TOC Heading"/>
    <w:basedOn w:val="Nadpis10"/>
    <w:next w:val="Normln"/>
    <w:uiPriority w:val="39"/>
    <w:unhideWhenUsed/>
    <w:qFormat/>
    <w:rsid w:val="00391ADC"/>
    <w:pPr>
      <w:keepLines/>
      <w:spacing w:before="240" w:line="259" w:lineRule="auto"/>
      <w:jc w:val="left"/>
      <w:outlineLvl w:val="9"/>
    </w:pPr>
    <w:rPr>
      <w:rFonts w:asciiTheme="majorHAnsi" w:eastAsiaTheme="majorEastAsia" w:hAnsiTheme="majorHAnsi" w:cstheme="majorBidi"/>
      <w:b w:val="0"/>
      <w:bCs w:val="0"/>
      <w:color w:val="2E74B5" w:themeColor="accent1" w:themeShade="BF"/>
      <w:szCs w:val="32"/>
    </w:rPr>
  </w:style>
  <w:style w:type="character" w:styleId="slodku">
    <w:name w:val="line number"/>
    <w:basedOn w:val="Standardnpsmoodstavce"/>
    <w:rsid w:val="00A13177"/>
  </w:style>
  <w:style w:type="paragraph" w:customStyle="1" w:styleId="mdsr1">
    <w:name w:val="mdsr"/>
    <w:basedOn w:val="Normln"/>
    <w:rsid w:val="002052B5"/>
    <w:pPr>
      <w:autoSpaceDE w:val="0"/>
      <w:autoSpaceDN w:val="0"/>
      <w:spacing w:before="120"/>
      <w:ind w:firstLine="567"/>
      <w:jc w:val="both"/>
    </w:pPr>
    <w:rPr>
      <w:rFonts w:eastAsia="Calibri"/>
    </w:rPr>
  </w:style>
  <w:style w:type="character" w:customStyle="1" w:styleId="Nadpis4Char">
    <w:name w:val="Nadpis 4 Char"/>
    <w:basedOn w:val="Standardnpsmoodstavce"/>
    <w:link w:val="Nadpis4"/>
    <w:rsid w:val="00556FCC"/>
    <w:rPr>
      <w:sz w:val="24"/>
    </w:rPr>
  </w:style>
  <w:style w:type="character" w:customStyle="1" w:styleId="Nadpis5Char">
    <w:name w:val="Nadpis 5 Char"/>
    <w:basedOn w:val="Standardnpsmoodstavce"/>
    <w:link w:val="Nadpis5"/>
    <w:rsid w:val="00556FCC"/>
    <w:rPr>
      <w:bCs/>
      <w:sz w:val="24"/>
    </w:rPr>
  </w:style>
  <w:style w:type="character" w:customStyle="1" w:styleId="Nadpis6Char">
    <w:name w:val="Nadpis 6 Char"/>
    <w:basedOn w:val="Standardnpsmoodstavce"/>
    <w:link w:val="Nadpis6"/>
    <w:rsid w:val="002E27A1"/>
    <w:rPr>
      <w:b/>
      <w:bCs/>
      <w:sz w:val="24"/>
      <w:szCs w:val="24"/>
      <w:u w:val="single"/>
    </w:rPr>
  </w:style>
  <w:style w:type="character" w:customStyle="1" w:styleId="Nadpis7Char">
    <w:name w:val="Nadpis 7 Char"/>
    <w:basedOn w:val="Standardnpsmoodstavce"/>
    <w:link w:val="Nadpis7"/>
    <w:rsid w:val="00556FCC"/>
    <w:rPr>
      <w:sz w:val="24"/>
      <w:szCs w:val="24"/>
      <w:u w:val="single"/>
    </w:rPr>
  </w:style>
  <w:style w:type="character" w:customStyle="1" w:styleId="Nadpis8Char">
    <w:name w:val="Nadpis 8 Char"/>
    <w:basedOn w:val="Standardnpsmoodstavce"/>
    <w:link w:val="Nadpis8"/>
    <w:rsid w:val="00556FCC"/>
    <w:rPr>
      <w:sz w:val="28"/>
      <w:szCs w:val="28"/>
      <w:u w:val="single"/>
    </w:rPr>
  </w:style>
  <w:style w:type="character" w:customStyle="1" w:styleId="Nadpis9Char">
    <w:name w:val="Nadpis 9 Char"/>
    <w:basedOn w:val="Standardnpsmoodstavce"/>
    <w:link w:val="Nadpis9"/>
    <w:rsid w:val="00556FCC"/>
    <w:rPr>
      <w:b/>
      <w:sz w:val="24"/>
      <w:szCs w:val="24"/>
      <w:u w:val="single"/>
    </w:rPr>
  </w:style>
  <w:style w:type="character" w:customStyle="1" w:styleId="ZkladntextodsazenChar">
    <w:name w:val="Základní text odsazený Char"/>
    <w:basedOn w:val="Standardnpsmoodstavce"/>
    <w:link w:val="Zkladntextodsazen"/>
    <w:rsid w:val="00556FCC"/>
    <w:rPr>
      <w:sz w:val="24"/>
      <w:szCs w:val="24"/>
    </w:rPr>
  </w:style>
  <w:style w:type="character" w:customStyle="1" w:styleId="Zkladntextodsazen2Char">
    <w:name w:val="Základní text odsazený 2 Char"/>
    <w:basedOn w:val="Standardnpsmoodstavce"/>
    <w:link w:val="Zkladntextodsazen2"/>
    <w:rsid w:val="00556FCC"/>
    <w:rPr>
      <w:sz w:val="24"/>
      <w:szCs w:val="24"/>
    </w:rPr>
  </w:style>
  <w:style w:type="character" w:customStyle="1" w:styleId="Zkladntextodsazen3Char">
    <w:name w:val="Základní text odsazený 3 Char"/>
    <w:basedOn w:val="Standardnpsmoodstavce"/>
    <w:link w:val="Zkladntextodsazen3"/>
    <w:rsid w:val="00556FCC"/>
    <w:rPr>
      <w:sz w:val="24"/>
      <w:szCs w:val="24"/>
    </w:rPr>
  </w:style>
  <w:style w:type="character" w:customStyle="1" w:styleId="Zkladntext2Char">
    <w:name w:val="Základní text 2 Char"/>
    <w:basedOn w:val="Standardnpsmoodstavce"/>
    <w:link w:val="Zkladntext2"/>
    <w:rsid w:val="00556FCC"/>
    <w:rPr>
      <w:sz w:val="24"/>
    </w:rPr>
  </w:style>
  <w:style w:type="character" w:customStyle="1" w:styleId="NzevChar">
    <w:name w:val="Název Char"/>
    <w:basedOn w:val="Standardnpsmoodstavce"/>
    <w:link w:val="Nzev"/>
    <w:rsid w:val="00556FCC"/>
    <w:rPr>
      <w:b/>
      <w:bCs/>
      <w:sz w:val="24"/>
      <w:szCs w:val="24"/>
      <w:u w:val="single"/>
    </w:rPr>
  </w:style>
  <w:style w:type="character" w:customStyle="1" w:styleId="Zkladntext3Char">
    <w:name w:val="Základní text 3 Char"/>
    <w:basedOn w:val="Standardnpsmoodstavce"/>
    <w:link w:val="Zkladntext3"/>
    <w:rsid w:val="00556FCC"/>
    <w:rPr>
      <w:b/>
      <w:sz w:val="24"/>
      <w:szCs w:val="24"/>
    </w:rPr>
  </w:style>
  <w:style w:type="character" w:customStyle="1" w:styleId="ZhlavChar">
    <w:name w:val="Záhlaví Char"/>
    <w:basedOn w:val="Standardnpsmoodstavce"/>
    <w:link w:val="Zhlav"/>
    <w:rsid w:val="00556FCC"/>
  </w:style>
  <w:style w:type="character" w:customStyle="1" w:styleId="TextbublinyChar">
    <w:name w:val="Text bubliny Char"/>
    <w:basedOn w:val="Standardnpsmoodstavce"/>
    <w:link w:val="Textbubliny"/>
    <w:semiHidden/>
    <w:rsid w:val="00556FCC"/>
    <w:rPr>
      <w:rFonts w:ascii="Tahoma" w:hAnsi="Tahoma" w:cs="Tahoma"/>
      <w:sz w:val="16"/>
      <w:szCs w:val="16"/>
    </w:rPr>
  </w:style>
  <w:style w:type="character" w:customStyle="1" w:styleId="RozloendokumentuChar">
    <w:name w:val="Rozložení dokumentu Char"/>
    <w:basedOn w:val="Standardnpsmoodstavce"/>
    <w:link w:val="Rozloendokumentu"/>
    <w:semiHidden/>
    <w:rsid w:val="00556FCC"/>
    <w:rPr>
      <w:rFonts w:ascii="Tahoma" w:hAnsi="Tahoma" w:cs="Tahoma"/>
      <w:shd w:val="clear" w:color="auto" w:fill="000080"/>
    </w:rPr>
  </w:style>
  <w:style w:type="character" w:customStyle="1" w:styleId="TextkomenteChar">
    <w:name w:val="Text komentáře Char"/>
    <w:basedOn w:val="Standardnpsmoodstavce"/>
    <w:link w:val="Textkomente"/>
    <w:semiHidden/>
    <w:rsid w:val="00556FCC"/>
  </w:style>
  <w:style w:type="character" w:customStyle="1" w:styleId="PedmtkomenteChar">
    <w:name w:val="Předmět komentáře Char"/>
    <w:basedOn w:val="TextkomenteChar"/>
    <w:link w:val="Pedmtkomente"/>
    <w:semiHidden/>
    <w:rsid w:val="00556F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3932">
      <w:bodyDiv w:val="1"/>
      <w:marLeft w:val="0"/>
      <w:marRight w:val="0"/>
      <w:marTop w:val="0"/>
      <w:marBottom w:val="0"/>
      <w:divBdr>
        <w:top w:val="none" w:sz="0" w:space="0" w:color="auto"/>
        <w:left w:val="none" w:sz="0" w:space="0" w:color="auto"/>
        <w:bottom w:val="none" w:sz="0" w:space="0" w:color="auto"/>
        <w:right w:val="none" w:sz="0" w:space="0" w:color="auto"/>
      </w:divBdr>
    </w:div>
    <w:div w:id="23484639">
      <w:bodyDiv w:val="1"/>
      <w:marLeft w:val="0"/>
      <w:marRight w:val="0"/>
      <w:marTop w:val="0"/>
      <w:marBottom w:val="0"/>
      <w:divBdr>
        <w:top w:val="none" w:sz="0" w:space="0" w:color="auto"/>
        <w:left w:val="none" w:sz="0" w:space="0" w:color="auto"/>
        <w:bottom w:val="none" w:sz="0" w:space="0" w:color="auto"/>
        <w:right w:val="none" w:sz="0" w:space="0" w:color="auto"/>
      </w:divBdr>
    </w:div>
    <w:div w:id="31076927">
      <w:bodyDiv w:val="1"/>
      <w:marLeft w:val="0"/>
      <w:marRight w:val="0"/>
      <w:marTop w:val="0"/>
      <w:marBottom w:val="0"/>
      <w:divBdr>
        <w:top w:val="none" w:sz="0" w:space="0" w:color="auto"/>
        <w:left w:val="none" w:sz="0" w:space="0" w:color="auto"/>
        <w:bottom w:val="none" w:sz="0" w:space="0" w:color="auto"/>
        <w:right w:val="none" w:sz="0" w:space="0" w:color="auto"/>
      </w:divBdr>
    </w:div>
    <w:div w:id="52505288">
      <w:bodyDiv w:val="1"/>
      <w:marLeft w:val="0"/>
      <w:marRight w:val="0"/>
      <w:marTop w:val="0"/>
      <w:marBottom w:val="0"/>
      <w:divBdr>
        <w:top w:val="none" w:sz="0" w:space="0" w:color="auto"/>
        <w:left w:val="none" w:sz="0" w:space="0" w:color="auto"/>
        <w:bottom w:val="none" w:sz="0" w:space="0" w:color="auto"/>
        <w:right w:val="none" w:sz="0" w:space="0" w:color="auto"/>
      </w:divBdr>
    </w:div>
    <w:div w:id="187523413">
      <w:bodyDiv w:val="1"/>
      <w:marLeft w:val="0"/>
      <w:marRight w:val="0"/>
      <w:marTop w:val="0"/>
      <w:marBottom w:val="0"/>
      <w:divBdr>
        <w:top w:val="none" w:sz="0" w:space="0" w:color="auto"/>
        <w:left w:val="none" w:sz="0" w:space="0" w:color="auto"/>
        <w:bottom w:val="none" w:sz="0" w:space="0" w:color="auto"/>
        <w:right w:val="none" w:sz="0" w:space="0" w:color="auto"/>
      </w:divBdr>
    </w:div>
    <w:div w:id="225840501">
      <w:bodyDiv w:val="1"/>
      <w:marLeft w:val="0"/>
      <w:marRight w:val="0"/>
      <w:marTop w:val="0"/>
      <w:marBottom w:val="0"/>
      <w:divBdr>
        <w:top w:val="none" w:sz="0" w:space="0" w:color="auto"/>
        <w:left w:val="none" w:sz="0" w:space="0" w:color="auto"/>
        <w:bottom w:val="none" w:sz="0" w:space="0" w:color="auto"/>
        <w:right w:val="none" w:sz="0" w:space="0" w:color="auto"/>
      </w:divBdr>
    </w:div>
    <w:div w:id="239026798">
      <w:bodyDiv w:val="1"/>
      <w:marLeft w:val="0"/>
      <w:marRight w:val="0"/>
      <w:marTop w:val="0"/>
      <w:marBottom w:val="0"/>
      <w:divBdr>
        <w:top w:val="none" w:sz="0" w:space="0" w:color="auto"/>
        <w:left w:val="none" w:sz="0" w:space="0" w:color="auto"/>
        <w:bottom w:val="none" w:sz="0" w:space="0" w:color="auto"/>
        <w:right w:val="none" w:sz="0" w:space="0" w:color="auto"/>
      </w:divBdr>
    </w:div>
    <w:div w:id="287441278">
      <w:bodyDiv w:val="1"/>
      <w:marLeft w:val="0"/>
      <w:marRight w:val="0"/>
      <w:marTop w:val="0"/>
      <w:marBottom w:val="0"/>
      <w:divBdr>
        <w:top w:val="none" w:sz="0" w:space="0" w:color="auto"/>
        <w:left w:val="none" w:sz="0" w:space="0" w:color="auto"/>
        <w:bottom w:val="none" w:sz="0" w:space="0" w:color="auto"/>
        <w:right w:val="none" w:sz="0" w:space="0" w:color="auto"/>
      </w:divBdr>
    </w:div>
    <w:div w:id="340668134">
      <w:bodyDiv w:val="1"/>
      <w:marLeft w:val="0"/>
      <w:marRight w:val="0"/>
      <w:marTop w:val="0"/>
      <w:marBottom w:val="0"/>
      <w:divBdr>
        <w:top w:val="none" w:sz="0" w:space="0" w:color="auto"/>
        <w:left w:val="none" w:sz="0" w:space="0" w:color="auto"/>
        <w:bottom w:val="none" w:sz="0" w:space="0" w:color="auto"/>
        <w:right w:val="none" w:sz="0" w:space="0" w:color="auto"/>
      </w:divBdr>
    </w:div>
    <w:div w:id="348415679">
      <w:bodyDiv w:val="1"/>
      <w:marLeft w:val="0"/>
      <w:marRight w:val="0"/>
      <w:marTop w:val="0"/>
      <w:marBottom w:val="0"/>
      <w:divBdr>
        <w:top w:val="none" w:sz="0" w:space="0" w:color="auto"/>
        <w:left w:val="none" w:sz="0" w:space="0" w:color="auto"/>
        <w:bottom w:val="none" w:sz="0" w:space="0" w:color="auto"/>
        <w:right w:val="none" w:sz="0" w:space="0" w:color="auto"/>
      </w:divBdr>
    </w:div>
    <w:div w:id="393509234">
      <w:bodyDiv w:val="1"/>
      <w:marLeft w:val="0"/>
      <w:marRight w:val="0"/>
      <w:marTop w:val="0"/>
      <w:marBottom w:val="0"/>
      <w:divBdr>
        <w:top w:val="none" w:sz="0" w:space="0" w:color="auto"/>
        <w:left w:val="none" w:sz="0" w:space="0" w:color="auto"/>
        <w:bottom w:val="none" w:sz="0" w:space="0" w:color="auto"/>
        <w:right w:val="none" w:sz="0" w:space="0" w:color="auto"/>
      </w:divBdr>
    </w:div>
    <w:div w:id="408965177">
      <w:bodyDiv w:val="1"/>
      <w:marLeft w:val="0"/>
      <w:marRight w:val="0"/>
      <w:marTop w:val="0"/>
      <w:marBottom w:val="0"/>
      <w:divBdr>
        <w:top w:val="none" w:sz="0" w:space="0" w:color="auto"/>
        <w:left w:val="none" w:sz="0" w:space="0" w:color="auto"/>
        <w:bottom w:val="none" w:sz="0" w:space="0" w:color="auto"/>
        <w:right w:val="none" w:sz="0" w:space="0" w:color="auto"/>
      </w:divBdr>
    </w:div>
    <w:div w:id="443500684">
      <w:bodyDiv w:val="1"/>
      <w:marLeft w:val="0"/>
      <w:marRight w:val="0"/>
      <w:marTop w:val="0"/>
      <w:marBottom w:val="0"/>
      <w:divBdr>
        <w:top w:val="none" w:sz="0" w:space="0" w:color="auto"/>
        <w:left w:val="none" w:sz="0" w:space="0" w:color="auto"/>
        <w:bottom w:val="none" w:sz="0" w:space="0" w:color="auto"/>
        <w:right w:val="none" w:sz="0" w:space="0" w:color="auto"/>
      </w:divBdr>
    </w:div>
    <w:div w:id="443885014">
      <w:bodyDiv w:val="1"/>
      <w:marLeft w:val="0"/>
      <w:marRight w:val="0"/>
      <w:marTop w:val="0"/>
      <w:marBottom w:val="0"/>
      <w:divBdr>
        <w:top w:val="none" w:sz="0" w:space="0" w:color="auto"/>
        <w:left w:val="none" w:sz="0" w:space="0" w:color="auto"/>
        <w:bottom w:val="none" w:sz="0" w:space="0" w:color="auto"/>
        <w:right w:val="none" w:sz="0" w:space="0" w:color="auto"/>
      </w:divBdr>
    </w:div>
    <w:div w:id="451900330">
      <w:bodyDiv w:val="1"/>
      <w:marLeft w:val="0"/>
      <w:marRight w:val="0"/>
      <w:marTop w:val="0"/>
      <w:marBottom w:val="0"/>
      <w:divBdr>
        <w:top w:val="none" w:sz="0" w:space="0" w:color="auto"/>
        <w:left w:val="none" w:sz="0" w:space="0" w:color="auto"/>
        <w:bottom w:val="none" w:sz="0" w:space="0" w:color="auto"/>
        <w:right w:val="none" w:sz="0" w:space="0" w:color="auto"/>
      </w:divBdr>
    </w:div>
    <w:div w:id="469521353">
      <w:bodyDiv w:val="1"/>
      <w:marLeft w:val="0"/>
      <w:marRight w:val="0"/>
      <w:marTop w:val="0"/>
      <w:marBottom w:val="0"/>
      <w:divBdr>
        <w:top w:val="none" w:sz="0" w:space="0" w:color="auto"/>
        <w:left w:val="none" w:sz="0" w:space="0" w:color="auto"/>
        <w:bottom w:val="none" w:sz="0" w:space="0" w:color="auto"/>
        <w:right w:val="none" w:sz="0" w:space="0" w:color="auto"/>
      </w:divBdr>
    </w:div>
    <w:div w:id="493766881">
      <w:bodyDiv w:val="1"/>
      <w:marLeft w:val="0"/>
      <w:marRight w:val="0"/>
      <w:marTop w:val="0"/>
      <w:marBottom w:val="0"/>
      <w:divBdr>
        <w:top w:val="none" w:sz="0" w:space="0" w:color="auto"/>
        <w:left w:val="none" w:sz="0" w:space="0" w:color="auto"/>
        <w:bottom w:val="none" w:sz="0" w:space="0" w:color="auto"/>
        <w:right w:val="none" w:sz="0" w:space="0" w:color="auto"/>
      </w:divBdr>
    </w:div>
    <w:div w:id="500125977">
      <w:bodyDiv w:val="1"/>
      <w:marLeft w:val="0"/>
      <w:marRight w:val="0"/>
      <w:marTop w:val="0"/>
      <w:marBottom w:val="0"/>
      <w:divBdr>
        <w:top w:val="none" w:sz="0" w:space="0" w:color="auto"/>
        <w:left w:val="none" w:sz="0" w:space="0" w:color="auto"/>
        <w:bottom w:val="none" w:sz="0" w:space="0" w:color="auto"/>
        <w:right w:val="none" w:sz="0" w:space="0" w:color="auto"/>
      </w:divBdr>
    </w:div>
    <w:div w:id="523638853">
      <w:bodyDiv w:val="1"/>
      <w:marLeft w:val="0"/>
      <w:marRight w:val="0"/>
      <w:marTop w:val="0"/>
      <w:marBottom w:val="0"/>
      <w:divBdr>
        <w:top w:val="none" w:sz="0" w:space="0" w:color="auto"/>
        <w:left w:val="none" w:sz="0" w:space="0" w:color="auto"/>
        <w:bottom w:val="none" w:sz="0" w:space="0" w:color="auto"/>
        <w:right w:val="none" w:sz="0" w:space="0" w:color="auto"/>
      </w:divBdr>
    </w:div>
    <w:div w:id="535234725">
      <w:bodyDiv w:val="1"/>
      <w:marLeft w:val="0"/>
      <w:marRight w:val="0"/>
      <w:marTop w:val="0"/>
      <w:marBottom w:val="0"/>
      <w:divBdr>
        <w:top w:val="none" w:sz="0" w:space="0" w:color="auto"/>
        <w:left w:val="none" w:sz="0" w:space="0" w:color="auto"/>
        <w:bottom w:val="none" w:sz="0" w:space="0" w:color="auto"/>
        <w:right w:val="none" w:sz="0" w:space="0" w:color="auto"/>
      </w:divBdr>
    </w:div>
    <w:div w:id="542332802">
      <w:bodyDiv w:val="1"/>
      <w:marLeft w:val="0"/>
      <w:marRight w:val="0"/>
      <w:marTop w:val="0"/>
      <w:marBottom w:val="0"/>
      <w:divBdr>
        <w:top w:val="none" w:sz="0" w:space="0" w:color="auto"/>
        <w:left w:val="none" w:sz="0" w:space="0" w:color="auto"/>
        <w:bottom w:val="none" w:sz="0" w:space="0" w:color="auto"/>
        <w:right w:val="none" w:sz="0" w:space="0" w:color="auto"/>
      </w:divBdr>
    </w:div>
    <w:div w:id="623846575">
      <w:bodyDiv w:val="1"/>
      <w:marLeft w:val="0"/>
      <w:marRight w:val="0"/>
      <w:marTop w:val="0"/>
      <w:marBottom w:val="0"/>
      <w:divBdr>
        <w:top w:val="none" w:sz="0" w:space="0" w:color="auto"/>
        <w:left w:val="none" w:sz="0" w:space="0" w:color="auto"/>
        <w:bottom w:val="none" w:sz="0" w:space="0" w:color="auto"/>
        <w:right w:val="none" w:sz="0" w:space="0" w:color="auto"/>
      </w:divBdr>
    </w:div>
    <w:div w:id="637300149">
      <w:bodyDiv w:val="1"/>
      <w:marLeft w:val="0"/>
      <w:marRight w:val="0"/>
      <w:marTop w:val="0"/>
      <w:marBottom w:val="0"/>
      <w:divBdr>
        <w:top w:val="none" w:sz="0" w:space="0" w:color="auto"/>
        <w:left w:val="none" w:sz="0" w:space="0" w:color="auto"/>
        <w:bottom w:val="none" w:sz="0" w:space="0" w:color="auto"/>
        <w:right w:val="none" w:sz="0" w:space="0" w:color="auto"/>
      </w:divBdr>
    </w:div>
    <w:div w:id="656692726">
      <w:bodyDiv w:val="1"/>
      <w:marLeft w:val="0"/>
      <w:marRight w:val="0"/>
      <w:marTop w:val="0"/>
      <w:marBottom w:val="0"/>
      <w:divBdr>
        <w:top w:val="none" w:sz="0" w:space="0" w:color="auto"/>
        <w:left w:val="none" w:sz="0" w:space="0" w:color="auto"/>
        <w:bottom w:val="none" w:sz="0" w:space="0" w:color="auto"/>
        <w:right w:val="none" w:sz="0" w:space="0" w:color="auto"/>
      </w:divBdr>
    </w:div>
    <w:div w:id="677194836">
      <w:bodyDiv w:val="1"/>
      <w:marLeft w:val="0"/>
      <w:marRight w:val="0"/>
      <w:marTop w:val="0"/>
      <w:marBottom w:val="0"/>
      <w:divBdr>
        <w:top w:val="none" w:sz="0" w:space="0" w:color="auto"/>
        <w:left w:val="none" w:sz="0" w:space="0" w:color="auto"/>
        <w:bottom w:val="none" w:sz="0" w:space="0" w:color="auto"/>
        <w:right w:val="none" w:sz="0" w:space="0" w:color="auto"/>
      </w:divBdr>
    </w:div>
    <w:div w:id="686446869">
      <w:bodyDiv w:val="1"/>
      <w:marLeft w:val="0"/>
      <w:marRight w:val="0"/>
      <w:marTop w:val="0"/>
      <w:marBottom w:val="0"/>
      <w:divBdr>
        <w:top w:val="none" w:sz="0" w:space="0" w:color="auto"/>
        <w:left w:val="none" w:sz="0" w:space="0" w:color="auto"/>
        <w:bottom w:val="none" w:sz="0" w:space="0" w:color="auto"/>
        <w:right w:val="none" w:sz="0" w:space="0" w:color="auto"/>
      </w:divBdr>
    </w:div>
    <w:div w:id="700083943">
      <w:bodyDiv w:val="1"/>
      <w:marLeft w:val="0"/>
      <w:marRight w:val="0"/>
      <w:marTop w:val="0"/>
      <w:marBottom w:val="0"/>
      <w:divBdr>
        <w:top w:val="none" w:sz="0" w:space="0" w:color="auto"/>
        <w:left w:val="none" w:sz="0" w:space="0" w:color="auto"/>
        <w:bottom w:val="none" w:sz="0" w:space="0" w:color="auto"/>
        <w:right w:val="none" w:sz="0" w:space="0" w:color="auto"/>
      </w:divBdr>
    </w:div>
    <w:div w:id="773134905">
      <w:bodyDiv w:val="1"/>
      <w:marLeft w:val="0"/>
      <w:marRight w:val="0"/>
      <w:marTop w:val="0"/>
      <w:marBottom w:val="0"/>
      <w:divBdr>
        <w:top w:val="none" w:sz="0" w:space="0" w:color="auto"/>
        <w:left w:val="none" w:sz="0" w:space="0" w:color="auto"/>
        <w:bottom w:val="none" w:sz="0" w:space="0" w:color="auto"/>
        <w:right w:val="none" w:sz="0" w:space="0" w:color="auto"/>
      </w:divBdr>
    </w:div>
    <w:div w:id="818690655">
      <w:bodyDiv w:val="1"/>
      <w:marLeft w:val="0"/>
      <w:marRight w:val="0"/>
      <w:marTop w:val="0"/>
      <w:marBottom w:val="0"/>
      <w:divBdr>
        <w:top w:val="none" w:sz="0" w:space="0" w:color="auto"/>
        <w:left w:val="none" w:sz="0" w:space="0" w:color="auto"/>
        <w:bottom w:val="none" w:sz="0" w:space="0" w:color="auto"/>
        <w:right w:val="none" w:sz="0" w:space="0" w:color="auto"/>
      </w:divBdr>
    </w:div>
    <w:div w:id="846098823">
      <w:bodyDiv w:val="1"/>
      <w:marLeft w:val="0"/>
      <w:marRight w:val="0"/>
      <w:marTop w:val="0"/>
      <w:marBottom w:val="0"/>
      <w:divBdr>
        <w:top w:val="none" w:sz="0" w:space="0" w:color="auto"/>
        <w:left w:val="none" w:sz="0" w:space="0" w:color="auto"/>
        <w:bottom w:val="none" w:sz="0" w:space="0" w:color="auto"/>
        <w:right w:val="none" w:sz="0" w:space="0" w:color="auto"/>
      </w:divBdr>
    </w:div>
    <w:div w:id="859396896">
      <w:bodyDiv w:val="1"/>
      <w:marLeft w:val="0"/>
      <w:marRight w:val="0"/>
      <w:marTop w:val="0"/>
      <w:marBottom w:val="0"/>
      <w:divBdr>
        <w:top w:val="none" w:sz="0" w:space="0" w:color="auto"/>
        <w:left w:val="none" w:sz="0" w:space="0" w:color="auto"/>
        <w:bottom w:val="none" w:sz="0" w:space="0" w:color="auto"/>
        <w:right w:val="none" w:sz="0" w:space="0" w:color="auto"/>
      </w:divBdr>
    </w:div>
    <w:div w:id="860051603">
      <w:bodyDiv w:val="1"/>
      <w:marLeft w:val="0"/>
      <w:marRight w:val="0"/>
      <w:marTop w:val="0"/>
      <w:marBottom w:val="0"/>
      <w:divBdr>
        <w:top w:val="none" w:sz="0" w:space="0" w:color="auto"/>
        <w:left w:val="none" w:sz="0" w:space="0" w:color="auto"/>
        <w:bottom w:val="none" w:sz="0" w:space="0" w:color="auto"/>
        <w:right w:val="none" w:sz="0" w:space="0" w:color="auto"/>
      </w:divBdr>
    </w:div>
    <w:div w:id="937952980">
      <w:bodyDiv w:val="1"/>
      <w:marLeft w:val="0"/>
      <w:marRight w:val="0"/>
      <w:marTop w:val="0"/>
      <w:marBottom w:val="0"/>
      <w:divBdr>
        <w:top w:val="none" w:sz="0" w:space="0" w:color="auto"/>
        <w:left w:val="none" w:sz="0" w:space="0" w:color="auto"/>
        <w:bottom w:val="none" w:sz="0" w:space="0" w:color="auto"/>
        <w:right w:val="none" w:sz="0" w:space="0" w:color="auto"/>
      </w:divBdr>
    </w:div>
    <w:div w:id="943222991">
      <w:bodyDiv w:val="1"/>
      <w:marLeft w:val="0"/>
      <w:marRight w:val="0"/>
      <w:marTop w:val="0"/>
      <w:marBottom w:val="0"/>
      <w:divBdr>
        <w:top w:val="none" w:sz="0" w:space="0" w:color="auto"/>
        <w:left w:val="none" w:sz="0" w:space="0" w:color="auto"/>
        <w:bottom w:val="none" w:sz="0" w:space="0" w:color="auto"/>
        <w:right w:val="none" w:sz="0" w:space="0" w:color="auto"/>
      </w:divBdr>
    </w:div>
    <w:div w:id="985936943">
      <w:bodyDiv w:val="1"/>
      <w:marLeft w:val="0"/>
      <w:marRight w:val="0"/>
      <w:marTop w:val="0"/>
      <w:marBottom w:val="0"/>
      <w:divBdr>
        <w:top w:val="none" w:sz="0" w:space="0" w:color="auto"/>
        <w:left w:val="none" w:sz="0" w:space="0" w:color="auto"/>
        <w:bottom w:val="none" w:sz="0" w:space="0" w:color="auto"/>
        <w:right w:val="none" w:sz="0" w:space="0" w:color="auto"/>
      </w:divBdr>
    </w:div>
    <w:div w:id="1098059378">
      <w:bodyDiv w:val="1"/>
      <w:marLeft w:val="0"/>
      <w:marRight w:val="0"/>
      <w:marTop w:val="0"/>
      <w:marBottom w:val="0"/>
      <w:divBdr>
        <w:top w:val="none" w:sz="0" w:space="0" w:color="auto"/>
        <w:left w:val="none" w:sz="0" w:space="0" w:color="auto"/>
        <w:bottom w:val="none" w:sz="0" w:space="0" w:color="auto"/>
        <w:right w:val="none" w:sz="0" w:space="0" w:color="auto"/>
      </w:divBdr>
    </w:div>
    <w:div w:id="1110273658">
      <w:bodyDiv w:val="1"/>
      <w:marLeft w:val="0"/>
      <w:marRight w:val="0"/>
      <w:marTop w:val="0"/>
      <w:marBottom w:val="0"/>
      <w:divBdr>
        <w:top w:val="none" w:sz="0" w:space="0" w:color="auto"/>
        <w:left w:val="none" w:sz="0" w:space="0" w:color="auto"/>
        <w:bottom w:val="none" w:sz="0" w:space="0" w:color="auto"/>
        <w:right w:val="none" w:sz="0" w:space="0" w:color="auto"/>
      </w:divBdr>
    </w:div>
    <w:div w:id="1156452923">
      <w:bodyDiv w:val="1"/>
      <w:marLeft w:val="0"/>
      <w:marRight w:val="0"/>
      <w:marTop w:val="0"/>
      <w:marBottom w:val="0"/>
      <w:divBdr>
        <w:top w:val="none" w:sz="0" w:space="0" w:color="auto"/>
        <w:left w:val="none" w:sz="0" w:space="0" w:color="auto"/>
        <w:bottom w:val="none" w:sz="0" w:space="0" w:color="auto"/>
        <w:right w:val="none" w:sz="0" w:space="0" w:color="auto"/>
      </w:divBdr>
    </w:div>
    <w:div w:id="1179347394">
      <w:bodyDiv w:val="1"/>
      <w:marLeft w:val="0"/>
      <w:marRight w:val="0"/>
      <w:marTop w:val="0"/>
      <w:marBottom w:val="0"/>
      <w:divBdr>
        <w:top w:val="none" w:sz="0" w:space="0" w:color="auto"/>
        <w:left w:val="none" w:sz="0" w:space="0" w:color="auto"/>
        <w:bottom w:val="none" w:sz="0" w:space="0" w:color="auto"/>
        <w:right w:val="none" w:sz="0" w:space="0" w:color="auto"/>
      </w:divBdr>
    </w:div>
    <w:div w:id="1181236781">
      <w:bodyDiv w:val="1"/>
      <w:marLeft w:val="0"/>
      <w:marRight w:val="0"/>
      <w:marTop w:val="0"/>
      <w:marBottom w:val="0"/>
      <w:divBdr>
        <w:top w:val="none" w:sz="0" w:space="0" w:color="auto"/>
        <w:left w:val="none" w:sz="0" w:space="0" w:color="auto"/>
        <w:bottom w:val="none" w:sz="0" w:space="0" w:color="auto"/>
        <w:right w:val="none" w:sz="0" w:space="0" w:color="auto"/>
      </w:divBdr>
    </w:div>
    <w:div w:id="1217200296">
      <w:bodyDiv w:val="1"/>
      <w:marLeft w:val="0"/>
      <w:marRight w:val="0"/>
      <w:marTop w:val="0"/>
      <w:marBottom w:val="0"/>
      <w:divBdr>
        <w:top w:val="none" w:sz="0" w:space="0" w:color="auto"/>
        <w:left w:val="none" w:sz="0" w:space="0" w:color="auto"/>
        <w:bottom w:val="none" w:sz="0" w:space="0" w:color="auto"/>
        <w:right w:val="none" w:sz="0" w:space="0" w:color="auto"/>
      </w:divBdr>
    </w:div>
    <w:div w:id="1226840596">
      <w:bodyDiv w:val="1"/>
      <w:marLeft w:val="0"/>
      <w:marRight w:val="0"/>
      <w:marTop w:val="0"/>
      <w:marBottom w:val="0"/>
      <w:divBdr>
        <w:top w:val="none" w:sz="0" w:space="0" w:color="auto"/>
        <w:left w:val="none" w:sz="0" w:space="0" w:color="auto"/>
        <w:bottom w:val="none" w:sz="0" w:space="0" w:color="auto"/>
        <w:right w:val="none" w:sz="0" w:space="0" w:color="auto"/>
      </w:divBdr>
    </w:div>
    <w:div w:id="1305159104">
      <w:bodyDiv w:val="1"/>
      <w:marLeft w:val="0"/>
      <w:marRight w:val="0"/>
      <w:marTop w:val="0"/>
      <w:marBottom w:val="0"/>
      <w:divBdr>
        <w:top w:val="none" w:sz="0" w:space="0" w:color="auto"/>
        <w:left w:val="none" w:sz="0" w:space="0" w:color="auto"/>
        <w:bottom w:val="none" w:sz="0" w:space="0" w:color="auto"/>
        <w:right w:val="none" w:sz="0" w:space="0" w:color="auto"/>
      </w:divBdr>
    </w:div>
    <w:div w:id="1305814343">
      <w:bodyDiv w:val="1"/>
      <w:marLeft w:val="0"/>
      <w:marRight w:val="0"/>
      <w:marTop w:val="0"/>
      <w:marBottom w:val="0"/>
      <w:divBdr>
        <w:top w:val="none" w:sz="0" w:space="0" w:color="auto"/>
        <w:left w:val="none" w:sz="0" w:space="0" w:color="auto"/>
        <w:bottom w:val="none" w:sz="0" w:space="0" w:color="auto"/>
        <w:right w:val="none" w:sz="0" w:space="0" w:color="auto"/>
      </w:divBdr>
    </w:div>
    <w:div w:id="1308242605">
      <w:bodyDiv w:val="1"/>
      <w:marLeft w:val="0"/>
      <w:marRight w:val="0"/>
      <w:marTop w:val="0"/>
      <w:marBottom w:val="0"/>
      <w:divBdr>
        <w:top w:val="none" w:sz="0" w:space="0" w:color="auto"/>
        <w:left w:val="none" w:sz="0" w:space="0" w:color="auto"/>
        <w:bottom w:val="none" w:sz="0" w:space="0" w:color="auto"/>
        <w:right w:val="none" w:sz="0" w:space="0" w:color="auto"/>
      </w:divBdr>
    </w:div>
    <w:div w:id="1348601231">
      <w:bodyDiv w:val="1"/>
      <w:marLeft w:val="0"/>
      <w:marRight w:val="0"/>
      <w:marTop w:val="0"/>
      <w:marBottom w:val="0"/>
      <w:divBdr>
        <w:top w:val="none" w:sz="0" w:space="0" w:color="auto"/>
        <w:left w:val="none" w:sz="0" w:space="0" w:color="auto"/>
        <w:bottom w:val="none" w:sz="0" w:space="0" w:color="auto"/>
        <w:right w:val="none" w:sz="0" w:space="0" w:color="auto"/>
      </w:divBdr>
    </w:div>
    <w:div w:id="1357459354">
      <w:bodyDiv w:val="1"/>
      <w:marLeft w:val="0"/>
      <w:marRight w:val="0"/>
      <w:marTop w:val="0"/>
      <w:marBottom w:val="0"/>
      <w:divBdr>
        <w:top w:val="none" w:sz="0" w:space="0" w:color="auto"/>
        <w:left w:val="none" w:sz="0" w:space="0" w:color="auto"/>
        <w:bottom w:val="none" w:sz="0" w:space="0" w:color="auto"/>
        <w:right w:val="none" w:sz="0" w:space="0" w:color="auto"/>
      </w:divBdr>
    </w:div>
    <w:div w:id="1448963678">
      <w:bodyDiv w:val="1"/>
      <w:marLeft w:val="0"/>
      <w:marRight w:val="0"/>
      <w:marTop w:val="0"/>
      <w:marBottom w:val="0"/>
      <w:divBdr>
        <w:top w:val="none" w:sz="0" w:space="0" w:color="auto"/>
        <w:left w:val="none" w:sz="0" w:space="0" w:color="auto"/>
        <w:bottom w:val="none" w:sz="0" w:space="0" w:color="auto"/>
        <w:right w:val="none" w:sz="0" w:space="0" w:color="auto"/>
      </w:divBdr>
    </w:div>
    <w:div w:id="1450006764">
      <w:bodyDiv w:val="1"/>
      <w:marLeft w:val="0"/>
      <w:marRight w:val="0"/>
      <w:marTop w:val="0"/>
      <w:marBottom w:val="0"/>
      <w:divBdr>
        <w:top w:val="none" w:sz="0" w:space="0" w:color="auto"/>
        <w:left w:val="none" w:sz="0" w:space="0" w:color="auto"/>
        <w:bottom w:val="none" w:sz="0" w:space="0" w:color="auto"/>
        <w:right w:val="none" w:sz="0" w:space="0" w:color="auto"/>
      </w:divBdr>
    </w:div>
    <w:div w:id="1478569429">
      <w:bodyDiv w:val="1"/>
      <w:marLeft w:val="0"/>
      <w:marRight w:val="0"/>
      <w:marTop w:val="0"/>
      <w:marBottom w:val="0"/>
      <w:divBdr>
        <w:top w:val="none" w:sz="0" w:space="0" w:color="auto"/>
        <w:left w:val="none" w:sz="0" w:space="0" w:color="auto"/>
        <w:bottom w:val="none" w:sz="0" w:space="0" w:color="auto"/>
        <w:right w:val="none" w:sz="0" w:space="0" w:color="auto"/>
      </w:divBdr>
    </w:div>
    <w:div w:id="1555237870">
      <w:bodyDiv w:val="1"/>
      <w:marLeft w:val="0"/>
      <w:marRight w:val="0"/>
      <w:marTop w:val="0"/>
      <w:marBottom w:val="0"/>
      <w:divBdr>
        <w:top w:val="none" w:sz="0" w:space="0" w:color="auto"/>
        <w:left w:val="none" w:sz="0" w:space="0" w:color="auto"/>
        <w:bottom w:val="none" w:sz="0" w:space="0" w:color="auto"/>
        <w:right w:val="none" w:sz="0" w:space="0" w:color="auto"/>
      </w:divBdr>
    </w:div>
    <w:div w:id="1572693154">
      <w:bodyDiv w:val="1"/>
      <w:marLeft w:val="0"/>
      <w:marRight w:val="0"/>
      <w:marTop w:val="0"/>
      <w:marBottom w:val="0"/>
      <w:divBdr>
        <w:top w:val="none" w:sz="0" w:space="0" w:color="auto"/>
        <w:left w:val="none" w:sz="0" w:space="0" w:color="auto"/>
        <w:bottom w:val="none" w:sz="0" w:space="0" w:color="auto"/>
        <w:right w:val="none" w:sz="0" w:space="0" w:color="auto"/>
      </w:divBdr>
    </w:div>
    <w:div w:id="1585339054">
      <w:bodyDiv w:val="1"/>
      <w:marLeft w:val="0"/>
      <w:marRight w:val="0"/>
      <w:marTop w:val="0"/>
      <w:marBottom w:val="0"/>
      <w:divBdr>
        <w:top w:val="none" w:sz="0" w:space="0" w:color="auto"/>
        <w:left w:val="none" w:sz="0" w:space="0" w:color="auto"/>
        <w:bottom w:val="none" w:sz="0" w:space="0" w:color="auto"/>
        <w:right w:val="none" w:sz="0" w:space="0" w:color="auto"/>
      </w:divBdr>
    </w:div>
    <w:div w:id="1609972576">
      <w:bodyDiv w:val="1"/>
      <w:marLeft w:val="0"/>
      <w:marRight w:val="0"/>
      <w:marTop w:val="0"/>
      <w:marBottom w:val="0"/>
      <w:divBdr>
        <w:top w:val="none" w:sz="0" w:space="0" w:color="auto"/>
        <w:left w:val="none" w:sz="0" w:space="0" w:color="auto"/>
        <w:bottom w:val="none" w:sz="0" w:space="0" w:color="auto"/>
        <w:right w:val="none" w:sz="0" w:space="0" w:color="auto"/>
      </w:divBdr>
    </w:div>
    <w:div w:id="1677417720">
      <w:bodyDiv w:val="1"/>
      <w:marLeft w:val="0"/>
      <w:marRight w:val="0"/>
      <w:marTop w:val="0"/>
      <w:marBottom w:val="0"/>
      <w:divBdr>
        <w:top w:val="none" w:sz="0" w:space="0" w:color="auto"/>
        <w:left w:val="none" w:sz="0" w:space="0" w:color="auto"/>
        <w:bottom w:val="none" w:sz="0" w:space="0" w:color="auto"/>
        <w:right w:val="none" w:sz="0" w:space="0" w:color="auto"/>
      </w:divBdr>
    </w:div>
    <w:div w:id="1744060556">
      <w:bodyDiv w:val="1"/>
      <w:marLeft w:val="0"/>
      <w:marRight w:val="0"/>
      <w:marTop w:val="0"/>
      <w:marBottom w:val="0"/>
      <w:divBdr>
        <w:top w:val="none" w:sz="0" w:space="0" w:color="auto"/>
        <w:left w:val="none" w:sz="0" w:space="0" w:color="auto"/>
        <w:bottom w:val="none" w:sz="0" w:space="0" w:color="auto"/>
        <w:right w:val="none" w:sz="0" w:space="0" w:color="auto"/>
      </w:divBdr>
    </w:div>
    <w:div w:id="1760173743">
      <w:bodyDiv w:val="1"/>
      <w:marLeft w:val="0"/>
      <w:marRight w:val="0"/>
      <w:marTop w:val="0"/>
      <w:marBottom w:val="0"/>
      <w:divBdr>
        <w:top w:val="none" w:sz="0" w:space="0" w:color="auto"/>
        <w:left w:val="none" w:sz="0" w:space="0" w:color="auto"/>
        <w:bottom w:val="none" w:sz="0" w:space="0" w:color="auto"/>
        <w:right w:val="none" w:sz="0" w:space="0" w:color="auto"/>
      </w:divBdr>
    </w:div>
    <w:div w:id="1774130744">
      <w:bodyDiv w:val="1"/>
      <w:marLeft w:val="0"/>
      <w:marRight w:val="0"/>
      <w:marTop w:val="0"/>
      <w:marBottom w:val="0"/>
      <w:divBdr>
        <w:top w:val="none" w:sz="0" w:space="0" w:color="auto"/>
        <w:left w:val="none" w:sz="0" w:space="0" w:color="auto"/>
        <w:bottom w:val="none" w:sz="0" w:space="0" w:color="auto"/>
        <w:right w:val="none" w:sz="0" w:space="0" w:color="auto"/>
      </w:divBdr>
    </w:div>
    <w:div w:id="1855531361">
      <w:bodyDiv w:val="1"/>
      <w:marLeft w:val="0"/>
      <w:marRight w:val="0"/>
      <w:marTop w:val="0"/>
      <w:marBottom w:val="0"/>
      <w:divBdr>
        <w:top w:val="none" w:sz="0" w:space="0" w:color="auto"/>
        <w:left w:val="none" w:sz="0" w:space="0" w:color="auto"/>
        <w:bottom w:val="none" w:sz="0" w:space="0" w:color="auto"/>
        <w:right w:val="none" w:sz="0" w:space="0" w:color="auto"/>
      </w:divBdr>
    </w:div>
    <w:div w:id="1855538679">
      <w:bodyDiv w:val="1"/>
      <w:marLeft w:val="0"/>
      <w:marRight w:val="0"/>
      <w:marTop w:val="0"/>
      <w:marBottom w:val="0"/>
      <w:divBdr>
        <w:top w:val="none" w:sz="0" w:space="0" w:color="auto"/>
        <w:left w:val="none" w:sz="0" w:space="0" w:color="auto"/>
        <w:bottom w:val="none" w:sz="0" w:space="0" w:color="auto"/>
        <w:right w:val="none" w:sz="0" w:space="0" w:color="auto"/>
      </w:divBdr>
    </w:div>
    <w:div w:id="1864437845">
      <w:bodyDiv w:val="1"/>
      <w:marLeft w:val="0"/>
      <w:marRight w:val="0"/>
      <w:marTop w:val="0"/>
      <w:marBottom w:val="0"/>
      <w:divBdr>
        <w:top w:val="none" w:sz="0" w:space="0" w:color="auto"/>
        <w:left w:val="none" w:sz="0" w:space="0" w:color="auto"/>
        <w:bottom w:val="none" w:sz="0" w:space="0" w:color="auto"/>
        <w:right w:val="none" w:sz="0" w:space="0" w:color="auto"/>
      </w:divBdr>
    </w:div>
    <w:div w:id="1867786882">
      <w:bodyDiv w:val="1"/>
      <w:marLeft w:val="0"/>
      <w:marRight w:val="0"/>
      <w:marTop w:val="0"/>
      <w:marBottom w:val="0"/>
      <w:divBdr>
        <w:top w:val="none" w:sz="0" w:space="0" w:color="auto"/>
        <w:left w:val="none" w:sz="0" w:space="0" w:color="auto"/>
        <w:bottom w:val="none" w:sz="0" w:space="0" w:color="auto"/>
        <w:right w:val="none" w:sz="0" w:space="0" w:color="auto"/>
      </w:divBdr>
    </w:div>
    <w:div w:id="1928801894">
      <w:bodyDiv w:val="1"/>
      <w:marLeft w:val="0"/>
      <w:marRight w:val="0"/>
      <w:marTop w:val="0"/>
      <w:marBottom w:val="0"/>
      <w:divBdr>
        <w:top w:val="none" w:sz="0" w:space="0" w:color="auto"/>
        <w:left w:val="none" w:sz="0" w:space="0" w:color="auto"/>
        <w:bottom w:val="none" w:sz="0" w:space="0" w:color="auto"/>
        <w:right w:val="none" w:sz="0" w:space="0" w:color="auto"/>
      </w:divBdr>
    </w:div>
    <w:div w:id="1942372253">
      <w:bodyDiv w:val="1"/>
      <w:marLeft w:val="0"/>
      <w:marRight w:val="0"/>
      <w:marTop w:val="0"/>
      <w:marBottom w:val="0"/>
      <w:divBdr>
        <w:top w:val="none" w:sz="0" w:space="0" w:color="auto"/>
        <w:left w:val="none" w:sz="0" w:space="0" w:color="auto"/>
        <w:bottom w:val="none" w:sz="0" w:space="0" w:color="auto"/>
        <w:right w:val="none" w:sz="0" w:space="0" w:color="auto"/>
      </w:divBdr>
    </w:div>
    <w:div w:id="1952082829">
      <w:bodyDiv w:val="1"/>
      <w:marLeft w:val="0"/>
      <w:marRight w:val="0"/>
      <w:marTop w:val="0"/>
      <w:marBottom w:val="0"/>
      <w:divBdr>
        <w:top w:val="none" w:sz="0" w:space="0" w:color="auto"/>
        <w:left w:val="none" w:sz="0" w:space="0" w:color="auto"/>
        <w:bottom w:val="none" w:sz="0" w:space="0" w:color="auto"/>
        <w:right w:val="none" w:sz="0" w:space="0" w:color="auto"/>
      </w:divBdr>
    </w:div>
    <w:div w:id="1969697732">
      <w:bodyDiv w:val="1"/>
      <w:marLeft w:val="0"/>
      <w:marRight w:val="0"/>
      <w:marTop w:val="0"/>
      <w:marBottom w:val="0"/>
      <w:divBdr>
        <w:top w:val="none" w:sz="0" w:space="0" w:color="auto"/>
        <w:left w:val="none" w:sz="0" w:space="0" w:color="auto"/>
        <w:bottom w:val="none" w:sz="0" w:space="0" w:color="auto"/>
        <w:right w:val="none" w:sz="0" w:space="0" w:color="auto"/>
      </w:divBdr>
    </w:div>
    <w:div w:id="200200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chart" Target="charts/chart6.xml"/><Relationship Id="rId26" Type="http://schemas.openxmlformats.org/officeDocument/2006/relationships/chart" Target="charts/chart14.xml"/><Relationship Id="rId3" Type="http://schemas.openxmlformats.org/officeDocument/2006/relationships/styles" Target="styles.xml"/><Relationship Id="rId21" Type="http://schemas.openxmlformats.org/officeDocument/2006/relationships/chart" Target="charts/chart9.xml"/><Relationship Id="rId34" Type="http://schemas.openxmlformats.org/officeDocument/2006/relationships/chart" Target="charts/chart2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5.xml"/><Relationship Id="rId25" Type="http://schemas.openxmlformats.org/officeDocument/2006/relationships/chart" Target="charts/chart13.xml"/><Relationship Id="rId33" Type="http://schemas.openxmlformats.org/officeDocument/2006/relationships/chart" Target="charts/chart20.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chart" Target="charts/chart8.xml"/><Relationship Id="rId29" Type="http://schemas.openxmlformats.org/officeDocument/2006/relationships/chart" Target="charts/chart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2.xml"/><Relationship Id="rId32" Type="http://schemas.openxmlformats.org/officeDocument/2006/relationships/footer" Target="footer4.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chart" Target="charts/chart11.xml"/><Relationship Id="rId28" Type="http://schemas.openxmlformats.org/officeDocument/2006/relationships/chart" Target="charts/chart16.xml"/><Relationship Id="rId36" Type="http://schemas.openxmlformats.org/officeDocument/2006/relationships/chart" Target="charts/chart23.xml"/><Relationship Id="rId10" Type="http://schemas.openxmlformats.org/officeDocument/2006/relationships/footer" Target="footer1.xml"/><Relationship Id="rId19" Type="http://schemas.openxmlformats.org/officeDocument/2006/relationships/chart" Target="charts/chart7.xml"/><Relationship Id="rId31" Type="http://schemas.openxmlformats.org/officeDocument/2006/relationships/chart" Target="charts/chart19.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2.xml"/><Relationship Id="rId22" Type="http://schemas.openxmlformats.org/officeDocument/2006/relationships/chart" Target="charts/chart10.xml"/><Relationship Id="rId27" Type="http://schemas.openxmlformats.org/officeDocument/2006/relationships/chart" Target="charts/chart15.xml"/><Relationship Id="rId30" Type="http://schemas.openxmlformats.org/officeDocument/2006/relationships/chart" Target="charts/chart18.xml"/><Relationship Id="rId35" Type="http://schemas.openxmlformats.org/officeDocument/2006/relationships/chart" Target="charts/chart22.xml"/></Relationships>
</file>

<file path=word/charts/_rels/chart1.xml.rels><?xml version="1.0" encoding="UTF-8" standalone="yes"?>
<Relationships xmlns="http://schemas.openxmlformats.org/package/2006/relationships"><Relationship Id="rId3" Type="http://schemas.openxmlformats.org/officeDocument/2006/relationships/package" Target="../embeddings/List_aplikace_Microsoft_Excel.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List_aplikace_Microsoft_Excel9.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List_aplikace_Microsoft_Excel10.xlsx"/><Relationship Id="rId1" Type="http://schemas.openxmlformats.org/officeDocument/2006/relationships/themeOverride" Target="../theme/themeOverride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List_aplikace_Microsoft_Excel11.xlsx"/><Relationship Id="rId1" Type="http://schemas.openxmlformats.org/officeDocument/2006/relationships/themeOverride" Target="../theme/themeOverride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List_aplikace_Microsoft_Excel12.xlsx"/><Relationship Id="rId1" Type="http://schemas.openxmlformats.org/officeDocument/2006/relationships/themeOverride" Target="../theme/themeOverride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List_aplikace_Microsoft_Excel13.xlsx"/><Relationship Id="rId1" Type="http://schemas.openxmlformats.org/officeDocument/2006/relationships/themeOverride" Target="../theme/themeOverride4.xml"/></Relationships>
</file>

<file path=word/charts/_rels/chart15.xml.rels><?xml version="1.0" encoding="UTF-8" standalone="yes"?>
<Relationships xmlns="http://schemas.openxmlformats.org/package/2006/relationships"><Relationship Id="rId3" Type="http://schemas.openxmlformats.org/officeDocument/2006/relationships/package" Target="../embeddings/List_aplikace_Microsoft_Excel14.xlsx"/><Relationship Id="rId2" Type="http://schemas.microsoft.com/office/2011/relationships/chartColorStyle" Target="colors11.xml"/><Relationship Id="rId1" Type="http://schemas.microsoft.com/office/2011/relationships/chartStyle" Target="style11.xml"/></Relationships>
</file>

<file path=word/charts/_rels/chart16.xml.rels><?xml version="1.0" encoding="UTF-8" standalone="yes"?>
<Relationships xmlns="http://schemas.openxmlformats.org/package/2006/relationships"><Relationship Id="rId3" Type="http://schemas.openxmlformats.org/officeDocument/2006/relationships/package" Target="../embeddings/List_aplikace_Microsoft_Excel15.xlsx"/><Relationship Id="rId2" Type="http://schemas.microsoft.com/office/2011/relationships/chartColorStyle" Target="colors12.xml"/><Relationship Id="rId1" Type="http://schemas.microsoft.com/office/2011/relationships/chartStyle" Target="style12.xml"/></Relationships>
</file>

<file path=word/charts/_rels/chart17.xml.rels><?xml version="1.0" encoding="UTF-8" standalone="yes"?>
<Relationships xmlns="http://schemas.openxmlformats.org/package/2006/relationships"><Relationship Id="rId3" Type="http://schemas.openxmlformats.org/officeDocument/2006/relationships/package" Target="../embeddings/List_aplikace_Microsoft_Excel16.xlsx"/><Relationship Id="rId2" Type="http://schemas.microsoft.com/office/2011/relationships/chartColorStyle" Target="colors13.xml"/><Relationship Id="rId1" Type="http://schemas.microsoft.com/office/2011/relationships/chartStyle" Target="style13.xml"/></Relationships>
</file>

<file path=word/charts/_rels/chart18.xml.rels><?xml version="1.0" encoding="UTF-8" standalone="yes"?>
<Relationships xmlns="http://schemas.openxmlformats.org/package/2006/relationships"><Relationship Id="rId3" Type="http://schemas.openxmlformats.org/officeDocument/2006/relationships/package" Target="../embeddings/List_aplikace_Microsoft_Excel17.xlsx"/><Relationship Id="rId2" Type="http://schemas.microsoft.com/office/2011/relationships/chartColorStyle" Target="colors14.xml"/><Relationship Id="rId1" Type="http://schemas.microsoft.com/office/2011/relationships/chartStyle" Target="style14.xml"/></Relationships>
</file>

<file path=word/charts/_rels/chart19.xml.rels><?xml version="1.0" encoding="UTF-8" standalone="yes"?>
<Relationships xmlns="http://schemas.openxmlformats.org/package/2006/relationships"><Relationship Id="rId3" Type="http://schemas.openxmlformats.org/officeDocument/2006/relationships/package" Target="../embeddings/List_aplikace_Microsoft_Excel18.xlsx"/><Relationship Id="rId2" Type="http://schemas.microsoft.com/office/2011/relationships/chartColorStyle" Target="colors15.xml"/><Relationship Id="rId1" Type="http://schemas.microsoft.com/office/2011/relationships/chartStyle" Target="style15.xml"/></Relationships>
</file>

<file path=word/charts/_rels/chart2.xml.rels><?xml version="1.0" encoding="UTF-8" standalone="yes"?>
<Relationships xmlns="http://schemas.openxmlformats.org/package/2006/relationships"><Relationship Id="rId3" Type="http://schemas.openxmlformats.org/officeDocument/2006/relationships/package" Target="../embeddings/List_aplikace_Microsoft_Excel1.xlsx"/><Relationship Id="rId2" Type="http://schemas.microsoft.com/office/2011/relationships/chartColorStyle" Target="colors2.xml"/><Relationship Id="rId1" Type="http://schemas.microsoft.com/office/2011/relationships/chartStyle" Target="style2.xml"/></Relationships>
</file>

<file path=word/charts/_rels/chart20.xml.rels><?xml version="1.0" encoding="UTF-8" standalone="yes"?>
<Relationships xmlns="http://schemas.openxmlformats.org/package/2006/relationships"><Relationship Id="rId2" Type="http://schemas.openxmlformats.org/officeDocument/2006/relationships/package" Target="../embeddings/List_aplikace_Microsoft_Excel19.xlsx"/><Relationship Id="rId1" Type="http://schemas.openxmlformats.org/officeDocument/2006/relationships/themeOverride" Target="../theme/themeOverride5.xml"/></Relationships>
</file>

<file path=word/charts/_rels/chart21.xml.rels><?xml version="1.0" encoding="UTF-8" standalone="yes"?>
<Relationships xmlns="http://schemas.openxmlformats.org/package/2006/relationships"><Relationship Id="rId3" Type="http://schemas.openxmlformats.org/officeDocument/2006/relationships/package" Target="../embeddings/List_aplikace_Microsoft_Excel20.xlsx"/><Relationship Id="rId2" Type="http://schemas.microsoft.com/office/2011/relationships/chartColorStyle" Target="colors16.xml"/><Relationship Id="rId1" Type="http://schemas.microsoft.com/office/2011/relationships/chartStyle" Target="style16.xml"/></Relationships>
</file>

<file path=word/charts/_rels/chart22.xml.rels><?xml version="1.0" encoding="UTF-8" standalone="yes"?>
<Relationships xmlns="http://schemas.openxmlformats.org/package/2006/relationships"><Relationship Id="rId3" Type="http://schemas.openxmlformats.org/officeDocument/2006/relationships/package" Target="../embeddings/List_aplikace_Microsoft_Excel21.xlsx"/><Relationship Id="rId2" Type="http://schemas.microsoft.com/office/2011/relationships/chartColorStyle" Target="colors17.xml"/><Relationship Id="rId1" Type="http://schemas.microsoft.com/office/2011/relationships/chartStyle" Target="style17.xml"/><Relationship Id="rId4" Type="http://schemas.openxmlformats.org/officeDocument/2006/relationships/chartUserShapes" Target="../drawings/drawing2.xml"/></Relationships>
</file>

<file path=word/charts/_rels/chart23.xml.rels><?xml version="1.0" encoding="UTF-8" standalone="yes"?>
<Relationships xmlns="http://schemas.openxmlformats.org/package/2006/relationships"><Relationship Id="rId3" Type="http://schemas.openxmlformats.org/officeDocument/2006/relationships/package" Target="../embeddings/List_aplikace_Microsoft_Excel22.xlsx"/><Relationship Id="rId2" Type="http://schemas.microsoft.com/office/2011/relationships/chartColorStyle" Target="colors18.xml"/><Relationship Id="rId1" Type="http://schemas.microsoft.com/office/2011/relationships/chartStyle" Target="style18.xml"/></Relationships>
</file>

<file path=word/charts/_rels/chart3.xml.rels><?xml version="1.0" encoding="UTF-8" standalone="yes"?>
<Relationships xmlns="http://schemas.openxmlformats.org/package/2006/relationships"><Relationship Id="rId3" Type="http://schemas.openxmlformats.org/officeDocument/2006/relationships/package" Target="../embeddings/List_aplikace_Microsoft_Excel2.xlsx"/><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1.xml"/></Relationships>
</file>

<file path=word/charts/_rels/chart4.xml.rels><?xml version="1.0" encoding="UTF-8" standalone="yes"?>
<Relationships xmlns="http://schemas.openxmlformats.org/package/2006/relationships"><Relationship Id="rId3" Type="http://schemas.openxmlformats.org/officeDocument/2006/relationships/package" Target="../embeddings/List_aplikace_Microsoft_Excel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List_aplikace_Microsoft_Excel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List_aplikace_Microsoft_Excel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List_aplikace_Microsoft_Excel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List_aplikace_Microsoft_Excel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List_aplikace_Microsoft_Excel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1337729703218381"/>
          <c:y val="3.2175123542720618E-3"/>
          <c:w val="0.37856068572044843"/>
          <c:h val="0.99678248764572797"/>
        </c:manualLayout>
      </c:layout>
      <c:doughnutChart>
        <c:varyColors val="1"/>
        <c:ser>
          <c:idx val="0"/>
          <c:order val="0"/>
          <c:tx>
            <c:strRef>
              <c:f>Sheet1!$A$2</c:f>
              <c:strCache>
                <c:ptCount val="1"/>
                <c:pt idx="0">
                  <c:v>Výdaje</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0-BED7-4156-B63A-C97291A8D52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1-BED7-4156-B63A-C97291A8D52E}"/>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4-603D-4E18-91AA-27DB58681F6F}"/>
              </c:ext>
            </c:extLst>
          </c:dPt>
          <c:dLbls>
            <c:dLbl>
              <c:idx val="0"/>
              <c:layout>
                <c:manualLayout>
                  <c:x val="0.11210221098423438"/>
                  <c:y val="6.8643144420745913E-2"/>
                </c:manualLayout>
              </c:layout>
              <c:tx>
                <c:rich>
                  <a:bodyPr/>
                  <a:lstStyle/>
                  <a:p>
                    <a:fld id="{82F6F692-05A1-46C3-AD31-20915081D1BD}" type="CATEGORYNAME">
                      <a:rPr lang="en-US" b="0"/>
                      <a:pPr/>
                      <a:t>[NÁZEV KATEGORIE]</a:t>
                    </a:fld>
                    <a:r>
                      <a:rPr lang="en-US" b="0" baseline="0"/>
                      <a:t>
</a:t>
                    </a:r>
                    <a:fld id="{1B92A46D-E898-4BE0-A28C-49DD56B9CC28}" type="PERCENTAGE">
                      <a:rPr lang="en-US" b="0" baseline="0"/>
                      <a:pPr/>
                      <a:t>[PROCENTO]</a:t>
                    </a:fld>
                    <a:endParaRPr lang="en-US" b="0"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0-BED7-4156-B63A-C97291A8D52E}"/>
                </c:ext>
              </c:extLst>
            </c:dLbl>
            <c:dLbl>
              <c:idx val="1"/>
              <c:layout>
                <c:manualLayout>
                  <c:x val="-0.10719071013845467"/>
                  <c:y val="-0.26656213249705996"/>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BED7-4156-B63A-C97291A8D52E}"/>
                </c:ext>
              </c:extLst>
            </c:dLbl>
            <c:dLbl>
              <c:idx val="2"/>
              <c:delete val="1"/>
              <c:extLst>
                <c:ext xmlns:c15="http://schemas.microsoft.com/office/drawing/2012/chart" uri="{CE6537A1-D6FC-4f65-9D91-7224C49458BB}"/>
                <c:ext xmlns:c16="http://schemas.microsoft.com/office/drawing/2014/chart" uri="{C3380CC4-5D6E-409C-BE32-E72D297353CC}">
                  <c16:uniqueId val="{00000004-603D-4E18-91AA-27DB58681F6F}"/>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1"/>
            <c:showSerName val="0"/>
            <c:showPercent val="1"/>
            <c:showBubbleSize val="0"/>
            <c:showLeaderLines val="0"/>
            <c:extLst>
              <c:ext xmlns:c15="http://schemas.microsoft.com/office/drawing/2012/chart" uri="{CE6537A1-D6FC-4f65-9D91-7224C49458BB}"/>
            </c:extLst>
          </c:dLbls>
          <c:cat>
            <c:strRef>
              <c:f>Sheet1!$B$1:$D$1</c:f>
              <c:strCache>
                <c:ptCount val="2"/>
                <c:pt idx="0">
                  <c:v>Běžné výdaje</c:v>
                </c:pt>
                <c:pt idx="1">
                  <c:v>Kapitálové výdaje</c:v>
                </c:pt>
              </c:strCache>
            </c:strRef>
          </c:cat>
          <c:val>
            <c:numRef>
              <c:f>Sheet1!$B$2:$D$2</c:f>
              <c:numCache>
                <c:formatCode>#,##0</c:formatCode>
                <c:ptCount val="3"/>
                <c:pt idx="0">
                  <c:v>30434855</c:v>
                </c:pt>
                <c:pt idx="1">
                  <c:v>44793958</c:v>
                </c:pt>
              </c:numCache>
            </c:numRef>
          </c:val>
          <c:extLst>
            <c:ext xmlns:c16="http://schemas.microsoft.com/office/drawing/2014/chart" uri="{C3380CC4-5D6E-409C-BE32-E72D297353CC}">
              <c16:uniqueId val="{00000002-BED7-4156-B63A-C97291A8D52E}"/>
            </c:ext>
          </c:extLst>
        </c:ser>
        <c:dLbls>
          <c:showLegendKey val="0"/>
          <c:showVal val="0"/>
          <c:showCatName val="0"/>
          <c:showSerName val="0"/>
          <c:showPercent val="1"/>
          <c:showBubbleSize val="0"/>
          <c:showLeaderLines val="0"/>
        </c:dLbls>
        <c:firstSliceAng val="0"/>
        <c:holeSize val="85"/>
      </c:doughnutChart>
      <c:spPr>
        <a:noFill/>
        <a:ln>
          <a:noFill/>
        </a:ln>
        <a:effectLst/>
      </c:spPr>
    </c:plotArea>
    <c:plotVisOnly val="1"/>
    <c:dispBlanksAs val="zero"/>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621848739495799"/>
          <c:y val="8.1272084805653705E-2"/>
          <c:w val="0.79159663865546215"/>
          <c:h val="0.72893242604764086"/>
        </c:manualLayout>
      </c:layout>
      <c:barChart>
        <c:barDir val="col"/>
        <c:grouping val="clustered"/>
        <c:varyColors val="0"/>
        <c:ser>
          <c:idx val="0"/>
          <c:order val="0"/>
          <c:tx>
            <c:strRef>
              <c:f>Sheet1!$A$2</c:f>
              <c:strCache>
                <c:ptCount val="1"/>
                <c:pt idx="0">
                  <c:v>skutečnost 2018</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0"/>
              <c:layout>
                <c:manualLayout>
                  <c:x val="-1.4783786947782374E-3"/>
                  <c:y val="-2.685088954472825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ECC-448A-8D77-309A60603EAC}"/>
                </c:ext>
              </c:extLst>
            </c:dLbl>
            <c:dLbl>
              <c:idx val="1"/>
              <c:layout>
                <c:manualLayout>
                  <c:x val="-8.6099599081228551E-3"/>
                  <c:y val="2.199716328513012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ECC-448A-8D77-309A60603EA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Ředitelství silnic a dálnic ČR</c:v>
                </c:pt>
                <c:pt idx="1">
                  <c:v>Centrum služeb pro silniční dopravu</c:v>
                </c:pt>
              </c:strCache>
            </c:strRef>
          </c:cat>
          <c:val>
            <c:numRef>
              <c:f>Sheet1!$B$2:$C$2</c:f>
              <c:numCache>
                <c:formatCode>#,##0</c:formatCode>
                <c:ptCount val="2"/>
                <c:pt idx="0">
                  <c:v>817887</c:v>
                </c:pt>
                <c:pt idx="1">
                  <c:v>86862</c:v>
                </c:pt>
              </c:numCache>
            </c:numRef>
          </c:val>
          <c:extLst>
            <c:ext xmlns:c16="http://schemas.microsoft.com/office/drawing/2014/chart" uri="{C3380CC4-5D6E-409C-BE32-E72D297353CC}">
              <c16:uniqueId val="{00000002-BECC-448A-8D77-309A60603EAC}"/>
            </c:ext>
          </c:extLst>
        </c:ser>
        <c:ser>
          <c:idx val="1"/>
          <c:order val="1"/>
          <c:tx>
            <c:strRef>
              <c:f>Sheet1!$A$3</c:f>
              <c:strCache>
                <c:ptCount val="1"/>
                <c:pt idx="0">
                  <c:v>skutečnost 2019</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0"/>
              <c:layout>
                <c:manualLayout>
                  <c:x val="-2.3920377897090712E-3"/>
                  <c:y val="-6.668772690838800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BECC-448A-8D77-309A60603EAC}"/>
                </c:ext>
              </c:extLst>
            </c:dLbl>
            <c:dLbl>
              <c:idx val="1"/>
              <c:layout>
                <c:manualLayout>
                  <c:x val="2.6745386529543119E-3"/>
                  <c:y val="1.628601065585364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BECC-448A-8D77-309A60603EA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Ředitelství silnic a dálnic ČR</c:v>
                </c:pt>
                <c:pt idx="1">
                  <c:v>Centrum služeb pro silniční dopravu</c:v>
                </c:pt>
              </c:strCache>
            </c:strRef>
          </c:cat>
          <c:val>
            <c:numRef>
              <c:f>Sheet1!$B$3:$C$3</c:f>
              <c:numCache>
                <c:formatCode>#,##0</c:formatCode>
                <c:ptCount val="2"/>
                <c:pt idx="0">
                  <c:v>395680</c:v>
                </c:pt>
                <c:pt idx="1">
                  <c:v>101618</c:v>
                </c:pt>
              </c:numCache>
            </c:numRef>
          </c:val>
          <c:extLst>
            <c:ext xmlns:c16="http://schemas.microsoft.com/office/drawing/2014/chart" uri="{C3380CC4-5D6E-409C-BE32-E72D297353CC}">
              <c16:uniqueId val="{00000005-BECC-448A-8D77-309A60603EAC}"/>
            </c:ext>
          </c:extLst>
        </c:ser>
        <c:dLbls>
          <c:showLegendKey val="0"/>
          <c:showVal val="0"/>
          <c:showCatName val="0"/>
          <c:showSerName val="0"/>
          <c:showPercent val="0"/>
          <c:showBubbleSize val="0"/>
        </c:dLbls>
        <c:gapWidth val="100"/>
        <c:overlap val="-24"/>
        <c:axId val="241267936"/>
        <c:axId val="1"/>
      </c:barChart>
      <c:catAx>
        <c:axId val="24126793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1"/>
        <c:crosses val="autoZero"/>
        <c:auto val="1"/>
        <c:lblAlgn val="ctr"/>
        <c:lblOffset val="100"/>
        <c:tickLblSkip val="1"/>
        <c:tickMarkSkip val="1"/>
        <c:noMultiLvlLbl val="0"/>
      </c:catAx>
      <c:valAx>
        <c:axId val="1"/>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241267936"/>
        <c:crosses val="autoZero"/>
        <c:crossBetween val="between"/>
      </c:valAx>
      <c:spPr>
        <a:noFill/>
        <a:ln>
          <a:noFill/>
        </a:ln>
        <a:effectLst/>
      </c:spPr>
    </c:plotArea>
    <c:legend>
      <c:legendPos val="b"/>
      <c:layout>
        <c:manualLayout>
          <c:xMode val="edge"/>
          <c:yMode val="edge"/>
          <c:x val="0.32376216697644927"/>
          <c:y val="0.89895138856145962"/>
          <c:w val="0.37014936537329168"/>
          <c:h val="0.1010486114385402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673469387755102E-2"/>
          <c:y val="6.6176470588235295E-2"/>
          <c:w val="0.84523809523809523"/>
          <c:h val="0.7720588235294118"/>
        </c:manualLayout>
      </c:layout>
      <c:barChart>
        <c:barDir val="col"/>
        <c:grouping val="clustered"/>
        <c:varyColors val="0"/>
        <c:ser>
          <c:idx val="0"/>
          <c:order val="0"/>
          <c:tx>
            <c:strRef>
              <c:f>Sheet1!$A$2</c:f>
              <c:strCache>
                <c:ptCount val="1"/>
                <c:pt idx="0">
                  <c:v>skutečnost 2018</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0"/>
              <c:layout>
                <c:manualLayout>
                  <c:x val="-2.9960610446982394E-3"/>
                  <c:y val="-1.410372429749598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8556-42EA-8380-8E8F8B1F2008}"/>
                </c:ext>
              </c:extLst>
            </c:dLbl>
            <c:dLbl>
              <c:idx val="1"/>
              <c:layout>
                <c:manualLayout>
                  <c:x val="-4.0380458697549804E-3"/>
                  <c:y val="9.063821894022439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8556-42EA-8380-8E8F8B1F2008}"/>
                </c:ext>
              </c:extLst>
            </c:dLbl>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Organizační složky státu</c:v>
                </c:pt>
                <c:pt idx="1">
                  <c:v>Příspěvkové organizace</c:v>
                </c:pt>
              </c:strCache>
            </c:strRef>
          </c:cat>
          <c:val>
            <c:numRef>
              <c:f>Sheet1!$B$2:$C$2</c:f>
              <c:numCache>
                <c:formatCode>General</c:formatCode>
                <c:ptCount val="2"/>
                <c:pt idx="0" formatCode="#\ ##0">
                  <c:v>14526</c:v>
                </c:pt>
                <c:pt idx="1">
                  <c:v>662</c:v>
                </c:pt>
              </c:numCache>
            </c:numRef>
          </c:val>
          <c:extLst>
            <c:ext xmlns:c16="http://schemas.microsoft.com/office/drawing/2014/chart" uri="{C3380CC4-5D6E-409C-BE32-E72D297353CC}">
              <c16:uniqueId val="{00000002-8556-42EA-8380-8E8F8B1F2008}"/>
            </c:ext>
          </c:extLst>
        </c:ser>
        <c:ser>
          <c:idx val="1"/>
          <c:order val="1"/>
          <c:tx>
            <c:strRef>
              <c:f>Sheet1!$A$3</c:f>
              <c:strCache>
                <c:ptCount val="1"/>
                <c:pt idx="0">
                  <c:v>skutečnost 2019</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0"/>
              <c:layout>
                <c:manualLayout>
                  <c:x val="8.9086652619221329E-3"/>
                  <c:y val="-1.144196343313239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8556-42EA-8380-8E8F8B1F2008}"/>
                </c:ext>
              </c:extLst>
            </c:dLbl>
            <c:dLbl>
              <c:idx val="1"/>
              <c:layout>
                <c:manualLayout>
                  <c:x val="-2.337225299088308E-3"/>
                  <c:y val="6.821346331569166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8556-42EA-8380-8E8F8B1F2008}"/>
                </c:ext>
              </c:extLst>
            </c:dLbl>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Organizační složky státu</c:v>
                </c:pt>
                <c:pt idx="1">
                  <c:v>Příspěvkové organizace</c:v>
                </c:pt>
              </c:strCache>
            </c:strRef>
          </c:cat>
          <c:val>
            <c:numRef>
              <c:f>Sheet1!$B$3:$C$3</c:f>
              <c:numCache>
                <c:formatCode>General</c:formatCode>
                <c:ptCount val="2"/>
                <c:pt idx="0" formatCode="#\ ##0">
                  <c:v>14119</c:v>
                </c:pt>
                <c:pt idx="1">
                  <c:v>558</c:v>
                </c:pt>
              </c:numCache>
            </c:numRef>
          </c:val>
          <c:extLst>
            <c:ext xmlns:c16="http://schemas.microsoft.com/office/drawing/2014/chart" uri="{C3380CC4-5D6E-409C-BE32-E72D297353CC}">
              <c16:uniqueId val="{00000005-8556-42EA-8380-8E8F8B1F2008}"/>
            </c:ext>
          </c:extLst>
        </c:ser>
        <c:dLbls>
          <c:showLegendKey val="0"/>
          <c:showVal val="0"/>
          <c:showCatName val="0"/>
          <c:showSerName val="0"/>
          <c:showPercent val="0"/>
          <c:showBubbleSize val="0"/>
        </c:dLbls>
        <c:gapWidth val="100"/>
        <c:overlap val="-24"/>
        <c:axId val="152392968"/>
        <c:axId val="1"/>
      </c:barChart>
      <c:catAx>
        <c:axId val="152392968"/>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1"/>
        <c:crosses val="autoZero"/>
        <c:auto val="1"/>
        <c:lblAlgn val="ctr"/>
        <c:lblOffset val="100"/>
        <c:tickLblSkip val="1"/>
        <c:tickMarkSkip val="1"/>
        <c:noMultiLvlLbl val="0"/>
      </c:catAx>
      <c:valAx>
        <c:axId val="1"/>
        <c:scaling>
          <c:orientation val="minMax"/>
        </c:scaling>
        <c:delete val="0"/>
        <c:axPos val="l"/>
        <c:majorGridlines>
          <c:spPr>
            <a:ln w="9525" cap="flat" cmpd="sng" algn="ctr">
              <a:solidFill>
                <a:schemeClr val="tx2">
                  <a:lumMod val="15000"/>
                  <a:lumOff val="85000"/>
                </a:schemeClr>
              </a:solidFill>
              <a:round/>
            </a:ln>
            <a:effectLst/>
          </c:spPr>
        </c:majorGridlines>
        <c:numFmt formatCode="#\ ##0" sourceLinked="1"/>
        <c:majorTickMark val="none"/>
        <c:minorTickMark val="none"/>
        <c:tickLblPos val="nextTo"/>
        <c:spPr>
          <a:ln w="6350">
            <a:noFill/>
          </a:ln>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152392968"/>
        <c:crosses val="autoZero"/>
        <c:crossBetween val="between"/>
      </c:valAx>
      <c:spPr>
        <a:noFill/>
        <a:ln w="25400">
          <a:noFill/>
        </a:ln>
      </c:spPr>
    </c:plotArea>
    <c:legend>
      <c:legendPos val="b"/>
      <c:layout>
        <c:manualLayout>
          <c:xMode val="edge"/>
          <c:yMode val="edge"/>
          <c:x val="0.31285817428161283"/>
          <c:y val="0.92002338135680628"/>
          <c:w val="0.37428365143677428"/>
          <c:h val="7.9976618643193609E-2"/>
        </c:manualLayout>
      </c:layout>
      <c:overlay val="0"/>
      <c:spPr>
        <a:noFill/>
        <a:ln w="25400">
          <a:noFill/>
        </a:ln>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a:noFill/>
    </a:ln>
    <a:effectLst/>
  </c:spPr>
  <c:txPr>
    <a:bodyPr/>
    <a:lstStyle/>
    <a:p>
      <a:pPr>
        <a:defRPr/>
      </a:pPr>
      <a:endParaRPr lang="cs-CZ"/>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183978394682847"/>
          <c:y val="4.5042861021682635E-4"/>
          <c:w val="0.33860489042433173"/>
          <c:h val="0.9829758349171871"/>
        </c:manualLayout>
      </c:layout>
      <c:doughnutChart>
        <c:varyColors val="1"/>
        <c:ser>
          <c:idx val="0"/>
          <c:order val="0"/>
          <c:tx>
            <c:strRef>
              <c:f>Sheet1!$A$2</c:f>
              <c:strCache>
                <c:ptCount val="1"/>
                <c:pt idx="0">
                  <c:v>2019</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extLst>
              <c:ext xmlns:c16="http://schemas.microsoft.com/office/drawing/2014/chart" uri="{C3380CC4-5D6E-409C-BE32-E72D297353CC}">
                <c16:uniqueId val="{00000000-4AE4-4915-AAB5-64A902B4A7A0}"/>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extLst>
              <c:ext xmlns:c16="http://schemas.microsoft.com/office/drawing/2014/chart" uri="{C3380CC4-5D6E-409C-BE32-E72D297353CC}">
                <c16:uniqueId val="{00000001-4AE4-4915-AAB5-64A902B4A7A0}"/>
              </c:ext>
            </c:extLst>
          </c:dPt>
          <c:dLbls>
            <c:dLbl>
              <c:idx val="0"/>
              <c:layout>
                <c:manualLayout>
                  <c:x val="0.1370748733393739"/>
                  <c:y val="-4.7631159002027919E-2"/>
                </c:manualLayout>
              </c:layout>
              <c:numFmt formatCode="General" sourceLinked="0"/>
              <c:spPr>
                <a:noFill/>
                <a:ln w="25394">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0-4AE4-4915-AAB5-64A902B4A7A0}"/>
                </c:ext>
              </c:extLst>
            </c:dLbl>
            <c:dLbl>
              <c:idx val="1"/>
              <c:layout>
                <c:manualLayout>
                  <c:x val="-9.8079352722724888E-2"/>
                  <c:y val="-0.10330177759532312"/>
                </c:manualLayout>
              </c:layout>
              <c:numFmt formatCode="General" sourceLinked="0"/>
              <c:spPr>
                <a:noFill/>
                <a:ln w="25394">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4AE4-4915-AAB5-64A902B4A7A0}"/>
                </c:ext>
              </c:extLst>
            </c:dLbl>
            <c:spPr>
              <a:noFill/>
              <a:ln w="25394">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0"/>
            <c:showCatName val="1"/>
            <c:showSerName val="0"/>
            <c:showPercent val="1"/>
            <c:showBubbleSize val="0"/>
            <c:showLeaderLines val="0"/>
            <c:extLst>
              <c:ext xmlns:c15="http://schemas.microsoft.com/office/drawing/2012/chart" uri="{CE6537A1-D6FC-4f65-9D91-7224C49458BB}"/>
            </c:extLst>
          </c:dLbls>
          <c:cat>
            <c:strRef>
              <c:f>Sheet1!$B$1:$C$1</c:f>
              <c:strCache>
                <c:ptCount val="2"/>
                <c:pt idx="0">
                  <c:v>Organizační složky státu</c:v>
                </c:pt>
                <c:pt idx="1">
                  <c:v>Příspěvkové organizce</c:v>
                </c:pt>
              </c:strCache>
            </c:strRef>
          </c:cat>
          <c:val>
            <c:numRef>
              <c:f>Sheet1!$B$2:$C$2</c:f>
              <c:numCache>
                <c:formatCode>#\ ##0</c:formatCode>
                <c:ptCount val="2"/>
                <c:pt idx="0">
                  <c:v>2881</c:v>
                </c:pt>
                <c:pt idx="1">
                  <c:v>210013</c:v>
                </c:pt>
              </c:numCache>
            </c:numRef>
          </c:val>
          <c:extLst>
            <c:ext xmlns:c16="http://schemas.microsoft.com/office/drawing/2014/chart" uri="{C3380CC4-5D6E-409C-BE32-E72D297353CC}">
              <c16:uniqueId val="{00000002-4AE4-4915-AAB5-64A902B4A7A0}"/>
            </c:ext>
          </c:extLst>
        </c:ser>
        <c:dLbls>
          <c:showLegendKey val="0"/>
          <c:showVal val="0"/>
          <c:showCatName val="0"/>
          <c:showSerName val="0"/>
          <c:showPercent val="0"/>
          <c:showBubbleSize val="0"/>
          <c:showLeaderLines val="0"/>
        </c:dLbls>
        <c:firstSliceAng val="64"/>
        <c:holeSize val="85"/>
      </c:doughnutChart>
      <c:spPr>
        <a:noFill/>
        <a:ln w="25394">
          <a:noFill/>
        </a:ln>
      </c:spPr>
    </c:plotArea>
    <c:plotVisOnly val="1"/>
    <c:dispBlanksAs val="zero"/>
    <c:showDLblsOverMax val="0"/>
  </c:chart>
  <c:spPr>
    <a:solidFill>
      <a:schemeClr val="bg1"/>
    </a:solidFill>
    <a:ln>
      <a:noFill/>
    </a:ln>
    <a:effectLst/>
  </c:spPr>
  <c:txPr>
    <a:bodyPr/>
    <a:lstStyle/>
    <a:p>
      <a:pPr>
        <a:defRPr/>
      </a:pPr>
      <a:endParaRPr lang="cs-CZ"/>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List1!$B$1</c:f>
              <c:strCache>
                <c:ptCount val="1"/>
                <c:pt idx="0">
                  <c:v>skutečnost 2018</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w="25357">
                <a:noFill/>
              </a:ln>
            </c:spPr>
            <c:txPr>
              <a:bodyPr rot="0" spcFirstLastPara="1" vertOverflow="ellipsis" vert="horz" wrap="square" lIns="38100" tIns="19050" rIns="38100" bIns="19050" anchor="ctr" anchorCtr="1">
                <a:spAutoFit/>
              </a:bodyPr>
              <a:lstStyle/>
              <a:p>
                <a:pPr>
                  <a:defRPr sz="898"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List1!$A$2:$A$3</c:f>
              <c:strCache>
                <c:ptCount val="2"/>
                <c:pt idx="0">
                  <c:v>Organizační složky státu</c:v>
                </c:pt>
                <c:pt idx="1">
                  <c:v>Příspěvkové organizace</c:v>
                </c:pt>
              </c:strCache>
            </c:strRef>
          </c:cat>
          <c:val>
            <c:numRef>
              <c:f>List1!$B$2:$B$3</c:f>
              <c:numCache>
                <c:formatCode>#,##0</c:formatCode>
                <c:ptCount val="2"/>
                <c:pt idx="0">
                  <c:v>10964031</c:v>
                </c:pt>
                <c:pt idx="1">
                  <c:v>5921261</c:v>
                </c:pt>
              </c:numCache>
            </c:numRef>
          </c:val>
          <c:extLst>
            <c:ext xmlns:c16="http://schemas.microsoft.com/office/drawing/2014/chart" uri="{C3380CC4-5D6E-409C-BE32-E72D297353CC}">
              <c16:uniqueId val="{00000000-D3AE-4094-A8DF-53FA2BA795DA}"/>
            </c:ext>
          </c:extLst>
        </c:ser>
        <c:ser>
          <c:idx val="1"/>
          <c:order val="1"/>
          <c:tx>
            <c:strRef>
              <c:f>List1!$C$1</c:f>
              <c:strCache>
                <c:ptCount val="1"/>
                <c:pt idx="0">
                  <c:v>skutečnost 2019</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spPr>
              <a:noFill/>
              <a:ln w="25357">
                <a:noFill/>
              </a:ln>
            </c:spPr>
            <c:txPr>
              <a:bodyPr rot="0" spcFirstLastPara="1" vertOverflow="ellipsis" vert="horz" wrap="square" lIns="38100" tIns="19050" rIns="38100" bIns="19050" anchor="ctr" anchorCtr="1">
                <a:spAutoFit/>
              </a:bodyPr>
              <a:lstStyle/>
              <a:p>
                <a:pPr>
                  <a:defRPr sz="898"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List1!$A$2:$A$3</c:f>
              <c:strCache>
                <c:ptCount val="2"/>
                <c:pt idx="0">
                  <c:v>Organizační složky státu</c:v>
                </c:pt>
                <c:pt idx="1">
                  <c:v>Příspěvkové organizace</c:v>
                </c:pt>
              </c:strCache>
            </c:strRef>
          </c:cat>
          <c:val>
            <c:numRef>
              <c:f>List1!$C$2:$C$3</c:f>
              <c:numCache>
                <c:formatCode>#,##0</c:formatCode>
                <c:ptCount val="2"/>
                <c:pt idx="0">
                  <c:v>13675722</c:v>
                </c:pt>
                <c:pt idx="1">
                  <c:v>7655492</c:v>
                </c:pt>
              </c:numCache>
            </c:numRef>
          </c:val>
          <c:extLst>
            <c:ext xmlns:c16="http://schemas.microsoft.com/office/drawing/2014/chart" uri="{C3380CC4-5D6E-409C-BE32-E72D297353CC}">
              <c16:uniqueId val="{00000001-D3AE-4094-A8DF-53FA2BA795DA}"/>
            </c:ext>
          </c:extLst>
        </c:ser>
        <c:dLbls>
          <c:showLegendKey val="0"/>
          <c:showVal val="0"/>
          <c:showCatName val="0"/>
          <c:showSerName val="0"/>
          <c:showPercent val="0"/>
          <c:showBubbleSize val="0"/>
        </c:dLbls>
        <c:gapWidth val="100"/>
        <c:overlap val="-24"/>
        <c:axId val="153005184"/>
        <c:axId val="1"/>
      </c:barChart>
      <c:catAx>
        <c:axId val="153005184"/>
        <c:scaling>
          <c:orientation val="minMax"/>
        </c:scaling>
        <c:delete val="0"/>
        <c:axPos val="b"/>
        <c:numFmt formatCode="General" sourceLinked="1"/>
        <c:majorTickMark val="none"/>
        <c:minorTickMark val="none"/>
        <c:tickLblPos val="nextTo"/>
        <c:spPr>
          <a:noFill/>
          <a:ln w="9509" cap="flat" cmpd="sng" algn="ctr">
            <a:solidFill>
              <a:schemeClr val="tx2">
                <a:lumMod val="15000"/>
                <a:lumOff val="85000"/>
              </a:schemeClr>
            </a:solidFill>
            <a:round/>
          </a:ln>
          <a:effectLst/>
        </c:spPr>
        <c:txPr>
          <a:bodyPr rot="-60000000" spcFirstLastPara="1" vertOverflow="ellipsis" vert="horz" wrap="square" anchor="ctr" anchorCtr="1"/>
          <a:lstStyle/>
          <a:p>
            <a:pPr>
              <a:defRPr sz="898" b="0" i="0" u="none" strike="noStrike" kern="1200" baseline="0">
                <a:solidFill>
                  <a:schemeClr val="tx2"/>
                </a:solidFill>
                <a:latin typeface="+mn-lt"/>
                <a:ea typeface="+mn-ea"/>
                <a:cs typeface="+mn-cs"/>
              </a:defRPr>
            </a:pPr>
            <a:endParaRPr lang="cs-CZ"/>
          </a:p>
        </c:txPr>
        <c:crossAx val="1"/>
        <c:crosses val="autoZero"/>
        <c:auto val="1"/>
        <c:lblAlgn val="ctr"/>
        <c:lblOffset val="100"/>
        <c:noMultiLvlLbl val="0"/>
      </c:catAx>
      <c:valAx>
        <c:axId val="1"/>
        <c:scaling>
          <c:orientation val="minMax"/>
        </c:scaling>
        <c:delete val="0"/>
        <c:axPos val="l"/>
        <c:majorGridlines>
          <c:spPr>
            <a:ln w="9509" cap="flat" cmpd="sng" algn="ctr">
              <a:solidFill>
                <a:schemeClr val="tx2">
                  <a:lumMod val="15000"/>
                  <a:lumOff val="85000"/>
                </a:schemeClr>
              </a:solidFill>
              <a:round/>
            </a:ln>
            <a:effectLst/>
          </c:spPr>
        </c:majorGridlines>
        <c:numFmt formatCode="#,##0" sourceLinked="1"/>
        <c:majorTickMark val="none"/>
        <c:minorTickMark val="none"/>
        <c:tickLblPos val="nextTo"/>
        <c:spPr>
          <a:ln w="6339">
            <a:noFill/>
          </a:ln>
        </c:spPr>
        <c:txPr>
          <a:bodyPr rot="-60000000" spcFirstLastPara="1" vertOverflow="ellipsis" vert="horz" wrap="square" anchor="ctr" anchorCtr="1"/>
          <a:lstStyle/>
          <a:p>
            <a:pPr>
              <a:defRPr sz="898" b="0" i="0" u="none" strike="noStrike" kern="1200" baseline="0">
                <a:solidFill>
                  <a:schemeClr val="tx2"/>
                </a:solidFill>
                <a:latin typeface="+mn-lt"/>
                <a:ea typeface="+mn-ea"/>
                <a:cs typeface="+mn-cs"/>
              </a:defRPr>
            </a:pPr>
            <a:endParaRPr lang="cs-CZ"/>
          </a:p>
        </c:txPr>
        <c:crossAx val="153005184"/>
        <c:crosses val="autoZero"/>
        <c:crossBetween val="between"/>
      </c:valAx>
      <c:spPr>
        <a:noFill/>
        <a:ln w="25357">
          <a:noFill/>
        </a:ln>
      </c:spPr>
    </c:plotArea>
    <c:legend>
      <c:legendPos val="b"/>
      <c:layout/>
      <c:overlay val="0"/>
      <c:spPr>
        <a:noFill/>
        <a:ln w="25357">
          <a:noFill/>
        </a:ln>
      </c:spPr>
      <c:txPr>
        <a:bodyPr rot="0" spcFirstLastPara="1" vertOverflow="ellipsis" vert="horz" wrap="square" anchor="ctr" anchorCtr="1"/>
        <a:lstStyle/>
        <a:p>
          <a:pPr>
            <a:defRPr sz="898"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a:noFill/>
    </a:ln>
    <a:effectLst/>
  </c:spPr>
  <c:txPr>
    <a:bodyPr/>
    <a:lstStyle/>
    <a:p>
      <a:pPr>
        <a:defRPr/>
      </a:pPr>
      <a:endParaRPr lang="cs-CZ"/>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List1!$B$1</c:f>
              <c:strCache>
                <c:ptCount val="1"/>
                <c:pt idx="0">
                  <c:v>skutečnost 2018</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w="25357">
                <a:noFill/>
              </a:ln>
            </c:spPr>
            <c:txPr>
              <a:bodyPr rot="0" spcFirstLastPara="1" vertOverflow="ellipsis" vert="horz" wrap="square" lIns="38100" tIns="19050" rIns="38100" bIns="19050" anchor="ctr" anchorCtr="1">
                <a:spAutoFit/>
              </a:bodyPr>
              <a:lstStyle/>
              <a:p>
                <a:pPr>
                  <a:defRPr sz="898"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List1!$A$2:$A$3</c:f>
              <c:strCache>
                <c:ptCount val="2"/>
                <c:pt idx="0">
                  <c:v>Organizační složky státu</c:v>
                </c:pt>
                <c:pt idx="1">
                  <c:v>Příspěvkové organizace</c:v>
                </c:pt>
              </c:strCache>
            </c:strRef>
          </c:cat>
          <c:val>
            <c:numRef>
              <c:f>List1!$B$2:$B$3</c:f>
              <c:numCache>
                <c:formatCode>#,##0</c:formatCode>
                <c:ptCount val="2"/>
                <c:pt idx="0">
                  <c:v>2594446</c:v>
                </c:pt>
                <c:pt idx="1">
                  <c:v>9630986</c:v>
                </c:pt>
              </c:numCache>
            </c:numRef>
          </c:val>
          <c:extLst>
            <c:ext xmlns:c16="http://schemas.microsoft.com/office/drawing/2014/chart" uri="{C3380CC4-5D6E-409C-BE32-E72D297353CC}">
              <c16:uniqueId val="{00000000-4F28-4EEE-8E5F-183BEB834AA5}"/>
            </c:ext>
          </c:extLst>
        </c:ser>
        <c:ser>
          <c:idx val="1"/>
          <c:order val="1"/>
          <c:tx>
            <c:strRef>
              <c:f>List1!$C$1</c:f>
              <c:strCache>
                <c:ptCount val="1"/>
                <c:pt idx="0">
                  <c:v>skutečnost 2019</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spPr>
              <a:noFill/>
              <a:ln w="25357">
                <a:noFill/>
              </a:ln>
            </c:spPr>
            <c:txPr>
              <a:bodyPr rot="0" spcFirstLastPara="1" vertOverflow="ellipsis" vert="horz" wrap="square" lIns="38100" tIns="19050" rIns="38100" bIns="19050" anchor="ctr" anchorCtr="1">
                <a:spAutoFit/>
              </a:bodyPr>
              <a:lstStyle/>
              <a:p>
                <a:pPr>
                  <a:defRPr sz="898"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List1!$A$2:$A$3</c:f>
              <c:strCache>
                <c:ptCount val="2"/>
                <c:pt idx="0">
                  <c:v>Organizační složky státu</c:v>
                </c:pt>
                <c:pt idx="1">
                  <c:v>Příspěvkové organizace</c:v>
                </c:pt>
              </c:strCache>
            </c:strRef>
          </c:cat>
          <c:val>
            <c:numRef>
              <c:f>List1!$C$2:$C$3</c:f>
              <c:numCache>
                <c:formatCode>#,##0</c:formatCode>
                <c:ptCount val="2"/>
                <c:pt idx="0">
                  <c:v>4934180</c:v>
                </c:pt>
                <c:pt idx="1">
                  <c:v>15302554</c:v>
                </c:pt>
              </c:numCache>
            </c:numRef>
          </c:val>
          <c:extLst>
            <c:ext xmlns:c16="http://schemas.microsoft.com/office/drawing/2014/chart" uri="{C3380CC4-5D6E-409C-BE32-E72D297353CC}">
              <c16:uniqueId val="{00000001-4F28-4EEE-8E5F-183BEB834AA5}"/>
            </c:ext>
          </c:extLst>
        </c:ser>
        <c:dLbls>
          <c:showLegendKey val="0"/>
          <c:showVal val="0"/>
          <c:showCatName val="0"/>
          <c:showSerName val="0"/>
          <c:showPercent val="0"/>
          <c:showBubbleSize val="0"/>
        </c:dLbls>
        <c:gapWidth val="100"/>
        <c:overlap val="-24"/>
        <c:axId val="186257272"/>
        <c:axId val="1"/>
      </c:barChart>
      <c:catAx>
        <c:axId val="186257272"/>
        <c:scaling>
          <c:orientation val="minMax"/>
        </c:scaling>
        <c:delete val="0"/>
        <c:axPos val="b"/>
        <c:numFmt formatCode="General" sourceLinked="1"/>
        <c:majorTickMark val="none"/>
        <c:minorTickMark val="none"/>
        <c:tickLblPos val="nextTo"/>
        <c:spPr>
          <a:noFill/>
          <a:ln w="9509" cap="flat" cmpd="sng" algn="ctr">
            <a:solidFill>
              <a:schemeClr val="tx2">
                <a:lumMod val="15000"/>
                <a:lumOff val="85000"/>
              </a:schemeClr>
            </a:solidFill>
            <a:round/>
          </a:ln>
          <a:effectLst/>
        </c:spPr>
        <c:txPr>
          <a:bodyPr rot="-60000000" spcFirstLastPara="1" vertOverflow="ellipsis" vert="horz" wrap="square" anchor="ctr" anchorCtr="1"/>
          <a:lstStyle/>
          <a:p>
            <a:pPr>
              <a:defRPr sz="898" b="0" i="0" u="none" strike="noStrike" kern="1200" baseline="0">
                <a:solidFill>
                  <a:schemeClr val="tx2"/>
                </a:solidFill>
                <a:latin typeface="+mn-lt"/>
                <a:ea typeface="+mn-ea"/>
                <a:cs typeface="+mn-cs"/>
              </a:defRPr>
            </a:pPr>
            <a:endParaRPr lang="cs-CZ"/>
          </a:p>
        </c:txPr>
        <c:crossAx val="1"/>
        <c:crosses val="autoZero"/>
        <c:auto val="1"/>
        <c:lblAlgn val="ctr"/>
        <c:lblOffset val="100"/>
        <c:noMultiLvlLbl val="0"/>
      </c:catAx>
      <c:valAx>
        <c:axId val="1"/>
        <c:scaling>
          <c:orientation val="minMax"/>
        </c:scaling>
        <c:delete val="0"/>
        <c:axPos val="l"/>
        <c:majorGridlines>
          <c:spPr>
            <a:ln w="9509" cap="flat" cmpd="sng" algn="ctr">
              <a:solidFill>
                <a:schemeClr val="tx2">
                  <a:lumMod val="15000"/>
                  <a:lumOff val="85000"/>
                </a:schemeClr>
              </a:solidFill>
              <a:round/>
            </a:ln>
            <a:effectLst/>
          </c:spPr>
        </c:majorGridlines>
        <c:numFmt formatCode="#,##0" sourceLinked="1"/>
        <c:majorTickMark val="none"/>
        <c:minorTickMark val="none"/>
        <c:tickLblPos val="nextTo"/>
        <c:spPr>
          <a:ln w="6339">
            <a:noFill/>
          </a:ln>
        </c:spPr>
        <c:txPr>
          <a:bodyPr rot="-60000000" spcFirstLastPara="1" vertOverflow="ellipsis" vert="horz" wrap="square" anchor="ctr" anchorCtr="1"/>
          <a:lstStyle/>
          <a:p>
            <a:pPr>
              <a:defRPr sz="898" b="0" i="0" u="none" strike="noStrike" kern="1200" baseline="0">
                <a:solidFill>
                  <a:schemeClr val="tx2"/>
                </a:solidFill>
                <a:latin typeface="+mn-lt"/>
                <a:ea typeface="+mn-ea"/>
                <a:cs typeface="+mn-cs"/>
              </a:defRPr>
            </a:pPr>
            <a:endParaRPr lang="cs-CZ"/>
          </a:p>
        </c:txPr>
        <c:crossAx val="186257272"/>
        <c:crosses val="autoZero"/>
        <c:crossBetween val="between"/>
      </c:valAx>
      <c:spPr>
        <a:noFill/>
        <a:ln w="25357">
          <a:noFill/>
        </a:ln>
      </c:spPr>
    </c:plotArea>
    <c:legend>
      <c:legendPos val="b"/>
      <c:layout/>
      <c:overlay val="0"/>
      <c:spPr>
        <a:noFill/>
        <a:ln w="25357">
          <a:noFill/>
        </a:ln>
      </c:spPr>
      <c:txPr>
        <a:bodyPr rot="0" spcFirstLastPara="1" vertOverflow="ellipsis" vert="horz" wrap="square" anchor="ctr" anchorCtr="1"/>
        <a:lstStyle/>
        <a:p>
          <a:pPr>
            <a:defRPr sz="898"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a:noFill/>
    </a:ln>
    <a:effectLst/>
  </c:spPr>
  <c:txPr>
    <a:bodyPr/>
    <a:lstStyle/>
    <a:p>
      <a:pPr>
        <a:defRPr/>
      </a:pPr>
      <a:endParaRPr lang="cs-CZ"/>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List1!$B$1</c:f>
              <c:strCache>
                <c:ptCount val="1"/>
                <c:pt idx="0">
                  <c:v>skutečnost</c:v>
                </c:pt>
              </c:strCache>
            </c:strRef>
          </c:tx>
          <c:dPt>
            <c:idx val="0"/>
            <c:bubble3D val="0"/>
            <c:spPr>
              <a:solidFill>
                <a:schemeClr val="accent1">
                  <a:alpha val="70000"/>
                </a:schemeClr>
              </a:solidFill>
              <a:ln>
                <a:noFill/>
              </a:ln>
              <a:effectLst/>
            </c:spPr>
            <c:extLst>
              <c:ext xmlns:c16="http://schemas.microsoft.com/office/drawing/2014/chart" uri="{C3380CC4-5D6E-409C-BE32-E72D297353CC}">
                <c16:uniqueId val="{00000001-8B7F-4950-9D4D-7BFC319BF825}"/>
              </c:ext>
            </c:extLst>
          </c:dPt>
          <c:dPt>
            <c:idx val="1"/>
            <c:bubble3D val="0"/>
            <c:spPr>
              <a:solidFill>
                <a:schemeClr val="accent2">
                  <a:alpha val="70000"/>
                </a:schemeClr>
              </a:solidFill>
              <a:ln>
                <a:noFill/>
              </a:ln>
              <a:effectLst/>
            </c:spPr>
            <c:extLst>
              <c:ext xmlns:c16="http://schemas.microsoft.com/office/drawing/2014/chart" uri="{C3380CC4-5D6E-409C-BE32-E72D297353CC}">
                <c16:uniqueId val="{00000003-8B7F-4950-9D4D-7BFC319BF825}"/>
              </c:ext>
            </c:extLst>
          </c:dPt>
          <c:dPt>
            <c:idx val="2"/>
            <c:bubble3D val="0"/>
            <c:spPr>
              <a:solidFill>
                <a:schemeClr val="accent3">
                  <a:alpha val="70000"/>
                </a:schemeClr>
              </a:solidFill>
              <a:ln>
                <a:noFill/>
              </a:ln>
              <a:effectLst/>
            </c:spPr>
            <c:extLst>
              <c:ext xmlns:c16="http://schemas.microsoft.com/office/drawing/2014/chart" uri="{C3380CC4-5D6E-409C-BE32-E72D297353CC}">
                <c16:uniqueId val="{00000005-8B7F-4950-9D4D-7BFC319BF825}"/>
              </c:ext>
            </c:extLst>
          </c:dPt>
          <c:dPt>
            <c:idx val="3"/>
            <c:bubble3D val="0"/>
            <c:spPr>
              <a:solidFill>
                <a:schemeClr val="accent4">
                  <a:alpha val="70000"/>
                </a:schemeClr>
              </a:solidFill>
              <a:ln>
                <a:noFill/>
              </a:ln>
              <a:effectLst/>
            </c:spPr>
            <c:extLst>
              <c:ext xmlns:c16="http://schemas.microsoft.com/office/drawing/2014/chart" uri="{C3380CC4-5D6E-409C-BE32-E72D297353CC}">
                <c16:uniqueId val="{00000007-8B7F-4950-9D4D-7BFC319BF825}"/>
              </c:ext>
            </c:extLst>
          </c:dPt>
          <c:dLbls>
            <c:dLbl>
              <c:idx val="0"/>
              <c:layout>
                <c:manualLayout>
                  <c:x val="4.7618053707501173E-3"/>
                  <c:y val="-3.2460149798348374E-2"/>
                </c:manualLayout>
              </c:layout>
              <c:numFmt formatCode="0.00%" sourceLinked="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8B7F-4950-9D4D-7BFC319BF825}"/>
                </c:ext>
              </c:extLst>
            </c:dLbl>
            <c:dLbl>
              <c:idx val="1"/>
              <c:layout>
                <c:manualLayout>
                  <c:x val="-9.2310528778336114E-3"/>
                  <c:y val="-9.1472376928493693E-2"/>
                </c:manualLayout>
              </c:layout>
              <c:numFmt formatCode="0.00%" sourceLinked="0"/>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2"/>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manualLayout>
                      <c:w val="6.9493450495626413E-2"/>
                      <c:h val="8.7046924012547197E-2"/>
                    </c:manualLayout>
                  </c15:layout>
                </c:ext>
                <c:ext xmlns:c16="http://schemas.microsoft.com/office/drawing/2014/chart" uri="{C3380CC4-5D6E-409C-BE32-E72D297353CC}">
                  <c16:uniqueId val="{00000003-8B7F-4950-9D4D-7BFC319BF825}"/>
                </c:ext>
              </c:extLst>
            </c:dLbl>
            <c:dLbl>
              <c:idx val="2"/>
              <c:layout>
                <c:manualLayout>
                  <c:x val="-1.0295358209448472E-2"/>
                  <c:y val="9.3316689072402439E-2"/>
                </c:manualLayout>
              </c:layout>
              <c:numFmt formatCode="0.00%" sourceLinked="0"/>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8B7F-4950-9D4D-7BFC319BF825}"/>
                </c:ext>
              </c:extLst>
            </c:dLbl>
            <c:dLbl>
              <c:idx val="3"/>
              <c:layout>
                <c:manualLayout>
                  <c:x val="-9.4966508908056468E-3"/>
                  <c:y val="-1.8778994089153539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8B7F-4950-9D4D-7BFC319BF825}"/>
                </c:ext>
              </c:extLst>
            </c:dLbl>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List1!$A$2:$A$5</c:f>
              <c:strCache>
                <c:ptCount val="4"/>
                <c:pt idx="0">
                  <c:v>úhrada ztráty ze závazku veř.služby ve veř.drážní dopravě</c:v>
                </c:pt>
                <c:pt idx="1">
                  <c:v>úhrada poplatků vybíraných za LPS poskytované ve vzdušném prostoru</c:v>
                </c:pt>
                <c:pt idx="2">
                  <c:v>podpora obnovy histor. žel. kol. vozidel</c:v>
                </c:pt>
                <c:pt idx="3">
                  <c:v>výdaje na programy spolufin. z EU-CEF</c:v>
                </c:pt>
              </c:strCache>
            </c:strRef>
          </c:cat>
          <c:val>
            <c:numRef>
              <c:f>List1!$B$2:$B$5</c:f>
              <c:numCache>
                <c:formatCode>#,##0</c:formatCode>
                <c:ptCount val="4"/>
                <c:pt idx="0">
                  <c:v>4629884</c:v>
                </c:pt>
                <c:pt idx="1">
                  <c:v>51826</c:v>
                </c:pt>
                <c:pt idx="2">
                  <c:v>1646</c:v>
                </c:pt>
                <c:pt idx="3" formatCode="General">
                  <c:v>33161</c:v>
                </c:pt>
              </c:numCache>
            </c:numRef>
          </c:val>
          <c:extLst>
            <c:ext xmlns:c16="http://schemas.microsoft.com/office/drawing/2014/chart" uri="{C3380CC4-5D6E-409C-BE32-E72D297353CC}">
              <c16:uniqueId val="{00000008-8B7F-4950-9D4D-7BFC319BF825}"/>
            </c:ext>
          </c:extLst>
        </c:ser>
        <c:dLbls>
          <c:dLblPos val="inEnd"/>
          <c:showLegendKey val="0"/>
          <c:showVal val="0"/>
          <c:showCatName val="1"/>
          <c:showSerName val="0"/>
          <c:showPercent val="0"/>
          <c:showBubbleSize val="0"/>
          <c:showLeaderLines val="0"/>
        </c:dLbls>
        <c:firstSliceAng val="90"/>
      </c:pieChart>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Řada 1</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cat>
            <c:strRef>
              <c:f>List1!$A$2:$A$15</c:f>
              <c:strCache>
                <c:ptCount val="14"/>
                <c:pt idx="0">
                  <c:v>Středočeský</c:v>
                </c:pt>
                <c:pt idx="1">
                  <c:v>Jihočeský</c:v>
                </c:pt>
                <c:pt idx="2">
                  <c:v>Plzeňský</c:v>
                </c:pt>
                <c:pt idx="3">
                  <c:v>Karlovarský</c:v>
                </c:pt>
                <c:pt idx="4">
                  <c:v>Ústecký</c:v>
                </c:pt>
                <c:pt idx="5">
                  <c:v>Liberecký</c:v>
                </c:pt>
                <c:pt idx="6">
                  <c:v>Královéhradecký</c:v>
                </c:pt>
                <c:pt idx="7">
                  <c:v>Pardubický</c:v>
                </c:pt>
                <c:pt idx="8">
                  <c:v>Vysočina</c:v>
                </c:pt>
                <c:pt idx="9">
                  <c:v>Jihomoravský</c:v>
                </c:pt>
                <c:pt idx="10">
                  <c:v>Olomoucký</c:v>
                </c:pt>
                <c:pt idx="11">
                  <c:v>Zlínský</c:v>
                </c:pt>
                <c:pt idx="12">
                  <c:v>Moravskoslezský </c:v>
                </c:pt>
                <c:pt idx="13">
                  <c:v>Praha</c:v>
                </c:pt>
              </c:strCache>
            </c:strRef>
          </c:cat>
          <c:val>
            <c:numRef>
              <c:f>List1!$B$2:$B$15</c:f>
              <c:numCache>
                <c:formatCode>#,##0</c:formatCode>
                <c:ptCount val="14"/>
                <c:pt idx="0">
                  <c:v>515260</c:v>
                </c:pt>
                <c:pt idx="1">
                  <c:v>191993</c:v>
                </c:pt>
                <c:pt idx="2">
                  <c:v>147144</c:v>
                </c:pt>
                <c:pt idx="3">
                  <c:v>78690</c:v>
                </c:pt>
                <c:pt idx="4">
                  <c:v>236718</c:v>
                </c:pt>
                <c:pt idx="5">
                  <c:v>97561</c:v>
                </c:pt>
                <c:pt idx="6">
                  <c:v>277153</c:v>
                </c:pt>
                <c:pt idx="7">
                  <c:v>147381</c:v>
                </c:pt>
                <c:pt idx="8">
                  <c:v>134000</c:v>
                </c:pt>
                <c:pt idx="9">
                  <c:v>277114</c:v>
                </c:pt>
                <c:pt idx="10">
                  <c:v>227043</c:v>
                </c:pt>
                <c:pt idx="11">
                  <c:v>98926</c:v>
                </c:pt>
                <c:pt idx="12">
                  <c:v>216176</c:v>
                </c:pt>
                <c:pt idx="13">
                  <c:v>223811</c:v>
                </c:pt>
              </c:numCache>
            </c:numRef>
          </c:val>
          <c:extLst>
            <c:ext xmlns:c16="http://schemas.microsoft.com/office/drawing/2014/chart" uri="{C3380CC4-5D6E-409C-BE32-E72D297353CC}">
              <c16:uniqueId val="{00000000-8439-40C8-97F0-6C63F2EDC94D}"/>
            </c:ext>
          </c:extLst>
        </c:ser>
        <c:dLbls>
          <c:showLegendKey val="0"/>
          <c:showVal val="0"/>
          <c:showCatName val="0"/>
          <c:showSerName val="0"/>
          <c:showPercent val="0"/>
          <c:showBubbleSize val="0"/>
        </c:dLbls>
        <c:gapWidth val="100"/>
        <c:overlap val="-24"/>
        <c:axId val="438426576"/>
        <c:axId val="438427560"/>
      </c:barChart>
      <c:catAx>
        <c:axId val="43842657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438427560"/>
        <c:crosses val="autoZero"/>
        <c:auto val="1"/>
        <c:lblAlgn val="ctr"/>
        <c:lblOffset val="100"/>
        <c:noMultiLvlLbl val="0"/>
      </c:catAx>
      <c:valAx>
        <c:axId val="438427560"/>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43842657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List1!$B$1</c:f>
              <c:strCache>
                <c:ptCount val="1"/>
                <c:pt idx="0">
                  <c:v>skutečnost</c:v>
                </c:pt>
              </c:strCache>
            </c:strRef>
          </c:tx>
          <c:explosion val="4"/>
          <c:dPt>
            <c:idx val="0"/>
            <c:bubble3D val="0"/>
            <c:spPr>
              <a:solidFill>
                <a:schemeClr val="accent1">
                  <a:alpha val="70000"/>
                </a:schemeClr>
              </a:solidFill>
              <a:ln>
                <a:noFill/>
              </a:ln>
              <a:effectLst/>
            </c:spPr>
            <c:extLst>
              <c:ext xmlns:c16="http://schemas.microsoft.com/office/drawing/2014/chart" uri="{C3380CC4-5D6E-409C-BE32-E72D297353CC}">
                <c16:uniqueId val="{00000001-6B2A-4FC8-BB53-3B100DBB0220}"/>
              </c:ext>
            </c:extLst>
          </c:dPt>
          <c:dPt>
            <c:idx val="1"/>
            <c:bubble3D val="0"/>
            <c:spPr>
              <a:solidFill>
                <a:schemeClr val="accent2">
                  <a:alpha val="70000"/>
                </a:schemeClr>
              </a:solidFill>
              <a:ln>
                <a:noFill/>
              </a:ln>
              <a:effectLst/>
            </c:spPr>
            <c:extLst>
              <c:ext xmlns:c16="http://schemas.microsoft.com/office/drawing/2014/chart" uri="{C3380CC4-5D6E-409C-BE32-E72D297353CC}">
                <c16:uniqueId val="{00000003-6B2A-4FC8-BB53-3B100DBB0220}"/>
              </c:ext>
            </c:extLst>
          </c:dPt>
          <c:dPt>
            <c:idx val="2"/>
            <c:bubble3D val="0"/>
            <c:spPr>
              <a:solidFill>
                <a:schemeClr val="accent3">
                  <a:alpha val="70000"/>
                </a:schemeClr>
              </a:solidFill>
              <a:ln>
                <a:noFill/>
              </a:ln>
              <a:effectLst/>
            </c:spPr>
            <c:extLst>
              <c:ext xmlns:c16="http://schemas.microsoft.com/office/drawing/2014/chart" uri="{C3380CC4-5D6E-409C-BE32-E72D297353CC}">
                <c16:uniqueId val="{00000005-6B2A-4FC8-BB53-3B100DBB0220}"/>
              </c:ext>
            </c:extLst>
          </c:dPt>
          <c:dPt>
            <c:idx val="3"/>
            <c:bubble3D val="0"/>
            <c:spPr>
              <a:solidFill>
                <a:schemeClr val="accent4">
                  <a:alpha val="70000"/>
                </a:schemeClr>
              </a:solidFill>
              <a:ln>
                <a:noFill/>
              </a:ln>
              <a:effectLst/>
            </c:spPr>
            <c:extLst>
              <c:ext xmlns:c16="http://schemas.microsoft.com/office/drawing/2014/chart" uri="{C3380CC4-5D6E-409C-BE32-E72D297353CC}">
                <c16:uniqueId val="{00000007-6B2A-4FC8-BB53-3B100DBB0220}"/>
              </c:ext>
            </c:extLst>
          </c:dPt>
          <c:dLbls>
            <c:dLbl>
              <c:idx val="0"/>
              <c:layout>
                <c:manualLayout>
                  <c:x val="-1.8650998645050186E-3"/>
                  <c:y val="-3.2460149798348374E-2"/>
                </c:manualLayout>
              </c:layout>
              <c:numFmt formatCode="0.00%" sourceLinked="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6B2A-4FC8-BB53-3B100DBB0220}"/>
                </c:ext>
              </c:extLst>
            </c:dLbl>
            <c:dLbl>
              <c:idx val="1"/>
              <c:layout>
                <c:manualLayout>
                  <c:x val="-2.0276242805633473E-2"/>
                  <c:y val="-5.3531997524699663E-2"/>
                </c:manualLayout>
              </c:layout>
              <c:numFmt formatCode="0.00%" sourceLinked="0"/>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2"/>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manualLayout>
                      <c:w val="6.9493450495626413E-2"/>
                      <c:h val="8.7046924012547197E-2"/>
                    </c:manualLayout>
                  </c15:layout>
                </c:ext>
                <c:ext xmlns:c16="http://schemas.microsoft.com/office/drawing/2014/chart" uri="{C3380CC4-5D6E-409C-BE32-E72D297353CC}">
                  <c16:uniqueId val="{00000003-6B2A-4FC8-BB53-3B100DBB0220}"/>
                </c:ext>
              </c:extLst>
            </c:dLbl>
            <c:dLbl>
              <c:idx val="2"/>
              <c:layout>
                <c:manualLayout>
                  <c:x val="-2.0543754098332142E-2"/>
                  <c:y val="2.7903890062522672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6B2A-4FC8-BB53-3B100DBB0220}"/>
                </c:ext>
              </c:extLst>
            </c:dLbl>
            <c:dLbl>
              <c:idx val="3"/>
              <c:layout>
                <c:manualLayout>
                  <c:x val="-2.2808207622158645E-2"/>
                  <c:y val="0.11445063269530333"/>
                </c:manualLayout>
              </c:layout>
              <c:numFmt formatCode="0.00%" sourceLinked="0"/>
              <c:spPr>
                <a:solidFill>
                  <a:schemeClr val="lt1"/>
                </a:solidFill>
                <a:ln w="12700" cap="flat" cmpd="sng" algn="ctr">
                  <a:solidFill>
                    <a:schemeClr val="accent4"/>
                  </a:solidFill>
                  <a:prstDash val="solid"/>
                  <a:miter lim="800000"/>
                </a:ln>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rgbClr val="FFC000"/>
                      </a:solidFill>
                      <a:effectLst/>
                      <a:latin typeface="+mn-lt"/>
                      <a:ea typeface="+mn-ea"/>
                      <a:cs typeface="+mn-cs"/>
                    </a:defRPr>
                  </a:pPr>
                  <a:endParaRPr lang="cs-CZ"/>
                </a:p>
              </c:txPr>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6B2A-4FC8-BB53-3B100DBB0220}"/>
                </c:ext>
              </c:extLst>
            </c:dLbl>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List1!$A$2:$A$5</c:f>
              <c:strCache>
                <c:ptCount val="4"/>
                <c:pt idx="0">
                  <c:v>transfery státním fondům</c:v>
                </c:pt>
                <c:pt idx="1">
                  <c:v>transfery příspěvkovým a podobným organizacím</c:v>
                </c:pt>
                <c:pt idx="2">
                  <c:v>nákupy a související výdaje organizačních složek státu</c:v>
                </c:pt>
                <c:pt idx="3">
                  <c:v>transfery podnikatelským subjektům</c:v>
                </c:pt>
              </c:strCache>
            </c:strRef>
          </c:cat>
          <c:val>
            <c:numRef>
              <c:f>List1!$B$2:$B$5</c:f>
              <c:numCache>
                <c:formatCode>#,##0</c:formatCode>
                <c:ptCount val="4"/>
                <c:pt idx="0">
                  <c:v>44742923</c:v>
                </c:pt>
                <c:pt idx="1">
                  <c:v>7250</c:v>
                </c:pt>
                <c:pt idx="2">
                  <c:v>42640</c:v>
                </c:pt>
                <c:pt idx="3" formatCode="General">
                  <c:v>1145</c:v>
                </c:pt>
              </c:numCache>
            </c:numRef>
          </c:val>
          <c:extLst>
            <c:ext xmlns:c16="http://schemas.microsoft.com/office/drawing/2014/chart" uri="{C3380CC4-5D6E-409C-BE32-E72D297353CC}">
              <c16:uniqueId val="{00000008-6B2A-4FC8-BB53-3B100DBB0220}"/>
            </c:ext>
          </c:extLst>
        </c:ser>
        <c:dLbls>
          <c:dLblPos val="inEnd"/>
          <c:showLegendKey val="0"/>
          <c:showVal val="0"/>
          <c:showCatName val="1"/>
          <c:showSerName val="0"/>
          <c:showPercent val="0"/>
          <c:showBubbleSize val="0"/>
          <c:showLeaderLines val="0"/>
        </c:dLbls>
        <c:firstSliceAng val="90"/>
      </c:pieChart>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List1!$A$2</c:f>
              <c:strCache>
                <c:ptCount val="1"/>
                <c:pt idx="0">
                  <c:v>2015</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List1!$B$1:$E$1</c:f>
              <c:strCache>
                <c:ptCount val="4"/>
                <c:pt idx="0">
                  <c:v>1. čtvrtletí</c:v>
                </c:pt>
                <c:pt idx="1">
                  <c:v>2. čtvrtletí</c:v>
                </c:pt>
                <c:pt idx="2">
                  <c:v>3. čtvrtletí</c:v>
                </c:pt>
                <c:pt idx="3">
                  <c:v>4. čtvrtletí</c:v>
                </c:pt>
              </c:strCache>
            </c:strRef>
          </c:cat>
          <c:val>
            <c:numRef>
              <c:f>List1!$B$2:$E$2</c:f>
              <c:numCache>
                <c:formatCode>General</c:formatCode>
                <c:ptCount val="4"/>
                <c:pt idx="0">
                  <c:v>2283420</c:v>
                </c:pt>
                <c:pt idx="1">
                  <c:v>9694379</c:v>
                </c:pt>
                <c:pt idx="2">
                  <c:v>3838890</c:v>
                </c:pt>
                <c:pt idx="3">
                  <c:v>29881913</c:v>
                </c:pt>
              </c:numCache>
            </c:numRef>
          </c:val>
          <c:smooth val="0"/>
          <c:extLst>
            <c:ext xmlns:c16="http://schemas.microsoft.com/office/drawing/2014/chart" uri="{C3380CC4-5D6E-409C-BE32-E72D297353CC}">
              <c16:uniqueId val="{00000000-F275-4CF0-8CFA-9213B01FC570}"/>
            </c:ext>
          </c:extLst>
        </c:ser>
        <c:ser>
          <c:idx val="1"/>
          <c:order val="1"/>
          <c:tx>
            <c:strRef>
              <c:f>List1!$A$3</c:f>
              <c:strCache>
                <c:ptCount val="1"/>
                <c:pt idx="0">
                  <c:v>2016</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List1!$B$1:$E$1</c:f>
              <c:strCache>
                <c:ptCount val="4"/>
                <c:pt idx="0">
                  <c:v>1. čtvrtletí</c:v>
                </c:pt>
                <c:pt idx="1">
                  <c:v>2. čtvrtletí</c:v>
                </c:pt>
                <c:pt idx="2">
                  <c:v>3. čtvrtletí</c:v>
                </c:pt>
                <c:pt idx="3">
                  <c:v>4. čtvrtletí</c:v>
                </c:pt>
              </c:strCache>
            </c:strRef>
          </c:cat>
          <c:val>
            <c:numRef>
              <c:f>List1!$B$3:$E$3</c:f>
              <c:numCache>
                <c:formatCode>General</c:formatCode>
                <c:ptCount val="4"/>
                <c:pt idx="0">
                  <c:v>2375623</c:v>
                </c:pt>
                <c:pt idx="1">
                  <c:v>7194214</c:v>
                </c:pt>
                <c:pt idx="2">
                  <c:v>6635773</c:v>
                </c:pt>
                <c:pt idx="3">
                  <c:v>17569682</c:v>
                </c:pt>
              </c:numCache>
            </c:numRef>
          </c:val>
          <c:smooth val="0"/>
          <c:extLst>
            <c:ext xmlns:c16="http://schemas.microsoft.com/office/drawing/2014/chart" uri="{C3380CC4-5D6E-409C-BE32-E72D297353CC}">
              <c16:uniqueId val="{00000001-F275-4CF0-8CFA-9213B01FC570}"/>
            </c:ext>
          </c:extLst>
        </c:ser>
        <c:ser>
          <c:idx val="2"/>
          <c:order val="2"/>
          <c:tx>
            <c:strRef>
              <c:f>List1!$A$4</c:f>
              <c:strCache>
                <c:ptCount val="1"/>
                <c:pt idx="0">
                  <c:v>2017</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List1!$B$1:$E$1</c:f>
              <c:strCache>
                <c:ptCount val="4"/>
                <c:pt idx="0">
                  <c:v>1. čtvrtletí</c:v>
                </c:pt>
                <c:pt idx="1">
                  <c:v>2. čtvrtletí</c:v>
                </c:pt>
                <c:pt idx="2">
                  <c:v>3. čtvrtletí</c:v>
                </c:pt>
                <c:pt idx="3">
                  <c:v>4. čtvrtletí</c:v>
                </c:pt>
              </c:strCache>
            </c:strRef>
          </c:cat>
          <c:val>
            <c:numRef>
              <c:f>List1!$B$4:$E$4</c:f>
              <c:numCache>
                <c:formatCode>General</c:formatCode>
                <c:ptCount val="4"/>
                <c:pt idx="0">
                  <c:v>1442099</c:v>
                </c:pt>
                <c:pt idx="1">
                  <c:v>1706200</c:v>
                </c:pt>
                <c:pt idx="2">
                  <c:v>9462552</c:v>
                </c:pt>
                <c:pt idx="3">
                  <c:v>19194826</c:v>
                </c:pt>
              </c:numCache>
            </c:numRef>
          </c:val>
          <c:smooth val="0"/>
          <c:extLst>
            <c:ext xmlns:c16="http://schemas.microsoft.com/office/drawing/2014/chart" uri="{C3380CC4-5D6E-409C-BE32-E72D297353CC}">
              <c16:uniqueId val="{00000002-F275-4CF0-8CFA-9213B01FC570}"/>
            </c:ext>
          </c:extLst>
        </c:ser>
        <c:ser>
          <c:idx val="3"/>
          <c:order val="3"/>
          <c:tx>
            <c:strRef>
              <c:f>List1!$A$5</c:f>
              <c:strCache>
                <c:ptCount val="1"/>
                <c:pt idx="0">
                  <c:v>2018</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List1!$B$1:$E$1</c:f>
              <c:strCache>
                <c:ptCount val="4"/>
                <c:pt idx="0">
                  <c:v>1. čtvrtletí</c:v>
                </c:pt>
                <c:pt idx="1">
                  <c:v>2. čtvrtletí</c:v>
                </c:pt>
                <c:pt idx="2">
                  <c:v>3. čtvrtletí</c:v>
                </c:pt>
                <c:pt idx="3">
                  <c:v>4. čtvrtletí</c:v>
                </c:pt>
              </c:strCache>
            </c:strRef>
          </c:cat>
          <c:val>
            <c:numRef>
              <c:f>List1!$B$5:$E$5</c:f>
              <c:numCache>
                <c:formatCode>General</c:formatCode>
                <c:ptCount val="4"/>
                <c:pt idx="0">
                  <c:v>2565402</c:v>
                </c:pt>
                <c:pt idx="1">
                  <c:v>2963626</c:v>
                </c:pt>
                <c:pt idx="2">
                  <c:v>9585573</c:v>
                </c:pt>
                <c:pt idx="3">
                  <c:v>17299384</c:v>
                </c:pt>
              </c:numCache>
            </c:numRef>
          </c:val>
          <c:smooth val="0"/>
          <c:extLst>
            <c:ext xmlns:c16="http://schemas.microsoft.com/office/drawing/2014/chart" uri="{C3380CC4-5D6E-409C-BE32-E72D297353CC}">
              <c16:uniqueId val="{00000003-F275-4CF0-8CFA-9213B01FC570}"/>
            </c:ext>
          </c:extLst>
        </c:ser>
        <c:ser>
          <c:idx val="4"/>
          <c:order val="4"/>
          <c:tx>
            <c:strRef>
              <c:f>List1!$A$6</c:f>
              <c:strCache>
                <c:ptCount val="1"/>
                <c:pt idx="0">
                  <c:v>2019</c:v>
                </c:pt>
              </c:strCache>
            </c:strRef>
          </c:tx>
          <c:spPr>
            <a:ln w="28575" cap="rnd">
              <a:solidFill>
                <a:schemeClr val="accent6">
                  <a:lumMod val="60000"/>
                  <a:lumOff val="40000"/>
                </a:schemeClr>
              </a:solidFill>
              <a:round/>
            </a:ln>
            <a:effectLst/>
          </c:spPr>
          <c:marker>
            <c:symbol val="circle"/>
            <c:size val="5"/>
            <c:spPr>
              <a:solidFill>
                <a:schemeClr val="accent6">
                  <a:lumMod val="60000"/>
                  <a:lumOff val="40000"/>
                </a:schemeClr>
              </a:solidFill>
              <a:ln w="9525">
                <a:solidFill>
                  <a:schemeClr val="accent6">
                    <a:lumMod val="60000"/>
                    <a:lumOff val="40000"/>
                  </a:schemeClr>
                </a:solidFill>
              </a:ln>
              <a:effectLst/>
            </c:spPr>
          </c:marker>
          <c:cat>
            <c:strRef>
              <c:f>List1!$B$1:$E$1</c:f>
              <c:strCache>
                <c:ptCount val="4"/>
                <c:pt idx="0">
                  <c:v>1. čtvrtletí</c:v>
                </c:pt>
                <c:pt idx="1">
                  <c:v>2. čtvrtletí</c:v>
                </c:pt>
                <c:pt idx="2">
                  <c:v>3. čtvrtletí</c:v>
                </c:pt>
                <c:pt idx="3">
                  <c:v>4. čtvrtletí</c:v>
                </c:pt>
              </c:strCache>
            </c:strRef>
          </c:cat>
          <c:val>
            <c:numRef>
              <c:f>List1!$B$6:$E$6</c:f>
              <c:numCache>
                <c:formatCode>General</c:formatCode>
                <c:ptCount val="4"/>
                <c:pt idx="0">
                  <c:v>3018829</c:v>
                </c:pt>
                <c:pt idx="1">
                  <c:v>5923576</c:v>
                </c:pt>
                <c:pt idx="2">
                  <c:v>19367419</c:v>
                </c:pt>
                <c:pt idx="3">
                  <c:v>16484134</c:v>
                </c:pt>
              </c:numCache>
            </c:numRef>
          </c:val>
          <c:smooth val="0"/>
          <c:extLst>
            <c:ext xmlns:c16="http://schemas.microsoft.com/office/drawing/2014/chart" uri="{C3380CC4-5D6E-409C-BE32-E72D297353CC}">
              <c16:uniqueId val="{00000004-F275-4CF0-8CFA-9213B01FC570}"/>
            </c:ext>
          </c:extLst>
        </c:ser>
        <c:dLbls>
          <c:showLegendKey val="0"/>
          <c:showVal val="0"/>
          <c:showCatName val="0"/>
          <c:showSerName val="0"/>
          <c:showPercent val="0"/>
          <c:showBubbleSize val="0"/>
        </c:dLbls>
        <c:marker val="1"/>
        <c:smooth val="0"/>
        <c:axId val="499247632"/>
        <c:axId val="499243696"/>
      </c:lineChart>
      <c:catAx>
        <c:axId val="499247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99243696"/>
        <c:crosses val="autoZero"/>
        <c:auto val="1"/>
        <c:lblAlgn val="ctr"/>
        <c:lblOffset val="100"/>
        <c:noMultiLvlLbl val="0"/>
      </c:catAx>
      <c:valAx>
        <c:axId val="4992436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9924763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List1!$B$1</c:f>
              <c:strCache>
                <c:ptCount val="1"/>
                <c:pt idx="0">
                  <c:v>skutečnost</c:v>
                </c:pt>
              </c:strCache>
            </c:strRef>
          </c:tx>
          <c:dPt>
            <c:idx val="0"/>
            <c:bubble3D val="0"/>
            <c:spPr>
              <a:solidFill>
                <a:schemeClr val="accent1">
                  <a:alpha val="70000"/>
                </a:schemeClr>
              </a:solidFill>
              <a:ln>
                <a:noFill/>
              </a:ln>
              <a:effectLst/>
            </c:spPr>
            <c:extLst>
              <c:ext xmlns:c16="http://schemas.microsoft.com/office/drawing/2014/chart" uri="{C3380CC4-5D6E-409C-BE32-E72D297353CC}">
                <c16:uniqueId val="{00000001-54CB-47F8-BC1A-C67F1831B12C}"/>
              </c:ext>
            </c:extLst>
          </c:dPt>
          <c:dPt>
            <c:idx val="1"/>
            <c:bubble3D val="0"/>
            <c:spPr>
              <a:solidFill>
                <a:schemeClr val="accent2">
                  <a:alpha val="70000"/>
                </a:schemeClr>
              </a:solidFill>
              <a:ln>
                <a:noFill/>
              </a:ln>
              <a:effectLst/>
            </c:spPr>
            <c:extLst>
              <c:ext xmlns:c16="http://schemas.microsoft.com/office/drawing/2014/chart" uri="{C3380CC4-5D6E-409C-BE32-E72D297353CC}">
                <c16:uniqueId val="{00000003-54CB-47F8-BC1A-C67F1831B12C}"/>
              </c:ext>
            </c:extLst>
          </c:dPt>
          <c:dPt>
            <c:idx val="2"/>
            <c:bubble3D val="0"/>
            <c:spPr>
              <a:solidFill>
                <a:schemeClr val="accent3">
                  <a:alpha val="70000"/>
                </a:schemeClr>
              </a:solidFill>
              <a:ln>
                <a:noFill/>
              </a:ln>
              <a:effectLst/>
            </c:spPr>
            <c:extLst>
              <c:ext xmlns:c16="http://schemas.microsoft.com/office/drawing/2014/chart" uri="{C3380CC4-5D6E-409C-BE32-E72D297353CC}">
                <c16:uniqueId val="{00000005-54CB-47F8-BC1A-C67F1831B12C}"/>
              </c:ext>
            </c:extLst>
          </c:dPt>
          <c:dPt>
            <c:idx val="3"/>
            <c:bubble3D val="0"/>
            <c:spPr>
              <a:solidFill>
                <a:schemeClr val="accent4">
                  <a:alpha val="70000"/>
                </a:schemeClr>
              </a:solidFill>
              <a:ln>
                <a:noFill/>
              </a:ln>
              <a:effectLst/>
            </c:spPr>
            <c:extLst>
              <c:ext xmlns:c16="http://schemas.microsoft.com/office/drawing/2014/chart" uri="{C3380CC4-5D6E-409C-BE32-E72D297353CC}">
                <c16:uniqueId val="{00000007-54CB-47F8-BC1A-C67F1831B12C}"/>
              </c:ext>
            </c:extLst>
          </c:dPt>
          <c:dPt>
            <c:idx val="4"/>
            <c:bubble3D val="0"/>
            <c:spPr>
              <a:solidFill>
                <a:schemeClr val="accent2">
                  <a:lumMod val="75000"/>
                  <a:alpha val="70000"/>
                </a:schemeClr>
              </a:solidFill>
              <a:ln>
                <a:noFill/>
              </a:ln>
              <a:effectLst/>
            </c:spPr>
            <c:extLst>
              <c:ext xmlns:c16="http://schemas.microsoft.com/office/drawing/2014/chart" uri="{C3380CC4-5D6E-409C-BE32-E72D297353CC}">
                <c16:uniqueId val="{00000009-54CB-47F8-BC1A-C67F1831B12C}"/>
              </c:ext>
            </c:extLst>
          </c:dPt>
          <c:dPt>
            <c:idx val="5"/>
            <c:bubble3D val="0"/>
            <c:spPr>
              <a:solidFill>
                <a:schemeClr val="accent6">
                  <a:alpha val="70000"/>
                </a:schemeClr>
              </a:solidFill>
              <a:ln>
                <a:noFill/>
              </a:ln>
              <a:effectLst/>
            </c:spPr>
            <c:extLst>
              <c:ext xmlns:c16="http://schemas.microsoft.com/office/drawing/2014/chart" uri="{C3380CC4-5D6E-409C-BE32-E72D297353CC}">
                <c16:uniqueId val="{0000000B-54CB-47F8-BC1A-C67F1831B12C}"/>
              </c:ext>
            </c:extLst>
          </c:dPt>
          <c:dPt>
            <c:idx val="6"/>
            <c:bubble3D val="0"/>
            <c:spPr>
              <a:solidFill>
                <a:schemeClr val="accent1">
                  <a:lumMod val="60000"/>
                  <a:alpha val="70000"/>
                </a:schemeClr>
              </a:solidFill>
              <a:ln>
                <a:noFill/>
              </a:ln>
              <a:effectLst/>
            </c:spPr>
            <c:extLst>
              <c:ext xmlns:c16="http://schemas.microsoft.com/office/drawing/2014/chart" uri="{C3380CC4-5D6E-409C-BE32-E72D297353CC}">
                <c16:uniqueId val="{0000000D-54CB-47F8-BC1A-C67F1831B12C}"/>
              </c:ext>
            </c:extLst>
          </c:dPt>
          <c:dLbls>
            <c:dLbl>
              <c:idx val="0"/>
              <c:layout>
                <c:manualLayout>
                  <c:x val="2.2433552664763812E-2"/>
                  <c:y val="-3.2460149798348374E-2"/>
                </c:manualLayout>
              </c:layout>
              <c:numFmt formatCode="0.00%" sourceLinked="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54CB-47F8-BC1A-C67F1831B12C}"/>
                </c:ext>
              </c:extLst>
            </c:dLbl>
            <c:dLbl>
              <c:idx val="1"/>
              <c:layout>
                <c:manualLayout>
                  <c:x val="-3.9052126436481725E-2"/>
                  <c:y val="-1.6259949213665366E-2"/>
                </c:manualLayout>
              </c:layout>
              <c:numFmt formatCode="0.00%" sourceLinked="0"/>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2"/>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manualLayout>
                      <c:w val="7.612035573088155E-2"/>
                      <c:h val="9.7887032413631211E-2"/>
                    </c:manualLayout>
                  </c15:layout>
                </c:ext>
                <c:ext xmlns:c16="http://schemas.microsoft.com/office/drawing/2014/chart" uri="{C3380CC4-5D6E-409C-BE32-E72D297353CC}">
                  <c16:uniqueId val="{00000003-54CB-47F8-BC1A-C67F1831B12C}"/>
                </c:ext>
              </c:extLst>
            </c:dLbl>
            <c:dLbl>
              <c:idx val="2"/>
              <c:layout>
                <c:manualLayout>
                  <c:x val="-8.0863897976967587E-3"/>
                  <c:y val="2.2855984465356464E-2"/>
                </c:manualLayout>
              </c:layout>
              <c:numFmt formatCode="0.00%" sourceLinked="0"/>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54CB-47F8-BC1A-C67F1831B12C}"/>
                </c:ext>
              </c:extLst>
            </c:dLbl>
            <c:dLbl>
              <c:idx val="3"/>
              <c:layout>
                <c:manualLayout>
                  <c:x val="1.5459300191848966E-3"/>
                  <c:y val="9.294454046902674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54CB-47F8-BC1A-C67F1831B12C}"/>
                </c:ext>
              </c:extLst>
            </c:dLbl>
            <c:dLbl>
              <c:idx val="4"/>
              <c:layout>
                <c:manualLayout>
                  <c:x val="-6.5898571823652082E-3"/>
                  <c:y val="7.8522074984529427E-2"/>
                </c:manualLayout>
              </c:layout>
              <c:numFmt formatCode="0.00%" sourceLinked="0"/>
              <c:spPr>
                <a:solidFill>
                  <a:sysClr val="window" lastClr="FFFFFF">
                    <a:alpha val="90000"/>
                  </a:sysClr>
                </a:solidFill>
                <a:ln w="12700" cap="flat" cmpd="sng" algn="ctr">
                  <a:solidFill>
                    <a:schemeClr val="accent1">
                      <a:lumMod val="60000"/>
                      <a:lumOff val="40000"/>
                    </a:schemeClr>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lumMod val="75000"/>
                        </a:schemeClr>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54CB-47F8-BC1A-C67F1831B12C}"/>
                </c:ext>
              </c:extLst>
            </c:dLbl>
            <c:dLbl>
              <c:idx val="5"/>
              <c:layout>
                <c:manualLayout>
                  <c:x val="-1.737431926376996E-2"/>
                  <c:y val="-2.2593517273755913E-3"/>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B-54CB-47F8-BC1A-C67F1831B12C}"/>
                </c:ext>
              </c:extLst>
            </c:dLbl>
            <c:dLbl>
              <c:idx val="6"/>
              <c:layout>
                <c:manualLayout>
                  <c:x val="-1.8303129603829342E-2"/>
                  <c:y val="-1.1553677741501825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lumMod val="60000"/>
                        </a:schemeClr>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D-54CB-47F8-BC1A-C67F1831B12C}"/>
                </c:ext>
              </c:extLst>
            </c:dLbl>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List1!$A$2:$A$8</c:f>
              <c:strCache>
                <c:ptCount val="7"/>
                <c:pt idx="0">
                  <c:v>Ústřední orgán MD</c:v>
                </c:pt>
                <c:pt idx="1">
                  <c:v>Drážní úřad</c:v>
                </c:pt>
                <c:pt idx="2">
                  <c:v>Drážní inspekce</c:v>
                </c:pt>
                <c:pt idx="3">
                  <c:v>Ředitelství vodních cest ČR</c:v>
                </c:pt>
                <c:pt idx="4">
                  <c:v>Státní plavební správa</c:v>
                </c:pt>
                <c:pt idx="5">
                  <c:v>Úřad pro civilní letectví</c:v>
                </c:pt>
                <c:pt idx="6">
                  <c:v>Ústav pro odborné zjišťování příčin leteckých nehod</c:v>
                </c:pt>
              </c:strCache>
            </c:strRef>
          </c:cat>
          <c:val>
            <c:numRef>
              <c:f>List1!$B$2:$B$8</c:f>
              <c:numCache>
                <c:formatCode>#,##0</c:formatCode>
                <c:ptCount val="7"/>
                <c:pt idx="0">
                  <c:v>28749</c:v>
                </c:pt>
                <c:pt idx="1">
                  <c:v>95</c:v>
                </c:pt>
                <c:pt idx="2">
                  <c:v>1935</c:v>
                </c:pt>
                <c:pt idx="3">
                  <c:v>580</c:v>
                </c:pt>
                <c:pt idx="4">
                  <c:v>7246</c:v>
                </c:pt>
                <c:pt idx="5">
                  <c:v>3629</c:v>
                </c:pt>
                <c:pt idx="6">
                  <c:v>406</c:v>
                </c:pt>
              </c:numCache>
            </c:numRef>
          </c:val>
          <c:extLst>
            <c:ext xmlns:c16="http://schemas.microsoft.com/office/drawing/2014/chart" uri="{C3380CC4-5D6E-409C-BE32-E72D297353CC}">
              <c16:uniqueId val="{0000000E-54CB-47F8-BC1A-C67F1831B12C}"/>
            </c:ext>
          </c:extLst>
        </c:ser>
        <c:dLbls>
          <c:dLblPos val="inEnd"/>
          <c:showLegendKey val="0"/>
          <c:showVal val="0"/>
          <c:showCatName val="1"/>
          <c:showSerName val="0"/>
          <c:showPercent val="0"/>
          <c:showBubbleSize val="0"/>
          <c:showLeaderLines val="0"/>
        </c:dLbls>
        <c:firstSliceAng val="145"/>
      </c:pieChart>
      <c:spPr>
        <a:noFill/>
        <a:ln>
          <a:noFill/>
        </a:ln>
        <a:effectLst/>
      </c:spPr>
    </c:plotArea>
    <c:legend>
      <c:legendPos val="r"/>
      <c:layout>
        <c:manualLayout>
          <c:xMode val="edge"/>
          <c:yMode val="edge"/>
          <c:x val="0.66979835771025642"/>
          <c:y val="5.2739924673033997E-2"/>
          <c:w val="0.31694783181923331"/>
          <c:h val="0.9472600753269659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skutečnost</c:v>
                </c:pt>
              </c:strCache>
            </c:strRef>
          </c:tx>
          <c:spPr>
            <a:solidFill>
              <a:schemeClr val="accent2"/>
            </a:solidFill>
            <a:ln>
              <a:noFill/>
            </a:ln>
            <a:effectLst/>
          </c:spPr>
          <c:invertIfNegative val="0"/>
          <c:dLbls>
            <c:dLbl>
              <c:idx val="0"/>
              <c:layout>
                <c:manualLayout>
                  <c:x val="0"/>
                  <c:y val="1.581364829396321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6C2-4BC9-B565-538CF3EBEF5D}"/>
                </c:ext>
              </c:extLst>
            </c:dLbl>
            <c:dLbl>
              <c:idx val="1"/>
              <c:layout>
                <c:manualLayout>
                  <c:x val="-8.4875562720133283E-17"/>
                  <c:y val="1.581364829396325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6C2-4BC9-B565-538CF3EBEF5D}"/>
                </c:ext>
              </c:extLst>
            </c:dLbl>
            <c:dLbl>
              <c:idx val="2"/>
              <c:layout>
                <c:manualLayout>
                  <c:x val="0"/>
                  <c:y val="-4.431102362204739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96C2-4BC9-B565-538CF3EBEF5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List1!$A$2:$A$4</c:f>
              <c:strCache>
                <c:ptCount val="3"/>
                <c:pt idx="0">
                  <c:v>daňové příjmy</c:v>
                </c:pt>
                <c:pt idx="1">
                  <c:v>nedaňové příjmy</c:v>
                </c:pt>
                <c:pt idx="2">
                  <c:v>kapitálové příjmy</c:v>
                </c:pt>
              </c:strCache>
            </c:strRef>
          </c:cat>
          <c:val>
            <c:numRef>
              <c:f>List1!$B$2:$B$4</c:f>
              <c:numCache>
                <c:formatCode>#,##0</c:formatCode>
                <c:ptCount val="3"/>
                <c:pt idx="0">
                  <c:v>191895</c:v>
                </c:pt>
                <c:pt idx="1">
                  <c:v>259263</c:v>
                </c:pt>
                <c:pt idx="2">
                  <c:v>116</c:v>
                </c:pt>
              </c:numCache>
            </c:numRef>
          </c:val>
          <c:extLst>
            <c:ext xmlns:c16="http://schemas.microsoft.com/office/drawing/2014/chart" uri="{C3380CC4-5D6E-409C-BE32-E72D297353CC}">
              <c16:uniqueId val="{00000003-96C2-4BC9-B565-538CF3EBEF5D}"/>
            </c:ext>
          </c:extLst>
        </c:ser>
        <c:dLbls>
          <c:dLblPos val="inEnd"/>
          <c:showLegendKey val="0"/>
          <c:showVal val="1"/>
          <c:showCatName val="0"/>
          <c:showSerName val="0"/>
          <c:showPercent val="0"/>
          <c:showBubbleSize val="0"/>
        </c:dLbls>
        <c:gapWidth val="219"/>
        <c:overlap val="-27"/>
        <c:axId val="657630864"/>
        <c:axId val="657634800"/>
      </c:barChart>
      <c:lineChart>
        <c:grouping val="standard"/>
        <c:varyColors val="0"/>
        <c:ser>
          <c:idx val="1"/>
          <c:order val="1"/>
          <c:tx>
            <c:strRef>
              <c:f>List1!$C$1</c:f>
              <c:strCache>
                <c:ptCount val="1"/>
                <c:pt idx="0">
                  <c:v>rozpočet</c:v>
                </c:pt>
              </c:strCache>
            </c:strRef>
          </c:tx>
          <c:spPr>
            <a:ln w="28575" cap="rnd">
              <a:solidFill>
                <a:schemeClr val="accent1"/>
              </a:solidFill>
              <a:prstDash val="dash"/>
              <a:round/>
            </a:ln>
            <a:effectLst/>
          </c:spPr>
          <c:marker>
            <c:symbol val="circle"/>
            <c:size val="5"/>
            <c:spPr>
              <a:solidFill>
                <a:schemeClr val="accent1"/>
              </a:solidFill>
              <a:ln w="9525">
                <a:solidFill>
                  <a:schemeClr val="accent2"/>
                </a:solidFill>
              </a:ln>
              <a:effectLst/>
            </c:spPr>
          </c:marker>
          <c:dPt>
            <c:idx val="1"/>
            <c:marker>
              <c:symbol val="circle"/>
              <c:size val="5"/>
              <c:spPr>
                <a:solidFill>
                  <a:schemeClr val="accent1"/>
                </a:solidFill>
                <a:ln w="9525">
                  <a:solidFill>
                    <a:schemeClr val="accent1"/>
                  </a:solidFill>
                </a:ln>
                <a:effectLst/>
              </c:spPr>
            </c:marker>
            <c:bubble3D val="0"/>
            <c:extLst>
              <c:ext xmlns:c16="http://schemas.microsoft.com/office/drawing/2014/chart" uri="{C3380CC4-5D6E-409C-BE32-E72D297353CC}">
                <c16:uniqueId val="{00000004-96C2-4BC9-B565-538CF3EBEF5D}"/>
              </c:ext>
            </c:extLst>
          </c:dPt>
          <c:dLbls>
            <c:dLbl>
              <c:idx val="0"/>
              <c:layout>
                <c:manualLayout>
                  <c:x val="-5.3240790644074332E-2"/>
                  <c:y val="5.763942485056566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96C2-4BC9-B565-538CF3EBEF5D}"/>
                </c:ext>
              </c:extLst>
            </c:dLbl>
            <c:dLbl>
              <c:idx val="1"/>
              <c:layout>
                <c:manualLayout>
                  <c:x val="-5.3240740740740741E-2"/>
                  <c:y val="-4.365079365079364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96C2-4BC9-B565-538CF3EBEF5D}"/>
                </c:ext>
              </c:extLst>
            </c:dLbl>
            <c:dLbl>
              <c:idx val="2"/>
              <c:layout>
                <c:manualLayout>
                  <c:x val="-1.5670386777612733E-2"/>
                  <c:y val="-4.365088166796062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96C2-4BC9-B565-538CF3EBEF5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List1!$A$2:$A$4</c:f>
              <c:strCache>
                <c:ptCount val="3"/>
                <c:pt idx="0">
                  <c:v>daňové příjmy</c:v>
                </c:pt>
                <c:pt idx="1">
                  <c:v>nedaňové příjmy</c:v>
                </c:pt>
                <c:pt idx="2">
                  <c:v>kapitálové příjmy</c:v>
                </c:pt>
              </c:strCache>
            </c:strRef>
          </c:cat>
          <c:val>
            <c:numRef>
              <c:f>List1!$C$2:$C$4</c:f>
              <c:numCache>
                <c:formatCode>#,##0</c:formatCode>
                <c:ptCount val="3"/>
                <c:pt idx="0">
                  <c:v>170000</c:v>
                </c:pt>
                <c:pt idx="1">
                  <c:v>207000</c:v>
                </c:pt>
                <c:pt idx="2" formatCode="General">
                  <c:v>0</c:v>
                </c:pt>
              </c:numCache>
            </c:numRef>
          </c:val>
          <c:smooth val="0"/>
          <c:extLst>
            <c:ext xmlns:c16="http://schemas.microsoft.com/office/drawing/2014/chart" uri="{C3380CC4-5D6E-409C-BE32-E72D297353CC}">
              <c16:uniqueId val="{00000007-96C2-4BC9-B565-538CF3EBEF5D}"/>
            </c:ext>
          </c:extLst>
        </c:ser>
        <c:dLbls>
          <c:showLegendKey val="0"/>
          <c:showVal val="1"/>
          <c:showCatName val="0"/>
          <c:showSerName val="0"/>
          <c:showPercent val="0"/>
          <c:showBubbleSize val="0"/>
        </c:dLbls>
        <c:marker val="1"/>
        <c:smooth val="0"/>
        <c:axId val="657630864"/>
        <c:axId val="657634800"/>
      </c:lineChart>
      <c:catAx>
        <c:axId val="657630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57634800"/>
        <c:crosses val="autoZero"/>
        <c:auto val="1"/>
        <c:lblAlgn val="ctr"/>
        <c:lblOffset val="100"/>
        <c:noMultiLvlLbl val="0"/>
      </c:catAx>
      <c:valAx>
        <c:axId val="6576348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576308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2460846240373803"/>
          <c:y val="0"/>
          <c:w val="0.35078324824781515"/>
          <c:h val="1"/>
        </c:manualLayout>
      </c:layout>
      <c:doughnutChart>
        <c:varyColors val="1"/>
        <c:ser>
          <c:idx val="0"/>
          <c:order val="0"/>
          <c:tx>
            <c:strRef>
              <c:f>List1!$B$1</c:f>
              <c:strCache>
                <c:ptCount val="1"/>
                <c:pt idx="0">
                  <c:v>Institucionální podpora</c:v>
                </c:pt>
              </c:strCache>
            </c:strRef>
          </c:tx>
          <c:dPt>
            <c:idx val="0"/>
            <c:bubble3D val="0"/>
            <c:spPr>
              <a:solidFill>
                <a:schemeClr val="accent1"/>
              </a:solidFill>
              <a:ln w="19001">
                <a:solidFill>
                  <a:schemeClr val="lt1"/>
                </a:solidFill>
              </a:ln>
              <a:effectLst/>
            </c:spPr>
            <c:extLst>
              <c:ext xmlns:c16="http://schemas.microsoft.com/office/drawing/2014/chart" uri="{C3380CC4-5D6E-409C-BE32-E72D297353CC}">
                <c16:uniqueId val="{00000000-77C6-4360-A9EF-5CCF6E5A3CAC}"/>
              </c:ext>
            </c:extLst>
          </c:dPt>
          <c:dPt>
            <c:idx val="1"/>
            <c:bubble3D val="0"/>
            <c:spPr>
              <a:solidFill>
                <a:schemeClr val="accent2"/>
              </a:solidFill>
              <a:ln w="19001">
                <a:solidFill>
                  <a:schemeClr val="lt1"/>
                </a:solidFill>
              </a:ln>
              <a:effectLst/>
            </c:spPr>
            <c:extLst>
              <c:ext xmlns:c16="http://schemas.microsoft.com/office/drawing/2014/chart" uri="{C3380CC4-5D6E-409C-BE32-E72D297353CC}">
                <c16:uniqueId val="{00000001-77C6-4360-A9EF-5CCF6E5A3CAC}"/>
              </c:ext>
            </c:extLst>
          </c:dPt>
          <c:dLbls>
            <c:dLbl>
              <c:idx val="0"/>
              <c:layout>
                <c:manualLayout>
                  <c:x val="-8.4025266072510166E-2"/>
                  <c:y val="-8.6530216651182032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77C6-4360-A9EF-5CCF6E5A3CAC}"/>
                </c:ext>
              </c:extLst>
            </c:dLbl>
            <c:dLbl>
              <c:idx val="1"/>
              <c:layout>
                <c:manualLayout>
                  <c:x val="0.10172466903175556"/>
                  <c:y val="0"/>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77C6-4360-A9EF-5CCF6E5A3CAC}"/>
                </c:ext>
              </c:extLst>
            </c:dLbl>
            <c:numFmt formatCode="General" sourceLinked="0"/>
            <c:spPr>
              <a:noFill/>
              <a:ln w="25334">
                <a:noFill/>
              </a:ln>
            </c:spPr>
            <c:txPr>
              <a:bodyPr rot="0" spcFirstLastPara="1" vertOverflow="ellipsis" vert="horz" wrap="square" lIns="38100" tIns="19050" rIns="38100" bIns="19050" anchor="ctr" anchorCtr="1">
                <a:spAutoFit/>
              </a:bodyPr>
              <a:lstStyle/>
              <a:p>
                <a:pPr>
                  <a:defRPr sz="898" b="0" i="0" u="none" strike="noStrike" kern="1200" baseline="0">
                    <a:solidFill>
                      <a:schemeClr val="tx1">
                        <a:lumMod val="75000"/>
                        <a:lumOff val="25000"/>
                      </a:schemeClr>
                    </a:solidFill>
                    <a:latin typeface="+mn-lt"/>
                    <a:ea typeface="+mn-ea"/>
                    <a:cs typeface="+mn-cs"/>
                  </a:defRPr>
                </a:pPr>
                <a:endParaRPr lang="cs-CZ"/>
              </a:p>
            </c:txPr>
            <c:showLegendKey val="0"/>
            <c:showVal val="0"/>
            <c:showCatName val="1"/>
            <c:showSerName val="0"/>
            <c:showPercent val="1"/>
            <c:showBubbleSize val="0"/>
            <c:showLeaderLines val="0"/>
            <c:extLst>
              <c:ext xmlns:c15="http://schemas.microsoft.com/office/drawing/2012/chart" uri="{CE6537A1-D6FC-4f65-9D91-7224C49458BB}"/>
            </c:extLst>
          </c:dLbls>
          <c:cat>
            <c:strRef>
              <c:f>List1!$A$2:$A$3</c:f>
              <c:strCache>
                <c:ptCount val="2"/>
                <c:pt idx="0">
                  <c:v>Běžné výdaje</c:v>
                </c:pt>
                <c:pt idx="1">
                  <c:v>Kapitálové výdaje</c:v>
                </c:pt>
              </c:strCache>
            </c:strRef>
          </c:cat>
          <c:val>
            <c:numRef>
              <c:f>List1!$B$2:$B$3</c:f>
              <c:numCache>
                <c:formatCode>#\ ##0</c:formatCode>
                <c:ptCount val="2"/>
                <c:pt idx="0">
                  <c:v>42750</c:v>
                </c:pt>
                <c:pt idx="1">
                  <c:v>7250</c:v>
                </c:pt>
              </c:numCache>
            </c:numRef>
          </c:val>
          <c:extLst>
            <c:ext xmlns:c16="http://schemas.microsoft.com/office/drawing/2014/chart" uri="{C3380CC4-5D6E-409C-BE32-E72D297353CC}">
              <c16:uniqueId val="{00000002-77C6-4360-A9EF-5CCF6E5A3CAC}"/>
            </c:ext>
          </c:extLst>
        </c:ser>
        <c:dLbls>
          <c:showLegendKey val="0"/>
          <c:showVal val="0"/>
          <c:showCatName val="0"/>
          <c:showSerName val="0"/>
          <c:showPercent val="0"/>
          <c:showBubbleSize val="0"/>
          <c:showLeaderLines val="0"/>
        </c:dLbls>
        <c:firstSliceAng val="114"/>
        <c:holeSize val="85"/>
      </c:doughnutChart>
      <c:spPr>
        <a:noFill/>
        <a:ln w="25334">
          <a:noFill/>
        </a:ln>
      </c:spPr>
    </c:plotArea>
    <c:plotVisOnly val="1"/>
    <c:dispBlanksAs val="gap"/>
    <c:showDLblsOverMax val="0"/>
  </c:chart>
  <c:spPr>
    <a:solidFill>
      <a:schemeClr val="bg1"/>
    </a:solidFill>
    <a:ln>
      <a:noFill/>
    </a:ln>
    <a:effectLst/>
  </c:spPr>
  <c:txPr>
    <a:bodyPr/>
    <a:lstStyle/>
    <a:p>
      <a:pPr>
        <a:defRPr/>
      </a:pPr>
      <a:endParaRPr lang="cs-CZ"/>
    </a:p>
  </c:txPr>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914135733033371"/>
          <c:y val="0.28968399328377137"/>
          <c:w val="0.82336493652579135"/>
          <c:h val="0.53354483433674815"/>
        </c:manualLayout>
      </c:layout>
      <c:pieChart>
        <c:varyColors val="1"/>
        <c:ser>
          <c:idx val="0"/>
          <c:order val="0"/>
          <c:tx>
            <c:strRef>
              <c:f>List1!$B$1</c:f>
              <c:strCache>
                <c:ptCount val="1"/>
                <c:pt idx="0">
                  <c:v>čerpání z EU</c:v>
                </c:pt>
              </c:strCache>
            </c:strRef>
          </c:tx>
          <c:dPt>
            <c:idx val="0"/>
            <c:bubble3D val="0"/>
            <c:spPr>
              <a:solidFill>
                <a:schemeClr val="accent1"/>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8397-4C7A-8685-57ADC68A345F}"/>
              </c:ext>
            </c:extLst>
          </c:dPt>
          <c:dPt>
            <c:idx val="1"/>
            <c:bubble3D val="0"/>
            <c:spPr>
              <a:solidFill>
                <a:schemeClr val="accent2"/>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8397-4C7A-8685-57ADC68A345F}"/>
              </c:ext>
            </c:extLst>
          </c:dPt>
          <c:dPt>
            <c:idx val="2"/>
            <c:bubble3D val="0"/>
            <c:spPr>
              <a:solidFill>
                <a:schemeClr val="accent3"/>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5-8397-4C7A-8685-57ADC68A345F}"/>
              </c:ext>
            </c:extLst>
          </c:dPt>
          <c:dLbls>
            <c:dLbl>
              <c:idx val="0"/>
              <c:layout>
                <c:manualLayout>
                  <c:x val="-0.28917051117508991"/>
                  <c:y val="5.0604111986001753E-2"/>
                </c:manualLayout>
              </c:layout>
              <c:tx>
                <c:rich>
                  <a:bodyPr rot="0" spcFirstLastPara="1" vertOverflow="overflow" horzOverflow="overflow" vert="horz" wrap="square" lIns="38100" tIns="19050" rIns="38100" bIns="19050" anchor="ctr" anchorCtr="1">
                    <a:noAutofit/>
                  </a:bodyPr>
                  <a:lstStyle/>
                  <a:p>
                    <a:pPr>
                      <a:defRPr sz="1000" b="1" i="0" u="none" strike="noStrike" kern="1200" baseline="0">
                        <a:solidFill>
                          <a:schemeClr val="accent1"/>
                        </a:solidFill>
                        <a:latin typeface="+mn-lt"/>
                        <a:ea typeface="+mn-ea"/>
                        <a:cs typeface="+mn-cs"/>
                      </a:defRPr>
                    </a:pPr>
                    <a:fld id="{A1B67B07-6FFE-40E2-84DB-FDD03505AD9B}" type="CELLRANGE">
                      <a:rPr lang="en-US" baseline="0">
                        <a:solidFill>
                          <a:schemeClr val="accent1"/>
                        </a:solidFill>
                      </a:rPr>
                      <a:pPr>
                        <a:defRPr/>
                      </a:pPr>
                      <a:t>[OBLAST BUNĚK]</a:t>
                    </a:fld>
                    <a:r>
                      <a:rPr lang="en-US" baseline="0">
                        <a:solidFill>
                          <a:schemeClr val="accent1"/>
                        </a:solidFill>
                      </a:rPr>
                      <a:t> tis. Kč
</a:t>
                    </a:r>
                    <a:fld id="{1A9F2170-C0C1-45AD-BB6E-B49458521C96}" type="CATEGORYNAME">
                      <a:rPr lang="en-US" baseline="0">
                        <a:solidFill>
                          <a:schemeClr val="accent1"/>
                        </a:solidFill>
                      </a:rPr>
                      <a:pPr>
                        <a:defRPr/>
                      </a:pPr>
                      <a:t>[NÁZEV KATEGORIE]</a:t>
                    </a:fld>
                    <a:r>
                      <a:rPr lang="en-US" baseline="0">
                        <a:solidFill>
                          <a:schemeClr val="accent1"/>
                        </a:solidFill>
                      </a:rPr>
                      <a:t>
</a:t>
                    </a:r>
                    <a:fld id="{4A730282-1683-4B2E-BE6A-EA80F58276B1}" type="PERCENTAGE">
                      <a:rPr lang="en-US" baseline="0">
                        <a:solidFill>
                          <a:schemeClr val="accent1"/>
                        </a:solidFill>
                      </a:rPr>
                      <a:pPr>
                        <a:defRPr/>
                      </a:pPr>
                      <a:t>[PROCENTO]</a:t>
                    </a:fld>
                    <a:endParaRPr lang="en-US" baseline="0">
                      <a:solidFill>
                        <a:schemeClr val="accent1"/>
                      </a:solidFill>
                    </a:endParaRPr>
                  </a:p>
                </c:rich>
              </c:tx>
              <c:spPr>
                <a:xfrm>
                  <a:off x="1968003" y="2919817"/>
                  <a:ext cx="1867872" cy="558475"/>
                </a:xfrm>
                <a:solidFill>
                  <a:sysClr val="window" lastClr="FFFFFF"/>
                </a:solidFill>
                <a:ln w="9525" cap="sq" cmpd="sng" algn="ctr">
                  <a:solidFill>
                    <a:srgbClr val="5B9BD5"/>
                  </a:solidFill>
                  <a:prstDash val="solid"/>
                  <a:round/>
                  <a:headEnd type="none" w="med" len="med"/>
                  <a:tailEnd type="none" w="med" len="med"/>
                </a:ln>
                <a:effectLst/>
              </c:spPr>
              <c:txPr>
                <a:bodyPr rot="0" spcFirstLastPara="1" vertOverflow="overflow" horzOverflow="overflow" vert="horz" wrap="square" lIns="38100" tIns="19050" rIns="38100" bIns="19050" anchor="ctr" anchorCtr="1">
                  <a:noAutofit/>
                </a:bodyPr>
                <a:lstStyle/>
                <a:p>
                  <a:pPr>
                    <a:defRPr sz="1000" b="1" i="0" u="none" strike="noStrike" kern="120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gd name="adj1" fmla="val -38222"/>
                        <a:gd name="adj2" fmla="val -45917"/>
                      </a:avLst>
                    </a:prstGeom>
                    <a:noFill/>
                    <a:ln>
                      <a:noFill/>
                    </a:ln>
                  </c15:spPr>
                  <c15:layout>
                    <c:manualLayout>
                      <c:w val="0.43194305796521199"/>
                      <c:h val="0.15677151318652013"/>
                    </c:manualLayout>
                  </c15:layout>
                  <c15:dlblFieldTable/>
                  <c15:showDataLabelsRange val="1"/>
                </c:ext>
                <c:ext xmlns:c16="http://schemas.microsoft.com/office/drawing/2014/chart" uri="{C3380CC4-5D6E-409C-BE32-E72D297353CC}">
                  <c16:uniqueId val="{00000001-8397-4C7A-8685-57ADC68A345F}"/>
                </c:ext>
              </c:extLst>
            </c:dLbl>
            <c:dLbl>
              <c:idx val="1"/>
              <c:layout>
                <c:manualLayout>
                  <c:x val="-1.2513672575069086E-2"/>
                  <c:y val="7.130124777183601E-2"/>
                </c:manualLayout>
              </c:layout>
              <c:tx>
                <c:rich>
                  <a:bodyPr rot="0" spcFirstLastPara="1" vertOverflow="overflow" horzOverflow="overflow" vert="horz" wrap="square" lIns="38100" tIns="19050" rIns="38100" bIns="19050" anchor="ctr" anchorCtr="1">
                    <a:noAutofit/>
                  </a:bodyPr>
                  <a:lstStyle/>
                  <a:p>
                    <a:pPr>
                      <a:defRPr sz="1000" b="1" i="0" u="none" strike="noStrike" kern="1200" baseline="0">
                        <a:solidFill>
                          <a:schemeClr val="accent1"/>
                        </a:solidFill>
                        <a:latin typeface="+mn-lt"/>
                        <a:ea typeface="+mn-ea"/>
                        <a:cs typeface="+mn-cs"/>
                      </a:defRPr>
                    </a:pPr>
                    <a:fld id="{6577271A-88EE-459F-B8F9-7169816CF789}" type="CELLRANGE">
                      <a:rPr lang="en-US" baseline="0">
                        <a:solidFill>
                          <a:schemeClr val="accent1"/>
                        </a:solidFill>
                      </a:rPr>
                      <a:pPr>
                        <a:defRPr>
                          <a:solidFill>
                            <a:schemeClr val="accent1"/>
                          </a:solidFill>
                        </a:defRPr>
                      </a:pPr>
                      <a:t>[OBLAST BUNĚK]</a:t>
                    </a:fld>
                    <a:r>
                      <a:rPr lang="en-US" baseline="0">
                        <a:solidFill>
                          <a:schemeClr val="accent1"/>
                        </a:solidFill>
                      </a:rPr>
                      <a:t> tis. Kč
</a:t>
                    </a:r>
                    <a:fld id="{8B57146C-2DF2-41E6-9DF9-249E6535DAE1}" type="CATEGORYNAME">
                      <a:rPr lang="en-US" baseline="0">
                        <a:solidFill>
                          <a:schemeClr val="accent1"/>
                        </a:solidFill>
                      </a:rPr>
                      <a:pPr>
                        <a:defRPr>
                          <a:solidFill>
                            <a:schemeClr val="accent1"/>
                          </a:solidFill>
                        </a:defRPr>
                      </a:pPr>
                      <a:t>[NÁZEV KATEGORIE]</a:t>
                    </a:fld>
                    <a:r>
                      <a:rPr lang="en-US" baseline="0">
                        <a:solidFill>
                          <a:schemeClr val="accent1"/>
                        </a:solidFill>
                      </a:rPr>
                      <a:t>
</a:t>
                    </a:r>
                    <a:fld id="{278268DA-0DFB-4A73-9687-61BEADADE03F}" type="PERCENTAGE">
                      <a:rPr lang="en-US" baseline="0">
                        <a:solidFill>
                          <a:schemeClr val="accent1"/>
                        </a:solidFill>
                      </a:rPr>
                      <a:pPr>
                        <a:defRPr>
                          <a:solidFill>
                            <a:schemeClr val="accent1"/>
                          </a:solidFill>
                        </a:defRPr>
                      </a:pPr>
                      <a:t>[PROCENTO]</a:t>
                    </a:fld>
                    <a:endParaRPr lang="en-US" baseline="0">
                      <a:solidFill>
                        <a:schemeClr val="accent1"/>
                      </a:solidFill>
                    </a:endParaRPr>
                  </a:p>
                </c:rich>
              </c:tx>
              <c:spPr>
                <a:xfrm>
                  <a:off x="101252" y="1065674"/>
                  <a:ext cx="1102079" cy="664541"/>
                </a:xfrm>
                <a:solidFill>
                  <a:sysClr val="window" lastClr="FFFFFF"/>
                </a:solidFill>
                <a:ln w="9525" cap="sq" cmpd="sng" algn="ctr">
                  <a:solidFill>
                    <a:srgbClr val="ED7D31"/>
                  </a:solidFill>
                  <a:prstDash val="solid"/>
                  <a:round/>
                  <a:headEnd type="none" w="med" len="med"/>
                  <a:tailEnd type="none" w="med" len="med"/>
                </a:ln>
                <a:effectLst/>
              </c:spPr>
              <c:txPr>
                <a:bodyPr rot="0" spcFirstLastPara="1" vertOverflow="overflow" horzOverflow="overflow" vert="horz" wrap="square" lIns="38100" tIns="19050" rIns="38100" bIns="19050" anchor="ctr" anchorCtr="1">
                  <a:noAutofit/>
                </a:bodyPr>
                <a:lstStyle/>
                <a:p>
                  <a:pPr>
                    <a:defRPr sz="1000" b="1" i="0" u="none" strike="noStrike" kern="120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gd name="adj1" fmla="val 22706"/>
                        <a:gd name="adj2" fmla="val 49558"/>
                      </a:avLst>
                    </a:prstGeom>
                    <a:noFill/>
                    <a:ln>
                      <a:noFill/>
                    </a:ln>
                  </c15:spPr>
                  <c15:layout>
                    <c:manualLayout>
                      <c:w val="0.23429648386462701"/>
                      <c:h val="0.12237455612166126"/>
                    </c:manualLayout>
                  </c15:layout>
                  <c15:dlblFieldTable/>
                  <c15:showDataLabelsRange val="1"/>
                </c:ext>
                <c:ext xmlns:c16="http://schemas.microsoft.com/office/drawing/2014/chart" uri="{C3380CC4-5D6E-409C-BE32-E72D297353CC}">
                  <c16:uniqueId val="{00000003-8397-4C7A-8685-57ADC68A345F}"/>
                </c:ext>
              </c:extLst>
            </c:dLbl>
            <c:dLbl>
              <c:idx val="2"/>
              <c:layout>
                <c:manualLayout>
                  <c:x val="0.23201174743024966"/>
                  <c:y val="-6.4170982637865456E-2"/>
                </c:manualLayout>
              </c:layout>
              <c:tx>
                <c:rich>
                  <a:bodyPr rot="0" spcFirstLastPara="1" vertOverflow="overflow" horzOverflow="overflow" vert="horz" wrap="square" lIns="38100" tIns="19050" rIns="38100" bIns="19050" anchor="ctr" anchorCtr="1">
                    <a:noAutofit/>
                  </a:bodyPr>
                  <a:lstStyle/>
                  <a:p>
                    <a:pPr>
                      <a:defRPr sz="1000" b="1" i="0" u="none" strike="noStrike" kern="1200" baseline="0">
                        <a:solidFill>
                          <a:schemeClr val="accent1"/>
                        </a:solidFill>
                        <a:latin typeface="+mn-lt"/>
                        <a:ea typeface="+mn-ea"/>
                        <a:cs typeface="+mn-cs"/>
                      </a:defRPr>
                    </a:pPr>
                    <a:fld id="{B43DF0CD-1530-4837-A912-7866CB79F1F7}" type="CELLRANGE">
                      <a:rPr lang="en-US" baseline="0">
                        <a:solidFill>
                          <a:schemeClr val="accent1"/>
                        </a:solidFill>
                      </a:rPr>
                      <a:pPr>
                        <a:defRPr>
                          <a:solidFill>
                            <a:schemeClr val="accent1"/>
                          </a:solidFill>
                        </a:defRPr>
                      </a:pPr>
                      <a:t>[OBLAST BUNĚK]</a:t>
                    </a:fld>
                    <a:r>
                      <a:rPr lang="en-US" baseline="0">
                        <a:solidFill>
                          <a:schemeClr val="accent1"/>
                        </a:solidFill>
                      </a:rPr>
                      <a:t> tis. Kč
</a:t>
                    </a:r>
                    <a:fld id="{5B112B3A-7535-47AE-AD27-F5E9EE12666C}" type="CATEGORYNAME">
                      <a:rPr lang="en-US" baseline="0">
                        <a:solidFill>
                          <a:schemeClr val="accent1"/>
                        </a:solidFill>
                      </a:rPr>
                      <a:pPr>
                        <a:defRPr>
                          <a:solidFill>
                            <a:schemeClr val="accent1"/>
                          </a:solidFill>
                        </a:defRPr>
                      </a:pPr>
                      <a:t>[NÁZEV KATEGORIE]</a:t>
                    </a:fld>
                    <a:r>
                      <a:rPr lang="en-US" baseline="0">
                        <a:solidFill>
                          <a:schemeClr val="accent1"/>
                        </a:solidFill>
                      </a:rPr>
                      <a:t>
</a:t>
                    </a:r>
                    <a:fld id="{9C4F61DA-7CE3-44A0-89D5-CA2EA314B62E}" type="PERCENTAGE">
                      <a:rPr lang="en-US" baseline="0">
                        <a:solidFill>
                          <a:schemeClr val="accent1"/>
                        </a:solidFill>
                      </a:rPr>
                      <a:pPr>
                        <a:defRPr>
                          <a:solidFill>
                            <a:schemeClr val="accent1"/>
                          </a:solidFill>
                        </a:defRPr>
                      </a:pPr>
                      <a:t>[PROCENTO]</a:t>
                    </a:fld>
                    <a:endParaRPr lang="en-US" baseline="0">
                      <a:solidFill>
                        <a:schemeClr val="accent1"/>
                      </a:solidFill>
                    </a:endParaRPr>
                  </a:p>
                </c:rich>
              </c:tx>
              <c:spPr>
                <a:xfrm>
                  <a:off x="391053" y="376412"/>
                  <a:ext cx="3186852" cy="541309"/>
                </a:xfrm>
                <a:solidFill>
                  <a:sysClr val="window" lastClr="FFFFFF"/>
                </a:solidFill>
                <a:ln w="9525" cap="sq" cmpd="sng" algn="ctr">
                  <a:solidFill>
                    <a:srgbClr val="A5A5A5"/>
                  </a:solidFill>
                  <a:prstDash val="solid"/>
                  <a:round/>
                  <a:headEnd type="none" w="med" len="med"/>
                  <a:tailEnd type="none" w="med" len="med"/>
                </a:ln>
                <a:effectLst/>
              </c:spPr>
              <c:txPr>
                <a:bodyPr rot="0" spcFirstLastPara="1" vertOverflow="overflow" horzOverflow="overflow" vert="horz" wrap="square" lIns="38100" tIns="19050" rIns="38100" bIns="19050" anchor="ctr" anchorCtr="1">
                  <a:noAutofit/>
                </a:bodyPr>
                <a:lstStyle/>
                <a:p>
                  <a:pPr>
                    <a:defRPr sz="1000" b="1" i="0" u="none" strike="noStrike" kern="120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gd name="adj1" fmla="val -12688"/>
                        <a:gd name="adj2" fmla="val 50075"/>
                      </a:avLst>
                    </a:prstGeom>
                    <a:noFill/>
                    <a:ln>
                      <a:noFill/>
                    </a:ln>
                  </c15:spPr>
                  <c15:layout>
                    <c:manualLayout>
                      <c:w val="0.52550140483540875"/>
                      <c:h val="0.15195306469044306"/>
                    </c:manualLayout>
                  </c15:layout>
                  <c15:dlblFieldTable/>
                  <c15:showDataLabelsRange val="1"/>
                </c:ext>
                <c:ext xmlns:c16="http://schemas.microsoft.com/office/drawing/2014/chart" uri="{C3380CC4-5D6E-409C-BE32-E72D297353CC}">
                  <c16:uniqueId val="{00000005-8397-4C7A-8685-57ADC68A345F}"/>
                </c:ext>
              </c:extLst>
            </c:dLbl>
            <c:spPr>
              <a:solidFill>
                <a:sysClr val="window" lastClr="FFFFFF"/>
              </a:solidFill>
              <a:ln cap="sq">
                <a:solidFill>
                  <a:srgbClr val="A5A5A5"/>
                </a:solidFill>
              </a:ln>
              <a:effectLst/>
            </c:spPr>
            <c:txPr>
              <a:bodyPr rot="0" spcFirstLastPara="1" vertOverflow="overflow" horzOverflow="overflow" vert="horz" wrap="square" lIns="38100" tIns="19050" rIns="38100" bIns="19050" anchor="ctr" anchorCtr="1">
                <a:noAutofit/>
              </a:bodyPr>
              <a:lstStyle/>
              <a:p>
                <a:pPr>
                  <a:defRPr sz="1000" b="1" i="0" u="none" strike="noStrike" kern="1200" baseline="0">
                    <a:solidFill>
                      <a:schemeClr val="accent1"/>
                    </a:solidFill>
                    <a:latin typeface="+mn-lt"/>
                    <a:ea typeface="+mn-ea"/>
                    <a:cs typeface="+mn-cs"/>
                  </a:defRPr>
                </a:pPr>
                <a:endParaRPr lang="cs-CZ"/>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DataLabelsRange val="1"/>
              </c:ext>
            </c:extLst>
          </c:dLbls>
          <c:cat>
            <c:strRef>
              <c:f>List1!$A$2:$A$4</c:f>
              <c:strCache>
                <c:ptCount val="3"/>
                <c:pt idx="0">
                  <c:v>OPD 2014-2020</c:v>
                </c:pt>
                <c:pt idx="1">
                  <c:v>OPZ</c:v>
                </c:pt>
                <c:pt idx="2">
                  <c:v>komunitární programy 2014-2020</c:v>
                </c:pt>
              </c:strCache>
            </c:strRef>
          </c:cat>
          <c:val>
            <c:numRef>
              <c:f>List1!$B$2:$B$4</c:f>
              <c:numCache>
                <c:formatCode>#,##0</c:formatCode>
                <c:ptCount val="3"/>
                <c:pt idx="0">
                  <c:v>14566761</c:v>
                </c:pt>
                <c:pt idx="1">
                  <c:v>456</c:v>
                </c:pt>
                <c:pt idx="2">
                  <c:v>3178401</c:v>
                </c:pt>
              </c:numCache>
            </c:numRef>
          </c:val>
          <c:extLst>
            <c:ext xmlns:c15="http://schemas.microsoft.com/office/drawing/2012/chart" uri="{02D57815-91ED-43cb-92C2-25804820EDAC}">
              <c15:datalabelsRange>
                <c15:f>List1!$B$2:$B$4</c15:f>
                <c15:dlblRangeCache>
                  <c:ptCount val="3"/>
                  <c:pt idx="0">
                    <c:v>14 566 761</c:v>
                  </c:pt>
                  <c:pt idx="1">
                    <c:v>456</c:v>
                  </c:pt>
                  <c:pt idx="2">
                    <c:v>3 178 401</c:v>
                  </c:pt>
                </c15:dlblRangeCache>
              </c15:datalabelsRange>
            </c:ext>
            <c:ext xmlns:c16="http://schemas.microsoft.com/office/drawing/2014/chart" uri="{C3380CC4-5D6E-409C-BE32-E72D297353CC}">
              <c16:uniqueId val="{00000006-8397-4C7A-8685-57ADC68A345F}"/>
            </c:ext>
          </c:extLst>
        </c:ser>
        <c:dLbls>
          <c:dLblPos val="outEnd"/>
          <c:showLegendKey val="0"/>
          <c:showVal val="0"/>
          <c:showCatName val="0"/>
          <c:showSerName val="0"/>
          <c:showPercent val="1"/>
          <c:showBubbleSize val="0"/>
          <c:showLeaderLines val="0"/>
        </c:dLbls>
        <c:firstSliceAng val="0"/>
      </c:pie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5537052955282786E-2"/>
          <c:y val="5.5674518201284794E-2"/>
          <c:w val="0.88947146686750489"/>
          <c:h val="0.65165893877826309"/>
        </c:manualLayout>
      </c:layout>
      <c:barChart>
        <c:barDir val="col"/>
        <c:grouping val="clustered"/>
        <c:varyColors val="0"/>
        <c:ser>
          <c:idx val="0"/>
          <c:order val="0"/>
          <c:tx>
            <c:strRef>
              <c:f>List1!$B$1</c:f>
              <c:strCache>
                <c:ptCount val="1"/>
                <c:pt idx="0">
                  <c:v>Stav nároků k 1.1.2019</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FBCE-477B-ADA6-F50A5F342081}"/>
                </c:ext>
              </c:extLst>
            </c:dLbl>
            <c:dLbl>
              <c:idx val="1"/>
              <c:layout>
                <c:manualLayout>
                  <c:x val="0"/>
                  <c:y val="-1.214125826244963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BCE-477B-ADA6-F50A5F342081}"/>
                </c:ext>
              </c:extLst>
            </c:dLbl>
            <c:dLbl>
              <c:idx val="2"/>
              <c:layout>
                <c:manualLayout>
                  <c:x val="-2.2719527433829375E-3"/>
                  <c:y val="1.337792642140468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FE9-4A4C-A37D-F9953D05CBC2}"/>
                </c:ext>
              </c:extLst>
            </c:dLbl>
            <c:dLbl>
              <c:idx val="3"/>
              <c:layout>
                <c:manualLayout>
                  <c:x val="-2.2719527433830208E-3"/>
                  <c:y val="1.337792642140468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BC3-46C1-8688-BE48E98505FC}"/>
                </c:ext>
              </c:extLst>
            </c:dLbl>
            <c:dLbl>
              <c:idx val="4"/>
              <c:layout>
                <c:manualLayout>
                  <c:x val="-6.8158582301488966E-3"/>
                  <c:y val="3.399257367076607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BCE-477B-ADA6-F50A5F342081}"/>
                </c:ext>
              </c:extLst>
            </c:dLbl>
            <c:dLbl>
              <c:idx val="5"/>
              <c:layout>
                <c:manualLayout>
                  <c:x val="-2.2719527433830208E-3"/>
                  <c:y val="2.194331059788103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BCE-477B-ADA6-F50A5F342081}"/>
                </c:ext>
              </c:extLst>
            </c:dLbl>
            <c:dLbl>
              <c:idx val="6"/>
              <c:layout>
                <c:manualLayout>
                  <c:x val="-9.08781097353175E-3"/>
                  <c:y val="1.28480762647143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BCE-477B-ADA6-F50A5F34208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List1!$A$2:$A$8</c:f>
              <c:strCache>
                <c:ptCount val="7"/>
                <c:pt idx="0">
                  <c:v>UO MD</c:v>
                </c:pt>
                <c:pt idx="1">
                  <c:v>SPS</c:v>
                </c:pt>
                <c:pt idx="2">
                  <c:v>ÚCL</c:v>
                </c:pt>
                <c:pt idx="3">
                  <c:v>DÚ</c:v>
                </c:pt>
                <c:pt idx="4">
                  <c:v>ŘVC</c:v>
                </c:pt>
                <c:pt idx="5">
                  <c:v>ÚZPLN</c:v>
                </c:pt>
                <c:pt idx="6">
                  <c:v>DI</c:v>
                </c:pt>
              </c:strCache>
            </c:strRef>
          </c:cat>
          <c:val>
            <c:numRef>
              <c:f>List1!$B$2:$B$8</c:f>
              <c:numCache>
                <c:formatCode>#,##0</c:formatCode>
                <c:ptCount val="7"/>
                <c:pt idx="0">
                  <c:v>115000</c:v>
                </c:pt>
                <c:pt idx="1">
                  <c:v>11387</c:v>
                </c:pt>
                <c:pt idx="2">
                  <c:v>70095</c:v>
                </c:pt>
                <c:pt idx="3">
                  <c:v>5942</c:v>
                </c:pt>
                <c:pt idx="4">
                  <c:v>13574</c:v>
                </c:pt>
                <c:pt idx="5">
                  <c:v>2884</c:v>
                </c:pt>
                <c:pt idx="6">
                  <c:v>12030</c:v>
                </c:pt>
              </c:numCache>
            </c:numRef>
          </c:val>
          <c:extLst>
            <c:ext xmlns:c16="http://schemas.microsoft.com/office/drawing/2014/chart" uri="{C3380CC4-5D6E-409C-BE32-E72D297353CC}">
              <c16:uniqueId val="{00000005-FBCE-477B-ADA6-F50A5F342081}"/>
            </c:ext>
          </c:extLst>
        </c:ser>
        <c:ser>
          <c:idx val="1"/>
          <c:order val="1"/>
          <c:tx>
            <c:strRef>
              <c:f>List1!$C$1</c:f>
              <c:strCache>
                <c:ptCount val="1"/>
                <c:pt idx="0">
                  <c:v>Stav nároků k 1.1.2020</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9-FBCE-477B-ADA6-F50A5F342081}"/>
                </c:ext>
              </c:extLst>
            </c:dLbl>
            <c:dLbl>
              <c:idx val="1"/>
              <c:layout>
                <c:manualLayout>
                  <c:x val="9.08781097353175E-3"/>
                  <c:y val="8.91861761426978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BCE-477B-ADA6-F50A5F342081}"/>
                </c:ext>
              </c:extLst>
            </c:dLbl>
            <c:dLbl>
              <c:idx val="4"/>
              <c:layout>
                <c:manualLayout>
                  <c:x val="0"/>
                  <c:y val="1.783723522853949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BC3-46C1-8688-BE48E98505FC}"/>
                </c:ext>
              </c:extLst>
            </c:dLbl>
            <c:dLbl>
              <c:idx val="5"/>
              <c:layout>
                <c:manualLayout>
                  <c:x val="0"/>
                  <c:y val="3.5323343779351997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BCE-477B-ADA6-F50A5F34208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List1!$A$2:$A$8</c:f>
              <c:strCache>
                <c:ptCount val="7"/>
                <c:pt idx="0">
                  <c:v>UO MD</c:v>
                </c:pt>
                <c:pt idx="1">
                  <c:v>SPS</c:v>
                </c:pt>
                <c:pt idx="2">
                  <c:v>ÚCL</c:v>
                </c:pt>
                <c:pt idx="3">
                  <c:v>DÚ</c:v>
                </c:pt>
                <c:pt idx="4">
                  <c:v>ŘVC</c:v>
                </c:pt>
                <c:pt idx="5">
                  <c:v>ÚZPLN</c:v>
                </c:pt>
                <c:pt idx="6">
                  <c:v>DI</c:v>
                </c:pt>
              </c:strCache>
            </c:strRef>
          </c:cat>
          <c:val>
            <c:numRef>
              <c:f>List1!$C$2:$C$8</c:f>
              <c:numCache>
                <c:formatCode>#,##0</c:formatCode>
                <c:ptCount val="7"/>
                <c:pt idx="0">
                  <c:v>125000</c:v>
                </c:pt>
                <c:pt idx="1">
                  <c:v>10879</c:v>
                </c:pt>
                <c:pt idx="2">
                  <c:v>76817</c:v>
                </c:pt>
                <c:pt idx="3">
                  <c:v>6462</c:v>
                </c:pt>
                <c:pt idx="4">
                  <c:v>12644</c:v>
                </c:pt>
                <c:pt idx="5">
                  <c:v>4000</c:v>
                </c:pt>
                <c:pt idx="6">
                  <c:v>15540</c:v>
                </c:pt>
              </c:numCache>
            </c:numRef>
          </c:val>
          <c:extLst>
            <c:ext xmlns:c16="http://schemas.microsoft.com/office/drawing/2014/chart" uri="{C3380CC4-5D6E-409C-BE32-E72D297353CC}">
              <c16:uniqueId val="{00000008-FBCE-477B-ADA6-F50A5F342081}"/>
            </c:ext>
          </c:extLst>
        </c:ser>
        <c:dLbls>
          <c:showLegendKey val="0"/>
          <c:showVal val="0"/>
          <c:showCatName val="0"/>
          <c:showSerName val="0"/>
          <c:showPercent val="0"/>
          <c:showBubbleSize val="0"/>
        </c:dLbls>
        <c:gapWidth val="100"/>
        <c:overlap val="-24"/>
        <c:axId val="532876416"/>
        <c:axId val="532877072"/>
      </c:barChart>
      <c:catAx>
        <c:axId val="53287641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210000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532877072"/>
        <c:crosses val="autoZero"/>
        <c:auto val="1"/>
        <c:lblAlgn val="ctr"/>
        <c:lblOffset val="100"/>
        <c:noMultiLvlLbl val="0"/>
      </c:catAx>
      <c:valAx>
        <c:axId val="532877072"/>
        <c:scaling>
          <c:orientation val="minMax"/>
          <c:max val="140000"/>
          <c:min val="0"/>
        </c:scaling>
        <c:delete val="0"/>
        <c:axPos val="l"/>
        <c:majorGridlines>
          <c:spPr>
            <a:ln w="9525" cap="flat" cmpd="sng" algn="ctr">
              <a:solidFill>
                <a:schemeClr val="tx2">
                  <a:lumMod val="15000"/>
                  <a:lumOff val="85000"/>
                </a:schemeClr>
              </a:solidFill>
              <a:round/>
            </a:ln>
            <a:effectLst/>
          </c:spPr>
        </c:majorGridlines>
        <c:numFmt formatCode="[&lt;110000]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532876416"/>
        <c:crosses val="autoZero"/>
        <c:crossBetween val="between"/>
        <c:majorUnit val="200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userShapes r:id="rId4"/>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1750319404518879"/>
          <c:y val="2.9669565558036588E-2"/>
          <c:w val="0.33516122984626923"/>
          <c:h val="0.94545481255141617"/>
        </c:manualLayout>
      </c:layout>
      <c:doughnutChart>
        <c:varyColors val="1"/>
        <c:ser>
          <c:idx val="0"/>
          <c:order val="0"/>
          <c:tx>
            <c:strRef>
              <c:f>Sheet1!$A$2</c:f>
              <c:strCache>
                <c:ptCount val="1"/>
                <c:pt idx="0">
                  <c:v>2018</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extLst>
              <c:ext xmlns:c16="http://schemas.microsoft.com/office/drawing/2014/chart" uri="{C3380CC4-5D6E-409C-BE32-E72D297353CC}">
                <c16:uniqueId val="{00000001-3C92-436B-A907-384FB4FBAD21}"/>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extLst>
              <c:ext xmlns:c16="http://schemas.microsoft.com/office/drawing/2014/chart" uri="{C3380CC4-5D6E-409C-BE32-E72D297353CC}">
                <c16:uniqueId val="{00000003-3C92-436B-A907-384FB4FBAD21}"/>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extLst>
              <c:ext xmlns:c16="http://schemas.microsoft.com/office/drawing/2014/chart" uri="{C3380CC4-5D6E-409C-BE32-E72D297353CC}">
                <c16:uniqueId val="{00000005-3C92-436B-A907-384FB4FBAD21}"/>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c:spPr>
            <c:extLst>
              <c:ext xmlns:c16="http://schemas.microsoft.com/office/drawing/2014/chart" uri="{C3380CC4-5D6E-409C-BE32-E72D297353CC}">
                <c16:uniqueId val="{00000007-3C92-436B-A907-384FB4FBAD21}"/>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c:spPr>
            <c:extLst>
              <c:ext xmlns:c16="http://schemas.microsoft.com/office/drawing/2014/chart" uri="{C3380CC4-5D6E-409C-BE32-E72D297353CC}">
                <c16:uniqueId val="{00000009-3C92-436B-A907-384FB4FBAD21}"/>
              </c:ext>
            </c:extLst>
          </c:dPt>
          <c:dLbls>
            <c:dLbl>
              <c:idx val="0"/>
              <c:layout>
                <c:manualLayout>
                  <c:x val="0.19179828334635818"/>
                  <c:y val="0.14112082030514511"/>
                </c:manualLayout>
              </c:layout>
              <c:numFmt formatCode="0.00%" sourceLinked="0"/>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0"/>
              <c:showCatName val="1"/>
              <c:showSerName val="0"/>
              <c:showPercent val="1"/>
              <c:showBubbleSize val="0"/>
              <c:extLst>
                <c:ext xmlns:c15="http://schemas.microsoft.com/office/drawing/2012/chart" uri="{CE6537A1-D6FC-4f65-9D91-7224C49458BB}">
                  <c15:layout>
                    <c:manualLayout>
                      <c:w val="0.34984994056727065"/>
                      <c:h val="0.27393179145433161"/>
                    </c:manualLayout>
                  </c15:layout>
                </c:ext>
                <c:ext xmlns:c16="http://schemas.microsoft.com/office/drawing/2014/chart" uri="{C3380CC4-5D6E-409C-BE32-E72D297353CC}">
                  <c16:uniqueId val="{00000001-3C92-436B-A907-384FB4FBAD21}"/>
                </c:ext>
              </c:extLst>
            </c:dLbl>
            <c:dLbl>
              <c:idx val="1"/>
              <c:delete val="1"/>
              <c:extLst>
                <c:ext xmlns:c15="http://schemas.microsoft.com/office/drawing/2012/chart" uri="{CE6537A1-D6FC-4f65-9D91-7224C49458BB}"/>
                <c:ext xmlns:c16="http://schemas.microsoft.com/office/drawing/2014/chart" uri="{C3380CC4-5D6E-409C-BE32-E72D297353CC}">
                  <c16:uniqueId val="{00000003-3C92-436B-A907-384FB4FBAD21}"/>
                </c:ext>
              </c:extLst>
            </c:dLbl>
            <c:dLbl>
              <c:idx val="2"/>
              <c:layout>
                <c:manualLayout>
                  <c:x val="-0.10779674225459099"/>
                  <c:y val="-0.10817187639863324"/>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3C92-436B-A907-384FB4FBAD21}"/>
                </c:ext>
              </c:extLst>
            </c:dLbl>
            <c:dLbl>
              <c:idx val="3"/>
              <c:layout>
                <c:manualLayout>
                  <c:x val="0.1954938389165074"/>
                  <c:y val="-0.10674893588125083"/>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2"/>
                        </a:solidFill>
                        <a:latin typeface="+mn-lt"/>
                        <a:ea typeface="+mn-ea"/>
                        <a:cs typeface="+mn-cs"/>
                      </a:defRPr>
                    </a:pPr>
                    <a:fld id="{632C349F-EF0E-459A-BE3C-64747F06D048}" type="CATEGORYNAME">
                      <a:rPr lang="en-US">
                        <a:solidFill>
                          <a:sysClr val="windowText" lastClr="000000"/>
                        </a:solidFill>
                      </a:rPr>
                      <a:pPr>
                        <a:defRPr/>
                      </a:pPr>
                      <a:t>[NÁZEV KATEGORIE]</a:t>
                    </a:fld>
                    <a:r>
                      <a:rPr lang="en-US" baseline="0"/>
                      <a:t>
</a:t>
                    </a:r>
                    <a:fld id="{18E19E0D-6F35-4C81-88BA-4A7533E229C1}" type="PERCENTAGE">
                      <a:rPr lang="en-US" baseline="0"/>
                      <a:pPr>
                        <a:defRPr/>
                      </a:pPr>
                      <a:t>[PROCENTO]</a:t>
                    </a:fld>
                    <a:endParaRPr lang="en-US" baseline="0"/>
                  </a:p>
                </c:rich>
              </c:tx>
              <c:numFmt formatCode="0.00%" sourceLinked="0"/>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2"/>
                      </a:solidFill>
                      <a:latin typeface="+mn-lt"/>
                      <a:ea typeface="+mn-ea"/>
                      <a:cs typeface="+mn-cs"/>
                    </a:defRPr>
                  </a:pPr>
                  <a:endParaRPr lang="cs-CZ"/>
                </a:p>
              </c:txPr>
              <c:showLegendKey val="0"/>
              <c:showVal val="0"/>
              <c:showCatName val="1"/>
              <c:showSerName val="0"/>
              <c:showPercent val="1"/>
              <c:showBubbleSize val="0"/>
              <c:extLst>
                <c:ext xmlns:c15="http://schemas.microsoft.com/office/drawing/2012/chart" uri="{CE6537A1-D6FC-4f65-9D91-7224C49458BB}">
                  <c15:layout>
                    <c:manualLayout>
                      <c:w val="0.32930153955943164"/>
                      <c:h val="0.35221512638242836"/>
                    </c:manualLayout>
                  </c15:layout>
                  <c15:dlblFieldTable/>
                  <c15:showDataLabelsRange val="0"/>
                </c:ext>
                <c:ext xmlns:c16="http://schemas.microsoft.com/office/drawing/2014/chart" uri="{C3380CC4-5D6E-409C-BE32-E72D297353CC}">
                  <c16:uniqueId val="{00000007-3C92-436B-A907-384FB4FBAD21}"/>
                </c:ext>
              </c:extLst>
            </c:dLbl>
            <c:dLbl>
              <c:idx val="4"/>
              <c:layout>
                <c:manualLayout>
                  <c:xMode val="edge"/>
                  <c:yMode val="edge"/>
                  <c:x val="0.56951423785594635"/>
                  <c:y val="0.68944099378881984"/>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3C92-436B-A907-384FB4FBAD21}"/>
                </c:ext>
              </c:extLst>
            </c:dLbl>
            <c:dLbl>
              <c:idx val="5"/>
              <c:layout>
                <c:manualLayout>
                  <c:xMode val="edge"/>
                  <c:yMode val="edge"/>
                  <c:x val="0.23283082077051925"/>
                  <c:y val="0.57763975155279501"/>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A-3C92-436B-A907-384FB4FBAD21}"/>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0"/>
            <c:showCatName val="1"/>
            <c:showSerName val="0"/>
            <c:showPercent val="1"/>
            <c:showBubbleSize val="0"/>
            <c:showLeaderLines val="1"/>
            <c:leaderLines>
              <c:spPr>
                <a:ln w="9525">
                  <a:noFill/>
                </a:ln>
                <a:effectLst/>
              </c:spPr>
            </c:leaderLines>
            <c:extLst>
              <c:ext xmlns:c15="http://schemas.microsoft.com/office/drawing/2012/chart" uri="{CE6537A1-D6FC-4f65-9D91-7224C49458BB}"/>
            </c:extLst>
          </c:dLbls>
          <c:cat>
            <c:strRef>
              <c:f>Sheet1!$B$1:$E$1</c:f>
              <c:strCache>
                <c:ptCount val="4"/>
                <c:pt idx="0">
                  <c:v>Drážní a kombinovaná doprava</c:v>
                </c:pt>
                <c:pt idx="1">
                  <c:v>Pozemní komunikace</c:v>
                </c:pt>
                <c:pt idx="2">
                  <c:v>Dotace pro SFDI</c:v>
                </c:pt>
                <c:pt idx="3">
                  <c:v>Ostatní výdaje spojené s dopravní politikou státu</c:v>
                </c:pt>
              </c:strCache>
            </c:strRef>
          </c:cat>
          <c:val>
            <c:numRef>
              <c:f>Sheet1!$B$2:$E$2</c:f>
              <c:numCache>
                <c:formatCode>General</c:formatCode>
                <c:ptCount val="4"/>
                <c:pt idx="0" formatCode="#,##0">
                  <c:v>4560</c:v>
                </c:pt>
                <c:pt idx="1">
                  <c:v>0</c:v>
                </c:pt>
                <c:pt idx="2" formatCode="#,##0">
                  <c:v>14002520</c:v>
                </c:pt>
                <c:pt idx="3" formatCode="#,##0">
                  <c:v>252802</c:v>
                </c:pt>
              </c:numCache>
            </c:numRef>
          </c:val>
          <c:extLst>
            <c:ext xmlns:c16="http://schemas.microsoft.com/office/drawing/2014/chart" uri="{C3380CC4-5D6E-409C-BE32-E72D297353CC}">
              <c16:uniqueId val="{0000000B-3C92-436B-A907-384FB4FBAD21}"/>
            </c:ext>
          </c:extLst>
        </c:ser>
        <c:dLbls>
          <c:showLegendKey val="0"/>
          <c:showVal val="0"/>
          <c:showCatName val="0"/>
          <c:showSerName val="0"/>
          <c:showPercent val="0"/>
          <c:showBubbleSize val="0"/>
          <c:showLeaderLines val="1"/>
        </c:dLbls>
        <c:firstSliceAng val="90"/>
        <c:holeSize val="85"/>
      </c:doughnutChart>
      <c:spPr>
        <a:noFill/>
        <a:ln>
          <a:noFill/>
        </a:ln>
        <a:effectLst/>
      </c:spPr>
    </c:plotArea>
    <c:plotVisOnly val="1"/>
    <c:dispBlanksAs val="zero"/>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887772194304858"/>
          <c:y val="7.746478873239436E-2"/>
          <c:w val="0.83003561169156836"/>
          <c:h val="0.68439096214871464"/>
        </c:manualLayout>
      </c:layout>
      <c:barChart>
        <c:barDir val="col"/>
        <c:grouping val="clustered"/>
        <c:varyColors val="0"/>
        <c:ser>
          <c:idx val="0"/>
          <c:order val="0"/>
          <c:tx>
            <c:strRef>
              <c:f>Sheet1!$A$2</c:f>
              <c:strCache>
                <c:ptCount val="1"/>
                <c:pt idx="0">
                  <c:v>Rozpočet</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3"/>
              <c:layout/>
              <c:tx>
                <c:rich>
                  <a:bodyPr/>
                  <a:lstStyle/>
                  <a:p>
                    <a:r>
                      <a:rPr lang="en-US" b="1">
                        <a:solidFill>
                          <a:sysClr val="windowText" lastClr="000000"/>
                        </a:solidFill>
                      </a:rPr>
                      <a:t>18</a:t>
                    </a:r>
                    <a:r>
                      <a:rPr lang="en-US" b="1" baseline="0">
                        <a:solidFill>
                          <a:sysClr val="windowText" lastClr="000000"/>
                        </a:solidFill>
                      </a:rPr>
                      <a:t> 726 074</a:t>
                    </a:r>
                    <a:endParaRPr lang="en-US" b="1">
                      <a:solidFill>
                        <a:sysClr val="windowText" lastClr="000000"/>
                      </a:solidFill>
                    </a:endParaRP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587-406C-9ED3-0FA4E80C401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Sheet1!$B$1:$E$1</c:f>
              <c:strCache>
                <c:ptCount val="4"/>
                <c:pt idx="0">
                  <c:v>převody z ost. vlastních fondů</c:v>
                </c:pt>
                <c:pt idx="1">
                  <c:v>převody z rezervních fondů OSS</c:v>
                </c:pt>
                <c:pt idx="2">
                  <c:v>neinvestiční převody z NF a transfery z EU</c:v>
                </c:pt>
                <c:pt idx="3">
                  <c:v>investiční převody z NF a transfery z EU</c:v>
                </c:pt>
              </c:strCache>
            </c:strRef>
          </c:cat>
          <c:val>
            <c:numRef>
              <c:f>Sheet1!$B$2:$E$2</c:f>
              <c:numCache>
                <c:formatCode>#,##0</c:formatCode>
                <c:ptCount val="4"/>
                <c:pt idx="0">
                  <c:v>0</c:v>
                </c:pt>
                <c:pt idx="1">
                  <c:v>0</c:v>
                </c:pt>
                <c:pt idx="2">
                  <c:v>143659</c:v>
                </c:pt>
                <c:pt idx="3">
                  <c:v>280000</c:v>
                </c:pt>
              </c:numCache>
            </c:numRef>
          </c:val>
          <c:extLst>
            <c:ext xmlns:c16="http://schemas.microsoft.com/office/drawing/2014/chart" uri="{C3380CC4-5D6E-409C-BE32-E72D297353CC}">
              <c16:uniqueId val="{00000004-A1BF-4AC5-AF2F-35EA1C993C5A}"/>
            </c:ext>
          </c:extLst>
        </c:ser>
        <c:ser>
          <c:idx val="1"/>
          <c:order val="1"/>
          <c:tx>
            <c:strRef>
              <c:f>Sheet1!$A$3</c:f>
              <c:strCache>
                <c:ptCount val="1"/>
                <c:pt idx="0">
                  <c:v>Skutečnost</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2"/>
              <c:layout>
                <c:manualLayout>
                  <c:x val="8.7883115456442121E-3"/>
                  <c:y val="-8.0004894381622475E-1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A1BF-4AC5-AF2F-35EA1C993C5A}"/>
                </c:ext>
              </c:extLst>
            </c:dLbl>
            <c:dLbl>
              <c:idx val="3"/>
              <c:layout>
                <c:manualLayout>
                  <c:x val="2.1970778864110734E-3"/>
                  <c:y val="0"/>
                </c:manualLayout>
              </c:layout>
              <c:tx>
                <c:rich>
                  <a:bodyPr/>
                  <a:lstStyle/>
                  <a:p>
                    <a:r>
                      <a:rPr lang="en-US" b="1">
                        <a:solidFill>
                          <a:sysClr val="windowText" lastClr="000000"/>
                        </a:solidFill>
                      </a:rPr>
                      <a:t>16</a:t>
                    </a:r>
                    <a:r>
                      <a:rPr lang="en-US" b="1" baseline="0">
                        <a:solidFill>
                          <a:sysClr val="windowText" lastClr="000000"/>
                        </a:solidFill>
                      </a:rPr>
                      <a:t> 705 802</a:t>
                    </a:r>
                    <a:endParaRPr lang="en-US" b="1">
                      <a:solidFill>
                        <a:sysClr val="windowText" lastClr="000000"/>
                      </a:solidFill>
                    </a:endParaRPr>
                  </a:p>
                </c:rich>
              </c:tx>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A1BF-4AC5-AF2F-35EA1C993C5A}"/>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Sheet1!$B$1:$E$1</c:f>
              <c:strCache>
                <c:ptCount val="4"/>
                <c:pt idx="0">
                  <c:v>převody z ost. vlastních fondů</c:v>
                </c:pt>
                <c:pt idx="1">
                  <c:v>převody z rezervních fondů OSS</c:v>
                </c:pt>
                <c:pt idx="2">
                  <c:v>neinvestiční převody z NF a transfery z EU</c:v>
                </c:pt>
                <c:pt idx="3">
                  <c:v>investiční převody z NF a transfery z EU</c:v>
                </c:pt>
              </c:strCache>
            </c:strRef>
          </c:cat>
          <c:val>
            <c:numRef>
              <c:f>Sheet1!$B$3:$E$3</c:f>
              <c:numCache>
                <c:formatCode>#,##0</c:formatCode>
                <c:ptCount val="4"/>
                <c:pt idx="0">
                  <c:v>101</c:v>
                </c:pt>
                <c:pt idx="1">
                  <c:v>141186</c:v>
                </c:pt>
                <c:pt idx="2">
                  <c:v>151400</c:v>
                </c:pt>
                <c:pt idx="3">
                  <c:v>250000</c:v>
                </c:pt>
              </c:numCache>
            </c:numRef>
          </c:val>
          <c:extLst>
            <c:ext xmlns:c16="http://schemas.microsoft.com/office/drawing/2014/chart" uri="{C3380CC4-5D6E-409C-BE32-E72D297353CC}">
              <c16:uniqueId val="{00000009-A1BF-4AC5-AF2F-35EA1C993C5A}"/>
            </c:ext>
          </c:extLst>
        </c:ser>
        <c:dLbls>
          <c:showLegendKey val="0"/>
          <c:showVal val="0"/>
          <c:showCatName val="0"/>
          <c:showSerName val="0"/>
          <c:showPercent val="0"/>
          <c:showBubbleSize val="0"/>
        </c:dLbls>
        <c:gapWidth val="100"/>
        <c:overlap val="-24"/>
        <c:axId val="784466072"/>
        <c:axId val="784457872"/>
      </c:barChart>
      <c:valAx>
        <c:axId val="784457872"/>
        <c:scaling>
          <c:orientation val="minMax"/>
          <c:max val="300000"/>
        </c:scaling>
        <c:delete val="0"/>
        <c:axPos val="l"/>
        <c:majorGridlines>
          <c:spPr>
            <a:ln w="9525" cap="flat" cmpd="sng" algn="ctr">
              <a:solidFill>
                <a:schemeClr val="tx2">
                  <a:lumMod val="15000"/>
                  <a:lumOff val="85000"/>
                </a:schemeClr>
              </a:solidFill>
              <a:round/>
            </a:ln>
            <a:effectLst/>
          </c:spPr>
        </c:majorGridlines>
        <c:numFmt formatCode="[&lt;21000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784466072"/>
        <c:crosses val="autoZero"/>
        <c:crossBetween val="between"/>
      </c:valAx>
      <c:catAx>
        <c:axId val="784466072"/>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784457872"/>
        <c:crosses val="autoZero"/>
        <c:auto val="1"/>
        <c:lblAlgn val="ctr"/>
        <c:lblOffset val="100"/>
        <c:noMultiLvlLbl val="0"/>
      </c:catAx>
      <c:spPr>
        <a:no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Entry>
      <c:layout>
        <c:manualLayout>
          <c:xMode val="edge"/>
          <c:yMode val="edge"/>
          <c:x val="0.37608679668639133"/>
          <c:y val="0.90516932784357285"/>
          <c:w val="0.2478264066272173"/>
          <c:h val="9.4830672156427195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8233066670396219E-2"/>
          <c:y val="8.7628865979381437E-2"/>
          <c:w val="0.87734419798324503"/>
          <c:h val="0.56163162594366423"/>
        </c:manualLayout>
      </c:layout>
      <c:barChart>
        <c:barDir val="col"/>
        <c:grouping val="clustered"/>
        <c:varyColors val="0"/>
        <c:ser>
          <c:idx val="0"/>
          <c:order val="0"/>
          <c:tx>
            <c:strRef>
              <c:f>List1!$B$1</c:f>
              <c:strCache>
                <c:ptCount val="1"/>
                <c:pt idx="0">
                  <c:v>skutečnost 2018</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0"/>
              <c:layout>
                <c:manualLayout>
                  <c:x val="-5.1023761905427895E-3"/>
                  <c:y val="1.405552398733663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65F7-46D6-85B2-6F64D8F46047}"/>
                </c:ext>
              </c:extLst>
            </c:dLbl>
            <c:dLbl>
              <c:idx val="1"/>
              <c:layout>
                <c:manualLayout>
                  <c:x val="-9.2592592592593021E-3"/>
                  <c:y val="6.89851268591426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65F7-46D6-85B2-6F64D8F4604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List1!$A$2:$A$6</c:f>
              <c:strCache>
                <c:ptCount val="5"/>
                <c:pt idx="0">
                  <c:v>úhrada předpisu - zvláštní příjmový účet</c:v>
                </c:pt>
                <c:pt idx="1">
                  <c:v>úhrada předpisu - kolek</c:v>
                </c:pt>
                <c:pt idx="2">
                  <c:v>úhrada nedoplatku z minulých let</c:v>
                </c:pt>
                <c:pt idx="3">
                  <c:v>vratky plateb minulých let</c:v>
                </c:pt>
                <c:pt idx="4">
                  <c:v>nedoplatky ke konci sledovaného období</c:v>
                </c:pt>
              </c:strCache>
            </c:strRef>
          </c:cat>
          <c:val>
            <c:numRef>
              <c:f>List1!$B$2:$B$6</c:f>
              <c:numCache>
                <c:formatCode>#,##0</c:formatCode>
                <c:ptCount val="5"/>
                <c:pt idx="0">
                  <c:v>186001</c:v>
                </c:pt>
                <c:pt idx="1">
                  <c:v>7717</c:v>
                </c:pt>
                <c:pt idx="2" formatCode="General">
                  <c:v>0</c:v>
                </c:pt>
                <c:pt idx="3" formatCode="General">
                  <c:v>25</c:v>
                </c:pt>
                <c:pt idx="4" formatCode="General">
                  <c:v>0</c:v>
                </c:pt>
              </c:numCache>
            </c:numRef>
          </c:val>
          <c:extLst>
            <c:ext xmlns:c16="http://schemas.microsoft.com/office/drawing/2014/chart" uri="{C3380CC4-5D6E-409C-BE32-E72D297353CC}">
              <c16:uniqueId val="{00000000-65F7-46D6-85B2-6F64D8F46047}"/>
            </c:ext>
          </c:extLst>
        </c:ser>
        <c:ser>
          <c:idx val="1"/>
          <c:order val="1"/>
          <c:tx>
            <c:strRef>
              <c:f>List1!$C$1</c:f>
              <c:strCache>
                <c:ptCount val="1"/>
                <c:pt idx="0">
                  <c:v>skutečnost 2019</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0"/>
              <c:layout>
                <c:manualLayout>
                  <c:x val="3.7831638718339604E-4"/>
                  <c:y val="3.0392077278999924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65F7-46D6-85B2-6F64D8F46047}"/>
                </c:ext>
              </c:extLst>
            </c:dLbl>
            <c:dLbl>
              <c:idx val="1"/>
              <c:layout>
                <c:manualLayout>
                  <c:x val="6.9444444444444441E-3"/>
                  <c:y val="1.044338207724027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65F7-46D6-85B2-6F64D8F4604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List1!$A$2:$A$6</c:f>
              <c:strCache>
                <c:ptCount val="5"/>
                <c:pt idx="0">
                  <c:v>úhrada předpisu - zvláštní příjmový účet</c:v>
                </c:pt>
                <c:pt idx="1">
                  <c:v>úhrada předpisu - kolek</c:v>
                </c:pt>
                <c:pt idx="2">
                  <c:v>úhrada nedoplatku z minulých let</c:v>
                </c:pt>
                <c:pt idx="3">
                  <c:v>vratky plateb minulých let</c:v>
                </c:pt>
                <c:pt idx="4">
                  <c:v>nedoplatky ke konci sledovaného období</c:v>
                </c:pt>
              </c:strCache>
            </c:strRef>
          </c:cat>
          <c:val>
            <c:numRef>
              <c:f>List1!$C$2:$C$6</c:f>
              <c:numCache>
                <c:formatCode>#,##0</c:formatCode>
                <c:ptCount val="5"/>
                <c:pt idx="0">
                  <c:v>191930</c:v>
                </c:pt>
                <c:pt idx="1">
                  <c:v>7992</c:v>
                </c:pt>
                <c:pt idx="2" formatCode="General">
                  <c:v>0</c:v>
                </c:pt>
                <c:pt idx="3" formatCode="General">
                  <c:v>35</c:v>
                </c:pt>
                <c:pt idx="4" formatCode="General">
                  <c:v>0</c:v>
                </c:pt>
              </c:numCache>
            </c:numRef>
          </c:val>
          <c:extLst>
            <c:ext xmlns:c16="http://schemas.microsoft.com/office/drawing/2014/chart" uri="{C3380CC4-5D6E-409C-BE32-E72D297353CC}">
              <c16:uniqueId val="{00000001-65F7-46D6-85B2-6F64D8F46047}"/>
            </c:ext>
          </c:extLst>
        </c:ser>
        <c:dLbls>
          <c:dLblPos val="ctr"/>
          <c:showLegendKey val="0"/>
          <c:showVal val="1"/>
          <c:showCatName val="0"/>
          <c:showSerName val="0"/>
          <c:showPercent val="0"/>
          <c:showBubbleSize val="0"/>
        </c:dLbls>
        <c:gapWidth val="100"/>
        <c:overlap val="-24"/>
        <c:axId val="610234256"/>
        <c:axId val="610230976"/>
      </c:barChart>
      <c:catAx>
        <c:axId val="61023425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610230976"/>
        <c:crosses val="autoZero"/>
        <c:auto val="1"/>
        <c:lblAlgn val="ctr"/>
        <c:lblOffset val="100"/>
        <c:noMultiLvlLbl val="0"/>
      </c:catAx>
      <c:valAx>
        <c:axId val="610230976"/>
        <c:scaling>
          <c:orientation val="minMax"/>
          <c:max val="180000"/>
          <c:min val="0"/>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610234256"/>
        <c:crosses val="autoZero"/>
        <c:crossBetween val="between"/>
        <c:majorUnit val="30000"/>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3044982698961933E-2"/>
          <c:y val="6.2874251497005984E-2"/>
          <c:w val="0.88957772985408523"/>
          <c:h val="0.69461077844311381"/>
        </c:manualLayout>
      </c:layout>
      <c:barChart>
        <c:barDir val="col"/>
        <c:grouping val="clustered"/>
        <c:varyColors val="0"/>
        <c:ser>
          <c:idx val="0"/>
          <c:order val="0"/>
          <c:tx>
            <c:strRef>
              <c:f>Sheet1!$A$2</c:f>
              <c:strCache>
                <c:ptCount val="1"/>
                <c:pt idx="0">
                  <c:v>Skutečnost 2018</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0"/>
              <c:layout>
                <c:manualLayout>
                  <c:x val="-6.4545627758546831E-3"/>
                  <c:y val="-1.251912448273349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4F6-43FA-A4B0-840FAF24E61B}"/>
                </c:ext>
              </c:extLst>
            </c:dLbl>
            <c:dLbl>
              <c:idx val="1"/>
              <c:layout>
                <c:manualLayout>
                  <c:x val="1.7970794602426565E-3"/>
                  <c:y val="1.386489837405080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4F6-43FA-A4B0-840FAF24E61B}"/>
                </c:ext>
              </c:extLst>
            </c:dLbl>
            <c:dLbl>
              <c:idx val="2"/>
              <c:layout>
                <c:manualLayout>
                  <c:x val="2.8351538146764721E-3"/>
                  <c:y val="-2.751977583891562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34F6-43FA-A4B0-840FAF24E61B}"/>
                </c:ext>
              </c:extLst>
            </c:dLbl>
            <c:dLbl>
              <c:idx val="3"/>
              <c:layout>
                <c:manualLayout>
                  <c:x val="-3.0471870558032021E-3"/>
                  <c:y val="-6.2292520516071814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34F6-43FA-A4B0-840FAF24E61B}"/>
                </c:ext>
              </c:extLst>
            </c:dLbl>
            <c:dLbl>
              <c:idx val="4"/>
              <c:layout>
                <c:manualLayout>
                  <c:x val="4.7647261951691E-3"/>
                  <c:y val="2.4641530994339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4F6-43FA-A4B0-840FAF24E61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Sheet1!$B$1:$F$1</c:f>
              <c:strCache>
                <c:ptCount val="5"/>
                <c:pt idx="0">
                  <c:v>úhrada předpisu - příjmový účet</c:v>
                </c:pt>
                <c:pt idx="1">
                  <c:v>úhrada předpisu - blokově</c:v>
                </c:pt>
                <c:pt idx="2">
                  <c:v>úhrada nedoplatku z minulých let</c:v>
                </c:pt>
                <c:pt idx="3">
                  <c:v>předáno úřadům k vymáhání, odpis</c:v>
                </c:pt>
                <c:pt idx="4">
                  <c:v>celkový stav nedoplatků</c:v>
                </c:pt>
              </c:strCache>
            </c:strRef>
          </c:cat>
          <c:val>
            <c:numRef>
              <c:f>Sheet1!$B$2:$F$2</c:f>
              <c:numCache>
                <c:formatCode>#,##0</c:formatCode>
                <c:ptCount val="5"/>
                <c:pt idx="0">
                  <c:v>1433</c:v>
                </c:pt>
                <c:pt idx="1">
                  <c:v>61</c:v>
                </c:pt>
                <c:pt idx="2">
                  <c:v>2</c:v>
                </c:pt>
                <c:pt idx="3">
                  <c:v>310</c:v>
                </c:pt>
                <c:pt idx="4">
                  <c:v>58</c:v>
                </c:pt>
              </c:numCache>
            </c:numRef>
          </c:val>
          <c:extLst>
            <c:ext xmlns:c16="http://schemas.microsoft.com/office/drawing/2014/chart" uri="{C3380CC4-5D6E-409C-BE32-E72D297353CC}">
              <c16:uniqueId val="{00000005-34F6-43FA-A4B0-840FAF24E61B}"/>
            </c:ext>
          </c:extLst>
        </c:ser>
        <c:ser>
          <c:idx val="1"/>
          <c:order val="1"/>
          <c:tx>
            <c:strRef>
              <c:f>Sheet1!$A$3</c:f>
              <c:strCache>
                <c:ptCount val="1"/>
                <c:pt idx="0">
                  <c:v>Skutečnost 2019</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0"/>
              <c:layout>
                <c:manualLayout>
                  <c:x val="4.2226271779371161E-3"/>
                  <c:y val="-1.333094206481327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34F6-43FA-A4B0-840FAF24E61B}"/>
                </c:ext>
              </c:extLst>
            </c:dLbl>
            <c:dLbl>
              <c:idx val="1"/>
              <c:layout>
                <c:manualLayout>
                  <c:x val="3.8237503828925656E-3"/>
                  <c:y val="-1.607522138642902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34F6-43FA-A4B0-840FAF24E61B}"/>
                </c:ext>
              </c:extLst>
            </c:dLbl>
            <c:dLbl>
              <c:idx val="2"/>
              <c:layout>
                <c:manualLayout>
                  <c:x val="4.715248408951378E-3"/>
                  <c:y val="-7.076874524573617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34F6-43FA-A4B0-840FAF24E61B}"/>
                </c:ext>
              </c:extLst>
            </c:dLbl>
            <c:dLbl>
              <c:idx val="3"/>
              <c:layout>
                <c:manualLayout>
                  <c:x val="7.6300028979886525E-3"/>
                  <c:y val="-1.807394755399816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34F6-43FA-A4B0-840FAF24E61B}"/>
                </c:ext>
              </c:extLst>
            </c:dLbl>
            <c:dLbl>
              <c:idx val="4"/>
              <c:layout>
                <c:manualLayout>
                  <c:x val="3.4779447276540587E-3"/>
                  <c:y val="1.306560581521676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34F6-43FA-A4B0-840FAF24E61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úhrada předpisu - příjmový účet</c:v>
                </c:pt>
                <c:pt idx="1">
                  <c:v>úhrada předpisu - blokově</c:v>
                </c:pt>
                <c:pt idx="2">
                  <c:v>úhrada nedoplatku z minulých let</c:v>
                </c:pt>
                <c:pt idx="3">
                  <c:v>předáno úřadům k vymáhání, odpis</c:v>
                </c:pt>
                <c:pt idx="4">
                  <c:v>celkový stav nedoplatků</c:v>
                </c:pt>
              </c:strCache>
            </c:strRef>
          </c:cat>
          <c:val>
            <c:numRef>
              <c:f>Sheet1!$B$3:$F$3</c:f>
              <c:numCache>
                <c:formatCode>#,##0</c:formatCode>
                <c:ptCount val="5"/>
                <c:pt idx="0">
                  <c:v>1546</c:v>
                </c:pt>
                <c:pt idx="1">
                  <c:v>80</c:v>
                </c:pt>
                <c:pt idx="2">
                  <c:v>6</c:v>
                </c:pt>
                <c:pt idx="3">
                  <c:v>133.37</c:v>
                </c:pt>
                <c:pt idx="4">
                  <c:v>202</c:v>
                </c:pt>
              </c:numCache>
            </c:numRef>
          </c:val>
          <c:extLst>
            <c:ext xmlns:c16="http://schemas.microsoft.com/office/drawing/2014/chart" uri="{C3380CC4-5D6E-409C-BE32-E72D297353CC}">
              <c16:uniqueId val="{0000000B-34F6-43FA-A4B0-840FAF24E61B}"/>
            </c:ext>
          </c:extLst>
        </c:ser>
        <c:dLbls>
          <c:showLegendKey val="0"/>
          <c:showVal val="0"/>
          <c:showCatName val="0"/>
          <c:showSerName val="0"/>
          <c:showPercent val="0"/>
          <c:showBubbleSize val="0"/>
        </c:dLbls>
        <c:gapWidth val="100"/>
        <c:overlap val="-24"/>
        <c:axId val="199419168"/>
        <c:axId val="1"/>
      </c:barChart>
      <c:catAx>
        <c:axId val="199419168"/>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1"/>
        <c:crosses val="autoZero"/>
        <c:auto val="1"/>
        <c:lblAlgn val="ctr"/>
        <c:lblOffset val="100"/>
        <c:tickLblSkip val="1"/>
        <c:tickMarkSkip val="1"/>
        <c:noMultiLvlLbl val="0"/>
      </c:catAx>
      <c:valAx>
        <c:axId val="1"/>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199419168"/>
        <c:crosses val="autoZero"/>
        <c:crossBetween val="between"/>
        <c:majorUnit val="300"/>
      </c:valAx>
      <c:spPr>
        <a:noFill/>
        <a:ln>
          <a:noFill/>
        </a:ln>
        <a:effectLst/>
      </c:spPr>
    </c:plotArea>
    <c:legend>
      <c:legendPos val="b"/>
      <c:layout>
        <c:manualLayout>
          <c:xMode val="edge"/>
          <c:yMode val="edge"/>
          <c:x val="0.31750782555765067"/>
          <c:y val="0.90841184200685909"/>
          <c:w val="0.36498434888469861"/>
          <c:h val="9.158815799314094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118527631962672"/>
          <c:y val="2.4612858320189365E-3"/>
          <c:w val="0.29405894575678038"/>
          <c:h val="0.99595032980736287"/>
        </c:manualLayout>
      </c:layout>
      <c:doughnutChart>
        <c:varyColors val="1"/>
        <c:ser>
          <c:idx val="0"/>
          <c:order val="0"/>
          <c:tx>
            <c:strRef>
              <c:f>List1!$B$1</c:f>
              <c:strCache>
                <c:ptCount val="1"/>
                <c:pt idx="0">
                  <c:v>skutečnost</c:v>
                </c:pt>
              </c:strCache>
            </c:strRef>
          </c:tx>
          <c:spPr>
            <a:ln w="19050"/>
          </c:spPr>
          <c:dPt>
            <c:idx val="0"/>
            <c:bubble3D val="0"/>
            <c:spPr>
              <a:solidFill>
                <a:schemeClr val="accent1"/>
              </a:solidFill>
              <a:ln w="19050">
                <a:solidFill>
                  <a:schemeClr val="lt1"/>
                </a:solidFill>
              </a:ln>
              <a:effectLst/>
            </c:spPr>
            <c:extLst>
              <c:ext xmlns:c16="http://schemas.microsoft.com/office/drawing/2014/chart" uri="{C3380CC4-5D6E-409C-BE32-E72D297353CC}">
                <c16:uniqueId val="{00000001-CC69-4FA1-A9DE-B1CDAA5403C4}"/>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CC69-4FA1-A9DE-B1CDAA5403C4}"/>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CC69-4FA1-A9DE-B1CDAA5403C4}"/>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CC69-4FA1-A9DE-B1CDAA5403C4}"/>
              </c:ext>
            </c:extLst>
          </c:dPt>
          <c:dLbls>
            <c:dLbl>
              <c:idx val="0"/>
              <c:layout>
                <c:manualLayout>
                  <c:x val="9.7222222222222224E-2"/>
                  <c:y val="8.6240689925519337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CC69-4FA1-A9DE-B1CDAA5403C4}"/>
                </c:ext>
              </c:extLst>
            </c:dLbl>
            <c:dLbl>
              <c:idx val="1"/>
              <c:delete val="1"/>
              <c:extLst>
                <c:ext xmlns:c15="http://schemas.microsoft.com/office/drawing/2012/chart" uri="{CE6537A1-D6FC-4f65-9D91-7224C49458BB}"/>
                <c:ext xmlns:c16="http://schemas.microsoft.com/office/drawing/2014/chart" uri="{C3380CC4-5D6E-409C-BE32-E72D297353CC}">
                  <c16:uniqueId val="{00000003-CC69-4FA1-A9DE-B1CDAA5403C4}"/>
                </c:ext>
              </c:extLst>
            </c:dLbl>
            <c:dLbl>
              <c:idx val="2"/>
              <c:layout>
                <c:manualLayout>
                  <c:x val="-9.9537037037037035E-2"/>
                  <c:y val="3.7502662226022217E-3"/>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CC69-4FA1-A9DE-B1CDAA5403C4}"/>
                </c:ext>
              </c:extLst>
            </c:dLbl>
            <c:dLbl>
              <c:idx val="3"/>
              <c:layout>
                <c:manualLayout>
                  <c:x val="0.10185185185185185"/>
                  <c:y val="-5.8944925102707907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CC69-4FA1-A9DE-B1CDAA5403C4}"/>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1"/>
            <c:showSerName val="0"/>
            <c:showPercent val="1"/>
            <c:showBubbleSize val="0"/>
            <c:showLeaderLines val="0"/>
            <c:extLst>
              <c:ext xmlns:c15="http://schemas.microsoft.com/office/drawing/2012/chart" uri="{CE6537A1-D6FC-4f65-9D91-7224C49458BB}"/>
            </c:extLst>
          </c:dLbls>
          <c:cat>
            <c:strRef>
              <c:f>List1!$A$2:$A$5</c:f>
              <c:strCache>
                <c:ptCount val="4"/>
                <c:pt idx="0">
                  <c:v>Drážní a kombinovaná doprava</c:v>
                </c:pt>
                <c:pt idx="1">
                  <c:v>Pozemní komunikace</c:v>
                </c:pt>
                <c:pt idx="2">
                  <c:v>Dotace pro SFDI</c:v>
                </c:pt>
                <c:pt idx="3">
                  <c:v>Ostatní výdaje spojené s dopravní politikou státu</c:v>
                </c:pt>
              </c:strCache>
            </c:strRef>
          </c:cat>
          <c:val>
            <c:numRef>
              <c:f>List1!$B$2:$B$5</c:f>
              <c:numCache>
                <c:formatCode>General</c:formatCode>
                <c:ptCount val="4"/>
                <c:pt idx="0" formatCode="#,##0">
                  <c:v>7504661</c:v>
                </c:pt>
                <c:pt idx="1">
                  <c:v>0</c:v>
                </c:pt>
                <c:pt idx="2" formatCode="#,##0">
                  <c:v>58709877</c:v>
                </c:pt>
                <c:pt idx="3" formatCode="#,##0">
                  <c:v>9014275</c:v>
                </c:pt>
              </c:numCache>
            </c:numRef>
          </c:val>
          <c:extLst>
            <c:ext xmlns:c16="http://schemas.microsoft.com/office/drawing/2014/chart" uri="{C3380CC4-5D6E-409C-BE32-E72D297353CC}">
              <c16:uniqueId val="{00000008-CC69-4FA1-A9DE-B1CDAA5403C4}"/>
            </c:ext>
          </c:extLst>
        </c:ser>
        <c:dLbls>
          <c:showLegendKey val="0"/>
          <c:showVal val="1"/>
          <c:showCatName val="0"/>
          <c:showSerName val="0"/>
          <c:showPercent val="0"/>
          <c:showBubbleSize val="0"/>
          <c:showLeaderLines val="0"/>
        </c:dLbls>
        <c:firstSliceAng val="84"/>
        <c:holeSize val="85"/>
      </c:doughnut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List1!$B$1</c:f>
              <c:strCache>
                <c:ptCount val="1"/>
                <c:pt idx="0">
                  <c:v>skutečnost</c:v>
                </c:pt>
              </c:strCache>
            </c:strRef>
          </c:tx>
          <c:dPt>
            <c:idx val="0"/>
            <c:bubble3D val="0"/>
            <c:spPr>
              <a:solidFill>
                <a:schemeClr val="accent1">
                  <a:alpha val="70000"/>
                </a:schemeClr>
              </a:solidFill>
              <a:ln>
                <a:noFill/>
              </a:ln>
              <a:effectLst/>
            </c:spPr>
            <c:extLst>
              <c:ext xmlns:c16="http://schemas.microsoft.com/office/drawing/2014/chart" uri="{C3380CC4-5D6E-409C-BE32-E72D297353CC}">
                <c16:uniqueId val="{00000003-FC73-44AB-B540-3FB37013CFCE}"/>
              </c:ext>
            </c:extLst>
          </c:dPt>
          <c:dPt>
            <c:idx val="1"/>
            <c:bubble3D val="0"/>
            <c:spPr>
              <a:solidFill>
                <a:schemeClr val="accent2">
                  <a:alpha val="70000"/>
                </a:schemeClr>
              </a:solidFill>
              <a:ln>
                <a:noFill/>
              </a:ln>
              <a:effectLst/>
            </c:spPr>
            <c:extLst>
              <c:ext xmlns:c16="http://schemas.microsoft.com/office/drawing/2014/chart" uri="{C3380CC4-5D6E-409C-BE32-E72D297353CC}">
                <c16:uniqueId val="{00000004-FC73-44AB-B540-3FB37013CFCE}"/>
              </c:ext>
            </c:extLst>
          </c:dPt>
          <c:dPt>
            <c:idx val="2"/>
            <c:bubble3D val="0"/>
            <c:spPr>
              <a:solidFill>
                <a:schemeClr val="accent3">
                  <a:alpha val="70000"/>
                </a:schemeClr>
              </a:solidFill>
              <a:ln>
                <a:noFill/>
              </a:ln>
              <a:effectLst/>
            </c:spPr>
            <c:extLst>
              <c:ext xmlns:c16="http://schemas.microsoft.com/office/drawing/2014/chart" uri="{C3380CC4-5D6E-409C-BE32-E72D297353CC}">
                <c16:uniqueId val="{00000005-FC73-44AB-B540-3FB37013CFCE}"/>
              </c:ext>
            </c:extLst>
          </c:dPt>
          <c:dPt>
            <c:idx val="3"/>
            <c:bubble3D val="0"/>
            <c:spPr>
              <a:solidFill>
                <a:schemeClr val="accent4">
                  <a:alpha val="70000"/>
                </a:schemeClr>
              </a:solidFill>
              <a:ln>
                <a:noFill/>
              </a:ln>
              <a:effectLst/>
            </c:spPr>
            <c:extLst>
              <c:ext xmlns:c16="http://schemas.microsoft.com/office/drawing/2014/chart" uri="{C3380CC4-5D6E-409C-BE32-E72D297353CC}">
                <c16:uniqueId val="{00000006-FC73-44AB-B540-3FB37013CFCE}"/>
              </c:ext>
            </c:extLst>
          </c:dPt>
          <c:dPt>
            <c:idx val="4"/>
            <c:bubble3D val="0"/>
            <c:spPr>
              <a:solidFill>
                <a:schemeClr val="accent6">
                  <a:lumMod val="75000"/>
                  <a:alpha val="70000"/>
                </a:schemeClr>
              </a:solidFill>
              <a:ln>
                <a:noFill/>
              </a:ln>
              <a:effectLst/>
            </c:spPr>
            <c:extLst>
              <c:ext xmlns:c16="http://schemas.microsoft.com/office/drawing/2014/chart" uri="{C3380CC4-5D6E-409C-BE32-E72D297353CC}">
                <c16:uniqueId val="{00000007-FC73-44AB-B540-3FB37013CFCE}"/>
              </c:ext>
            </c:extLst>
          </c:dPt>
          <c:dPt>
            <c:idx val="5"/>
            <c:bubble3D val="0"/>
            <c:spPr>
              <a:solidFill>
                <a:schemeClr val="accent6">
                  <a:alpha val="70000"/>
                </a:schemeClr>
              </a:solidFill>
              <a:ln>
                <a:noFill/>
              </a:ln>
              <a:effectLst/>
            </c:spPr>
            <c:extLst>
              <c:ext xmlns:c16="http://schemas.microsoft.com/office/drawing/2014/chart" uri="{C3380CC4-5D6E-409C-BE32-E72D297353CC}">
                <c16:uniqueId val="{00000002-FC73-44AB-B540-3FB37013CFCE}"/>
              </c:ext>
            </c:extLst>
          </c:dPt>
          <c:dPt>
            <c:idx val="6"/>
            <c:bubble3D val="0"/>
            <c:spPr>
              <a:solidFill>
                <a:schemeClr val="accent1">
                  <a:lumMod val="60000"/>
                  <a:alpha val="70000"/>
                </a:schemeClr>
              </a:solidFill>
              <a:ln>
                <a:noFill/>
              </a:ln>
              <a:effectLst/>
            </c:spPr>
            <c:extLst>
              <c:ext xmlns:c16="http://schemas.microsoft.com/office/drawing/2014/chart" uri="{C3380CC4-5D6E-409C-BE32-E72D297353CC}">
                <c16:uniqueId val="{00000001-FC73-44AB-B540-3FB37013CFCE}"/>
              </c:ext>
            </c:extLst>
          </c:dPt>
          <c:dPt>
            <c:idx val="7"/>
            <c:bubble3D val="0"/>
            <c:spPr>
              <a:solidFill>
                <a:srgbClr val="CC6600">
                  <a:alpha val="69804"/>
                </a:srgbClr>
              </a:solidFill>
              <a:ln>
                <a:noFill/>
              </a:ln>
              <a:effectLst/>
            </c:spPr>
            <c:extLst>
              <c:ext xmlns:c16="http://schemas.microsoft.com/office/drawing/2014/chart" uri="{C3380CC4-5D6E-409C-BE32-E72D297353CC}">
                <c16:uniqueId val="{0000000F-62F7-47EB-AC29-567A47899DD0}"/>
              </c:ext>
            </c:extLst>
          </c:dPt>
          <c:dLbls>
            <c:dLbl>
              <c:idx val="0"/>
              <c:layout>
                <c:manualLayout>
                  <c:x val="3.6900193074621501E-2"/>
                  <c:y val="-4.3072505384063348E-2"/>
                </c:manualLayout>
              </c:layout>
              <c:numFmt formatCode="0.00%" sourceLinked="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FC73-44AB-B540-3FB37013CFCE}"/>
                </c:ext>
              </c:extLst>
            </c:dLbl>
            <c:dLbl>
              <c:idx val="1"/>
              <c:layout>
                <c:manualLayout>
                  <c:x val="5.9563316638295454E-4"/>
                  <c:y val="4.3262808229373338E-3"/>
                </c:manualLayout>
              </c:layout>
              <c:numFmt formatCode="0.00%" sourceLinked="0"/>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2"/>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manualLayout>
                      <c:w val="6.6429099161982669E-2"/>
                      <c:h val="7.775540252590378E-2"/>
                    </c:manualLayout>
                  </c15:layout>
                </c:ext>
                <c:ext xmlns:c16="http://schemas.microsoft.com/office/drawing/2014/chart" uri="{C3380CC4-5D6E-409C-BE32-E72D297353CC}">
                  <c16:uniqueId val="{00000004-FC73-44AB-B540-3FB37013CFCE}"/>
                </c:ext>
              </c:extLst>
            </c:dLbl>
            <c:dLbl>
              <c:idx val="2"/>
              <c:layout>
                <c:manualLayout>
                  <c:x val="-1.417192213337252E-2"/>
                  <c:y val="-2.0504266235013308E-2"/>
                </c:manualLayout>
              </c:layout>
              <c:numFmt formatCode="0.00%" sourceLinked="0"/>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FC73-44AB-B540-3FB37013CFCE}"/>
                </c:ext>
              </c:extLst>
            </c:dLbl>
            <c:dLbl>
              <c:idx val="3"/>
              <c:layout>
                <c:manualLayout>
                  <c:x val="-1.2723168546389009E-2"/>
                  <c:y val="-2.3787758237537381E-2"/>
                </c:manualLayout>
              </c:layout>
              <c:numFmt formatCode="0.00%" sourceLinked="0"/>
              <c:spPr>
                <a:solidFill>
                  <a:schemeClr val="lt1">
                    <a:alpha val="90000"/>
                  </a:schemeClr>
                </a:solidFill>
                <a:ln w="12700" cap="flat" cmpd="sng" algn="ctr">
                  <a:solidFill>
                    <a:schemeClr val="accent4"/>
                  </a:solidFill>
                  <a:round/>
                </a:ln>
                <a:effectLst>
                  <a:outerShdw blurRad="50800" dist="38100" dir="2700000" algn="tl" rotWithShape="0">
                    <a:schemeClr val="accent4">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6-FC73-44AB-B540-3FB37013CFCE}"/>
                </c:ext>
              </c:extLst>
            </c:dLbl>
            <c:dLbl>
              <c:idx val="4"/>
              <c:layout>
                <c:manualLayout>
                  <c:x val="-1.0843854471534764E-2"/>
                  <c:y val="-2.0787100104949236E-2"/>
                </c:manualLayout>
              </c:layout>
              <c:numFmt formatCode="0.00%" sourceLinked="0"/>
              <c:spPr>
                <a:solidFill>
                  <a:schemeClr val="lt1">
                    <a:alpha val="90000"/>
                  </a:schemeClr>
                </a:solidFill>
                <a:ln w="12700" cap="flat" cmpd="sng" algn="ctr">
                  <a:solidFill>
                    <a:schemeClr val="accent5"/>
                  </a:solidFill>
                  <a:round/>
                </a:ln>
                <a:effectLst>
                  <a:outerShdw blurRad="50800" dist="38100" dir="2700000" algn="tl" rotWithShape="0">
                    <a:schemeClr val="accent5">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lumMod val="75000"/>
                        </a:schemeClr>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FC73-44AB-B540-3FB37013CFCE}"/>
                </c:ext>
              </c:extLst>
            </c:dLbl>
            <c:dLbl>
              <c:idx val="5"/>
              <c:layout>
                <c:manualLayout>
                  <c:x val="2.1442467436516004E-2"/>
                  <c:y val="-4.6566164154103855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lumMod val="60000"/>
                          <a:lumOff val="40000"/>
                        </a:schemeClr>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2-FC73-44AB-B540-3FB37013CFCE}"/>
                </c:ext>
              </c:extLst>
            </c:dLbl>
            <c:dLbl>
              <c:idx val="6"/>
              <c:layout>
                <c:manualLayout>
                  <c:x val="-5.30420478155629E-3"/>
                  <c:y val="4.4132171920720963E-2"/>
                </c:manualLayout>
              </c:layout>
              <c:numFmt formatCode="0.00%" sourceLinked="0"/>
              <c:spPr>
                <a:solidFill>
                  <a:schemeClr val="lt1">
                    <a:alpha val="90000"/>
                  </a:schemeClr>
                </a:solidFill>
                <a:ln w="12700" cap="flat" cmpd="sng" algn="ctr">
                  <a:solidFill>
                    <a:schemeClr val="accent1">
                      <a:lumMod val="60000"/>
                    </a:schemeClr>
                  </a:solidFill>
                  <a:round/>
                </a:ln>
                <a:effectLst>
                  <a:outerShdw blurRad="50800" dist="38100" dir="2700000" algn="tl" rotWithShape="0">
                    <a:schemeClr val="accent1">
                      <a:lumMod val="60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lumMod val="60000"/>
                        </a:schemeClr>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FC73-44AB-B540-3FB37013CFCE}"/>
                </c:ext>
              </c:extLst>
            </c:dLbl>
            <c:dLbl>
              <c:idx val="7"/>
              <c:layout>
                <c:manualLayout>
                  <c:x val="2.0275692599078226E-2"/>
                  <c:y val="-7.9346865561402812E-3"/>
                </c:manualLayout>
              </c:layout>
              <c:numFmt formatCode="0.00%" sourceLinked="0"/>
              <c:spPr>
                <a:solidFill>
                  <a:schemeClr val="lt1">
                    <a:alpha val="90000"/>
                  </a:schemeClr>
                </a:solidFill>
                <a:ln w="12700" cap="flat" cmpd="sng" algn="ctr">
                  <a:solidFill>
                    <a:schemeClr val="accent2">
                      <a:lumMod val="60000"/>
                    </a:schemeClr>
                  </a:solidFill>
                  <a:round/>
                </a:ln>
                <a:effectLst>
                  <a:outerShdw blurRad="50800" dist="38100" dir="2700000" algn="tl" rotWithShape="0">
                    <a:schemeClr val="accent2">
                      <a:lumMod val="60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lumMod val="60000"/>
                        </a:schemeClr>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F-62F7-47EB-AC29-567A47899DD0}"/>
                </c:ext>
              </c:extLst>
            </c:dLbl>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List1!$A$2:$A$9</c:f>
              <c:strCache>
                <c:ptCount val="8"/>
                <c:pt idx="0">
                  <c:v>výdaje organizačních složek státu</c:v>
                </c:pt>
                <c:pt idx="1">
                  <c:v>transfery příspěvkovým a podobným organizacím</c:v>
                </c:pt>
                <c:pt idx="2">
                  <c:v>transfery veřejným rozpočtům územní úrovně</c:v>
                </c:pt>
                <c:pt idx="3">
                  <c:v>transfery do zahraničí</c:v>
                </c:pt>
                <c:pt idx="4">
                  <c:v>transfery podnikatelským subjektům</c:v>
                </c:pt>
                <c:pt idx="5">
                  <c:v>půjčené prostředky podnikatelským subjektům </c:v>
                </c:pt>
                <c:pt idx="6">
                  <c:v>transfery neziskovým apod. organizacím</c:v>
                </c:pt>
                <c:pt idx="7">
                  <c:v>transfery státním fondům</c:v>
                </c:pt>
              </c:strCache>
            </c:strRef>
          </c:cat>
          <c:val>
            <c:numRef>
              <c:f>List1!$B$2:$B$9</c:f>
              <c:numCache>
                <c:formatCode>#,##0</c:formatCode>
                <c:ptCount val="8"/>
                <c:pt idx="0">
                  <c:v>7232112</c:v>
                </c:pt>
                <c:pt idx="1">
                  <c:v>585214</c:v>
                </c:pt>
                <c:pt idx="2">
                  <c:v>2968970</c:v>
                </c:pt>
                <c:pt idx="3">
                  <c:v>941977</c:v>
                </c:pt>
                <c:pt idx="4" formatCode="General">
                  <c:v>4716516</c:v>
                </c:pt>
                <c:pt idx="5" formatCode="General">
                  <c:v>10650</c:v>
                </c:pt>
                <c:pt idx="6">
                  <c:v>12462</c:v>
                </c:pt>
                <c:pt idx="7">
                  <c:v>13966954</c:v>
                </c:pt>
              </c:numCache>
            </c:numRef>
          </c:val>
          <c:extLst>
            <c:ext xmlns:c16="http://schemas.microsoft.com/office/drawing/2014/chart" uri="{C3380CC4-5D6E-409C-BE32-E72D297353CC}">
              <c16:uniqueId val="{00000000-FC73-44AB-B540-3FB37013CFCE}"/>
            </c:ext>
          </c:extLst>
        </c:ser>
        <c:dLbls>
          <c:dLblPos val="inEnd"/>
          <c:showLegendKey val="0"/>
          <c:showVal val="0"/>
          <c:showCatName val="1"/>
          <c:showSerName val="0"/>
          <c:showPercent val="0"/>
          <c:showBubbleSize val="0"/>
          <c:showLeaderLines val="0"/>
        </c:dLbls>
        <c:firstSliceAng val="118"/>
      </c:pieChart>
      <c:spPr>
        <a:noFill/>
        <a:ln>
          <a:noFill/>
        </a:ln>
        <a:effectLst/>
      </c:spPr>
    </c:plotArea>
    <c:legend>
      <c:legendPos val="r"/>
      <c:layout>
        <c:manualLayout>
          <c:xMode val="edge"/>
          <c:yMode val="edge"/>
          <c:x val="0.61596208716523193"/>
          <c:y val="5.1747830884196801E-2"/>
          <c:w val="0.37159623320801849"/>
          <c:h val="0.8965043382316063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List1!$A$2</c:f>
              <c:strCache>
                <c:ptCount val="1"/>
                <c:pt idx="0">
                  <c:v>2015</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List1!$B$1:$E$1</c:f>
              <c:strCache>
                <c:ptCount val="4"/>
                <c:pt idx="0">
                  <c:v>1. čtvrt.</c:v>
                </c:pt>
                <c:pt idx="1">
                  <c:v>2. čtvrt.</c:v>
                </c:pt>
                <c:pt idx="2">
                  <c:v>3. čtvrt.</c:v>
                </c:pt>
                <c:pt idx="3">
                  <c:v>4. čtvrt.</c:v>
                </c:pt>
              </c:strCache>
            </c:strRef>
          </c:cat>
          <c:val>
            <c:numRef>
              <c:f>List1!$B$2:$E$2</c:f>
              <c:numCache>
                <c:formatCode>#,##0</c:formatCode>
                <c:ptCount val="4"/>
                <c:pt idx="0">
                  <c:v>4350456</c:v>
                </c:pt>
                <c:pt idx="1">
                  <c:v>4862030</c:v>
                </c:pt>
                <c:pt idx="2">
                  <c:v>8005248</c:v>
                </c:pt>
                <c:pt idx="3">
                  <c:v>10767026</c:v>
                </c:pt>
              </c:numCache>
            </c:numRef>
          </c:val>
          <c:smooth val="0"/>
          <c:extLst>
            <c:ext xmlns:c16="http://schemas.microsoft.com/office/drawing/2014/chart" uri="{C3380CC4-5D6E-409C-BE32-E72D297353CC}">
              <c16:uniqueId val="{00000000-2E3C-4F59-AA50-045A9E2F1EE5}"/>
            </c:ext>
          </c:extLst>
        </c:ser>
        <c:ser>
          <c:idx val="1"/>
          <c:order val="1"/>
          <c:tx>
            <c:strRef>
              <c:f>List1!$A$3</c:f>
              <c:strCache>
                <c:ptCount val="1"/>
                <c:pt idx="0">
                  <c:v>2016</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List1!$B$1:$E$1</c:f>
              <c:strCache>
                <c:ptCount val="4"/>
                <c:pt idx="0">
                  <c:v>1. čtvrt.</c:v>
                </c:pt>
                <c:pt idx="1">
                  <c:v>2. čtvrt.</c:v>
                </c:pt>
                <c:pt idx="2">
                  <c:v>3. čtvrt.</c:v>
                </c:pt>
                <c:pt idx="3">
                  <c:v>4. čtvrt.</c:v>
                </c:pt>
              </c:strCache>
            </c:strRef>
          </c:cat>
          <c:val>
            <c:numRef>
              <c:f>List1!$B$3:$E$3</c:f>
              <c:numCache>
                <c:formatCode>#,##0</c:formatCode>
                <c:ptCount val="4"/>
                <c:pt idx="0">
                  <c:v>4480353</c:v>
                </c:pt>
                <c:pt idx="1">
                  <c:v>2695062</c:v>
                </c:pt>
                <c:pt idx="2">
                  <c:v>5372954</c:v>
                </c:pt>
                <c:pt idx="3">
                  <c:v>8085110</c:v>
                </c:pt>
              </c:numCache>
            </c:numRef>
          </c:val>
          <c:smooth val="0"/>
          <c:extLst>
            <c:ext xmlns:c16="http://schemas.microsoft.com/office/drawing/2014/chart" uri="{C3380CC4-5D6E-409C-BE32-E72D297353CC}">
              <c16:uniqueId val="{00000001-2E3C-4F59-AA50-045A9E2F1EE5}"/>
            </c:ext>
          </c:extLst>
        </c:ser>
        <c:ser>
          <c:idx val="2"/>
          <c:order val="2"/>
          <c:tx>
            <c:strRef>
              <c:f>List1!$A$4</c:f>
              <c:strCache>
                <c:ptCount val="1"/>
                <c:pt idx="0">
                  <c:v>2017</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List1!$B$1:$E$1</c:f>
              <c:strCache>
                <c:ptCount val="4"/>
                <c:pt idx="0">
                  <c:v>1. čtvrt.</c:v>
                </c:pt>
                <c:pt idx="1">
                  <c:v>2. čtvrt.</c:v>
                </c:pt>
                <c:pt idx="2">
                  <c:v>3. čtvrt.</c:v>
                </c:pt>
                <c:pt idx="3">
                  <c:v>4. čtvrt.</c:v>
                </c:pt>
              </c:strCache>
            </c:strRef>
          </c:cat>
          <c:val>
            <c:numRef>
              <c:f>List1!$B$4:$E$4</c:f>
              <c:numCache>
                <c:formatCode>#,##0</c:formatCode>
                <c:ptCount val="4"/>
                <c:pt idx="0">
                  <c:v>5206718</c:v>
                </c:pt>
                <c:pt idx="1">
                  <c:v>3297067</c:v>
                </c:pt>
                <c:pt idx="2">
                  <c:v>6844855</c:v>
                </c:pt>
                <c:pt idx="3">
                  <c:v>9288593</c:v>
                </c:pt>
              </c:numCache>
            </c:numRef>
          </c:val>
          <c:smooth val="0"/>
          <c:extLst>
            <c:ext xmlns:c16="http://schemas.microsoft.com/office/drawing/2014/chart" uri="{C3380CC4-5D6E-409C-BE32-E72D297353CC}">
              <c16:uniqueId val="{00000002-2E3C-4F59-AA50-045A9E2F1EE5}"/>
            </c:ext>
          </c:extLst>
        </c:ser>
        <c:ser>
          <c:idx val="3"/>
          <c:order val="3"/>
          <c:tx>
            <c:strRef>
              <c:f>List1!$A$5</c:f>
              <c:strCache>
                <c:ptCount val="1"/>
                <c:pt idx="0">
                  <c:v>2018</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List1!$B$1:$E$1</c:f>
              <c:strCache>
                <c:ptCount val="4"/>
                <c:pt idx="0">
                  <c:v>1. čtvrt.</c:v>
                </c:pt>
                <c:pt idx="1">
                  <c:v>2. čtvrt.</c:v>
                </c:pt>
                <c:pt idx="2">
                  <c:v>3. čtvrt.</c:v>
                </c:pt>
                <c:pt idx="3">
                  <c:v>4. čtvrt.</c:v>
                </c:pt>
              </c:strCache>
            </c:strRef>
          </c:cat>
          <c:val>
            <c:numRef>
              <c:f>List1!$B$5:$E$5</c:f>
              <c:numCache>
                <c:formatCode>#,##0</c:formatCode>
                <c:ptCount val="4"/>
                <c:pt idx="0">
                  <c:v>4333684</c:v>
                </c:pt>
                <c:pt idx="1">
                  <c:v>2696212</c:v>
                </c:pt>
                <c:pt idx="2">
                  <c:v>6533095</c:v>
                </c:pt>
                <c:pt idx="3">
                  <c:v>5958698</c:v>
                </c:pt>
              </c:numCache>
            </c:numRef>
          </c:val>
          <c:smooth val="0"/>
          <c:extLst>
            <c:ext xmlns:c16="http://schemas.microsoft.com/office/drawing/2014/chart" uri="{C3380CC4-5D6E-409C-BE32-E72D297353CC}">
              <c16:uniqueId val="{00000003-2E3C-4F59-AA50-045A9E2F1EE5}"/>
            </c:ext>
          </c:extLst>
        </c:ser>
        <c:ser>
          <c:idx val="4"/>
          <c:order val="4"/>
          <c:tx>
            <c:strRef>
              <c:f>List1!$A$6</c:f>
              <c:strCache>
                <c:ptCount val="1"/>
                <c:pt idx="0">
                  <c:v>2019</c:v>
                </c:pt>
              </c:strCache>
            </c:strRef>
          </c:tx>
          <c:spPr>
            <a:ln w="28575" cap="rnd">
              <a:solidFill>
                <a:schemeClr val="accent6">
                  <a:lumMod val="60000"/>
                  <a:lumOff val="40000"/>
                </a:schemeClr>
              </a:solidFill>
              <a:round/>
            </a:ln>
            <a:effectLst/>
          </c:spPr>
          <c:marker>
            <c:symbol val="circle"/>
            <c:size val="5"/>
            <c:spPr>
              <a:solidFill>
                <a:schemeClr val="accent6">
                  <a:lumMod val="60000"/>
                  <a:lumOff val="40000"/>
                </a:schemeClr>
              </a:solidFill>
              <a:ln w="9525">
                <a:solidFill>
                  <a:schemeClr val="accent6">
                    <a:lumMod val="60000"/>
                    <a:lumOff val="40000"/>
                  </a:schemeClr>
                </a:solidFill>
              </a:ln>
              <a:effectLst/>
            </c:spPr>
          </c:marker>
          <c:cat>
            <c:strRef>
              <c:f>List1!$B$1:$E$1</c:f>
              <c:strCache>
                <c:ptCount val="4"/>
                <c:pt idx="0">
                  <c:v>1. čtvrt.</c:v>
                </c:pt>
                <c:pt idx="1">
                  <c:v>2. čtvrt.</c:v>
                </c:pt>
                <c:pt idx="2">
                  <c:v>3. čtvrt.</c:v>
                </c:pt>
                <c:pt idx="3">
                  <c:v>4. čtvrt.</c:v>
                </c:pt>
              </c:strCache>
            </c:strRef>
          </c:cat>
          <c:val>
            <c:numRef>
              <c:f>List1!$B$6:$E$6</c:f>
              <c:numCache>
                <c:formatCode>#,##0</c:formatCode>
                <c:ptCount val="4"/>
                <c:pt idx="0">
                  <c:v>4697527</c:v>
                </c:pt>
                <c:pt idx="1">
                  <c:v>7931224</c:v>
                </c:pt>
                <c:pt idx="2">
                  <c:v>8554830</c:v>
                </c:pt>
                <c:pt idx="3">
                  <c:v>9251275</c:v>
                </c:pt>
              </c:numCache>
            </c:numRef>
          </c:val>
          <c:smooth val="0"/>
          <c:extLst>
            <c:ext xmlns:c16="http://schemas.microsoft.com/office/drawing/2014/chart" uri="{C3380CC4-5D6E-409C-BE32-E72D297353CC}">
              <c16:uniqueId val="{00000004-2E3C-4F59-AA50-045A9E2F1EE5}"/>
            </c:ext>
          </c:extLst>
        </c:ser>
        <c:dLbls>
          <c:showLegendKey val="0"/>
          <c:showVal val="0"/>
          <c:showCatName val="0"/>
          <c:showSerName val="0"/>
          <c:showPercent val="0"/>
          <c:showBubbleSize val="0"/>
        </c:dLbls>
        <c:marker val="1"/>
        <c:smooth val="0"/>
        <c:axId val="499247632"/>
        <c:axId val="499243696"/>
      </c:lineChart>
      <c:catAx>
        <c:axId val="499247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99243696"/>
        <c:crosses val="autoZero"/>
        <c:auto val="1"/>
        <c:lblAlgn val="ctr"/>
        <c:lblOffset val="100"/>
        <c:noMultiLvlLbl val="0"/>
      </c:catAx>
      <c:valAx>
        <c:axId val="4992436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9924763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List1!$B$1</c:f>
              <c:strCache>
                <c:ptCount val="1"/>
                <c:pt idx="0">
                  <c:v>skutečnost</c:v>
                </c:pt>
              </c:strCache>
            </c:strRef>
          </c:tx>
          <c:dPt>
            <c:idx val="0"/>
            <c:bubble3D val="0"/>
            <c:spPr>
              <a:solidFill>
                <a:schemeClr val="accent1">
                  <a:lumMod val="75000"/>
                  <a:alpha val="70000"/>
                </a:schemeClr>
              </a:solidFill>
              <a:ln>
                <a:noFill/>
              </a:ln>
              <a:effectLst/>
            </c:spPr>
            <c:extLst>
              <c:ext xmlns:c16="http://schemas.microsoft.com/office/drawing/2014/chart" uri="{C3380CC4-5D6E-409C-BE32-E72D297353CC}">
                <c16:uniqueId val="{00000001-0893-4E75-BA8A-B735596AD858}"/>
              </c:ext>
            </c:extLst>
          </c:dPt>
          <c:dPt>
            <c:idx val="1"/>
            <c:bubble3D val="0"/>
            <c:spPr>
              <a:solidFill>
                <a:schemeClr val="accent2">
                  <a:alpha val="70000"/>
                </a:schemeClr>
              </a:solidFill>
              <a:ln>
                <a:noFill/>
              </a:ln>
              <a:effectLst/>
            </c:spPr>
            <c:extLst>
              <c:ext xmlns:c16="http://schemas.microsoft.com/office/drawing/2014/chart" uri="{C3380CC4-5D6E-409C-BE32-E72D297353CC}">
                <c16:uniqueId val="{00000003-0893-4E75-BA8A-B735596AD858}"/>
              </c:ext>
            </c:extLst>
          </c:dPt>
          <c:dPt>
            <c:idx val="2"/>
            <c:bubble3D val="0"/>
            <c:spPr>
              <a:solidFill>
                <a:schemeClr val="accent3">
                  <a:alpha val="70000"/>
                </a:schemeClr>
              </a:solidFill>
              <a:ln>
                <a:noFill/>
              </a:ln>
              <a:effectLst/>
            </c:spPr>
            <c:extLst>
              <c:ext xmlns:c16="http://schemas.microsoft.com/office/drawing/2014/chart" uri="{C3380CC4-5D6E-409C-BE32-E72D297353CC}">
                <c16:uniqueId val="{00000005-0893-4E75-BA8A-B735596AD858}"/>
              </c:ext>
            </c:extLst>
          </c:dPt>
          <c:dPt>
            <c:idx val="3"/>
            <c:bubble3D val="0"/>
            <c:spPr>
              <a:solidFill>
                <a:schemeClr val="accent4">
                  <a:alpha val="70000"/>
                </a:schemeClr>
              </a:solidFill>
              <a:ln>
                <a:noFill/>
              </a:ln>
              <a:effectLst/>
            </c:spPr>
            <c:extLst>
              <c:ext xmlns:c16="http://schemas.microsoft.com/office/drawing/2014/chart" uri="{C3380CC4-5D6E-409C-BE32-E72D297353CC}">
                <c16:uniqueId val="{00000007-0893-4E75-BA8A-B735596AD858}"/>
              </c:ext>
            </c:extLst>
          </c:dPt>
          <c:dPt>
            <c:idx val="4"/>
            <c:bubble3D val="0"/>
            <c:spPr>
              <a:solidFill>
                <a:srgbClr val="00B050">
                  <a:alpha val="70000"/>
                </a:srgbClr>
              </a:solidFill>
              <a:ln>
                <a:noFill/>
              </a:ln>
              <a:effectLst/>
            </c:spPr>
            <c:extLst>
              <c:ext xmlns:c16="http://schemas.microsoft.com/office/drawing/2014/chart" uri="{C3380CC4-5D6E-409C-BE32-E72D297353CC}">
                <c16:uniqueId val="{00000009-0893-4E75-BA8A-B735596AD858}"/>
              </c:ext>
            </c:extLst>
          </c:dPt>
          <c:dPt>
            <c:idx val="5"/>
            <c:bubble3D val="0"/>
            <c:spPr>
              <a:solidFill>
                <a:schemeClr val="accent6">
                  <a:alpha val="70000"/>
                </a:schemeClr>
              </a:solidFill>
              <a:ln>
                <a:noFill/>
              </a:ln>
              <a:effectLst/>
            </c:spPr>
            <c:extLst>
              <c:ext xmlns:c16="http://schemas.microsoft.com/office/drawing/2014/chart" uri="{C3380CC4-5D6E-409C-BE32-E72D297353CC}">
                <c16:uniqueId val="{0000000B-0893-4E75-BA8A-B735596AD858}"/>
              </c:ext>
            </c:extLst>
          </c:dPt>
          <c:dPt>
            <c:idx val="6"/>
            <c:bubble3D val="0"/>
            <c:spPr>
              <a:solidFill>
                <a:schemeClr val="accent1">
                  <a:lumMod val="40000"/>
                  <a:lumOff val="60000"/>
                  <a:alpha val="70000"/>
                </a:schemeClr>
              </a:solidFill>
              <a:ln>
                <a:noFill/>
              </a:ln>
              <a:effectLst/>
            </c:spPr>
            <c:extLst>
              <c:ext xmlns:c16="http://schemas.microsoft.com/office/drawing/2014/chart" uri="{C3380CC4-5D6E-409C-BE32-E72D297353CC}">
                <c16:uniqueId val="{0000000D-0893-4E75-BA8A-B735596AD858}"/>
              </c:ext>
            </c:extLst>
          </c:dPt>
          <c:dLbls>
            <c:dLbl>
              <c:idx val="0"/>
              <c:layout>
                <c:manualLayout>
                  <c:x val="1.3597679017756966E-2"/>
                  <c:y val="6.0175404903655335E-5"/>
                </c:manualLayout>
              </c:layout>
              <c:numFmt formatCode="0.00%" sourceLinked="0"/>
              <c:spPr>
                <a:solidFill>
                  <a:schemeClr val="lt1">
                    <a:alpha val="90000"/>
                  </a:schemeClr>
                </a:solidFill>
                <a:ln w="12700" cap="flat" cmpd="sng" algn="ctr">
                  <a:solidFill>
                    <a:srgbClr val="9999FF"/>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0893-4E75-BA8A-B735596AD858}"/>
                </c:ext>
              </c:extLst>
            </c:dLbl>
            <c:dLbl>
              <c:idx val="1"/>
              <c:layout>
                <c:manualLayout>
                  <c:x val="-4.8132030215904918E-3"/>
                  <c:y val="-0.11354746171803902"/>
                </c:manualLayout>
              </c:layout>
              <c:numFmt formatCode="0.00%" sourceLinked="0"/>
              <c:spPr>
                <a:solidFill>
                  <a:schemeClr val="lt1">
                    <a:alpha val="90000"/>
                  </a:schemeClr>
                </a:solidFill>
                <a:ln w="12700" cap="flat" cmpd="sng" algn="ctr">
                  <a:solidFill>
                    <a:srgbClr val="9999FF"/>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2"/>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manualLayout>
                      <c:w val="7.8329324142633258E-2"/>
                      <c:h val="8.7046924012547197E-2"/>
                    </c:manualLayout>
                  </c15:layout>
                </c:ext>
                <c:ext xmlns:c16="http://schemas.microsoft.com/office/drawing/2014/chart" uri="{C3380CC4-5D6E-409C-BE32-E72D297353CC}">
                  <c16:uniqueId val="{00000003-0893-4E75-BA8A-B735596AD858}"/>
                </c:ext>
              </c:extLst>
            </c:dLbl>
            <c:dLbl>
              <c:idx val="2"/>
              <c:layout>
                <c:manualLayout>
                  <c:x val="7.3763890845652243E-3"/>
                  <c:y val="-8.4360384600166191E-2"/>
                </c:manualLayout>
              </c:layout>
              <c:numFmt formatCode="0.00%" sourceLinked="0"/>
              <c:spPr>
                <a:solidFill>
                  <a:schemeClr val="lt1">
                    <a:alpha val="90000"/>
                  </a:schemeClr>
                </a:solidFill>
                <a:ln w="12700" cap="flat" cmpd="sng" algn="ctr">
                  <a:solidFill>
                    <a:srgbClr val="9999FF"/>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0893-4E75-BA8A-B735596AD858}"/>
                </c:ext>
              </c:extLst>
            </c:dLbl>
            <c:dLbl>
              <c:idx val="3"/>
              <c:layout>
                <c:manualLayout>
                  <c:x val="1.1169379175515585E-2"/>
                  <c:y val="-3.9336050330392121E-2"/>
                </c:manualLayout>
              </c:layout>
              <c:numFmt formatCode="0.00%" sourceLinked="0"/>
              <c:spPr>
                <a:solidFill>
                  <a:schemeClr val="lt1">
                    <a:alpha val="90000"/>
                  </a:schemeClr>
                </a:solidFill>
                <a:ln w="12700" cap="flat" cmpd="sng" algn="ctr">
                  <a:solidFill>
                    <a:srgbClr val="9999FF"/>
                  </a:solidFill>
                  <a:round/>
                </a:ln>
                <a:effectLst>
                  <a:outerShdw blurRad="50800" dist="38100" dir="2700000" algn="tl" rotWithShape="0">
                    <a:schemeClr val="accent4">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0893-4E75-BA8A-B735596AD858}"/>
                </c:ext>
              </c:extLst>
            </c:dLbl>
            <c:dLbl>
              <c:idx val="4"/>
              <c:layout>
                <c:manualLayout>
                  <c:x val="-5.6137366526997244E-3"/>
                  <c:y val="0.1869940252443319"/>
                </c:manualLayout>
              </c:layout>
              <c:tx>
                <c:rich>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fld id="{A6DB46E1-826A-49B8-B698-F73BDA624C55}" type="PERCENTAGE">
                      <a:rPr lang="en-US">
                        <a:solidFill>
                          <a:schemeClr val="accent1">
                            <a:lumMod val="40000"/>
                            <a:lumOff val="60000"/>
                          </a:schemeClr>
                        </a:solidFill>
                      </a:rPr>
                      <a:pPr>
                        <a:defRPr>
                          <a:solidFill>
                            <a:schemeClr val="accent1"/>
                          </a:solidFill>
                        </a:defRPr>
                      </a:pPr>
                      <a:t>[PROCENTO]</a:t>
                    </a:fld>
                    <a:endParaRPr lang="cs-CZ"/>
                  </a:p>
                </c:rich>
              </c:tx>
              <c:numFmt formatCode="0.00%" sourceLinked="0"/>
              <c:spPr>
                <a:solidFill>
                  <a:schemeClr val="lt1">
                    <a:alpha val="90000"/>
                  </a:schemeClr>
                </a:solidFill>
                <a:ln w="12700" cap="flat" cmpd="sng" algn="ctr">
                  <a:solidFill>
                    <a:schemeClr val="accent1">
                      <a:lumMod val="40000"/>
                      <a:lumOff val="60000"/>
                    </a:schemeClr>
                  </a:solidFill>
                  <a:round/>
                </a:ln>
                <a:effectLst>
                  <a:outerShdw blurRad="50800" dist="38100" dir="2700000" algn="tl" rotWithShape="0">
                    <a:schemeClr val="accent5">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9-0893-4E75-BA8A-B735596AD858}"/>
                </c:ext>
              </c:extLst>
            </c:dLbl>
            <c:dLbl>
              <c:idx val="5"/>
              <c:layout>
                <c:manualLayout>
                  <c:x val="5.0639296330503422E-3"/>
                  <c:y val="8.7352510584418147E-2"/>
                </c:manualLayout>
              </c:layout>
              <c:numFmt formatCode="0.00%" sourceLinked="0"/>
              <c:spPr>
                <a:solidFill>
                  <a:schemeClr val="lt1">
                    <a:alpha val="90000"/>
                  </a:schemeClr>
                </a:solidFill>
                <a:ln w="12700" cap="flat" cmpd="sng" algn="ctr">
                  <a:solidFill>
                    <a:srgbClr val="9999FF"/>
                  </a:solidFill>
                  <a:round/>
                </a:ln>
                <a:effectLst>
                  <a:outerShdw blurRad="50800" dist="38100" dir="2700000" algn="tl" rotWithShape="0">
                    <a:schemeClr val="accent6">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B-0893-4E75-BA8A-B735596AD858}"/>
                </c:ext>
              </c:extLst>
            </c:dLbl>
            <c:dLbl>
              <c:idx val="6"/>
              <c:layout>
                <c:manualLayout>
                  <c:x val="9.9076581630078726E-3"/>
                  <c:y val="-7.6465002176235967E-3"/>
                </c:manualLayout>
              </c:layout>
              <c:numFmt formatCode="0.00%" sourceLinked="0"/>
              <c:spPr>
                <a:solidFill>
                  <a:schemeClr val="lt1">
                    <a:alpha val="90000"/>
                  </a:schemeClr>
                </a:solidFill>
                <a:ln w="12700" cap="flat" cmpd="sng" algn="ctr">
                  <a:solidFill>
                    <a:srgbClr val="00B050"/>
                  </a:solidFill>
                  <a:round/>
                </a:ln>
                <a:effectLst>
                  <a:outerShdw blurRad="50800" dist="38100" dir="2700000" algn="tl" rotWithShape="0">
                    <a:schemeClr val="accent1">
                      <a:lumMod val="60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rgbClr val="00B050"/>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D-0893-4E75-BA8A-B735596AD858}"/>
                </c:ext>
              </c:extLst>
            </c:dLbl>
            <c:numFmt formatCode="0.00%" sourceLinked="0"/>
            <c:spPr>
              <a:solidFill>
                <a:sysClr val="window" lastClr="FFFFFF">
                  <a:alpha val="90000"/>
                </a:sysClr>
              </a:solidFill>
              <a:ln w="12700" cap="flat" cmpd="sng" algn="ctr">
                <a:solidFill>
                  <a:srgbClr val="9999FF"/>
                </a:solidFill>
                <a:round/>
              </a:ln>
              <a:effectLst>
                <a:outerShdw blurRad="50800" dist="38100" dir="2700000" algn="tl" rotWithShape="0">
                  <a:srgbClr val="5B9BD5">
                    <a:lumMod val="75000"/>
                    <a:alpha val="40000"/>
                  </a:srgbClr>
                </a:outerShdw>
              </a:effectLst>
            </c:sp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List1!$A$2:$A$8</c:f>
              <c:strCache>
                <c:ptCount val="7"/>
                <c:pt idx="0">
                  <c:v>Ústřední orgán MD</c:v>
                </c:pt>
                <c:pt idx="1">
                  <c:v>Úřad pro civilní letectví</c:v>
                </c:pt>
                <c:pt idx="2">
                  <c:v>Státní plavební správa</c:v>
                </c:pt>
                <c:pt idx="3">
                  <c:v>Drážní úřad</c:v>
                </c:pt>
                <c:pt idx="4">
                  <c:v>Drážní inspekce</c:v>
                </c:pt>
                <c:pt idx="5">
                  <c:v>Ředitelsví vodních cest ČR</c:v>
                </c:pt>
                <c:pt idx="6">
                  <c:v>Ústav pro odborné zjišťování příčin leteckých nehod</c:v>
                </c:pt>
              </c:strCache>
            </c:strRef>
          </c:cat>
          <c:val>
            <c:numRef>
              <c:f>List1!$B$2:$B$8</c:f>
              <c:numCache>
                <c:formatCode>#,##0</c:formatCode>
                <c:ptCount val="7"/>
                <c:pt idx="0">
                  <c:v>6778437</c:v>
                </c:pt>
                <c:pt idx="1">
                  <c:v>182292</c:v>
                </c:pt>
                <c:pt idx="2">
                  <c:v>71376</c:v>
                </c:pt>
                <c:pt idx="3">
                  <c:v>102001</c:v>
                </c:pt>
                <c:pt idx="4">
                  <c:v>37858</c:v>
                </c:pt>
                <c:pt idx="5">
                  <c:v>42468</c:v>
                </c:pt>
                <c:pt idx="6">
                  <c:v>17681</c:v>
                </c:pt>
              </c:numCache>
            </c:numRef>
          </c:val>
          <c:extLst>
            <c:ext xmlns:c16="http://schemas.microsoft.com/office/drawing/2014/chart" uri="{C3380CC4-5D6E-409C-BE32-E72D297353CC}">
              <c16:uniqueId val="{0000000E-0893-4E75-BA8A-B735596AD858}"/>
            </c:ext>
          </c:extLst>
        </c:ser>
        <c:dLbls>
          <c:dLblPos val="inEnd"/>
          <c:showLegendKey val="0"/>
          <c:showVal val="0"/>
          <c:showCatName val="1"/>
          <c:showSerName val="0"/>
          <c:showPercent val="0"/>
          <c:showBubbleSize val="0"/>
          <c:showLeaderLines val="0"/>
        </c:dLbls>
        <c:firstSliceAng val="84"/>
      </c:pieChart>
      <c:spPr>
        <a:noFill/>
        <a:ln>
          <a:noFill/>
        </a:ln>
        <a:effectLst/>
      </c:spPr>
    </c:plotArea>
    <c:legend>
      <c:legendPos val="r"/>
      <c:layout>
        <c:manualLayout>
          <c:xMode val="edge"/>
          <c:yMode val="edge"/>
          <c:x val="0.66979835771025642"/>
          <c:y val="6.1554227832073753E-2"/>
          <c:w val="0.31694783181923331"/>
          <c:h val="0.8919669212202746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11.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12.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13.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1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16.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18.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5.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drawings/drawing1.xml><?xml version="1.0" encoding="utf-8"?>
<c:userShapes xmlns:c="http://schemas.openxmlformats.org/drawingml/2006/chart">
  <cdr:relSizeAnchor xmlns:cdr="http://schemas.openxmlformats.org/drawingml/2006/chartDrawing">
    <cdr:from>
      <cdr:x>0.1137</cdr:x>
      <cdr:y>0.29906</cdr:y>
    </cdr:from>
    <cdr:to>
      <cdr:x>0.94914</cdr:x>
      <cdr:y>0.29924</cdr:y>
    </cdr:to>
    <cdr:cxnSp macro="">
      <cdr:nvCxnSpPr>
        <cdr:cNvPr id="3" name="Přímá spojnice 2"/>
        <cdr:cNvCxnSpPr/>
      </cdr:nvCxnSpPr>
      <cdr:spPr>
        <a:xfrm xmlns:a="http://schemas.openxmlformats.org/drawingml/2006/main" flipV="1">
          <a:off x="657232" y="675861"/>
          <a:ext cx="4829168" cy="412"/>
        </a:xfrm>
        <a:prstGeom xmlns:a="http://schemas.openxmlformats.org/drawingml/2006/main" prst="line">
          <a:avLst/>
        </a:prstGeom>
        <a:ln xmlns:a="http://schemas.openxmlformats.org/drawingml/2006/main" w="31750">
          <a:solidFill>
            <a:schemeClr val="dk1"/>
          </a:solidFill>
          <a:prstDash val="dash"/>
          <a:headEnd type="none" w="med" len="med"/>
          <a:tailEnd type="none" w="med" len="med"/>
        </a:ln>
      </cdr:spPr>
      <cdr:style>
        <a:lnRef xmlns:a="http://schemas.openxmlformats.org/drawingml/2006/main" idx="3">
          <a:schemeClr val="dk1"/>
        </a:lnRef>
        <a:fillRef xmlns:a="http://schemas.openxmlformats.org/drawingml/2006/main" idx="0">
          <a:schemeClr val="dk1"/>
        </a:fillRef>
        <a:effectRef xmlns:a="http://schemas.openxmlformats.org/drawingml/2006/main" idx="2">
          <a:schemeClr val="dk1"/>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0.06134</cdr:x>
      <cdr:y>0.09373</cdr:y>
    </cdr:from>
    <cdr:to>
      <cdr:x>0.19084</cdr:x>
      <cdr:y>0.14996</cdr:y>
    </cdr:to>
    <cdr:sp macro="" textlink="">
      <cdr:nvSpPr>
        <cdr:cNvPr id="2" name="Textové pole 1"/>
        <cdr:cNvSpPr txBox="1"/>
      </cdr:nvSpPr>
      <cdr:spPr>
        <a:xfrm xmlns:a="http://schemas.openxmlformats.org/drawingml/2006/main">
          <a:off x="342885" y="266943"/>
          <a:ext cx="723892" cy="16014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cs-CZ" sz="900" b="1"/>
            <a:t>20</a:t>
          </a:r>
          <a:r>
            <a:rPr lang="cs-CZ" sz="900" b="1" baseline="0"/>
            <a:t> 617 965</a:t>
          </a:r>
          <a:endParaRPr lang="cs-CZ" sz="900" b="1"/>
        </a:p>
      </cdr:txBody>
    </cdr:sp>
  </cdr:relSizeAnchor>
  <cdr:relSizeAnchor xmlns:cdr="http://schemas.openxmlformats.org/drawingml/2006/chartDrawing">
    <cdr:from>
      <cdr:x>0</cdr:x>
      <cdr:y>0.11246</cdr:y>
    </cdr:from>
    <cdr:to>
      <cdr:x>0.1295</cdr:x>
      <cdr:y>0.16869</cdr:y>
    </cdr:to>
    <cdr:sp macro="" textlink="">
      <cdr:nvSpPr>
        <cdr:cNvPr id="3" name="Textové pole 1"/>
        <cdr:cNvSpPr txBox="1"/>
      </cdr:nvSpPr>
      <cdr:spPr>
        <a:xfrm xmlns:a="http://schemas.openxmlformats.org/drawingml/2006/main">
          <a:off x="-895350" y="323850"/>
          <a:ext cx="723900" cy="16192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endParaRPr lang="cs-CZ" sz="800"/>
        </a:p>
      </cdr:txBody>
    </cdr:sp>
  </cdr:relSizeAnchor>
  <cdr:relSizeAnchor xmlns:cdr="http://schemas.openxmlformats.org/drawingml/2006/chartDrawing">
    <cdr:from>
      <cdr:x>0.11503</cdr:x>
      <cdr:y>0.03909</cdr:y>
    </cdr:from>
    <cdr:to>
      <cdr:x>0.24453</cdr:x>
      <cdr:y>0.09532</cdr:y>
    </cdr:to>
    <cdr:sp macro="" textlink="">
      <cdr:nvSpPr>
        <cdr:cNvPr id="4" name="Textové pole 1"/>
        <cdr:cNvSpPr txBox="1"/>
      </cdr:nvSpPr>
      <cdr:spPr>
        <a:xfrm xmlns:a="http://schemas.openxmlformats.org/drawingml/2006/main">
          <a:off x="643007" y="111319"/>
          <a:ext cx="723892" cy="16014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cs-CZ" sz="900" b="1"/>
            <a:t>22</a:t>
          </a:r>
          <a:r>
            <a:rPr lang="cs-CZ" sz="900" b="1" baseline="0"/>
            <a:t> 238 098</a:t>
          </a:r>
          <a:endParaRPr lang="cs-CZ" sz="900" b="1"/>
        </a:p>
      </cdr:txBody>
    </cdr:sp>
  </cdr:relSizeAnchor>
</c:userShape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969D5-8BC8-4084-87C1-4E1CE3084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1305</TotalTime>
  <Pages>123</Pages>
  <Words>44779</Words>
  <Characters>264201</Characters>
  <Application>Microsoft Office Word</Application>
  <DocSecurity>0</DocSecurity>
  <Lines>2201</Lines>
  <Paragraphs>616</Paragraphs>
  <ScaleCrop>false</ScaleCrop>
  <HeadingPairs>
    <vt:vector size="2" baseType="variant">
      <vt:variant>
        <vt:lpstr>Název</vt:lpstr>
      </vt:variant>
      <vt:variant>
        <vt:i4>1</vt:i4>
      </vt:variant>
    </vt:vector>
  </HeadingPairs>
  <TitlesOfParts>
    <vt:vector size="1" baseType="lpstr">
      <vt:lpstr>1</vt:lpstr>
    </vt:vector>
  </TitlesOfParts>
  <Company>MD</Company>
  <LinksUpToDate>false</LinksUpToDate>
  <CharactersWithSpaces>308364</CharactersWithSpaces>
  <SharedDoc>false</SharedDoc>
  <HLinks>
    <vt:vector size="18" baseType="variant">
      <vt:variant>
        <vt:i4>7602208</vt:i4>
      </vt:variant>
      <vt:variant>
        <vt:i4>348</vt:i4>
      </vt:variant>
      <vt:variant>
        <vt:i4>0</vt:i4>
      </vt:variant>
      <vt:variant>
        <vt:i4>5</vt:i4>
      </vt:variant>
      <vt:variant>
        <vt:lpwstr>http://web.opd.cz/project/administrativni-kapacita-a-vzdelavani-implementacni-struktury-ridiciho-organu-operacniho/</vt:lpwstr>
      </vt:variant>
      <vt:variant>
        <vt:lpwstr/>
      </vt:variant>
      <vt:variant>
        <vt:i4>7602208</vt:i4>
      </vt:variant>
      <vt:variant>
        <vt:i4>345</vt:i4>
      </vt:variant>
      <vt:variant>
        <vt:i4>0</vt:i4>
      </vt:variant>
      <vt:variant>
        <vt:i4>5</vt:i4>
      </vt:variant>
      <vt:variant>
        <vt:lpwstr>http://web.opd.cz/project/administrativni-kapacita-a-vzdelavani-implementacni-struktury-ridiciho-organu-operacniho/</vt:lpwstr>
      </vt:variant>
      <vt:variant>
        <vt:lpwstr/>
      </vt:variant>
      <vt:variant>
        <vt:i4>7602208</vt:i4>
      </vt:variant>
      <vt:variant>
        <vt:i4>342</vt:i4>
      </vt:variant>
      <vt:variant>
        <vt:i4>0</vt:i4>
      </vt:variant>
      <vt:variant>
        <vt:i4>5</vt:i4>
      </vt:variant>
      <vt:variant>
        <vt:lpwstr>http://web.opd.cz/project/administrativni-kapacita-a-vzdelavani-implementacni-struktury-ridiciho-organu-operacniho/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Lucia Krištofová, Ing.</dc:creator>
  <cp:keywords/>
  <dc:description/>
  <cp:lastModifiedBy>Němcová Topenčíková Marcela Ing.</cp:lastModifiedBy>
  <cp:revision>225</cp:revision>
  <cp:lastPrinted>2020-03-05T07:25:00Z</cp:lastPrinted>
  <dcterms:created xsi:type="dcterms:W3CDTF">2020-02-17T12:39:00Z</dcterms:created>
  <dcterms:modified xsi:type="dcterms:W3CDTF">2020-04-03T11:31:00Z</dcterms:modified>
</cp:coreProperties>
</file>